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6940"/>
        <w:gridCol w:w="1842"/>
      </w:tblGrid>
      <w:tr w:rsidR="000A03B2" w:rsidRPr="00B57B36" w14:paraId="2A131A54" w14:textId="77777777" w:rsidTr="00DE264A">
        <w:trPr>
          <w:trHeight w:val="852"/>
          <w:jc w:val="center"/>
        </w:trPr>
        <w:tc>
          <w:tcPr>
            <w:tcW w:w="6946" w:type="dxa"/>
            <w:vMerge w:val="restart"/>
            <w:tcBorders>
              <w:right w:val="single" w:sz="4" w:space="0" w:color="auto"/>
            </w:tcBorders>
          </w:tcPr>
          <w:p w14:paraId="38C3D2BA" w14:textId="77777777" w:rsidR="000A03B2" w:rsidRPr="00B57B36" w:rsidRDefault="000A03B2" w:rsidP="00DE264A">
            <w:pPr>
              <w:tabs>
                <w:tab w:val="left" w:pos="-108"/>
              </w:tabs>
              <w:ind w:left="-108"/>
              <w:jc w:val="left"/>
              <w:rPr>
                <w:rFonts w:cs="Arial"/>
                <w:b/>
                <w:bCs/>
                <w:i/>
                <w:iCs/>
                <w:color w:val="000066"/>
                <w:sz w:val="12"/>
                <w:szCs w:val="12"/>
                <w:lang w:eastAsia="it-IT"/>
              </w:rPr>
            </w:pPr>
            <w:r w:rsidRPr="00B57B36">
              <w:rPr>
                <w:rFonts w:ascii="AdvP6960" w:hAnsi="AdvP6960" w:cs="AdvP6960"/>
                <w:noProof/>
                <w:color w:val="241F20"/>
                <w:szCs w:val="18"/>
                <w:lang w:eastAsia="en-GB"/>
              </w:rPr>
              <w:drawing>
                <wp:inline distT="0" distB="0" distL="0" distR="0" wp14:anchorId="02B7C3D3" wp14:editId="5EE03112">
                  <wp:extent cx="640080" cy="373380"/>
                  <wp:effectExtent l="0" t="0" r="7620" b="7620"/>
                  <wp:docPr id="5" name="Immagine 5" descr="cet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et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7B36">
              <w:rPr>
                <w:rFonts w:ascii="AdvP6960" w:hAnsi="AdvP6960" w:cs="AdvP6960"/>
                <w:color w:val="241F20"/>
                <w:szCs w:val="18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4"/>
                <w:szCs w:val="24"/>
                <w:lang w:eastAsia="it-IT"/>
              </w:rPr>
              <w:t>CHEMICAL ENGINEERING</w:t>
            </w:r>
            <w:r w:rsidRPr="00B57B36">
              <w:rPr>
                <w:rFonts w:cs="Arial"/>
                <w:b/>
                <w:bCs/>
                <w:i/>
                <w:iCs/>
                <w:color w:val="0033FF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666666"/>
                <w:sz w:val="24"/>
                <w:szCs w:val="24"/>
                <w:lang w:eastAsia="it-IT"/>
              </w:rPr>
              <w:t>TRANSACTIONS</w:t>
            </w:r>
            <w:r w:rsidRPr="00B57B36">
              <w:rPr>
                <w:color w:val="333333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7"/>
                <w:szCs w:val="27"/>
                <w:lang w:eastAsia="it-IT"/>
              </w:rPr>
              <w:br/>
            </w:r>
          </w:p>
          <w:p w14:paraId="4B780582" w14:textId="740002EE" w:rsidR="000A03B2" w:rsidRPr="00B57B36" w:rsidRDefault="00A76EFC" w:rsidP="00B57E6F">
            <w:pPr>
              <w:tabs>
                <w:tab w:val="left" w:pos="-108"/>
              </w:tabs>
              <w:ind w:left="-108"/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</w:pPr>
            <w:r w:rsidRPr="00B57B36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VOL. </w:t>
            </w:r>
            <w:r w:rsidR="00D46B7E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9</w:t>
            </w:r>
            <w:r w:rsidR="00B57E6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1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,</w:t>
            </w:r>
            <w:r w:rsidR="00FA5F5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 20</w:t>
            </w:r>
            <w:r w:rsidR="00DF5072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1843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78213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A publication of</w:t>
            </w:r>
          </w:p>
          <w:p w14:paraId="599E5441" w14:textId="77777777" w:rsidR="000A03B2" w:rsidRPr="00B57B36" w:rsidRDefault="000A03B2" w:rsidP="00CD5FE2">
            <w:pPr>
              <w:jc w:val="right"/>
            </w:pPr>
            <w:r w:rsidRPr="00B57B36">
              <w:rPr>
                <w:noProof/>
                <w:lang w:eastAsia="en-GB"/>
              </w:rPr>
              <w:drawing>
                <wp:inline distT="0" distB="0" distL="0" distR="0" wp14:anchorId="59C75AF4" wp14:editId="4FF92432">
                  <wp:extent cx="670560" cy="358140"/>
                  <wp:effectExtent l="0" t="0" r="0" b="3810"/>
                  <wp:docPr id="6" name="Immagine 6" descr="aidiclogo_gra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idiclogo_gra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3B2" w:rsidRPr="00B57B36" w14:paraId="380FA3CD" w14:textId="77777777" w:rsidTr="00DE264A">
        <w:trPr>
          <w:trHeight w:val="567"/>
          <w:jc w:val="center"/>
        </w:trPr>
        <w:tc>
          <w:tcPr>
            <w:tcW w:w="6946" w:type="dxa"/>
            <w:vMerge/>
            <w:tcBorders>
              <w:right w:val="single" w:sz="4" w:space="0" w:color="auto"/>
            </w:tcBorders>
          </w:tcPr>
          <w:p w14:paraId="39E5E4C1" w14:textId="77777777" w:rsidR="000A03B2" w:rsidRPr="00B57B36" w:rsidRDefault="000A03B2" w:rsidP="00CD5FE2">
            <w:pPr>
              <w:tabs>
                <w:tab w:val="left" w:pos="-108"/>
              </w:tabs>
            </w:pPr>
          </w:p>
        </w:tc>
        <w:tc>
          <w:tcPr>
            <w:tcW w:w="1843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3858A98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The Italian Association</w:t>
            </w:r>
          </w:p>
          <w:p w14:paraId="7522B1D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of Chemical Engineering</w:t>
            </w:r>
          </w:p>
          <w:p w14:paraId="4F0CC5DE" w14:textId="47FDB2FC" w:rsidR="000A03B2" w:rsidRPr="000D0268" w:rsidRDefault="000D0268" w:rsidP="00CD5FE2">
            <w:pPr>
              <w:spacing w:line="140" w:lineRule="atLeast"/>
              <w:jc w:val="right"/>
              <w:rPr>
                <w:rFonts w:cs="Arial"/>
                <w:sz w:val="13"/>
                <w:szCs w:val="13"/>
              </w:rPr>
            </w:pPr>
            <w:r w:rsidRPr="000D0268">
              <w:rPr>
                <w:rFonts w:cs="Arial"/>
                <w:sz w:val="13"/>
                <w:szCs w:val="13"/>
              </w:rPr>
              <w:t>Online at www.cetjournal.it</w:t>
            </w:r>
          </w:p>
        </w:tc>
      </w:tr>
      <w:tr w:rsidR="000A03B2" w:rsidRPr="00B57B36" w14:paraId="2D1B7169" w14:textId="77777777" w:rsidTr="00DE264A">
        <w:trPr>
          <w:trHeight w:val="68"/>
          <w:jc w:val="center"/>
        </w:trPr>
        <w:tc>
          <w:tcPr>
            <w:tcW w:w="8789" w:type="dxa"/>
            <w:gridSpan w:val="2"/>
          </w:tcPr>
          <w:p w14:paraId="4B0BB442" w14:textId="4EADF2C2" w:rsidR="00300E56" w:rsidRPr="005F0B50" w:rsidRDefault="00300E56" w:rsidP="00B57E6F">
            <w:pPr>
              <w:ind w:left="-107"/>
              <w:outlineLvl w:val="2"/>
              <w:rPr>
                <w:rFonts w:ascii="Tahoma" w:hAnsi="Tahoma" w:cs="Tahoma"/>
                <w:bCs/>
                <w:color w:val="000000"/>
                <w:sz w:val="14"/>
                <w:szCs w:val="14"/>
                <w:lang w:val="it-IT" w:eastAsia="it-IT"/>
              </w:rPr>
            </w:pPr>
            <w:r w:rsidRPr="005F0B50">
              <w:rPr>
                <w:rFonts w:ascii="Tahoma" w:hAnsi="Tahoma" w:cs="Tahoma"/>
                <w:iCs/>
                <w:color w:val="333333"/>
                <w:sz w:val="14"/>
                <w:szCs w:val="14"/>
                <w:lang w:val="it-IT" w:eastAsia="it-IT"/>
              </w:rPr>
              <w:t>Guest Editors:</w:t>
            </w:r>
            <w:r w:rsidR="00904C62" w:rsidRPr="005F0B50">
              <w:rPr>
                <w:rFonts w:ascii="Tahoma" w:hAnsi="Tahoma" w:cs="Tahoma"/>
                <w:iCs/>
                <w:color w:val="333333"/>
                <w:sz w:val="14"/>
                <w:szCs w:val="14"/>
                <w:lang w:val="it-IT" w:eastAsia="it-IT"/>
              </w:rPr>
              <w:t xml:space="preserve"> </w:t>
            </w:r>
            <w:r w:rsidR="00B57E6F" w:rsidRPr="005F0B50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 xml:space="preserve">Valerio Cozzani, </w:t>
            </w:r>
            <w:r w:rsidR="001331DF" w:rsidRPr="005F0B50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>Bruno Fabiano</w:t>
            </w:r>
            <w:r w:rsidR="00B57E6F" w:rsidRPr="005F0B50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 xml:space="preserve">, </w:t>
            </w:r>
            <w:r w:rsidR="00B57E6F" w:rsidRPr="005F0B50">
              <w:rPr>
                <w:rFonts w:ascii="Tahoma" w:hAnsi="Tahoma" w:cs="Tahoma"/>
                <w:bCs/>
                <w:color w:val="000000"/>
                <w:sz w:val="14"/>
                <w:szCs w:val="14"/>
                <w:lang w:val="it-IT" w:eastAsia="it-IT"/>
              </w:rPr>
              <w:t>Genserik Reniers</w:t>
            </w:r>
          </w:p>
          <w:p w14:paraId="1B0F1814" w14:textId="08709475" w:rsidR="000A03B2" w:rsidRPr="00B57B36" w:rsidRDefault="00FA5F5F" w:rsidP="00B57E6F">
            <w:pPr>
              <w:tabs>
                <w:tab w:val="left" w:pos="-108"/>
              </w:tabs>
              <w:spacing w:line="140" w:lineRule="atLeast"/>
              <w:ind w:left="-107"/>
              <w:jc w:val="left"/>
            </w:pP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Copyright © 20</w:t>
            </w:r>
            <w:r w:rsidR="00DF5072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E72EAD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, AIDIC Servizi S.r.l.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br/>
            </w:r>
            <w:r w:rsidR="00300E56" w:rsidRPr="00B57B36">
              <w:rPr>
                <w:rFonts w:ascii="Tahoma" w:hAnsi="Tahoma" w:cs="Tahoma"/>
                <w:b/>
                <w:iCs/>
                <w:color w:val="000000"/>
                <w:sz w:val="14"/>
                <w:szCs w:val="14"/>
                <w:lang w:eastAsia="it-IT"/>
              </w:rPr>
              <w:t>ISBN</w:t>
            </w:r>
            <w:r w:rsidR="00300E56" w:rsidRPr="00B57B36">
              <w:rPr>
                <w:rFonts w:ascii="Tahoma" w:hAnsi="Tahoma" w:cs="Tahoma"/>
                <w:iCs/>
                <w:color w:val="000000"/>
                <w:sz w:val="14"/>
                <w:szCs w:val="14"/>
                <w:lang w:eastAsia="it-IT"/>
              </w:rPr>
              <w:t xml:space="preserve"> </w:t>
            </w:r>
            <w:r w:rsidR="008D32B9">
              <w:rPr>
                <w:rFonts w:ascii="Tahoma" w:hAnsi="Tahoma" w:cs="Tahoma"/>
                <w:sz w:val="14"/>
                <w:szCs w:val="14"/>
              </w:rPr>
              <w:t>978-88-</w:t>
            </w:r>
            <w:r w:rsidR="008D32B9" w:rsidRPr="00EF06D9">
              <w:rPr>
                <w:rFonts w:ascii="Tahoma" w:hAnsi="Tahoma" w:cs="Tahoma"/>
                <w:sz w:val="14"/>
                <w:szCs w:val="14"/>
              </w:rPr>
              <w:t>95608</w:t>
            </w:r>
            <w:r w:rsidR="00D46B7E">
              <w:rPr>
                <w:rFonts w:ascii="Tahoma" w:hAnsi="Tahoma" w:cs="Tahoma"/>
                <w:sz w:val="14"/>
                <w:szCs w:val="14"/>
              </w:rPr>
              <w:t>-8</w:t>
            </w:r>
            <w:r w:rsidR="00B57E6F">
              <w:rPr>
                <w:rFonts w:ascii="Tahoma" w:hAnsi="Tahoma" w:cs="Tahoma"/>
                <w:sz w:val="14"/>
                <w:szCs w:val="14"/>
              </w:rPr>
              <w:t>9</w:t>
            </w:r>
            <w:r w:rsidR="00D46B7E">
              <w:rPr>
                <w:rFonts w:ascii="Tahoma" w:hAnsi="Tahoma" w:cs="Tahoma"/>
                <w:sz w:val="14"/>
                <w:szCs w:val="14"/>
              </w:rPr>
              <w:t>-</w:t>
            </w:r>
            <w:r w:rsidR="00B57E6F">
              <w:rPr>
                <w:rFonts w:ascii="Tahoma" w:hAnsi="Tahoma" w:cs="Tahoma"/>
                <w:sz w:val="14"/>
                <w:szCs w:val="14"/>
              </w:rPr>
              <w:t>1</w:t>
            </w:r>
            <w:r w:rsidR="007B48F9" w:rsidRPr="00EF06D9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;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r w:rsidR="00300E56" w:rsidRPr="00B57B36">
              <w:rPr>
                <w:rFonts w:ascii="Tahoma" w:hAnsi="Tahoma" w:cs="Tahoma"/>
                <w:b/>
                <w:iCs/>
                <w:color w:val="333333"/>
                <w:sz w:val="14"/>
                <w:szCs w:val="14"/>
                <w:lang w:eastAsia="it-IT"/>
              </w:rPr>
              <w:t>ISSN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2283-9216</w:t>
            </w:r>
          </w:p>
        </w:tc>
      </w:tr>
    </w:tbl>
    <w:p w14:paraId="10DAA130" w14:textId="77777777" w:rsidR="000A03B2" w:rsidRPr="00B57B36" w:rsidRDefault="000A03B2" w:rsidP="000A03B2">
      <w:pPr>
        <w:pStyle w:val="CETAuthors"/>
        <w:sectPr w:rsidR="000A03B2" w:rsidRPr="00B57B36" w:rsidSect="00CD5FE2">
          <w:type w:val="continuous"/>
          <w:pgSz w:w="11906" w:h="16838" w:code="9"/>
          <w:pgMar w:top="1701" w:right="1418" w:bottom="1701" w:left="1701" w:header="1701" w:footer="0" w:gutter="0"/>
          <w:cols w:space="708"/>
          <w:titlePg/>
          <w:docGrid w:linePitch="360"/>
        </w:sectPr>
      </w:pPr>
    </w:p>
    <w:p w14:paraId="2E667253" w14:textId="0D55C4FB" w:rsidR="00E978D0" w:rsidRPr="00B57B36" w:rsidRDefault="005F0B50" w:rsidP="00E978D0">
      <w:pPr>
        <w:pStyle w:val="CETTitle"/>
      </w:pPr>
      <w:bookmarkStart w:id="0" w:name="_Hlk87970391"/>
      <w:r w:rsidRPr="005F0B50">
        <w:t>Multi-risk</w:t>
      </w:r>
      <w:bookmarkEnd w:id="0"/>
      <w:r w:rsidRPr="005F0B50">
        <w:t xml:space="preserve"> approach to the QRA of Natech scenarios in the chemical and process industry</w:t>
      </w:r>
    </w:p>
    <w:p w14:paraId="0488FED2" w14:textId="404812FA" w:rsidR="00B57E6F" w:rsidRDefault="005F0B50" w:rsidP="00B57E6F">
      <w:pPr>
        <w:pStyle w:val="CETAuthors"/>
        <w:rPr>
          <w:vertAlign w:val="superscript"/>
          <w:lang w:val="it-IT"/>
        </w:rPr>
      </w:pPr>
      <w:r w:rsidRPr="00586CCA">
        <w:rPr>
          <w:lang w:val="it-IT"/>
        </w:rPr>
        <w:t>Riccardo Sorichetti</w:t>
      </w:r>
      <w:r w:rsidR="00B57E6F" w:rsidRPr="00586CCA">
        <w:rPr>
          <w:vertAlign w:val="superscript"/>
          <w:lang w:val="it-IT"/>
        </w:rPr>
        <w:t>a</w:t>
      </w:r>
      <w:r w:rsidR="00B57E6F" w:rsidRPr="00586CCA">
        <w:rPr>
          <w:lang w:val="it-IT"/>
        </w:rPr>
        <w:t>,</w:t>
      </w:r>
      <w:r w:rsidRPr="00586CCA">
        <w:rPr>
          <w:lang w:val="it-IT"/>
        </w:rPr>
        <w:t xml:space="preserve"> Alessio Misuri</w:t>
      </w:r>
      <w:r w:rsidRPr="00586CCA">
        <w:rPr>
          <w:vertAlign w:val="superscript"/>
          <w:lang w:val="it-IT"/>
        </w:rPr>
        <w:t>a</w:t>
      </w:r>
      <w:r w:rsidRPr="00586CCA">
        <w:rPr>
          <w:lang w:val="it-IT"/>
        </w:rPr>
        <w:t>, Annamaria Di Padova</w:t>
      </w:r>
      <w:r w:rsidRPr="00586CCA">
        <w:rPr>
          <w:vertAlign w:val="superscript"/>
          <w:lang w:val="it-IT"/>
        </w:rPr>
        <w:t>b</w:t>
      </w:r>
      <w:r w:rsidRPr="00586CCA">
        <w:rPr>
          <w:lang w:val="it-IT"/>
        </w:rPr>
        <w:t>, Roberta Miglionico</w:t>
      </w:r>
      <w:r w:rsidRPr="00586CCA">
        <w:rPr>
          <w:vertAlign w:val="superscript"/>
          <w:lang w:val="it-IT"/>
        </w:rPr>
        <w:t>b</w:t>
      </w:r>
      <w:r w:rsidRPr="00586CCA">
        <w:rPr>
          <w:lang w:val="it-IT"/>
        </w:rPr>
        <w:t>, Fabrizio Tallone</w:t>
      </w:r>
      <w:r w:rsidRPr="00586CCA">
        <w:rPr>
          <w:vertAlign w:val="superscript"/>
          <w:lang w:val="it-IT"/>
        </w:rPr>
        <w:t>b</w:t>
      </w:r>
      <w:r w:rsidRPr="00586CCA">
        <w:rPr>
          <w:lang w:val="it-IT"/>
        </w:rPr>
        <w:t>, Valerio Cozzani</w:t>
      </w:r>
      <w:r w:rsidRPr="00586CCA">
        <w:rPr>
          <w:vertAlign w:val="superscript"/>
          <w:lang w:val="it-IT"/>
        </w:rPr>
        <w:t>a</w:t>
      </w:r>
      <w:r w:rsidR="00235D67">
        <w:rPr>
          <w:vertAlign w:val="superscript"/>
          <w:lang w:val="it-IT"/>
        </w:rPr>
        <w:t>,*</w:t>
      </w:r>
    </w:p>
    <w:tbl>
      <w:tblPr>
        <w:tblStyle w:val="TableGrid"/>
        <w:tblW w:w="88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40" w:type="dxa"/>
        </w:tblCellMar>
        <w:tblLook w:val="04A0" w:firstRow="1" w:lastRow="0" w:firstColumn="1" w:lastColumn="0" w:noHBand="0" w:noVBand="1"/>
      </w:tblPr>
      <w:tblGrid>
        <w:gridCol w:w="96"/>
        <w:gridCol w:w="8738"/>
      </w:tblGrid>
      <w:tr w:rsidR="00AF26D2" w:rsidRPr="00E26A24" w14:paraId="5022C9FB" w14:textId="77777777" w:rsidTr="00821FF0">
        <w:tc>
          <w:tcPr>
            <w:tcW w:w="96" w:type="dxa"/>
          </w:tcPr>
          <w:p w14:paraId="6A6308D8" w14:textId="77777777" w:rsidR="00AF26D2" w:rsidRPr="00E26A24" w:rsidRDefault="00AF26D2" w:rsidP="00821FF0">
            <w:pPr>
              <w:pStyle w:val="CETAddress"/>
              <w:rPr>
                <w:vertAlign w:val="superscript"/>
              </w:rPr>
            </w:pPr>
            <w:r w:rsidRPr="00E26A24">
              <w:rPr>
                <w:vertAlign w:val="superscript"/>
              </w:rPr>
              <w:t>a</w:t>
            </w:r>
          </w:p>
        </w:tc>
        <w:tc>
          <w:tcPr>
            <w:tcW w:w="8738" w:type="dxa"/>
          </w:tcPr>
          <w:p w14:paraId="745731EA" w14:textId="77777777" w:rsidR="00AF26D2" w:rsidRPr="00E26A24" w:rsidRDefault="00AF26D2" w:rsidP="00821FF0">
            <w:pPr>
              <w:pStyle w:val="CETAddress"/>
            </w:pPr>
            <w:r>
              <w:t xml:space="preserve">Laboratory of Industrial Safety and Environmental Sustainability – DICAM, University of Bologna, Bologna, Italy </w:t>
            </w:r>
          </w:p>
        </w:tc>
      </w:tr>
      <w:tr w:rsidR="00AF26D2" w:rsidRPr="00E26A24" w14:paraId="46C195CC" w14:textId="77777777" w:rsidTr="00821FF0">
        <w:tc>
          <w:tcPr>
            <w:tcW w:w="96" w:type="dxa"/>
          </w:tcPr>
          <w:p w14:paraId="61AB7248" w14:textId="77777777" w:rsidR="00AF26D2" w:rsidRPr="00B4697D" w:rsidRDefault="00AF26D2" w:rsidP="00821FF0">
            <w:pPr>
              <w:pStyle w:val="CETAddress"/>
              <w:rPr>
                <w:b/>
                <w:vertAlign w:val="superscript"/>
              </w:rPr>
            </w:pPr>
            <w:r>
              <w:rPr>
                <w:vertAlign w:val="superscript"/>
              </w:rPr>
              <w:t>b</w:t>
            </w:r>
          </w:p>
        </w:tc>
        <w:tc>
          <w:tcPr>
            <w:tcW w:w="8738" w:type="dxa"/>
          </w:tcPr>
          <w:p w14:paraId="094C14AB" w14:textId="1EAFD4EC" w:rsidR="00AF26D2" w:rsidRDefault="00AF26D2" w:rsidP="00821FF0">
            <w:pPr>
              <w:pStyle w:val="CETAddress"/>
            </w:pPr>
            <w:r w:rsidRPr="005F0B50">
              <w:t xml:space="preserve">Saipem, </w:t>
            </w:r>
            <w:r w:rsidRPr="00586CCA">
              <w:t>L</w:t>
            </w:r>
            <w:r>
              <w:t>oss Prevention</w:t>
            </w:r>
            <w:r w:rsidRPr="00586CCA">
              <w:t xml:space="preserve"> &amp; Environment</w:t>
            </w:r>
            <w:r w:rsidRPr="005F0B50">
              <w:t xml:space="preserve">, via Toniolo 1, 61032 Fano, Italy </w:t>
            </w:r>
          </w:p>
        </w:tc>
      </w:tr>
      <w:tr w:rsidR="00AF26D2" w:rsidRPr="009D353E" w14:paraId="465834B9" w14:textId="77777777" w:rsidTr="00821FF0">
        <w:tc>
          <w:tcPr>
            <w:tcW w:w="96" w:type="dxa"/>
          </w:tcPr>
          <w:p w14:paraId="0B9C9D5C" w14:textId="77777777" w:rsidR="00AF26D2" w:rsidRPr="00E26A24" w:rsidRDefault="00AF26D2" w:rsidP="00821FF0">
            <w:pPr>
              <w:pStyle w:val="CETemail"/>
              <w:rPr>
                <w:vertAlign w:val="superscript"/>
              </w:rPr>
            </w:pPr>
          </w:p>
        </w:tc>
        <w:tc>
          <w:tcPr>
            <w:tcW w:w="8738" w:type="dxa"/>
          </w:tcPr>
          <w:p w14:paraId="124D9BA1" w14:textId="3DDB4E20" w:rsidR="00AF26D2" w:rsidRPr="00E26A24" w:rsidRDefault="00263E0E" w:rsidP="00821FF0">
            <w:pPr>
              <w:pStyle w:val="CETemail"/>
            </w:pPr>
            <w:r w:rsidRPr="006543D4">
              <w:t>valerio.cozzani@unibo.it</w:t>
            </w:r>
          </w:p>
        </w:tc>
      </w:tr>
    </w:tbl>
    <w:p w14:paraId="3B167944" w14:textId="77777777" w:rsidR="00586CCA" w:rsidRDefault="00586CCA" w:rsidP="00586CCA">
      <w:pPr>
        <w:pStyle w:val="CETAddress"/>
      </w:pPr>
    </w:p>
    <w:p w14:paraId="6524FBEC" w14:textId="043607EF" w:rsidR="0004547D" w:rsidRDefault="00263E0E" w:rsidP="00600535">
      <w:pPr>
        <w:pStyle w:val="CETBodytext"/>
        <w:rPr>
          <w:lang w:val="en-GB"/>
        </w:rPr>
      </w:pPr>
      <w:r>
        <w:rPr>
          <w:lang w:val="en-GB"/>
        </w:rPr>
        <w:t>A</w:t>
      </w:r>
      <w:r w:rsidR="00586CCA" w:rsidRPr="00586CCA">
        <w:rPr>
          <w:lang w:val="en-GB"/>
        </w:rPr>
        <w:t xml:space="preserve"> novel quantitative methodology to perform a </w:t>
      </w:r>
      <w:bookmarkStart w:id="1" w:name="_Hlk87968325"/>
      <w:r w:rsidR="00586CCA" w:rsidRPr="00586CCA">
        <w:rPr>
          <w:lang w:val="en-GB"/>
        </w:rPr>
        <w:t>multi-risk assessment of technological scenarios triggered by natural hazards</w:t>
      </w:r>
      <w:bookmarkEnd w:id="1"/>
      <w:r w:rsidR="00586CCA" w:rsidRPr="00586CCA">
        <w:rPr>
          <w:lang w:val="en-GB"/>
        </w:rPr>
        <w:t xml:space="preserve"> (Natech events) is presented. The framework is based </w:t>
      </w:r>
      <w:bookmarkStart w:id="2" w:name="_Hlk89770270"/>
      <w:r w:rsidR="00586CCA" w:rsidRPr="00586CCA">
        <w:rPr>
          <w:lang w:val="en-GB"/>
        </w:rPr>
        <w:t>on a multi-hazard approach and is proposed</w:t>
      </w:r>
      <w:bookmarkEnd w:id="2"/>
      <w:r w:rsidR="00586CCA" w:rsidRPr="00586CCA">
        <w:rPr>
          <w:lang w:val="en-GB"/>
        </w:rPr>
        <w:t xml:space="preserve"> to assess the risk associated to the different natural events </w:t>
      </w:r>
      <w:r>
        <w:rPr>
          <w:lang w:val="en-GB"/>
        </w:rPr>
        <w:t xml:space="preserve">to which </w:t>
      </w:r>
      <w:r w:rsidR="00586CCA" w:rsidRPr="00586CCA">
        <w:rPr>
          <w:lang w:val="en-GB"/>
        </w:rPr>
        <w:t>a</w:t>
      </w:r>
      <w:r>
        <w:rPr>
          <w:lang w:val="en-GB"/>
        </w:rPr>
        <w:t>n industrial</w:t>
      </w:r>
      <w:r w:rsidR="00586CCA" w:rsidRPr="00586CCA">
        <w:rPr>
          <w:lang w:val="en-GB"/>
        </w:rPr>
        <w:t xml:space="preserve"> site</w:t>
      </w:r>
      <w:r>
        <w:rPr>
          <w:lang w:val="en-GB"/>
        </w:rPr>
        <w:t xml:space="preserve"> where relevant quantities of hazardous substances are present</w:t>
      </w:r>
      <w:r w:rsidR="00586CCA" w:rsidRPr="00586CCA">
        <w:rPr>
          <w:lang w:val="en-GB"/>
        </w:rPr>
        <w:t xml:space="preserve"> is exposed to.</w:t>
      </w:r>
      <w:r w:rsidR="00C76A6D">
        <w:rPr>
          <w:lang w:val="en-GB"/>
        </w:rPr>
        <w:t xml:space="preserve"> </w:t>
      </w:r>
      <w:r w:rsidR="00586CCA" w:rsidRPr="00586CCA">
        <w:rPr>
          <w:lang w:val="en-GB"/>
        </w:rPr>
        <w:t>The quantitative methodology allows the calculation of failure frequencies, consequences of the scenarios and risk indexes which are compared and benchmarked. Finally, a case study is defined taking into account the impact of earthquakes, floods and lightning strikes. The application le</w:t>
      </w:r>
      <w:r>
        <w:rPr>
          <w:lang w:val="en-GB"/>
        </w:rPr>
        <w:t>a</w:t>
      </w:r>
      <w:r w:rsidR="00586CCA" w:rsidRPr="00586CCA">
        <w:rPr>
          <w:lang w:val="en-GB"/>
        </w:rPr>
        <w:t>d</w:t>
      </w:r>
      <w:r>
        <w:rPr>
          <w:lang w:val="en-GB"/>
        </w:rPr>
        <w:t>s</w:t>
      </w:r>
      <w:r w:rsidR="00586CCA" w:rsidRPr="00586CCA">
        <w:rPr>
          <w:lang w:val="en-GB"/>
        </w:rPr>
        <w:t xml:space="preserve"> to the quantification of the contribution of each reference natural </w:t>
      </w:r>
      <w:r w:rsidR="00095A99">
        <w:rPr>
          <w:lang w:val="en-GB"/>
        </w:rPr>
        <w:t>event</w:t>
      </w:r>
      <w:r w:rsidR="00095A99" w:rsidRPr="00586CCA">
        <w:rPr>
          <w:lang w:val="en-GB"/>
        </w:rPr>
        <w:t xml:space="preserve"> </w:t>
      </w:r>
      <w:r w:rsidR="00586CCA" w:rsidRPr="00586CCA">
        <w:rPr>
          <w:lang w:val="en-GB"/>
        </w:rPr>
        <w:t xml:space="preserve">considered to the overall risk figures. Moreover, the </w:t>
      </w:r>
      <w:r>
        <w:rPr>
          <w:lang w:val="en-GB"/>
        </w:rPr>
        <w:t xml:space="preserve">methodology proposed </w:t>
      </w:r>
      <w:r w:rsidR="00586CCA" w:rsidRPr="00586CCA">
        <w:rPr>
          <w:lang w:val="en-GB"/>
        </w:rPr>
        <w:t>enable</w:t>
      </w:r>
      <w:r>
        <w:rPr>
          <w:lang w:val="en-GB"/>
        </w:rPr>
        <w:t>s</w:t>
      </w:r>
      <w:r w:rsidR="00586CCA" w:rsidRPr="00586CCA">
        <w:rPr>
          <w:lang w:val="en-GB"/>
        </w:rPr>
        <w:t xml:space="preserve"> the evaluation of the relative weight of the risk related to each natural hazard for the selected facility</w:t>
      </w:r>
      <w:r w:rsidR="00586CCA">
        <w:rPr>
          <w:lang w:val="en-GB"/>
        </w:rPr>
        <w:t>.</w:t>
      </w:r>
      <w:r w:rsidR="008D7A5A">
        <w:rPr>
          <w:lang w:val="en-GB"/>
        </w:rPr>
        <w:t xml:space="preserve"> </w:t>
      </w:r>
    </w:p>
    <w:p w14:paraId="476B2F2E" w14:textId="77777777" w:rsidR="00600535" w:rsidRPr="00B57B36" w:rsidRDefault="00600535" w:rsidP="00600535">
      <w:pPr>
        <w:pStyle w:val="CETHeading1"/>
        <w:rPr>
          <w:lang w:val="en-GB"/>
        </w:rPr>
      </w:pPr>
      <w:r w:rsidRPr="00B57B36">
        <w:rPr>
          <w:lang w:val="en-GB"/>
        </w:rPr>
        <w:t>Introduction</w:t>
      </w:r>
    </w:p>
    <w:p w14:paraId="1A51641A" w14:textId="7F575CC7" w:rsidR="00586CCA" w:rsidRPr="000F6E36" w:rsidRDefault="00586CCA" w:rsidP="00600535">
      <w:pPr>
        <w:pStyle w:val="CETBodytext"/>
        <w:rPr>
          <w:lang w:val="en-GB"/>
        </w:rPr>
      </w:pPr>
      <w:r w:rsidRPr="00586CCA">
        <w:rPr>
          <w:lang w:val="en-GB"/>
        </w:rPr>
        <w:t xml:space="preserve">Natech events are technological accidents </w:t>
      </w:r>
      <w:r w:rsidR="00AF26D2">
        <w:rPr>
          <w:lang w:val="en-GB"/>
        </w:rPr>
        <w:t xml:space="preserve">involving hazardous materials </w:t>
      </w:r>
      <w:r w:rsidRPr="00586CCA">
        <w:rPr>
          <w:lang w:val="en-GB"/>
        </w:rPr>
        <w:t>that can be triggered by the impact of natural events as earthquakes</w:t>
      </w:r>
      <w:r w:rsidR="00E70DF5">
        <w:rPr>
          <w:lang w:val="en-GB"/>
        </w:rPr>
        <w:t xml:space="preserve"> and</w:t>
      </w:r>
      <w:r w:rsidRPr="00586CCA">
        <w:rPr>
          <w:lang w:val="en-GB"/>
        </w:rPr>
        <w:t xml:space="preserve"> floods</w:t>
      </w:r>
      <w:r w:rsidR="00AF26D2">
        <w:rPr>
          <w:lang w:val="en-GB"/>
        </w:rPr>
        <w:t xml:space="preserve"> on chemical and process installations</w:t>
      </w:r>
      <w:r w:rsidRPr="00586CCA">
        <w:rPr>
          <w:lang w:val="en-GB"/>
        </w:rPr>
        <w:t xml:space="preserve">. </w:t>
      </w:r>
      <w:r w:rsidR="00AC246E" w:rsidRPr="00586CCA">
        <w:rPr>
          <w:lang w:val="en-GB"/>
        </w:rPr>
        <w:t xml:space="preserve">This kind of accidents occurred several times in </w:t>
      </w:r>
      <w:r w:rsidR="00AC246E" w:rsidRPr="000F6E36">
        <w:rPr>
          <w:lang w:val="en-GB"/>
        </w:rPr>
        <w:t>the past</w:t>
      </w:r>
      <w:r w:rsidR="00AF26D2" w:rsidRPr="000F6E36">
        <w:rPr>
          <w:lang w:val="en-GB"/>
        </w:rPr>
        <w:t xml:space="preserve">, </w:t>
      </w:r>
      <w:r w:rsidR="00AC246E" w:rsidRPr="000F6E36">
        <w:rPr>
          <w:lang w:val="en-GB"/>
        </w:rPr>
        <w:t>leading to structural damages</w:t>
      </w:r>
      <w:r w:rsidR="00A23FEE">
        <w:rPr>
          <w:lang w:val="en-GB"/>
        </w:rPr>
        <w:t xml:space="preserve"> of main items</w:t>
      </w:r>
      <w:r w:rsidR="00AC246E" w:rsidRPr="000F6E36">
        <w:rPr>
          <w:lang w:val="en-GB"/>
        </w:rPr>
        <w:t>, subsequent loss of containment (LOC) of hazardous substances and in some cases to catastrophic consequences</w:t>
      </w:r>
      <w:r w:rsidR="00BC41C6" w:rsidRPr="000F6E36">
        <w:rPr>
          <w:lang w:val="en-GB"/>
        </w:rPr>
        <w:t xml:space="preserve">, </w:t>
      </w:r>
      <w:r w:rsidR="00AC246E" w:rsidRPr="000F6E36">
        <w:rPr>
          <w:lang w:val="en-GB"/>
        </w:rPr>
        <w:t>high number of deaths and significant economic losses</w:t>
      </w:r>
      <w:r w:rsidR="00C76A6D" w:rsidRPr="000F6E36">
        <w:rPr>
          <w:lang w:val="en-GB"/>
        </w:rPr>
        <w:t xml:space="preserve"> (Krausmann et al., 2011)</w:t>
      </w:r>
      <w:r w:rsidR="00E55874" w:rsidRPr="000F6E36">
        <w:rPr>
          <w:lang w:val="en-GB"/>
        </w:rPr>
        <w:t>.</w:t>
      </w:r>
      <w:r w:rsidR="004D1310" w:rsidRPr="000F6E36">
        <w:rPr>
          <w:lang w:val="en-GB"/>
        </w:rPr>
        <w:t xml:space="preserve"> </w:t>
      </w:r>
      <w:r w:rsidRPr="000F6E36">
        <w:rPr>
          <w:lang w:val="en-GB"/>
        </w:rPr>
        <w:t xml:space="preserve">Natech accidents according to </w:t>
      </w:r>
      <w:r w:rsidR="00DD5EAD" w:rsidRPr="000F6E36">
        <w:rPr>
          <w:lang w:val="en-GB"/>
        </w:rPr>
        <w:t xml:space="preserve">Rasmussen </w:t>
      </w:r>
      <w:r w:rsidR="00890471" w:rsidRPr="000F6E36">
        <w:rPr>
          <w:lang w:val="en-GB"/>
        </w:rPr>
        <w:t>(</w:t>
      </w:r>
      <w:r w:rsidR="00DD5EAD" w:rsidRPr="000F6E36">
        <w:rPr>
          <w:lang w:val="en-GB"/>
        </w:rPr>
        <w:t>1995)</w:t>
      </w:r>
      <w:r w:rsidRPr="000F6E36">
        <w:rPr>
          <w:lang w:val="en-GB"/>
        </w:rPr>
        <w:t xml:space="preserve"> characterize up to 5% of the total records reported in industrial accident database.</w:t>
      </w:r>
      <w:r w:rsidR="00E55874" w:rsidRPr="000F6E36">
        <w:t xml:space="preserve"> </w:t>
      </w:r>
      <w:r w:rsidR="00E55874" w:rsidRPr="000F6E36">
        <w:rPr>
          <w:lang w:val="en-GB"/>
        </w:rPr>
        <w:t>Presumably, this fraction is</w:t>
      </w:r>
      <w:r w:rsidR="00DD5EAD" w:rsidRPr="000F6E36">
        <w:rPr>
          <w:lang w:val="en-GB"/>
        </w:rPr>
        <w:t xml:space="preserve"> even higher nowadays and</w:t>
      </w:r>
      <w:r w:rsidR="00E55874" w:rsidRPr="000F6E36">
        <w:rPr>
          <w:lang w:val="en-GB"/>
        </w:rPr>
        <w:t xml:space="preserve"> </w:t>
      </w:r>
      <w:r w:rsidR="00A23FEE">
        <w:rPr>
          <w:lang w:val="en-GB"/>
        </w:rPr>
        <w:t>expected</w:t>
      </w:r>
      <w:r w:rsidR="00E55874" w:rsidRPr="000F6E36">
        <w:rPr>
          <w:lang w:val="en-GB"/>
        </w:rPr>
        <w:t xml:space="preserve"> to increase since frequencies and intensities of natural calamities are grow</w:t>
      </w:r>
      <w:r w:rsidR="00A23FEE">
        <w:rPr>
          <w:lang w:val="en-GB"/>
        </w:rPr>
        <w:t>ing</w:t>
      </w:r>
      <w:r w:rsidR="00E55874" w:rsidRPr="000F6E36">
        <w:rPr>
          <w:lang w:val="en-GB"/>
        </w:rPr>
        <w:t xml:space="preserve"> also due to climate change </w:t>
      </w:r>
      <w:r w:rsidR="00DD5EAD" w:rsidRPr="000F6E36">
        <w:rPr>
          <w:lang w:val="en-GB"/>
        </w:rPr>
        <w:t>(WHO, 2018)</w:t>
      </w:r>
      <w:r w:rsidR="00E55874" w:rsidRPr="000F6E36">
        <w:rPr>
          <w:lang w:val="en-GB"/>
        </w:rPr>
        <w:t xml:space="preserve">. </w:t>
      </w:r>
      <w:r w:rsidR="00BC41C6" w:rsidRPr="000F6E36">
        <w:rPr>
          <w:lang w:val="en-GB"/>
        </w:rPr>
        <w:t>Not surprisingly, an</w:t>
      </w:r>
      <w:r w:rsidR="00E55874" w:rsidRPr="000F6E36">
        <w:rPr>
          <w:lang w:val="en-GB"/>
        </w:rPr>
        <w:t xml:space="preserve"> increasing trend of Natech events </w:t>
      </w:r>
      <w:r w:rsidR="00BC41C6" w:rsidRPr="000F6E36">
        <w:rPr>
          <w:lang w:val="en-GB"/>
        </w:rPr>
        <w:t xml:space="preserve">in </w:t>
      </w:r>
      <w:r w:rsidR="00A23FEE">
        <w:rPr>
          <w:lang w:val="en-GB"/>
        </w:rPr>
        <w:t>the last 7</w:t>
      </w:r>
      <w:r w:rsidR="00E55874" w:rsidRPr="000F6E36">
        <w:rPr>
          <w:lang w:val="en-GB"/>
        </w:rPr>
        <w:t xml:space="preserve">0 years was observed in recent </w:t>
      </w:r>
      <w:r w:rsidR="00A23FEE">
        <w:rPr>
          <w:lang w:val="en-GB"/>
        </w:rPr>
        <w:t xml:space="preserve">publications </w:t>
      </w:r>
      <w:r w:rsidR="00BC41C6" w:rsidRPr="000F6E36">
        <w:rPr>
          <w:lang w:val="en-GB"/>
        </w:rPr>
        <w:t>(</w:t>
      </w:r>
      <w:r w:rsidR="00DD5EAD" w:rsidRPr="000F6E36">
        <w:rPr>
          <w:lang w:val="en-GB"/>
        </w:rPr>
        <w:t>Ricci et al.</w:t>
      </w:r>
      <w:r w:rsidR="00BC41C6" w:rsidRPr="000F6E36">
        <w:rPr>
          <w:lang w:val="en-GB"/>
        </w:rPr>
        <w:t>,</w:t>
      </w:r>
      <w:r w:rsidR="006543D4">
        <w:rPr>
          <w:lang w:val="en-GB"/>
        </w:rPr>
        <w:t xml:space="preserve"> </w:t>
      </w:r>
      <w:r w:rsidR="00DD5EAD" w:rsidRPr="000F6E36">
        <w:rPr>
          <w:lang w:val="en-GB"/>
        </w:rPr>
        <w:t>2021).</w:t>
      </w:r>
    </w:p>
    <w:p w14:paraId="16093EEA" w14:textId="03E5A7E5" w:rsidR="002505B4" w:rsidRPr="000F6E36" w:rsidRDefault="002505B4" w:rsidP="00600535">
      <w:pPr>
        <w:pStyle w:val="CETBodytext"/>
        <w:rPr>
          <w:lang w:val="en-GB"/>
        </w:rPr>
      </w:pPr>
      <w:r w:rsidRPr="000F6E36">
        <w:rPr>
          <w:lang w:val="en-GB"/>
        </w:rPr>
        <w:t xml:space="preserve">Natech QRA procedures have been developed following the same steps that characterize conventional QRA, although </w:t>
      </w:r>
      <w:r w:rsidR="00A23FEE">
        <w:rPr>
          <w:lang w:val="en-GB"/>
        </w:rPr>
        <w:t>some specific features were</w:t>
      </w:r>
      <w:r w:rsidRPr="000F6E36">
        <w:rPr>
          <w:lang w:val="en-GB"/>
        </w:rPr>
        <w:t xml:space="preserve"> </w:t>
      </w:r>
      <w:r w:rsidR="00095A99" w:rsidRPr="000F6E36">
        <w:rPr>
          <w:lang w:val="en-GB"/>
        </w:rPr>
        <w:t xml:space="preserve">conceived </w:t>
      </w:r>
      <w:r w:rsidRPr="000F6E36">
        <w:rPr>
          <w:lang w:val="en-GB"/>
        </w:rPr>
        <w:t xml:space="preserve">to take into account the characteristics of </w:t>
      </w:r>
      <w:r w:rsidR="00095A99" w:rsidRPr="000F6E36">
        <w:rPr>
          <w:lang w:val="en-GB"/>
        </w:rPr>
        <w:t>scenarios triggered by natural events</w:t>
      </w:r>
      <w:r w:rsidR="006D4718">
        <w:rPr>
          <w:lang w:val="en-GB"/>
        </w:rPr>
        <w:t xml:space="preserve"> (Misuri and Cozzani, 2021)</w:t>
      </w:r>
      <w:r w:rsidRPr="000F6E36">
        <w:rPr>
          <w:lang w:val="en-GB"/>
        </w:rPr>
        <w:t xml:space="preserve">. In particular, some additional steps have been included, that is, the natural event characterization, the use of vulnerability models to assess the </w:t>
      </w:r>
      <w:r w:rsidR="00095A99" w:rsidRPr="000F6E36">
        <w:rPr>
          <w:lang w:val="en-GB"/>
        </w:rPr>
        <w:t>likelihood of equipment failure</w:t>
      </w:r>
      <w:r w:rsidRPr="000F6E36">
        <w:rPr>
          <w:lang w:val="en-GB"/>
        </w:rPr>
        <w:t xml:space="preserve">, </w:t>
      </w:r>
      <w:r w:rsidR="00095A99" w:rsidRPr="000F6E36">
        <w:rPr>
          <w:lang w:val="en-GB"/>
        </w:rPr>
        <w:t xml:space="preserve">and the assessment of </w:t>
      </w:r>
      <w:r w:rsidRPr="000F6E36">
        <w:rPr>
          <w:lang w:val="en-GB"/>
        </w:rPr>
        <w:t xml:space="preserve">multiple and simultaneous scenarios </w:t>
      </w:r>
      <w:r w:rsidR="005751A6" w:rsidRPr="000F6E36">
        <w:rPr>
          <w:lang w:val="en-GB"/>
        </w:rPr>
        <w:t>(Antonioni et al., 2015)</w:t>
      </w:r>
      <w:r w:rsidRPr="000F6E36">
        <w:rPr>
          <w:lang w:val="en-GB"/>
        </w:rPr>
        <w:t>.</w:t>
      </w:r>
    </w:p>
    <w:p w14:paraId="01604182" w14:textId="43335E01" w:rsidR="002505B4" w:rsidRPr="002505B4" w:rsidRDefault="002505B4" w:rsidP="00600535">
      <w:pPr>
        <w:pStyle w:val="CETBodytext"/>
        <w:rPr>
          <w:lang w:val="en-GB"/>
        </w:rPr>
      </w:pPr>
      <w:r w:rsidRPr="000F6E36">
        <w:t xml:space="preserve">In this contribution, a novel quantitative methodology to perform a multi-risk assessment of Natech scenarios is presented together with </w:t>
      </w:r>
      <w:r w:rsidR="00095A99" w:rsidRPr="000F6E36">
        <w:t xml:space="preserve">an example of application to </w:t>
      </w:r>
      <w:r w:rsidRPr="000F6E36">
        <w:t xml:space="preserve">a case study. </w:t>
      </w:r>
      <w:r w:rsidR="00095A99" w:rsidRPr="000F6E36">
        <w:rPr>
          <w:lang w:val="en-GB"/>
        </w:rPr>
        <w:t>Compared</w:t>
      </w:r>
      <w:r w:rsidR="00095A99">
        <w:rPr>
          <w:lang w:val="en-GB"/>
        </w:rPr>
        <w:t xml:space="preserve"> to </w:t>
      </w:r>
      <w:r w:rsidRPr="002505B4">
        <w:rPr>
          <w:lang w:val="en-GB"/>
        </w:rPr>
        <w:t>previous approaches</w:t>
      </w:r>
      <w:r w:rsidR="00095A99">
        <w:rPr>
          <w:lang w:val="en-GB"/>
        </w:rPr>
        <w:t xml:space="preserve">, </w:t>
      </w:r>
      <w:r w:rsidRPr="002505B4">
        <w:rPr>
          <w:lang w:val="en-GB"/>
        </w:rPr>
        <w:t xml:space="preserve">focused mostly on </w:t>
      </w:r>
      <w:bookmarkStart w:id="3" w:name="_Hlk87970952"/>
      <w:r w:rsidRPr="002505B4">
        <w:rPr>
          <w:lang w:val="en-GB"/>
        </w:rPr>
        <w:t>a single hazard per time</w:t>
      </w:r>
      <w:bookmarkEnd w:id="3"/>
      <w:r w:rsidRPr="002505B4">
        <w:rPr>
          <w:lang w:val="en-GB"/>
        </w:rPr>
        <w:t>, the novel methodology has a twofold advantage.</w:t>
      </w:r>
      <w:r w:rsidR="00095A99">
        <w:rPr>
          <w:lang w:val="en-GB"/>
        </w:rPr>
        <w:t xml:space="preserve"> </w:t>
      </w:r>
      <w:r w:rsidRPr="002505B4">
        <w:rPr>
          <w:lang w:val="en-GB"/>
        </w:rPr>
        <w:t xml:space="preserve">Indeed, on the one hand it enables the quantification of the overall Natech risk related with all the possible natural hazards a </w:t>
      </w:r>
      <w:r w:rsidR="00095A99">
        <w:rPr>
          <w:lang w:val="en-GB"/>
        </w:rPr>
        <w:t xml:space="preserve">site </w:t>
      </w:r>
      <w:r w:rsidRPr="002505B4">
        <w:rPr>
          <w:lang w:val="en-GB"/>
        </w:rPr>
        <w:t>is exposed</w:t>
      </w:r>
      <w:r w:rsidR="00095A99">
        <w:rPr>
          <w:lang w:val="en-GB"/>
        </w:rPr>
        <w:t xml:space="preserve"> to. On the other hand, the methodology can be used as a tool to </w:t>
      </w:r>
      <w:r w:rsidR="00095A99">
        <w:t>obtain</w:t>
      </w:r>
      <w:r w:rsidR="00095A99" w:rsidRPr="00672D6F">
        <w:t xml:space="preserve"> a criticality ranking of natural hazards from the standpoint of the</w:t>
      </w:r>
      <w:r w:rsidR="00095A99">
        <w:t>ir</w:t>
      </w:r>
      <w:r w:rsidR="00095A99" w:rsidRPr="00672D6F">
        <w:t xml:space="preserve"> contribution to </w:t>
      </w:r>
      <w:r w:rsidR="00095A99">
        <w:t xml:space="preserve">overall </w:t>
      </w:r>
      <w:r w:rsidR="00095A99" w:rsidRPr="00672D6F">
        <w:t>technological risk</w:t>
      </w:r>
      <w:r w:rsidR="00095A99">
        <w:rPr>
          <w:lang w:val="en-GB"/>
        </w:rPr>
        <w:t xml:space="preserve">, providing useful criteria to prioritize </w:t>
      </w:r>
      <w:r w:rsidR="008D4025">
        <w:rPr>
          <w:lang w:val="en-GB"/>
        </w:rPr>
        <w:t xml:space="preserve">risk-mitigation strategies. </w:t>
      </w:r>
    </w:p>
    <w:p w14:paraId="419902E6" w14:textId="77777777" w:rsidR="001D0277" w:rsidRPr="005B1FCE" w:rsidRDefault="001D0277" w:rsidP="001D0277">
      <w:pPr>
        <w:pStyle w:val="CETHeading1"/>
        <w:tabs>
          <w:tab w:val="clear" w:pos="360"/>
        </w:tabs>
        <w:rPr>
          <w:lang w:val="en-GB"/>
        </w:rPr>
      </w:pPr>
      <w:r w:rsidRPr="005B1FCE">
        <w:rPr>
          <w:lang w:val="en-GB"/>
        </w:rPr>
        <w:lastRenderedPageBreak/>
        <w:t>Methodology</w:t>
      </w:r>
    </w:p>
    <w:p w14:paraId="51C145A0" w14:textId="1C66BB5C" w:rsidR="00AE5783" w:rsidRPr="006543D4" w:rsidRDefault="001D0277" w:rsidP="00AE5783">
      <w:pPr>
        <w:pStyle w:val="CETBodytext"/>
        <w:rPr>
          <w:lang w:val="en-GB"/>
        </w:rPr>
      </w:pPr>
      <w:r w:rsidRPr="005B1FCE">
        <w:rPr>
          <w:lang w:val="en-GB"/>
        </w:rPr>
        <w:t>The conceptual framework for the</w:t>
      </w:r>
      <w:r w:rsidR="00AE5783">
        <w:rPr>
          <w:lang w:val="en-GB"/>
        </w:rPr>
        <w:t xml:space="preserve"> m</w:t>
      </w:r>
      <w:r w:rsidR="00AE5783" w:rsidRPr="00AE5783">
        <w:rPr>
          <w:lang w:val="en-GB"/>
        </w:rPr>
        <w:t>ulti-risk</w:t>
      </w:r>
      <w:r w:rsidRPr="005B1FCE">
        <w:rPr>
          <w:lang w:val="en-GB"/>
        </w:rPr>
        <w:t xml:space="preserve"> </w:t>
      </w:r>
      <w:r w:rsidR="008D4025" w:rsidRPr="006543D4">
        <w:rPr>
          <w:lang w:val="en-GB"/>
        </w:rPr>
        <w:t xml:space="preserve">assessment </w:t>
      </w:r>
      <w:r w:rsidRPr="006543D4">
        <w:rPr>
          <w:lang w:val="en-GB"/>
        </w:rPr>
        <w:t>methodology</w:t>
      </w:r>
      <w:r w:rsidR="00AE5783" w:rsidRPr="006543D4">
        <w:rPr>
          <w:lang w:val="en-GB"/>
        </w:rPr>
        <w:t xml:space="preserve"> </w:t>
      </w:r>
      <w:r w:rsidR="008D4025" w:rsidRPr="006543D4">
        <w:rPr>
          <w:lang w:val="en-GB"/>
        </w:rPr>
        <w:t xml:space="preserve">is reported in Figure 1. It </w:t>
      </w:r>
      <w:r w:rsidR="00AE5783" w:rsidRPr="006543D4">
        <w:rPr>
          <w:lang w:val="en-GB"/>
        </w:rPr>
        <w:t xml:space="preserve">was based on the </w:t>
      </w:r>
      <w:r w:rsidR="008D4025" w:rsidRPr="006543D4">
        <w:rPr>
          <w:lang w:val="en-GB"/>
        </w:rPr>
        <w:t xml:space="preserve">established framework to perform Natech QRA </w:t>
      </w:r>
      <w:r w:rsidR="00AE5783" w:rsidRPr="006543D4">
        <w:rPr>
          <w:lang w:val="en-GB"/>
        </w:rPr>
        <w:t>developed by Antonioni et al. (2015)</w:t>
      </w:r>
      <w:r w:rsidR="008D4025" w:rsidRPr="006543D4">
        <w:rPr>
          <w:lang w:val="en-GB"/>
        </w:rPr>
        <w:t>.</w:t>
      </w:r>
      <w:r w:rsidR="00AE5783" w:rsidRPr="006543D4">
        <w:rPr>
          <w:lang w:val="en-GB"/>
        </w:rPr>
        <w:t xml:space="preserve"> </w:t>
      </w:r>
      <w:r w:rsidR="008F4AD3" w:rsidRPr="006543D4">
        <w:rPr>
          <w:lang w:val="en-GB"/>
        </w:rPr>
        <w:t>Previous Natech QRA approaches consider one or more reference events associated to a single natural hazard while the proposed framework considers all the possible natural hazards a chemical/process plant may be exposed to (e.g., earthquake, flood, lightning strikes, extreme temperature and so on).</w:t>
      </w:r>
    </w:p>
    <w:p w14:paraId="7CB3B1C6" w14:textId="101D795B" w:rsidR="008F4AD3" w:rsidRDefault="008F4AD3" w:rsidP="00AE5783">
      <w:pPr>
        <w:pStyle w:val="CETBodytext"/>
        <w:rPr>
          <w:lang w:val="en-GB"/>
        </w:rPr>
      </w:pPr>
      <w:r w:rsidRPr="006543D4">
        <w:rPr>
          <w:lang w:val="en-GB"/>
        </w:rPr>
        <w:t>Therefore, each identified natural hazard (Step 1) needs to be characterized in terms of severity and frequency at the location of the plant (Step 2)</w:t>
      </w:r>
      <w:r w:rsidR="00EC6D31" w:rsidRPr="006543D4">
        <w:rPr>
          <w:lang w:val="en-GB"/>
        </w:rPr>
        <w:t xml:space="preserve">. Then, </w:t>
      </w:r>
      <w:r w:rsidRPr="006543D4">
        <w:rPr>
          <w:lang w:val="en-GB"/>
        </w:rPr>
        <w:t xml:space="preserve">a limited set of critical items </w:t>
      </w:r>
      <w:r w:rsidR="00EC6D31" w:rsidRPr="006543D4">
        <w:rPr>
          <w:lang w:val="en-GB"/>
        </w:rPr>
        <w:t>should be identified together with associated accident scenarios</w:t>
      </w:r>
      <w:r w:rsidR="00714420">
        <w:rPr>
          <w:lang w:val="en-GB"/>
        </w:rPr>
        <w:t xml:space="preserve">, by means of criteria based on inventory and physical state of hazardous substances </w:t>
      </w:r>
      <w:r w:rsidRPr="006543D4">
        <w:rPr>
          <w:lang w:val="en-GB"/>
        </w:rPr>
        <w:t>(Step 3).</w:t>
      </w:r>
      <w:r w:rsidR="00EC6D31" w:rsidRPr="006543D4">
        <w:rPr>
          <w:lang w:val="en-GB"/>
        </w:rPr>
        <w:t xml:space="preserve"> </w:t>
      </w:r>
      <w:r w:rsidRPr="006543D4">
        <w:rPr>
          <w:lang w:val="en-GB"/>
        </w:rPr>
        <w:t>In Step 4 the application of equipment vulnerability models is needed to assess t</w:t>
      </w:r>
      <w:r w:rsidR="00F364C1">
        <w:rPr>
          <w:lang w:val="en-GB"/>
        </w:rPr>
        <w:t>he equipment damage probability.</w:t>
      </w:r>
      <w:r w:rsidRPr="006543D4">
        <w:rPr>
          <w:lang w:val="en-GB"/>
        </w:rPr>
        <w:t xml:space="preserve"> </w:t>
      </w:r>
      <w:r w:rsidR="00F364C1">
        <w:rPr>
          <w:lang w:val="en-GB"/>
        </w:rPr>
        <w:t>Then</w:t>
      </w:r>
      <w:r w:rsidRPr="006543D4">
        <w:rPr>
          <w:lang w:val="en-GB"/>
        </w:rPr>
        <w:t>, the probability/frequency of the identified accident scenarios are evaluated</w:t>
      </w:r>
      <w:r w:rsidR="00BB6D37" w:rsidRPr="006543D4">
        <w:rPr>
          <w:lang w:val="en-GB"/>
        </w:rPr>
        <w:t xml:space="preserve"> applying event tree analysis</w:t>
      </w:r>
      <w:r w:rsidRPr="006543D4">
        <w:rPr>
          <w:lang w:val="en-GB"/>
        </w:rPr>
        <w:t>.</w:t>
      </w:r>
      <w:r w:rsidR="00EC6D31" w:rsidRPr="006543D4">
        <w:rPr>
          <w:lang w:val="en-GB"/>
        </w:rPr>
        <w:t xml:space="preserve"> </w:t>
      </w:r>
      <w:r w:rsidRPr="006543D4">
        <w:rPr>
          <w:lang w:val="en-GB"/>
        </w:rPr>
        <w:t xml:space="preserve">The consequences of the final outcomes of an accident scenario can be assessed using consequence models </w:t>
      </w:r>
      <w:r w:rsidR="00F364C1">
        <w:rPr>
          <w:lang w:val="en-GB"/>
        </w:rPr>
        <w:t xml:space="preserve">available in the literature </w:t>
      </w:r>
      <w:r w:rsidRPr="006543D4">
        <w:rPr>
          <w:lang w:val="en-GB"/>
        </w:rPr>
        <w:t>(Step 5).</w:t>
      </w:r>
      <w:r w:rsidR="00EC6D31" w:rsidRPr="006543D4">
        <w:rPr>
          <w:lang w:val="en-GB"/>
        </w:rPr>
        <w:t xml:space="preserve"> </w:t>
      </w:r>
      <w:r w:rsidRPr="006543D4">
        <w:rPr>
          <w:lang w:val="en-GB"/>
        </w:rPr>
        <w:t xml:space="preserve">In the case of some high-impact natural hazards, there is a significant likelihood that several process </w:t>
      </w:r>
      <w:r w:rsidR="00F364C1">
        <w:rPr>
          <w:lang w:val="en-GB"/>
        </w:rPr>
        <w:t>and</w:t>
      </w:r>
      <w:r w:rsidRPr="006543D4">
        <w:rPr>
          <w:lang w:val="en-GB"/>
        </w:rPr>
        <w:t xml:space="preserve"> storage units are damaged simultaneously</w:t>
      </w:r>
      <w:r w:rsidR="00F364C1">
        <w:rPr>
          <w:lang w:val="en-GB"/>
        </w:rPr>
        <w:t>,</w:t>
      </w:r>
      <w:r w:rsidRPr="006543D4">
        <w:rPr>
          <w:lang w:val="en-GB"/>
        </w:rPr>
        <w:t xml:space="preserve"> and thus more than one release event </w:t>
      </w:r>
      <w:r w:rsidR="00F364C1">
        <w:rPr>
          <w:lang w:val="en-GB"/>
        </w:rPr>
        <w:t>can</w:t>
      </w:r>
      <w:r w:rsidRPr="006543D4">
        <w:rPr>
          <w:lang w:val="en-GB"/>
        </w:rPr>
        <w:t xml:space="preserve"> occur at the same time leading to complex Natech overall scenarios. This is considered in Step 6 where the event combinations are identified, and their overall frequencies and consequences evaluated.</w:t>
      </w:r>
      <w:r w:rsidR="00EC6D31" w:rsidRPr="006543D4">
        <w:rPr>
          <w:lang w:val="en-GB"/>
        </w:rPr>
        <w:t xml:space="preserve"> </w:t>
      </w:r>
      <w:r w:rsidRPr="006543D4">
        <w:rPr>
          <w:lang w:val="en-GB"/>
        </w:rPr>
        <w:t>In Step 7 the risk from the identified accident scenarios is estimated and expressed through individual risk maps and societal risk F</w:t>
      </w:r>
      <w:r w:rsidR="006D0838" w:rsidRPr="006543D4">
        <w:rPr>
          <w:lang w:val="en-GB"/>
        </w:rPr>
        <w:t>/</w:t>
      </w:r>
      <w:r w:rsidRPr="006543D4">
        <w:rPr>
          <w:lang w:val="en-GB"/>
        </w:rPr>
        <w:t>N curves.</w:t>
      </w:r>
      <w:r w:rsidR="00EC6D31" w:rsidRPr="006543D4">
        <w:rPr>
          <w:lang w:val="en-GB"/>
        </w:rPr>
        <w:t xml:space="preserve"> Note that Step 3 to 7 are common to well established Natech QRA approaches </w:t>
      </w:r>
      <w:r w:rsidR="00393E9D" w:rsidRPr="006543D4">
        <w:rPr>
          <w:lang w:val="en-GB"/>
        </w:rPr>
        <w:t>(</w:t>
      </w:r>
      <w:r w:rsidR="00E60961" w:rsidRPr="006543D4">
        <w:rPr>
          <w:lang w:val="en-GB"/>
        </w:rPr>
        <w:t>Antonioni et al.</w:t>
      </w:r>
      <w:r w:rsidR="00393E9D" w:rsidRPr="006543D4">
        <w:rPr>
          <w:lang w:val="en-GB"/>
        </w:rPr>
        <w:t>,</w:t>
      </w:r>
      <w:r w:rsidR="00E60961" w:rsidRPr="006543D4">
        <w:rPr>
          <w:lang w:val="en-GB"/>
        </w:rPr>
        <w:t xml:space="preserve"> 2015)</w:t>
      </w:r>
      <w:r w:rsidR="00EC6D31" w:rsidRPr="006543D4">
        <w:rPr>
          <w:lang w:val="en-GB"/>
        </w:rPr>
        <w:t>.</w:t>
      </w:r>
      <w:r w:rsidR="00DE6A66" w:rsidRPr="006543D4">
        <w:rPr>
          <w:lang w:val="en-GB"/>
        </w:rPr>
        <w:t xml:space="preserve"> The</w:t>
      </w:r>
      <w:r w:rsidR="00DE6A66">
        <w:rPr>
          <w:lang w:val="en-GB"/>
        </w:rPr>
        <w:t xml:space="preserve"> overall risk related to the different natural hazards on the plant is then evaluated</w:t>
      </w:r>
      <w:r w:rsidR="00541187">
        <w:rPr>
          <w:lang w:val="en-GB"/>
        </w:rPr>
        <w:t xml:space="preserve"> (Step 8)</w:t>
      </w:r>
      <w:r w:rsidR="00DE6A66">
        <w:rPr>
          <w:lang w:val="en-GB"/>
        </w:rPr>
        <w:t xml:space="preserve"> together with the relative weight related to each single natural hazard</w:t>
      </w:r>
      <w:r w:rsidRPr="008F4AD3">
        <w:rPr>
          <w:lang w:val="en-GB"/>
        </w:rPr>
        <w:t xml:space="preserve"> (Step </w:t>
      </w:r>
      <w:r w:rsidR="006E57B3">
        <w:rPr>
          <w:lang w:val="en-GB"/>
        </w:rPr>
        <w:t>9</w:t>
      </w:r>
      <w:r w:rsidRPr="008F4AD3">
        <w:rPr>
          <w:lang w:val="en-GB"/>
        </w:rPr>
        <w:t>)</w:t>
      </w:r>
      <w:r w:rsidR="00DE6A66">
        <w:rPr>
          <w:lang w:val="en-GB"/>
        </w:rPr>
        <w:t>. Finally, based on the single natural hazard contribution to the overall risk</w:t>
      </w:r>
      <w:r w:rsidR="00F364C1">
        <w:rPr>
          <w:lang w:val="en-GB"/>
        </w:rPr>
        <w:t>,</w:t>
      </w:r>
      <w:r w:rsidR="00DE6A66">
        <w:rPr>
          <w:lang w:val="en-GB"/>
        </w:rPr>
        <w:t xml:space="preserve"> a </w:t>
      </w:r>
      <w:r w:rsidR="00F364C1">
        <w:rPr>
          <w:lang w:val="en-GB"/>
        </w:rPr>
        <w:t xml:space="preserve">ranking of natural hazards leveraging </w:t>
      </w:r>
      <w:r w:rsidR="00DE6A66">
        <w:rPr>
          <w:lang w:val="en-GB"/>
        </w:rPr>
        <w:t xml:space="preserve">risk-based </w:t>
      </w:r>
      <w:r w:rsidR="00F364C1">
        <w:rPr>
          <w:lang w:val="en-GB"/>
        </w:rPr>
        <w:t xml:space="preserve">criteria </w:t>
      </w:r>
      <w:r w:rsidR="00DE6A66">
        <w:rPr>
          <w:lang w:val="en-GB"/>
        </w:rPr>
        <w:t>is provided</w:t>
      </w:r>
      <w:r w:rsidR="006E53FE">
        <w:rPr>
          <w:lang w:val="en-GB"/>
        </w:rPr>
        <w:t xml:space="preserve"> (Step 10)</w:t>
      </w:r>
      <w:r w:rsidR="00DE6A66">
        <w:rPr>
          <w:lang w:val="en-GB"/>
        </w:rPr>
        <w:t>.</w:t>
      </w:r>
      <w:r w:rsidR="00D738C8">
        <w:rPr>
          <w:lang w:val="en-GB"/>
        </w:rPr>
        <w:t xml:space="preserve"> </w:t>
      </w:r>
      <w:r w:rsidRPr="008F4AD3">
        <w:rPr>
          <w:lang w:val="en-GB"/>
        </w:rPr>
        <w:t>In the following section a</w:t>
      </w:r>
      <w:r w:rsidR="00DE6A66">
        <w:rPr>
          <w:lang w:val="en-GB"/>
        </w:rPr>
        <w:t xml:space="preserve"> case </w:t>
      </w:r>
      <w:r w:rsidR="00124705">
        <w:rPr>
          <w:lang w:val="en-GB"/>
        </w:rPr>
        <w:t xml:space="preserve">study </w:t>
      </w:r>
      <w:r w:rsidR="00DE6A66">
        <w:rPr>
          <w:lang w:val="en-GB"/>
        </w:rPr>
        <w:t xml:space="preserve">is provided in order to show </w:t>
      </w:r>
      <w:r w:rsidR="00F364C1">
        <w:rPr>
          <w:lang w:val="en-GB"/>
        </w:rPr>
        <w:t xml:space="preserve">a practical application of the </w:t>
      </w:r>
      <w:r w:rsidR="00DE6A66">
        <w:rPr>
          <w:lang w:val="en-GB"/>
        </w:rPr>
        <w:t>methodology</w:t>
      </w:r>
      <w:r w:rsidR="00F364C1">
        <w:rPr>
          <w:lang w:val="en-GB"/>
        </w:rPr>
        <w:t xml:space="preserve"> of Figure 1</w:t>
      </w:r>
      <w:r w:rsidR="00DE6A66">
        <w:rPr>
          <w:lang w:val="en-GB"/>
        </w:rPr>
        <w:t>.</w:t>
      </w:r>
    </w:p>
    <w:p w14:paraId="7651C270" w14:textId="05B621AC" w:rsidR="00586CCA" w:rsidRPr="00A53EC5" w:rsidRDefault="00754AB9" w:rsidP="00600535">
      <w:pPr>
        <w:pStyle w:val="CETBodytext"/>
      </w:pPr>
      <w:r w:rsidRPr="00754AB9">
        <w:rPr>
          <w:noProof/>
          <w:lang w:val="en-GB" w:eastAsia="en-GB"/>
        </w:rPr>
        <w:drawing>
          <wp:inline distT="0" distB="0" distL="0" distR="0" wp14:anchorId="6206120E" wp14:editId="171851A3">
            <wp:extent cx="2937322" cy="463867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26" cy="469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8E06C" w14:textId="500C3872" w:rsidR="001D0277" w:rsidRPr="00BD077D" w:rsidRDefault="001D0277" w:rsidP="001D0277">
      <w:pPr>
        <w:pStyle w:val="CETCaption"/>
      </w:pPr>
      <w:r w:rsidRPr="006543D4">
        <w:rPr>
          <w:rStyle w:val="CETCaptionCarattere"/>
          <w:i/>
        </w:rPr>
        <w:t>Figure 1: Conceptual</w:t>
      </w:r>
      <w:r>
        <w:rPr>
          <w:rStyle w:val="CETCaptionCarattere"/>
          <w:i/>
        </w:rPr>
        <w:t xml:space="preserve"> framework for</w:t>
      </w:r>
      <w:r w:rsidRPr="00BD077D">
        <w:t xml:space="preserve"> </w:t>
      </w:r>
      <w:r w:rsidRPr="001D0277">
        <w:t>multi-risk assessment of technological scenarios triggered by natural hazards</w:t>
      </w:r>
      <w:r w:rsidR="00CE46D3">
        <w:t>.</w:t>
      </w:r>
    </w:p>
    <w:p w14:paraId="4098B226" w14:textId="2F5F0769" w:rsidR="00DC1666" w:rsidRPr="006F5F18" w:rsidRDefault="00124705" w:rsidP="00536730">
      <w:pPr>
        <w:pStyle w:val="CETHeading1"/>
        <w:tabs>
          <w:tab w:val="clear" w:pos="360"/>
        </w:tabs>
        <w:rPr>
          <w:lang w:val="en-GB"/>
        </w:rPr>
      </w:pPr>
      <w:r>
        <w:rPr>
          <w:lang w:val="en-GB"/>
        </w:rPr>
        <w:lastRenderedPageBreak/>
        <w:t>Case study</w:t>
      </w:r>
    </w:p>
    <w:p w14:paraId="41C20DC3" w14:textId="4DA3D8CD" w:rsidR="007569DA" w:rsidRPr="006543D4" w:rsidRDefault="007C2EAE" w:rsidP="00536730">
      <w:pPr>
        <w:pStyle w:val="CETBodytext"/>
        <w:rPr>
          <w:lang w:val="en-GB"/>
        </w:rPr>
      </w:pPr>
      <w:r w:rsidRPr="007C2EAE">
        <w:rPr>
          <w:lang w:val="en-GB"/>
        </w:rPr>
        <w:t xml:space="preserve">In order to demonstrate the </w:t>
      </w:r>
      <w:r w:rsidRPr="006543D4">
        <w:rPr>
          <w:lang w:val="en-GB"/>
        </w:rPr>
        <w:t xml:space="preserve">application of the methodology </w:t>
      </w:r>
      <w:r w:rsidR="00B338B2" w:rsidRPr="006543D4">
        <w:rPr>
          <w:lang w:val="en-GB"/>
        </w:rPr>
        <w:t>of Figure 1</w:t>
      </w:r>
      <w:r w:rsidRPr="006543D4">
        <w:rPr>
          <w:lang w:val="en-GB"/>
        </w:rPr>
        <w:t>,</w:t>
      </w:r>
      <w:r w:rsidR="001F5652" w:rsidRPr="006543D4">
        <w:rPr>
          <w:lang w:val="en-GB"/>
        </w:rPr>
        <w:t xml:space="preserve"> a </w:t>
      </w:r>
      <w:r w:rsidR="00B338B2" w:rsidRPr="006543D4">
        <w:rPr>
          <w:lang w:val="en-GB"/>
        </w:rPr>
        <w:t xml:space="preserve">notional </w:t>
      </w:r>
      <w:r w:rsidR="001F5652" w:rsidRPr="006543D4">
        <w:rPr>
          <w:lang w:val="en-GB"/>
        </w:rPr>
        <w:t>case study</w:t>
      </w:r>
      <w:r w:rsidR="00B338B2" w:rsidRPr="006543D4">
        <w:rPr>
          <w:lang w:val="en-GB"/>
        </w:rPr>
        <w:t xml:space="preserve"> is developed. The layout is</w:t>
      </w:r>
      <w:r w:rsidR="001F5652" w:rsidRPr="006543D4">
        <w:rPr>
          <w:lang w:val="en-GB"/>
        </w:rPr>
        <w:t xml:space="preserve"> supposedly located in Italy</w:t>
      </w:r>
      <w:r w:rsidR="00B338B2" w:rsidRPr="006543D4">
        <w:rPr>
          <w:lang w:val="en-GB"/>
        </w:rPr>
        <w:t xml:space="preserve"> and comprises </w:t>
      </w:r>
      <w:r w:rsidR="00126DCC" w:rsidRPr="006543D4">
        <w:rPr>
          <w:lang w:val="en-GB"/>
        </w:rPr>
        <w:t>two</w:t>
      </w:r>
      <w:r w:rsidR="00845C8D" w:rsidRPr="006543D4">
        <w:rPr>
          <w:lang w:val="en-GB"/>
        </w:rPr>
        <w:t xml:space="preserve"> atmospheric tanks storing gasoline (</w:t>
      </w:r>
      <w:r w:rsidR="00126DCC" w:rsidRPr="006543D4">
        <w:rPr>
          <w:lang w:val="en-GB"/>
        </w:rPr>
        <w:t>A</w:t>
      </w:r>
      <w:r w:rsidR="00845C8D" w:rsidRPr="006543D4">
        <w:rPr>
          <w:lang w:val="en-GB"/>
        </w:rPr>
        <w:t>1-</w:t>
      </w:r>
      <w:r w:rsidR="00126DCC" w:rsidRPr="006543D4">
        <w:rPr>
          <w:lang w:val="en-GB"/>
        </w:rPr>
        <w:t>A2</w:t>
      </w:r>
      <w:r w:rsidR="00845C8D" w:rsidRPr="006543D4">
        <w:rPr>
          <w:lang w:val="en-GB"/>
        </w:rPr>
        <w:t>)</w:t>
      </w:r>
      <w:r w:rsidR="00126DCC" w:rsidRPr="006543D4">
        <w:rPr>
          <w:lang w:val="en-GB"/>
        </w:rPr>
        <w:t xml:space="preserve"> and two </w:t>
      </w:r>
      <w:r w:rsidR="00845C8D" w:rsidRPr="006543D4">
        <w:rPr>
          <w:lang w:val="en-GB"/>
        </w:rPr>
        <w:t xml:space="preserve">pressurized horizontal vessels storing </w:t>
      </w:r>
      <w:r w:rsidR="00126DCC" w:rsidRPr="006543D4">
        <w:rPr>
          <w:lang w:val="en-GB"/>
        </w:rPr>
        <w:t>propane</w:t>
      </w:r>
      <w:r w:rsidR="00845C8D" w:rsidRPr="006543D4">
        <w:rPr>
          <w:lang w:val="en-GB"/>
        </w:rPr>
        <w:t xml:space="preserve"> (P</w:t>
      </w:r>
      <w:r w:rsidR="00126DCC" w:rsidRPr="006543D4">
        <w:rPr>
          <w:lang w:val="en-GB"/>
        </w:rPr>
        <w:t>1-P2</w:t>
      </w:r>
      <w:r w:rsidR="00845C8D" w:rsidRPr="006543D4">
        <w:rPr>
          <w:lang w:val="en-GB"/>
        </w:rPr>
        <w:t xml:space="preserve">). The main features of the equipment items are summarized in Table </w:t>
      </w:r>
      <w:r w:rsidR="00126DCC" w:rsidRPr="006543D4">
        <w:rPr>
          <w:lang w:val="en-GB"/>
        </w:rPr>
        <w:t>1</w:t>
      </w:r>
      <w:r w:rsidR="00845C8D" w:rsidRPr="006543D4">
        <w:rPr>
          <w:lang w:val="en-GB"/>
        </w:rPr>
        <w:t>.</w:t>
      </w:r>
    </w:p>
    <w:p w14:paraId="39CD2BFA" w14:textId="6DB05726" w:rsidR="00286624" w:rsidRPr="006543D4" w:rsidRDefault="00286624" w:rsidP="00536730">
      <w:pPr>
        <w:pStyle w:val="CETBodytext"/>
        <w:rPr>
          <w:lang w:val="en-GB"/>
        </w:rPr>
      </w:pPr>
      <w:r w:rsidRPr="006543D4">
        <w:rPr>
          <w:lang w:val="en-GB"/>
        </w:rPr>
        <w:t>The site is assumed to be exposed to earthquakes, floods and lightning strikes. The following reference natural events were assumed (Steps 1 and 2 of Figure 1): i) an earthquake with PGA of 0.5g and 500-years return period; ii) a 200-y return-period flood characterized by water height of 2 m and water velocity of 1 m/s; iii) a lightning flash density at ground level of 5 flashes/(km</w:t>
      </w:r>
      <w:r w:rsidRPr="006543D4">
        <w:rPr>
          <w:vertAlign w:val="superscript"/>
          <w:lang w:val="en-GB"/>
        </w:rPr>
        <w:t>2</w:t>
      </w:r>
      <w:r w:rsidRPr="006543D4">
        <w:rPr>
          <w:lang w:val="en-GB"/>
        </w:rPr>
        <w:t xml:space="preserve">y). Moreover, to have a baseline for the risk due to major </w:t>
      </w:r>
      <w:r w:rsidR="00CE46D3" w:rsidRPr="006543D4">
        <w:rPr>
          <w:lang w:val="en-GB"/>
        </w:rPr>
        <w:t xml:space="preserve">technological </w:t>
      </w:r>
      <w:r w:rsidRPr="006543D4">
        <w:rPr>
          <w:lang w:val="en-GB"/>
        </w:rPr>
        <w:t>accidents associated to the layout, a QRA is performed considering only conventional scenarios as done in previou</w:t>
      </w:r>
      <w:r w:rsidR="00465FAC">
        <w:rPr>
          <w:lang w:val="en-GB"/>
        </w:rPr>
        <w:t>s studies (Misuri et al., 2020). T</w:t>
      </w:r>
      <w:r w:rsidRPr="006543D4">
        <w:rPr>
          <w:lang w:val="en-GB"/>
        </w:rPr>
        <w:t xml:space="preserve">he set of considered conventional scenarios is realized consistently with standardized guidelines for </w:t>
      </w:r>
      <w:r w:rsidR="00465FAC">
        <w:rPr>
          <w:lang w:val="en-GB"/>
        </w:rPr>
        <w:t xml:space="preserve">performing the </w:t>
      </w:r>
      <w:r w:rsidRPr="006543D4">
        <w:rPr>
          <w:lang w:val="en-GB"/>
        </w:rPr>
        <w:t xml:space="preserve">QRA (Uijt de Haag and Ale, 2005). </w:t>
      </w:r>
    </w:p>
    <w:p w14:paraId="5D818C9A" w14:textId="4E6623E4" w:rsidR="001C36E1" w:rsidRPr="0072561D" w:rsidRDefault="001C36E1" w:rsidP="001C36E1">
      <w:pPr>
        <w:pStyle w:val="CETTabletitle"/>
      </w:pPr>
      <w:r w:rsidRPr="006543D4">
        <w:t xml:space="preserve">Table 1: </w:t>
      </w:r>
      <w:r w:rsidR="00E46915" w:rsidRPr="006543D4">
        <w:t>Main</w:t>
      </w:r>
      <w:r w:rsidR="00E46915" w:rsidRPr="00E46915">
        <w:t xml:space="preserve"> features of the </w:t>
      </w:r>
      <w:r w:rsidR="00465FAC">
        <w:t>equipment</w:t>
      </w:r>
      <w:r w:rsidR="00E46915" w:rsidRPr="00E46915">
        <w:t xml:space="preserve"> considered</w:t>
      </w:r>
      <w:r w:rsidR="009467AB">
        <w:t xml:space="preserve">. </w:t>
      </w:r>
      <w:r w:rsidR="0060112A">
        <w:rPr>
          <w:vertAlign w:val="superscript"/>
        </w:rPr>
        <w:t>*</w:t>
      </w:r>
      <w:r w:rsidR="0072561D" w:rsidRPr="0072561D">
        <w:t>Average</w:t>
      </w:r>
      <w:r w:rsidR="0072561D">
        <w:t xml:space="preserve"> </w:t>
      </w:r>
      <w:r w:rsidR="0072561D" w:rsidRPr="0072561D">
        <w:t>density</w:t>
      </w:r>
      <w:r w:rsidR="0072561D">
        <w:t xml:space="preserve"> </w:t>
      </w:r>
      <w:r w:rsidR="0072561D" w:rsidRPr="0072561D">
        <w:t>of</w:t>
      </w:r>
      <w:r w:rsidR="0072561D">
        <w:t xml:space="preserve"> </w:t>
      </w:r>
      <w:r w:rsidR="0072561D" w:rsidRPr="0072561D">
        <w:t>the</w:t>
      </w:r>
      <w:r w:rsidR="0060112A">
        <w:t xml:space="preserve"> blanketing </w:t>
      </w:r>
      <w:r w:rsidR="0072561D" w:rsidRPr="0072561D">
        <w:t>gas.</w:t>
      </w:r>
    </w:p>
    <w:tbl>
      <w:tblPr>
        <w:tblW w:w="5000" w:type="pct"/>
        <w:tblBorders>
          <w:top w:val="single" w:sz="12" w:space="0" w:color="008000"/>
          <w:bottom w:val="single" w:sz="12" w:space="0" w:color="008000"/>
        </w:tblBorders>
        <w:shd w:val="clear" w:color="auto" w:fill="FFFFFF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29"/>
        <w:gridCol w:w="2930"/>
        <w:gridCol w:w="2928"/>
      </w:tblGrid>
      <w:tr w:rsidR="0050428B" w:rsidRPr="00B57B36" w14:paraId="219B142C" w14:textId="77777777" w:rsidTr="00A066EC">
        <w:tc>
          <w:tcPr>
            <w:tcW w:w="1667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4DFBD1BA" w14:textId="61B8A32E" w:rsidR="0050428B" w:rsidRPr="00B57B36" w:rsidRDefault="0050428B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Vessel Features</w:t>
            </w:r>
            <w:r w:rsidRPr="00B57B36">
              <w:rPr>
                <w:lang w:val="en-GB"/>
              </w:rPr>
              <w:t xml:space="preserve"> </w:t>
            </w:r>
          </w:p>
        </w:tc>
        <w:tc>
          <w:tcPr>
            <w:tcW w:w="1667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50A9A7FB" w14:textId="550735B2" w:rsidR="0050428B" w:rsidRPr="00B57B36" w:rsidRDefault="0050428B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A1-A2</w:t>
            </w:r>
          </w:p>
        </w:tc>
        <w:tc>
          <w:tcPr>
            <w:tcW w:w="1666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79E391A" w14:textId="4CBE66F6" w:rsidR="0050428B" w:rsidRPr="00B57B36" w:rsidRDefault="0050428B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P1-P2</w:t>
            </w:r>
          </w:p>
        </w:tc>
      </w:tr>
      <w:tr w:rsidR="0050428B" w:rsidRPr="00B57B36" w14:paraId="0FBC8409" w14:textId="77777777" w:rsidTr="00A066EC">
        <w:tc>
          <w:tcPr>
            <w:tcW w:w="1667" w:type="pct"/>
            <w:shd w:val="clear" w:color="auto" w:fill="FFFFFF"/>
          </w:tcPr>
          <w:p w14:paraId="55619D3F" w14:textId="633FD581" w:rsidR="0050428B" w:rsidRPr="00B57B36" w:rsidRDefault="00B03CDE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Type</w:t>
            </w:r>
          </w:p>
        </w:tc>
        <w:tc>
          <w:tcPr>
            <w:tcW w:w="1667" w:type="pct"/>
            <w:shd w:val="clear" w:color="auto" w:fill="FFFFFF"/>
          </w:tcPr>
          <w:p w14:paraId="1CDA5BBF" w14:textId="1DE85EA4" w:rsidR="0050428B" w:rsidRPr="00B57B36" w:rsidRDefault="009B7E4B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Atmospheric floating roof</w:t>
            </w:r>
          </w:p>
        </w:tc>
        <w:tc>
          <w:tcPr>
            <w:tcW w:w="1666" w:type="pct"/>
            <w:shd w:val="clear" w:color="auto" w:fill="FFFFFF"/>
          </w:tcPr>
          <w:p w14:paraId="7FFE6A67" w14:textId="04EFE239" w:rsidR="0050428B" w:rsidRPr="00B57B36" w:rsidRDefault="00A906DA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Horizontal pressurized</w:t>
            </w:r>
          </w:p>
        </w:tc>
      </w:tr>
      <w:tr w:rsidR="009714F4" w:rsidRPr="00B57B36" w14:paraId="0229973E" w14:textId="77777777" w:rsidTr="00A066EC">
        <w:tc>
          <w:tcPr>
            <w:tcW w:w="1667" w:type="pct"/>
            <w:shd w:val="clear" w:color="auto" w:fill="FFFFFF"/>
          </w:tcPr>
          <w:p w14:paraId="52BC438B" w14:textId="259B3E05" w:rsidR="009714F4" w:rsidRPr="007569DA" w:rsidRDefault="009714F4" w:rsidP="00F52E53">
            <w:pPr>
              <w:pStyle w:val="CETBodytext"/>
              <w:rPr>
                <w:lang w:val="en-GB"/>
              </w:rPr>
            </w:pPr>
            <w:r w:rsidRPr="009714F4">
              <w:rPr>
                <w:lang w:val="en-GB"/>
              </w:rPr>
              <w:t>Nominal capacity</w:t>
            </w:r>
            <w:r w:rsidR="007569DA">
              <w:rPr>
                <w:lang w:val="en-GB"/>
              </w:rPr>
              <w:t xml:space="preserve"> [</w:t>
            </w:r>
            <w:r w:rsidRPr="009714F4">
              <w:rPr>
                <w:lang w:val="en-GB"/>
              </w:rPr>
              <w:t>m</w:t>
            </w:r>
            <w:r w:rsidRPr="009714F4">
              <w:rPr>
                <w:vertAlign w:val="superscript"/>
                <w:lang w:val="en-GB"/>
              </w:rPr>
              <w:t>3</w:t>
            </w:r>
            <w:r w:rsidR="007569DA">
              <w:rPr>
                <w:lang w:val="en-GB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1B781F7D" w14:textId="482B81D8" w:rsidR="009714F4" w:rsidRDefault="00023E42" w:rsidP="00F52E53">
            <w:pPr>
              <w:pStyle w:val="CETBodytext"/>
              <w:rPr>
                <w:lang w:val="en-GB"/>
              </w:rPr>
            </w:pPr>
            <w:r w:rsidRPr="00023E42">
              <w:rPr>
                <w:lang w:val="en-GB"/>
              </w:rPr>
              <w:t>13300</w:t>
            </w:r>
          </w:p>
        </w:tc>
        <w:tc>
          <w:tcPr>
            <w:tcW w:w="1666" w:type="pct"/>
            <w:shd w:val="clear" w:color="auto" w:fill="FFFFFF"/>
          </w:tcPr>
          <w:p w14:paraId="6A5CB8C7" w14:textId="617F84D1" w:rsidR="009714F4" w:rsidRDefault="00023E42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102</w:t>
            </w:r>
          </w:p>
        </w:tc>
      </w:tr>
      <w:tr w:rsidR="009714F4" w:rsidRPr="00B57B36" w14:paraId="035867A1" w14:textId="77777777" w:rsidTr="00A066EC">
        <w:tc>
          <w:tcPr>
            <w:tcW w:w="1667" w:type="pct"/>
            <w:shd w:val="clear" w:color="auto" w:fill="FFFFFF"/>
          </w:tcPr>
          <w:p w14:paraId="6FC6A619" w14:textId="7C8172FC" w:rsidR="009714F4" w:rsidRDefault="002F0941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 xml:space="preserve">Diameter </w:t>
            </w:r>
            <w:r w:rsidR="007569DA">
              <w:rPr>
                <w:lang w:val="en-GB"/>
              </w:rPr>
              <w:t>[</w:t>
            </w:r>
            <w:r>
              <w:rPr>
                <w:lang w:val="en-GB"/>
              </w:rPr>
              <w:t>m</w:t>
            </w:r>
            <w:r w:rsidR="007569DA">
              <w:rPr>
                <w:lang w:val="en-GB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32DF0D96" w14:textId="58417F9C" w:rsidR="009714F4" w:rsidRDefault="005F5569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42</w:t>
            </w:r>
          </w:p>
        </w:tc>
        <w:tc>
          <w:tcPr>
            <w:tcW w:w="1666" w:type="pct"/>
            <w:shd w:val="clear" w:color="auto" w:fill="FFFFFF"/>
          </w:tcPr>
          <w:p w14:paraId="3218FAC0" w14:textId="09428384" w:rsidR="009714F4" w:rsidRDefault="005F5569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2.6</w:t>
            </w:r>
          </w:p>
        </w:tc>
      </w:tr>
      <w:tr w:rsidR="009714F4" w:rsidRPr="00B57B36" w14:paraId="119E07DF" w14:textId="77777777" w:rsidTr="00A066EC">
        <w:tc>
          <w:tcPr>
            <w:tcW w:w="1667" w:type="pct"/>
            <w:shd w:val="clear" w:color="auto" w:fill="FFFFFF"/>
          </w:tcPr>
          <w:p w14:paraId="7B4BDBD8" w14:textId="362B25FC" w:rsidR="009714F4" w:rsidRDefault="00316059" w:rsidP="00F52E53">
            <w:pPr>
              <w:pStyle w:val="CETBodytext"/>
              <w:rPr>
                <w:lang w:val="en-GB"/>
              </w:rPr>
            </w:pPr>
            <w:r>
              <w:rPr>
                <w:lang w:val="it-IT"/>
              </w:rPr>
              <w:t>Height</w:t>
            </w:r>
            <w:r w:rsidR="00825A46" w:rsidRPr="00825A46">
              <w:rPr>
                <w:lang w:val="it-IT"/>
              </w:rPr>
              <w:t>/</w:t>
            </w:r>
            <w:r>
              <w:rPr>
                <w:lang w:val="it-IT"/>
              </w:rPr>
              <w:t>Length</w:t>
            </w:r>
            <w:r w:rsidR="00B338B2">
              <w:rPr>
                <w:lang w:val="it-IT"/>
              </w:rPr>
              <w:t xml:space="preserve"> </w:t>
            </w:r>
            <w:r w:rsidR="007569DA">
              <w:rPr>
                <w:lang w:val="en-GB"/>
              </w:rPr>
              <w:t>[m]</w:t>
            </w:r>
          </w:p>
        </w:tc>
        <w:tc>
          <w:tcPr>
            <w:tcW w:w="1667" w:type="pct"/>
            <w:shd w:val="clear" w:color="auto" w:fill="FFFFFF"/>
          </w:tcPr>
          <w:p w14:paraId="283DE20F" w14:textId="1CD7DC4A" w:rsidR="009714F4" w:rsidRDefault="001F408A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9.6</w:t>
            </w:r>
          </w:p>
        </w:tc>
        <w:tc>
          <w:tcPr>
            <w:tcW w:w="1666" w:type="pct"/>
            <w:shd w:val="clear" w:color="auto" w:fill="FFFFFF"/>
          </w:tcPr>
          <w:p w14:paraId="69162533" w14:textId="56B510B9" w:rsidR="009714F4" w:rsidRDefault="001F408A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19.2</w:t>
            </w:r>
          </w:p>
        </w:tc>
      </w:tr>
      <w:tr w:rsidR="00496C6A" w:rsidRPr="00B57B36" w14:paraId="7D98B759" w14:textId="77777777" w:rsidTr="00A066EC">
        <w:tc>
          <w:tcPr>
            <w:tcW w:w="1667" w:type="pct"/>
            <w:shd w:val="clear" w:color="auto" w:fill="FFFFFF"/>
          </w:tcPr>
          <w:p w14:paraId="2FD066F9" w14:textId="132C38EA" w:rsidR="00496C6A" w:rsidRDefault="00496C6A" w:rsidP="00F52E53">
            <w:pPr>
              <w:pStyle w:val="CETBodytext"/>
              <w:rPr>
                <w:lang w:val="it-IT"/>
              </w:rPr>
            </w:pPr>
            <w:r w:rsidRPr="00496C6A">
              <w:rPr>
                <w:lang w:val="it-IT"/>
              </w:rPr>
              <w:t>Shell thickness</w:t>
            </w:r>
            <w:r>
              <w:rPr>
                <w:lang w:val="it-IT"/>
              </w:rPr>
              <w:t xml:space="preserve"> </w:t>
            </w:r>
            <w:r w:rsidR="007569DA">
              <w:rPr>
                <w:lang w:val="en-GB"/>
              </w:rPr>
              <w:t>[m]</w:t>
            </w:r>
          </w:p>
        </w:tc>
        <w:tc>
          <w:tcPr>
            <w:tcW w:w="1667" w:type="pct"/>
            <w:shd w:val="clear" w:color="auto" w:fill="FFFFFF"/>
          </w:tcPr>
          <w:p w14:paraId="690B2B68" w14:textId="799C27AD" w:rsidR="00496C6A" w:rsidRDefault="00496C6A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8</w:t>
            </w:r>
          </w:p>
        </w:tc>
        <w:tc>
          <w:tcPr>
            <w:tcW w:w="1666" w:type="pct"/>
            <w:shd w:val="clear" w:color="auto" w:fill="FFFFFF"/>
          </w:tcPr>
          <w:p w14:paraId="6C8D2386" w14:textId="1D142FFC" w:rsidR="00496C6A" w:rsidRDefault="00496C6A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18</w:t>
            </w:r>
          </w:p>
        </w:tc>
      </w:tr>
      <w:tr w:rsidR="00496C6A" w:rsidRPr="00B57B36" w14:paraId="5F46DF4D" w14:textId="77777777" w:rsidTr="00A066EC">
        <w:tc>
          <w:tcPr>
            <w:tcW w:w="1667" w:type="pct"/>
            <w:shd w:val="clear" w:color="auto" w:fill="FFFFFF"/>
          </w:tcPr>
          <w:p w14:paraId="4B2C641B" w14:textId="25DDED53" w:rsidR="00496C6A" w:rsidRPr="009B6EDB" w:rsidRDefault="009B6EDB" w:rsidP="00F52E53">
            <w:pPr>
              <w:pStyle w:val="CETBodytext"/>
              <w:rPr>
                <w:lang w:val="en-GB"/>
              </w:rPr>
            </w:pPr>
            <w:r w:rsidRPr="009B6EDB">
              <w:rPr>
                <w:lang w:val="en-GB"/>
              </w:rPr>
              <w:t xml:space="preserve">Vessel tare weight </w:t>
            </w:r>
            <w:r w:rsidR="007569DA">
              <w:rPr>
                <w:lang w:val="en-GB"/>
              </w:rPr>
              <w:t>[</w:t>
            </w:r>
            <w:r w:rsidRPr="009B6EDB">
              <w:rPr>
                <w:lang w:val="en-GB"/>
              </w:rPr>
              <w:t>metric ton</w:t>
            </w:r>
            <w:r w:rsidR="007569DA">
              <w:rPr>
                <w:lang w:val="en-GB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01095035" w14:textId="60ED1CC7" w:rsidR="00496C6A" w:rsidRDefault="00C77D40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79</w:t>
            </w:r>
          </w:p>
        </w:tc>
        <w:tc>
          <w:tcPr>
            <w:tcW w:w="1666" w:type="pct"/>
            <w:shd w:val="clear" w:color="auto" w:fill="FFFFFF"/>
          </w:tcPr>
          <w:p w14:paraId="5D56A00C" w14:textId="10C11830" w:rsidR="00496C6A" w:rsidRDefault="00C77D40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20</w:t>
            </w:r>
          </w:p>
        </w:tc>
      </w:tr>
      <w:tr w:rsidR="00496C6A" w:rsidRPr="00B57B36" w14:paraId="6FFC451B" w14:textId="77777777" w:rsidTr="00A066EC">
        <w:tc>
          <w:tcPr>
            <w:tcW w:w="1667" w:type="pct"/>
            <w:shd w:val="clear" w:color="auto" w:fill="FFFFFF"/>
          </w:tcPr>
          <w:p w14:paraId="047B0155" w14:textId="17098322" w:rsidR="00496C6A" w:rsidRPr="009B6EDB" w:rsidRDefault="000F4124" w:rsidP="00F52E53">
            <w:pPr>
              <w:pStyle w:val="CETBodytext"/>
              <w:rPr>
                <w:lang w:val="en-GB"/>
              </w:rPr>
            </w:pPr>
            <w:r w:rsidRPr="000F4124">
              <w:rPr>
                <w:lang w:val="it-IT"/>
              </w:rPr>
              <w:t xml:space="preserve">Saddle parameter </w:t>
            </w:r>
            <w:r w:rsidR="007569DA">
              <w:rPr>
                <w:lang w:val="en-GB"/>
              </w:rPr>
              <w:t>[m]</w:t>
            </w:r>
          </w:p>
        </w:tc>
        <w:tc>
          <w:tcPr>
            <w:tcW w:w="1667" w:type="pct"/>
            <w:shd w:val="clear" w:color="auto" w:fill="FFFFFF"/>
          </w:tcPr>
          <w:p w14:paraId="7DEED24C" w14:textId="16658995" w:rsidR="00496C6A" w:rsidRDefault="000F4124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-</w:t>
            </w:r>
          </w:p>
        </w:tc>
        <w:tc>
          <w:tcPr>
            <w:tcW w:w="1666" w:type="pct"/>
            <w:shd w:val="clear" w:color="auto" w:fill="FFFFFF"/>
          </w:tcPr>
          <w:p w14:paraId="4E06A532" w14:textId="378EB54C" w:rsidR="00496C6A" w:rsidRDefault="002446A6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1.5</w:t>
            </w:r>
          </w:p>
        </w:tc>
      </w:tr>
      <w:tr w:rsidR="00AC6395" w:rsidRPr="00B57B36" w14:paraId="5FA8E6A0" w14:textId="77777777" w:rsidTr="00A066EC">
        <w:tc>
          <w:tcPr>
            <w:tcW w:w="1667" w:type="pct"/>
            <w:shd w:val="clear" w:color="auto" w:fill="FFFFFF"/>
          </w:tcPr>
          <w:p w14:paraId="040186B8" w14:textId="22A68DA4" w:rsidR="00AC6395" w:rsidRPr="000F4124" w:rsidRDefault="00AC6395" w:rsidP="00F52E53">
            <w:pPr>
              <w:pStyle w:val="CETBodytext"/>
              <w:rPr>
                <w:lang w:val="it-IT"/>
              </w:rPr>
            </w:pPr>
            <w:r>
              <w:rPr>
                <w:lang w:val="it-IT"/>
              </w:rPr>
              <w:t>Filling level</w:t>
            </w:r>
          </w:p>
        </w:tc>
        <w:tc>
          <w:tcPr>
            <w:tcW w:w="1667" w:type="pct"/>
            <w:shd w:val="clear" w:color="auto" w:fill="FFFFFF"/>
          </w:tcPr>
          <w:p w14:paraId="4999EC87" w14:textId="1F6C036F" w:rsidR="00AC6395" w:rsidRDefault="003A480D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75%</w:t>
            </w:r>
          </w:p>
        </w:tc>
        <w:tc>
          <w:tcPr>
            <w:tcW w:w="1666" w:type="pct"/>
            <w:shd w:val="clear" w:color="auto" w:fill="FFFFFF"/>
          </w:tcPr>
          <w:p w14:paraId="3113CCE9" w14:textId="7C52A1E6" w:rsidR="00AC6395" w:rsidRDefault="003A480D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90%</w:t>
            </w:r>
          </w:p>
        </w:tc>
      </w:tr>
      <w:tr w:rsidR="00AC6395" w:rsidRPr="00B57B36" w14:paraId="3155467A" w14:textId="77777777" w:rsidTr="00A066EC">
        <w:tc>
          <w:tcPr>
            <w:tcW w:w="1667" w:type="pct"/>
            <w:shd w:val="clear" w:color="auto" w:fill="FFFFFF"/>
          </w:tcPr>
          <w:p w14:paraId="7F9EFEDD" w14:textId="056192C7" w:rsidR="00AC6395" w:rsidRPr="000F4124" w:rsidRDefault="00E108E2" w:rsidP="00F52E53">
            <w:pPr>
              <w:pStyle w:val="CETBodytext"/>
              <w:rPr>
                <w:lang w:val="it-IT"/>
              </w:rPr>
            </w:pPr>
            <w:r>
              <w:rPr>
                <w:lang w:val="it-IT"/>
              </w:rPr>
              <w:t>Substance contained</w:t>
            </w:r>
          </w:p>
        </w:tc>
        <w:tc>
          <w:tcPr>
            <w:tcW w:w="1667" w:type="pct"/>
            <w:shd w:val="clear" w:color="auto" w:fill="FFFFFF"/>
          </w:tcPr>
          <w:p w14:paraId="11A469A9" w14:textId="35F4C764" w:rsidR="00AC6395" w:rsidRDefault="00E108E2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Gasoline</w:t>
            </w:r>
          </w:p>
        </w:tc>
        <w:tc>
          <w:tcPr>
            <w:tcW w:w="1666" w:type="pct"/>
            <w:shd w:val="clear" w:color="auto" w:fill="FFFFFF"/>
          </w:tcPr>
          <w:p w14:paraId="6B763828" w14:textId="5AEC3E18" w:rsidR="00AC6395" w:rsidRDefault="00E108E2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Propane</w:t>
            </w:r>
          </w:p>
        </w:tc>
      </w:tr>
      <w:tr w:rsidR="00AC6395" w:rsidRPr="00B57B36" w14:paraId="7BB716A3" w14:textId="77777777" w:rsidTr="00A066EC">
        <w:tc>
          <w:tcPr>
            <w:tcW w:w="1667" w:type="pct"/>
            <w:shd w:val="clear" w:color="auto" w:fill="FFFFFF"/>
          </w:tcPr>
          <w:p w14:paraId="388D5410" w14:textId="5FCBD66B" w:rsidR="00AC6395" w:rsidRPr="000F4124" w:rsidRDefault="008557B7" w:rsidP="00F52E53">
            <w:pPr>
              <w:pStyle w:val="CETBodytext"/>
              <w:rPr>
                <w:lang w:val="it-IT"/>
              </w:rPr>
            </w:pPr>
            <w:r>
              <w:rPr>
                <w:lang w:val="it-IT"/>
              </w:rPr>
              <w:t>Physical state</w:t>
            </w:r>
          </w:p>
        </w:tc>
        <w:tc>
          <w:tcPr>
            <w:tcW w:w="1667" w:type="pct"/>
            <w:shd w:val="clear" w:color="auto" w:fill="FFFFFF"/>
          </w:tcPr>
          <w:p w14:paraId="20DEB006" w14:textId="716D5B8D" w:rsidR="00AC6395" w:rsidRDefault="008557B7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Liquid</w:t>
            </w:r>
          </w:p>
        </w:tc>
        <w:tc>
          <w:tcPr>
            <w:tcW w:w="1666" w:type="pct"/>
            <w:shd w:val="clear" w:color="auto" w:fill="FFFFFF"/>
          </w:tcPr>
          <w:p w14:paraId="1A13913A" w14:textId="06210A1A" w:rsidR="00AC6395" w:rsidRDefault="008557B7" w:rsidP="00F52E53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Liqu</w:t>
            </w:r>
            <w:r w:rsidR="00AA7336">
              <w:rPr>
                <w:lang w:val="en-GB"/>
              </w:rPr>
              <w:t>e</w:t>
            </w:r>
            <w:r>
              <w:rPr>
                <w:lang w:val="en-GB"/>
              </w:rPr>
              <w:t>fied gas</w:t>
            </w:r>
          </w:p>
        </w:tc>
      </w:tr>
      <w:tr w:rsidR="0050428B" w:rsidRPr="00B57B36" w14:paraId="7E8F63C7" w14:textId="77777777" w:rsidTr="00A066EC">
        <w:tc>
          <w:tcPr>
            <w:tcW w:w="1667" w:type="pct"/>
            <w:shd w:val="clear" w:color="auto" w:fill="FFFFFF"/>
          </w:tcPr>
          <w:p w14:paraId="4E220730" w14:textId="2BD5028B" w:rsidR="0050428B" w:rsidRPr="00B57B36" w:rsidRDefault="0038519A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 xml:space="preserve">Pressure </w:t>
            </w:r>
            <w:r w:rsidR="007569DA">
              <w:rPr>
                <w:lang w:val="en-GB"/>
              </w:rPr>
              <w:t>[bar]</w:t>
            </w:r>
          </w:p>
        </w:tc>
        <w:tc>
          <w:tcPr>
            <w:tcW w:w="1667" w:type="pct"/>
            <w:shd w:val="clear" w:color="auto" w:fill="FFFFFF"/>
          </w:tcPr>
          <w:p w14:paraId="0A7AA5F1" w14:textId="19CF7BDB" w:rsidR="0050428B" w:rsidRPr="00B57B36" w:rsidRDefault="00731542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1.0</w:t>
            </w:r>
            <w:r w:rsidR="00714B38">
              <w:rPr>
                <w:rFonts w:cs="Arial"/>
                <w:szCs w:val="18"/>
                <w:lang w:val="en-GB"/>
              </w:rPr>
              <w:t>5</w:t>
            </w:r>
          </w:p>
        </w:tc>
        <w:tc>
          <w:tcPr>
            <w:tcW w:w="1666" w:type="pct"/>
            <w:shd w:val="clear" w:color="auto" w:fill="FFFFFF"/>
          </w:tcPr>
          <w:p w14:paraId="1E3CB870" w14:textId="209EBFFA" w:rsidR="0050428B" w:rsidRPr="00B57B36" w:rsidRDefault="0038519A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8.4</w:t>
            </w:r>
          </w:p>
        </w:tc>
      </w:tr>
      <w:tr w:rsidR="009B7E4B" w:rsidRPr="00B57B36" w14:paraId="024F716A" w14:textId="77777777" w:rsidTr="00A066EC">
        <w:tc>
          <w:tcPr>
            <w:tcW w:w="1667" w:type="pct"/>
            <w:shd w:val="clear" w:color="auto" w:fill="FFFFFF"/>
          </w:tcPr>
          <w:p w14:paraId="5492C166" w14:textId="7BD4281C" w:rsidR="009B7E4B" w:rsidRPr="007569DA" w:rsidRDefault="00A066EC" w:rsidP="00F52E53">
            <w:pPr>
              <w:pStyle w:val="CETBodytext"/>
              <w:ind w:right="-1"/>
              <w:rPr>
                <w:rFonts w:cs="Arial"/>
                <w:szCs w:val="18"/>
                <w:vertAlign w:val="superscript"/>
                <w:lang w:val="it-IT"/>
              </w:rPr>
            </w:pPr>
            <w:r w:rsidRPr="00A066EC">
              <w:rPr>
                <w:rFonts w:cs="Arial"/>
                <w:szCs w:val="18"/>
                <w:lang w:val="it-IT"/>
              </w:rPr>
              <w:t>Liquid</w:t>
            </w:r>
            <w:r>
              <w:rPr>
                <w:rFonts w:cs="Arial"/>
                <w:szCs w:val="18"/>
                <w:lang w:val="it-IT"/>
              </w:rPr>
              <w:t xml:space="preserve"> </w:t>
            </w:r>
            <w:r w:rsidRPr="00A066EC">
              <w:rPr>
                <w:rFonts w:cs="Arial"/>
                <w:szCs w:val="18"/>
                <w:lang w:val="it-IT"/>
              </w:rPr>
              <w:t>density</w:t>
            </w:r>
            <w:r>
              <w:rPr>
                <w:rFonts w:cs="Arial"/>
                <w:szCs w:val="18"/>
                <w:lang w:val="it-IT"/>
              </w:rPr>
              <w:t xml:space="preserve"> </w:t>
            </w:r>
            <w:r w:rsidR="007569DA">
              <w:rPr>
                <w:rFonts w:cs="Arial"/>
                <w:szCs w:val="18"/>
                <w:lang w:val="it-IT"/>
              </w:rPr>
              <w:t>[</w:t>
            </w:r>
            <w:r w:rsidRPr="00A066EC">
              <w:rPr>
                <w:rFonts w:cs="Arial"/>
                <w:szCs w:val="18"/>
                <w:lang w:val="it-IT"/>
              </w:rPr>
              <w:t>kg/m</w:t>
            </w:r>
            <w:r w:rsidRPr="00A066EC">
              <w:rPr>
                <w:rFonts w:cs="Arial"/>
                <w:szCs w:val="18"/>
                <w:vertAlign w:val="superscript"/>
                <w:lang w:val="it-IT"/>
              </w:rPr>
              <w:t>3</w:t>
            </w:r>
            <w:r w:rsidR="007569DA">
              <w:rPr>
                <w:rFonts w:cs="Arial"/>
                <w:szCs w:val="18"/>
                <w:lang w:val="it-IT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1D123E06" w14:textId="7D8C5C1B" w:rsidR="009B7E4B" w:rsidRPr="00B57B36" w:rsidRDefault="000F5FBF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740</w:t>
            </w:r>
          </w:p>
        </w:tc>
        <w:tc>
          <w:tcPr>
            <w:tcW w:w="1666" w:type="pct"/>
            <w:shd w:val="clear" w:color="auto" w:fill="FFFFFF"/>
          </w:tcPr>
          <w:p w14:paraId="5FE22918" w14:textId="48CC841C" w:rsidR="009B7E4B" w:rsidRPr="00B57B36" w:rsidRDefault="000F5FBF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460</w:t>
            </w:r>
          </w:p>
        </w:tc>
      </w:tr>
      <w:tr w:rsidR="009B7E4B" w:rsidRPr="00B57B36" w14:paraId="1FBA7FC0" w14:textId="77777777" w:rsidTr="00A066EC">
        <w:tc>
          <w:tcPr>
            <w:tcW w:w="1667" w:type="pct"/>
            <w:shd w:val="clear" w:color="auto" w:fill="FFFFFF"/>
          </w:tcPr>
          <w:p w14:paraId="3FA4E79D" w14:textId="7015BAF5" w:rsidR="009B7E4B" w:rsidRPr="00B57B36" w:rsidRDefault="000F5FBF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it-IT"/>
              </w:rPr>
              <w:t xml:space="preserve">Vapor </w:t>
            </w:r>
            <w:r w:rsidRPr="00A066EC">
              <w:rPr>
                <w:rFonts w:cs="Arial"/>
                <w:szCs w:val="18"/>
                <w:lang w:val="it-IT"/>
              </w:rPr>
              <w:t>density</w:t>
            </w:r>
            <w:r>
              <w:rPr>
                <w:rFonts w:cs="Arial"/>
                <w:szCs w:val="18"/>
                <w:lang w:val="it-IT"/>
              </w:rPr>
              <w:t xml:space="preserve"> </w:t>
            </w:r>
            <w:r w:rsidR="007569DA">
              <w:rPr>
                <w:rFonts w:cs="Arial"/>
                <w:szCs w:val="18"/>
                <w:lang w:val="it-IT"/>
              </w:rPr>
              <w:t>[</w:t>
            </w:r>
            <w:r w:rsidR="007569DA" w:rsidRPr="00A066EC">
              <w:rPr>
                <w:rFonts w:cs="Arial"/>
                <w:szCs w:val="18"/>
                <w:lang w:val="it-IT"/>
              </w:rPr>
              <w:t>kg/m</w:t>
            </w:r>
            <w:r w:rsidR="007569DA" w:rsidRPr="00A066EC">
              <w:rPr>
                <w:rFonts w:cs="Arial"/>
                <w:szCs w:val="18"/>
                <w:vertAlign w:val="superscript"/>
                <w:lang w:val="it-IT"/>
              </w:rPr>
              <w:t>3</w:t>
            </w:r>
            <w:r w:rsidR="007569DA">
              <w:rPr>
                <w:rFonts w:cs="Arial"/>
                <w:szCs w:val="18"/>
                <w:lang w:val="it-IT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34564BE0" w14:textId="5524F86C" w:rsidR="009B7E4B" w:rsidRPr="00B57B36" w:rsidRDefault="00776CD5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 w:rsidRPr="00776CD5">
              <w:rPr>
                <w:rFonts w:cs="Arial"/>
                <w:szCs w:val="18"/>
                <w:lang w:val="en-GB"/>
              </w:rPr>
              <w:t>0.97</w:t>
            </w:r>
            <w:r w:rsidR="0060112A">
              <w:rPr>
                <w:rFonts w:cs="Arial"/>
                <w:szCs w:val="18"/>
                <w:vertAlign w:val="superscript"/>
                <w:lang w:val="en-GB"/>
              </w:rPr>
              <w:t>*</w:t>
            </w:r>
          </w:p>
        </w:tc>
        <w:tc>
          <w:tcPr>
            <w:tcW w:w="1666" w:type="pct"/>
            <w:shd w:val="clear" w:color="auto" w:fill="FFFFFF"/>
          </w:tcPr>
          <w:p w14:paraId="6DA9A20B" w14:textId="509359D8" w:rsidR="009B7E4B" w:rsidRPr="00B57B36" w:rsidRDefault="00533E11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15.4</w:t>
            </w:r>
          </w:p>
        </w:tc>
      </w:tr>
      <w:tr w:rsidR="009B7E4B" w:rsidRPr="00B57B36" w14:paraId="2FEA7FF8" w14:textId="77777777" w:rsidTr="00A066EC">
        <w:tc>
          <w:tcPr>
            <w:tcW w:w="1667" w:type="pct"/>
            <w:shd w:val="clear" w:color="auto" w:fill="FFFFFF"/>
          </w:tcPr>
          <w:p w14:paraId="002A8621" w14:textId="4A362432" w:rsidR="009B7E4B" w:rsidRPr="00B57B36" w:rsidRDefault="001E71C8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 w:rsidRPr="001E71C8">
              <w:rPr>
                <w:rFonts w:cs="Arial"/>
                <w:szCs w:val="18"/>
                <w:lang w:val="it-IT"/>
              </w:rPr>
              <w:t xml:space="preserve">Inventory </w:t>
            </w:r>
            <w:r w:rsidR="007569DA">
              <w:rPr>
                <w:lang w:val="en-GB"/>
              </w:rPr>
              <w:t>[</w:t>
            </w:r>
            <w:r w:rsidR="007569DA" w:rsidRPr="009B6EDB">
              <w:rPr>
                <w:lang w:val="en-GB"/>
              </w:rPr>
              <w:t>metric ton</w:t>
            </w:r>
            <w:r w:rsidR="007569DA">
              <w:rPr>
                <w:lang w:val="en-GB"/>
              </w:rPr>
              <w:t>]</w:t>
            </w:r>
          </w:p>
        </w:tc>
        <w:tc>
          <w:tcPr>
            <w:tcW w:w="1667" w:type="pct"/>
            <w:shd w:val="clear" w:color="auto" w:fill="FFFFFF"/>
          </w:tcPr>
          <w:p w14:paraId="7A68490C" w14:textId="381B0A8E" w:rsidR="009B7E4B" w:rsidRPr="00B57B36" w:rsidRDefault="00AC647D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7380</w:t>
            </w:r>
          </w:p>
        </w:tc>
        <w:tc>
          <w:tcPr>
            <w:tcW w:w="1666" w:type="pct"/>
            <w:shd w:val="clear" w:color="auto" w:fill="FFFFFF"/>
          </w:tcPr>
          <w:p w14:paraId="0DC73FE2" w14:textId="58FFCF0E" w:rsidR="009B7E4B" w:rsidRPr="00B57B36" w:rsidRDefault="003B4BF4" w:rsidP="00F52E53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45</w:t>
            </w:r>
          </w:p>
        </w:tc>
      </w:tr>
    </w:tbl>
    <w:p w14:paraId="2266A9EF" w14:textId="32951C5B" w:rsidR="0071328A" w:rsidRPr="0072561D" w:rsidRDefault="0071328A" w:rsidP="0071328A">
      <w:pPr>
        <w:pStyle w:val="CETTabletitle"/>
      </w:pPr>
      <w:r w:rsidRPr="006543D4">
        <w:t>Table 2: Natech</w:t>
      </w:r>
      <w:r>
        <w:t xml:space="preserve"> </w:t>
      </w:r>
      <w:r w:rsidRPr="00C15534">
        <w:t>scenarios consid</w:t>
      </w:r>
      <w:r w:rsidR="00465FAC">
        <w:t xml:space="preserve">ered in the QRA of the case </w:t>
      </w:r>
      <w:r w:rsidRPr="00C15534">
        <w:t>study (VCE: vapour cloud explosion).</w:t>
      </w:r>
      <w:r w:rsidRPr="00E46915">
        <w:t xml:space="preserve"> </w:t>
      </w:r>
    </w:p>
    <w:tbl>
      <w:tblPr>
        <w:tblW w:w="5000" w:type="pct"/>
        <w:tblBorders>
          <w:top w:val="single" w:sz="12" w:space="0" w:color="008000"/>
          <w:bottom w:val="single" w:sz="12" w:space="0" w:color="008000"/>
        </w:tblBorders>
        <w:shd w:val="clear" w:color="auto" w:fill="FFFFFF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6"/>
        <w:gridCol w:w="2199"/>
        <w:gridCol w:w="2197"/>
        <w:gridCol w:w="2195"/>
      </w:tblGrid>
      <w:tr w:rsidR="0071328A" w:rsidRPr="00B57B36" w14:paraId="09FB9A2B" w14:textId="77777777" w:rsidTr="00786CDA">
        <w:tc>
          <w:tcPr>
            <w:tcW w:w="1250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579200FA" w14:textId="77777777" w:rsidR="0071328A" w:rsidRPr="00B57B36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Tank ID</w:t>
            </w:r>
          </w:p>
        </w:tc>
        <w:tc>
          <w:tcPr>
            <w:tcW w:w="1251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73C57C8" w14:textId="77777777" w:rsidR="0071328A" w:rsidRPr="00B57B36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Top Event</w:t>
            </w:r>
          </w:p>
        </w:tc>
        <w:tc>
          <w:tcPr>
            <w:tcW w:w="1250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010048C9" w14:textId="77777777" w:rsidR="0071328A" w:rsidRPr="00B57B36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Final Outcomes</w:t>
            </w:r>
          </w:p>
        </w:tc>
        <w:tc>
          <w:tcPr>
            <w:tcW w:w="1249" w:type="pct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02F4F22F" w14:textId="77777777" w:rsidR="0071328A" w:rsidRPr="00F812A0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Frequency (y</w:t>
            </w:r>
            <w:r>
              <w:rPr>
                <w:vertAlign w:val="superscript"/>
                <w:lang w:val="en-GB"/>
              </w:rPr>
              <w:t>-1</w:t>
            </w:r>
            <w:r>
              <w:rPr>
                <w:lang w:val="en-GB"/>
              </w:rPr>
              <w:t>)</w:t>
            </w:r>
          </w:p>
        </w:tc>
      </w:tr>
      <w:tr w:rsidR="0071328A" w:rsidRPr="00B57B36" w14:paraId="46F8B6BA" w14:textId="77777777" w:rsidTr="00786CDA">
        <w:tc>
          <w:tcPr>
            <w:tcW w:w="5000" w:type="pct"/>
            <w:gridSpan w:val="4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4561F3A" w14:textId="77777777" w:rsidR="0071328A" w:rsidRDefault="0071328A" w:rsidP="00786CDA">
            <w:pPr>
              <w:pStyle w:val="CETBodytext"/>
              <w:jc w:val="left"/>
              <w:rPr>
                <w:lang w:val="en-GB"/>
              </w:rPr>
            </w:pPr>
            <w:r>
              <w:rPr>
                <w:lang w:val="en-GB"/>
              </w:rPr>
              <w:t>Earthquake</w:t>
            </w:r>
          </w:p>
        </w:tc>
      </w:tr>
      <w:tr w:rsidR="0071328A" w:rsidRPr="00B57B36" w14:paraId="26DE7B9D" w14:textId="77777777" w:rsidTr="00786CDA">
        <w:tc>
          <w:tcPr>
            <w:tcW w:w="1250" w:type="pct"/>
            <w:shd w:val="clear" w:color="auto" w:fill="FFFFFF"/>
          </w:tcPr>
          <w:p w14:paraId="4E86E951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A1-A2</w:t>
            </w:r>
          </w:p>
        </w:tc>
        <w:tc>
          <w:tcPr>
            <w:tcW w:w="1251" w:type="pct"/>
            <w:shd w:val="clear" w:color="auto" w:fill="FFFFFF"/>
          </w:tcPr>
          <w:p w14:paraId="28B1A9E9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Catastrophic rupture</w:t>
            </w:r>
          </w:p>
        </w:tc>
        <w:tc>
          <w:tcPr>
            <w:tcW w:w="1250" w:type="pct"/>
            <w:shd w:val="clear" w:color="auto" w:fill="FFFFFF"/>
          </w:tcPr>
          <w:p w14:paraId="42D00F2F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Pool Fire</w:t>
            </w:r>
          </w:p>
        </w:tc>
        <w:tc>
          <w:tcPr>
            <w:tcW w:w="1249" w:type="pct"/>
            <w:shd w:val="clear" w:color="auto" w:fill="FFFFFF"/>
          </w:tcPr>
          <w:p w14:paraId="42E3591D" w14:textId="77777777" w:rsidR="0071328A" w:rsidRPr="006A00AF" w:rsidRDefault="0071328A" w:rsidP="00786CDA">
            <w:pPr>
              <w:pStyle w:val="CETBodytext"/>
            </w:pPr>
            <w:r w:rsidRPr="00A3682A">
              <w:t>1.01E-05</w:t>
            </w:r>
          </w:p>
        </w:tc>
      </w:tr>
      <w:tr w:rsidR="0071328A" w:rsidRPr="00B57B36" w14:paraId="4152C092" w14:textId="77777777" w:rsidTr="00786CDA">
        <w:tc>
          <w:tcPr>
            <w:tcW w:w="1250" w:type="pct"/>
            <w:shd w:val="clear" w:color="auto" w:fill="FFFFFF"/>
          </w:tcPr>
          <w:p w14:paraId="4038F3DA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63EFC66A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009BB0A5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Flash Fire</w:t>
            </w:r>
          </w:p>
        </w:tc>
        <w:tc>
          <w:tcPr>
            <w:tcW w:w="1249" w:type="pct"/>
            <w:shd w:val="clear" w:color="auto" w:fill="FFFFFF"/>
          </w:tcPr>
          <w:p w14:paraId="6FD45F23" w14:textId="77777777" w:rsidR="0071328A" w:rsidRPr="006A00AF" w:rsidRDefault="0071328A" w:rsidP="00786CDA">
            <w:pPr>
              <w:pStyle w:val="CETBodytext"/>
            </w:pPr>
            <w:r w:rsidRPr="00A3682A">
              <w:t>6.98E-06</w:t>
            </w:r>
          </w:p>
        </w:tc>
      </w:tr>
      <w:tr w:rsidR="0071328A" w:rsidRPr="00B57B36" w14:paraId="024DC172" w14:textId="77777777" w:rsidTr="00786CDA">
        <w:tc>
          <w:tcPr>
            <w:tcW w:w="1250" w:type="pct"/>
            <w:shd w:val="clear" w:color="auto" w:fill="FFFFFF"/>
          </w:tcPr>
          <w:p w14:paraId="1EB273FD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3F18674F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26401698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VCE</w:t>
            </w:r>
          </w:p>
        </w:tc>
        <w:tc>
          <w:tcPr>
            <w:tcW w:w="1249" w:type="pct"/>
            <w:shd w:val="clear" w:color="auto" w:fill="FFFFFF"/>
          </w:tcPr>
          <w:p w14:paraId="03AF9758" w14:textId="77777777" w:rsidR="0071328A" w:rsidRPr="006A00AF" w:rsidRDefault="0071328A" w:rsidP="00786CDA">
            <w:pPr>
              <w:pStyle w:val="CETBodytext"/>
            </w:pPr>
            <w:r w:rsidRPr="00A3682A">
              <w:t>1.63E-05</w:t>
            </w:r>
          </w:p>
        </w:tc>
      </w:tr>
      <w:tr w:rsidR="0071328A" w:rsidRPr="00B57B36" w14:paraId="09186D63" w14:textId="77777777" w:rsidTr="00786CDA">
        <w:tc>
          <w:tcPr>
            <w:tcW w:w="1250" w:type="pct"/>
            <w:shd w:val="clear" w:color="auto" w:fill="FFFFFF"/>
          </w:tcPr>
          <w:p w14:paraId="7C02E7E9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P1-P2</w:t>
            </w:r>
          </w:p>
        </w:tc>
        <w:tc>
          <w:tcPr>
            <w:tcW w:w="1251" w:type="pct"/>
            <w:shd w:val="clear" w:color="auto" w:fill="FFFFFF"/>
          </w:tcPr>
          <w:p w14:paraId="1687CA03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min release</w:t>
            </w:r>
          </w:p>
        </w:tc>
        <w:tc>
          <w:tcPr>
            <w:tcW w:w="1250" w:type="pct"/>
            <w:shd w:val="clear" w:color="auto" w:fill="FFFFFF"/>
          </w:tcPr>
          <w:p w14:paraId="725DA2F0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Jet Fire</w:t>
            </w:r>
          </w:p>
        </w:tc>
        <w:tc>
          <w:tcPr>
            <w:tcW w:w="1249" w:type="pct"/>
            <w:shd w:val="clear" w:color="auto" w:fill="FFFFFF"/>
          </w:tcPr>
          <w:p w14:paraId="0D40C6D4" w14:textId="77777777" w:rsidR="0071328A" w:rsidRPr="006A00AF" w:rsidRDefault="0071328A" w:rsidP="00786CDA">
            <w:pPr>
              <w:pStyle w:val="CETBodytext"/>
            </w:pPr>
            <w:r w:rsidRPr="00A83149">
              <w:t>1.27E-05</w:t>
            </w:r>
          </w:p>
        </w:tc>
      </w:tr>
      <w:tr w:rsidR="0071328A" w:rsidRPr="00B57B36" w14:paraId="609B6B0B" w14:textId="77777777" w:rsidTr="00786CDA">
        <w:tc>
          <w:tcPr>
            <w:tcW w:w="1250" w:type="pct"/>
            <w:shd w:val="clear" w:color="auto" w:fill="FFFFFF"/>
          </w:tcPr>
          <w:p w14:paraId="0929358D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0CF819BF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25007EB8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Flash Fire</w:t>
            </w:r>
          </w:p>
        </w:tc>
        <w:tc>
          <w:tcPr>
            <w:tcW w:w="1249" w:type="pct"/>
            <w:shd w:val="clear" w:color="auto" w:fill="FFFFFF"/>
          </w:tcPr>
          <w:p w14:paraId="1F0A1384" w14:textId="77777777" w:rsidR="0071328A" w:rsidRPr="006A00AF" w:rsidRDefault="0071328A" w:rsidP="00786CDA">
            <w:pPr>
              <w:pStyle w:val="CETBodytext"/>
            </w:pPr>
            <w:r w:rsidRPr="00A83149">
              <w:t>8.34E-06</w:t>
            </w:r>
          </w:p>
        </w:tc>
      </w:tr>
      <w:tr w:rsidR="0071328A" w:rsidRPr="00B57B36" w14:paraId="4432EB15" w14:textId="77777777" w:rsidTr="00786CDA">
        <w:tc>
          <w:tcPr>
            <w:tcW w:w="1250" w:type="pct"/>
            <w:shd w:val="clear" w:color="auto" w:fill="FFFFFF"/>
          </w:tcPr>
          <w:p w14:paraId="456678C3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07339CAC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620E1F11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VCE</w:t>
            </w:r>
          </w:p>
        </w:tc>
        <w:tc>
          <w:tcPr>
            <w:tcW w:w="1249" w:type="pct"/>
            <w:shd w:val="clear" w:color="auto" w:fill="FFFFFF"/>
          </w:tcPr>
          <w:p w14:paraId="52CAABF0" w14:textId="77777777" w:rsidR="0071328A" w:rsidRPr="006A00AF" w:rsidRDefault="0071328A" w:rsidP="00786CDA">
            <w:pPr>
              <w:pStyle w:val="CETBodytext"/>
            </w:pPr>
            <w:r w:rsidRPr="00A83149">
              <w:t>1.95E-05</w:t>
            </w:r>
          </w:p>
        </w:tc>
      </w:tr>
      <w:tr w:rsidR="0071328A" w:rsidRPr="00B57B36" w14:paraId="4719E096" w14:textId="77777777" w:rsidTr="00786CDA">
        <w:tc>
          <w:tcPr>
            <w:tcW w:w="5000" w:type="pct"/>
            <w:gridSpan w:val="4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707156BF" w14:textId="77777777" w:rsidR="0071328A" w:rsidRDefault="0071328A" w:rsidP="00786CDA">
            <w:pPr>
              <w:pStyle w:val="CETBodytext"/>
              <w:jc w:val="left"/>
              <w:rPr>
                <w:lang w:val="en-GB"/>
              </w:rPr>
            </w:pPr>
            <w:r>
              <w:rPr>
                <w:lang w:val="en-GB"/>
              </w:rPr>
              <w:t>Flood</w:t>
            </w:r>
          </w:p>
        </w:tc>
      </w:tr>
      <w:tr w:rsidR="0071328A" w:rsidRPr="00B57B36" w14:paraId="7946496C" w14:textId="77777777" w:rsidTr="00786CDA">
        <w:tc>
          <w:tcPr>
            <w:tcW w:w="1250" w:type="pct"/>
            <w:shd w:val="clear" w:color="auto" w:fill="FFFFFF"/>
          </w:tcPr>
          <w:p w14:paraId="46C9B66E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A1-A2</w:t>
            </w:r>
          </w:p>
        </w:tc>
        <w:tc>
          <w:tcPr>
            <w:tcW w:w="1251" w:type="pct"/>
            <w:shd w:val="clear" w:color="auto" w:fill="FFFFFF"/>
          </w:tcPr>
          <w:p w14:paraId="43686EEE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Catastrophic rupture</w:t>
            </w:r>
          </w:p>
        </w:tc>
        <w:tc>
          <w:tcPr>
            <w:tcW w:w="1250" w:type="pct"/>
            <w:shd w:val="clear" w:color="auto" w:fill="FFFFFF"/>
          </w:tcPr>
          <w:p w14:paraId="1874798E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Pool Fire</w:t>
            </w:r>
          </w:p>
        </w:tc>
        <w:tc>
          <w:tcPr>
            <w:tcW w:w="1249" w:type="pct"/>
            <w:shd w:val="clear" w:color="auto" w:fill="FFFFFF"/>
          </w:tcPr>
          <w:p w14:paraId="4767EEF0" w14:textId="77777777" w:rsidR="0071328A" w:rsidRPr="006A00AF" w:rsidRDefault="0071328A" w:rsidP="00786CDA">
            <w:pPr>
              <w:pStyle w:val="CETBodytext"/>
            </w:pPr>
            <w:r w:rsidRPr="00214A03">
              <w:t>1.01E-05</w:t>
            </w:r>
          </w:p>
        </w:tc>
      </w:tr>
      <w:tr w:rsidR="0071328A" w:rsidRPr="00B57B36" w14:paraId="60B7D7E5" w14:textId="77777777" w:rsidTr="00786CDA">
        <w:tc>
          <w:tcPr>
            <w:tcW w:w="1250" w:type="pct"/>
            <w:shd w:val="clear" w:color="auto" w:fill="FFFFFF"/>
          </w:tcPr>
          <w:p w14:paraId="187BA514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5A78B905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645EDCF7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Flash Fire</w:t>
            </w:r>
          </w:p>
        </w:tc>
        <w:tc>
          <w:tcPr>
            <w:tcW w:w="1249" w:type="pct"/>
            <w:shd w:val="clear" w:color="auto" w:fill="FFFFFF"/>
          </w:tcPr>
          <w:p w14:paraId="264FDC01" w14:textId="77777777" w:rsidR="0071328A" w:rsidRPr="006A00AF" w:rsidRDefault="0071328A" w:rsidP="00786CDA">
            <w:pPr>
              <w:pStyle w:val="CETBodytext"/>
            </w:pPr>
            <w:r w:rsidRPr="00214A03">
              <w:t>6.95E-06</w:t>
            </w:r>
          </w:p>
        </w:tc>
      </w:tr>
      <w:tr w:rsidR="0071328A" w:rsidRPr="00B57B36" w14:paraId="142EFD81" w14:textId="77777777" w:rsidTr="00786CDA">
        <w:tc>
          <w:tcPr>
            <w:tcW w:w="1250" w:type="pct"/>
            <w:shd w:val="clear" w:color="auto" w:fill="FFFFFF"/>
          </w:tcPr>
          <w:p w14:paraId="07E25B9D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11E14D56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0B6091AB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VCE</w:t>
            </w:r>
          </w:p>
        </w:tc>
        <w:tc>
          <w:tcPr>
            <w:tcW w:w="1249" w:type="pct"/>
            <w:shd w:val="clear" w:color="auto" w:fill="FFFFFF"/>
          </w:tcPr>
          <w:p w14:paraId="12C11428" w14:textId="77777777" w:rsidR="0071328A" w:rsidRPr="006A00AF" w:rsidRDefault="0071328A" w:rsidP="00786CDA">
            <w:pPr>
              <w:pStyle w:val="CETBodytext"/>
            </w:pPr>
            <w:r w:rsidRPr="00214A03">
              <w:t>1.62E-05</w:t>
            </w:r>
          </w:p>
        </w:tc>
      </w:tr>
      <w:tr w:rsidR="0071328A" w:rsidRPr="00B57B36" w14:paraId="08CD6682" w14:textId="77777777" w:rsidTr="00786CDA">
        <w:tc>
          <w:tcPr>
            <w:tcW w:w="1250" w:type="pct"/>
            <w:shd w:val="clear" w:color="auto" w:fill="FFFFFF"/>
          </w:tcPr>
          <w:p w14:paraId="69BFEF77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P1-P2</w:t>
            </w:r>
          </w:p>
        </w:tc>
        <w:tc>
          <w:tcPr>
            <w:tcW w:w="1251" w:type="pct"/>
            <w:shd w:val="clear" w:color="auto" w:fill="FFFFFF"/>
          </w:tcPr>
          <w:p w14:paraId="03528B84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min release</w:t>
            </w:r>
          </w:p>
        </w:tc>
        <w:tc>
          <w:tcPr>
            <w:tcW w:w="1250" w:type="pct"/>
            <w:shd w:val="clear" w:color="auto" w:fill="FFFFFF"/>
          </w:tcPr>
          <w:p w14:paraId="10BEEDEB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Jet Fire</w:t>
            </w:r>
          </w:p>
        </w:tc>
        <w:tc>
          <w:tcPr>
            <w:tcW w:w="1249" w:type="pct"/>
            <w:shd w:val="clear" w:color="auto" w:fill="FFFFFF"/>
          </w:tcPr>
          <w:p w14:paraId="07BA153C" w14:textId="77777777" w:rsidR="0071328A" w:rsidRPr="006A00AF" w:rsidRDefault="0071328A" w:rsidP="00786CDA">
            <w:pPr>
              <w:pStyle w:val="CETBodytext"/>
            </w:pPr>
            <w:r w:rsidRPr="006343DE">
              <w:t>1.26E-04</w:t>
            </w:r>
          </w:p>
        </w:tc>
      </w:tr>
      <w:tr w:rsidR="0071328A" w:rsidRPr="00B57B36" w14:paraId="594B189F" w14:textId="77777777" w:rsidTr="00786CDA">
        <w:tc>
          <w:tcPr>
            <w:tcW w:w="1250" w:type="pct"/>
            <w:shd w:val="clear" w:color="auto" w:fill="FFFFFF"/>
          </w:tcPr>
          <w:p w14:paraId="4AE2362F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63458250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7CA51DB6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Flash Fire</w:t>
            </w:r>
          </w:p>
        </w:tc>
        <w:tc>
          <w:tcPr>
            <w:tcW w:w="1249" w:type="pct"/>
            <w:shd w:val="clear" w:color="auto" w:fill="FFFFFF"/>
          </w:tcPr>
          <w:p w14:paraId="6571C979" w14:textId="77777777" w:rsidR="0071328A" w:rsidRPr="006A00AF" w:rsidRDefault="0071328A" w:rsidP="00786CDA">
            <w:pPr>
              <w:pStyle w:val="CETBodytext"/>
            </w:pPr>
            <w:r w:rsidRPr="006343DE">
              <w:t>8.26E-05</w:t>
            </w:r>
          </w:p>
        </w:tc>
      </w:tr>
      <w:tr w:rsidR="0071328A" w:rsidRPr="00B57B36" w14:paraId="62109E2F" w14:textId="77777777" w:rsidTr="00786CDA">
        <w:tc>
          <w:tcPr>
            <w:tcW w:w="1250" w:type="pct"/>
            <w:shd w:val="clear" w:color="auto" w:fill="FFFFFF"/>
          </w:tcPr>
          <w:p w14:paraId="30FC7AA8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60FA5246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0" w:type="pct"/>
            <w:shd w:val="clear" w:color="auto" w:fill="FFFFFF"/>
          </w:tcPr>
          <w:p w14:paraId="7E334010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VCE</w:t>
            </w:r>
          </w:p>
        </w:tc>
        <w:tc>
          <w:tcPr>
            <w:tcW w:w="1249" w:type="pct"/>
            <w:shd w:val="clear" w:color="auto" w:fill="FFFFFF"/>
          </w:tcPr>
          <w:p w14:paraId="0F2D9097" w14:textId="77777777" w:rsidR="0071328A" w:rsidRPr="006A00AF" w:rsidRDefault="0071328A" w:rsidP="00786CDA">
            <w:pPr>
              <w:pStyle w:val="CETBodytext"/>
            </w:pPr>
            <w:r w:rsidRPr="006343DE">
              <w:t>1.93E-04</w:t>
            </w:r>
          </w:p>
        </w:tc>
      </w:tr>
      <w:tr w:rsidR="0071328A" w:rsidRPr="00B57B36" w14:paraId="10156995" w14:textId="77777777" w:rsidTr="00786CDA">
        <w:tc>
          <w:tcPr>
            <w:tcW w:w="5000" w:type="pct"/>
            <w:gridSpan w:val="4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32916D28" w14:textId="77777777" w:rsidR="0071328A" w:rsidRDefault="0071328A" w:rsidP="00786CDA">
            <w:pPr>
              <w:pStyle w:val="CETBodytext"/>
              <w:jc w:val="left"/>
              <w:rPr>
                <w:lang w:val="en-GB"/>
              </w:rPr>
            </w:pPr>
            <w:r>
              <w:rPr>
                <w:lang w:val="en-GB"/>
              </w:rPr>
              <w:t>Lightning</w:t>
            </w:r>
          </w:p>
        </w:tc>
      </w:tr>
      <w:tr w:rsidR="0071328A" w:rsidRPr="00B57B36" w14:paraId="447E7FC2" w14:textId="77777777" w:rsidTr="00786CDA">
        <w:tc>
          <w:tcPr>
            <w:tcW w:w="1250" w:type="pct"/>
            <w:shd w:val="clear" w:color="auto" w:fill="FFFFFF"/>
          </w:tcPr>
          <w:p w14:paraId="208028A3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A1</w:t>
            </w:r>
          </w:p>
        </w:tc>
        <w:tc>
          <w:tcPr>
            <w:tcW w:w="1251" w:type="pct"/>
            <w:shd w:val="clear" w:color="auto" w:fill="FFFFFF"/>
          </w:tcPr>
          <w:p w14:paraId="6FA3AED5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mm release</w:t>
            </w:r>
          </w:p>
        </w:tc>
        <w:tc>
          <w:tcPr>
            <w:tcW w:w="1250" w:type="pct"/>
            <w:shd w:val="clear" w:color="auto" w:fill="FFFFFF"/>
          </w:tcPr>
          <w:p w14:paraId="7577155D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Pool Fire</w:t>
            </w:r>
          </w:p>
        </w:tc>
        <w:tc>
          <w:tcPr>
            <w:tcW w:w="1249" w:type="pct"/>
            <w:shd w:val="clear" w:color="auto" w:fill="FFFFFF"/>
          </w:tcPr>
          <w:p w14:paraId="747B97E1" w14:textId="77777777" w:rsidR="0071328A" w:rsidRPr="006A00AF" w:rsidRDefault="0071328A" w:rsidP="00786CDA">
            <w:pPr>
              <w:pStyle w:val="CETBodytext"/>
            </w:pPr>
            <w:r w:rsidRPr="00966561">
              <w:t>1.44E-04</w:t>
            </w:r>
          </w:p>
        </w:tc>
      </w:tr>
      <w:tr w:rsidR="0071328A" w:rsidRPr="00B57B36" w14:paraId="6B9EE970" w14:textId="77777777" w:rsidTr="00786CDA">
        <w:tc>
          <w:tcPr>
            <w:tcW w:w="1250" w:type="pct"/>
            <w:shd w:val="clear" w:color="auto" w:fill="FFFFFF"/>
          </w:tcPr>
          <w:p w14:paraId="43F81A68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2019D4F6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Roof failure</w:t>
            </w:r>
          </w:p>
        </w:tc>
        <w:tc>
          <w:tcPr>
            <w:tcW w:w="1250" w:type="pct"/>
            <w:shd w:val="clear" w:color="auto" w:fill="FFFFFF"/>
          </w:tcPr>
          <w:p w14:paraId="1A0B984B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Tank Fire</w:t>
            </w:r>
          </w:p>
        </w:tc>
        <w:tc>
          <w:tcPr>
            <w:tcW w:w="1249" w:type="pct"/>
            <w:shd w:val="clear" w:color="auto" w:fill="FFFFFF"/>
          </w:tcPr>
          <w:p w14:paraId="49DE2E31" w14:textId="77777777" w:rsidR="0071328A" w:rsidRPr="006A00AF" w:rsidRDefault="0071328A" w:rsidP="00786CDA">
            <w:pPr>
              <w:pStyle w:val="CETBodytext"/>
            </w:pPr>
            <w:r w:rsidRPr="00966561">
              <w:t>6.61E-04</w:t>
            </w:r>
          </w:p>
        </w:tc>
      </w:tr>
      <w:tr w:rsidR="0071328A" w:rsidRPr="00B57B36" w14:paraId="173BBDFF" w14:textId="77777777" w:rsidTr="00786CDA">
        <w:tc>
          <w:tcPr>
            <w:tcW w:w="1250" w:type="pct"/>
            <w:shd w:val="clear" w:color="auto" w:fill="FFFFFF"/>
          </w:tcPr>
          <w:p w14:paraId="4A6E4D25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A2</w:t>
            </w:r>
          </w:p>
        </w:tc>
        <w:tc>
          <w:tcPr>
            <w:tcW w:w="1251" w:type="pct"/>
            <w:shd w:val="clear" w:color="auto" w:fill="FFFFFF"/>
          </w:tcPr>
          <w:p w14:paraId="04926E2B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mm release</w:t>
            </w:r>
          </w:p>
        </w:tc>
        <w:tc>
          <w:tcPr>
            <w:tcW w:w="1250" w:type="pct"/>
            <w:shd w:val="clear" w:color="auto" w:fill="FFFFFF"/>
          </w:tcPr>
          <w:p w14:paraId="0099266A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Pool Fire</w:t>
            </w:r>
          </w:p>
        </w:tc>
        <w:tc>
          <w:tcPr>
            <w:tcW w:w="1249" w:type="pct"/>
            <w:shd w:val="clear" w:color="auto" w:fill="FFFFFF"/>
          </w:tcPr>
          <w:p w14:paraId="0E636C3B" w14:textId="77777777" w:rsidR="0071328A" w:rsidRPr="006A00AF" w:rsidRDefault="0071328A" w:rsidP="00786CDA">
            <w:pPr>
              <w:pStyle w:val="CETBodytext"/>
            </w:pPr>
            <w:r w:rsidRPr="00D7096D">
              <w:t>1.46E-04</w:t>
            </w:r>
          </w:p>
        </w:tc>
      </w:tr>
      <w:tr w:rsidR="0071328A" w:rsidRPr="00B57B36" w14:paraId="3BE90B1E" w14:textId="77777777" w:rsidTr="00786CDA">
        <w:tc>
          <w:tcPr>
            <w:tcW w:w="1250" w:type="pct"/>
            <w:shd w:val="clear" w:color="auto" w:fill="FFFFFF"/>
          </w:tcPr>
          <w:p w14:paraId="69F4A535" w14:textId="77777777" w:rsidR="0071328A" w:rsidRDefault="0071328A" w:rsidP="00786CDA">
            <w:pPr>
              <w:pStyle w:val="CETBodytext"/>
              <w:rPr>
                <w:lang w:val="en-GB"/>
              </w:rPr>
            </w:pPr>
          </w:p>
        </w:tc>
        <w:tc>
          <w:tcPr>
            <w:tcW w:w="1251" w:type="pct"/>
            <w:shd w:val="clear" w:color="auto" w:fill="FFFFFF"/>
          </w:tcPr>
          <w:p w14:paraId="6972C1F9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Roof failure</w:t>
            </w:r>
          </w:p>
        </w:tc>
        <w:tc>
          <w:tcPr>
            <w:tcW w:w="1250" w:type="pct"/>
            <w:shd w:val="clear" w:color="auto" w:fill="FFFFFF"/>
          </w:tcPr>
          <w:p w14:paraId="72885C33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Tank Fire</w:t>
            </w:r>
          </w:p>
        </w:tc>
        <w:tc>
          <w:tcPr>
            <w:tcW w:w="1249" w:type="pct"/>
            <w:shd w:val="clear" w:color="auto" w:fill="FFFFFF"/>
          </w:tcPr>
          <w:p w14:paraId="7445FC32" w14:textId="77777777" w:rsidR="0071328A" w:rsidRPr="006A00AF" w:rsidRDefault="0071328A" w:rsidP="00786CDA">
            <w:pPr>
              <w:pStyle w:val="CETBodytext"/>
            </w:pPr>
            <w:r w:rsidRPr="00D7096D">
              <w:t>6.67E-04</w:t>
            </w:r>
          </w:p>
        </w:tc>
      </w:tr>
      <w:tr w:rsidR="0071328A" w:rsidRPr="00B57B36" w14:paraId="3C3B0A76" w14:textId="77777777" w:rsidTr="00786CDA">
        <w:tc>
          <w:tcPr>
            <w:tcW w:w="1250" w:type="pct"/>
            <w:shd w:val="clear" w:color="auto" w:fill="FFFFFF"/>
          </w:tcPr>
          <w:p w14:paraId="765C4899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P1</w:t>
            </w:r>
          </w:p>
        </w:tc>
        <w:tc>
          <w:tcPr>
            <w:tcW w:w="1251" w:type="pct"/>
            <w:shd w:val="clear" w:color="auto" w:fill="FFFFFF"/>
          </w:tcPr>
          <w:p w14:paraId="4D5A1975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mm release</w:t>
            </w:r>
          </w:p>
        </w:tc>
        <w:tc>
          <w:tcPr>
            <w:tcW w:w="1250" w:type="pct"/>
            <w:shd w:val="clear" w:color="auto" w:fill="FFFFFF"/>
          </w:tcPr>
          <w:p w14:paraId="148F6B5B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Jet Fire</w:t>
            </w:r>
          </w:p>
        </w:tc>
        <w:tc>
          <w:tcPr>
            <w:tcW w:w="1249" w:type="pct"/>
            <w:shd w:val="clear" w:color="auto" w:fill="FFFFFF"/>
          </w:tcPr>
          <w:p w14:paraId="5D165155" w14:textId="77777777" w:rsidR="0071328A" w:rsidRPr="006A00AF" w:rsidRDefault="0071328A" w:rsidP="00786CDA">
            <w:pPr>
              <w:pStyle w:val="CETBodytext"/>
            </w:pPr>
            <w:r w:rsidRPr="00B83535">
              <w:t>9.25E-09</w:t>
            </w:r>
          </w:p>
        </w:tc>
      </w:tr>
      <w:tr w:rsidR="0071328A" w:rsidRPr="00B57B36" w14:paraId="29BD0C01" w14:textId="77777777" w:rsidTr="00786CDA">
        <w:tc>
          <w:tcPr>
            <w:tcW w:w="1250" w:type="pct"/>
            <w:shd w:val="clear" w:color="auto" w:fill="FFFFFF"/>
          </w:tcPr>
          <w:p w14:paraId="400D2FE0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P2</w:t>
            </w:r>
          </w:p>
        </w:tc>
        <w:tc>
          <w:tcPr>
            <w:tcW w:w="1251" w:type="pct"/>
            <w:shd w:val="clear" w:color="auto" w:fill="FFFFFF"/>
          </w:tcPr>
          <w:p w14:paraId="54F28A80" w14:textId="77777777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 mm release</w:t>
            </w:r>
          </w:p>
        </w:tc>
        <w:tc>
          <w:tcPr>
            <w:tcW w:w="1250" w:type="pct"/>
            <w:shd w:val="clear" w:color="auto" w:fill="FFFFFF"/>
          </w:tcPr>
          <w:p w14:paraId="77B84071" w14:textId="630B7855" w:rsidR="0071328A" w:rsidRDefault="0071328A" w:rsidP="00786CDA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Jet F</w:t>
            </w:r>
            <w:r w:rsidR="00CE46D3">
              <w:rPr>
                <w:lang w:val="en-GB"/>
              </w:rPr>
              <w:t>i</w:t>
            </w:r>
            <w:r>
              <w:rPr>
                <w:lang w:val="en-GB"/>
              </w:rPr>
              <w:t>re</w:t>
            </w:r>
          </w:p>
        </w:tc>
        <w:tc>
          <w:tcPr>
            <w:tcW w:w="1249" w:type="pct"/>
            <w:shd w:val="clear" w:color="auto" w:fill="FFFFFF"/>
          </w:tcPr>
          <w:p w14:paraId="728D1720" w14:textId="77777777" w:rsidR="0071328A" w:rsidRPr="006A00AF" w:rsidRDefault="0071328A" w:rsidP="00786CDA">
            <w:pPr>
              <w:pStyle w:val="CETBodytext"/>
            </w:pPr>
            <w:r w:rsidRPr="00B83535">
              <w:t>1.02E-08</w:t>
            </w:r>
          </w:p>
        </w:tc>
      </w:tr>
    </w:tbl>
    <w:p w14:paraId="598A9BA8" w14:textId="05106CBC" w:rsidR="00355746" w:rsidRPr="00235C51" w:rsidRDefault="003B5EA1" w:rsidP="00286624">
      <w:pPr>
        <w:pStyle w:val="CETBodytext"/>
        <w:spacing w:before="240"/>
        <w:rPr>
          <w:lang w:val="en-GB"/>
        </w:rPr>
      </w:pPr>
      <w:r>
        <w:rPr>
          <w:lang w:val="en-GB"/>
        </w:rPr>
        <w:t>Natech</w:t>
      </w:r>
      <w:r w:rsidR="00EE3410">
        <w:rPr>
          <w:lang w:val="en-GB"/>
        </w:rPr>
        <w:t xml:space="preserve"> scenarios are </w:t>
      </w:r>
      <w:r w:rsidR="00EE3410" w:rsidRPr="006543D4">
        <w:rPr>
          <w:lang w:val="en-GB"/>
        </w:rPr>
        <w:t xml:space="preserve">summarized in Table 2 together with the associated final frequency values (Step 3 and 4). The vulnerabilities of the items </w:t>
      </w:r>
      <w:r w:rsidR="0060112A" w:rsidRPr="006543D4">
        <w:rPr>
          <w:lang w:val="en-GB"/>
        </w:rPr>
        <w:t>to the reference earthquake</w:t>
      </w:r>
      <w:r w:rsidR="0060112A">
        <w:rPr>
          <w:lang w:val="en-GB"/>
        </w:rPr>
        <w:t xml:space="preserve"> </w:t>
      </w:r>
      <w:r w:rsidR="00EE3410">
        <w:rPr>
          <w:lang w:val="en-GB"/>
        </w:rPr>
        <w:t xml:space="preserve">were evaluated applying </w:t>
      </w:r>
      <w:r w:rsidR="0060112A">
        <w:rPr>
          <w:lang w:val="en-GB"/>
        </w:rPr>
        <w:t>specific p</w:t>
      </w:r>
      <w:r w:rsidR="00EE3410">
        <w:rPr>
          <w:lang w:val="en-GB"/>
        </w:rPr>
        <w:t>robit functions</w:t>
      </w:r>
      <w:r w:rsidR="00EC3728">
        <w:rPr>
          <w:lang w:val="en-GB"/>
        </w:rPr>
        <w:t xml:space="preserve"> </w:t>
      </w:r>
      <w:r w:rsidR="00EE3410" w:rsidRPr="006543D4">
        <w:rPr>
          <w:lang w:val="en-GB"/>
        </w:rPr>
        <w:lastRenderedPageBreak/>
        <w:t xml:space="preserve">(Salzano et al., 2009). </w:t>
      </w:r>
      <w:r w:rsidR="0060112A" w:rsidRPr="006543D4">
        <w:rPr>
          <w:lang w:val="en-GB"/>
        </w:rPr>
        <w:t xml:space="preserve">For the </w:t>
      </w:r>
      <w:r w:rsidR="00EE3410" w:rsidRPr="006543D4">
        <w:rPr>
          <w:lang w:val="en-GB"/>
        </w:rPr>
        <w:t>case of flood</w:t>
      </w:r>
      <w:r w:rsidR="0060112A" w:rsidRPr="006543D4">
        <w:rPr>
          <w:lang w:val="en-GB"/>
        </w:rPr>
        <w:t xml:space="preserve">, the </w:t>
      </w:r>
      <w:r w:rsidR="00EE3410" w:rsidRPr="006543D4">
        <w:rPr>
          <w:lang w:val="en-GB"/>
        </w:rPr>
        <w:t>vulnerability models proposed by Landucci et al.</w:t>
      </w:r>
      <w:r w:rsidR="0060112A" w:rsidRPr="006543D4">
        <w:rPr>
          <w:lang w:val="en-GB"/>
        </w:rPr>
        <w:t xml:space="preserve"> (</w:t>
      </w:r>
      <w:r w:rsidR="00EE3410" w:rsidRPr="006543D4">
        <w:rPr>
          <w:lang w:val="en-GB"/>
        </w:rPr>
        <w:t xml:space="preserve">2012) </w:t>
      </w:r>
      <w:r w:rsidR="0060112A" w:rsidRPr="006543D4">
        <w:rPr>
          <w:lang w:val="en-GB"/>
        </w:rPr>
        <w:t xml:space="preserve">were used for atmospheric </w:t>
      </w:r>
      <w:r w:rsidR="00202140" w:rsidRPr="006543D4">
        <w:rPr>
          <w:lang w:val="en-GB"/>
        </w:rPr>
        <w:t>tanks</w:t>
      </w:r>
      <w:r w:rsidR="0060112A" w:rsidRPr="006543D4">
        <w:rPr>
          <w:lang w:val="en-GB"/>
        </w:rPr>
        <w:t xml:space="preserve">, </w:t>
      </w:r>
      <w:r w:rsidR="00EE3410" w:rsidRPr="006543D4">
        <w:rPr>
          <w:lang w:val="en-GB"/>
        </w:rPr>
        <w:t xml:space="preserve">and </w:t>
      </w:r>
      <w:r w:rsidR="0060112A" w:rsidRPr="006543D4">
        <w:rPr>
          <w:lang w:val="en-GB"/>
        </w:rPr>
        <w:t xml:space="preserve">the ones proposed by </w:t>
      </w:r>
      <w:r w:rsidR="00EE3410" w:rsidRPr="006543D4">
        <w:rPr>
          <w:lang w:val="en-GB"/>
        </w:rPr>
        <w:t>Landucci et al.</w:t>
      </w:r>
      <w:r w:rsidR="0060112A" w:rsidRPr="006543D4">
        <w:rPr>
          <w:lang w:val="en-GB"/>
        </w:rPr>
        <w:t xml:space="preserve"> (</w:t>
      </w:r>
      <w:r w:rsidR="00EE3410" w:rsidRPr="006543D4">
        <w:rPr>
          <w:lang w:val="en-GB"/>
        </w:rPr>
        <w:t xml:space="preserve">2014) </w:t>
      </w:r>
      <w:r w:rsidR="0060112A" w:rsidRPr="006543D4">
        <w:rPr>
          <w:lang w:val="en-GB"/>
        </w:rPr>
        <w:t xml:space="preserve">for </w:t>
      </w:r>
      <w:r w:rsidR="00EE3410" w:rsidRPr="006543D4">
        <w:rPr>
          <w:lang w:val="en-GB"/>
        </w:rPr>
        <w:t xml:space="preserve">pressurized </w:t>
      </w:r>
      <w:r w:rsidR="00202140" w:rsidRPr="006543D4">
        <w:rPr>
          <w:lang w:val="en-GB"/>
        </w:rPr>
        <w:t>vessels</w:t>
      </w:r>
      <w:r w:rsidR="00EE3410" w:rsidRPr="006543D4">
        <w:rPr>
          <w:lang w:val="en-GB"/>
        </w:rPr>
        <w:t>. Finally, lightning vulnerability was evaluated following the method</w:t>
      </w:r>
      <w:r w:rsidR="00465FAC">
        <w:rPr>
          <w:lang w:val="en-GB"/>
        </w:rPr>
        <w:t>ology reported in Misuri et al.</w:t>
      </w:r>
      <w:r w:rsidR="00EE3410" w:rsidRPr="006543D4">
        <w:rPr>
          <w:lang w:val="en-GB"/>
        </w:rPr>
        <w:t xml:space="preserve"> </w:t>
      </w:r>
      <w:r w:rsidR="00EA55C4" w:rsidRPr="006543D4">
        <w:rPr>
          <w:lang w:val="en-GB"/>
        </w:rPr>
        <w:t>(</w:t>
      </w:r>
      <w:r w:rsidR="00EE3410" w:rsidRPr="006543D4">
        <w:rPr>
          <w:lang w:val="en-GB"/>
        </w:rPr>
        <w:t xml:space="preserve">2020). </w:t>
      </w:r>
      <w:r w:rsidR="00465FAC">
        <w:rPr>
          <w:lang w:val="en-GB"/>
        </w:rPr>
        <w:t>The</w:t>
      </w:r>
      <w:r w:rsidR="00EE3410" w:rsidRPr="006543D4">
        <w:rPr>
          <w:lang w:val="en-GB"/>
        </w:rPr>
        <w:t xml:space="preserve"> frequencies </w:t>
      </w:r>
      <w:r w:rsidR="00465FAC">
        <w:rPr>
          <w:lang w:val="en-GB"/>
        </w:rPr>
        <w:t xml:space="preserve">of </w:t>
      </w:r>
      <w:r w:rsidR="00465FAC" w:rsidRPr="006543D4">
        <w:rPr>
          <w:lang w:val="en-GB"/>
        </w:rPr>
        <w:t xml:space="preserve">earthquake-induced and flood-induced </w:t>
      </w:r>
      <w:r w:rsidR="00465FAC">
        <w:rPr>
          <w:lang w:val="en-GB"/>
        </w:rPr>
        <w:t xml:space="preserve">final </w:t>
      </w:r>
      <w:r w:rsidR="00465FAC" w:rsidRPr="006543D4">
        <w:rPr>
          <w:lang w:val="en-GB"/>
        </w:rPr>
        <w:t>scenarios</w:t>
      </w:r>
      <w:r w:rsidR="00465FAC">
        <w:rPr>
          <w:lang w:val="en-GB"/>
        </w:rPr>
        <w:t xml:space="preserve"> </w:t>
      </w:r>
      <w:r w:rsidR="00EE3410" w:rsidRPr="006543D4">
        <w:rPr>
          <w:lang w:val="en-GB"/>
        </w:rPr>
        <w:t xml:space="preserve">were evaluated applying conventional event tree analysis (ETA) and using ignition probability values </w:t>
      </w:r>
      <w:r w:rsidR="00A76286">
        <w:rPr>
          <w:lang w:val="en-GB"/>
        </w:rPr>
        <w:t xml:space="preserve">available in the literature </w:t>
      </w:r>
      <w:r w:rsidR="00EE3410" w:rsidRPr="006543D4">
        <w:rPr>
          <w:lang w:val="en-GB"/>
        </w:rPr>
        <w:t xml:space="preserve">(Energy Institute, 2019). For Natech scenarios </w:t>
      </w:r>
      <w:r w:rsidR="009678EF" w:rsidRPr="006543D4">
        <w:rPr>
          <w:lang w:val="en-GB"/>
        </w:rPr>
        <w:t xml:space="preserve">driven </w:t>
      </w:r>
      <w:r w:rsidR="00EE3410" w:rsidRPr="006543D4">
        <w:rPr>
          <w:lang w:val="en-GB"/>
        </w:rPr>
        <w:t>by lightning strikes</w:t>
      </w:r>
      <w:r w:rsidR="009678EF" w:rsidRPr="006543D4">
        <w:rPr>
          <w:lang w:val="en-GB"/>
        </w:rPr>
        <w:t>,</w:t>
      </w:r>
      <w:r w:rsidR="00EE3410" w:rsidRPr="006543D4">
        <w:rPr>
          <w:lang w:val="en-GB"/>
        </w:rPr>
        <w:t xml:space="preserve"> the </w:t>
      </w:r>
      <w:r w:rsidR="009678EF" w:rsidRPr="006543D4">
        <w:rPr>
          <w:lang w:val="en-GB"/>
        </w:rPr>
        <w:t xml:space="preserve">specific </w:t>
      </w:r>
      <w:r w:rsidR="00EE3410" w:rsidRPr="006543D4">
        <w:rPr>
          <w:lang w:val="en-GB"/>
        </w:rPr>
        <w:t>ETA proposed by Necci et al. (2016) was applied considering the presence of a fixed foam rim-seal fire extinguishing systems for atmospheric tanks A1 and A2</w:t>
      </w:r>
      <w:r w:rsidR="009678EF" w:rsidRPr="006543D4">
        <w:rPr>
          <w:lang w:val="en-GB"/>
        </w:rPr>
        <w:t>,</w:t>
      </w:r>
      <w:r w:rsidR="00EE3410" w:rsidRPr="006543D4">
        <w:rPr>
          <w:lang w:val="en-GB"/>
        </w:rPr>
        <w:t xml:space="preserve"> and a</w:t>
      </w:r>
      <w:r w:rsidR="009678EF" w:rsidRPr="006543D4">
        <w:rPr>
          <w:lang w:val="en-GB"/>
        </w:rPr>
        <w:t xml:space="preserve">n </w:t>
      </w:r>
      <w:r w:rsidR="00EE3410" w:rsidRPr="006543D4">
        <w:rPr>
          <w:lang w:val="en-GB"/>
        </w:rPr>
        <w:t xml:space="preserve">immediate ignition </w:t>
      </w:r>
      <w:r w:rsidR="009678EF" w:rsidRPr="006543D4">
        <w:rPr>
          <w:lang w:val="en-GB"/>
        </w:rPr>
        <w:t xml:space="preserve">probability </w:t>
      </w:r>
      <w:r w:rsidR="00EE3410" w:rsidRPr="006543D4">
        <w:rPr>
          <w:lang w:val="en-GB"/>
        </w:rPr>
        <w:t xml:space="preserve">equal to 1 for all the </w:t>
      </w:r>
      <w:r w:rsidR="009678EF" w:rsidRPr="006543D4">
        <w:rPr>
          <w:lang w:val="en-GB"/>
        </w:rPr>
        <w:t>LOCs</w:t>
      </w:r>
      <w:r w:rsidR="00A76286">
        <w:rPr>
          <w:lang w:val="en-GB"/>
        </w:rPr>
        <w:t>,</w:t>
      </w:r>
      <w:r w:rsidR="00EE3410" w:rsidRPr="006543D4">
        <w:rPr>
          <w:lang w:val="en-GB"/>
        </w:rPr>
        <w:t xml:space="preserve"> as suggested by Renni et al.</w:t>
      </w:r>
      <w:r w:rsidR="009678EF" w:rsidRPr="006543D4">
        <w:rPr>
          <w:lang w:val="en-GB"/>
        </w:rPr>
        <w:t xml:space="preserve"> (</w:t>
      </w:r>
      <w:r w:rsidR="00EE3410" w:rsidRPr="006543D4">
        <w:rPr>
          <w:lang w:val="en-GB"/>
        </w:rPr>
        <w:t>2010).</w:t>
      </w:r>
      <w:r w:rsidR="00B3741B" w:rsidRPr="006543D4">
        <w:rPr>
          <w:lang w:val="en-GB"/>
        </w:rPr>
        <w:t xml:space="preserve"> </w:t>
      </w:r>
      <w:r w:rsidR="00EE3410" w:rsidRPr="006543D4">
        <w:rPr>
          <w:lang w:val="en-GB"/>
        </w:rPr>
        <w:t xml:space="preserve">Physical effects for consequence assessment (Step 5) associated to the final outcomes reported in Table 2 were calculated by literature models (Van Den Bosh and Weterings, 2005). </w:t>
      </w:r>
      <w:r w:rsidR="00355746" w:rsidRPr="006543D4">
        <w:rPr>
          <w:lang w:val="en-GB"/>
        </w:rPr>
        <w:t>The risk recomposition step (Step</w:t>
      </w:r>
      <w:r w:rsidR="00B3741B" w:rsidRPr="006543D4">
        <w:rPr>
          <w:lang w:val="en-GB"/>
        </w:rPr>
        <w:t xml:space="preserve"> 6</w:t>
      </w:r>
      <w:r w:rsidR="00355746" w:rsidRPr="006543D4">
        <w:rPr>
          <w:lang w:val="en-GB"/>
        </w:rPr>
        <w:t>) required when multiple simultaneous LOC</w:t>
      </w:r>
      <w:r w:rsidR="00A76286">
        <w:rPr>
          <w:lang w:val="en-GB"/>
        </w:rPr>
        <w:t>s</w:t>
      </w:r>
      <w:r w:rsidR="00355746" w:rsidRPr="006543D4">
        <w:rPr>
          <w:lang w:val="en-GB"/>
        </w:rPr>
        <w:t xml:space="preserve"> are expected</w:t>
      </w:r>
      <w:r w:rsidR="009678EF" w:rsidRPr="006543D4">
        <w:rPr>
          <w:lang w:val="en-GB"/>
        </w:rPr>
        <w:t>,</w:t>
      </w:r>
      <w:r w:rsidR="00355746" w:rsidRPr="006543D4">
        <w:rPr>
          <w:lang w:val="en-GB"/>
        </w:rPr>
        <w:t xml:space="preserve"> </w:t>
      </w:r>
      <w:r w:rsidR="009678EF" w:rsidRPr="006543D4">
        <w:rPr>
          <w:lang w:val="en-GB"/>
        </w:rPr>
        <w:t>in this case</w:t>
      </w:r>
      <w:r w:rsidR="00355746" w:rsidRPr="006543D4">
        <w:rPr>
          <w:lang w:val="en-GB"/>
        </w:rPr>
        <w:t xml:space="preserve"> for </w:t>
      </w:r>
      <w:r w:rsidR="00A76286">
        <w:rPr>
          <w:lang w:val="en-GB"/>
        </w:rPr>
        <w:t xml:space="preserve">the </w:t>
      </w:r>
      <w:r w:rsidR="009678EF" w:rsidRPr="006543D4">
        <w:rPr>
          <w:lang w:val="en-GB"/>
        </w:rPr>
        <w:t xml:space="preserve">scenarios triggered by the reference </w:t>
      </w:r>
      <w:r w:rsidR="00355746" w:rsidRPr="006543D4">
        <w:rPr>
          <w:lang w:val="en-GB"/>
        </w:rPr>
        <w:t xml:space="preserve">flood and earthquake, </w:t>
      </w:r>
      <w:r w:rsidR="009678EF" w:rsidRPr="006543D4">
        <w:rPr>
          <w:lang w:val="en-GB"/>
        </w:rPr>
        <w:t xml:space="preserve">was based on an established </w:t>
      </w:r>
      <w:r w:rsidR="00355746" w:rsidRPr="006543D4">
        <w:rPr>
          <w:lang w:val="en-GB"/>
        </w:rPr>
        <w:t xml:space="preserve">procedure described elsewhere (Antonioni et al., 2015). </w:t>
      </w:r>
      <w:r w:rsidR="009678EF" w:rsidRPr="006543D4">
        <w:rPr>
          <w:lang w:val="en-GB"/>
        </w:rPr>
        <w:t xml:space="preserve">The </w:t>
      </w:r>
      <w:r w:rsidR="00355746" w:rsidRPr="006543D4">
        <w:rPr>
          <w:lang w:val="en-GB"/>
        </w:rPr>
        <w:t xml:space="preserve">individual </w:t>
      </w:r>
      <w:r w:rsidR="009678EF" w:rsidRPr="006543D4">
        <w:rPr>
          <w:lang w:val="en-GB"/>
        </w:rPr>
        <w:t xml:space="preserve">risk </w:t>
      </w:r>
      <w:r w:rsidR="00355746" w:rsidRPr="006543D4">
        <w:rPr>
          <w:lang w:val="en-GB"/>
        </w:rPr>
        <w:t xml:space="preserve">and societal risk </w:t>
      </w:r>
      <w:r w:rsidR="00A76286">
        <w:rPr>
          <w:lang w:val="en-GB"/>
        </w:rPr>
        <w:t xml:space="preserve">figures </w:t>
      </w:r>
      <w:r w:rsidR="009678EF" w:rsidRPr="006543D4">
        <w:rPr>
          <w:lang w:val="en-GB"/>
        </w:rPr>
        <w:t xml:space="preserve">were </w:t>
      </w:r>
      <w:r w:rsidR="00355746" w:rsidRPr="006543D4">
        <w:rPr>
          <w:lang w:val="en-GB"/>
        </w:rPr>
        <w:t xml:space="preserve">evaluated (Step 7) according to standard </w:t>
      </w:r>
      <w:r w:rsidR="009678EF" w:rsidRPr="006543D4">
        <w:rPr>
          <w:lang w:val="en-GB"/>
        </w:rPr>
        <w:t xml:space="preserve">approaches </w:t>
      </w:r>
      <w:r w:rsidR="00355746" w:rsidRPr="006543D4">
        <w:rPr>
          <w:lang w:val="en-GB"/>
        </w:rPr>
        <w:t>(CCPS, 2000)</w:t>
      </w:r>
      <w:r w:rsidR="009678EF" w:rsidRPr="006543D4">
        <w:rPr>
          <w:lang w:val="en-GB"/>
        </w:rPr>
        <w:t xml:space="preserve">, enabling the also quantification of </w:t>
      </w:r>
      <w:r w:rsidR="00355746" w:rsidRPr="006543D4">
        <w:rPr>
          <w:lang w:val="en-GB"/>
        </w:rPr>
        <w:t xml:space="preserve">the relative contribution of each natural hazard </w:t>
      </w:r>
      <w:r w:rsidR="009678EF" w:rsidRPr="006543D4">
        <w:rPr>
          <w:lang w:val="en-GB"/>
        </w:rPr>
        <w:t>to the overall multi-risk figures. Two additional indices were also adopted to ease result interpretation</w:t>
      </w:r>
      <w:r w:rsidR="00355746" w:rsidRPr="006543D4">
        <w:rPr>
          <w:lang w:val="en-GB"/>
        </w:rPr>
        <w:t>: the Potential Life Loss (PLL) and the Expectation Value (EV) as done in Misuri et al. (2020).</w:t>
      </w:r>
    </w:p>
    <w:p w14:paraId="3B3AB19F" w14:textId="015B32FD" w:rsidR="00695C8D" w:rsidRDefault="001A42BC" w:rsidP="001A42BC">
      <w:pPr>
        <w:pStyle w:val="CETHeading1"/>
        <w:tabs>
          <w:tab w:val="clear" w:pos="360"/>
        </w:tabs>
        <w:rPr>
          <w:lang w:val="en-GB"/>
        </w:rPr>
      </w:pPr>
      <w:r>
        <w:rPr>
          <w:lang w:val="en-GB"/>
        </w:rPr>
        <w:t>Results and discussions</w:t>
      </w:r>
    </w:p>
    <w:p w14:paraId="109652DC" w14:textId="71F56D01" w:rsidR="00A76286" w:rsidRPr="00A76286" w:rsidRDefault="00A76286" w:rsidP="00A76286">
      <w:pPr>
        <w:pStyle w:val="CETBodytext"/>
        <w:rPr>
          <w:lang w:val="en-GB"/>
        </w:rPr>
      </w:pPr>
      <w:r>
        <w:t xml:space="preserve">The risk figures obtained for the case study described in Section 3 are discussed in the </w:t>
      </w:r>
      <w:r w:rsidRPr="006543D4">
        <w:t>following.</w:t>
      </w:r>
    </w:p>
    <w:p w14:paraId="57E096C8" w14:textId="2BACFAA6" w:rsidR="008974DB" w:rsidRDefault="00CB0C17" w:rsidP="00600535">
      <w:pPr>
        <w:pStyle w:val="CETBodytext"/>
      </w:pPr>
      <w:r w:rsidRPr="00CB0C17">
        <w:rPr>
          <w:noProof/>
          <w:lang w:val="en-GB" w:eastAsia="en-GB"/>
        </w:rPr>
        <w:drawing>
          <wp:inline distT="0" distB="0" distL="0" distR="0" wp14:anchorId="28E6CA8B" wp14:editId="28C84101">
            <wp:extent cx="5535637" cy="4903137"/>
            <wp:effectExtent l="0" t="0" r="8255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162" cy="490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545A" w14:textId="588E0A28" w:rsidR="00D50DB4" w:rsidRPr="00D50DB4" w:rsidRDefault="00D50DB4" w:rsidP="006D4718">
      <w:pPr>
        <w:pStyle w:val="CETCaption"/>
      </w:pPr>
      <w:r w:rsidRPr="006543D4">
        <w:rPr>
          <w:rStyle w:val="CETCaptionCarattere"/>
          <w:i/>
        </w:rPr>
        <w:t>Figure 2: Local</w:t>
      </w:r>
      <w:r w:rsidRPr="000A1F91">
        <w:rPr>
          <w:rStyle w:val="CETCaptionCarattere"/>
          <w:i/>
        </w:rPr>
        <w:t>-Specific Individual Risk (LSIR) contours obtained considering</w:t>
      </w:r>
      <w:r w:rsidR="00201769">
        <w:rPr>
          <w:rStyle w:val="CETCaptionCarattere"/>
          <w:i/>
        </w:rPr>
        <w:t>:</w:t>
      </w:r>
      <w:r>
        <w:rPr>
          <w:rStyle w:val="CETCaptionCarattere"/>
          <w:i/>
        </w:rPr>
        <w:t xml:space="preserve"> a) </w:t>
      </w:r>
      <w:r w:rsidRPr="000A1F91">
        <w:rPr>
          <w:rStyle w:val="CETCaptionCarattere"/>
          <w:i/>
        </w:rPr>
        <w:t xml:space="preserve">only conventional scenarios; </w:t>
      </w:r>
      <w:r>
        <w:rPr>
          <w:rStyle w:val="CETCaptionCarattere"/>
          <w:i/>
        </w:rPr>
        <w:t>b) the overall risk; c</w:t>
      </w:r>
      <w:r w:rsidRPr="000A1F91">
        <w:rPr>
          <w:rStyle w:val="CETCaptionCarattere"/>
          <w:i/>
        </w:rPr>
        <w:t>) conventional</w:t>
      </w:r>
      <w:r>
        <w:rPr>
          <w:rStyle w:val="CETCaptionCarattere"/>
          <w:i/>
        </w:rPr>
        <w:t xml:space="preserve"> </w:t>
      </w:r>
      <w:r w:rsidRPr="000A1F91">
        <w:rPr>
          <w:rStyle w:val="CETCaptionCarattere"/>
          <w:i/>
        </w:rPr>
        <w:t xml:space="preserve">and primary </w:t>
      </w:r>
      <w:r w:rsidR="007F6FB9">
        <w:rPr>
          <w:rStyle w:val="CETCaptionCarattere"/>
          <w:i/>
        </w:rPr>
        <w:t>lightning</w:t>
      </w:r>
      <w:r w:rsidRPr="000A1F91">
        <w:rPr>
          <w:rStyle w:val="CETCaptionCarattere"/>
          <w:i/>
        </w:rPr>
        <w:t xml:space="preserve">-induced Natech; </w:t>
      </w:r>
      <w:r>
        <w:rPr>
          <w:rStyle w:val="CETCaptionCarattere"/>
          <w:i/>
        </w:rPr>
        <w:t>d</w:t>
      </w:r>
      <w:r w:rsidRPr="000A1F91">
        <w:rPr>
          <w:rStyle w:val="CETCaptionCarattere"/>
          <w:i/>
        </w:rPr>
        <w:t>) conventional</w:t>
      </w:r>
      <w:r>
        <w:rPr>
          <w:rStyle w:val="CETCaptionCarattere"/>
          <w:i/>
        </w:rPr>
        <w:t xml:space="preserve"> </w:t>
      </w:r>
      <w:r w:rsidRPr="000A1F91">
        <w:rPr>
          <w:rStyle w:val="CETCaptionCarattere"/>
          <w:i/>
        </w:rPr>
        <w:t xml:space="preserve">and primary </w:t>
      </w:r>
      <w:r w:rsidR="007F6FB9">
        <w:rPr>
          <w:rStyle w:val="CETCaptionCarattere"/>
          <w:i/>
        </w:rPr>
        <w:t>flood</w:t>
      </w:r>
      <w:r w:rsidRPr="000A1F91">
        <w:rPr>
          <w:rStyle w:val="CETCaptionCarattere"/>
          <w:i/>
        </w:rPr>
        <w:t>-induced Natech;</w:t>
      </w:r>
      <w:r>
        <w:rPr>
          <w:rStyle w:val="CETCaptionCarattere"/>
          <w:i/>
        </w:rPr>
        <w:t xml:space="preserve"> e) </w:t>
      </w:r>
      <w:r w:rsidRPr="000A1F91">
        <w:rPr>
          <w:rStyle w:val="CETCaptionCarattere"/>
          <w:i/>
        </w:rPr>
        <w:t>conventional</w:t>
      </w:r>
      <w:r>
        <w:rPr>
          <w:rStyle w:val="CETCaptionCarattere"/>
          <w:i/>
        </w:rPr>
        <w:t xml:space="preserve"> </w:t>
      </w:r>
      <w:r w:rsidRPr="000A1F91">
        <w:rPr>
          <w:rStyle w:val="CETCaptionCarattere"/>
          <w:i/>
        </w:rPr>
        <w:t xml:space="preserve">and primary </w:t>
      </w:r>
      <w:r>
        <w:rPr>
          <w:rStyle w:val="CETCaptionCarattere"/>
          <w:i/>
        </w:rPr>
        <w:t>earthquake</w:t>
      </w:r>
      <w:r w:rsidRPr="000A1F91">
        <w:rPr>
          <w:rStyle w:val="CETCaptionCarattere"/>
          <w:i/>
        </w:rPr>
        <w:t>-induced Natech</w:t>
      </w:r>
      <w:r>
        <w:rPr>
          <w:rStyle w:val="CETCaptionCarattere"/>
          <w:i/>
        </w:rPr>
        <w:t>.</w:t>
      </w:r>
    </w:p>
    <w:p w14:paraId="59561259" w14:textId="660622FF" w:rsidR="00926EBD" w:rsidRDefault="00FA6E9E" w:rsidP="00600535">
      <w:pPr>
        <w:pStyle w:val="CETBodytext"/>
        <w:rPr>
          <w:lang w:val="en-GB"/>
        </w:rPr>
      </w:pPr>
      <w:r w:rsidRPr="006543D4">
        <w:lastRenderedPageBreak/>
        <w:t xml:space="preserve">Figure 2 shows the local-specific individual risk (LSIR) contours obtained considering only the conventional scenarios (panel a), </w:t>
      </w:r>
      <w:r w:rsidR="005D7289" w:rsidRPr="006543D4">
        <w:t xml:space="preserve">the overall </w:t>
      </w:r>
      <w:r w:rsidR="00CB1231" w:rsidRPr="006543D4">
        <w:t xml:space="preserve">Natech </w:t>
      </w:r>
      <w:r w:rsidR="005D7289" w:rsidRPr="006543D4">
        <w:t>risk (</w:t>
      </w:r>
      <w:r w:rsidR="00E55F6F" w:rsidRPr="006543D4">
        <w:t>earthquake, lightning and flood</w:t>
      </w:r>
      <w:r w:rsidR="00DB168F" w:rsidRPr="006543D4">
        <w:t xml:space="preserve"> contributions,</w:t>
      </w:r>
      <w:r w:rsidR="001E0000" w:rsidRPr="006543D4">
        <w:t xml:space="preserve"> panel b),</w:t>
      </w:r>
      <w:r w:rsidRPr="006543D4">
        <w:t xml:space="preserve"> primary </w:t>
      </w:r>
      <w:r w:rsidR="001E0000" w:rsidRPr="006543D4">
        <w:t>lightning</w:t>
      </w:r>
      <w:r w:rsidRPr="006543D4">
        <w:t xml:space="preserve">-induced Natech scenarios (panel </w:t>
      </w:r>
      <w:r w:rsidR="002E441F" w:rsidRPr="006543D4">
        <w:t>c</w:t>
      </w:r>
      <w:r w:rsidRPr="006543D4">
        <w:t xml:space="preserve">), primary flood-induced Natech scenarios (panel </w:t>
      </w:r>
      <w:r w:rsidR="002E441F" w:rsidRPr="006543D4">
        <w:t>d</w:t>
      </w:r>
      <w:r w:rsidRPr="006543D4">
        <w:t xml:space="preserve">), and primary </w:t>
      </w:r>
      <w:r w:rsidR="002E441F" w:rsidRPr="006543D4">
        <w:t>earthquake</w:t>
      </w:r>
      <w:r w:rsidRPr="006543D4">
        <w:t xml:space="preserve">-induced Natech scenarios (panel </w:t>
      </w:r>
      <w:r w:rsidR="002E441F" w:rsidRPr="006543D4">
        <w:t>e</w:t>
      </w:r>
      <w:r w:rsidRPr="006543D4">
        <w:t xml:space="preserve">). The baseline risk contribution of conventional scenarios </w:t>
      </w:r>
      <w:r w:rsidR="00A76286">
        <w:t xml:space="preserve">(panel a) </w:t>
      </w:r>
      <w:r w:rsidRPr="006543D4">
        <w:t xml:space="preserve">is considered </w:t>
      </w:r>
      <w:r w:rsidR="00A76286">
        <w:t xml:space="preserve">also </w:t>
      </w:r>
      <w:r w:rsidRPr="006543D4">
        <w:t xml:space="preserve">in all the </w:t>
      </w:r>
      <w:r w:rsidR="00A76286">
        <w:t xml:space="preserve">other </w:t>
      </w:r>
      <w:r w:rsidRPr="006543D4">
        <w:t>panels</w:t>
      </w:r>
      <w:r w:rsidR="00A76286">
        <w:t xml:space="preserve"> of Figure 2</w:t>
      </w:r>
      <w:r w:rsidRPr="006543D4">
        <w:t>. The figure clearly shows for each considered natural hazard an increase in the LSIR values</w:t>
      </w:r>
      <w:r w:rsidR="00A76286">
        <w:t>,</w:t>
      </w:r>
      <w:r w:rsidRPr="006543D4">
        <w:t xml:space="preserve"> since new areas associated to risk higher than 1E-07 y</w:t>
      </w:r>
      <w:r w:rsidRPr="006543D4">
        <w:rPr>
          <w:vertAlign w:val="superscript"/>
        </w:rPr>
        <w:t>-1</w:t>
      </w:r>
      <w:r w:rsidRPr="006543D4">
        <w:t xml:space="preserve"> are identified. While this effect is rather limited in</w:t>
      </w:r>
      <w:r>
        <w:t xml:space="preserve"> the vicinity of the </w:t>
      </w:r>
      <w:r w:rsidRPr="00A57C76">
        <w:t>atmospheric tanks A1 and A2 considering primary Natech scenarios induce</w:t>
      </w:r>
      <w:r w:rsidR="00A76286">
        <w:t>d by lightning strikes (Figure 2</w:t>
      </w:r>
      <w:r w:rsidRPr="00A57C76">
        <w:t>b) due to the fact that</w:t>
      </w:r>
      <w:r w:rsidR="00FE0C78" w:rsidRPr="00A57C76">
        <w:t xml:space="preserve"> </w:t>
      </w:r>
      <w:r w:rsidRPr="00A57C76">
        <w:t>pressurized items</w:t>
      </w:r>
      <w:r w:rsidR="00E971E8" w:rsidRPr="00A57C76">
        <w:t xml:space="preserve"> (P1 and P2)</w:t>
      </w:r>
      <w:r w:rsidRPr="00A57C76">
        <w:t xml:space="preserve"> </w:t>
      </w:r>
      <w:r w:rsidR="00E971E8" w:rsidRPr="00A57C76">
        <w:t>are characterized by low</w:t>
      </w:r>
      <w:r w:rsidRPr="00A57C76">
        <w:t xml:space="preserve"> values of </w:t>
      </w:r>
      <w:r w:rsidR="00D1276E" w:rsidRPr="00A57C76">
        <w:t xml:space="preserve">perforation </w:t>
      </w:r>
      <w:r w:rsidRPr="00A57C76">
        <w:t>frequencies, in case of Natech scenarios induced</w:t>
      </w:r>
      <w:r>
        <w:t xml:space="preserve"> b</w:t>
      </w:r>
      <w:r w:rsidR="00A76286">
        <w:t>y earthquake and flood (Figure 2b and 2</w:t>
      </w:r>
      <w:r>
        <w:t>c) significant areas of the layout show individual risk levels up to two orders of magnitude higher</w:t>
      </w:r>
      <w:r w:rsidR="00A76286">
        <w:t xml:space="preserve"> compared to panel a</w:t>
      </w:r>
      <w:r>
        <w:t xml:space="preserve">, due to both the higher frequency of scenarios involving the pressurized items and to the higher severity of the final outcomes. </w:t>
      </w:r>
      <w:r w:rsidR="00C14102">
        <w:t>In particular</w:t>
      </w:r>
      <w:r>
        <w:t>, flood</w:t>
      </w:r>
      <w:r w:rsidR="00C14102">
        <w:t>-</w:t>
      </w:r>
      <w:r>
        <w:t xml:space="preserve">induced Natech scenarios </w:t>
      </w:r>
      <w:r w:rsidR="00C14102">
        <w:t xml:space="preserve">lead to </w:t>
      </w:r>
      <w:r>
        <w:t xml:space="preserve">the </w:t>
      </w:r>
      <w:r w:rsidR="00C14102">
        <w:t xml:space="preserve">greatest </w:t>
      </w:r>
      <w:r>
        <w:t xml:space="preserve">LSIR, and this can be related to the fact that </w:t>
      </w:r>
      <w:r w:rsidR="00C14102">
        <w:t xml:space="preserve">the flood </w:t>
      </w:r>
      <w:r>
        <w:t xml:space="preserve">vulnerability models </w:t>
      </w:r>
      <w:r w:rsidR="00C14102">
        <w:t xml:space="preserve">adopted </w:t>
      </w:r>
      <w:r>
        <w:t>for pressurized items suggested a failure probability equal to 1 resulting in frequencies an order of magnitude higher with respect to those obtained for earthquake-induced scenarios</w:t>
      </w:r>
      <w:r w:rsidR="00D97352">
        <w:t>.</w:t>
      </w:r>
      <w:r w:rsidR="00823517">
        <w:t xml:space="preserve"> However</w:t>
      </w:r>
      <w:r w:rsidR="0086297C">
        <w:t>, analyzing the</w:t>
      </w:r>
      <w:r w:rsidR="008F2E83">
        <w:t xml:space="preserve"> obtained</w:t>
      </w:r>
      <w:r w:rsidR="0086297C">
        <w:t xml:space="preserve"> overall risk curves (</w:t>
      </w:r>
      <w:r w:rsidR="00C14102">
        <w:t xml:space="preserve">Figure </w:t>
      </w:r>
      <w:r w:rsidR="00A76286">
        <w:t>2</w:t>
      </w:r>
      <w:r w:rsidR="00C14102">
        <w:t>b</w:t>
      </w:r>
      <w:r w:rsidR="0086297C">
        <w:t xml:space="preserve">) it can be noticed </w:t>
      </w:r>
      <w:r w:rsidR="00A76286">
        <w:t>that</w:t>
      </w:r>
      <w:r w:rsidR="00A36C13">
        <w:t xml:space="preserve"> flood</w:t>
      </w:r>
      <w:r w:rsidR="001A53C5">
        <w:t xml:space="preserve"> </w:t>
      </w:r>
      <w:r w:rsidR="00086F1A">
        <w:t>and lightning</w:t>
      </w:r>
      <w:r w:rsidR="001A53C5">
        <w:t xml:space="preserve"> </w:t>
      </w:r>
      <w:r w:rsidR="004B7E9E">
        <w:t xml:space="preserve">scenarios play a major role in risk increase: Natech scenarios caused by floods </w:t>
      </w:r>
      <w:r w:rsidR="00E37DCE">
        <w:t xml:space="preserve">led to the creation of new risk areas with </w:t>
      </w:r>
      <w:r w:rsidR="00D0504C">
        <w:t xml:space="preserve">values </w:t>
      </w:r>
      <w:r w:rsidR="00401414">
        <w:t xml:space="preserve">between </w:t>
      </w:r>
      <w:r w:rsidR="00CF616B">
        <w:t>1E-0</w:t>
      </w:r>
      <w:r w:rsidR="00EF2CC2">
        <w:t>5</w:t>
      </w:r>
      <w:r w:rsidR="00CF616B">
        <w:t xml:space="preserve"> y</w:t>
      </w:r>
      <w:r w:rsidR="00CF616B">
        <w:rPr>
          <w:vertAlign w:val="superscript"/>
        </w:rPr>
        <w:t>-1</w:t>
      </w:r>
      <w:r w:rsidR="00CF616B">
        <w:t xml:space="preserve"> </w:t>
      </w:r>
      <w:r w:rsidR="00D0504C">
        <w:t>and 1E-0</w:t>
      </w:r>
      <w:r w:rsidR="00D552F7">
        <w:t>4</w:t>
      </w:r>
      <w:r w:rsidR="00D0504C">
        <w:t xml:space="preserve"> y</w:t>
      </w:r>
      <w:r w:rsidR="00D0504C">
        <w:rPr>
          <w:vertAlign w:val="superscript"/>
        </w:rPr>
        <w:t>-1</w:t>
      </w:r>
      <w:r w:rsidR="00D101A9">
        <w:t xml:space="preserve">, with peaks </w:t>
      </w:r>
      <w:r w:rsidR="00FF00FC">
        <w:t>higher than 1E-04 y</w:t>
      </w:r>
      <w:r w:rsidR="00FF00FC">
        <w:rPr>
          <w:vertAlign w:val="superscript"/>
        </w:rPr>
        <w:t>-1</w:t>
      </w:r>
      <w:r w:rsidR="0077455F">
        <w:t xml:space="preserve"> </w:t>
      </w:r>
      <w:r w:rsidR="00D101A9">
        <w:t>achieved</w:t>
      </w:r>
      <w:r w:rsidR="00723280">
        <w:t xml:space="preserve"> </w:t>
      </w:r>
      <w:r w:rsidR="0077455F">
        <w:t xml:space="preserve">in the proximity of </w:t>
      </w:r>
      <w:r w:rsidR="00A76286">
        <w:t>vessels P1-P2</w:t>
      </w:r>
      <w:r w:rsidR="006E3098">
        <w:t>, whereas t</w:t>
      </w:r>
      <w:r w:rsidR="004463EA">
        <w:t xml:space="preserve">he contribution of lightning-triggered Natech scenarios </w:t>
      </w:r>
      <w:r w:rsidR="00D101A9">
        <w:t xml:space="preserve">led to an increase of LSIR to values </w:t>
      </w:r>
      <w:r w:rsidR="0085002E">
        <w:t>higher than 1E-04 y</w:t>
      </w:r>
      <w:r w:rsidR="0085002E">
        <w:rPr>
          <w:vertAlign w:val="superscript"/>
        </w:rPr>
        <w:t>-1</w:t>
      </w:r>
      <w:r w:rsidR="0085002E">
        <w:t xml:space="preserve"> in the proximity of the atmospheric </w:t>
      </w:r>
      <w:r w:rsidR="00D101A9">
        <w:t>tanks</w:t>
      </w:r>
      <w:r w:rsidR="00A76286">
        <w:t xml:space="preserve"> A1-A2</w:t>
      </w:r>
      <w:r w:rsidR="008F2E83">
        <w:t>.</w:t>
      </w:r>
      <w:r w:rsidR="0075414A">
        <w:t xml:space="preserve"> Even if some suggestion</w:t>
      </w:r>
      <w:r w:rsidR="000A41B8">
        <w:t>s</w:t>
      </w:r>
      <w:r w:rsidR="0075414A">
        <w:t xml:space="preserve"> on which natural hazard should be prioritize</w:t>
      </w:r>
      <w:r w:rsidR="000A41B8">
        <w:t xml:space="preserve">d </w:t>
      </w:r>
      <w:r w:rsidR="00E37444">
        <w:t>in</w:t>
      </w:r>
      <w:r w:rsidR="000A41B8">
        <w:t xml:space="preserve"> risk mitigation </w:t>
      </w:r>
      <w:r w:rsidR="00E37444">
        <w:t>strategies</w:t>
      </w:r>
      <w:r w:rsidR="0075414A">
        <w:t xml:space="preserve">, it is not easy to obtain a </w:t>
      </w:r>
      <w:r w:rsidR="00E37444">
        <w:t xml:space="preserve">ranking </w:t>
      </w:r>
      <w:r w:rsidR="000A41B8">
        <w:t>by the direct analysis</w:t>
      </w:r>
      <w:r w:rsidR="0075414A">
        <w:t xml:space="preserve"> </w:t>
      </w:r>
      <w:r w:rsidR="000A41B8">
        <w:t xml:space="preserve">of the </w:t>
      </w:r>
      <w:r w:rsidR="0075414A">
        <w:t>LSIR curves</w:t>
      </w:r>
      <w:r w:rsidR="000A41B8">
        <w:t xml:space="preserve"> only</w:t>
      </w:r>
      <w:r w:rsidR="00E37444">
        <w:t>, while societal risk figures</w:t>
      </w:r>
      <w:r w:rsidR="00201769">
        <w:t xml:space="preserve"> offer much clearer indications, as shown in Figure 3.</w:t>
      </w:r>
      <w:r w:rsidR="00201769">
        <w:rPr>
          <w:lang w:val="en-GB"/>
        </w:rPr>
        <w:t xml:space="preserve"> Indeed, </w:t>
      </w:r>
      <w:r w:rsidR="008D0709" w:rsidRPr="006543D4">
        <w:rPr>
          <w:lang w:val="en-GB"/>
        </w:rPr>
        <w:t>Fig</w:t>
      </w:r>
      <w:r w:rsidR="000E77A7" w:rsidRPr="006543D4">
        <w:rPr>
          <w:lang w:val="en-GB"/>
        </w:rPr>
        <w:t>ure</w:t>
      </w:r>
      <w:r w:rsidR="008D0709" w:rsidRPr="006543D4">
        <w:rPr>
          <w:lang w:val="en-GB"/>
        </w:rPr>
        <w:t xml:space="preserve"> 3a shows the </w:t>
      </w:r>
      <w:r w:rsidR="007D1C8E" w:rsidRPr="006543D4">
        <w:rPr>
          <w:lang w:val="en-GB"/>
        </w:rPr>
        <w:t xml:space="preserve">four </w:t>
      </w:r>
      <w:r w:rsidR="008D0709" w:rsidRPr="006543D4">
        <w:rPr>
          <w:lang w:val="en-GB"/>
        </w:rPr>
        <w:t>societal risk F/N curves calculated for the case</w:t>
      </w:r>
      <w:r w:rsidR="00124705">
        <w:rPr>
          <w:lang w:val="en-GB"/>
        </w:rPr>
        <w:t xml:space="preserve"> </w:t>
      </w:r>
      <w:r w:rsidR="008D0709" w:rsidRPr="006543D4">
        <w:rPr>
          <w:lang w:val="en-GB"/>
        </w:rPr>
        <w:t>study</w:t>
      </w:r>
      <w:r w:rsidR="007D1C8E" w:rsidRPr="006543D4">
        <w:rPr>
          <w:lang w:val="en-GB"/>
        </w:rPr>
        <w:t xml:space="preserve">: </w:t>
      </w:r>
      <w:r w:rsidR="008D0709" w:rsidRPr="006543D4">
        <w:rPr>
          <w:lang w:val="en-GB"/>
        </w:rPr>
        <w:t>for conventional scenarios only</w:t>
      </w:r>
      <w:r w:rsidR="00201769">
        <w:rPr>
          <w:lang w:val="en-GB"/>
        </w:rPr>
        <w:t xml:space="preserve"> (black-dashed curve)</w:t>
      </w:r>
      <w:r w:rsidR="00DA543A" w:rsidRPr="006543D4">
        <w:rPr>
          <w:lang w:val="en-GB"/>
        </w:rPr>
        <w:t>,</w:t>
      </w:r>
      <w:r w:rsidR="008D0709" w:rsidRPr="006543D4">
        <w:rPr>
          <w:lang w:val="en-GB"/>
        </w:rPr>
        <w:t xml:space="preserve"> the one calculated</w:t>
      </w:r>
      <w:r w:rsidR="008D0709" w:rsidRPr="008D0709">
        <w:rPr>
          <w:lang w:val="en-GB"/>
        </w:rPr>
        <w:t xml:space="preserve"> considering conventional and primary lightning-induced Natech scenarios</w:t>
      </w:r>
      <w:r w:rsidR="00DA543A">
        <w:rPr>
          <w:lang w:val="en-GB"/>
        </w:rPr>
        <w:t xml:space="preserve"> </w:t>
      </w:r>
      <w:r w:rsidR="00201769">
        <w:rPr>
          <w:lang w:val="en-GB"/>
        </w:rPr>
        <w:t xml:space="preserve">(red curve), </w:t>
      </w:r>
      <w:r w:rsidR="00DA543A">
        <w:rPr>
          <w:lang w:val="en-GB"/>
        </w:rPr>
        <w:t xml:space="preserve">while the </w:t>
      </w:r>
      <w:r w:rsidR="00086F1A">
        <w:rPr>
          <w:lang w:val="en-GB"/>
        </w:rPr>
        <w:t>remaining</w:t>
      </w:r>
      <w:r w:rsidR="00DA543A">
        <w:rPr>
          <w:lang w:val="en-GB"/>
        </w:rPr>
        <w:t xml:space="preserve"> two are obtained </w:t>
      </w:r>
      <w:r w:rsidR="00C80026">
        <w:rPr>
          <w:lang w:val="en-GB"/>
        </w:rPr>
        <w:t xml:space="preserve">considering also the primary earthquake-induced Natech scenarios </w:t>
      </w:r>
      <w:r w:rsidR="00201769">
        <w:rPr>
          <w:lang w:val="en-GB"/>
        </w:rPr>
        <w:t xml:space="preserve">(green curve) </w:t>
      </w:r>
      <w:r w:rsidR="00C80026">
        <w:rPr>
          <w:lang w:val="en-GB"/>
        </w:rPr>
        <w:t xml:space="preserve">and finally </w:t>
      </w:r>
      <w:r w:rsidR="00201769">
        <w:rPr>
          <w:lang w:val="en-GB"/>
        </w:rPr>
        <w:t xml:space="preserve">adding </w:t>
      </w:r>
      <w:r w:rsidR="00C80026">
        <w:rPr>
          <w:lang w:val="en-GB"/>
        </w:rPr>
        <w:t>the scenarios triggered by the reference flood (</w:t>
      </w:r>
      <w:r w:rsidR="00201769">
        <w:rPr>
          <w:lang w:val="en-GB"/>
        </w:rPr>
        <w:t xml:space="preserve">yellow curve, indicating </w:t>
      </w:r>
      <w:r w:rsidR="00C80026">
        <w:rPr>
          <w:lang w:val="en-GB"/>
        </w:rPr>
        <w:t xml:space="preserve">the overall </w:t>
      </w:r>
      <w:r w:rsidR="00201769">
        <w:rPr>
          <w:lang w:val="en-GB"/>
        </w:rPr>
        <w:t xml:space="preserve">societal </w:t>
      </w:r>
      <w:r w:rsidR="00C80026">
        <w:rPr>
          <w:lang w:val="en-GB"/>
        </w:rPr>
        <w:t>risk</w:t>
      </w:r>
      <w:r w:rsidR="00AF5425">
        <w:rPr>
          <w:lang w:val="en-GB"/>
        </w:rPr>
        <w:t>)</w:t>
      </w:r>
      <w:r w:rsidR="008D0709" w:rsidRPr="008D0709">
        <w:rPr>
          <w:lang w:val="en-GB"/>
        </w:rPr>
        <w:t>.</w:t>
      </w:r>
    </w:p>
    <w:p w14:paraId="2B4FF268" w14:textId="03F491E7" w:rsidR="00926EBD" w:rsidRPr="00472A74" w:rsidRDefault="00B84767" w:rsidP="00600535">
      <w:pPr>
        <w:pStyle w:val="CETBodytext"/>
        <w:rPr>
          <w:lang w:val="en-GB"/>
        </w:rPr>
      </w:pPr>
      <w:r>
        <w:rPr>
          <w:lang w:val="en-GB"/>
        </w:rPr>
        <w:t xml:space="preserve">If only the conventional scenarios are considered, the curve </w:t>
      </w:r>
      <w:r w:rsidR="000C17F0" w:rsidRPr="000C17F0">
        <w:rPr>
          <w:lang w:val="en-GB"/>
        </w:rPr>
        <w:t>shows some low-severity high-frequency steps on the</w:t>
      </w:r>
      <w:r>
        <w:rPr>
          <w:lang w:val="en-GB"/>
        </w:rPr>
        <w:t xml:space="preserve"> </w:t>
      </w:r>
      <w:r w:rsidR="000C17F0" w:rsidRPr="000C17F0">
        <w:rPr>
          <w:lang w:val="en-GB"/>
        </w:rPr>
        <w:t xml:space="preserve">left, mainly </w:t>
      </w:r>
      <w:r w:rsidR="00EF5D6D">
        <w:rPr>
          <w:lang w:val="en-GB"/>
        </w:rPr>
        <w:t>associated to</w:t>
      </w:r>
      <w:r w:rsidR="000C17F0" w:rsidRPr="000C17F0">
        <w:rPr>
          <w:lang w:val="en-GB"/>
        </w:rPr>
        <w:t xml:space="preserve"> the pool fire scenarios from atmospheric tanks, while</w:t>
      </w:r>
      <w:r>
        <w:rPr>
          <w:lang w:val="en-GB"/>
        </w:rPr>
        <w:t xml:space="preserve"> </w:t>
      </w:r>
      <w:r w:rsidR="000C17F0" w:rsidRPr="000C17F0">
        <w:rPr>
          <w:lang w:val="en-GB"/>
        </w:rPr>
        <w:t xml:space="preserve">the </w:t>
      </w:r>
      <w:r w:rsidR="00EF5D6D">
        <w:rPr>
          <w:lang w:val="en-GB"/>
        </w:rPr>
        <w:t xml:space="preserve">lower frequency higher severity steps on the right </w:t>
      </w:r>
      <w:r w:rsidR="000C17F0" w:rsidRPr="000C17F0">
        <w:rPr>
          <w:lang w:val="en-GB"/>
        </w:rPr>
        <w:t xml:space="preserve">are caused by the scenarios </w:t>
      </w:r>
      <w:r w:rsidR="001327DE">
        <w:rPr>
          <w:lang w:val="en-GB"/>
        </w:rPr>
        <w:t xml:space="preserve">involving </w:t>
      </w:r>
      <w:r w:rsidR="000C17F0" w:rsidRPr="000C17F0">
        <w:rPr>
          <w:lang w:val="en-GB"/>
        </w:rPr>
        <w:t>pressurized tanks.</w:t>
      </w:r>
      <w:r w:rsidR="0053348C">
        <w:rPr>
          <w:lang w:val="en-GB"/>
        </w:rPr>
        <w:t xml:space="preserve"> Introducing primary </w:t>
      </w:r>
      <w:r w:rsidR="00314BD9">
        <w:rPr>
          <w:lang w:val="en-GB"/>
        </w:rPr>
        <w:t xml:space="preserve">Natech </w:t>
      </w:r>
      <w:r w:rsidR="0053348C">
        <w:rPr>
          <w:lang w:val="en-GB"/>
        </w:rPr>
        <w:t>scenarios triggered by lightning</w:t>
      </w:r>
      <w:r w:rsidR="00D101A9">
        <w:rPr>
          <w:lang w:val="en-GB"/>
        </w:rPr>
        <w:t>,</w:t>
      </w:r>
      <w:r w:rsidR="0053348C">
        <w:rPr>
          <w:lang w:val="en-GB"/>
        </w:rPr>
        <w:t xml:space="preserve"> </w:t>
      </w:r>
      <w:r w:rsidR="00314BD9">
        <w:rPr>
          <w:lang w:val="en-GB"/>
        </w:rPr>
        <w:t xml:space="preserve">a </w:t>
      </w:r>
      <w:r w:rsidR="00314BD9" w:rsidRPr="00520270">
        <w:rPr>
          <w:lang w:val="en-GB"/>
        </w:rPr>
        <w:t xml:space="preserve">substantial increase in the overall frequencies of </w:t>
      </w:r>
      <w:r w:rsidR="00551DF0" w:rsidRPr="00520270">
        <w:rPr>
          <w:lang w:val="en-GB"/>
        </w:rPr>
        <w:t>low-severity events (left part of the curve)</w:t>
      </w:r>
      <w:r w:rsidR="00716733" w:rsidRPr="00520270">
        <w:rPr>
          <w:lang w:val="en-GB"/>
        </w:rPr>
        <w:t xml:space="preserve"> is spotted</w:t>
      </w:r>
      <w:r w:rsidR="00D101A9">
        <w:rPr>
          <w:lang w:val="en-GB"/>
        </w:rPr>
        <w:t>,</w:t>
      </w:r>
      <w:r w:rsidR="00716733" w:rsidRPr="00520270">
        <w:rPr>
          <w:lang w:val="en-GB"/>
        </w:rPr>
        <w:t xml:space="preserve"> while the right part of the curve </w:t>
      </w:r>
      <w:r w:rsidR="002976EC" w:rsidRPr="00520270">
        <w:rPr>
          <w:lang w:val="en-GB"/>
        </w:rPr>
        <w:t xml:space="preserve">is not affected </w:t>
      </w:r>
      <w:r w:rsidR="00D101A9">
        <w:rPr>
          <w:lang w:val="en-GB"/>
        </w:rPr>
        <w:t>(this is due to the low frequency of pressurized equipment failure due to lightning strikes)</w:t>
      </w:r>
      <w:r w:rsidR="00B9593B" w:rsidRPr="00520270">
        <w:rPr>
          <w:lang w:val="en-GB"/>
        </w:rPr>
        <w:t xml:space="preserve">. However, when </w:t>
      </w:r>
      <w:r w:rsidR="00201769">
        <w:rPr>
          <w:lang w:val="en-GB"/>
        </w:rPr>
        <w:t xml:space="preserve">scenarios induced by </w:t>
      </w:r>
      <w:r w:rsidR="00B9593B" w:rsidRPr="00520270">
        <w:rPr>
          <w:lang w:val="en-GB"/>
        </w:rPr>
        <w:t>earthquake and flood are considered</w:t>
      </w:r>
      <w:r w:rsidR="00D101A9">
        <w:rPr>
          <w:lang w:val="en-GB"/>
        </w:rPr>
        <w:t>,</w:t>
      </w:r>
      <w:r w:rsidR="00B9593B">
        <w:rPr>
          <w:lang w:val="en-GB"/>
        </w:rPr>
        <w:t xml:space="preserve"> </w:t>
      </w:r>
      <w:r w:rsidR="00AD7AB3">
        <w:rPr>
          <w:lang w:val="en-GB"/>
        </w:rPr>
        <w:t>new steps are created in the right</w:t>
      </w:r>
      <w:r w:rsidR="00201769">
        <w:rPr>
          <w:lang w:val="en-GB"/>
        </w:rPr>
        <w:t>-hand</w:t>
      </w:r>
      <w:r w:rsidR="00AD7AB3">
        <w:rPr>
          <w:lang w:val="en-GB"/>
        </w:rPr>
        <w:t xml:space="preserve"> part of the curve due to the higher frequencies of </w:t>
      </w:r>
      <w:r w:rsidR="00CE1286">
        <w:rPr>
          <w:lang w:val="en-GB"/>
        </w:rPr>
        <w:t xml:space="preserve">more severe scenarios (e.g., </w:t>
      </w:r>
      <w:r w:rsidR="00F3637A">
        <w:rPr>
          <w:lang w:val="en-GB"/>
        </w:rPr>
        <w:t xml:space="preserve">10 min releases from </w:t>
      </w:r>
      <w:r w:rsidR="00CE1286">
        <w:rPr>
          <w:lang w:val="en-GB"/>
        </w:rPr>
        <w:t>P1 and P2</w:t>
      </w:r>
      <w:r w:rsidR="00F3637A">
        <w:rPr>
          <w:lang w:val="en-GB"/>
        </w:rPr>
        <w:t>, followed by flash fires</w:t>
      </w:r>
      <w:r w:rsidR="00CE1286">
        <w:rPr>
          <w:lang w:val="en-GB"/>
        </w:rPr>
        <w:t>).</w:t>
      </w:r>
    </w:p>
    <w:p w14:paraId="76A3EA82" w14:textId="6DE1C89E" w:rsidR="009221C6" w:rsidRDefault="005F4217" w:rsidP="00EA6C65">
      <w:pPr>
        <w:pStyle w:val="CETCaption"/>
        <w:rPr>
          <w:rStyle w:val="CETCaptionCarattere"/>
          <w:i/>
        </w:rPr>
      </w:pPr>
      <w:bookmarkStart w:id="4" w:name="_GoBack"/>
      <w:r w:rsidRPr="005F4217">
        <w:rPr>
          <w:noProof/>
          <w:lang w:eastAsia="en-GB"/>
        </w:rPr>
        <w:drawing>
          <wp:inline distT="0" distB="0" distL="0" distR="0" wp14:anchorId="27B91A67" wp14:editId="067A8EC5">
            <wp:extent cx="5131558" cy="2569575"/>
            <wp:effectExtent l="0" t="0" r="0" b="254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488" cy="258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1E58F863" w14:textId="47BCDD92" w:rsidR="00152C8D" w:rsidRDefault="00152C8D" w:rsidP="00EA6C65">
      <w:pPr>
        <w:pStyle w:val="CETCaption"/>
      </w:pPr>
      <w:r w:rsidRPr="006543D4">
        <w:rPr>
          <w:rStyle w:val="CETCaptionCarattere"/>
          <w:i/>
        </w:rPr>
        <w:t>Figure 3:</w:t>
      </w:r>
      <w:r w:rsidRPr="00BD077D">
        <w:rPr>
          <w:rStyle w:val="CETCaptionCarattere"/>
          <w:i/>
        </w:rPr>
        <w:t xml:space="preserve"> </w:t>
      </w:r>
      <w:r w:rsidR="00825806" w:rsidRPr="00825806">
        <w:rPr>
          <w:rStyle w:val="CETCaptionCarattere"/>
          <w:i/>
        </w:rPr>
        <w:t xml:space="preserve">Societal risk </w:t>
      </w:r>
      <w:r w:rsidR="00201769">
        <w:rPr>
          <w:rStyle w:val="CETCaptionCarattere"/>
          <w:i/>
        </w:rPr>
        <w:t xml:space="preserve">figures </w:t>
      </w:r>
      <w:r w:rsidR="00201769">
        <w:rPr>
          <w:rStyle w:val="CETCaptionCarattere"/>
          <w:i/>
        </w:rPr>
        <w:t>calculated for the case study</w:t>
      </w:r>
      <w:r w:rsidR="00201769">
        <w:rPr>
          <w:rStyle w:val="CETCaptionCarattere"/>
          <w:i/>
        </w:rPr>
        <w:t>, expressed by: a)</w:t>
      </w:r>
      <w:r w:rsidR="00825806" w:rsidRPr="00825806">
        <w:rPr>
          <w:rStyle w:val="CETCaptionCarattere"/>
          <w:i/>
        </w:rPr>
        <w:t xml:space="preserve"> F/N curves</w:t>
      </w:r>
      <w:r w:rsidR="00201769">
        <w:rPr>
          <w:rStyle w:val="CETCaptionCarattere"/>
          <w:i/>
        </w:rPr>
        <w:t xml:space="preserve">; and b) </w:t>
      </w:r>
      <w:r w:rsidR="00EA6C65" w:rsidRPr="00EA6C65">
        <w:rPr>
          <w:rStyle w:val="CETCaptionCarattere"/>
          <w:i/>
        </w:rPr>
        <w:t>Potential Life Loss (PLL) and expectation value (EV) risk indices</w:t>
      </w:r>
      <w:r w:rsidR="00EA6C65">
        <w:rPr>
          <w:rStyle w:val="CETCaptionCarattere"/>
          <w:i/>
        </w:rPr>
        <w:t>.</w:t>
      </w:r>
    </w:p>
    <w:p w14:paraId="4156A676" w14:textId="6C1E2DCC" w:rsidR="00926EBD" w:rsidRPr="006543D4" w:rsidRDefault="00201769" w:rsidP="00600535">
      <w:pPr>
        <w:pStyle w:val="CETBodytext"/>
        <w:rPr>
          <w:lang w:val="en-GB"/>
        </w:rPr>
      </w:pPr>
      <w:r>
        <w:rPr>
          <w:lang w:val="en-GB"/>
        </w:rPr>
        <w:t xml:space="preserve">For the sake of clarity, </w:t>
      </w:r>
      <w:r w:rsidR="00940FF3" w:rsidRPr="00940FF3">
        <w:rPr>
          <w:lang w:val="en-GB"/>
        </w:rPr>
        <w:t xml:space="preserve">EV and PLL indices </w:t>
      </w:r>
      <w:r w:rsidR="00940FF3">
        <w:rPr>
          <w:lang w:val="en-GB"/>
        </w:rPr>
        <w:t xml:space="preserve">were </w:t>
      </w:r>
      <w:r>
        <w:rPr>
          <w:lang w:val="en-GB"/>
        </w:rPr>
        <w:t xml:space="preserve">also </w:t>
      </w:r>
      <w:r w:rsidR="00940FF3">
        <w:rPr>
          <w:lang w:val="en-GB"/>
        </w:rPr>
        <w:t>calculated</w:t>
      </w:r>
      <w:r>
        <w:rPr>
          <w:lang w:val="en-GB"/>
        </w:rPr>
        <w:t xml:space="preserve">, as </w:t>
      </w:r>
      <w:r w:rsidR="005061D0" w:rsidRPr="006543D4">
        <w:rPr>
          <w:lang w:val="en-GB"/>
        </w:rPr>
        <w:t>reported in Figure 3b</w:t>
      </w:r>
      <w:r w:rsidR="003B2D17" w:rsidRPr="006543D4">
        <w:rPr>
          <w:lang w:val="en-GB"/>
        </w:rPr>
        <w:t xml:space="preserve">. </w:t>
      </w:r>
      <w:r w:rsidR="00C0607B" w:rsidRPr="006543D4">
        <w:rPr>
          <w:lang w:val="en-GB"/>
        </w:rPr>
        <w:t>Considering lightning-induced scenarios</w:t>
      </w:r>
      <w:r w:rsidR="00304736">
        <w:rPr>
          <w:lang w:val="en-GB"/>
        </w:rPr>
        <w:t>,</w:t>
      </w:r>
      <w:r w:rsidR="00C0607B" w:rsidRPr="006543D4">
        <w:rPr>
          <w:lang w:val="en-GB"/>
        </w:rPr>
        <w:t xml:space="preserve"> the PLL and EV </w:t>
      </w:r>
      <w:r w:rsidR="006D5263">
        <w:rPr>
          <w:lang w:val="en-GB"/>
        </w:rPr>
        <w:t xml:space="preserve">respectively </w:t>
      </w:r>
      <w:r w:rsidR="00C0607B" w:rsidRPr="006543D4">
        <w:rPr>
          <w:lang w:val="en-GB"/>
        </w:rPr>
        <w:t xml:space="preserve">increase of </w:t>
      </w:r>
      <w:r>
        <w:rPr>
          <w:lang w:val="en-GB"/>
        </w:rPr>
        <w:t>about</w:t>
      </w:r>
      <w:r w:rsidR="00C0607B" w:rsidRPr="006543D4">
        <w:rPr>
          <w:lang w:val="en-GB"/>
        </w:rPr>
        <w:t xml:space="preserve"> </w:t>
      </w:r>
      <w:r w:rsidR="00016B81" w:rsidRPr="006543D4">
        <w:rPr>
          <w:lang w:val="en-GB"/>
        </w:rPr>
        <w:t>220 and 2</w:t>
      </w:r>
      <w:r w:rsidR="00E26ADE" w:rsidRPr="006543D4">
        <w:rPr>
          <w:lang w:val="en-GB"/>
        </w:rPr>
        <w:t>3</w:t>
      </w:r>
      <w:r w:rsidR="00016B81" w:rsidRPr="006543D4">
        <w:rPr>
          <w:lang w:val="en-GB"/>
        </w:rPr>
        <w:t xml:space="preserve"> </w:t>
      </w:r>
      <w:r>
        <w:rPr>
          <w:lang w:val="en-GB"/>
        </w:rPr>
        <w:t>time</w:t>
      </w:r>
      <w:r w:rsidR="006D5263">
        <w:rPr>
          <w:lang w:val="en-GB"/>
        </w:rPr>
        <w:t>s</w:t>
      </w:r>
      <w:r>
        <w:rPr>
          <w:lang w:val="en-GB"/>
        </w:rPr>
        <w:t xml:space="preserve"> compared to conventional </w:t>
      </w:r>
      <w:r>
        <w:rPr>
          <w:lang w:val="en-GB"/>
        </w:rPr>
        <w:lastRenderedPageBreak/>
        <w:t>scenarios</w:t>
      </w:r>
      <w:r w:rsidR="00553CCB">
        <w:rPr>
          <w:lang w:val="en-GB"/>
        </w:rPr>
        <w:t xml:space="preserve"> only</w:t>
      </w:r>
      <w:r w:rsidR="006D5263">
        <w:rPr>
          <w:lang w:val="en-GB"/>
        </w:rPr>
        <w:t>. If</w:t>
      </w:r>
      <w:r w:rsidR="00AD4B19" w:rsidRPr="006543D4">
        <w:rPr>
          <w:lang w:val="en-GB"/>
        </w:rPr>
        <w:t xml:space="preserve"> </w:t>
      </w:r>
      <w:r>
        <w:rPr>
          <w:lang w:val="en-GB"/>
        </w:rPr>
        <w:t>also</w:t>
      </w:r>
      <w:r w:rsidR="00AD4B19" w:rsidRPr="006543D4">
        <w:rPr>
          <w:lang w:val="en-GB"/>
        </w:rPr>
        <w:t xml:space="preserve"> earthquake-induced scenarios are </w:t>
      </w:r>
      <w:r>
        <w:rPr>
          <w:lang w:val="en-GB"/>
        </w:rPr>
        <w:t>added</w:t>
      </w:r>
      <w:r w:rsidR="006D5263">
        <w:rPr>
          <w:lang w:val="en-GB"/>
        </w:rPr>
        <w:t xml:space="preserve">, </w:t>
      </w:r>
      <w:r w:rsidR="00AD4B19" w:rsidRPr="006543D4">
        <w:rPr>
          <w:lang w:val="en-GB"/>
        </w:rPr>
        <w:t xml:space="preserve">the </w:t>
      </w:r>
      <w:r w:rsidR="00485066" w:rsidRPr="006543D4">
        <w:rPr>
          <w:lang w:val="en-GB"/>
        </w:rPr>
        <w:t xml:space="preserve">relative increase of PLL and EV </w:t>
      </w:r>
      <w:r w:rsidR="006D5263">
        <w:rPr>
          <w:lang w:val="en-GB"/>
        </w:rPr>
        <w:t xml:space="preserve">compared to conventional scenarios reach respectively </w:t>
      </w:r>
      <w:r w:rsidR="009201B6" w:rsidRPr="006543D4">
        <w:rPr>
          <w:lang w:val="en-GB"/>
        </w:rPr>
        <w:t xml:space="preserve">a factor of </w:t>
      </w:r>
      <w:r w:rsidR="00485066" w:rsidRPr="006543D4">
        <w:rPr>
          <w:lang w:val="en-GB"/>
        </w:rPr>
        <w:t>24</w:t>
      </w:r>
      <w:r w:rsidR="006D5263">
        <w:rPr>
          <w:lang w:val="en-GB"/>
        </w:rPr>
        <w:t>2</w:t>
      </w:r>
      <w:r w:rsidR="00485066" w:rsidRPr="006543D4">
        <w:rPr>
          <w:lang w:val="en-GB"/>
        </w:rPr>
        <w:t xml:space="preserve"> and </w:t>
      </w:r>
      <w:r w:rsidR="006D5263">
        <w:rPr>
          <w:lang w:val="en-GB"/>
        </w:rPr>
        <w:t>26</w:t>
      </w:r>
      <w:r w:rsidR="006228FD" w:rsidRPr="006543D4">
        <w:rPr>
          <w:lang w:val="en-GB"/>
        </w:rPr>
        <w:t xml:space="preserve">. Finally, considering </w:t>
      </w:r>
      <w:r w:rsidR="006D5263">
        <w:rPr>
          <w:lang w:val="en-GB"/>
        </w:rPr>
        <w:t xml:space="preserve">also </w:t>
      </w:r>
      <w:r w:rsidR="006228FD" w:rsidRPr="006543D4">
        <w:rPr>
          <w:lang w:val="en-GB"/>
        </w:rPr>
        <w:t xml:space="preserve">flood-induced scenarios a </w:t>
      </w:r>
      <w:r w:rsidR="002274D0">
        <w:rPr>
          <w:lang w:val="en-GB"/>
        </w:rPr>
        <w:t xml:space="preserve">severe </w:t>
      </w:r>
      <w:r w:rsidR="006228FD" w:rsidRPr="006543D4">
        <w:rPr>
          <w:lang w:val="en-GB"/>
        </w:rPr>
        <w:t xml:space="preserve">increase in the PLL </w:t>
      </w:r>
      <w:r w:rsidR="002274D0">
        <w:rPr>
          <w:lang w:val="en-GB"/>
        </w:rPr>
        <w:t xml:space="preserve">compared to conventional scenarios </w:t>
      </w:r>
      <w:r w:rsidR="006228FD" w:rsidRPr="006543D4">
        <w:rPr>
          <w:lang w:val="en-GB"/>
        </w:rPr>
        <w:t>(</w:t>
      </w:r>
      <w:r w:rsidR="002274D0">
        <w:rPr>
          <w:lang w:val="en-GB"/>
        </w:rPr>
        <w:t>of about</w:t>
      </w:r>
      <w:r w:rsidR="006D5263">
        <w:rPr>
          <w:lang w:val="en-GB"/>
        </w:rPr>
        <w:t xml:space="preserve"> 410</w:t>
      </w:r>
      <w:r w:rsidR="002274D0">
        <w:rPr>
          <w:lang w:val="en-GB"/>
        </w:rPr>
        <w:t xml:space="preserve"> times</w:t>
      </w:r>
      <w:r w:rsidR="006228FD" w:rsidRPr="006543D4">
        <w:rPr>
          <w:lang w:val="en-GB"/>
        </w:rPr>
        <w:t xml:space="preserve">) </w:t>
      </w:r>
      <w:r w:rsidR="009201B6" w:rsidRPr="006543D4">
        <w:rPr>
          <w:lang w:val="en-GB"/>
        </w:rPr>
        <w:t>and</w:t>
      </w:r>
      <w:r w:rsidR="00F41853" w:rsidRPr="006543D4">
        <w:rPr>
          <w:lang w:val="en-GB"/>
        </w:rPr>
        <w:t xml:space="preserve"> </w:t>
      </w:r>
      <w:r w:rsidR="002274D0">
        <w:rPr>
          <w:lang w:val="en-GB"/>
        </w:rPr>
        <w:t xml:space="preserve">a substantial </w:t>
      </w:r>
      <w:r w:rsidR="00F41853" w:rsidRPr="006543D4">
        <w:rPr>
          <w:lang w:val="en-GB"/>
        </w:rPr>
        <w:t>increase in the EV (</w:t>
      </w:r>
      <w:r w:rsidR="002274D0">
        <w:rPr>
          <w:lang w:val="en-GB"/>
        </w:rPr>
        <w:t xml:space="preserve">of about </w:t>
      </w:r>
      <w:r w:rsidR="006D5263">
        <w:rPr>
          <w:lang w:val="en-GB"/>
        </w:rPr>
        <w:t>54</w:t>
      </w:r>
      <w:r w:rsidR="002274D0">
        <w:rPr>
          <w:lang w:val="en-GB"/>
        </w:rPr>
        <w:t xml:space="preserve"> times</w:t>
      </w:r>
      <w:r w:rsidR="00F41853" w:rsidRPr="006543D4">
        <w:rPr>
          <w:lang w:val="en-GB"/>
        </w:rPr>
        <w:t>)</w:t>
      </w:r>
      <w:r w:rsidR="009201B6" w:rsidRPr="006543D4">
        <w:rPr>
          <w:lang w:val="en-GB"/>
        </w:rPr>
        <w:t xml:space="preserve"> </w:t>
      </w:r>
      <w:r w:rsidR="002274D0">
        <w:rPr>
          <w:lang w:val="en-GB"/>
        </w:rPr>
        <w:t xml:space="preserve">due </w:t>
      </w:r>
      <w:r w:rsidR="009201B6" w:rsidRPr="006543D4">
        <w:rPr>
          <w:lang w:val="en-GB"/>
        </w:rPr>
        <w:t>to the higher severity scenarios involved</w:t>
      </w:r>
      <w:r w:rsidR="002274D0">
        <w:rPr>
          <w:lang w:val="en-GB"/>
        </w:rPr>
        <w:t xml:space="preserve"> are spotted</w:t>
      </w:r>
      <w:r w:rsidR="00F41853" w:rsidRPr="006543D4">
        <w:rPr>
          <w:lang w:val="en-GB"/>
        </w:rPr>
        <w:t>.</w:t>
      </w:r>
    </w:p>
    <w:p w14:paraId="26B1760A" w14:textId="5E4C9590" w:rsidR="005F4217" w:rsidRDefault="009201B6" w:rsidP="00AC504F">
      <w:pPr>
        <w:pStyle w:val="CETBodytext"/>
        <w:rPr>
          <w:lang w:val="en-GB"/>
        </w:rPr>
      </w:pPr>
      <w:r w:rsidRPr="006543D4">
        <w:rPr>
          <w:lang w:val="en-GB"/>
        </w:rPr>
        <w:t>The last step of the new methodology allow</w:t>
      </w:r>
      <w:r w:rsidR="00DB256B" w:rsidRPr="006543D4">
        <w:rPr>
          <w:lang w:val="en-GB"/>
        </w:rPr>
        <w:t>s to give a risk-based natural hazard ranking (Step 9</w:t>
      </w:r>
      <w:r w:rsidR="005F4217" w:rsidRPr="006543D4">
        <w:rPr>
          <w:lang w:val="en-GB"/>
        </w:rPr>
        <w:t>)</w:t>
      </w:r>
      <w:r w:rsidR="00F3637A" w:rsidRPr="006543D4">
        <w:rPr>
          <w:lang w:val="en-GB"/>
        </w:rPr>
        <w:t>.</w:t>
      </w:r>
      <w:r w:rsidR="00711C63" w:rsidRPr="006543D4">
        <w:rPr>
          <w:lang w:val="en-GB"/>
        </w:rPr>
        <w:t xml:space="preserve"> </w:t>
      </w:r>
      <w:r w:rsidR="00F3637A" w:rsidRPr="006543D4">
        <w:rPr>
          <w:lang w:val="en-GB"/>
        </w:rPr>
        <w:t>This can be easily done in light of the results obtained so far</w:t>
      </w:r>
      <w:r w:rsidR="00F42EB6" w:rsidRPr="006543D4">
        <w:rPr>
          <w:lang w:val="en-GB"/>
        </w:rPr>
        <w:t>, in particular a</w:t>
      </w:r>
      <w:r w:rsidR="007A6F9D" w:rsidRPr="006543D4">
        <w:rPr>
          <w:lang w:val="en-GB"/>
        </w:rPr>
        <w:t xml:space="preserve">nalysing the </w:t>
      </w:r>
      <w:r w:rsidR="00F42EB6" w:rsidRPr="006543D4">
        <w:rPr>
          <w:lang w:val="en-GB"/>
        </w:rPr>
        <w:t xml:space="preserve">societal risk and </w:t>
      </w:r>
      <w:r w:rsidR="007A6F9D" w:rsidRPr="006543D4">
        <w:rPr>
          <w:lang w:val="en-GB"/>
        </w:rPr>
        <w:t xml:space="preserve">PLL and EV </w:t>
      </w:r>
      <w:r w:rsidR="00F42EB6" w:rsidRPr="006543D4">
        <w:rPr>
          <w:lang w:val="en-GB"/>
        </w:rPr>
        <w:t xml:space="preserve">indexes </w:t>
      </w:r>
      <w:r w:rsidR="007A6F9D" w:rsidRPr="006543D4">
        <w:rPr>
          <w:lang w:val="en-GB"/>
        </w:rPr>
        <w:t>obtained</w:t>
      </w:r>
      <w:r w:rsidR="006450EE" w:rsidRPr="006543D4">
        <w:rPr>
          <w:lang w:val="en-GB"/>
        </w:rPr>
        <w:t xml:space="preserve">. Therefore, the relative contribution of each natural hazard to the overall increase in risk indexes (i.e., the difference between the </w:t>
      </w:r>
      <w:r w:rsidR="00553CCB">
        <w:rPr>
          <w:lang w:val="en-GB"/>
        </w:rPr>
        <w:t xml:space="preserve">overall risk, in </w:t>
      </w:r>
      <w:r w:rsidR="004C604D" w:rsidRPr="006543D4">
        <w:rPr>
          <w:lang w:val="en-GB"/>
        </w:rPr>
        <w:t>yellow i</w:t>
      </w:r>
      <w:r w:rsidR="00553CCB">
        <w:rPr>
          <w:lang w:val="en-GB"/>
        </w:rPr>
        <w:t xml:space="preserve">n Figure 3b, and the conventional risk, in </w:t>
      </w:r>
      <w:r w:rsidR="004C604D" w:rsidRPr="006543D4">
        <w:rPr>
          <w:lang w:val="en-GB"/>
        </w:rPr>
        <w:t>black in Figure 3</w:t>
      </w:r>
      <w:r w:rsidR="00F42EB6" w:rsidRPr="006543D4">
        <w:rPr>
          <w:lang w:val="en-GB"/>
        </w:rPr>
        <w:t>b</w:t>
      </w:r>
      <w:r w:rsidR="00C122C0" w:rsidRPr="006543D4">
        <w:rPr>
          <w:lang w:val="en-GB"/>
        </w:rPr>
        <w:t>)</w:t>
      </w:r>
      <w:r w:rsidR="004C604D" w:rsidRPr="006543D4">
        <w:rPr>
          <w:lang w:val="en-GB"/>
        </w:rPr>
        <w:t xml:space="preserve"> was evaluated</w:t>
      </w:r>
      <w:r w:rsidR="00AC504F" w:rsidRPr="006543D4">
        <w:rPr>
          <w:lang w:val="en-GB"/>
        </w:rPr>
        <w:t>. Considering the PLL, the relative contributions of lightning, earthquake and flood-induc</w:t>
      </w:r>
      <w:r w:rsidR="00553CCB">
        <w:rPr>
          <w:lang w:val="en-GB"/>
        </w:rPr>
        <w:t>ed scenarios are respectively 53.7</w:t>
      </w:r>
      <w:r w:rsidR="00574240" w:rsidRPr="006543D4">
        <w:rPr>
          <w:lang w:val="en-GB"/>
        </w:rPr>
        <w:t>%</w:t>
      </w:r>
      <w:r w:rsidR="00553CCB">
        <w:rPr>
          <w:lang w:val="en-GB"/>
        </w:rPr>
        <w:t>, 5.6</w:t>
      </w:r>
      <w:r w:rsidR="00574240" w:rsidRPr="006543D4">
        <w:rPr>
          <w:lang w:val="en-GB"/>
        </w:rPr>
        <w:t>%</w:t>
      </w:r>
      <w:r w:rsidR="00553CCB">
        <w:rPr>
          <w:lang w:val="en-GB"/>
        </w:rPr>
        <w:t xml:space="preserve"> and 40.7</w:t>
      </w:r>
      <w:r w:rsidR="00AC504F" w:rsidRPr="006543D4">
        <w:rPr>
          <w:lang w:val="en-GB"/>
        </w:rPr>
        <w:t xml:space="preserve">% while if the EV is considered the </w:t>
      </w:r>
      <w:r w:rsidR="00FC7D05" w:rsidRPr="006543D4">
        <w:rPr>
          <w:lang w:val="en-GB"/>
        </w:rPr>
        <w:t xml:space="preserve">relative </w:t>
      </w:r>
      <w:r w:rsidR="00553CCB">
        <w:rPr>
          <w:lang w:val="en-GB"/>
        </w:rPr>
        <w:t>contributions are 40.8</w:t>
      </w:r>
      <w:r w:rsidR="00574240" w:rsidRPr="006543D4">
        <w:rPr>
          <w:lang w:val="en-GB"/>
        </w:rPr>
        <w:t>%</w:t>
      </w:r>
      <w:r w:rsidR="00AC504F" w:rsidRPr="006543D4">
        <w:rPr>
          <w:lang w:val="en-GB"/>
        </w:rPr>
        <w:t>, 6</w:t>
      </w:r>
      <w:r w:rsidR="00553CCB">
        <w:rPr>
          <w:lang w:val="en-GB"/>
        </w:rPr>
        <w:t>.4</w:t>
      </w:r>
      <w:r w:rsidR="00574240" w:rsidRPr="006543D4">
        <w:rPr>
          <w:lang w:val="en-GB"/>
        </w:rPr>
        <w:t>%</w:t>
      </w:r>
      <w:r w:rsidR="00553CCB">
        <w:rPr>
          <w:lang w:val="en-GB"/>
        </w:rPr>
        <w:t xml:space="preserve"> and 52.8</w:t>
      </w:r>
      <w:r w:rsidR="00AC504F" w:rsidRPr="006543D4">
        <w:rPr>
          <w:lang w:val="en-GB"/>
        </w:rPr>
        <w:t>% respectively</w:t>
      </w:r>
      <w:r w:rsidR="00FC7D05" w:rsidRPr="006543D4">
        <w:rPr>
          <w:lang w:val="en-GB"/>
        </w:rPr>
        <w:t>.</w:t>
      </w:r>
      <w:r w:rsidR="002B342F" w:rsidRPr="006543D4">
        <w:rPr>
          <w:lang w:val="en-GB"/>
        </w:rPr>
        <w:t xml:space="preserve"> </w:t>
      </w:r>
      <w:r w:rsidR="005F4217" w:rsidRPr="006543D4">
        <w:rPr>
          <w:lang w:val="en-GB"/>
        </w:rPr>
        <w:t xml:space="preserve">This is in line with </w:t>
      </w:r>
      <w:r w:rsidR="00F42EB6" w:rsidRPr="006543D4">
        <w:rPr>
          <w:lang w:val="en-GB"/>
        </w:rPr>
        <w:t xml:space="preserve">the indications given by </w:t>
      </w:r>
      <w:r w:rsidR="005F4217" w:rsidRPr="006543D4">
        <w:rPr>
          <w:lang w:val="en-GB"/>
        </w:rPr>
        <w:t>LSIR curves of Figure 2</w:t>
      </w:r>
      <w:r w:rsidR="006B60D1" w:rsidRPr="006543D4">
        <w:rPr>
          <w:lang w:val="en-GB"/>
        </w:rPr>
        <w:t xml:space="preserve">, </w:t>
      </w:r>
      <w:r w:rsidR="00F42EB6" w:rsidRPr="006543D4">
        <w:rPr>
          <w:lang w:val="en-GB"/>
        </w:rPr>
        <w:t>and</w:t>
      </w:r>
      <w:r w:rsidR="006B60D1" w:rsidRPr="006543D4">
        <w:rPr>
          <w:lang w:val="en-GB"/>
        </w:rPr>
        <w:t xml:space="preserve"> lightning and flood-induced scenarios should be prioritized </w:t>
      </w:r>
      <w:r w:rsidR="00F42EB6" w:rsidRPr="006543D4">
        <w:rPr>
          <w:lang w:val="en-GB"/>
        </w:rPr>
        <w:t xml:space="preserve">over </w:t>
      </w:r>
      <w:r w:rsidR="006B60D1" w:rsidRPr="006543D4">
        <w:rPr>
          <w:lang w:val="en-GB"/>
        </w:rPr>
        <w:t>earthquake-induced scenarios</w:t>
      </w:r>
      <w:r w:rsidR="000F4DF2" w:rsidRPr="006543D4">
        <w:rPr>
          <w:lang w:val="en-GB"/>
        </w:rPr>
        <w:t xml:space="preserve"> (</w:t>
      </w:r>
      <w:r w:rsidR="00F42EB6" w:rsidRPr="006543D4">
        <w:rPr>
          <w:lang w:val="en-GB"/>
        </w:rPr>
        <w:t xml:space="preserve">that contribute </w:t>
      </w:r>
      <w:r w:rsidR="000F4DF2" w:rsidRPr="006543D4">
        <w:rPr>
          <w:lang w:val="en-GB"/>
        </w:rPr>
        <w:t xml:space="preserve">only </w:t>
      </w:r>
      <w:r w:rsidR="00F42EB6" w:rsidRPr="006543D4">
        <w:rPr>
          <w:lang w:val="en-GB"/>
        </w:rPr>
        <w:t xml:space="preserve">to </w:t>
      </w:r>
      <w:r w:rsidR="00553CCB">
        <w:rPr>
          <w:lang w:val="en-GB"/>
        </w:rPr>
        <w:t xml:space="preserve">about </w:t>
      </w:r>
      <w:r w:rsidR="000F4DF2" w:rsidRPr="006543D4">
        <w:rPr>
          <w:lang w:val="en-GB"/>
        </w:rPr>
        <w:t xml:space="preserve">6% </w:t>
      </w:r>
      <w:r w:rsidR="00F42EB6" w:rsidRPr="006543D4">
        <w:rPr>
          <w:lang w:val="en-GB"/>
        </w:rPr>
        <w:t xml:space="preserve">of </w:t>
      </w:r>
      <w:r w:rsidR="000F4DF2" w:rsidRPr="006543D4">
        <w:rPr>
          <w:lang w:val="en-GB"/>
        </w:rPr>
        <w:t>overall risk increase)</w:t>
      </w:r>
      <w:r w:rsidR="006B60D1" w:rsidRPr="006543D4">
        <w:rPr>
          <w:lang w:val="en-GB"/>
        </w:rPr>
        <w:t xml:space="preserve">. </w:t>
      </w:r>
      <w:r w:rsidR="00A137D7" w:rsidRPr="006543D4">
        <w:rPr>
          <w:lang w:val="en-GB"/>
        </w:rPr>
        <w:t>I</w:t>
      </w:r>
      <w:r w:rsidR="006B60D1" w:rsidRPr="006543D4">
        <w:rPr>
          <w:lang w:val="en-GB"/>
        </w:rPr>
        <w:t xml:space="preserve">t is possible </w:t>
      </w:r>
      <w:r w:rsidR="00F42EB6" w:rsidRPr="006543D4">
        <w:rPr>
          <w:lang w:val="en-GB"/>
        </w:rPr>
        <w:t xml:space="preserve">also </w:t>
      </w:r>
      <w:r w:rsidR="00715B5F" w:rsidRPr="006543D4">
        <w:rPr>
          <w:lang w:val="en-GB"/>
        </w:rPr>
        <w:t xml:space="preserve">to </w:t>
      </w:r>
      <w:r w:rsidR="00F42EB6" w:rsidRPr="006543D4">
        <w:rPr>
          <w:lang w:val="en-GB"/>
        </w:rPr>
        <w:t xml:space="preserve">compare </w:t>
      </w:r>
      <w:r w:rsidR="00715B5F" w:rsidRPr="006543D4">
        <w:rPr>
          <w:lang w:val="en-GB"/>
        </w:rPr>
        <w:t>lightning and flood-induced scenarios</w:t>
      </w:r>
      <w:r w:rsidR="00F42EB6">
        <w:rPr>
          <w:lang w:val="en-GB"/>
        </w:rPr>
        <w:t>: in particular,</w:t>
      </w:r>
      <w:r w:rsidR="00715B5F">
        <w:rPr>
          <w:lang w:val="en-GB"/>
        </w:rPr>
        <w:t xml:space="preserve"> if</w:t>
      </w:r>
      <w:r w:rsidR="007B2AFD">
        <w:rPr>
          <w:lang w:val="en-GB"/>
        </w:rPr>
        <w:t xml:space="preserve"> the PLL is considered</w:t>
      </w:r>
      <w:r w:rsidR="00F42EB6">
        <w:rPr>
          <w:lang w:val="en-GB"/>
        </w:rPr>
        <w:t>,</w:t>
      </w:r>
      <w:r w:rsidR="007B2AFD">
        <w:rPr>
          <w:lang w:val="en-GB"/>
        </w:rPr>
        <w:t xml:space="preserve"> </w:t>
      </w:r>
      <w:r w:rsidR="00191326">
        <w:rPr>
          <w:lang w:val="en-GB"/>
        </w:rPr>
        <w:t>lighting</w:t>
      </w:r>
      <w:r w:rsidR="007B2AFD">
        <w:rPr>
          <w:lang w:val="en-GB"/>
        </w:rPr>
        <w:t xml:space="preserve"> scenarios </w:t>
      </w:r>
      <w:r w:rsidR="0067749F">
        <w:rPr>
          <w:lang w:val="en-GB"/>
        </w:rPr>
        <w:t>contribution to overall risk increase</w:t>
      </w:r>
      <w:r w:rsidR="00CD6E7B">
        <w:rPr>
          <w:lang w:val="en-GB"/>
        </w:rPr>
        <w:t xml:space="preserve"> (53</w:t>
      </w:r>
      <w:r w:rsidR="00553CCB">
        <w:rPr>
          <w:lang w:val="en-GB"/>
        </w:rPr>
        <w:t>.7</w:t>
      </w:r>
      <w:r w:rsidR="00CD6E7B">
        <w:rPr>
          <w:lang w:val="en-GB"/>
        </w:rPr>
        <w:t>%)</w:t>
      </w:r>
      <w:r w:rsidR="0067749F">
        <w:rPr>
          <w:lang w:val="en-GB"/>
        </w:rPr>
        <w:t xml:space="preserve"> is slightly higher </w:t>
      </w:r>
      <w:r w:rsidR="00CD6E7B">
        <w:rPr>
          <w:lang w:val="en-GB"/>
        </w:rPr>
        <w:t xml:space="preserve">with respect to the one associated to </w:t>
      </w:r>
      <w:r w:rsidR="008F14CB">
        <w:rPr>
          <w:lang w:val="en-GB"/>
        </w:rPr>
        <w:t>Natech scenarios triggered by flood (4</w:t>
      </w:r>
      <w:r w:rsidR="00553CCB">
        <w:rPr>
          <w:lang w:val="en-GB"/>
        </w:rPr>
        <w:t>0.7</w:t>
      </w:r>
      <w:r w:rsidR="008F14CB">
        <w:rPr>
          <w:lang w:val="en-GB"/>
        </w:rPr>
        <w:t>%)</w:t>
      </w:r>
      <w:r w:rsidR="00F42EB6">
        <w:rPr>
          <w:lang w:val="en-GB"/>
        </w:rPr>
        <w:t>,</w:t>
      </w:r>
      <w:r w:rsidR="008F14CB">
        <w:rPr>
          <w:lang w:val="en-GB"/>
        </w:rPr>
        <w:t xml:space="preserve"> </w:t>
      </w:r>
      <w:r w:rsidR="0067749F">
        <w:rPr>
          <w:lang w:val="en-GB"/>
        </w:rPr>
        <w:t xml:space="preserve">while if </w:t>
      </w:r>
      <w:r w:rsidR="00127D89">
        <w:rPr>
          <w:lang w:val="en-GB"/>
        </w:rPr>
        <w:t xml:space="preserve">a more severe social perception is associated to </w:t>
      </w:r>
      <w:r w:rsidR="00191326">
        <w:rPr>
          <w:lang w:val="en-GB"/>
        </w:rPr>
        <w:t>higher magnitude scenarios</w:t>
      </w:r>
      <w:r w:rsidR="00127D89">
        <w:rPr>
          <w:lang w:val="en-GB"/>
        </w:rPr>
        <w:t xml:space="preserve">, the EV </w:t>
      </w:r>
      <w:r w:rsidR="00F42EB6">
        <w:rPr>
          <w:lang w:val="en-GB"/>
        </w:rPr>
        <w:t xml:space="preserve">can be </w:t>
      </w:r>
      <w:r w:rsidR="000F4DF2">
        <w:rPr>
          <w:lang w:val="en-GB"/>
        </w:rPr>
        <w:t>considered</w:t>
      </w:r>
      <w:r w:rsidR="00F42EB6">
        <w:rPr>
          <w:lang w:val="en-GB"/>
        </w:rPr>
        <w:t>, clearly indicating that</w:t>
      </w:r>
      <w:r w:rsidR="000F4DF2">
        <w:rPr>
          <w:lang w:val="en-GB"/>
        </w:rPr>
        <w:t xml:space="preserve"> the flood-induced scenarios should be prioritize</w:t>
      </w:r>
      <w:r w:rsidR="00F42EB6">
        <w:rPr>
          <w:lang w:val="en-GB"/>
        </w:rPr>
        <w:t>d</w:t>
      </w:r>
      <w:r w:rsidR="006428C2">
        <w:rPr>
          <w:lang w:val="en-GB"/>
        </w:rPr>
        <w:t xml:space="preserve"> </w:t>
      </w:r>
      <w:r w:rsidR="00F42EB6">
        <w:rPr>
          <w:lang w:val="en-GB"/>
        </w:rPr>
        <w:t>instead</w:t>
      </w:r>
      <w:r w:rsidR="000F4DF2">
        <w:rPr>
          <w:lang w:val="en-GB"/>
        </w:rPr>
        <w:t>.</w:t>
      </w:r>
    </w:p>
    <w:p w14:paraId="70505ACE" w14:textId="77777777" w:rsidR="000F61AF" w:rsidRPr="005B1FCE" w:rsidRDefault="000F61AF" w:rsidP="000F61AF">
      <w:pPr>
        <w:pStyle w:val="CETHeading1"/>
        <w:tabs>
          <w:tab w:val="clear" w:pos="360"/>
        </w:tabs>
        <w:rPr>
          <w:lang w:val="en-GB"/>
        </w:rPr>
      </w:pPr>
      <w:r w:rsidRPr="005B1FCE">
        <w:rPr>
          <w:lang w:val="en-GB"/>
        </w:rPr>
        <w:t>Conclusions</w:t>
      </w:r>
    </w:p>
    <w:p w14:paraId="55B873AA" w14:textId="4AF9849C" w:rsidR="000F61AF" w:rsidRPr="005B1FCE" w:rsidRDefault="006C3652" w:rsidP="000F61AF">
      <w:pPr>
        <w:pStyle w:val="CETBodytext"/>
        <w:rPr>
          <w:lang w:val="en-GB"/>
        </w:rPr>
      </w:pPr>
      <w:r w:rsidRPr="006C3652">
        <w:rPr>
          <w:lang w:val="en-GB"/>
        </w:rPr>
        <w:t xml:space="preserve">In this </w:t>
      </w:r>
      <w:r w:rsidR="00263E0E">
        <w:rPr>
          <w:lang w:val="en-GB"/>
        </w:rPr>
        <w:t>study</w:t>
      </w:r>
      <w:r w:rsidRPr="006C3652">
        <w:rPr>
          <w:lang w:val="en-GB"/>
        </w:rPr>
        <w:t xml:space="preserve">, a methodology for </w:t>
      </w:r>
      <w:r>
        <w:rPr>
          <w:lang w:val="en-GB"/>
        </w:rPr>
        <w:t xml:space="preserve">Natech </w:t>
      </w:r>
      <w:r w:rsidRPr="006C3652">
        <w:rPr>
          <w:lang w:val="en-GB"/>
        </w:rPr>
        <w:t xml:space="preserve">multi-risk assessment </w:t>
      </w:r>
      <w:r w:rsidR="004858E5">
        <w:rPr>
          <w:lang w:val="en-GB"/>
        </w:rPr>
        <w:t>is presented</w:t>
      </w:r>
      <w:r w:rsidRPr="006C3652">
        <w:rPr>
          <w:lang w:val="en-GB"/>
        </w:rPr>
        <w:t xml:space="preserve">. The methodology is based </w:t>
      </w:r>
      <w:r w:rsidR="00A75514" w:rsidRPr="00A75514">
        <w:rPr>
          <w:lang w:val="en-GB"/>
        </w:rPr>
        <w:t xml:space="preserve">on a multi-hazard approach and </w:t>
      </w:r>
      <w:r w:rsidR="00DE4607">
        <w:rPr>
          <w:lang w:val="en-GB"/>
        </w:rPr>
        <w:t>enables</w:t>
      </w:r>
      <w:r w:rsidR="00A75514">
        <w:rPr>
          <w:lang w:val="en-GB"/>
        </w:rPr>
        <w:t xml:space="preserve"> the evaluation of Natech risk </w:t>
      </w:r>
      <w:r w:rsidR="00DE4607">
        <w:rPr>
          <w:lang w:val="en-GB"/>
        </w:rPr>
        <w:t>due to different reference natural events</w:t>
      </w:r>
      <w:r w:rsidR="006428C2">
        <w:rPr>
          <w:lang w:val="en-GB"/>
        </w:rPr>
        <w:t>,</w:t>
      </w:r>
      <w:r w:rsidR="00DE4607">
        <w:rPr>
          <w:lang w:val="en-GB"/>
        </w:rPr>
        <w:t xml:space="preserve"> </w:t>
      </w:r>
      <w:r w:rsidR="006428C2">
        <w:rPr>
          <w:lang w:val="en-GB"/>
        </w:rPr>
        <w:t xml:space="preserve">enabling their ranking from a technological risk standpoint. </w:t>
      </w:r>
      <w:r w:rsidRPr="006C3652">
        <w:rPr>
          <w:lang w:val="en-GB"/>
        </w:rPr>
        <w:t xml:space="preserve">The methodology is applied to a </w:t>
      </w:r>
      <w:r w:rsidR="00124705">
        <w:rPr>
          <w:lang w:val="en-GB"/>
        </w:rPr>
        <w:t>case study</w:t>
      </w:r>
      <w:r w:rsidR="00A302F5">
        <w:rPr>
          <w:lang w:val="en-GB"/>
        </w:rPr>
        <w:t xml:space="preserve"> considering </w:t>
      </w:r>
      <w:r w:rsidR="00B52F83">
        <w:rPr>
          <w:lang w:val="en-GB"/>
        </w:rPr>
        <w:t xml:space="preserve">earthquake, lightning </w:t>
      </w:r>
      <w:r w:rsidR="00171D8E">
        <w:rPr>
          <w:lang w:val="en-GB"/>
        </w:rPr>
        <w:t>strikes,</w:t>
      </w:r>
      <w:r w:rsidR="00B52F83">
        <w:rPr>
          <w:lang w:val="en-GB"/>
        </w:rPr>
        <w:t xml:space="preserve"> and flood</w:t>
      </w:r>
      <w:r w:rsidR="00A302F5">
        <w:rPr>
          <w:lang w:val="en-GB"/>
        </w:rPr>
        <w:t>-induced scenarios</w:t>
      </w:r>
      <w:r w:rsidR="00171D8E">
        <w:rPr>
          <w:lang w:val="en-GB"/>
        </w:rPr>
        <w:t xml:space="preserve">. The evaluation of </w:t>
      </w:r>
      <w:r w:rsidR="006428C2">
        <w:rPr>
          <w:lang w:val="en-GB"/>
        </w:rPr>
        <w:t xml:space="preserve">the relative contribution of </w:t>
      </w:r>
      <w:r w:rsidR="00171D8E">
        <w:rPr>
          <w:lang w:val="en-GB"/>
        </w:rPr>
        <w:t xml:space="preserve">each natural hazard to the overall risk </w:t>
      </w:r>
      <w:r w:rsidR="00A97C0E">
        <w:rPr>
          <w:lang w:val="en-GB"/>
        </w:rPr>
        <w:t xml:space="preserve">successfully </w:t>
      </w:r>
      <w:r w:rsidR="006428C2">
        <w:rPr>
          <w:lang w:val="en-GB"/>
        </w:rPr>
        <w:t>produce</w:t>
      </w:r>
      <w:r w:rsidR="00A97C0E">
        <w:rPr>
          <w:lang w:val="en-GB"/>
        </w:rPr>
        <w:t>d</w:t>
      </w:r>
      <w:r w:rsidR="006428C2">
        <w:rPr>
          <w:lang w:val="en-GB"/>
        </w:rPr>
        <w:t xml:space="preserve"> useful indications on</w:t>
      </w:r>
      <w:r w:rsidR="00A97C0E">
        <w:rPr>
          <w:lang w:val="en-GB"/>
        </w:rPr>
        <w:t xml:space="preserve"> which natural hazards should be prioritized in Natech risk mitigation strategies. </w:t>
      </w:r>
    </w:p>
    <w:p w14:paraId="487A53C2" w14:textId="56E3CEC2" w:rsidR="00C76A6D" w:rsidRDefault="0009008C" w:rsidP="0009008C">
      <w:pPr>
        <w:pStyle w:val="CETReference"/>
      </w:pPr>
      <w:r w:rsidRPr="005B1FCE">
        <w:t>References</w:t>
      </w:r>
    </w:p>
    <w:p w14:paraId="626ED01C" w14:textId="77777777" w:rsidR="004B2817" w:rsidRDefault="004B2817" w:rsidP="004B2817">
      <w:pPr>
        <w:pStyle w:val="CETReferencetext"/>
      </w:pPr>
      <w:r w:rsidRPr="004B2817">
        <w:t>Antonioni G., Landucci G., Necci A., Gheorghiu D., Cozzani V., 2015 Quantitative assessment of risk due to NaTech scenarios caused by floods, Reliability Engineering and System Safety, 142, 334-345.</w:t>
      </w:r>
    </w:p>
    <w:p w14:paraId="0EFB70C9" w14:textId="19C66D8F" w:rsidR="00614634" w:rsidRDefault="00614634" w:rsidP="00614634">
      <w:pPr>
        <w:pStyle w:val="CETReferencetext"/>
      </w:pPr>
      <w:r w:rsidRPr="008263A2">
        <w:t>CCPS, 2000</w:t>
      </w:r>
      <w:r w:rsidR="00772C4F">
        <w:t>,</w:t>
      </w:r>
      <w:r w:rsidRPr="008263A2">
        <w:t xml:space="preserve"> Guidelines for chemical process quantitative risk analysis</w:t>
      </w:r>
      <w:r w:rsidR="006A59AE">
        <w:t>,</w:t>
      </w:r>
      <w:r w:rsidRPr="008263A2">
        <w:t xml:space="preserve"> </w:t>
      </w:r>
      <w:r w:rsidR="006A59AE" w:rsidRPr="005B1FCE">
        <w:t>AIChE Centre of Chemical Process Safety, New York, NY.</w:t>
      </w:r>
    </w:p>
    <w:p w14:paraId="6BDA581E" w14:textId="3077334E" w:rsidR="003C2A3F" w:rsidRPr="00DD5EAD" w:rsidRDefault="003C2A3F" w:rsidP="003C2A3F">
      <w:pPr>
        <w:pStyle w:val="CETReferencetext"/>
      </w:pPr>
      <w:r w:rsidRPr="008263A2">
        <w:t>Energy Institute</w:t>
      </w:r>
      <w:r>
        <w:t>, 2019,</w:t>
      </w:r>
      <w:r w:rsidRPr="008263A2">
        <w:t xml:space="preserve"> Guidance on assigning ignition probabilities in onshore and offshore quantitative risk assessments</w:t>
      </w:r>
      <w:r>
        <w:t>,</w:t>
      </w:r>
      <w:r w:rsidRPr="008263A2">
        <w:t xml:space="preserve"> London.</w:t>
      </w:r>
    </w:p>
    <w:p w14:paraId="33047D02" w14:textId="38279A0D" w:rsidR="004B54C7" w:rsidRPr="008263A2" w:rsidRDefault="004B54C7" w:rsidP="004B54C7">
      <w:pPr>
        <w:pStyle w:val="CETReferencetext"/>
      </w:pPr>
      <w:r w:rsidRPr="008263A2">
        <w:t xml:space="preserve">Krausmann E., Cozzani V., Salzano E., Renni E., </w:t>
      </w:r>
      <w:r>
        <w:t xml:space="preserve">2011, </w:t>
      </w:r>
      <w:r w:rsidRPr="008263A2">
        <w:t>Industrial accidents triggered by natural hazards: An emerging risk issue</w:t>
      </w:r>
      <w:r>
        <w:t xml:space="preserve">, </w:t>
      </w:r>
      <w:r w:rsidRPr="005A2A0E">
        <w:t>Natural Hazards and Earth System Sciences</w:t>
      </w:r>
      <w:r w:rsidRPr="008263A2">
        <w:t xml:space="preserve">, 11, </w:t>
      </w:r>
      <w:r w:rsidR="0000441E">
        <w:t>921-929</w:t>
      </w:r>
      <w:r w:rsidRPr="008263A2">
        <w:t>.</w:t>
      </w:r>
    </w:p>
    <w:p w14:paraId="117D6A62" w14:textId="77777777" w:rsidR="0050392D" w:rsidRPr="009816FB" w:rsidRDefault="0050392D" w:rsidP="0050392D">
      <w:pPr>
        <w:pStyle w:val="CETReferencetext"/>
        <w:rPr>
          <w:szCs w:val="18"/>
        </w:rPr>
      </w:pPr>
      <w:r w:rsidRPr="009816FB">
        <w:rPr>
          <w:szCs w:val="18"/>
        </w:rPr>
        <w:t>Landucci G., Antonioni G., Tugnoli A., Cozzani V., 2012, Release of hazardous substances in flood events: Damage model for atmospheric storage tanks, Reliability Engineering and System Safety, 106, 200-216.</w:t>
      </w:r>
    </w:p>
    <w:p w14:paraId="6BEA0DD2" w14:textId="1219FB43" w:rsidR="00C31E77" w:rsidRDefault="00C31E77" w:rsidP="00C31E77">
      <w:pPr>
        <w:pStyle w:val="CETReferencetext"/>
        <w:rPr>
          <w:szCs w:val="18"/>
        </w:rPr>
      </w:pPr>
      <w:r w:rsidRPr="008263A2">
        <w:t>Landucci G</w:t>
      </w:r>
      <w:r w:rsidR="006F1E47">
        <w:t>.</w:t>
      </w:r>
      <w:r w:rsidRPr="008263A2">
        <w:t>, Necci A</w:t>
      </w:r>
      <w:r w:rsidR="006F1E47">
        <w:t>.</w:t>
      </w:r>
      <w:r w:rsidRPr="008263A2">
        <w:t>, Antonioni G</w:t>
      </w:r>
      <w:r w:rsidR="006F1E47">
        <w:t>.</w:t>
      </w:r>
      <w:r w:rsidRPr="008263A2">
        <w:t>, Tugnoli A</w:t>
      </w:r>
      <w:r w:rsidR="006F1E47">
        <w:t>.</w:t>
      </w:r>
      <w:r w:rsidRPr="008263A2">
        <w:t>, Cozzani V.</w:t>
      </w:r>
      <w:r>
        <w:t xml:space="preserve">, 2014, </w:t>
      </w:r>
      <w:r w:rsidRPr="008263A2">
        <w:t>Release of hazardous substances in flood events: Damage model for horizontal cylindrical vessels</w:t>
      </w:r>
      <w:r>
        <w:t>,</w:t>
      </w:r>
      <w:r w:rsidRPr="008263A2">
        <w:t xml:space="preserve"> </w:t>
      </w:r>
      <w:r w:rsidRPr="009816FB">
        <w:rPr>
          <w:szCs w:val="18"/>
        </w:rPr>
        <w:t>Reliability Engineering and System Safety, 1</w:t>
      </w:r>
      <w:r w:rsidR="00F77118">
        <w:rPr>
          <w:szCs w:val="18"/>
        </w:rPr>
        <w:t>32</w:t>
      </w:r>
      <w:r w:rsidRPr="009816FB">
        <w:rPr>
          <w:szCs w:val="18"/>
        </w:rPr>
        <w:t xml:space="preserve">, </w:t>
      </w:r>
      <w:r w:rsidR="00F77118">
        <w:rPr>
          <w:szCs w:val="18"/>
        </w:rPr>
        <w:t>125</w:t>
      </w:r>
      <w:r w:rsidRPr="009816FB">
        <w:rPr>
          <w:szCs w:val="18"/>
        </w:rPr>
        <w:t>-</w:t>
      </w:r>
      <w:r w:rsidR="00F77118">
        <w:rPr>
          <w:szCs w:val="18"/>
        </w:rPr>
        <w:t>145</w:t>
      </w:r>
      <w:r>
        <w:rPr>
          <w:szCs w:val="18"/>
        </w:rPr>
        <w:t>.</w:t>
      </w:r>
    </w:p>
    <w:p w14:paraId="3FA5A0AA" w14:textId="3C3C8BC2" w:rsidR="0000441E" w:rsidRDefault="0000441E" w:rsidP="0000441E">
      <w:pPr>
        <w:pStyle w:val="CETReferencetext"/>
      </w:pPr>
      <w:r w:rsidRPr="008263A2">
        <w:t>Misuri A</w:t>
      </w:r>
      <w:r w:rsidR="006F1E47">
        <w:t>.</w:t>
      </w:r>
      <w:r w:rsidRPr="008263A2">
        <w:t>, Antonioni G</w:t>
      </w:r>
      <w:r w:rsidR="006F1E47">
        <w:t>.</w:t>
      </w:r>
      <w:r w:rsidRPr="008263A2">
        <w:t>, Cozzani V.</w:t>
      </w:r>
      <w:r>
        <w:t>, 2020,</w:t>
      </w:r>
      <w:r w:rsidRPr="008263A2">
        <w:t xml:space="preserve"> Quantitative risk assessment of domino effect in Natech scenarios triggered by </w:t>
      </w:r>
      <w:r w:rsidR="00E36F54">
        <w:t>lightning,</w:t>
      </w:r>
      <w:r w:rsidRPr="008263A2">
        <w:t xml:space="preserve"> </w:t>
      </w:r>
      <w:r w:rsidR="00E36F54" w:rsidRPr="00E36F54">
        <w:t>Journal of Loss Prevention in the Process Industries</w:t>
      </w:r>
      <w:r w:rsidR="00E36F54">
        <w:t xml:space="preserve">, </w:t>
      </w:r>
      <w:r w:rsidR="004C01A8">
        <w:t xml:space="preserve">64, </w:t>
      </w:r>
      <w:r w:rsidR="006428C2">
        <w:t>104095</w:t>
      </w:r>
      <w:r w:rsidR="004C01A8">
        <w:t>.</w:t>
      </w:r>
    </w:p>
    <w:p w14:paraId="70D1E6F0" w14:textId="44412833" w:rsidR="006D4718" w:rsidRPr="008263A2" w:rsidRDefault="006D4718" w:rsidP="0000441E">
      <w:pPr>
        <w:pStyle w:val="CETReferencetext"/>
      </w:pPr>
      <w:r>
        <w:rPr>
          <w:rStyle w:val="fontstyle01"/>
        </w:rPr>
        <w:t>Misuri A., Cozzani V., 2021, A paradigm shift in the assessment of Natech scenarios in chemical and process</w:t>
      </w:r>
      <w:r>
        <w:rPr>
          <w:rFonts w:ascii="ArialMT" w:hAnsi="ArialMT"/>
          <w:color w:val="000000"/>
          <w:szCs w:val="18"/>
        </w:rPr>
        <w:br/>
      </w:r>
      <w:r>
        <w:rPr>
          <w:rStyle w:val="fontstyle01"/>
        </w:rPr>
        <w:t>facilities, Process Safety and Environmental Protection, 152, 338-351.</w:t>
      </w:r>
    </w:p>
    <w:p w14:paraId="7B20EFB0" w14:textId="6B882360" w:rsidR="004C01A8" w:rsidRDefault="004C01A8" w:rsidP="004C01A8">
      <w:pPr>
        <w:pStyle w:val="CETReferencetext"/>
      </w:pPr>
      <w:r w:rsidRPr="008263A2">
        <w:t>Necci A</w:t>
      </w:r>
      <w:r w:rsidR="006F1E47">
        <w:t>.</w:t>
      </w:r>
      <w:r w:rsidRPr="008263A2">
        <w:t>, Antonioni G</w:t>
      </w:r>
      <w:r w:rsidR="006F1E47">
        <w:t>.</w:t>
      </w:r>
      <w:r w:rsidRPr="008263A2">
        <w:t>, Bonvicini S</w:t>
      </w:r>
      <w:r w:rsidR="006F1E47">
        <w:t>.</w:t>
      </w:r>
      <w:r w:rsidRPr="008263A2">
        <w:t>, Cozzani V.</w:t>
      </w:r>
      <w:r>
        <w:t>, 2016,</w:t>
      </w:r>
      <w:r w:rsidRPr="008263A2">
        <w:t xml:space="preserve"> Quantitative assessment of risk due to major accidents triggered by lightning</w:t>
      </w:r>
      <w:r w:rsidR="00EF1163">
        <w:t>,</w:t>
      </w:r>
      <w:r w:rsidRPr="008263A2">
        <w:t xml:space="preserve"> </w:t>
      </w:r>
      <w:r w:rsidR="00EF1163" w:rsidRPr="00EF1163">
        <w:t>Reliability</w:t>
      </w:r>
      <w:r w:rsidR="00EF1163">
        <w:t xml:space="preserve"> </w:t>
      </w:r>
      <w:r w:rsidR="00EF1163" w:rsidRPr="00EF1163">
        <w:t>Engineering</w:t>
      </w:r>
      <w:r w:rsidR="00EF1163">
        <w:t xml:space="preserve"> </w:t>
      </w:r>
      <w:r w:rsidR="00EF1163" w:rsidRPr="00EF1163">
        <w:t>and</w:t>
      </w:r>
      <w:r w:rsidR="00EF1163">
        <w:t xml:space="preserve"> </w:t>
      </w:r>
      <w:r w:rsidR="00EF1163" w:rsidRPr="00EF1163">
        <w:t>System</w:t>
      </w:r>
      <w:r w:rsidR="00EF1163">
        <w:t xml:space="preserve"> </w:t>
      </w:r>
      <w:r w:rsidR="00EF1163" w:rsidRPr="00EF1163">
        <w:t>Safety</w:t>
      </w:r>
      <w:r w:rsidR="00EF1163">
        <w:t>, 154, 60-72.</w:t>
      </w:r>
    </w:p>
    <w:p w14:paraId="112770E9" w14:textId="68482BE1" w:rsidR="001E6004" w:rsidRDefault="001E6004" w:rsidP="00EF1163">
      <w:pPr>
        <w:pStyle w:val="CETReferencetext"/>
      </w:pPr>
      <w:r w:rsidRPr="008263A2">
        <w:t>Rasmussen K.,</w:t>
      </w:r>
      <w:r>
        <w:t xml:space="preserve"> 1995, </w:t>
      </w:r>
      <w:r w:rsidRPr="008263A2">
        <w:t xml:space="preserve">Natural events and accidents with hazardous materials, </w:t>
      </w:r>
      <w:r w:rsidR="007810CA" w:rsidRPr="007810CA">
        <w:t>Journal of Hazardous Materials</w:t>
      </w:r>
      <w:r w:rsidRPr="008263A2">
        <w:t>,</w:t>
      </w:r>
      <w:r w:rsidR="00947AAC">
        <w:t xml:space="preserve"> 40, 43-54.</w:t>
      </w:r>
    </w:p>
    <w:p w14:paraId="3522029D" w14:textId="60C21967" w:rsidR="00EF1163" w:rsidRPr="008263A2" w:rsidRDefault="00EF1163" w:rsidP="00EF1163">
      <w:pPr>
        <w:pStyle w:val="CETReferencetext"/>
      </w:pPr>
      <w:r w:rsidRPr="008263A2">
        <w:t>Renni E</w:t>
      </w:r>
      <w:r w:rsidR="003D49F4">
        <w:t>.</w:t>
      </w:r>
      <w:r w:rsidRPr="008263A2">
        <w:t>, Krausmann E</w:t>
      </w:r>
      <w:r w:rsidR="006F1E47">
        <w:t>.</w:t>
      </w:r>
      <w:r w:rsidRPr="008263A2">
        <w:t>,</w:t>
      </w:r>
      <w:r w:rsidR="003D49F4">
        <w:t xml:space="preserve"> </w:t>
      </w:r>
      <w:r w:rsidRPr="008263A2">
        <w:t>Cozzani V.</w:t>
      </w:r>
      <w:r>
        <w:t>, 2010,</w:t>
      </w:r>
      <w:r w:rsidRPr="008263A2">
        <w:t xml:space="preserve"> Industrial accidents triggered by lightning</w:t>
      </w:r>
      <w:r>
        <w:t>,</w:t>
      </w:r>
      <w:r w:rsidRPr="008263A2">
        <w:t xml:space="preserve"> </w:t>
      </w:r>
      <w:r w:rsidR="001E6004" w:rsidRPr="001E6004">
        <w:t>Journal of Hazardous Materials</w:t>
      </w:r>
      <w:r>
        <w:t xml:space="preserve">, </w:t>
      </w:r>
      <w:r w:rsidR="001E6004">
        <w:t>184, 42-48</w:t>
      </w:r>
      <w:r w:rsidRPr="008263A2">
        <w:t>.</w:t>
      </w:r>
    </w:p>
    <w:p w14:paraId="640EDE5E" w14:textId="2EBAB31D" w:rsidR="001E6004" w:rsidRDefault="001E6004" w:rsidP="001E6004">
      <w:pPr>
        <w:pStyle w:val="CETReferencetext"/>
      </w:pPr>
      <w:r w:rsidRPr="006F1E47">
        <w:t>Ricci F</w:t>
      </w:r>
      <w:r w:rsidR="006F1E47" w:rsidRPr="006F1E47">
        <w:t>.</w:t>
      </w:r>
      <w:r w:rsidRPr="006F1E47">
        <w:t>, Casson Moreno V</w:t>
      </w:r>
      <w:r w:rsidR="006F1E47">
        <w:t>.</w:t>
      </w:r>
      <w:r w:rsidRPr="006F1E47">
        <w:t xml:space="preserve">, </w:t>
      </w:r>
      <w:r w:rsidRPr="008263A2">
        <w:t>Cozzani V.</w:t>
      </w:r>
      <w:r>
        <w:t>, 2021,</w:t>
      </w:r>
      <w:r w:rsidRPr="008263A2">
        <w:t xml:space="preserve"> A comprehensive analysis of the occurrence of Natech events in the process industry</w:t>
      </w:r>
      <w:r>
        <w:t>,</w:t>
      </w:r>
      <w:r w:rsidRPr="008263A2">
        <w:t xml:space="preserve"> </w:t>
      </w:r>
      <w:r w:rsidRPr="00793B30">
        <w:t>Process Safety and Environmental Protection</w:t>
      </w:r>
      <w:r>
        <w:t>,</w:t>
      </w:r>
      <w:r w:rsidRPr="008263A2">
        <w:t xml:space="preserve"> 147</w:t>
      </w:r>
      <w:r>
        <w:t xml:space="preserve">, </w:t>
      </w:r>
      <w:r w:rsidRPr="008263A2">
        <w:t>703–</w:t>
      </w:r>
      <w:r>
        <w:t>7</w:t>
      </w:r>
      <w:r w:rsidRPr="008263A2">
        <w:t>13.</w:t>
      </w:r>
    </w:p>
    <w:p w14:paraId="7BD02971" w14:textId="4084E90C" w:rsidR="007810CA" w:rsidRDefault="007810CA" w:rsidP="007810CA">
      <w:pPr>
        <w:pStyle w:val="CETReferencetext"/>
      </w:pPr>
      <w:r w:rsidRPr="008263A2">
        <w:t>Salzano E</w:t>
      </w:r>
      <w:r w:rsidR="006F1E47">
        <w:t>.</w:t>
      </w:r>
      <w:r w:rsidRPr="008263A2">
        <w:t>, Garcia Agreda A</w:t>
      </w:r>
      <w:r w:rsidR="006F1E47">
        <w:t>.</w:t>
      </w:r>
      <w:r w:rsidRPr="008263A2">
        <w:t>, Di Carluccio A</w:t>
      </w:r>
      <w:r w:rsidR="006F1E47">
        <w:t>.</w:t>
      </w:r>
      <w:r w:rsidRPr="008263A2">
        <w:t>, Fabbrocino G.</w:t>
      </w:r>
      <w:r>
        <w:t xml:space="preserve">, </w:t>
      </w:r>
      <w:r w:rsidRPr="008263A2">
        <w:t>2009</w:t>
      </w:r>
      <w:r>
        <w:t xml:space="preserve">, </w:t>
      </w:r>
      <w:r w:rsidRPr="008263A2">
        <w:t>Risk assessment and early warning systems for industrial facilities in seismic zones</w:t>
      </w:r>
      <w:r>
        <w:t>,</w:t>
      </w:r>
      <w:r w:rsidRPr="008263A2">
        <w:t xml:space="preserve"> </w:t>
      </w:r>
      <w:r w:rsidR="00BF55EE" w:rsidRPr="00BF55EE">
        <w:t>Reliability</w:t>
      </w:r>
      <w:r w:rsidR="00BF55EE">
        <w:t xml:space="preserve"> </w:t>
      </w:r>
      <w:r w:rsidR="00BF55EE" w:rsidRPr="00BF55EE">
        <w:t>Engineering</w:t>
      </w:r>
      <w:r w:rsidR="00BF55EE">
        <w:t xml:space="preserve"> </w:t>
      </w:r>
      <w:r w:rsidR="00BF55EE" w:rsidRPr="00BF55EE">
        <w:t>and</w:t>
      </w:r>
      <w:r w:rsidR="00BF55EE">
        <w:t xml:space="preserve"> </w:t>
      </w:r>
      <w:r w:rsidR="00BF55EE" w:rsidRPr="00BF55EE">
        <w:t>System</w:t>
      </w:r>
      <w:r w:rsidR="00BF55EE">
        <w:t xml:space="preserve"> </w:t>
      </w:r>
      <w:r w:rsidR="00BF55EE" w:rsidRPr="00BF55EE">
        <w:t>Safety</w:t>
      </w:r>
      <w:r>
        <w:t xml:space="preserve">, </w:t>
      </w:r>
      <w:r w:rsidRPr="008263A2">
        <w:t>94</w:t>
      </w:r>
      <w:r w:rsidR="00BF55EE">
        <w:t>, 1577-1584.</w:t>
      </w:r>
    </w:p>
    <w:p w14:paraId="10C3B93A" w14:textId="1BE310C6" w:rsidR="0000441E" w:rsidRPr="008263A2" w:rsidRDefault="00BF55EE" w:rsidP="00C31E77">
      <w:pPr>
        <w:pStyle w:val="CETReferencetext"/>
      </w:pPr>
      <w:r w:rsidRPr="008263A2">
        <w:t>Van Den Bosh CJH, Weterings RAPM</w:t>
      </w:r>
      <w:r>
        <w:t>, 2005,</w:t>
      </w:r>
      <w:r w:rsidRPr="008263A2">
        <w:t xml:space="preserve"> Methods for the calculation of physical effects (Yellow Book). 3rd ed. The Hague (The Netherlands): Committee for the Prevention of Disasters.</w:t>
      </w:r>
    </w:p>
    <w:p w14:paraId="19C4FC68" w14:textId="464BD361" w:rsidR="004628D2" w:rsidRPr="00DD5EAD" w:rsidRDefault="00DD5EAD" w:rsidP="008F14CB">
      <w:pPr>
        <w:pStyle w:val="CETReferencetext"/>
      </w:pPr>
      <w:r w:rsidRPr="008263A2">
        <w:t xml:space="preserve">World Health Organization, </w:t>
      </w:r>
      <w:r w:rsidR="004A5E90" w:rsidRPr="008263A2">
        <w:t>2018</w:t>
      </w:r>
      <w:r w:rsidR="004A5E90">
        <w:t xml:space="preserve">, </w:t>
      </w:r>
      <w:r w:rsidRPr="008263A2">
        <w:t>Chemical releases caused by natural hazard events and disasters: information for public health authorities.</w:t>
      </w:r>
    </w:p>
    <w:sectPr w:rsidR="004628D2" w:rsidRPr="00DD5EAD" w:rsidSect="00EF06D9">
      <w:type w:val="continuous"/>
      <w:pgSz w:w="11906" w:h="16838" w:code="9"/>
      <w:pgMar w:top="1701" w:right="1418" w:bottom="1701" w:left="1701" w:header="1701" w:footer="0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E9593E" w14:textId="77777777" w:rsidR="00A13BF9" w:rsidRDefault="00A13BF9" w:rsidP="004F5E36">
      <w:r>
        <w:separator/>
      </w:r>
    </w:p>
  </w:endnote>
  <w:endnote w:type="continuationSeparator" w:id="0">
    <w:p w14:paraId="75D79F94" w14:textId="77777777" w:rsidR="00A13BF9" w:rsidRDefault="00A13BF9" w:rsidP="004F5E36">
      <w:r>
        <w:continuationSeparator/>
      </w:r>
    </w:p>
  </w:endnote>
  <w:endnote w:type="continuationNotice" w:id="1">
    <w:p w14:paraId="0830A204" w14:textId="77777777" w:rsidR="00A13BF9" w:rsidRDefault="00A13BF9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AdvP6960">
    <w:altName w:val="Cambria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356B3A" w14:textId="77777777" w:rsidR="00A13BF9" w:rsidRDefault="00A13BF9" w:rsidP="004F5E36">
      <w:r>
        <w:separator/>
      </w:r>
    </w:p>
  </w:footnote>
  <w:footnote w:type="continuationSeparator" w:id="0">
    <w:p w14:paraId="31BAA304" w14:textId="77777777" w:rsidR="00A13BF9" w:rsidRDefault="00A13BF9" w:rsidP="004F5E36">
      <w:r>
        <w:continuationSeparator/>
      </w:r>
    </w:p>
  </w:footnote>
  <w:footnote w:type="continuationNotice" w:id="1">
    <w:p w14:paraId="5E642E25" w14:textId="77777777" w:rsidR="00A13BF9" w:rsidRDefault="00A13BF9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558AF15E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5EC884E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08CBE96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FC0B38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A34EB48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85C6BD6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7A9968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ED2793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5F4206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06ACE1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FE909C8"/>
    <w:multiLevelType w:val="hybridMultilevel"/>
    <w:tmpl w:val="765E80E8"/>
    <w:lvl w:ilvl="0" w:tplc="03B6C0F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AE1030"/>
    <w:multiLevelType w:val="hybridMultilevel"/>
    <w:tmpl w:val="126E4410"/>
    <w:lvl w:ilvl="0" w:tplc="8F8ED990">
      <w:start w:val="1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38217E"/>
    <w:multiLevelType w:val="multilevel"/>
    <w:tmpl w:val="F17228D6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ETHeading1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CETheadingx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leSimple1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330B7370"/>
    <w:multiLevelType w:val="hybridMultilevel"/>
    <w:tmpl w:val="12E2A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1E0394"/>
    <w:multiLevelType w:val="hybridMultilevel"/>
    <w:tmpl w:val="806658E2"/>
    <w:lvl w:ilvl="0" w:tplc="14B0F7A8">
      <w:start w:val="1"/>
      <w:numFmt w:val="bullet"/>
      <w:pStyle w:val="CETnumberingbullets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C329B9"/>
    <w:multiLevelType w:val="hybridMultilevel"/>
    <w:tmpl w:val="A2E6C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B100E8"/>
    <w:multiLevelType w:val="hybridMultilevel"/>
    <w:tmpl w:val="6F34C070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6C437A"/>
    <w:multiLevelType w:val="hybridMultilevel"/>
    <w:tmpl w:val="BC4A11FA"/>
    <w:lvl w:ilvl="0" w:tplc="92E83670">
      <w:start w:val="1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A87BA7"/>
    <w:multiLevelType w:val="hybridMultilevel"/>
    <w:tmpl w:val="1F6A8AD4"/>
    <w:lvl w:ilvl="0" w:tplc="14B0F7A8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217387"/>
    <w:multiLevelType w:val="hybridMultilevel"/>
    <w:tmpl w:val="C2AE185A"/>
    <w:lvl w:ilvl="0" w:tplc="14090011">
      <w:start w:val="1"/>
      <w:numFmt w:val="decimal"/>
      <w:lvlText w:val="%1)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205803"/>
    <w:multiLevelType w:val="multilevel"/>
    <w:tmpl w:val="444C89D0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21" w15:restartNumberingAfterBreak="0">
    <w:nsid w:val="5AD311D0"/>
    <w:multiLevelType w:val="hybridMultilevel"/>
    <w:tmpl w:val="F198FF08"/>
    <w:lvl w:ilvl="0" w:tplc="62EA088C">
      <w:start w:val="1"/>
      <w:numFmt w:val="decimal"/>
      <w:pStyle w:val="CETnumbering1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2015B5"/>
    <w:multiLevelType w:val="hybridMultilevel"/>
    <w:tmpl w:val="CCDE094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65266D"/>
    <w:multiLevelType w:val="hybridMultilevel"/>
    <w:tmpl w:val="F5BE3C4A"/>
    <w:lvl w:ilvl="0" w:tplc="9FC4D28C">
      <w:start w:val="1"/>
      <w:numFmt w:val="lowerLetter"/>
      <w:pStyle w:val="CETnumberinga"/>
      <w:lvlText w:val="%1.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20"/>
  </w:num>
  <w:num w:numId="13">
    <w:abstractNumId w:val="14"/>
  </w:num>
  <w:num w:numId="14">
    <w:abstractNumId w:val="21"/>
  </w:num>
  <w:num w:numId="15">
    <w:abstractNumId w:val="23"/>
  </w:num>
  <w:num w:numId="16">
    <w:abstractNumId w:val="22"/>
  </w:num>
  <w:num w:numId="17">
    <w:abstractNumId w:val="13"/>
  </w:num>
  <w:num w:numId="18">
    <w:abstractNumId w:val="14"/>
    <w:lvlOverride w:ilvl="0">
      <w:startOverride w:val="1"/>
    </w:lvlOverride>
  </w:num>
  <w:num w:numId="19">
    <w:abstractNumId w:val="19"/>
  </w:num>
  <w:num w:numId="20">
    <w:abstractNumId w:val="18"/>
  </w:num>
  <w:num w:numId="21">
    <w:abstractNumId w:val="16"/>
  </w:num>
  <w:num w:numId="22">
    <w:abstractNumId w:val="15"/>
  </w:num>
  <w:num w:numId="23">
    <w:abstractNumId w:val="11"/>
  </w:num>
  <w:num w:numId="24">
    <w:abstractNumId w:val="10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0"/>
  <w:autoFormatOverride/>
  <w:styleLockTheme/>
  <w:styleLockQFSet/>
  <w:defaultTabStop w:val="708"/>
  <w:hyphenationZone w:val="283"/>
  <w:clickAndTypeStyle w:val="CETBodytext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I0NzezsDA3M7MwMTJW0lEKTi0uzszPAykwNKkFAG6qifgtAAAA"/>
  </w:docVars>
  <w:rsids>
    <w:rsidRoot w:val="000E414A"/>
    <w:rsid w:val="000027C0"/>
    <w:rsid w:val="0000441E"/>
    <w:rsid w:val="000052FB"/>
    <w:rsid w:val="000117CB"/>
    <w:rsid w:val="00016B81"/>
    <w:rsid w:val="00023E42"/>
    <w:rsid w:val="000263EE"/>
    <w:rsid w:val="00027139"/>
    <w:rsid w:val="0003148D"/>
    <w:rsid w:val="00031EEC"/>
    <w:rsid w:val="000341FB"/>
    <w:rsid w:val="00037DB1"/>
    <w:rsid w:val="00041535"/>
    <w:rsid w:val="0004461F"/>
    <w:rsid w:val="0004547D"/>
    <w:rsid w:val="00051566"/>
    <w:rsid w:val="000567E4"/>
    <w:rsid w:val="0006106C"/>
    <w:rsid w:val="00062A9A"/>
    <w:rsid w:val="00065058"/>
    <w:rsid w:val="00065920"/>
    <w:rsid w:val="00066D10"/>
    <w:rsid w:val="0007088A"/>
    <w:rsid w:val="00075CA5"/>
    <w:rsid w:val="00086C39"/>
    <w:rsid w:val="00086F1A"/>
    <w:rsid w:val="0009008C"/>
    <w:rsid w:val="00095A99"/>
    <w:rsid w:val="00097979"/>
    <w:rsid w:val="000A03B2"/>
    <w:rsid w:val="000A1F91"/>
    <w:rsid w:val="000A262B"/>
    <w:rsid w:val="000A41B8"/>
    <w:rsid w:val="000A7763"/>
    <w:rsid w:val="000B02C8"/>
    <w:rsid w:val="000C17F0"/>
    <w:rsid w:val="000C454C"/>
    <w:rsid w:val="000C47A2"/>
    <w:rsid w:val="000C5450"/>
    <w:rsid w:val="000D0098"/>
    <w:rsid w:val="000D0268"/>
    <w:rsid w:val="000D18ED"/>
    <w:rsid w:val="000D23F3"/>
    <w:rsid w:val="000D34BE"/>
    <w:rsid w:val="000D708D"/>
    <w:rsid w:val="000E102F"/>
    <w:rsid w:val="000E36F1"/>
    <w:rsid w:val="000E3A73"/>
    <w:rsid w:val="000E414A"/>
    <w:rsid w:val="000E77A7"/>
    <w:rsid w:val="000F093C"/>
    <w:rsid w:val="000F4124"/>
    <w:rsid w:val="000F4DF2"/>
    <w:rsid w:val="000F5FBF"/>
    <w:rsid w:val="000F61AF"/>
    <w:rsid w:val="000F6E36"/>
    <w:rsid w:val="000F787B"/>
    <w:rsid w:val="00113DF9"/>
    <w:rsid w:val="0012091F"/>
    <w:rsid w:val="00122C57"/>
    <w:rsid w:val="00124705"/>
    <w:rsid w:val="00125E58"/>
    <w:rsid w:val="00126BC2"/>
    <w:rsid w:val="00126DCC"/>
    <w:rsid w:val="00127D89"/>
    <w:rsid w:val="001308B6"/>
    <w:rsid w:val="0013121F"/>
    <w:rsid w:val="00131FE6"/>
    <w:rsid w:val="0013263F"/>
    <w:rsid w:val="001327DE"/>
    <w:rsid w:val="001331DF"/>
    <w:rsid w:val="00134DE4"/>
    <w:rsid w:val="0013699C"/>
    <w:rsid w:val="0014034D"/>
    <w:rsid w:val="00144D16"/>
    <w:rsid w:val="001509A2"/>
    <w:rsid w:val="00150E59"/>
    <w:rsid w:val="00152C8D"/>
    <w:rsid w:val="00152DE3"/>
    <w:rsid w:val="001551F9"/>
    <w:rsid w:val="00156F42"/>
    <w:rsid w:val="00163921"/>
    <w:rsid w:val="00164CF9"/>
    <w:rsid w:val="001667A6"/>
    <w:rsid w:val="00171D8E"/>
    <w:rsid w:val="00172F22"/>
    <w:rsid w:val="00177C92"/>
    <w:rsid w:val="00184AD6"/>
    <w:rsid w:val="001908E7"/>
    <w:rsid w:val="00191326"/>
    <w:rsid w:val="001A42BC"/>
    <w:rsid w:val="001A4AF7"/>
    <w:rsid w:val="001A53C5"/>
    <w:rsid w:val="001A7FAA"/>
    <w:rsid w:val="001B0349"/>
    <w:rsid w:val="001B1E93"/>
    <w:rsid w:val="001B65C1"/>
    <w:rsid w:val="001C0826"/>
    <w:rsid w:val="001C36E1"/>
    <w:rsid w:val="001C684B"/>
    <w:rsid w:val="001D0277"/>
    <w:rsid w:val="001D0CFB"/>
    <w:rsid w:val="001D1322"/>
    <w:rsid w:val="001D53FC"/>
    <w:rsid w:val="001E0000"/>
    <w:rsid w:val="001E6004"/>
    <w:rsid w:val="001E71C8"/>
    <w:rsid w:val="001F408A"/>
    <w:rsid w:val="001F40A8"/>
    <w:rsid w:val="001F42A5"/>
    <w:rsid w:val="001F5652"/>
    <w:rsid w:val="001F5E21"/>
    <w:rsid w:val="001F7B9D"/>
    <w:rsid w:val="00201769"/>
    <w:rsid w:val="00201C93"/>
    <w:rsid w:val="00202140"/>
    <w:rsid w:val="00203806"/>
    <w:rsid w:val="00204664"/>
    <w:rsid w:val="002065EF"/>
    <w:rsid w:val="00210B89"/>
    <w:rsid w:val="002130C1"/>
    <w:rsid w:val="002139AF"/>
    <w:rsid w:val="002224B4"/>
    <w:rsid w:val="00223F71"/>
    <w:rsid w:val="002274D0"/>
    <w:rsid w:val="002308FA"/>
    <w:rsid w:val="00233D9C"/>
    <w:rsid w:val="00235C51"/>
    <w:rsid w:val="00235D67"/>
    <w:rsid w:val="00236B90"/>
    <w:rsid w:val="002375C3"/>
    <w:rsid w:val="002446A6"/>
    <w:rsid w:val="002447EF"/>
    <w:rsid w:val="002505B4"/>
    <w:rsid w:val="00251550"/>
    <w:rsid w:val="0025515E"/>
    <w:rsid w:val="002575C5"/>
    <w:rsid w:val="0026263B"/>
    <w:rsid w:val="00263B05"/>
    <w:rsid w:val="00263E0E"/>
    <w:rsid w:val="002652FA"/>
    <w:rsid w:val="0027221A"/>
    <w:rsid w:val="00275B61"/>
    <w:rsid w:val="00280FAF"/>
    <w:rsid w:val="00282656"/>
    <w:rsid w:val="00286624"/>
    <w:rsid w:val="00294B3C"/>
    <w:rsid w:val="002962F0"/>
    <w:rsid w:val="00296B83"/>
    <w:rsid w:val="002976EC"/>
    <w:rsid w:val="002B342F"/>
    <w:rsid w:val="002B4015"/>
    <w:rsid w:val="002B78CE"/>
    <w:rsid w:val="002C2376"/>
    <w:rsid w:val="002C2FB6"/>
    <w:rsid w:val="002C46A6"/>
    <w:rsid w:val="002D6B10"/>
    <w:rsid w:val="002E441F"/>
    <w:rsid w:val="002E5FA7"/>
    <w:rsid w:val="002F0941"/>
    <w:rsid w:val="002F28E0"/>
    <w:rsid w:val="002F3309"/>
    <w:rsid w:val="002F3FBE"/>
    <w:rsid w:val="002F62D0"/>
    <w:rsid w:val="003008CE"/>
    <w:rsid w:val="003009B7"/>
    <w:rsid w:val="00300E56"/>
    <w:rsid w:val="0030469C"/>
    <w:rsid w:val="00304736"/>
    <w:rsid w:val="00313645"/>
    <w:rsid w:val="00314BD9"/>
    <w:rsid w:val="00316059"/>
    <w:rsid w:val="003172A9"/>
    <w:rsid w:val="00321CA6"/>
    <w:rsid w:val="00323763"/>
    <w:rsid w:val="00332503"/>
    <w:rsid w:val="00333018"/>
    <w:rsid w:val="00334C09"/>
    <w:rsid w:val="00335094"/>
    <w:rsid w:val="003361FF"/>
    <w:rsid w:val="00336EB4"/>
    <w:rsid w:val="00355746"/>
    <w:rsid w:val="00355D9F"/>
    <w:rsid w:val="0035620B"/>
    <w:rsid w:val="003628B6"/>
    <w:rsid w:val="003723D4"/>
    <w:rsid w:val="00381905"/>
    <w:rsid w:val="003821C9"/>
    <w:rsid w:val="00382AC9"/>
    <w:rsid w:val="00384816"/>
    <w:rsid w:val="00384CC8"/>
    <w:rsid w:val="0038519A"/>
    <w:rsid w:val="003871FD"/>
    <w:rsid w:val="00393D17"/>
    <w:rsid w:val="00393E9D"/>
    <w:rsid w:val="003A1930"/>
    <w:rsid w:val="003A1E30"/>
    <w:rsid w:val="003A2829"/>
    <w:rsid w:val="003A2AA2"/>
    <w:rsid w:val="003A480D"/>
    <w:rsid w:val="003A7D1C"/>
    <w:rsid w:val="003B2D17"/>
    <w:rsid w:val="003B304B"/>
    <w:rsid w:val="003B3146"/>
    <w:rsid w:val="003B4BF4"/>
    <w:rsid w:val="003B50CE"/>
    <w:rsid w:val="003B5EA1"/>
    <w:rsid w:val="003B66EA"/>
    <w:rsid w:val="003B7A09"/>
    <w:rsid w:val="003B7EE6"/>
    <w:rsid w:val="003C2A3F"/>
    <w:rsid w:val="003C4868"/>
    <w:rsid w:val="003C50FF"/>
    <w:rsid w:val="003D1ABA"/>
    <w:rsid w:val="003D2F6C"/>
    <w:rsid w:val="003D49F4"/>
    <w:rsid w:val="003D61E4"/>
    <w:rsid w:val="003E1D05"/>
    <w:rsid w:val="003F015E"/>
    <w:rsid w:val="003F2C59"/>
    <w:rsid w:val="003F378D"/>
    <w:rsid w:val="003F4B89"/>
    <w:rsid w:val="00400414"/>
    <w:rsid w:val="00401414"/>
    <w:rsid w:val="0041446B"/>
    <w:rsid w:val="00415AF7"/>
    <w:rsid w:val="004175BD"/>
    <w:rsid w:val="00421BD9"/>
    <w:rsid w:val="00430512"/>
    <w:rsid w:val="004339E2"/>
    <w:rsid w:val="00441BC9"/>
    <w:rsid w:val="0044329C"/>
    <w:rsid w:val="0044529F"/>
    <w:rsid w:val="004463EA"/>
    <w:rsid w:val="004470D8"/>
    <w:rsid w:val="00453E24"/>
    <w:rsid w:val="00454B66"/>
    <w:rsid w:val="0045681F"/>
    <w:rsid w:val="00457456"/>
    <w:rsid w:val="004577FE"/>
    <w:rsid w:val="00457B9C"/>
    <w:rsid w:val="00457E0A"/>
    <w:rsid w:val="0046164A"/>
    <w:rsid w:val="00461F3E"/>
    <w:rsid w:val="00462064"/>
    <w:rsid w:val="004628D2"/>
    <w:rsid w:val="00462DCD"/>
    <w:rsid w:val="004648AD"/>
    <w:rsid w:val="00465FAC"/>
    <w:rsid w:val="00466585"/>
    <w:rsid w:val="00467109"/>
    <w:rsid w:val="004703A9"/>
    <w:rsid w:val="00472A74"/>
    <w:rsid w:val="004760DE"/>
    <w:rsid w:val="004763D7"/>
    <w:rsid w:val="00484D7B"/>
    <w:rsid w:val="00485066"/>
    <w:rsid w:val="004858E5"/>
    <w:rsid w:val="00495B0E"/>
    <w:rsid w:val="00496C6A"/>
    <w:rsid w:val="004A004E"/>
    <w:rsid w:val="004A24CF"/>
    <w:rsid w:val="004A2BDD"/>
    <w:rsid w:val="004A5E90"/>
    <w:rsid w:val="004B2817"/>
    <w:rsid w:val="004B54C7"/>
    <w:rsid w:val="004B7E9E"/>
    <w:rsid w:val="004C01A8"/>
    <w:rsid w:val="004C3D1D"/>
    <w:rsid w:val="004C604D"/>
    <w:rsid w:val="004C6794"/>
    <w:rsid w:val="004C7913"/>
    <w:rsid w:val="004D03DD"/>
    <w:rsid w:val="004D0D03"/>
    <w:rsid w:val="004D1310"/>
    <w:rsid w:val="004D6575"/>
    <w:rsid w:val="004D6FDF"/>
    <w:rsid w:val="004E4503"/>
    <w:rsid w:val="004E4DD6"/>
    <w:rsid w:val="004F0240"/>
    <w:rsid w:val="004F5AAA"/>
    <w:rsid w:val="004F5E36"/>
    <w:rsid w:val="00503125"/>
    <w:rsid w:val="005031DC"/>
    <w:rsid w:val="0050392D"/>
    <w:rsid w:val="00504067"/>
    <w:rsid w:val="0050428B"/>
    <w:rsid w:val="005056E8"/>
    <w:rsid w:val="005061D0"/>
    <w:rsid w:val="00506951"/>
    <w:rsid w:val="00507B47"/>
    <w:rsid w:val="00507BEF"/>
    <w:rsid w:val="00507CC9"/>
    <w:rsid w:val="00510C4C"/>
    <w:rsid w:val="005119A5"/>
    <w:rsid w:val="00511D13"/>
    <w:rsid w:val="00520270"/>
    <w:rsid w:val="00522D01"/>
    <w:rsid w:val="00524D19"/>
    <w:rsid w:val="005278B7"/>
    <w:rsid w:val="005309DA"/>
    <w:rsid w:val="00532016"/>
    <w:rsid w:val="0053348C"/>
    <w:rsid w:val="00533E11"/>
    <w:rsid w:val="005346C8"/>
    <w:rsid w:val="00535BE6"/>
    <w:rsid w:val="00536730"/>
    <w:rsid w:val="00541187"/>
    <w:rsid w:val="00543E7D"/>
    <w:rsid w:val="00547A68"/>
    <w:rsid w:val="00551DF0"/>
    <w:rsid w:val="005531C9"/>
    <w:rsid w:val="00553CCB"/>
    <w:rsid w:val="00556C0C"/>
    <w:rsid w:val="005655CD"/>
    <w:rsid w:val="00570C43"/>
    <w:rsid w:val="00572272"/>
    <w:rsid w:val="00574240"/>
    <w:rsid w:val="005751A6"/>
    <w:rsid w:val="00586CCA"/>
    <w:rsid w:val="005A2A0E"/>
    <w:rsid w:val="005B2110"/>
    <w:rsid w:val="005B2F52"/>
    <w:rsid w:val="005B4ECD"/>
    <w:rsid w:val="005B5AB1"/>
    <w:rsid w:val="005B61E6"/>
    <w:rsid w:val="005B7CEC"/>
    <w:rsid w:val="005C0610"/>
    <w:rsid w:val="005C77E1"/>
    <w:rsid w:val="005D668A"/>
    <w:rsid w:val="005D6A2F"/>
    <w:rsid w:val="005D7289"/>
    <w:rsid w:val="005E1A82"/>
    <w:rsid w:val="005E520F"/>
    <w:rsid w:val="005E62A8"/>
    <w:rsid w:val="005E6AE3"/>
    <w:rsid w:val="005E794C"/>
    <w:rsid w:val="005F0A28"/>
    <w:rsid w:val="005F0B50"/>
    <w:rsid w:val="005F0E5E"/>
    <w:rsid w:val="005F4217"/>
    <w:rsid w:val="005F5569"/>
    <w:rsid w:val="00600535"/>
    <w:rsid w:val="0060112A"/>
    <w:rsid w:val="0060288C"/>
    <w:rsid w:val="00606D46"/>
    <w:rsid w:val="00607B54"/>
    <w:rsid w:val="00610404"/>
    <w:rsid w:val="00610CD6"/>
    <w:rsid w:val="00614634"/>
    <w:rsid w:val="00620DEE"/>
    <w:rsid w:val="00621F92"/>
    <w:rsid w:val="0062280A"/>
    <w:rsid w:val="006228FD"/>
    <w:rsid w:val="0062515C"/>
    <w:rsid w:val="00625639"/>
    <w:rsid w:val="00631B33"/>
    <w:rsid w:val="0063255E"/>
    <w:rsid w:val="006346BB"/>
    <w:rsid w:val="0064184D"/>
    <w:rsid w:val="006422CC"/>
    <w:rsid w:val="006428C2"/>
    <w:rsid w:val="00644826"/>
    <w:rsid w:val="006450EE"/>
    <w:rsid w:val="00646D15"/>
    <w:rsid w:val="00646D28"/>
    <w:rsid w:val="006520BF"/>
    <w:rsid w:val="00652991"/>
    <w:rsid w:val="006543D4"/>
    <w:rsid w:val="006556BD"/>
    <w:rsid w:val="00660E3E"/>
    <w:rsid w:val="00662282"/>
    <w:rsid w:val="00662E74"/>
    <w:rsid w:val="00666F4A"/>
    <w:rsid w:val="00667469"/>
    <w:rsid w:val="00667704"/>
    <w:rsid w:val="00672D6F"/>
    <w:rsid w:val="00673106"/>
    <w:rsid w:val="0067749F"/>
    <w:rsid w:val="00680C23"/>
    <w:rsid w:val="00681591"/>
    <w:rsid w:val="00685F6B"/>
    <w:rsid w:val="00693766"/>
    <w:rsid w:val="00695C8D"/>
    <w:rsid w:val="006971DF"/>
    <w:rsid w:val="006A3281"/>
    <w:rsid w:val="006A59AE"/>
    <w:rsid w:val="006A6692"/>
    <w:rsid w:val="006B4888"/>
    <w:rsid w:val="006B60D1"/>
    <w:rsid w:val="006C2E45"/>
    <w:rsid w:val="006C31C8"/>
    <w:rsid w:val="006C359C"/>
    <w:rsid w:val="006C3652"/>
    <w:rsid w:val="006C4508"/>
    <w:rsid w:val="006C5579"/>
    <w:rsid w:val="006C6079"/>
    <w:rsid w:val="006D0838"/>
    <w:rsid w:val="006D1D6B"/>
    <w:rsid w:val="006D4718"/>
    <w:rsid w:val="006D5263"/>
    <w:rsid w:val="006D6E8B"/>
    <w:rsid w:val="006E1BC6"/>
    <w:rsid w:val="006E3098"/>
    <w:rsid w:val="006E53FE"/>
    <w:rsid w:val="006E57B3"/>
    <w:rsid w:val="006E737D"/>
    <w:rsid w:val="006F1E47"/>
    <w:rsid w:val="006F27A6"/>
    <w:rsid w:val="006F2F67"/>
    <w:rsid w:val="006F5F18"/>
    <w:rsid w:val="00711C63"/>
    <w:rsid w:val="00712611"/>
    <w:rsid w:val="00713248"/>
    <w:rsid w:val="0071328A"/>
    <w:rsid w:val="00713973"/>
    <w:rsid w:val="00714420"/>
    <w:rsid w:val="00714B38"/>
    <w:rsid w:val="00715B5F"/>
    <w:rsid w:val="00716733"/>
    <w:rsid w:val="00720A24"/>
    <w:rsid w:val="00723280"/>
    <w:rsid w:val="007248E3"/>
    <w:rsid w:val="0072561D"/>
    <w:rsid w:val="00731542"/>
    <w:rsid w:val="00732386"/>
    <w:rsid w:val="0073514D"/>
    <w:rsid w:val="007368EF"/>
    <w:rsid w:val="007447F3"/>
    <w:rsid w:val="0075414A"/>
    <w:rsid w:val="0075499F"/>
    <w:rsid w:val="00754AB9"/>
    <w:rsid w:val="007569DA"/>
    <w:rsid w:val="00760CC2"/>
    <w:rsid w:val="00764CDA"/>
    <w:rsid w:val="007661C8"/>
    <w:rsid w:val="0076727F"/>
    <w:rsid w:val="0077098D"/>
    <w:rsid w:val="00772C4F"/>
    <w:rsid w:val="0077455F"/>
    <w:rsid w:val="00774605"/>
    <w:rsid w:val="00776CD5"/>
    <w:rsid w:val="007810CA"/>
    <w:rsid w:val="0078370C"/>
    <w:rsid w:val="00784034"/>
    <w:rsid w:val="0078798D"/>
    <w:rsid w:val="00787AA2"/>
    <w:rsid w:val="007931FA"/>
    <w:rsid w:val="00793B30"/>
    <w:rsid w:val="007A15AA"/>
    <w:rsid w:val="007A4440"/>
    <w:rsid w:val="007A4861"/>
    <w:rsid w:val="007A6F9D"/>
    <w:rsid w:val="007A7BBA"/>
    <w:rsid w:val="007A7D53"/>
    <w:rsid w:val="007B0622"/>
    <w:rsid w:val="007B0C50"/>
    <w:rsid w:val="007B2AFD"/>
    <w:rsid w:val="007B4216"/>
    <w:rsid w:val="007B48F9"/>
    <w:rsid w:val="007C1A43"/>
    <w:rsid w:val="007C2EAE"/>
    <w:rsid w:val="007C3DAB"/>
    <w:rsid w:val="007D1C8E"/>
    <w:rsid w:val="007E39B1"/>
    <w:rsid w:val="007E55E9"/>
    <w:rsid w:val="007F5906"/>
    <w:rsid w:val="007F6FB9"/>
    <w:rsid w:val="0080013E"/>
    <w:rsid w:val="008016DE"/>
    <w:rsid w:val="00812292"/>
    <w:rsid w:val="00813288"/>
    <w:rsid w:val="008139EB"/>
    <w:rsid w:val="00814B85"/>
    <w:rsid w:val="008168FC"/>
    <w:rsid w:val="00823517"/>
    <w:rsid w:val="00825806"/>
    <w:rsid w:val="00825A46"/>
    <w:rsid w:val="008263A2"/>
    <w:rsid w:val="00830996"/>
    <w:rsid w:val="008345F1"/>
    <w:rsid w:val="00842B2A"/>
    <w:rsid w:val="00845C8D"/>
    <w:rsid w:val="0085002E"/>
    <w:rsid w:val="00852338"/>
    <w:rsid w:val="008557B7"/>
    <w:rsid w:val="00856BF5"/>
    <w:rsid w:val="0086297C"/>
    <w:rsid w:val="00865219"/>
    <w:rsid w:val="00865B07"/>
    <w:rsid w:val="008667EA"/>
    <w:rsid w:val="00866ACA"/>
    <w:rsid w:val="00867E55"/>
    <w:rsid w:val="0087637F"/>
    <w:rsid w:val="00882229"/>
    <w:rsid w:val="00890471"/>
    <w:rsid w:val="008918E1"/>
    <w:rsid w:val="00892AD5"/>
    <w:rsid w:val="00892D86"/>
    <w:rsid w:val="00895ADE"/>
    <w:rsid w:val="008969C2"/>
    <w:rsid w:val="008974DB"/>
    <w:rsid w:val="008A1512"/>
    <w:rsid w:val="008A6CF4"/>
    <w:rsid w:val="008C0138"/>
    <w:rsid w:val="008C6C95"/>
    <w:rsid w:val="008D0709"/>
    <w:rsid w:val="008D32B9"/>
    <w:rsid w:val="008D4025"/>
    <w:rsid w:val="008D433B"/>
    <w:rsid w:val="008D5605"/>
    <w:rsid w:val="008D7A5A"/>
    <w:rsid w:val="008E566E"/>
    <w:rsid w:val="008F14CB"/>
    <w:rsid w:val="008F2E83"/>
    <w:rsid w:val="008F40E6"/>
    <w:rsid w:val="008F4AD3"/>
    <w:rsid w:val="008F714F"/>
    <w:rsid w:val="00900385"/>
    <w:rsid w:val="0090161A"/>
    <w:rsid w:val="00901EB6"/>
    <w:rsid w:val="00902049"/>
    <w:rsid w:val="00904C62"/>
    <w:rsid w:val="00910655"/>
    <w:rsid w:val="00913818"/>
    <w:rsid w:val="009154A0"/>
    <w:rsid w:val="009201B6"/>
    <w:rsid w:val="009221C6"/>
    <w:rsid w:val="00922BA8"/>
    <w:rsid w:val="00924DAC"/>
    <w:rsid w:val="00926EBD"/>
    <w:rsid w:val="00927058"/>
    <w:rsid w:val="009276B6"/>
    <w:rsid w:val="00940FF3"/>
    <w:rsid w:val="00941DB1"/>
    <w:rsid w:val="00942750"/>
    <w:rsid w:val="00945082"/>
    <w:rsid w:val="009450CE"/>
    <w:rsid w:val="0094590A"/>
    <w:rsid w:val="009467AB"/>
    <w:rsid w:val="00947179"/>
    <w:rsid w:val="00947AAC"/>
    <w:rsid w:val="0095164B"/>
    <w:rsid w:val="00954090"/>
    <w:rsid w:val="009540F7"/>
    <w:rsid w:val="009573E7"/>
    <w:rsid w:val="00963E05"/>
    <w:rsid w:val="009673BC"/>
    <w:rsid w:val="00967843"/>
    <w:rsid w:val="009678EF"/>
    <w:rsid w:val="00967D54"/>
    <w:rsid w:val="00971028"/>
    <w:rsid w:val="009714F4"/>
    <w:rsid w:val="00972DC3"/>
    <w:rsid w:val="009749E2"/>
    <w:rsid w:val="00991C83"/>
    <w:rsid w:val="00993B84"/>
    <w:rsid w:val="00996483"/>
    <w:rsid w:val="00996F5A"/>
    <w:rsid w:val="009A2E94"/>
    <w:rsid w:val="009A7143"/>
    <w:rsid w:val="009B041A"/>
    <w:rsid w:val="009B6EDB"/>
    <w:rsid w:val="009B7E4B"/>
    <w:rsid w:val="009C2E74"/>
    <w:rsid w:val="009C37C3"/>
    <w:rsid w:val="009C7C86"/>
    <w:rsid w:val="009D2FF7"/>
    <w:rsid w:val="009D4072"/>
    <w:rsid w:val="009D7CDF"/>
    <w:rsid w:val="009E7884"/>
    <w:rsid w:val="009E788A"/>
    <w:rsid w:val="009F0891"/>
    <w:rsid w:val="009F0E08"/>
    <w:rsid w:val="009F31C3"/>
    <w:rsid w:val="00A0142B"/>
    <w:rsid w:val="00A02070"/>
    <w:rsid w:val="00A066EC"/>
    <w:rsid w:val="00A1124A"/>
    <w:rsid w:val="00A137D7"/>
    <w:rsid w:val="00A13BF9"/>
    <w:rsid w:val="00A17405"/>
    <w:rsid w:val="00A1763D"/>
    <w:rsid w:val="00A17ADA"/>
    <w:rsid w:val="00A17CEC"/>
    <w:rsid w:val="00A20704"/>
    <w:rsid w:val="00A23FEE"/>
    <w:rsid w:val="00A2435C"/>
    <w:rsid w:val="00A25854"/>
    <w:rsid w:val="00A27EF0"/>
    <w:rsid w:val="00A302F5"/>
    <w:rsid w:val="00A358A5"/>
    <w:rsid w:val="00A36C13"/>
    <w:rsid w:val="00A42361"/>
    <w:rsid w:val="00A4420E"/>
    <w:rsid w:val="00A45BF3"/>
    <w:rsid w:val="00A50B20"/>
    <w:rsid w:val="00A51390"/>
    <w:rsid w:val="00A53EC5"/>
    <w:rsid w:val="00A56210"/>
    <w:rsid w:val="00A571FB"/>
    <w:rsid w:val="00A57C76"/>
    <w:rsid w:val="00A60D13"/>
    <w:rsid w:val="00A63440"/>
    <w:rsid w:val="00A72745"/>
    <w:rsid w:val="00A75514"/>
    <w:rsid w:val="00A76286"/>
    <w:rsid w:val="00A76EFC"/>
    <w:rsid w:val="00A855C2"/>
    <w:rsid w:val="00A87695"/>
    <w:rsid w:val="00A906DA"/>
    <w:rsid w:val="00A91010"/>
    <w:rsid w:val="00A95848"/>
    <w:rsid w:val="00A97C0E"/>
    <w:rsid w:val="00A97F29"/>
    <w:rsid w:val="00AA4957"/>
    <w:rsid w:val="00AA702E"/>
    <w:rsid w:val="00AA7336"/>
    <w:rsid w:val="00AB0964"/>
    <w:rsid w:val="00AB5011"/>
    <w:rsid w:val="00AB610D"/>
    <w:rsid w:val="00AB6D26"/>
    <w:rsid w:val="00AC02FE"/>
    <w:rsid w:val="00AC246E"/>
    <w:rsid w:val="00AC2969"/>
    <w:rsid w:val="00AC504F"/>
    <w:rsid w:val="00AC6395"/>
    <w:rsid w:val="00AC647D"/>
    <w:rsid w:val="00AC7368"/>
    <w:rsid w:val="00AC7CA9"/>
    <w:rsid w:val="00AD1360"/>
    <w:rsid w:val="00AD16B9"/>
    <w:rsid w:val="00AD4B19"/>
    <w:rsid w:val="00AD5214"/>
    <w:rsid w:val="00AD7AB3"/>
    <w:rsid w:val="00AE377D"/>
    <w:rsid w:val="00AE4BEF"/>
    <w:rsid w:val="00AE4D20"/>
    <w:rsid w:val="00AE5783"/>
    <w:rsid w:val="00AF0EBA"/>
    <w:rsid w:val="00AF26D2"/>
    <w:rsid w:val="00AF5425"/>
    <w:rsid w:val="00B02C8A"/>
    <w:rsid w:val="00B0362A"/>
    <w:rsid w:val="00B03CDE"/>
    <w:rsid w:val="00B0446E"/>
    <w:rsid w:val="00B14881"/>
    <w:rsid w:val="00B16F0B"/>
    <w:rsid w:val="00B17FBD"/>
    <w:rsid w:val="00B315A6"/>
    <w:rsid w:val="00B31813"/>
    <w:rsid w:val="00B31CB2"/>
    <w:rsid w:val="00B33365"/>
    <w:rsid w:val="00B338B2"/>
    <w:rsid w:val="00B35AFD"/>
    <w:rsid w:val="00B3741B"/>
    <w:rsid w:val="00B42EDD"/>
    <w:rsid w:val="00B5077E"/>
    <w:rsid w:val="00B52F83"/>
    <w:rsid w:val="00B53D93"/>
    <w:rsid w:val="00B5676B"/>
    <w:rsid w:val="00B57B36"/>
    <w:rsid w:val="00B57E6F"/>
    <w:rsid w:val="00B60558"/>
    <w:rsid w:val="00B84767"/>
    <w:rsid w:val="00B8686D"/>
    <w:rsid w:val="00B90D5C"/>
    <w:rsid w:val="00B92745"/>
    <w:rsid w:val="00B93F69"/>
    <w:rsid w:val="00B9513E"/>
    <w:rsid w:val="00B9593B"/>
    <w:rsid w:val="00BA2EE0"/>
    <w:rsid w:val="00BA7407"/>
    <w:rsid w:val="00BB1DDC"/>
    <w:rsid w:val="00BB3E11"/>
    <w:rsid w:val="00BB4B31"/>
    <w:rsid w:val="00BB6D37"/>
    <w:rsid w:val="00BB7B80"/>
    <w:rsid w:val="00BC0235"/>
    <w:rsid w:val="00BC1660"/>
    <w:rsid w:val="00BC30C9"/>
    <w:rsid w:val="00BC3455"/>
    <w:rsid w:val="00BC41C6"/>
    <w:rsid w:val="00BC611B"/>
    <w:rsid w:val="00BD077D"/>
    <w:rsid w:val="00BD71CE"/>
    <w:rsid w:val="00BE02E1"/>
    <w:rsid w:val="00BE3E58"/>
    <w:rsid w:val="00BF47D5"/>
    <w:rsid w:val="00BF55EE"/>
    <w:rsid w:val="00C01616"/>
    <w:rsid w:val="00C0162B"/>
    <w:rsid w:val="00C0607B"/>
    <w:rsid w:val="00C068ED"/>
    <w:rsid w:val="00C122C0"/>
    <w:rsid w:val="00C14102"/>
    <w:rsid w:val="00C146C0"/>
    <w:rsid w:val="00C15534"/>
    <w:rsid w:val="00C22E0C"/>
    <w:rsid w:val="00C26FBA"/>
    <w:rsid w:val="00C31E77"/>
    <w:rsid w:val="00C345B1"/>
    <w:rsid w:val="00C37C09"/>
    <w:rsid w:val="00C40142"/>
    <w:rsid w:val="00C46359"/>
    <w:rsid w:val="00C51B4A"/>
    <w:rsid w:val="00C52C3C"/>
    <w:rsid w:val="00C52CAD"/>
    <w:rsid w:val="00C57182"/>
    <w:rsid w:val="00C57863"/>
    <w:rsid w:val="00C605A4"/>
    <w:rsid w:val="00C65387"/>
    <w:rsid w:val="00C655FD"/>
    <w:rsid w:val="00C720B6"/>
    <w:rsid w:val="00C72ED5"/>
    <w:rsid w:val="00C731DE"/>
    <w:rsid w:val="00C75407"/>
    <w:rsid w:val="00C76A6D"/>
    <w:rsid w:val="00C77D40"/>
    <w:rsid w:val="00C80026"/>
    <w:rsid w:val="00C870A8"/>
    <w:rsid w:val="00C91671"/>
    <w:rsid w:val="00C94434"/>
    <w:rsid w:val="00C97A6D"/>
    <w:rsid w:val="00CA0D75"/>
    <w:rsid w:val="00CA1C95"/>
    <w:rsid w:val="00CA5A9C"/>
    <w:rsid w:val="00CA738B"/>
    <w:rsid w:val="00CB0C17"/>
    <w:rsid w:val="00CB1231"/>
    <w:rsid w:val="00CB5827"/>
    <w:rsid w:val="00CC099D"/>
    <w:rsid w:val="00CC4C20"/>
    <w:rsid w:val="00CD3517"/>
    <w:rsid w:val="00CD5FE2"/>
    <w:rsid w:val="00CD6E7B"/>
    <w:rsid w:val="00CE1286"/>
    <w:rsid w:val="00CE29BB"/>
    <w:rsid w:val="00CE46D3"/>
    <w:rsid w:val="00CE7C68"/>
    <w:rsid w:val="00CF216D"/>
    <w:rsid w:val="00CF2C6D"/>
    <w:rsid w:val="00CF497E"/>
    <w:rsid w:val="00CF51F1"/>
    <w:rsid w:val="00CF616B"/>
    <w:rsid w:val="00D02B4C"/>
    <w:rsid w:val="00D03EFB"/>
    <w:rsid w:val="00D040C4"/>
    <w:rsid w:val="00D0504C"/>
    <w:rsid w:val="00D101A9"/>
    <w:rsid w:val="00D1276E"/>
    <w:rsid w:val="00D14E5B"/>
    <w:rsid w:val="00D1534A"/>
    <w:rsid w:val="00D25E75"/>
    <w:rsid w:val="00D3238F"/>
    <w:rsid w:val="00D35493"/>
    <w:rsid w:val="00D37174"/>
    <w:rsid w:val="00D46B7E"/>
    <w:rsid w:val="00D476F6"/>
    <w:rsid w:val="00D50181"/>
    <w:rsid w:val="00D50941"/>
    <w:rsid w:val="00D50DB4"/>
    <w:rsid w:val="00D552F7"/>
    <w:rsid w:val="00D57C84"/>
    <w:rsid w:val="00D6057D"/>
    <w:rsid w:val="00D622CE"/>
    <w:rsid w:val="00D64F67"/>
    <w:rsid w:val="00D657AA"/>
    <w:rsid w:val="00D663B7"/>
    <w:rsid w:val="00D726F9"/>
    <w:rsid w:val="00D72F43"/>
    <w:rsid w:val="00D738C8"/>
    <w:rsid w:val="00D74E89"/>
    <w:rsid w:val="00D836C5"/>
    <w:rsid w:val="00D84576"/>
    <w:rsid w:val="00D97352"/>
    <w:rsid w:val="00DA1399"/>
    <w:rsid w:val="00DA1E28"/>
    <w:rsid w:val="00DA24C6"/>
    <w:rsid w:val="00DA3E31"/>
    <w:rsid w:val="00DA4D7B"/>
    <w:rsid w:val="00DA51EA"/>
    <w:rsid w:val="00DA543A"/>
    <w:rsid w:val="00DA7676"/>
    <w:rsid w:val="00DB168F"/>
    <w:rsid w:val="00DB256B"/>
    <w:rsid w:val="00DC1666"/>
    <w:rsid w:val="00DC5F91"/>
    <w:rsid w:val="00DC70DA"/>
    <w:rsid w:val="00DD5EAD"/>
    <w:rsid w:val="00DD6BED"/>
    <w:rsid w:val="00DE0F0D"/>
    <w:rsid w:val="00DE1187"/>
    <w:rsid w:val="00DE264A"/>
    <w:rsid w:val="00DE4607"/>
    <w:rsid w:val="00DE6A66"/>
    <w:rsid w:val="00DF085C"/>
    <w:rsid w:val="00DF1B6E"/>
    <w:rsid w:val="00DF5072"/>
    <w:rsid w:val="00DF6C76"/>
    <w:rsid w:val="00DF7A1C"/>
    <w:rsid w:val="00E007D1"/>
    <w:rsid w:val="00E02D18"/>
    <w:rsid w:val="00E041E7"/>
    <w:rsid w:val="00E04DB9"/>
    <w:rsid w:val="00E07DAB"/>
    <w:rsid w:val="00E108E2"/>
    <w:rsid w:val="00E14C0D"/>
    <w:rsid w:val="00E23CA1"/>
    <w:rsid w:val="00E26ADE"/>
    <w:rsid w:val="00E350A0"/>
    <w:rsid w:val="00E36F54"/>
    <w:rsid w:val="00E37444"/>
    <w:rsid w:val="00E37CA3"/>
    <w:rsid w:val="00E37DCE"/>
    <w:rsid w:val="00E409A8"/>
    <w:rsid w:val="00E43DFE"/>
    <w:rsid w:val="00E46915"/>
    <w:rsid w:val="00E50C12"/>
    <w:rsid w:val="00E51971"/>
    <w:rsid w:val="00E55874"/>
    <w:rsid w:val="00E55F6F"/>
    <w:rsid w:val="00E60961"/>
    <w:rsid w:val="00E64B48"/>
    <w:rsid w:val="00E65B91"/>
    <w:rsid w:val="00E70DF5"/>
    <w:rsid w:val="00E7209D"/>
    <w:rsid w:val="00E72243"/>
    <w:rsid w:val="00E72EAD"/>
    <w:rsid w:val="00E76A4C"/>
    <w:rsid w:val="00E77223"/>
    <w:rsid w:val="00E77B16"/>
    <w:rsid w:val="00E8528B"/>
    <w:rsid w:val="00E85B94"/>
    <w:rsid w:val="00E90B8C"/>
    <w:rsid w:val="00E971E8"/>
    <w:rsid w:val="00E978D0"/>
    <w:rsid w:val="00EA4613"/>
    <w:rsid w:val="00EA53F0"/>
    <w:rsid w:val="00EA55C4"/>
    <w:rsid w:val="00EA57D0"/>
    <w:rsid w:val="00EA6C65"/>
    <w:rsid w:val="00EA7F91"/>
    <w:rsid w:val="00EB1523"/>
    <w:rsid w:val="00EC0E49"/>
    <w:rsid w:val="00EC101F"/>
    <w:rsid w:val="00EC1D9F"/>
    <w:rsid w:val="00EC28E7"/>
    <w:rsid w:val="00EC3728"/>
    <w:rsid w:val="00EC3E5B"/>
    <w:rsid w:val="00EC6D31"/>
    <w:rsid w:val="00ED6926"/>
    <w:rsid w:val="00EE0131"/>
    <w:rsid w:val="00EE17B0"/>
    <w:rsid w:val="00EE2AB3"/>
    <w:rsid w:val="00EE3410"/>
    <w:rsid w:val="00EF06D9"/>
    <w:rsid w:val="00EF076C"/>
    <w:rsid w:val="00EF1163"/>
    <w:rsid w:val="00EF1452"/>
    <w:rsid w:val="00EF2CC2"/>
    <w:rsid w:val="00EF2CE8"/>
    <w:rsid w:val="00EF4C9B"/>
    <w:rsid w:val="00EF5D6D"/>
    <w:rsid w:val="00EF7E86"/>
    <w:rsid w:val="00F02328"/>
    <w:rsid w:val="00F07856"/>
    <w:rsid w:val="00F17F85"/>
    <w:rsid w:val="00F25B52"/>
    <w:rsid w:val="00F27EEA"/>
    <w:rsid w:val="00F30C64"/>
    <w:rsid w:val="00F32BA2"/>
    <w:rsid w:val="00F32CDB"/>
    <w:rsid w:val="00F3532B"/>
    <w:rsid w:val="00F3637A"/>
    <w:rsid w:val="00F364C1"/>
    <w:rsid w:val="00F367B8"/>
    <w:rsid w:val="00F40209"/>
    <w:rsid w:val="00F41853"/>
    <w:rsid w:val="00F42EB6"/>
    <w:rsid w:val="00F52DB8"/>
    <w:rsid w:val="00F565FE"/>
    <w:rsid w:val="00F612B4"/>
    <w:rsid w:val="00F6202D"/>
    <w:rsid w:val="00F63A70"/>
    <w:rsid w:val="00F7534E"/>
    <w:rsid w:val="00F77118"/>
    <w:rsid w:val="00F812A0"/>
    <w:rsid w:val="00F91A71"/>
    <w:rsid w:val="00F9451C"/>
    <w:rsid w:val="00F9473D"/>
    <w:rsid w:val="00FA1E92"/>
    <w:rsid w:val="00FA21D0"/>
    <w:rsid w:val="00FA5F5F"/>
    <w:rsid w:val="00FA6E9E"/>
    <w:rsid w:val="00FB2746"/>
    <w:rsid w:val="00FB730C"/>
    <w:rsid w:val="00FC2695"/>
    <w:rsid w:val="00FC3E03"/>
    <w:rsid w:val="00FC3FC1"/>
    <w:rsid w:val="00FC7D05"/>
    <w:rsid w:val="00FD7D49"/>
    <w:rsid w:val="00FE0C78"/>
    <w:rsid w:val="00FF00FC"/>
    <w:rsid w:val="00FF1C65"/>
    <w:rsid w:val="00FF4339"/>
    <w:rsid w:val="00FF7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AE0CC22"/>
  <w14:defaultImageDpi w14:val="330"/>
  <w15:docId w15:val="{FA8F7FF4-7F12-434C-9574-E0F9C92FBE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ET Top_page"/>
    <w:rsid w:val="00620DEE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ing1">
    <w:name w:val="heading 1"/>
    <w:basedOn w:val="CETHeading1"/>
    <w:next w:val="Normal"/>
    <w:link w:val="Heading1Char"/>
    <w:uiPriority w:val="9"/>
    <w:rsid w:val="004F5E36"/>
    <w:pPr>
      <w:tabs>
        <w:tab w:val="clear" w:pos="360"/>
        <w:tab w:val="right" w:pos="7100"/>
      </w:tabs>
      <w:jc w:val="both"/>
      <w:outlineLvl w:val="0"/>
    </w:pPr>
    <w:rPr>
      <w:lang w:val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148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14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14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14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148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148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148D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148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ETAuthors">
    <w:name w:val="CET Authors"/>
    <w:basedOn w:val="CETBodytext"/>
    <w:link w:val="CETAuthorsCarattere"/>
    <w:qFormat/>
    <w:rsid w:val="000E414A"/>
    <w:pPr>
      <w:keepNext/>
      <w:suppressAutoHyphens/>
      <w:spacing w:after="120"/>
    </w:pPr>
    <w:rPr>
      <w:noProof/>
      <w:sz w:val="24"/>
      <w:lang w:val="en-GB"/>
    </w:rPr>
  </w:style>
  <w:style w:type="paragraph" w:customStyle="1" w:styleId="CETTitle">
    <w:name w:val="CET Title"/>
    <w:next w:val="CETAuthors"/>
    <w:link w:val="CETTitleCarattere"/>
    <w:rsid w:val="00FB730C"/>
    <w:pPr>
      <w:suppressAutoHyphens/>
      <w:spacing w:before="480" w:after="120" w:line="264" w:lineRule="auto"/>
      <w:jc w:val="center"/>
      <w:outlineLvl w:val="0"/>
    </w:pPr>
    <w:rPr>
      <w:rFonts w:ascii="Arial" w:eastAsia="Times New Roman" w:hAnsi="Arial" w:cs="Times New Roman"/>
      <w:sz w:val="32"/>
      <w:szCs w:val="20"/>
      <w:lang w:val="en-GB"/>
    </w:rPr>
  </w:style>
  <w:style w:type="character" w:customStyle="1" w:styleId="CETAuthorsCarattere">
    <w:name w:val="CET Authors Carattere"/>
    <w:link w:val="CETAuthors"/>
    <w:rsid w:val="009E788A"/>
    <w:rPr>
      <w:rFonts w:ascii="Arial" w:eastAsia="Times New Roman" w:hAnsi="Arial" w:cs="Times New Roman"/>
      <w:noProof/>
      <w:sz w:val="24"/>
      <w:szCs w:val="20"/>
      <w:lang w:val="en-GB"/>
    </w:rPr>
  </w:style>
  <w:style w:type="character" w:customStyle="1" w:styleId="CETTitleCarattere">
    <w:name w:val="CET Title Carattere"/>
    <w:link w:val="CETTitle"/>
    <w:rsid w:val="00FB730C"/>
    <w:rPr>
      <w:rFonts w:ascii="Arial" w:eastAsia="Times New Roman" w:hAnsi="Arial" w:cs="Times New Roman"/>
      <w:sz w:val="32"/>
      <w:szCs w:val="20"/>
      <w:lang w:val="en-GB"/>
    </w:rPr>
  </w:style>
  <w:style w:type="paragraph" w:customStyle="1" w:styleId="CETHeading1">
    <w:name w:val="CET Heading1"/>
    <w:next w:val="CETBodytext"/>
    <w:qFormat/>
    <w:rsid w:val="009E788A"/>
    <w:pPr>
      <w:keepNext/>
      <w:numPr>
        <w:ilvl w:val="1"/>
        <w:numId w:val="1"/>
      </w:numPr>
      <w:tabs>
        <w:tab w:val="num" w:pos="360"/>
      </w:tabs>
      <w:suppressAutoHyphens/>
      <w:spacing w:before="240" w:after="120" w:line="240" w:lineRule="auto"/>
    </w:pPr>
    <w:rPr>
      <w:rFonts w:ascii="Arial" w:eastAsia="Times New Roman" w:hAnsi="Arial" w:cs="Times New Roman"/>
      <w:b/>
      <w:sz w:val="20"/>
      <w:szCs w:val="20"/>
      <w:lang w:val="en-US"/>
    </w:rPr>
  </w:style>
  <w:style w:type="paragraph" w:customStyle="1" w:styleId="CETBodytext">
    <w:name w:val="CET Body text"/>
    <w:link w:val="CETBodytextCarattere"/>
    <w:qFormat/>
    <w:rsid w:val="000E414A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headingx">
    <w:name w:val="CET headingx"/>
    <w:next w:val="CETBodytext"/>
    <w:link w:val="CETheadingxCarattere"/>
    <w:autoRedefine/>
    <w:qFormat/>
    <w:rsid w:val="00FA5F5F"/>
    <w:pPr>
      <w:keepNext/>
      <w:numPr>
        <w:ilvl w:val="2"/>
        <w:numId w:val="1"/>
      </w:numPr>
      <w:suppressAutoHyphens/>
      <w:spacing w:before="120" w:after="120" w:line="240" w:lineRule="auto"/>
    </w:pPr>
    <w:rPr>
      <w:rFonts w:ascii="Arial" w:eastAsia="Times New Roman" w:hAnsi="Arial" w:cs="Times New Roman"/>
      <w:b/>
      <w:sz w:val="18"/>
      <w:szCs w:val="20"/>
      <w:lang w:val="en-US"/>
    </w:rPr>
  </w:style>
  <w:style w:type="paragraph" w:customStyle="1" w:styleId="CETAddress">
    <w:name w:val="CET Address"/>
    <w:link w:val="CETAddressCarattere"/>
    <w:qFormat/>
    <w:rsid w:val="009E788A"/>
    <w:pPr>
      <w:keepNext/>
      <w:suppressAutoHyphens/>
      <w:spacing w:after="0"/>
      <w:contextualSpacing/>
    </w:pPr>
    <w:rPr>
      <w:rFonts w:ascii="Arial" w:eastAsia="Times New Roman" w:hAnsi="Arial" w:cs="Times New Roman"/>
      <w:noProof/>
      <w:sz w:val="16"/>
      <w:szCs w:val="20"/>
      <w:lang w:val="en-GB"/>
    </w:rPr>
  </w:style>
  <w:style w:type="table" w:styleId="TableSimple1">
    <w:name w:val="Table Simple 1"/>
    <w:basedOn w:val="TableNormal"/>
    <w:semiHidden/>
    <w:rsid w:val="000E414A"/>
    <w:pPr>
      <w:numPr>
        <w:ilvl w:val="3"/>
        <w:numId w:val="1"/>
      </w:numPr>
      <w:spacing w:after="0" w:line="264" w:lineRule="auto"/>
      <w:jc w:val="both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ETBodytextCarattere">
    <w:name w:val="CET Body text Carattere"/>
    <w:link w:val="CETBodytext"/>
    <w:rsid w:val="000E414A"/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Reference">
    <w:name w:val="CET Reference"/>
    <w:qFormat/>
    <w:rsid w:val="00FC2695"/>
    <w:pPr>
      <w:spacing w:before="200" w:after="120" w:line="240" w:lineRule="auto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Caption">
    <w:name w:val="CET Caption"/>
    <w:link w:val="CETCaptionCarattere"/>
    <w:qFormat/>
    <w:rsid w:val="00F7534E"/>
    <w:pPr>
      <w:spacing w:before="240" w:after="240" w:line="264" w:lineRule="auto"/>
      <w:jc w:val="both"/>
    </w:pPr>
    <w:rPr>
      <w:rFonts w:ascii="Arial" w:eastAsia="Times New Roman" w:hAnsi="Arial" w:cs="Times New Roman"/>
      <w:i/>
      <w:sz w:val="18"/>
      <w:szCs w:val="20"/>
      <w:lang w:val="en-GB"/>
    </w:rPr>
  </w:style>
  <w:style w:type="character" w:customStyle="1" w:styleId="CETheadingxCarattere">
    <w:name w:val="CET headingx Carattere"/>
    <w:link w:val="CETheadingx"/>
    <w:rsid w:val="00FA5F5F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CETCaptionCarattere">
    <w:name w:val="CET Caption Carattere"/>
    <w:link w:val="CETCaption"/>
    <w:rsid w:val="00F7534E"/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BodytextItalic">
    <w:name w:val="CET Body text (Italic)"/>
    <w:basedOn w:val="CETBodytext"/>
    <w:qFormat/>
    <w:rsid w:val="004F5E36"/>
    <w:rPr>
      <w:i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4577FE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34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34BE"/>
    <w:rPr>
      <w:rFonts w:ascii="Tahoma" w:hAnsi="Tahoma" w:cs="Tahoma"/>
      <w:sz w:val="16"/>
      <w:szCs w:val="16"/>
    </w:rPr>
  </w:style>
  <w:style w:type="paragraph" w:styleId="Bibliography">
    <w:name w:val="Bibliography"/>
    <w:basedOn w:val="CETReferencetext"/>
    <w:uiPriority w:val="37"/>
    <w:unhideWhenUsed/>
    <w:rsid w:val="00631B33"/>
    <w:pPr>
      <w:spacing w:line="240" w:lineRule="auto"/>
      <w:ind w:left="720" w:hanging="720"/>
    </w:pPr>
  </w:style>
  <w:style w:type="paragraph" w:styleId="BodyText2">
    <w:name w:val="Body Text 2"/>
    <w:basedOn w:val="Normal"/>
    <w:link w:val="BodyText2Char"/>
    <w:uiPriority w:val="99"/>
    <w:semiHidden/>
    <w:unhideWhenUsed/>
    <w:rsid w:val="000314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3148D"/>
  </w:style>
  <w:style w:type="paragraph" w:styleId="BodyText3">
    <w:name w:val="Body Text 3"/>
    <w:basedOn w:val="Normal"/>
    <w:link w:val="BodyText3Char"/>
    <w:uiPriority w:val="99"/>
    <w:semiHidden/>
    <w:unhideWhenUsed/>
    <w:rsid w:val="000314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3148D"/>
    <w:rPr>
      <w:sz w:val="16"/>
      <w:szCs w:val="16"/>
    </w:rPr>
  </w:style>
  <w:style w:type="paragraph" w:styleId="BodyText">
    <w:name w:val="Body Text"/>
    <w:basedOn w:val="Normal"/>
    <w:link w:val="BodyTextChar"/>
    <w:uiPriority w:val="99"/>
    <w:semiHidden/>
    <w:unhideWhenUsed/>
    <w:rsid w:val="000314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3148D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03148D"/>
  </w:style>
  <w:style w:type="character" w:customStyle="1" w:styleId="DateChar">
    <w:name w:val="Date Char"/>
    <w:basedOn w:val="DefaultParagraphFont"/>
    <w:link w:val="Date"/>
    <w:uiPriority w:val="99"/>
    <w:semiHidden/>
    <w:rsid w:val="0003148D"/>
  </w:style>
  <w:style w:type="paragraph" w:styleId="Caption">
    <w:name w:val="caption"/>
    <w:basedOn w:val="Normal"/>
    <w:next w:val="Normal"/>
    <w:uiPriority w:val="35"/>
    <w:semiHidden/>
    <w:unhideWhenUsed/>
    <w:qFormat/>
    <w:rsid w:val="0003148D"/>
    <w:pPr>
      <w:spacing w:line="240" w:lineRule="auto"/>
    </w:pPr>
    <w:rPr>
      <w:b/>
      <w:bCs/>
      <w:color w:val="4F81BD" w:themeColor="accent1"/>
      <w:szCs w:val="18"/>
    </w:rPr>
  </w:style>
  <w:style w:type="paragraph" w:styleId="List">
    <w:name w:val="List"/>
    <w:basedOn w:val="Normal"/>
    <w:uiPriority w:val="99"/>
    <w:semiHidden/>
    <w:unhideWhenUsed/>
    <w:rsid w:val="0003148D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03148D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03148D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03148D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03148D"/>
    <w:pPr>
      <w:ind w:left="1415" w:hanging="283"/>
      <w:contextualSpacing/>
    </w:pPr>
  </w:style>
  <w:style w:type="paragraph" w:styleId="ListContinue">
    <w:name w:val="List Continue"/>
    <w:basedOn w:val="Normal"/>
    <w:uiPriority w:val="99"/>
    <w:semiHidden/>
    <w:unhideWhenUsed/>
    <w:rsid w:val="0003148D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3148D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3148D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3148D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3148D"/>
    <w:pPr>
      <w:spacing w:after="120"/>
      <w:ind w:left="1415"/>
      <w:contextualSpacing/>
    </w:pPr>
  </w:style>
  <w:style w:type="paragraph" w:styleId="Signature">
    <w:name w:val="Signature"/>
    <w:basedOn w:val="Normal"/>
    <w:link w:val="Signature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3148D"/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03148D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03148D"/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3148D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3148D"/>
  </w:style>
  <w:style w:type="paragraph" w:styleId="Closing">
    <w:name w:val="Closing"/>
    <w:basedOn w:val="Normal"/>
    <w:link w:val="Closing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3148D"/>
  </w:style>
  <w:style w:type="paragraph" w:styleId="Index1">
    <w:name w:val="index 1"/>
    <w:basedOn w:val="Normal"/>
    <w:next w:val="Normal"/>
    <w:autoRedefine/>
    <w:uiPriority w:val="99"/>
    <w:semiHidden/>
    <w:unhideWhenUsed/>
    <w:rsid w:val="0003148D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3148D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3148D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3148D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3148D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3148D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3148D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3148D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3148D"/>
    <w:pPr>
      <w:spacing w:line="240" w:lineRule="auto"/>
      <w:ind w:left="198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3148D"/>
  </w:style>
  <w:style w:type="paragraph" w:styleId="TableofAuthorities">
    <w:name w:val="table of authorities"/>
    <w:basedOn w:val="Normal"/>
    <w:next w:val="Normal"/>
    <w:uiPriority w:val="99"/>
    <w:semiHidden/>
    <w:unhideWhenUsed/>
    <w:rsid w:val="0003148D"/>
    <w:pPr>
      <w:ind w:left="220" w:hanging="220"/>
    </w:pPr>
  </w:style>
  <w:style w:type="paragraph" w:styleId="EnvelopeAddress">
    <w:name w:val="envelope address"/>
    <w:basedOn w:val="Normal"/>
    <w:uiPriority w:val="99"/>
    <w:semiHidden/>
    <w:unhideWhenUsed/>
    <w:rsid w:val="0003148D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03148D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3148D"/>
    <w:rPr>
      <w:i/>
      <w:iCs/>
    </w:rPr>
  </w:style>
  <w:style w:type="paragraph" w:styleId="EnvelopeReturn">
    <w:name w:val="envelope return"/>
    <w:basedOn w:val="Normal"/>
    <w:uiPriority w:val="99"/>
    <w:semiHidden/>
    <w:unhideWhenUsed/>
    <w:rsid w:val="0003148D"/>
    <w:pPr>
      <w:spacing w:line="240" w:lineRule="auto"/>
    </w:pPr>
    <w:rPr>
      <w:rFonts w:asciiTheme="majorHAnsi" w:eastAsiaTheme="majorEastAsia" w:hAnsiTheme="majorHAnsi" w:cstheme="majorBidi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314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3148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3148D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3148D"/>
  </w:style>
  <w:style w:type="paragraph" w:styleId="DocumentMap">
    <w:name w:val="Document Map"/>
    <w:basedOn w:val="Normal"/>
    <w:link w:val="DocumentMapChar"/>
    <w:uiPriority w:val="99"/>
    <w:semiHidden/>
    <w:unhideWhenUsed/>
    <w:rsid w:val="000314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3148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3148D"/>
    <w:rPr>
      <w:sz w:val="24"/>
      <w:szCs w:val="24"/>
    </w:rPr>
  </w:style>
  <w:style w:type="paragraph" w:styleId="ListNumber">
    <w:name w:val="List Number"/>
    <w:basedOn w:val="Normal"/>
    <w:uiPriority w:val="99"/>
    <w:semiHidden/>
    <w:unhideWhenUsed/>
    <w:rsid w:val="0003148D"/>
    <w:pPr>
      <w:numPr>
        <w:numId w:val="2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3148D"/>
    <w:pPr>
      <w:numPr>
        <w:numId w:val="3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3148D"/>
    <w:pPr>
      <w:numPr>
        <w:numId w:val="4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3148D"/>
    <w:pPr>
      <w:numPr>
        <w:numId w:val="5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3148D"/>
    <w:pPr>
      <w:numPr>
        <w:numId w:val="6"/>
      </w:numPr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3148D"/>
    <w:pPr>
      <w:spacing w:line="240" w:lineRule="auto"/>
    </w:pPr>
    <w:rPr>
      <w:rFonts w:ascii="Consolas" w:hAnsi="Consolas" w:cs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3148D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3148D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3148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3148D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3148D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3148D"/>
  </w:style>
  <w:style w:type="paragraph" w:styleId="ListBullet">
    <w:name w:val="List Bullet"/>
    <w:basedOn w:val="Normal"/>
    <w:uiPriority w:val="99"/>
    <w:semiHidden/>
    <w:unhideWhenUsed/>
    <w:rsid w:val="0003148D"/>
    <w:pPr>
      <w:numPr>
        <w:numId w:val="7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3148D"/>
    <w:pPr>
      <w:numPr>
        <w:numId w:val="8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3148D"/>
    <w:pPr>
      <w:numPr>
        <w:numId w:val="9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3148D"/>
    <w:pPr>
      <w:numPr>
        <w:numId w:val="10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3148D"/>
    <w:pPr>
      <w:numPr>
        <w:numId w:val="11"/>
      </w:numPr>
      <w:contextualSpacing/>
    </w:p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3148D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3148D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3148D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3148D"/>
    <w:rPr>
      <w:sz w:val="16"/>
      <w:szCs w:val="16"/>
    </w:rPr>
  </w:style>
  <w:style w:type="paragraph" w:styleId="NormalIndent">
    <w:name w:val="Normal Indent"/>
    <w:basedOn w:val="Normal"/>
    <w:uiPriority w:val="99"/>
    <w:semiHidden/>
    <w:unhideWhenUsed/>
    <w:rsid w:val="0003148D"/>
    <w:pPr>
      <w:ind w:left="720"/>
    </w:pPr>
  </w:style>
  <w:style w:type="paragraph" w:styleId="CommentText">
    <w:name w:val="annotation text"/>
    <w:basedOn w:val="Normal"/>
    <w:link w:val="CommentTextChar"/>
    <w:uiPriority w:val="99"/>
    <w:unhideWhenUsed/>
    <w:rsid w:val="0003148D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03148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314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3148D"/>
    <w:rPr>
      <w:b/>
      <w:bCs/>
      <w:sz w:val="20"/>
      <w:szCs w:val="2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3148D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3148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3148D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3148D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3148D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3148D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3148D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3148D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3148D"/>
    <w:pPr>
      <w:spacing w:after="100"/>
      <w:ind w:left="1760"/>
    </w:pPr>
  </w:style>
  <w:style w:type="paragraph" w:styleId="BlockText">
    <w:name w:val="Block Text"/>
    <w:basedOn w:val="Normal"/>
    <w:uiPriority w:val="99"/>
    <w:semiHidden/>
    <w:unhideWhenUsed/>
    <w:rsid w:val="0003148D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MacroText">
    <w:name w:val="macro"/>
    <w:link w:val="MacroTextChar"/>
    <w:uiPriority w:val="99"/>
    <w:semiHidden/>
    <w:unhideWhenUsed/>
    <w:rsid w:val="00031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3148D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3148D"/>
    <w:rPr>
      <w:rFonts w:ascii="Consolas" w:hAnsi="Consolas" w:cs="Consolas"/>
      <w:sz w:val="21"/>
      <w:szCs w:val="21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3148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48D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3148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3148D"/>
    <w:rPr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F5E36"/>
    <w:rPr>
      <w:rFonts w:ascii="Arial" w:eastAsia="Times New Roman" w:hAnsi="Arial" w:cs="Times New Roman"/>
      <w:b/>
      <w:sz w:val="20"/>
      <w:szCs w:val="2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14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14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148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148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IndexHeading">
    <w:name w:val="index heading"/>
    <w:basedOn w:val="Normal"/>
    <w:next w:val="Index1"/>
    <w:uiPriority w:val="99"/>
    <w:semiHidden/>
    <w:unhideWhenUsed/>
    <w:rsid w:val="0003148D"/>
    <w:rPr>
      <w:rFonts w:asciiTheme="majorHAnsi" w:eastAsiaTheme="majorEastAsia" w:hAnsiTheme="majorHAnsi" w:cstheme="majorBidi"/>
      <w:b/>
      <w:bCs/>
    </w:rPr>
  </w:style>
  <w:style w:type="paragraph" w:styleId="TOAHeading">
    <w:name w:val="toa heading"/>
    <w:basedOn w:val="Normal"/>
    <w:next w:val="Normal"/>
    <w:uiPriority w:val="99"/>
    <w:semiHidden/>
    <w:unhideWhenUsed/>
    <w:rsid w:val="0003148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3148D"/>
    <w:pPr>
      <w:outlineLvl w:val="9"/>
    </w:pPr>
  </w:style>
  <w:style w:type="paragraph" w:customStyle="1" w:styleId="CETemail">
    <w:name w:val="CET email"/>
    <w:next w:val="CETBodytext"/>
    <w:rsid w:val="009E788A"/>
    <w:pPr>
      <w:spacing w:after="240"/>
    </w:pPr>
    <w:rPr>
      <w:rFonts w:ascii="Arial" w:eastAsia="Times New Roman" w:hAnsi="Arial" w:cs="Times New Roman"/>
      <w:noProof/>
      <w:sz w:val="16"/>
      <w:szCs w:val="20"/>
      <w:lang w:val="en-GB"/>
    </w:rPr>
  </w:style>
  <w:style w:type="character" w:customStyle="1" w:styleId="CETAddressCarattere">
    <w:name w:val="CET Address Carattere"/>
    <w:basedOn w:val="DefaultParagraphFont"/>
    <w:link w:val="CETAddress"/>
    <w:rsid w:val="009E788A"/>
    <w:rPr>
      <w:rFonts w:ascii="Arial" w:eastAsia="Times New Roman" w:hAnsi="Arial" w:cs="Times New Roman"/>
      <w:noProof/>
      <w:sz w:val="16"/>
      <w:szCs w:val="20"/>
      <w:lang w:val="en-GB"/>
    </w:rPr>
  </w:style>
  <w:style w:type="paragraph" w:customStyle="1" w:styleId="CETBodytextBold">
    <w:name w:val="CET Body text (Bold)"/>
    <w:basedOn w:val="CETBodytext"/>
    <w:rsid w:val="00901EB6"/>
    <w:rPr>
      <w:b/>
    </w:rPr>
  </w:style>
  <w:style w:type="paragraph" w:customStyle="1" w:styleId="CETnumberingbullets">
    <w:name w:val="CET numbering (bullets)"/>
    <w:rsid w:val="008D433B"/>
    <w:pPr>
      <w:numPr>
        <w:numId w:val="13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numbering1">
    <w:name w:val="CET numbering (1"/>
    <w:aliases w:val="2..)"/>
    <w:rsid w:val="00B57B36"/>
    <w:pPr>
      <w:numPr>
        <w:numId w:val="14"/>
      </w:numPr>
      <w:spacing w:after="0" w:line="264" w:lineRule="auto"/>
      <w:ind w:left="340" w:hanging="227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numberinga">
    <w:name w:val="CET numbering (a"/>
    <w:aliases w:val="b,..)"/>
    <w:rsid w:val="00B57B36"/>
    <w:pPr>
      <w:numPr>
        <w:numId w:val="15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table" w:styleId="TableGrid">
    <w:name w:val="Table Grid"/>
    <w:basedOn w:val="TableNormal"/>
    <w:uiPriority w:val="59"/>
    <w:rsid w:val="00660E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04C62"/>
    <w:rPr>
      <w:color w:val="0000FF" w:themeColor="hyperlink"/>
      <w:u w:val="single"/>
    </w:rPr>
  </w:style>
  <w:style w:type="character" w:customStyle="1" w:styleId="eudoraheader">
    <w:name w:val="eudoraheader"/>
    <w:basedOn w:val="DefaultParagraphFont"/>
    <w:rsid w:val="00904C62"/>
  </w:style>
  <w:style w:type="paragraph" w:customStyle="1" w:styleId="CETListbullets">
    <w:name w:val="CET List bullets"/>
    <w:qFormat/>
    <w:rsid w:val="004577FE"/>
    <w:pPr>
      <w:spacing w:after="0" w:line="264" w:lineRule="auto"/>
      <w:ind w:left="340" w:hanging="227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Referencetext">
    <w:name w:val="CET Reference text"/>
    <w:qFormat/>
    <w:rsid w:val="00600535"/>
    <w:pPr>
      <w:spacing w:after="0" w:line="264" w:lineRule="auto"/>
      <w:ind w:left="284" w:hanging="284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Tabletitle">
    <w:name w:val="CET Table title"/>
    <w:qFormat/>
    <w:rsid w:val="00600535"/>
    <w:pPr>
      <w:keepNext/>
      <w:spacing w:before="240" w:after="80" w:line="240" w:lineRule="exact"/>
    </w:pPr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Acknowledgementstitle">
    <w:name w:val="CET Acknowledgements title"/>
    <w:next w:val="CETBodytext"/>
    <w:qFormat/>
    <w:rsid w:val="00600535"/>
    <w:pPr>
      <w:spacing w:before="200" w:after="120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Equation">
    <w:name w:val="CET Equation"/>
    <w:basedOn w:val="CETBodytext"/>
    <w:next w:val="CETBodytext"/>
    <w:qFormat/>
    <w:rsid w:val="00600535"/>
    <w:pPr>
      <w:spacing w:before="120" w:after="120"/>
      <w:jc w:val="left"/>
    </w:pPr>
    <w:rPr>
      <w:lang w:val="en-GB"/>
    </w:rPr>
  </w:style>
  <w:style w:type="paragraph" w:customStyle="1" w:styleId="CETHeadingxx">
    <w:name w:val="CET Headingxx"/>
    <w:basedOn w:val="CETheadingx"/>
    <w:link w:val="CETHeadingxxChar"/>
    <w:qFormat/>
    <w:rsid w:val="000F787B"/>
    <w:pPr>
      <w:numPr>
        <w:ilvl w:val="0"/>
        <w:numId w:val="0"/>
      </w:numPr>
    </w:pPr>
  </w:style>
  <w:style w:type="character" w:customStyle="1" w:styleId="CETHeadingxxChar">
    <w:name w:val="CET Headingxx Char"/>
    <w:basedOn w:val="CETheadingxCarattere"/>
    <w:link w:val="CETHeadingxx"/>
    <w:rsid w:val="000F787B"/>
    <w:rPr>
      <w:rFonts w:ascii="Arial" w:eastAsia="Times New Roman" w:hAnsi="Arial" w:cs="Times New Roman"/>
      <w:b/>
      <w:sz w:val="18"/>
      <w:szCs w:val="20"/>
      <w:lang w:val="en-US"/>
    </w:rPr>
  </w:style>
  <w:style w:type="paragraph" w:styleId="ListParagraph">
    <w:name w:val="List Paragraph"/>
    <w:basedOn w:val="Normal"/>
    <w:uiPriority w:val="34"/>
    <w:rsid w:val="00280FAF"/>
    <w:pPr>
      <w:ind w:left="720"/>
      <w:contextualSpacing/>
    </w:pPr>
  </w:style>
  <w:style w:type="character" w:customStyle="1" w:styleId="Menzionenonrisolta1">
    <w:name w:val="Menzione non risolta1"/>
    <w:basedOn w:val="DefaultParagraphFont"/>
    <w:uiPriority w:val="99"/>
    <w:semiHidden/>
    <w:unhideWhenUsed/>
    <w:rsid w:val="00586CCA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F26D2"/>
    <w:pPr>
      <w:spacing w:after="0" w:line="240" w:lineRule="auto"/>
    </w:pPr>
    <w:rPr>
      <w:rFonts w:ascii="Arial" w:eastAsia="Times New Roman" w:hAnsi="Arial" w:cs="Times New Roman"/>
      <w:sz w:val="18"/>
      <w:szCs w:val="20"/>
      <w:lang w:val="en-GB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63E0E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6D4718"/>
    <w:rPr>
      <w:rFonts w:ascii="ArialMT" w:hAnsi="ArialMT" w:hint="default"/>
      <w:b w:val="0"/>
      <w:bCs w:val="0"/>
      <w:i w:val="0"/>
      <w:iCs w:val="0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060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2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3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3504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46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0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597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A96AE3-144D-4431-B3CC-E75B13C9EC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6</Pages>
  <Words>3022</Words>
  <Characters>17228</Characters>
  <Application>Microsoft Office Word</Application>
  <DocSecurity>0</DocSecurity>
  <Lines>143</Lines>
  <Paragraphs>40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Dipartimento CMIC - Politecnico di Milano</Company>
  <LinksUpToDate>false</LinksUpToDate>
  <CharactersWithSpaces>20210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</dc:creator>
  <cp:lastModifiedBy>Alessio Misuri</cp:lastModifiedBy>
  <cp:revision>10</cp:revision>
  <cp:lastPrinted>2015-05-12T18:31:00Z</cp:lastPrinted>
  <dcterms:created xsi:type="dcterms:W3CDTF">2022-03-17T09:29:00Z</dcterms:created>
  <dcterms:modified xsi:type="dcterms:W3CDTF">2022-03-17T10:46:00Z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zotero-version="4.0.29.17"&gt;&lt;session id="s8VwuD2U"/&gt;&lt;style id="http://www.zotero.org/styles/chemical-engineering-transactions" hasBibliography="1" bibliographyStyleHasBeenSet="1"/&gt;&lt;prefs&gt;&lt;pref name="fieldType" value="Field"/&gt;&lt;pref na</vt:lpwstr>
  </property>
  <property fmtid="{D5CDD505-2E9C-101B-9397-08002B2CF9AE}" pid="3" name="ZOTERO_PREF_2">
    <vt:lpwstr>me="storeReferences" value="true"/&gt;&lt;pref name="automaticJournalAbbreviations" value=""/&gt;&lt;pref name="noteType" value=""/&gt;&lt;/prefs&gt;&lt;/data&gt;</vt:lpwstr>
  </property>
</Properties>
</file>