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12B9F"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012B9F" w:rsidRDefault="000A03B2" w:rsidP="00DE264A">
            <w:pPr>
              <w:tabs>
                <w:tab w:val="left" w:pos="-108"/>
              </w:tabs>
              <w:ind w:left="-108"/>
              <w:jc w:val="left"/>
              <w:rPr>
                <w:rFonts w:cs="Arial"/>
                <w:b/>
                <w:bCs/>
                <w:i/>
                <w:iCs/>
                <w:color w:val="000066"/>
                <w:sz w:val="12"/>
                <w:szCs w:val="12"/>
                <w:lang w:val="en-US" w:eastAsia="it-IT"/>
              </w:rPr>
            </w:pPr>
            <w:r w:rsidRPr="00012B9F">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12B9F">
              <w:rPr>
                <w:rFonts w:ascii="AdvP6960" w:hAnsi="AdvP6960" w:cs="AdvP6960"/>
                <w:color w:val="241F20"/>
                <w:szCs w:val="18"/>
                <w:lang w:val="en-US" w:eastAsia="it-IT"/>
              </w:rPr>
              <w:t xml:space="preserve"> </w:t>
            </w:r>
            <w:r w:rsidRPr="00012B9F">
              <w:rPr>
                <w:rFonts w:cs="Arial"/>
                <w:b/>
                <w:bCs/>
                <w:i/>
                <w:iCs/>
                <w:color w:val="000066"/>
                <w:sz w:val="24"/>
                <w:szCs w:val="24"/>
                <w:lang w:val="en-US" w:eastAsia="it-IT"/>
              </w:rPr>
              <w:t>CHEMICAL ENGINEERING</w:t>
            </w:r>
            <w:r w:rsidRPr="00012B9F">
              <w:rPr>
                <w:rFonts w:cs="Arial"/>
                <w:b/>
                <w:bCs/>
                <w:i/>
                <w:iCs/>
                <w:color w:val="0033FF"/>
                <w:sz w:val="24"/>
                <w:szCs w:val="24"/>
                <w:lang w:val="en-US" w:eastAsia="it-IT"/>
              </w:rPr>
              <w:t xml:space="preserve"> </w:t>
            </w:r>
            <w:r w:rsidRPr="00012B9F">
              <w:rPr>
                <w:rFonts w:cs="Arial"/>
                <w:b/>
                <w:bCs/>
                <w:i/>
                <w:iCs/>
                <w:color w:val="666666"/>
                <w:sz w:val="24"/>
                <w:szCs w:val="24"/>
                <w:lang w:val="en-US" w:eastAsia="it-IT"/>
              </w:rPr>
              <w:t>TRANSACTIONS</w:t>
            </w:r>
            <w:r w:rsidRPr="00012B9F">
              <w:rPr>
                <w:color w:val="333333"/>
                <w:sz w:val="24"/>
                <w:szCs w:val="24"/>
                <w:lang w:val="en-US" w:eastAsia="it-IT"/>
              </w:rPr>
              <w:t xml:space="preserve"> </w:t>
            </w:r>
            <w:r w:rsidRPr="00012B9F">
              <w:rPr>
                <w:rFonts w:cs="Arial"/>
                <w:b/>
                <w:bCs/>
                <w:i/>
                <w:iCs/>
                <w:color w:val="000066"/>
                <w:sz w:val="27"/>
                <w:szCs w:val="27"/>
                <w:lang w:val="en-US" w:eastAsia="it-IT"/>
              </w:rPr>
              <w:br/>
            </w:r>
          </w:p>
          <w:p w14:paraId="4B780582" w14:textId="740002EE" w:rsidR="000A03B2" w:rsidRPr="00012B9F" w:rsidRDefault="00A76EFC" w:rsidP="00B57E6F">
            <w:pPr>
              <w:tabs>
                <w:tab w:val="left" w:pos="-108"/>
              </w:tabs>
              <w:ind w:left="-108"/>
              <w:rPr>
                <w:rFonts w:cs="Arial"/>
                <w:b/>
                <w:bCs/>
                <w:i/>
                <w:iCs/>
                <w:color w:val="000066"/>
                <w:sz w:val="22"/>
                <w:szCs w:val="22"/>
                <w:lang w:val="en-US" w:eastAsia="it-IT"/>
              </w:rPr>
            </w:pPr>
            <w:r w:rsidRPr="00012B9F">
              <w:rPr>
                <w:rFonts w:cs="Arial"/>
                <w:b/>
                <w:bCs/>
                <w:i/>
                <w:iCs/>
                <w:color w:val="000066"/>
                <w:sz w:val="22"/>
                <w:szCs w:val="22"/>
                <w:lang w:val="en-US" w:eastAsia="it-IT"/>
              </w:rPr>
              <w:t xml:space="preserve">VOL. </w:t>
            </w:r>
            <w:r w:rsidR="00D46B7E" w:rsidRPr="00012B9F">
              <w:rPr>
                <w:rFonts w:cs="Arial"/>
                <w:b/>
                <w:bCs/>
                <w:i/>
                <w:iCs/>
                <w:color w:val="000066"/>
                <w:sz w:val="22"/>
                <w:szCs w:val="22"/>
                <w:lang w:val="en-US" w:eastAsia="it-IT"/>
              </w:rPr>
              <w:t>9</w:t>
            </w:r>
            <w:r w:rsidR="00B57E6F" w:rsidRPr="00012B9F">
              <w:rPr>
                <w:rFonts w:cs="Arial"/>
                <w:b/>
                <w:bCs/>
                <w:i/>
                <w:iCs/>
                <w:color w:val="000066"/>
                <w:sz w:val="22"/>
                <w:szCs w:val="22"/>
                <w:lang w:val="en-US" w:eastAsia="it-IT"/>
              </w:rPr>
              <w:t>1</w:t>
            </w:r>
            <w:r w:rsidR="007B48F9" w:rsidRPr="00012B9F">
              <w:rPr>
                <w:rFonts w:cs="Arial"/>
                <w:b/>
                <w:bCs/>
                <w:i/>
                <w:iCs/>
                <w:color w:val="000066"/>
                <w:sz w:val="22"/>
                <w:szCs w:val="22"/>
                <w:lang w:val="en-US" w:eastAsia="it-IT"/>
              </w:rPr>
              <w:t>,</w:t>
            </w:r>
            <w:r w:rsidR="00FA5F5F" w:rsidRPr="00012B9F">
              <w:rPr>
                <w:rFonts w:cs="Arial"/>
                <w:b/>
                <w:bCs/>
                <w:i/>
                <w:iCs/>
                <w:color w:val="000066"/>
                <w:sz w:val="22"/>
                <w:szCs w:val="22"/>
                <w:lang w:val="en-US" w:eastAsia="it-IT"/>
              </w:rPr>
              <w:t xml:space="preserve"> 20</w:t>
            </w:r>
            <w:r w:rsidR="00DF5072" w:rsidRPr="00012B9F">
              <w:rPr>
                <w:rFonts w:cs="Arial"/>
                <w:b/>
                <w:bCs/>
                <w:i/>
                <w:iCs/>
                <w:color w:val="000066"/>
                <w:sz w:val="22"/>
                <w:szCs w:val="22"/>
                <w:lang w:val="en-US" w:eastAsia="it-IT"/>
              </w:rPr>
              <w:t>2</w:t>
            </w:r>
            <w:r w:rsidR="007B48F9" w:rsidRPr="00012B9F">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012B9F" w:rsidRDefault="000A03B2" w:rsidP="00CD5FE2">
            <w:pPr>
              <w:spacing w:line="140" w:lineRule="atLeast"/>
              <w:jc w:val="right"/>
              <w:rPr>
                <w:rFonts w:cs="Arial"/>
                <w:sz w:val="14"/>
                <w:szCs w:val="14"/>
                <w:lang w:val="en-US"/>
              </w:rPr>
            </w:pPr>
            <w:r w:rsidRPr="00012B9F">
              <w:rPr>
                <w:rFonts w:cs="Arial"/>
                <w:sz w:val="14"/>
                <w:szCs w:val="14"/>
                <w:lang w:val="en-US"/>
              </w:rPr>
              <w:t>A publication of</w:t>
            </w:r>
          </w:p>
          <w:p w14:paraId="599E5441" w14:textId="77777777" w:rsidR="000A03B2" w:rsidRPr="00012B9F" w:rsidRDefault="000A03B2" w:rsidP="00CD5FE2">
            <w:pPr>
              <w:jc w:val="right"/>
              <w:rPr>
                <w:lang w:val="en-US"/>
              </w:rPr>
            </w:pPr>
            <w:r w:rsidRPr="00012B9F">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12B9F" w14:paraId="380FA3CD" w14:textId="77777777" w:rsidTr="00DE264A">
        <w:trPr>
          <w:trHeight w:val="567"/>
          <w:jc w:val="center"/>
        </w:trPr>
        <w:tc>
          <w:tcPr>
            <w:tcW w:w="6946" w:type="dxa"/>
            <w:vMerge/>
            <w:tcBorders>
              <w:right w:val="single" w:sz="4" w:space="0" w:color="auto"/>
            </w:tcBorders>
          </w:tcPr>
          <w:p w14:paraId="39E5E4C1" w14:textId="77777777" w:rsidR="000A03B2" w:rsidRPr="00012B9F"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012B9F" w:rsidRDefault="000A03B2" w:rsidP="00CD5FE2">
            <w:pPr>
              <w:spacing w:line="140" w:lineRule="atLeast"/>
              <w:jc w:val="right"/>
              <w:rPr>
                <w:rFonts w:cs="Arial"/>
                <w:sz w:val="14"/>
                <w:szCs w:val="14"/>
                <w:lang w:val="en-US"/>
              </w:rPr>
            </w:pPr>
            <w:r w:rsidRPr="00012B9F">
              <w:rPr>
                <w:rFonts w:cs="Arial"/>
                <w:sz w:val="14"/>
                <w:szCs w:val="14"/>
                <w:lang w:val="en-US"/>
              </w:rPr>
              <w:t>The Italian Association</w:t>
            </w:r>
          </w:p>
          <w:p w14:paraId="7522B1D2" w14:textId="77777777" w:rsidR="000A03B2" w:rsidRPr="00012B9F" w:rsidRDefault="000A03B2" w:rsidP="00CD5FE2">
            <w:pPr>
              <w:spacing w:line="140" w:lineRule="atLeast"/>
              <w:jc w:val="right"/>
              <w:rPr>
                <w:rFonts w:cs="Arial"/>
                <w:sz w:val="14"/>
                <w:szCs w:val="14"/>
                <w:lang w:val="en-US"/>
              </w:rPr>
            </w:pPr>
            <w:r w:rsidRPr="00012B9F">
              <w:rPr>
                <w:rFonts w:cs="Arial"/>
                <w:sz w:val="14"/>
                <w:szCs w:val="14"/>
                <w:lang w:val="en-US"/>
              </w:rPr>
              <w:t>of Chemical Engineering</w:t>
            </w:r>
          </w:p>
          <w:p w14:paraId="4F0CC5DE" w14:textId="47FDB2FC" w:rsidR="000A03B2" w:rsidRPr="00012B9F" w:rsidRDefault="000D0268" w:rsidP="00CD5FE2">
            <w:pPr>
              <w:spacing w:line="140" w:lineRule="atLeast"/>
              <w:jc w:val="right"/>
              <w:rPr>
                <w:rFonts w:cs="Arial"/>
                <w:sz w:val="13"/>
                <w:szCs w:val="13"/>
                <w:lang w:val="en-US"/>
              </w:rPr>
            </w:pPr>
            <w:r w:rsidRPr="00012B9F">
              <w:rPr>
                <w:rFonts w:cs="Arial"/>
                <w:sz w:val="13"/>
                <w:szCs w:val="13"/>
                <w:lang w:val="en-US"/>
              </w:rPr>
              <w:t>Online at www.cetjournal.it</w:t>
            </w:r>
          </w:p>
        </w:tc>
      </w:tr>
      <w:tr w:rsidR="000A03B2" w:rsidRPr="00012B9F" w14:paraId="2D1B7169" w14:textId="77777777" w:rsidTr="00DE264A">
        <w:trPr>
          <w:trHeight w:val="68"/>
          <w:jc w:val="center"/>
        </w:trPr>
        <w:tc>
          <w:tcPr>
            <w:tcW w:w="8789" w:type="dxa"/>
            <w:gridSpan w:val="2"/>
          </w:tcPr>
          <w:p w14:paraId="4B0BB442" w14:textId="4EADF2C2" w:rsidR="00300E56" w:rsidRPr="00012B9F" w:rsidRDefault="00300E56" w:rsidP="00B57E6F">
            <w:pPr>
              <w:ind w:left="-107"/>
              <w:outlineLvl w:val="2"/>
              <w:rPr>
                <w:rFonts w:ascii="Tahoma" w:hAnsi="Tahoma" w:cs="Tahoma"/>
                <w:bCs/>
                <w:color w:val="000000"/>
                <w:sz w:val="14"/>
                <w:szCs w:val="14"/>
                <w:lang w:val="en-US" w:eastAsia="it-IT"/>
              </w:rPr>
            </w:pPr>
            <w:r w:rsidRPr="00012B9F">
              <w:rPr>
                <w:rFonts w:ascii="Tahoma" w:hAnsi="Tahoma" w:cs="Tahoma"/>
                <w:iCs/>
                <w:color w:val="333333"/>
                <w:sz w:val="14"/>
                <w:szCs w:val="14"/>
                <w:lang w:val="en-US" w:eastAsia="it-IT"/>
              </w:rPr>
              <w:t>Guest Editors:</w:t>
            </w:r>
            <w:r w:rsidR="00904C62" w:rsidRPr="00012B9F">
              <w:rPr>
                <w:rFonts w:ascii="Tahoma" w:hAnsi="Tahoma" w:cs="Tahoma"/>
                <w:iCs/>
                <w:color w:val="333333"/>
                <w:sz w:val="14"/>
                <w:szCs w:val="14"/>
                <w:lang w:val="en-US" w:eastAsia="it-IT"/>
              </w:rPr>
              <w:t xml:space="preserve"> </w:t>
            </w:r>
            <w:r w:rsidR="00B57E6F" w:rsidRPr="00012B9F">
              <w:rPr>
                <w:rFonts w:ascii="Tahoma" w:hAnsi="Tahoma" w:cs="Tahoma"/>
                <w:color w:val="000000"/>
                <w:sz w:val="14"/>
                <w:szCs w:val="14"/>
                <w:shd w:val="clear" w:color="auto" w:fill="FFFFFF"/>
                <w:lang w:val="en-US"/>
              </w:rPr>
              <w:t xml:space="preserve">Valerio Cozzani, </w:t>
            </w:r>
            <w:r w:rsidR="001331DF" w:rsidRPr="00012B9F">
              <w:rPr>
                <w:rFonts w:ascii="Tahoma" w:hAnsi="Tahoma" w:cs="Tahoma"/>
                <w:color w:val="000000"/>
                <w:sz w:val="14"/>
                <w:szCs w:val="14"/>
                <w:shd w:val="clear" w:color="auto" w:fill="FFFFFF"/>
                <w:lang w:val="en-US"/>
              </w:rPr>
              <w:t>Bruno Fabiano</w:t>
            </w:r>
            <w:r w:rsidR="00B57E6F" w:rsidRPr="00012B9F">
              <w:rPr>
                <w:rFonts w:ascii="Tahoma" w:hAnsi="Tahoma" w:cs="Tahoma"/>
                <w:color w:val="000000"/>
                <w:sz w:val="14"/>
                <w:szCs w:val="14"/>
                <w:shd w:val="clear" w:color="auto" w:fill="FFFFFF"/>
                <w:lang w:val="en-US"/>
              </w:rPr>
              <w:t xml:space="preserve">, </w:t>
            </w:r>
            <w:r w:rsidR="00B57E6F" w:rsidRPr="00012B9F">
              <w:rPr>
                <w:rFonts w:ascii="Tahoma" w:hAnsi="Tahoma" w:cs="Tahoma"/>
                <w:bCs/>
                <w:color w:val="000000"/>
                <w:sz w:val="14"/>
                <w:szCs w:val="14"/>
                <w:lang w:val="en-US" w:eastAsia="it-IT"/>
              </w:rPr>
              <w:t>Genserik Reniers</w:t>
            </w:r>
          </w:p>
          <w:p w14:paraId="1B0F1814" w14:textId="08709475" w:rsidR="000A03B2" w:rsidRPr="00012B9F" w:rsidRDefault="00FA5F5F" w:rsidP="00B57E6F">
            <w:pPr>
              <w:tabs>
                <w:tab w:val="left" w:pos="-108"/>
              </w:tabs>
              <w:spacing w:line="140" w:lineRule="atLeast"/>
              <w:ind w:left="-107"/>
              <w:jc w:val="left"/>
              <w:rPr>
                <w:lang w:val="en-US"/>
              </w:rPr>
            </w:pPr>
            <w:r w:rsidRPr="00012B9F">
              <w:rPr>
                <w:rFonts w:ascii="Tahoma" w:hAnsi="Tahoma" w:cs="Tahoma"/>
                <w:iCs/>
                <w:color w:val="333333"/>
                <w:sz w:val="14"/>
                <w:szCs w:val="14"/>
                <w:lang w:val="en-US" w:eastAsia="it-IT"/>
              </w:rPr>
              <w:t>Copyright © 20</w:t>
            </w:r>
            <w:r w:rsidR="00DF5072" w:rsidRPr="00012B9F">
              <w:rPr>
                <w:rFonts w:ascii="Tahoma" w:hAnsi="Tahoma" w:cs="Tahoma"/>
                <w:iCs/>
                <w:color w:val="333333"/>
                <w:sz w:val="14"/>
                <w:szCs w:val="14"/>
                <w:lang w:val="en-US" w:eastAsia="it-IT"/>
              </w:rPr>
              <w:t>2</w:t>
            </w:r>
            <w:r w:rsidR="00E72EAD" w:rsidRPr="00012B9F">
              <w:rPr>
                <w:rFonts w:ascii="Tahoma" w:hAnsi="Tahoma" w:cs="Tahoma"/>
                <w:iCs/>
                <w:color w:val="333333"/>
                <w:sz w:val="14"/>
                <w:szCs w:val="14"/>
                <w:lang w:val="en-US" w:eastAsia="it-IT"/>
              </w:rPr>
              <w:t>2</w:t>
            </w:r>
            <w:r w:rsidR="00904C62" w:rsidRPr="00012B9F">
              <w:rPr>
                <w:rFonts w:ascii="Tahoma" w:hAnsi="Tahoma" w:cs="Tahoma"/>
                <w:iCs/>
                <w:color w:val="333333"/>
                <w:sz w:val="14"/>
                <w:szCs w:val="14"/>
                <w:lang w:val="en-US" w:eastAsia="it-IT"/>
              </w:rPr>
              <w:t>, AIDIC Servizi S.r.l.</w:t>
            </w:r>
            <w:r w:rsidR="00300E56" w:rsidRPr="00012B9F">
              <w:rPr>
                <w:rFonts w:ascii="Tahoma" w:hAnsi="Tahoma" w:cs="Tahoma"/>
                <w:iCs/>
                <w:color w:val="333333"/>
                <w:sz w:val="14"/>
                <w:szCs w:val="14"/>
                <w:lang w:val="en-US" w:eastAsia="it-IT"/>
              </w:rPr>
              <w:br/>
            </w:r>
            <w:r w:rsidR="00300E56" w:rsidRPr="00012B9F">
              <w:rPr>
                <w:rFonts w:ascii="Tahoma" w:hAnsi="Tahoma" w:cs="Tahoma"/>
                <w:b/>
                <w:iCs/>
                <w:color w:val="000000"/>
                <w:sz w:val="14"/>
                <w:szCs w:val="14"/>
                <w:lang w:val="en-US" w:eastAsia="it-IT"/>
              </w:rPr>
              <w:t>ISBN</w:t>
            </w:r>
            <w:r w:rsidR="00300E56" w:rsidRPr="00012B9F">
              <w:rPr>
                <w:rFonts w:ascii="Tahoma" w:hAnsi="Tahoma" w:cs="Tahoma"/>
                <w:iCs/>
                <w:color w:val="000000"/>
                <w:sz w:val="14"/>
                <w:szCs w:val="14"/>
                <w:lang w:val="en-US" w:eastAsia="it-IT"/>
              </w:rPr>
              <w:t xml:space="preserve"> </w:t>
            </w:r>
            <w:r w:rsidR="008D32B9" w:rsidRPr="00012B9F">
              <w:rPr>
                <w:rFonts w:ascii="Tahoma" w:hAnsi="Tahoma" w:cs="Tahoma"/>
                <w:sz w:val="14"/>
                <w:szCs w:val="14"/>
                <w:lang w:val="en-US"/>
              </w:rPr>
              <w:t>978-88-95608</w:t>
            </w:r>
            <w:r w:rsidR="00D46B7E" w:rsidRPr="00012B9F">
              <w:rPr>
                <w:rFonts w:ascii="Tahoma" w:hAnsi="Tahoma" w:cs="Tahoma"/>
                <w:sz w:val="14"/>
                <w:szCs w:val="14"/>
                <w:lang w:val="en-US"/>
              </w:rPr>
              <w:t>-8</w:t>
            </w:r>
            <w:r w:rsidR="00B57E6F" w:rsidRPr="00012B9F">
              <w:rPr>
                <w:rFonts w:ascii="Tahoma" w:hAnsi="Tahoma" w:cs="Tahoma"/>
                <w:sz w:val="14"/>
                <w:szCs w:val="14"/>
                <w:lang w:val="en-US"/>
              </w:rPr>
              <w:t>9</w:t>
            </w:r>
            <w:r w:rsidR="00D46B7E" w:rsidRPr="00012B9F">
              <w:rPr>
                <w:rFonts w:ascii="Tahoma" w:hAnsi="Tahoma" w:cs="Tahoma"/>
                <w:sz w:val="14"/>
                <w:szCs w:val="14"/>
                <w:lang w:val="en-US"/>
              </w:rPr>
              <w:t>-</w:t>
            </w:r>
            <w:r w:rsidR="00B57E6F" w:rsidRPr="00012B9F">
              <w:rPr>
                <w:rFonts w:ascii="Tahoma" w:hAnsi="Tahoma" w:cs="Tahoma"/>
                <w:sz w:val="14"/>
                <w:szCs w:val="14"/>
                <w:lang w:val="en-US"/>
              </w:rPr>
              <w:t>1</w:t>
            </w:r>
            <w:r w:rsidR="007B48F9" w:rsidRPr="00012B9F">
              <w:rPr>
                <w:rFonts w:ascii="Tahoma" w:hAnsi="Tahoma" w:cs="Tahoma"/>
                <w:iCs/>
                <w:color w:val="333333"/>
                <w:sz w:val="14"/>
                <w:szCs w:val="14"/>
                <w:lang w:val="en-US" w:eastAsia="it-IT"/>
              </w:rPr>
              <w:t>;</w:t>
            </w:r>
            <w:r w:rsidR="00300E56" w:rsidRPr="00012B9F">
              <w:rPr>
                <w:rFonts w:ascii="Tahoma" w:hAnsi="Tahoma" w:cs="Tahoma"/>
                <w:iCs/>
                <w:color w:val="333333"/>
                <w:sz w:val="14"/>
                <w:szCs w:val="14"/>
                <w:lang w:val="en-US" w:eastAsia="it-IT"/>
              </w:rPr>
              <w:t xml:space="preserve"> </w:t>
            </w:r>
            <w:r w:rsidR="00300E56" w:rsidRPr="00012B9F">
              <w:rPr>
                <w:rFonts w:ascii="Tahoma" w:hAnsi="Tahoma" w:cs="Tahoma"/>
                <w:b/>
                <w:iCs/>
                <w:color w:val="333333"/>
                <w:sz w:val="14"/>
                <w:szCs w:val="14"/>
                <w:lang w:val="en-US" w:eastAsia="it-IT"/>
              </w:rPr>
              <w:t>ISSN</w:t>
            </w:r>
            <w:r w:rsidR="00300E56" w:rsidRPr="00012B9F">
              <w:rPr>
                <w:rFonts w:ascii="Tahoma" w:hAnsi="Tahoma" w:cs="Tahoma"/>
                <w:iCs/>
                <w:color w:val="333333"/>
                <w:sz w:val="14"/>
                <w:szCs w:val="14"/>
                <w:lang w:val="en-US" w:eastAsia="it-IT"/>
              </w:rPr>
              <w:t xml:space="preserve"> 2283-9216</w:t>
            </w:r>
          </w:p>
        </w:tc>
      </w:tr>
    </w:tbl>
    <w:p w14:paraId="10DAA130" w14:textId="77777777" w:rsidR="000A03B2" w:rsidRPr="00012B9F" w:rsidRDefault="000A03B2" w:rsidP="000A03B2">
      <w:pPr>
        <w:pStyle w:val="CETAuthors"/>
        <w:rPr>
          <w:noProof w:val="0"/>
          <w:lang w:val="en-US"/>
        </w:rPr>
        <w:sectPr w:rsidR="000A03B2" w:rsidRPr="00012B9F" w:rsidSect="00CD5FE2">
          <w:type w:val="continuous"/>
          <w:pgSz w:w="11906" w:h="16838" w:code="9"/>
          <w:pgMar w:top="1701" w:right="1418" w:bottom="1701" w:left="1701" w:header="1701" w:footer="0" w:gutter="0"/>
          <w:cols w:space="708"/>
          <w:titlePg/>
          <w:docGrid w:linePitch="360"/>
        </w:sectPr>
      </w:pPr>
    </w:p>
    <w:p w14:paraId="2E667253" w14:textId="75C0DCEA" w:rsidR="00E978D0" w:rsidRPr="00012B9F" w:rsidRDefault="00112C80" w:rsidP="00E978D0">
      <w:pPr>
        <w:pStyle w:val="CETTitle"/>
        <w:rPr>
          <w:lang w:val="en-US"/>
        </w:rPr>
      </w:pPr>
      <w:r w:rsidRPr="00012B9F">
        <w:rPr>
          <w:lang w:val="en-US"/>
        </w:rPr>
        <w:lastRenderedPageBreak/>
        <w:t>Explosion Behavior of Ethanol-Ethyl Acetate/Air Mixtures</w:t>
      </w:r>
    </w:p>
    <w:p w14:paraId="0488FED2" w14:textId="273BE071" w:rsidR="00B57E6F" w:rsidRPr="00012B9F" w:rsidRDefault="00112C80" w:rsidP="00B57E6F">
      <w:pPr>
        <w:pStyle w:val="CETAuthors"/>
        <w:rPr>
          <w:noProof w:val="0"/>
          <w:lang w:val="en-US"/>
        </w:rPr>
      </w:pPr>
      <w:r w:rsidRPr="00012B9F">
        <w:rPr>
          <w:noProof w:val="0"/>
          <w:lang w:val="en-US"/>
        </w:rPr>
        <w:t>Francesco Cammarota</w:t>
      </w:r>
      <w:r w:rsidR="00BC5866" w:rsidRPr="00012B9F">
        <w:rPr>
          <w:noProof w:val="0"/>
          <w:vertAlign w:val="superscript"/>
          <w:lang w:val="en-US"/>
        </w:rPr>
        <w:t>a</w:t>
      </w:r>
      <w:r w:rsidRPr="00012B9F">
        <w:rPr>
          <w:noProof w:val="0"/>
          <w:lang w:val="en-US"/>
        </w:rPr>
        <w:t>, Valeria Di Sarli</w:t>
      </w:r>
      <w:r w:rsidR="00BC5866" w:rsidRPr="00012B9F">
        <w:rPr>
          <w:noProof w:val="0"/>
          <w:vertAlign w:val="superscript"/>
          <w:lang w:val="en-US"/>
        </w:rPr>
        <w:t>a,</w:t>
      </w:r>
      <w:r w:rsidR="00B57E6F" w:rsidRPr="00012B9F">
        <w:rPr>
          <w:noProof w:val="0"/>
          <w:lang w:val="en-US"/>
        </w:rPr>
        <w:t>*</w:t>
      </w:r>
      <w:r w:rsidR="00E278FD" w:rsidRPr="00012B9F">
        <w:rPr>
          <w:noProof w:val="0"/>
          <w:lang w:val="en-US"/>
        </w:rPr>
        <w:t>, Ernesto Salzano</w:t>
      </w:r>
      <w:r w:rsidR="00BC5866" w:rsidRPr="00012B9F">
        <w:rPr>
          <w:noProof w:val="0"/>
          <w:vertAlign w:val="superscript"/>
          <w:lang w:val="en-US"/>
        </w:rPr>
        <w:t>b</w:t>
      </w:r>
    </w:p>
    <w:p w14:paraId="3D72B0B0" w14:textId="2F83CEAE" w:rsidR="00B57E6F" w:rsidRPr="00012B9F" w:rsidRDefault="00BC5866" w:rsidP="00121ACF">
      <w:pPr>
        <w:pStyle w:val="CETAddress"/>
        <w:rPr>
          <w:noProof w:val="0"/>
          <w:lang w:val="en-US"/>
        </w:rPr>
      </w:pPr>
      <w:r w:rsidRPr="00012B9F">
        <w:rPr>
          <w:noProof w:val="0"/>
          <w:vertAlign w:val="superscript"/>
          <w:lang w:val="en-US"/>
        </w:rPr>
        <w:t>a</w:t>
      </w:r>
      <w:r w:rsidR="00121ACF" w:rsidRPr="00012B9F">
        <w:rPr>
          <w:noProof w:val="0"/>
          <w:lang w:val="en-US"/>
        </w:rPr>
        <w:t>Istituto di Scienze e Tecnologie per l</w:t>
      </w:r>
      <w:r w:rsidR="00855F93" w:rsidRPr="00012B9F">
        <w:rPr>
          <w:noProof w:val="0"/>
          <w:lang w:val="en-US"/>
        </w:rPr>
        <w:t>’</w:t>
      </w:r>
      <w:r w:rsidR="00121ACF" w:rsidRPr="00012B9F">
        <w:rPr>
          <w:noProof w:val="0"/>
          <w:lang w:val="en-US"/>
        </w:rPr>
        <w:t xml:space="preserve">Energia e la Mobilità Sostenibili (STEMS), Consiglio Nazionale delle Ricerche (CNR), Via </w:t>
      </w:r>
      <w:r w:rsidR="009E723B" w:rsidRPr="00012B9F">
        <w:rPr>
          <w:noProof w:val="0"/>
          <w:lang w:val="en-US"/>
        </w:rPr>
        <w:t xml:space="preserve">G. </w:t>
      </w:r>
      <w:r w:rsidR="00121ACF" w:rsidRPr="00012B9F">
        <w:rPr>
          <w:noProof w:val="0"/>
          <w:lang w:val="en-US"/>
        </w:rPr>
        <w:t>Marconi 4, 80125, Napoli, Italy</w:t>
      </w:r>
    </w:p>
    <w:p w14:paraId="7A7FAA1A" w14:textId="0EA61C4E" w:rsidR="00BC5866" w:rsidRPr="00012B9F" w:rsidRDefault="009E723B" w:rsidP="00BC5866">
      <w:pPr>
        <w:pStyle w:val="CETAddress"/>
        <w:rPr>
          <w:noProof w:val="0"/>
          <w:lang w:val="en-US"/>
        </w:rPr>
      </w:pPr>
      <w:r w:rsidRPr="00012B9F">
        <w:rPr>
          <w:noProof w:val="0"/>
          <w:vertAlign w:val="superscript"/>
          <w:lang w:val="en-US"/>
        </w:rPr>
        <w:t>b</w:t>
      </w:r>
      <w:r w:rsidRPr="00012B9F">
        <w:rPr>
          <w:noProof w:val="0"/>
          <w:lang w:val="en-US"/>
        </w:rPr>
        <w:t>Dipartimento di Ingegneria Civile, Chimica, Ambientale e dei Materiali, Alma Mater Studiorum - Università di Bologna, Via U. Terracini 28, 40131, Bologna, Italy</w:t>
      </w:r>
    </w:p>
    <w:p w14:paraId="73F1267A" w14:textId="386A0CE7" w:rsidR="00B57E6F" w:rsidRPr="00012B9F" w:rsidRDefault="00A940E1" w:rsidP="00B57E6F">
      <w:pPr>
        <w:pStyle w:val="CETemail"/>
        <w:rPr>
          <w:noProof w:val="0"/>
          <w:lang w:val="en-US"/>
        </w:rPr>
      </w:pPr>
      <w:r w:rsidRPr="00012B9F">
        <w:rPr>
          <w:noProof w:val="0"/>
          <w:lang w:val="en-US"/>
        </w:rPr>
        <w:t>*</w:t>
      </w:r>
      <w:r w:rsidR="00B57E6F" w:rsidRPr="00012B9F">
        <w:rPr>
          <w:noProof w:val="0"/>
          <w:lang w:val="en-US"/>
        </w:rPr>
        <w:t xml:space="preserve"> </w:t>
      </w:r>
      <w:r w:rsidRPr="00012B9F">
        <w:rPr>
          <w:noProof w:val="0"/>
          <w:lang w:val="en-US"/>
        </w:rPr>
        <w:t>valeria.disarli@stems.cnr.it</w:t>
      </w:r>
    </w:p>
    <w:p w14:paraId="3B7D7EF3" w14:textId="0F344CEA" w:rsidR="00220A10" w:rsidRPr="00012B9F" w:rsidRDefault="00220A10" w:rsidP="00220A10">
      <w:pPr>
        <w:pStyle w:val="CETBodytext"/>
      </w:pPr>
      <w:r w:rsidRPr="00012B9F">
        <w:t xml:space="preserve">Alcohol-ester mixtures and, among them, ethanol-ethyl acetate mixtures are widely used as solvents in the packaging industry. For the safe use of such mixtures, it is essential to characterize their explosion behavior. Specifically, </w:t>
      </w:r>
      <w:r w:rsidR="004F6AE4" w:rsidRPr="00012B9F">
        <w:t>knowledge</w:t>
      </w:r>
      <w:r w:rsidRPr="00012B9F">
        <w:t xml:space="preserve"> is required about maximum pressure and the maximum rate of pressure rise (i.e., </w:t>
      </w:r>
      <w:r w:rsidR="003A6B41" w:rsidRPr="00012B9F">
        <w:t xml:space="preserve">the </w:t>
      </w:r>
      <w:r w:rsidRPr="00012B9F">
        <w:t>deflagration index), which are among the most important parameters for the assessment of process hazards and the safe design of process equipment. To this aim, in this work, closed-vessel explosion tests were carried out for an ethanol-ethyl acetate composition (mole fraction of ethanol in ethanol</w:t>
      </w:r>
      <w:r w:rsidRPr="00012B9F">
        <w:rPr>
          <w:szCs w:val="18"/>
        </w:rPr>
        <w:t> </w:t>
      </w:r>
      <w:r w:rsidRPr="00012B9F">
        <w:t>+</w:t>
      </w:r>
      <w:r w:rsidRPr="00012B9F">
        <w:rPr>
          <w:szCs w:val="18"/>
        </w:rPr>
        <w:t> </w:t>
      </w:r>
      <w:r w:rsidRPr="00012B9F">
        <w:t>ethyl acetate equal to 0.62) of interest to the packaging industry, varying the fuel/air equivalence ratio from 1.0 to 1.7. Tests were also extended to ethanol/air and ethyl acetate/air to quantify the effects of the possible interaction between the two fuels in the mixture. All tests started from 25°C and 1 bar.</w:t>
      </w:r>
    </w:p>
    <w:p w14:paraId="587C11AF" w14:textId="2F087A78" w:rsidR="00220A10" w:rsidRPr="00012B9F" w:rsidRDefault="00220A10" w:rsidP="00220A10">
      <w:pPr>
        <w:pStyle w:val="CETBodytext"/>
      </w:pPr>
      <w:r w:rsidRPr="00BD75F0">
        <w:t xml:space="preserve">Experimental results show that, as the fuel equivalence ratio is increased, a transition occurs from a regime in which synergistic effects arise making the </w:t>
      </w:r>
      <w:r w:rsidRPr="001C46A3">
        <w:t xml:space="preserve">explosion behavior of ethanol-ethyl acetate more severe (i.e., </w:t>
      </w:r>
      <w:r w:rsidR="0085406D" w:rsidRPr="001C46A3">
        <w:t>making the rate of explosion pressure rise of ethanol-ethyl acetate higher</w:t>
      </w:r>
      <w:r w:rsidRPr="001C46A3">
        <w:t>) than</w:t>
      </w:r>
      <w:r w:rsidRPr="00BD75F0">
        <w:t xml:space="preserve"> both ethanol and ethyl acetate, to a regime in which, as a result of a completely different interaction between ethanol and ethyl acetate, the explosion behavior of their mixture is less severe than both the individual components. The maximum rate of pressure </w:t>
      </w:r>
      <w:r w:rsidR="009A10D8" w:rsidRPr="00BD75F0">
        <w:t>rise</w:t>
      </w:r>
      <w:r w:rsidRPr="00BD75F0">
        <w:t xml:space="preserve"> falls within an intermediate regime in which non</w:t>
      </w:r>
      <w:r w:rsidR="00B71333" w:rsidRPr="00BD75F0">
        <w:t>-</w:t>
      </w:r>
      <w:r w:rsidRPr="00BD75F0">
        <w:t>linear interaction effects substantially disappear and, thus, the value of deflagration index for the mixture can be obtained by averaging the values of the two fuels according to their molar proportions.</w:t>
      </w:r>
    </w:p>
    <w:p w14:paraId="476B2F2E" w14:textId="77777777" w:rsidR="00600535" w:rsidRPr="00012B9F" w:rsidRDefault="00600535" w:rsidP="00887E3F">
      <w:pPr>
        <w:pStyle w:val="CETHeading1"/>
        <w:numPr>
          <w:ilvl w:val="1"/>
          <w:numId w:val="1"/>
        </w:numPr>
        <w:tabs>
          <w:tab w:val="num" w:pos="360"/>
        </w:tabs>
        <w:ind w:left="0"/>
      </w:pPr>
      <w:r w:rsidRPr="00012B9F">
        <w:t>Introduction</w:t>
      </w:r>
    </w:p>
    <w:p w14:paraId="2F2D84F0" w14:textId="1E5ADA50" w:rsidR="001F6B6B" w:rsidRPr="00012B9F" w:rsidRDefault="00CD2C08" w:rsidP="004D034E">
      <w:pPr>
        <w:rPr>
          <w:lang w:val="en-US"/>
        </w:rPr>
      </w:pPr>
      <w:r w:rsidRPr="00012B9F">
        <w:rPr>
          <w:lang w:val="en-US"/>
        </w:rPr>
        <w:t xml:space="preserve">Alcohol-ester mixtures and, specifically, ethanol-ethyl acetate mixtures are widely used as solvents in the packaging industry. Such mixtures are flammable and, thus, in order to design adequate prevention and mitigation measures for the industries where they are stored, handled and used, reliable safety data are </w:t>
      </w:r>
      <w:r w:rsidR="001F6B6B" w:rsidRPr="00012B9F">
        <w:rPr>
          <w:lang w:val="en-US"/>
        </w:rPr>
        <w:t>required</w:t>
      </w:r>
      <w:r w:rsidRPr="00012B9F">
        <w:rPr>
          <w:lang w:val="en-US"/>
        </w:rPr>
        <w:t>.</w:t>
      </w:r>
    </w:p>
    <w:p w14:paraId="7B21CFE8" w14:textId="4B80BE5B" w:rsidR="00CB3786" w:rsidRPr="00012B9F" w:rsidRDefault="004F715B" w:rsidP="004D034E">
      <w:pPr>
        <w:rPr>
          <w:lang w:val="en-US"/>
        </w:rPr>
      </w:pPr>
      <w:r w:rsidRPr="00012B9F">
        <w:rPr>
          <w:lang w:val="en-US"/>
        </w:rPr>
        <w:t xml:space="preserve">According to the National Fire Protection Association, the key parameter for classifying flammable liquids </w:t>
      </w:r>
      <w:r w:rsidR="00B97CE3" w:rsidRPr="00012B9F">
        <w:rPr>
          <w:lang w:val="en-US"/>
        </w:rPr>
        <w:t>is</w:t>
      </w:r>
      <w:r w:rsidRPr="00012B9F">
        <w:rPr>
          <w:lang w:val="en-US"/>
        </w:rPr>
        <w:t xml:space="preserve"> the </w:t>
      </w:r>
      <w:r w:rsidR="00B97CE3" w:rsidRPr="00012B9F">
        <w:rPr>
          <w:lang w:val="en-US"/>
        </w:rPr>
        <w:t>flash point</w:t>
      </w:r>
      <w:r w:rsidR="0032603C" w:rsidRPr="00012B9F">
        <w:rPr>
          <w:lang w:val="en-US"/>
        </w:rPr>
        <w:t xml:space="preserve"> (NFPA 30, 2003). </w:t>
      </w:r>
      <w:r w:rsidR="00C04C03" w:rsidRPr="00012B9F">
        <w:rPr>
          <w:lang w:val="en-US"/>
        </w:rPr>
        <w:t>However, a</w:t>
      </w:r>
      <w:r w:rsidR="00647622" w:rsidRPr="00012B9F">
        <w:rPr>
          <w:lang w:val="en-US"/>
        </w:rPr>
        <w:t>lthough liquid fuels are not explosive by themselves, e</w:t>
      </w:r>
      <w:r w:rsidR="00E66234" w:rsidRPr="00012B9F">
        <w:rPr>
          <w:lang w:val="en-US"/>
        </w:rPr>
        <w:t>xplosive</w:t>
      </w:r>
      <w:r w:rsidR="00801203" w:rsidRPr="00012B9F">
        <w:rPr>
          <w:lang w:val="en-US"/>
        </w:rPr>
        <w:t xml:space="preserve"> conditions may </w:t>
      </w:r>
      <w:r w:rsidR="00880C1E" w:rsidRPr="00012B9F">
        <w:rPr>
          <w:lang w:val="en-US"/>
        </w:rPr>
        <w:t>arise</w:t>
      </w:r>
      <w:r w:rsidR="00801203" w:rsidRPr="00012B9F">
        <w:rPr>
          <w:lang w:val="en-US"/>
        </w:rPr>
        <w:t xml:space="preserve"> </w:t>
      </w:r>
      <w:r w:rsidR="004C2170" w:rsidRPr="00012B9F">
        <w:rPr>
          <w:lang w:val="en-US"/>
        </w:rPr>
        <w:t>a</w:t>
      </w:r>
      <w:r w:rsidR="00801203" w:rsidRPr="00012B9F">
        <w:rPr>
          <w:lang w:val="en-US"/>
        </w:rPr>
        <w:t>t temperatures higher than the flash point</w:t>
      </w:r>
      <w:r w:rsidR="00E66234" w:rsidRPr="00012B9F">
        <w:rPr>
          <w:lang w:val="en-US"/>
        </w:rPr>
        <w:t>: f</w:t>
      </w:r>
      <w:r w:rsidR="00801203" w:rsidRPr="00012B9F">
        <w:rPr>
          <w:lang w:val="en-US"/>
        </w:rPr>
        <w:t xml:space="preserve">uel evaporation </w:t>
      </w:r>
      <w:r w:rsidR="004C2170" w:rsidRPr="00012B9F">
        <w:rPr>
          <w:lang w:val="en-US"/>
        </w:rPr>
        <w:t xml:space="preserve">and subsequent mixing with air </w:t>
      </w:r>
      <w:r w:rsidR="00801203" w:rsidRPr="00012B9F">
        <w:rPr>
          <w:lang w:val="en-US"/>
        </w:rPr>
        <w:t>may result in the formation of a flammable cloud, the accidental ignition of which may lead to explosion (Venart, 2004).</w:t>
      </w:r>
      <w:r w:rsidR="007A192C" w:rsidRPr="00012B9F">
        <w:rPr>
          <w:lang w:val="en-US"/>
        </w:rPr>
        <w:t xml:space="preserve"> </w:t>
      </w:r>
      <w:r w:rsidR="00D7608D" w:rsidRPr="00012B9F">
        <w:rPr>
          <w:lang w:val="en-US"/>
        </w:rPr>
        <w:t>Hence, i</w:t>
      </w:r>
      <w:r w:rsidR="00494151" w:rsidRPr="00012B9F">
        <w:rPr>
          <w:lang w:val="en-US"/>
        </w:rPr>
        <w:t xml:space="preserve">n some </w:t>
      </w:r>
      <w:r w:rsidR="004E4256" w:rsidRPr="00012B9F">
        <w:rPr>
          <w:lang w:val="en-US"/>
        </w:rPr>
        <w:t>conditions</w:t>
      </w:r>
      <w:r w:rsidR="00494151" w:rsidRPr="00012B9F">
        <w:rPr>
          <w:lang w:val="en-US"/>
        </w:rPr>
        <w:t xml:space="preserve">, explosion parameters </w:t>
      </w:r>
      <w:r w:rsidR="004F0025" w:rsidRPr="00012B9F">
        <w:rPr>
          <w:lang w:val="en-US"/>
        </w:rPr>
        <w:t>—</w:t>
      </w:r>
      <w:r w:rsidR="00494151" w:rsidRPr="00012B9F">
        <w:rPr>
          <w:lang w:val="en-US"/>
        </w:rPr>
        <w:t xml:space="preserve"> maximum pressure and the maximum rate of pressure rise (i.e., the deflagration index) </w:t>
      </w:r>
      <w:r w:rsidR="004F0025" w:rsidRPr="00012B9F">
        <w:rPr>
          <w:lang w:val="en-US"/>
        </w:rPr>
        <w:t>—</w:t>
      </w:r>
      <w:r w:rsidR="00494151" w:rsidRPr="00012B9F">
        <w:rPr>
          <w:lang w:val="en-US"/>
        </w:rPr>
        <w:t xml:space="preserve"> </w:t>
      </w:r>
      <w:r w:rsidR="00D7608D" w:rsidRPr="00012B9F">
        <w:rPr>
          <w:lang w:val="en-US"/>
        </w:rPr>
        <w:t xml:space="preserve">for flammable liquids in their </w:t>
      </w:r>
      <w:r w:rsidR="0090666A" w:rsidRPr="00012B9F">
        <w:rPr>
          <w:lang w:val="en-US"/>
        </w:rPr>
        <w:t>vapor</w:t>
      </w:r>
      <w:r w:rsidR="00D7608D" w:rsidRPr="00012B9F">
        <w:rPr>
          <w:lang w:val="en-US"/>
        </w:rPr>
        <w:t xml:space="preserve"> state</w:t>
      </w:r>
      <w:r w:rsidR="0090666A" w:rsidRPr="00012B9F">
        <w:rPr>
          <w:lang w:val="en-US"/>
        </w:rPr>
        <w:t xml:space="preserve"> </w:t>
      </w:r>
      <w:r w:rsidR="00494151" w:rsidRPr="00012B9F">
        <w:rPr>
          <w:lang w:val="en-US"/>
        </w:rPr>
        <w:t xml:space="preserve">are </w:t>
      </w:r>
      <w:r w:rsidR="004E4256" w:rsidRPr="00012B9F">
        <w:rPr>
          <w:lang w:val="en-US"/>
        </w:rPr>
        <w:t xml:space="preserve">also </w:t>
      </w:r>
      <w:r w:rsidR="0090666A" w:rsidRPr="00012B9F">
        <w:rPr>
          <w:lang w:val="en-US"/>
        </w:rPr>
        <w:t>needed</w:t>
      </w:r>
      <w:r w:rsidR="00D7608D" w:rsidRPr="00012B9F">
        <w:rPr>
          <w:lang w:val="en-US"/>
        </w:rPr>
        <w:t xml:space="preserve">. </w:t>
      </w:r>
      <w:r w:rsidR="00346717" w:rsidRPr="00012B9F">
        <w:rPr>
          <w:lang w:val="en-US"/>
        </w:rPr>
        <w:t xml:space="preserve">The flash point is </w:t>
      </w:r>
      <w:r w:rsidR="00A069AC" w:rsidRPr="00012B9F">
        <w:rPr>
          <w:lang w:val="en-US"/>
        </w:rPr>
        <w:t>12.8</w:t>
      </w:r>
      <w:r w:rsidR="00346717" w:rsidRPr="00012B9F">
        <w:rPr>
          <w:lang w:val="en-US"/>
        </w:rPr>
        <w:t xml:space="preserve">°C for ethanol and </w:t>
      </w:r>
      <w:r w:rsidR="00C059E8" w:rsidRPr="00012B9F">
        <w:rPr>
          <w:lang w:val="en-US"/>
        </w:rPr>
        <w:sym w:font="Symbol" w:char="F02D"/>
      </w:r>
      <w:r w:rsidR="00346717" w:rsidRPr="00012B9F">
        <w:rPr>
          <w:szCs w:val="18"/>
          <w:lang w:val="en-US"/>
        </w:rPr>
        <w:t> </w:t>
      </w:r>
      <w:r w:rsidR="00346717" w:rsidRPr="00012B9F">
        <w:rPr>
          <w:lang w:val="en-US"/>
        </w:rPr>
        <w:t>4</w:t>
      </w:r>
      <w:r w:rsidR="00A069AC" w:rsidRPr="00012B9F">
        <w:rPr>
          <w:lang w:val="en-US"/>
        </w:rPr>
        <w:t>.4</w:t>
      </w:r>
      <w:r w:rsidR="00346717" w:rsidRPr="00012B9F">
        <w:rPr>
          <w:lang w:val="en-US"/>
        </w:rPr>
        <w:t>°C for ethyl acetate</w:t>
      </w:r>
      <w:r w:rsidR="00B275EB" w:rsidRPr="00012B9F">
        <w:rPr>
          <w:lang w:val="en-US"/>
        </w:rPr>
        <w:t xml:space="preserve"> (</w:t>
      </w:r>
      <w:r w:rsidR="00A069AC" w:rsidRPr="00012B9F">
        <w:rPr>
          <w:lang w:val="en-US"/>
        </w:rPr>
        <w:t>Crowl, 2003</w:t>
      </w:r>
      <w:r w:rsidR="00B275EB" w:rsidRPr="00012B9F">
        <w:rPr>
          <w:lang w:val="en-US"/>
        </w:rPr>
        <w:t>)</w:t>
      </w:r>
      <w:r w:rsidR="00346717" w:rsidRPr="00012B9F">
        <w:rPr>
          <w:lang w:val="en-US"/>
        </w:rPr>
        <w:t>.</w:t>
      </w:r>
      <w:r w:rsidR="00B275EB" w:rsidRPr="00012B9F">
        <w:rPr>
          <w:lang w:val="en-US"/>
        </w:rPr>
        <w:t xml:space="preserve"> </w:t>
      </w:r>
      <w:r w:rsidR="0098684B" w:rsidRPr="00012B9F">
        <w:rPr>
          <w:lang w:val="en-US"/>
        </w:rPr>
        <w:t xml:space="preserve">This means that </w:t>
      </w:r>
      <w:r w:rsidR="00CB3786" w:rsidRPr="00012B9F">
        <w:rPr>
          <w:lang w:val="en-US"/>
        </w:rPr>
        <w:t xml:space="preserve">both </w:t>
      </w:r>
      <w:r w:rsidR="00342FF2" w:rsidRPr="00012B9F">
        <w:rPr>
          <w:lang w:val="en-US"/>
        </w:rPr>
        <w:t>ethanol and</w:t>
      </w:r>
      <w:r w:rsidR="00CB3786" w:rsidRPr="00012B9F">
        <w:rPr>
          <w:lang w:val="en-US"/>
        </w:rPr>
        <w:t xml:space="preserve"> </w:t>
      </w:r>
      <w:r w:rsidR="00342FF2" w:rsidRPr="00012B9F">
        <w:rPr>
          <w:lang w:val="en-US"/>
        </w:rPr>
        <w:t xml:space="preserve">ethyl acetate </w:t>
      </w:r>
      <w:r w:rsidR="00CB3786" w:rsidRPr="00012B9F">
        <w:rPr>
          <w:lang w:val="en-US"/>
        </w:rPr>
        <w:t>are prone to generate explosive conditions</w:t>
      </w:r>
      <w:r w:rsidR="00805819" w:rsidRPr="00012B9F">
        <w:rPr>
          <w:lang w:val="en-US"/>
        </w:rPr>
        <w:t xml:space="preserve"> at ambient temperature or higher</w:t>
      </w:r>
      <w:r w:rsidR="0017133D" w:rsidRPr="00012B9F">
        <w:rPr>
          <w:lang w:val="en-US"/>
        </w:rPr>
        <w:t>.</w:t>
      </w:r>
    </w:p>
    <w:p w14:paraId="1E66D9EF" w14:textId="62E68661" w:rsidR="00A455CC" w:rsidRPr="00012B9F" w:rsidRDefault="0017133D" w:rsidP="004D034E">
      <w:pPr>
        <w:rPr>
          <w:rStyle w:val="hgkelc"/>
          <w:lang w:val="en-US"/>
        </w:rPr>
      </w:pPr>
      <w:r w:rsidRPr="00012B9F">
        <w:rPr>
          <w:lang w:val="en-US"/>
        </w:rPr>
        <w:t>Recent r</w:t>
      </w:r>
      <w:r w:rsidR="00A455CC" w:rsidRPr="00012B9F">
        <w:rPr>
          <w:lang w:val="en-US"/>
        </w:rPr>
        <w:t xml:space="preserve">esearch efforts have been focused on predicting the flash point for ethanol and ethyl acetate </w:t>
      </w:r>
      <w:r w:rsidR="004F0025" w:rsidRPr="00012B9F">
        <w:rPr>
          <w:lang w:val="en-US"/>
        </w:rPr>
        <w:t>—</w:t>
      </w:r>
      <w:r w:rsidR="00A455CC" w:rsidRPr="00012B9F">
        <w:rPr>
          <w:lang w:val="en-US"/>
        </w:rPr>
        <w:t xml:space="preserve"> even at pressures different from the atmospheric pressure </w:t>
      </w:r>
      <w:r w:rsidR="004F0025" w:rsidRPr="00012B9F">
        <w:rPr>
          <w:lang w:val="en-US"/>
        </w:rPr>
        <w:t>—</w:t>
      </w:r>
      <w:r w:rsidR="00A455CC" w:rsidRPr="00012B9F">
        <w:rPr>
          <w:lang w:val="en-US"/>
        </w:rPr>
        <w:t xml:space="preserve"> and their mixtures (Di Benedetto et al., 2018a; 2018b). </w:t>
      </w:r>
      <w:r w:rsidR="00A455CC" w:rsidRPr="00012B9F">
        <w:rPr>
          <w:rStyle w:val="hgkelc"/>
          <w:lang w:val="en-US"/>
        </w:rPr>
        <w:t xml:space="preserve">For </w:t>
      </w:r>
      <w:r w:rsidR="00A455CC" w:rsidRPr="00012B9F">
        <w:rPr>
          <w:lang w:val="en-US"/>
        </w:rPr>
        <w:t>ethanol-ethyl acetate</w:t>
      </w:r>
      <w:r w:rsidR="00A455CC" w:rsidRPr="00012B9F">
        <w:rPr>
          <w:rStyle w:val="hgkelc"/>
          <w:lang w:val="en-US"/>
        </w:rPr>
        <w:t xml:space="preserve">, </w:t>
      </w:r>
      <w:r w:rsidR="00BD2048" w:rsidRPr="00012B9F">
        <w:rPr>
          <w:rStyle w:val="hgkelc"/>
          <w:lang w:val="en-US"/>
        </w:rPr>
        <w:t>it has been found</w:t>
      </w:r>
      <w:r w:rsidR="00A455CC" w:rsidRPr="00012B9F">
        <w:rPr>
          <w:rStyle w:val="hgkelc"/>
          <w:lang w:val="en-US"/>
        </w:rPr>
        <w:t xml:space="preserve"> that, over a rather wide range of mixture compositions, synergistic effects arise resulting in the so-called “minimum flash point behavior”: the flash point of the mixture is below the </w:t>
      </w:r>
      <w:r w:rsidR="00A455CC" w:rsidRPr="00012B9F">
        <w:rPr>
          <w:rStyle w:val="hgkelc"/>
          <w:lang w:val="en-US"/>
        </w:rPr>
        <w:lastRenderedPageBreak/>
        <w:t>flash points of the individual components (</w:t>
      </w:r>
      <w:r w:rsidR="00A455CC" w:rsidRPr="00012B9F">
        <w:rPr>
          <w:lang w:val="en-US"/>
        </w:rPr>
        <w:t>Di Benedetto et al., 2018a</w:t>
      </w:r>
      <w:r w:rsidR="00A455CC" w:rsidRPr="00012B9F">
        <w:rPr>
          <w:rStyle w:val="hgkelc"/>
          <w:lang w:val="en-US"/>
        </w:rPr>
        <w:t xml:space="preserve">). </w:t>
      </w:r>
      <w:r w:rsidR="00320599" w:rsidRPr="00012B9F">
        <w:rPr>
          <w:rStyle w:val="hgkelc"/>
          <w:lang w:val="en-US"/>
        </w:rPr>
        <w:t xml:space="preserve">This </w:t>
      </w:r>
      <w:r w:rsidR="004633BB" w:rsidRPr="00012B9F">
        <w:rPr>
          <w:rStyle w:val="hgkelc"/>
          <w:lang w:val="en-US"/>
        </w:rPr>
        <w:t xml:space="preserve">behavior </w:t>
      </w:r>
      <w:r w:rsidR="001E7A6B" w:rsidRPr="00012B9F">
        <w:rPr>
          <w:rStyle w:val="hgkelc"/>
          <w:lang w:val="en-US"/>
        </w:rPr>
        <w:t>increase</w:t>
      </w:r>
      <w:r w:rsidR="00A51702" w:rsidRPr="00012B9F">
        <w:rPr>
          <w:rStyle w:val="hgkelc"/>
          <w:lang w:val="en-US"/>
        </w:rPr>
        <w:t>s</w:t>
      </w:r>
      <w:r w:rsidR="001E7A6B" w:rsidRPr="00012B9F">
        <w:rPr>
          <w:rStyle w:val="hgkelc"/>
          <w:lang w:val="en-US"/>
        </w:rPr>
        <w:t xml:space="preserve"> the explosion risk for </w:t>
      </w:r>
      <w:r w:rsidR="00320599" w:rsidRPr="00012B9F">
        <w:rPr>
          <w:lang w:val="en-US"/>
        </w:rPr>
        <w:t xml:space="preserve">ethanol-ethyl acetate </w:t>
      </w:r>
      <w:r w:rsidR="00B71ACD" w:rsidRPr="00012B9F">
        <w:rPr>
          <w:rStyle w:val="hgkelc"/>
          <w:lang w:val="en-US"/>
        </w:rPr>
        <w:t>mixtures</w:t>
      </w:r>
      <w:r w:rsidR="00B71ACD" w:rsidRPr="00012B9F">
        <w:rPr>
          <w:lang w:val="en-US"/>
        </w:rPr>
        <w:t xml:space="preserve"> </w:t>
      </w:r>
      <w:r w:rsidR="001E7A6B" w:rsidRPr="00012B9F">
        <w:rPr>
          <w:lang w:val="en-US"/>
        </w:rPr>
        <w:t xml:space="preserve">compared to </w:t>
      </w:r>
      <w:r w:rsidR="0072753B" w:rsidRPr="00012B9F">
        <w:rPr>
          <w:lang w:val="en-US"/>
        </w:rPr>
        <w:t>ethanol and ethyl acetate.</w:t>
      </w:r>
    </w:p>
    <w:p w14:paraId="3E9B31A2" w14:textId="3EBE420D" w:rsidR="00BE1C32" w:rsidRPr="00012B9F" w:rsidRDefault="00607769" w:rsidP="004D034E">
      <w:pPr>
        <w:rPr>
          <w:lang w:val="en-US"/>
        </w:rPr>
      </w:pPr>
      <w:r w:rsidRPr="00012B9F">
        <w:rPr>
          <w:lang w:val="en-US"/>
        </w:rPr>
        <w:t>E</w:t>
      </w:r>
      <w:r w:rsidR="00A455CC" w:rsidRPr="00012B9F">
        <w:rPr>
          <w:lang w:val="en-US"/>
        </w:rPr>
        <w:t>xplosion data for ethanol and</w:t>
      </w:r>
      <w:r w:rsidR="003A37B9" w:rsidRPr="00012B9F">
        <w:rPr>
          <w:lang w:val="en-US"/>
        </w:rPr>
        <w:t>, above all,</w:t>
      </w:r>
      <w:r w:rsidR="00A455CC" w:rsidRPr="00012B9F">
        <w:rPr>
          <w:lang w:val="en-US"/>
        </w:rPr>
        <w:t xml:space="preserve"> </w:t>
      </w:r>
      <w:r w:rsidR="00B120DA" w:rsidRPr="00012B9F">
        <w:rPr>
          <w:lang w:val="en-US"/>
        </w:rPr>
        <w:t xml:space="preserve">for </w:t>
      </w:r>
      <w:r w:rsidR="00A455CC" w:rsidRPr="00012B9F">
        <w:rPr>
          <w:lang w:val="en-US"/>
        </w:rPr>
        <w:t>ethyl acetate are</w:t>
      </w:r>
      <w:r w:rsidR="003A37B9" w:rsidRPr="00012B9F">
        <w:rPr>
          <w:lang w:val="en-US"/>
        </w:rPr>
        <w:t xml:space="preserve"> rather scarce</w:t>
      </w:r>
      <w:r w:rsidR="00A455CC" w:rsidRPr="00012B9F">
        <w:rPr>
          <w:lang w:val="en-US"/>
        </w:rPr>
        <w:t xml:space="preserve"> (Cammarota et al., 2012; Mitu and Brandes, 2017; Oppong et al., 2021), </w:t>
      </w:r>
      <w:r w:rsidR="001E6CCA" w:rsidRPr="00012B9F">
        <w:rPr>
          <w:lang w:val="en-US"/>
        </w:rPr>
        <w:t xml:space="preserve">whereas </w:t>
      </w:r>
      <w:r w:rsidR="00A455CC" w:rsidRPr="00012B9F">
        <w:rPr>
          <w:lang w:val="en-US"/>
        </w:rPr>
        <w:t xml:space="preserve">there is a </w:t>
      </w:r>
      <w:r w:rsidR="00805819" w:rsidRPr="00012B9F">
        <w:rPr>
          <w:lang w:val="en-US"/>
        </w:rPr>
        <w:t xml:space="preserve">complete </w:t>
      </w:r>
      <w:r w:rsidR="00A455CC" w:rsidRPr="00012B9F">
        <w:rPr>
          <w:lang w:val="en-US"/>
        </w:rPr>
        <w:t xml:space="preserve">lack of data for </w:t>
      </w:r>
      <w:r w:rsidR="00726558" w:rsidRPr="00012B9F">
        <w:rPr>
          <w:lang w:val="en-US"/>
        </w:rPr>
        <w:t>ethanol</w:t>
      </w:r>
      <w:r w:rsidR="00A455CC" w:rsidRPr="00012B9F">
        <w:rPr>
          <w:lang w:val="en-US"/>
        </w:rPr>
        <w:t>-ethyl acetate mixtures.</w:t>
      </w:r>
      <w:r w:rsidR="00490F88" w:rsidRPr="00012B9F">
        <w:rPr>
          <w:lang w:val="en-US"/>
        </w:rPr>
        <w:t xml:space="preserve"> </w:t>
      </w:r>
      <w:r w:rsidR="00BE1C32" w:rsidRPr="00012B9F">
        <w:rPr>
          <w:lang w:val="en-US"/>
        </w:rPr>
        <w:t>Non</w:t>
      </w:r>
      <w:r w:rsidR="00B71333" w:rsidRPr="00012B9F">
        <w:rPr>
          <w:lang w:val="en-US"/>
        </w:rPr>
        <w:t>-</w:t>
      </w:r>
      <w:r w:rsidR="00BE1C32" w:rsidRPr="00012B9F">
        <w:rPr>
          <w:lang w:val="en-US"/>
        </w:rPr>
        <w:t xml:space="preserve">linear effects could </w:t>
      </w:r>
      <w:r w:rsidR="00F03446" w:rsidRPr="00012B9F">
        <w:rPr>
          <w:lang w:val="en-US"/>
        </w:rPr>
        <w:t>a</w:t>
      </w:r>
      <w:r w:rsidR="00BE1C32" w:rsidRPr="00012B9F">
        <w:rPr>
          <w:lang w:val="en-US"/>
        </w:rPr>
        <w:t>ffect the explosion behavior of such mixtures. Thus, in principle, this behavior cannot be extrapolated from the individual components</w:t>
      </w:r>
      <w:r w:rsidR="00A70C39" w:rsidRPr="00012B9F">
        <w:rPr>
          <w:lang w:val="en-US"/>
        </w:rPr>
        <w:t>,</w:t>
      </w:r>
      <w:r w:rsidR="00BE1C32" w:rsidRPr="00012B9F">
        <w:rPr>
          <w:lang w:val="en-US"/>
        </w:rPr>
        <w:t xml:space="preserve"> but </w:t>
      </w:r>
      <w:r w:rsidR="009232C3" w:rsidRPr="00012B9F">
        <w:rPr>
          <w:lang w:val="en-US"/>
        </w:rPr>
        <w:t xml:space="preserve">it </w:t>
      </w:r>
      <w:r w:rsidR="0017133D" w:rsidRPr="00012B9F">
        <w:rPr>
          <w:lang w:val="en-US"/>
        </w:rPr>
        <w:t>requires</w:t>
      </w:r>
      <w:r w:rsidR="00BE1C32" w:rsidRPr="00012B9F">
        <w:rPr>
          <w:lang w:val="en-US"/>
        </w:rPr>
        <w:t xml:space="preserve"> a dedicated investigation.</w:t>
      </w:r>
    </w:p>
    <w:p w14:paraId="66EF820B" w14:textId="31F04F0B" w:rsidR="00CF0F48" w:rsidRPr="00012B9F" w:rsidRDefault="00A644C9" w:rsidP="004D034E">
      <w:pPr>
        <w:rPr>
          <w:lang w:val="en-US"/>
        </w:rPr>
      </w:pPr>
      <w:r w:rsidRPr="00012B9F">
        <w:rPr>
          <w:lang w:val="en-US"/>
        </w:rPr>
        <w:t xml:space="preserve">The present paper fits in this framework focusing on the </w:t>
      </w:r>
      <w:r w:rsidR="00CF0F48" w:rsidRPr="00012B9F">
        <w:rPr>
          <w:lang w:val="en-US"/>
        </w:rPr>
        <w:t xml:space="preserve">explosion behavior of ethanol-ethyl acetate in air. </w:t>
      </w:r>
      <w:r w:rsidR="00803E49" w:rsidRPr="00012B9F">
        <w:rPr>
          <w:lang w:val="en-US"/>
        </w:rPr>
        <w:t>C</w:t>
      </w:r>
      <w:r w:rsidR="00CF0F48" w:rsidRPr="00012B9F">
        <w:rPr>
          <w:lang w:val="en-US"/>
        </w:rPr>
        <w:t xml:space="preserve">losed-vessel explosion tests were carried out </w:t>
      </w:r>
      <w:r w:rsidR="00D83676" w:rsidRPr="00012B9F">
        <w:rPr>
          <w:lang w:val="en-US"/>
        </w:rPr>
        <w:t xml:space="preserve">for an ethanol-ethyl acetate composition of interest to the packaging industry, varying the fuel/air equivalence ratio. </w:t>
      </w:r>
      <w:r w:rsidR="00CF0F48" w:rsidRPr="00012B9F">
        <w:rPr>
          <w:lang w:val="en-US"/>
        </w:rPr>
        <w:t>Tests were also extended to ethanol</w:t>
      </w:r>
      <w:r w:rsidR="00FC74C4" w:rsidRPr="00012B9F">
        <w:rPr>
          <w:lang w:val="en-US"/>
        </w:rPr>
        <w:t>/</w:t>
      </w:r>
      <w:r w:rsidR="000D62B4" w:rsidRPr="00012B9F">
        <w:rPr>
          <w:lang w:val="en-US"/>
        </w:rPr>
        <w:t>air</w:t>
      </w:r>
      <w:r w:rsidR="00CF0F48" w:rsidRPr="00012B9F">
        <w:rPr>
          <w:lang w:val="en-US"/>
        </w:rPr>
        <w:t xml:space="preserve"> and ethyl acetate</w:t>
      </w:r>
      <w:r w:rsidR="00FC74C4" w:rsidRPr="00012B9F">
        <w:rPr>
          <w:lang w:val="en-US"/>
        </w:rPr>
        <w:t>/</w:t>
      </w:r>
      <w:r w:rsidR="00CF0F48" w:rsidRPr="00012B9F">
        <w:rPr>
          <w:lang w:val="en-US"/>
        </w:rPr>
        <w:t>air to quantify the effects of the possible interaction between the two fuels in the mixture. All tests started from 25°C and 1 bar.</w:t>
      </w:r>
    </w:p>
    <w:p w14:paraId="5741900F" w14:textId="599440A3" w:rsidR="00453E24" w:rsidRPr="00012B9F" w:rsidRDefault="00003EF4" w:rsidP="00887E3F">
      <w:pPr>
        <w:pStyle w:val="CETHeading1"/>
        <w:numPr>
          <w:ilvl w:val="1"/>
          <w:numId w:val="1"/>
        </w:numPr>
        <w:tabs>
          <w:tab w:val="num" w:pos="360"/>
        </w:tabs>
        <w:ind w:left="0"/>
      </w:pPr>
      <w:r w:rsidRPr="00012B9F">
        <w:t>Experimental</w:t>
      </w:r>
    </w:p>
    <w:p w14:paraId="658779DC" w14:textId="72D292C7" w:rsidR="00E04FF3" w:rsidRPr="00012B9F" w:rsidRDefault="00E04FF3" w:rsidP="004D034E">
      <w:pPr>
        <w:rPr>
          <w:lang w:val="en-US"/>
        </w:rPr>
      </w:pPr>
      <w:bookmarkStart w:id="0" w:name="bfig1"/>
      <w:r w:rsidRPr="00012B9F">
        <w:rPr>
          <w:lang w:val="en-US"/>
        </w:rPr>
        <w:t>Figure 1 shows a schematic representation of the experimental set-up used in this study for explosion tests, the core of which is the reactor, a closed cylindrical chamber (volume of 5</w:t>
      </w:r>
      <w:r w:rsidRPr="00012B9F">
        <w:rPr>
          <w:szCs w:val="18"/>
          <w:lang w:val="en-US"/>
        </w:rPr>
        <w:t> </w:t>
      </w:r>
      <w:r w:rsidRPr="00012B9F">
        <w:rPr>
          <w:lang w:val="en-US"/>
        </w:rPr>
        <w:t xml:space="preserve">l and length-to-diameter ratio of around 3) made of AISI 316 stainless steel, with pressure equipment directive (PED) certification for maximum allowable working pressure (MAWP) of 200 bar at 300°C. This set-up was </w:t>
      </w:r>
      <w:r w:rsidR="009D38FF" w:rsidRPr="00012B9F">
        <w:rPr>
          <w:lang w:val="en-US"/>
        </w:rPr>
        <w:t xml:space="preserve">used </w:t>
      </w:r>
      <w:r w:rsidRPr="00012B9F">
        <w:rPr>
          <w:lang w:val="en-US"/>
        </w:rPr>
        <w:t>in previous works (Cammarota et al., 2012; 2019).</w:t>
      </w:r>
    </w:p>
    <w:bookmarkEnd w:id="0"/>
    <w:p w14:paraId="419CED5E" w14:textId="0EFB089D" w:rsidR="00E04FF3" w:rsidRPr="00012B9F" w:rsidRDefault="00DB522C" w:rsidP="00CE0CD0">
      <w:pPr>
        <w:pStyle w:val="CETBodytext"/>
        <w:spacing w:before="240" w:after="240"/>
      </w:pPr>
      <w:r w:rsidRPr="00012B9F">
        <w:rPr>
          <w:noProof/>
          <w:lang w:val="it-IT" w:eastAsia="it-IT"/>
        </w:rPr>
        <w:drawing>
          <wp:inline distT="0" distB="0" distL="0" distR="0" wp14:anchorId="4F862821" wp14:editId="6AD369BA">
            <wp:extent cx="4697185" cy="3756199"/>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AP 2022.jpg"/>
                    <pic:cNvPicPr/>
                  </pic:nvPicPr>
                  <pic:blipFill>
                    <a:blip r:embed="rId10">
                      <a:extLst>
                        <a:ext uri="{28A0092B-C50C-407E-A947-70E740481C1C}">
                          <a14:useLocalDpi xmlns:a14="http://schemas.microsoft.com/office/drawing/2010/main" val="0"/>
                        </a:ext>
                      </a:extLst>
                    </a:blip>
                    <a:stretch>
                      <a:fillRect/>
                    </a:stretch>
                  </pic:blipFill>
                  <pic:spPr>
                    <a:xfrm>
                      <a:off x="0" y="0"/>
                      <a:ext cx="4698433" cy="3757197"/>
                    </a:xfrm>
                    <a:prstGeom prst="rect">
                      <a:avLst/>
                    </a:prstGeom>
                  </pic:spPr>
                </pic:pic>
              </a:graphicData>
            </a:graphic>
          </wp:inline>
        </w:drawing>
      </w:r>
    </w:p>
    <w:p w14:paraId="05F9EF2E" w14:textId="7BAC0EB5" w:rsidR="0073015D" w:rsidRPr="00012B9F" w:rsidRDefault="0073015D" w:rsidP="00C16482">
      <w:pPr>
        <w:pStyle w:val="CETCaption"/>
        <w:rPr>
          <w:rStyle w:val="CETCaptionCarattere"/>
          <w:i/>
          <w:lang w:val="en-US"/>
        </w:rPr>
      </w:pPr>
      <w:r w:rsidRPr="00012B9F">
        <w:rPr>
          <w:rStyle w:val="CETCaptionCarattere"/>
          <w:i/>
          <w:lang w:val="en-US"/>
        </w:rPr>
        <w:t>Figure 1. Schematic representation of the experimental set-up used in this study for explosion tests</w:t>
      </w:r>
      <w:r w:rsidR="00F73AEC" w:rsidRPr="00012B9F">
        <w:rPr>
          <w:rStyle w:val="CETCaptionCarattere"/>
          <w:i/>
          <w:lang w:val="en-US"/>
        </w:rPr>
        <w:t>.</w:t>
      </w:r>
    </w:p>
    <w:p w14:paraId="79AE4120" w14:textId="2E33F2D1" w:rsidR="00C04C03" w:rsidRPr="00012B9F" w:rsidRDefault="00C04C03" w:rsidP="0033012D">
      <w:pPr>
        <w:pStyle w:val="CETBodytext"/>
      </w:pPr>
      <w:r w:rsidRPr="00012B9F">
        <w:t>Spark ignition was provided at the center of the reactor by using an electric arc produced by a high-voltage power generator (25</w:t>
      </w:r>
      <w:r w:rsidRPr="00012B9F">
        <w:rPr>
          <w:szCs w:val="18"/>
        </w:rPr>
        <w:t> </w:t>
      </w:r>
      <w:r w:rsidRPr="00012B9F">
        <w:t>kV</w:t>
      </w:r>
      <w:r w:rsidR="009A10D8" w:rsidRPr="00012B9F">
        <w:t xml:space="preserve"> </w:t>
      </w:r>
      <w:r w:rsidRPr="00012B9F">
        <w:t>DC, 5</w:t>
      </w:r>
      <w:r w:rsidRPr="00012B9F">
        <w:rPr>
          <w:szCs w:val="18"/>
        </w:rPr>
        <w:t> </w:t>
      </w:r>
      <w:r w:rsidRPr="00012B9F">
        <w:t xml:space="preserve">mA </w:t>
      </w:r>
      <w:r w:rsidR="004F0025" w:rsidRPr="00012B9F">
        <w:t>—</w:t>
      </w:r>
      <w:r w:rsidRPr="00012B9F">
        <w:t xml:space="preserve"> spark generator produced by Kühner (model KSEP 320)). The circuit was controlled by solid-state relays through an electrical board. The spark gap was set to 6</w:t>
      </w:r>
      <w:r w:rsidRPr="00012B9F">
        <w:rPr>
          <w:szCs w:val="18"/>
        </w:rPr>
        <w:t> </w:t>
      </w:r>
      <w:r w:rsidRPr="00012B9F">
        <w:t>mm, while the spark discharge time was adjusted to a value of 0.2</w:t>
      </w:r>
      <w:r w:rsidRPr="00012B9F">
        <w:rPr>
          <w:szCs w:val="18"/>
        </w:rPr>
        <w:t> </w:t>
      </w:r>
      <w:r w:rsidRPr="00012B9F">
        <w:t>s–1.0</w:t>
      </w:r>
      <w:r w:rsidRPr="00012B9F">
        <w:rPr>
          <w:szCs w:val="18"/>
        </w:rPr>
        <w:t> </w:t>
      </w:r>
      <w:r w:rsidRPr="00012B9F">
        <w:t>s (</w:t>
      </w:r>
      <w:bookmarkStart w:id="1" w:name="bbib2"/>
      <w:r w:rsidRPr="00012B9F">
        <w:t>BS EN 15967:2011, 2012</w:t>
      </w:r>
      <w:bookmarkEnd w:id="1"/>
      <w:r w:rsidRPr="00012B9F">
        <w:t>).</w:t>
      </w:r>
    </w:p>
    <w:p w14:paraId="2D0564DC" w14:textId="6AD11271" w:rsidR="00C04C03" w:rsidRPr="00012B9F" w:rsidRDefault="00C04C03" w:rsidP="0033012D">
      <w:pPr>
        <w:rPr>
          <w:lang w:val="en-US"/>
        </w:rPr>
      </w:pPr>
      <w:r w:rsidRPr="00012B9F">
        <w:rPr>
          <w:lang w:val="en-US"/>
        </w:rPr>
        <w:t xml:space="preserve">For pressure measurements, a high-precision KULITE piezoelectric transducer (type ETS-IA-375M-350 BARA) was installed at the top of the reactor. A high-resolution acquisition system (National Instruments USB-6251 </w:t>
      </w:r>
      <w:r w:rsidR="004F0025" w:rsidRPr="00012B9F">
        <w:rPr>
          <w:lang w:val="en-US"/>
        </w:rPr>
        <w:t>—</w:t>
      </w:r>
      <w:r w:rsidRPr="00012B9F">
        <w:rPr>
          <w:lang w:val="en-US"/>
        </w:rPr>
        <w:t xml:space="preserve"> 1.25</w:t>
      </w:r>
      <w:r w:rsidRPr="00012B9F">
        <w:rPr>
          <w:szCs w:val="18"/>
          <w:lang w:val="en-US"/>
        </w:rPr>
        <w:t> </w:t>
      </w:r>
      <w:r w:rsidRPr="00012B9F">
        <w:rPr>
          <w:lang w:val="en-US"/>
        </w:rPr>
        <w:t xml:space="preserve">MS/s) was employed. The initial temperature of the chamber was obtained by using an external PID-controlled heater. The gas temperature was </w:t>
      </w:r>
      <w:r w:rsidRPr="00BD75F0">
        <w:rPr>
          <w:lang w:val="en-US"/>
        </w:rPr>
        <w:t xml:space="preserve">checked by a </w:t>
      </w:r>
      <w:r w:rsidR="0030773C" w:rsidRPr="00BD75F0">
        <w:rPr>
          <w:lang w:val="en-US"/>
        </w:rPr>
        <w:t xml:space="preserve">type-K </w:t>
      </w:r>
      <w:r w:rsidRPr="00BD75F0">
        <w:rPr>
          <w:lang w:val="en-US"/>
        </w:rPr>
        <w:t>thermocouple</w:t>
      </w:r>
      <w:r w:rsidRPr="00012B9F">
        <w:rPr>
          <w:lang w:val="en-US"/>
        </w:rPr>
        <w:t xml:space="preserve"> positioned at the center of the chamber.</w:t>
      </w:r>
    </w:p>
    <w:p w14:paraId="42FB05B1" w14:textId="12CC6C42" w:rsidR="00C04C03" w:rsidRPr="00012B9F" w:rsidRDefault="00C04C03" w:rsidP="0033012D">
      <w:pPr>
        <w:rPr>
          <w:rStyle w:val="css-roynbj"/>
          <w:lang w:val="en-US"/>
        </w:rPr>
      </w:pPr>
      <w:r w:rsidRPr="00012B9F">
        <w:rPr>
          <w:rStyle w:val="css-roynbj"/>
          <w:lang w:val="en-US"/>
        </w:rPr>
        <w:lastRenderedPageBreak/>
        <w:t xml:space="preserve">Explosion tests on ethanol, ethyl acetate and ethanol-ethyl acetate </w:t>
      </w:r>
      <w:r w:rsidR="004F0025" w:rsidRPr="00012B9F">
        <w:rPr>
          <w:lang w:val="en-US"/>
        </w:rPr>
        <w:t>—</w:t>
      </w:r>
      <w:r w:rsidRPr="00012B9F">
        <w:rPr>
          <w:rStyle w:val="css-roynbj"/>
          <w:lang w:val="en-US"/>
        </w:rPr>
        <w:t xml:space="preserve"> </w:t>
      </w:r>
      <w:r w:rsidR="004315E7" w:rsidRPr="00012B9F">
        <w:rPr>
          <w:rStyle w:val="css-roynbj"/>
          <w:lang w:val="en-US"/>
        </w:rPr>
        <w:t xml:space="preserve">the latter </w:t>
      </w:r>
      <w:r w:rsidRPr="00012B9F">
        <w:rPr>
          <w:rStyle w:val="css-roynbj"/>
          <w:lang w:val="en-US"/>
        </w:rPr>
        <w:t xml:space="preserve">with mole fraction of ethanol </w:t>
      </w:r>
      <w:r w:rsidR="00863DED" w:rsidRPr="00012B9F">
        <w:rPr>
          <w:rStyle w:val="css-roynbj"/>
          <w:lang w:val="en-US"/>
        </w:rPr>
        <w:t xml:space="preserve">in the mixture </w:t>
      </w:r>
      <w:r w:rsidRPr="00012B9F">
        <w:rPr>
          <w:rStyle w:val="css-roynbj"/>
          <w:lang w:val="en-US"/>
        </w:rPr>
        <w:t xml:space="preserve">equal to 0.62 </w:t>
      </w:r>
      <w:r w:rsidR="004F0025" w:rsidRPr="00012B9F">
        <w:rPr>
          <w:lang w:val="en-US"/>
        </w:rPr>
        <w:t>—</w:t>
      </w:r>
      <w:r w:rsidRPr="00012B9F">
        <w:rPr>
          <w:rStyle w:val="css-roynbj"/>
          <w:lang w:val="en-US"/>
        </w:rPr>
        <w:t xml:space="preserve"> were performed varying the fuel/air equivalence ratio from 1.0 to 1.7. Ethanol (purity: </w:t>
      </w:r>
      <w:r w:rsidRPr="00012B9F">
        <w:rPr>
          <w:lang w:val="en-US"/>
        </w:rPr>
        <w:t xml:space="preserve">99.8%) </w:t>
      </w:r>
      <w:r w:rsidRPr="00012B9F">
        <w:rPr>
          <w:rStyle w:val="css-roynbj"/>
          <w:lang w:val="en-US"/>
        </w:rPr>
        <w:t xml:space="preserve">and ethyl acetate (purity: </w:t>
      </w:r>
      <w:r w:rsidRPr="00012B9F">
        <w:rPr>
          <w:lang w:val="en-US"/>
        </w:rPr>
        <w:t>99.8%</w:t>
      </w:r>
      <w:r w:rsidRPr="00012B9F">
        <w:rPr>
          <w:rStyle w:val="css-roynbj"/>
          <w:lang w:val="en-US"/>
        </w:rPr>
        <w:t>) were purchased from Sigma Aldrich. In all tests, the initial temperature and pressure of the chamber were set to 25°C and 1 bar, respectively. For each condition, tests were run in triplicates.</w:t>
      </w:r>
    </w:p>
    <w:p w14:paraId="331632DD" w14:textId="06B2D535" w:rsidR="00C04C03" w:rsidRPr="00012B9F" w:rsidRDefault="00C04C03" w:rsidP="0033012D">
      <w:pPr>
        <w:rPr>
          <w:lang w:val="en-US"/>
        </w:rPr>
      </w:pPr>
      <w:r w:rsidRPr="00012B9F">
        <w:rPr>
          <w:lang w:val="en-US"/>
        </w:rPr>
        <w:t xml:space="preserve">The </w:t>
      </w:r>
      <w:r w:rsidR="008B5C47" w:rsidRPr="00012B9F">
        <w:rPr>
          <w:lang w:val="en-US"/>
        </w:rPr>
        <w:t>ethanol/air, ethyl acetate/air</w:t>
      </w:r>
      <w:r w:rsidR="000603A8">
        <w:rPr>
          <w:lang w:val="en-US"/>
        </w:rPr>
        <w:t xml:space="preserve"> </w:t>
      </w:r>
      <w:r w:rsidR="008B5C47" w:rsidRPr="00012B9F">
        <w:rPr>
          <w:lang w:val="en-US"/>
        </w:rPr>
        <w:t xml:space="preserve">and ethanol-ethyl acetate/air </w:t>
      </w:r>
      <w:r w:rsidRPr="00012B9F">
        <w:rPr>
          <w:lang w:val="en-US"/>
        </w:rPr>
        <w:t xml:space="preserve">mixtures were obtained by using the partial pressure methodology. The reactor was first heated to 25°C and, after </w:t>
      </w:r>
      <w:r w:rsidR="00B57180" w:rsidRPr="00012B9F">
        <w:rPr>
          <w:lang w:val="en-US"/>
        </w:rPr>
        <w:t xml:space="preserve">a vacuum of </w:t>
      </w:r>
      <w:r w:rsidRPr="00012B9F">
        <w:rPr>
          <w:lang w:val="en-US"/>
        </w:rPr>
        <w:t>about 20</w:t>
      </w:r>
      <w:r w:rsidRPr="00012B9F">
        <w:rPr>
          <w:szCs w:val="18"/>
          <w:lang w:val="en-US"/>
        </w:rPr>
        <w:t> </w:t>
      </w:r>
      <w:r w:rsidRPr="00012B9F">
        <w:rPr>
          <w:lang w:val="en-US"/>
        </w:rPr>
        <w:t>mmHg was achieved, a liquid sample was fed through a sample drum connected to the vessel. Finally, air was added until the initial pressure of 1</w:t>
      </w:r>
      <w:r w:rsidRPr="00012B9F">
        <w:rPr>
          <w:szCs w:val="18"/>
          <w:lang w:val="en-US"/>
        </w:rPr>
        <w:t> </w:t>
      </w:r>
      <w:r w:rsidRPr="00012B9F">
        <w:rPr>
          <w:lang w:val="en-US"/>
        </w:rPr>
        <w:t>bar was reached. A top rotating fan, moved by a magnetic rotor, ensured good mixing between reactants. Stirring was produced just a few seconds before ignition in order to get homogeneous mixtures.</w:t>
      </w:r>
    </w:p>
    <w:p w14:paraId="75AA20C6" w14:textId="74A4DFC5" w:rsidR="00C04C03" w:rsidRPr="00012B9F" w:rsidRDefault="00C04C03" w:rsidP="0033012D">
      <w:pPr>
        <w:tabs>
          <w:tab w:val="clear" w:pos="7100"/>
        </w:tabs>
        <w:rPr>
          <w:lang w:val="en-US"/>
        </w:rPr>
      </w:pPr>
      <w:r w:rsidRPr="00012B9F">
        <w:rPr>
          <w:lang w:val="en-US"/>
        </w:rPr>
        <w:t xml:space="preserve">From </w:t>
      </w:r>
      <w:r w:rsidR="0051646B" w:rsidRPr="00012B9F">
        <w:rPr>
          <w:lang w:val="en-US"/>
        </w:rPr>
        <w:t>recorded</w:t>
      </w:r>
      <w:r w:rsidRPr="00012B9F">
        <w:rPr>
          <w:lang w:val="en-US"/>
        </w:rPr>
        <w:t xml:space="preserve"> pressure-time (P-t) histories</w:t>
      </w:r>
      <w:r w:rsidR="000601B5" w:rsidRPr="00012B9F">
        <w:rPr>
          <w:rStyle w:val="css-roynbj"/>
          <w:lang w:val="en-US"/>
        </w:rPr>
        <w:t xml:space="preserve">, </w:t>
      </w:r>
      <w:r w:rsidRPr="00012B9F">
        <w:rPr>
          <w:lang w:val="en-US"/>
        </w:rPr>
        <w:t>the plots of explosion pressure, P</w:t>
      </w:r>
      <w:r w:rsidRPr="00012B9F">
        <w:rPr>
          <w:vertAlign w:val="subscript"/>
          <w:lang w:val="en-US"/>
        </w:rPr>
        <w:t>ex</w:t>
      </w:r>
      <w:r w:rsidRPr="00012B9F">
        <w:rPr>
          <w:lang w:val="en-US"/>
        </w:rPr>
        <w:t xml:space="preserve">, and </w:t>
      </w:r>
      <w:r w:rsidR="00BF16B5" w:rsidRPr="00012B9F">
        <w:rPr>
          <w:lang w:val="en-US"/>
        </w:rPr>
        <w:t xml:space="preserve">the </w:t>
      </w:r>
      <w:r w:rsidRPr="00012B9F">
        <w:rPr>
          <w:lang w:val="en-US"/>
        </w:rPr>
        <w:t>rate of explosion pressure rise, (dP/dt)</w:t>
      </w:r>
      <w:r w:rsidRPr="00012B9F">
        <w:rPr>
          <w:vertAlign w:val="subscript"/>
          <w:lang w:val="en-US"/>
        </w:rPr>
        <w:t>ex</w:t>
      </w:r>
      <w:r w:rsidRPr="00012B9F">
        <w:rPr>
          <w:lang w:val="en-US"/>
        </w:rPr>
        <w:t>, versus fuel equivalence ratio were obtained. From these plots, maximum pressure, P</w:t>
      </w:r>
      <w:r w:rsidRPr="00012B9F">
        <w:rPr>
          <w:vertAlign w:val="subscript"/>
          <w:lang w:val="en-US"/>
        </w:rPr>
        <w:t>max</w:t>
      </w:r>
      <w:r w:rsidRPr="00012B9F">
        <w:rPr>
          <w:lang w:val="en-US"/>
        </w:rPr>
        <w:t>, and the maximum rate of pressure rise, (dP/dt)</w:t>
      </w:r>
      <w:r w:rsidRPr="00012B9F">
        <w:rPr>
          <w:vertAlign w:val="subscript"/>
          <w:lang w:val="en-US"/>
        </w:rPr>
        <w:t>max</w:t>
      </w:r>
      <w:r w:rsidRPr="00012B9F">
        <w:rPr>
          <w:lang w:val="en-US"/>
        </w:rPr>
        <w:t>, were quantified. (dP/dt)</w:t>
      </w:r>
      <w:r w:rsidRPr="00012B9F">
        <w:rPr>
          <w:vertAlign w:val="subscript"/>
          <w:lang w:val="en-US"/>
        </w:rPr>
        <w:t>max</w:t>
      </w:r>
      <w:r w:rsidRPr="00012B9F">
        <w:rPr>
          <w:lang w:val="en-US"/>
        </w:rPr>
        <w:t xml:space="preserve"> was normalized to get the deflagration index, K</w:t>
      </w:r>
      <w:r w:rsidRPr="00012B9F">
        <w:rPr>
          <w:vertAlign w:val="subscript"/>
          <w:lang w:val="en-US"/>
        </w:rPr>
        <w:t>G</w:t>
      </w:r>
      <w:r w:rsidRPr="00012B9F">
        <w:rPr>
          <w:lang w:val="en-US"/>
        </w:rPr>
        <w:t>, according to the classical cubic-root equation:</w:t>
      </w:r>
    </w:p>
    <w:p w14:paraId="288785F8" w14:textId="77777777" w:rsidR="00C04C03" w:rsidRPr="00012B9F" w:rsidRDefault="00E65C70" w:rsidP="00EB58DB">
      <w:pPr>
        <w:tabs>
          <w:tab w:val="clear" w:pos="7100"/>
          <w:tab w:val="left" w:pos="284"/>
          <w:tab w:val="left" w:pos="8505"/>
        </w:tabs>
        <w:spacing w:before="120" w:after="120"/>
        <w:rPr>
          <w:color w:val="000000"/>
          <w:lang w:val="en-US"/>
        </w:rPr>
      </w:pPr>
      <m:oMath>
        <m:sSub>
          <m:sSubPr>
            <m:ctrlPr>
              <w:rPr>
                <w:rFonts w:ascii="Cambria Math" w:hAnsi="Cambria Math"/>
                <w:i/>
                <w:color w:val="000000"/>
                <w:sz w:val="22"/>
                <w:szCs w:val="24"/>
                <w:lang w:val="en-US"/>
              </w:rPr>
            </m:ctrlPr>
          </m:sSubPr>
          <m:e>
            <m:r>
              <w:rPr>
                <w:rFonts w:ascii="Cambria Math"/>
                <w:color w:val="000000"/>
                <w:sz w:val="22"/>
                <w:szCs w:val="24"/>
                <w:lang w:val="en-US"/>
              </w:rPr>
              <m:t>K</m:t>
            </m:r>
          </m:e>
          <m:sub>
            <m:r>
              <w:rPr>
                <w:rFonts w:ascii="Cambria Math"/>
                <w:color w:val="000000"/>
                <w:sz w:val="22"/>
                <w:szCs w:val="24"/>
                <w:lang w:val="en-US"/>
              </w:rPr>
              <m:t>G</m:t>
            </m:r>
          </m:sub>
        </m:sSub>
        <m:r>
          <w:rPr>
            <w:rFonts w:ascii="Cambria Math"/>
            <w:color w:val="000000"/>
            <w:sz w:val="22"/>
            <w:szCs w:val="24"/>
            <w:lang w:val="en-US"/>
          </w:rPr>
          <m:t>=</m:t>
        </m:r>
        <m:sSub>
          <m:sSubPr>
            <m:ctrlPr>
              <w:rPr>
                <w:rFonts w:ascii="Cambria Math" w:hAnsi="Cambria Math"/>
                <w:i/>
                <w:color w:val="000000"/>
                <w:sz w:val="22"/>
                <w:szCs w:val="24"/>
                <w:lang w:val="en-US"/>
              </w:rPr>
            </m:ctrlPr>
          </m:sSubPr>
          <m:e>
            <m:d>
              <m:dPr>
                <m:ctrlPr>
                  <w:rPr>
                    <w:rFonts w:ascii="Cambria Math" w:hAnsi="Cambria Math"/>
                    <w:i/>
                    <w:color w:val="000000"/>
                    <w:sz w:val="22"/>
                    <w:szCs w:val="24"/>
                    <w:lang w:val="en-US"/>
                  </w:rPr>
                </m:ctrlPr>
              </m:dPr>
              <m:e>
                <m:f>
                  <m:fPr>
                    <m:ctrlPr>
                      <w:rPr>
                        <w:rFonts w:ascii="Cambria Math" w:hAnsi="Cambria Math"/>
                        <w:i/>
                        <w:color w:val="000000"/>
                        <w:sz w:val="22"/>
                        <w:szCs w:val="24"/>
                        <w:lang w:val="en-US"/>
                      </w:rPr>
                    </m:ctrlPr>
                  </m:fPr>
                  <m:num>
                    <m:r>
                      <w:rPr>
                        <w:rFonts w:ascii="Cambria Math"/>
                        <w:color w:val="000000"/>
                        <w:sz w:val="22"/>
                        <w:szCs w:val="24"/>
                        <w:lang w:val="en-US"/>
                      </w:rPr>
                      <m:t>dP</m:t>
                    </m:r>
                  </m:num>
                  <m:den>
                    <m:r>
                      <w:rPr>
                        <w:rFonts w:ascii="Cambria Math"/>
                        <w:color w:val="000000"/>
                        <w:sz w:val="22"/>
                        <w:szCs w:val="24"/>
                        <w:lang w:val="en-US"/>
                      </w:rPr>
                      <m:t>dt</m:t>
                    </m:r>
                  </m:den>
                </m:f>
              </m:e>
            </m:d>
          </m:e>
          <m:sub>
            <m:r>
              <w:rPr>
                <w:rFonts w:ascii="Cambria Math"/>
                <w:color w:val="000000"/>
                <w:sz w:val="22"/>
                <w:szCs w:val="24"/>
                <w:lang w:val="en-US"/>
              </w:rPr>
              <m:t>max</m:t>
            </m:r>
          </m:sub>
        </m:sSub>
        <m:r>
          <w:rPr>
            <w:rFonts w:ascii="Cambria Math" w:hAnsi="Cambria Math"/>
            <w:color w:val="000000"/>
            <w:sz w:val="22"/>
            <w:szCs w:val="24"/>
            <w:lang w:val="en-US"/>
          </w:rPr>
          <m:t>∙</m:t>
        </m:r>
        <m:rad>
          <m:radPr>
            <m:ctrlPr>
              <w:rPr>
                <w:rFonts w:ascii="Cambria Math" w:hAnsi="Cambria Math"/>
                <w:i/>
                <w:color w:val="000000"/>
                <w:sz w:val="22"/>
                <w:szCs w:val="24"/>
                <w:lang w:val="en-US"/>
              </w:rPr>
            </m:ctrlPr>
          </m:radPr>
          <m:deg>
            <m:r>
              <w:rPr>
                <w:rFonts w:ascii="Cambria Math"/>
                <w:color w:val="000000"/>
                <w:sz w:val="22"/>
                <w:szCs w:val="24"/>
                <w:lang w:val="en-US"/>
              </w:rPr>
              <m:t>3</m:t>
            </m:r>
          </m:deg>
          <m:e>
            <m:r>
              <w:rPr>
                <w:rFonts w:ascii="Cambria Math"/>
                <w:color w:val="000000"/>
                <w:sz w:val="22"/>
                <w:szCs w:val="24"/>
                <w:lang w:val="en-US"/>
              </w:rPr>
              <m:t>V</m:t>
            </m:r>
          </m:e>
        </m:rad>
      </m:oMath>
      <w:r w:rsidR="00C04C03" w:rsidRPr="00012B9F">
        <w:rPr>
          <w:color w:val="000000"/>
          <w:lang w:val="en-US"/>
        </w:rPr>
        <w:tab/>
        <w:t>(1)</w:t>
      </w:r>
    </w:p>
    <w:p w14:paraId="00A5E62F" w14:textId="3026EAB1" w:rsidR="00C04C03" w:rsidRPr="00012B9F" w:rsidRDefault="00C04C03" w:rsidP="00EB58DB">
      <w:pPr>
        <w:tabs>
          <w:tab w:val="clear" w:pos="7100"/>
        </w:tabs>
        <w:rPr>
          <w:lang w:val="en-US"/>
        </w:rPr>
      </w:pPr>
      <w:r w:rsidRPr="00012B9F">
        <w:rPr>
          <w:lang w:val="en-US"/>
        </w:rPr>
        <w:t xml:space="preserve">where </w:t>
      </w:r>
      <m:oMath>
        <m:r>
          <w:rPr>
            <w:rFonts w:ascii="Cambria Math"/>
            <w:color w:val="000000"/>
            <w:sz w:val="22"/>
            <w:szCs w:val="24"/>
            <w:lang w:val="en-US"/>
          </w:rPr>
          <m:t>V</m:t>
        </m:r>
      </m:oMath>
      <w:r w:rsidRPr="00012B9F">
        <w:rPr>
          <w:lang w:val="en-US"/>
        </w:rPr>
        <w:t xml:space="preserve"> is the volume of the </w:t>
      </w:r>
      <w:r w:rsidR="002B57B4" w:rsidRPr="00012B9F">
        <w:rPr>
          <w:lang w:val="en-US"/>
        </w:rPr>
        <w:t>explosion</w:t>
      </w:r>
      <w:r w:rsidRPr="00012B9F">
        <w:rPr>
          <w:lang w:val="en-US"/>
        </w:rPr>
        <w:t xml:space="preserve"> vessel (and </w:t>
      </w:r>
      <m:oMath>
        <m:rad>
          <m:radPr>
            <m:ctrlPr>
              <w:rPr>
                <w:rFonts w:ascii="Cambria Math" w:hAnsi="Cambria Math"/>
                <w:i/>
                <w:color w:val="000000"/>
                <w:sz w:val="22"/>
                <w:szCs w:val="24"/>
                <w:lang w:val="en-US"/>
              </w:rPr>
            </m:ctrlPr>
          </m:radPr>
          <m:deg>
            <m:r>
              <w:rPr>
                <w:rFonts w:ascii="Cambria Math"/>
                <w:color w:val="000000"/>
                <w:sz w:val="22"/>
                <w:szCs w:val="24"/>
                <w:lang w:val="en-US"/>
              </w:rPr>
              <m:t>3</m:t>
            </m:r>
          </m:deg>
          <m:e>
            <m:r>
              <w:rPr>
                <w:rFonts w:ascii="Cambria Math"/>
                <w:color w:val="000000"/>
                <w:sz w:val="22"/>
                <w:szCs w:val="24"/>
                <w:lang w:val="en-US"/>
              </w:rPr>
              <m:t>V</m:t>
            </m:r>
          </m:e>
        </m:rad>
      </m:oMath>
      <w:r w:rsidRPr="00012B9F">
        <w:rPr>
          <w:lang w:val="en-US"/>
        </w:rPr>
        <w:t xml:space="preserve"> is its characteristic length).</w:t>
      </w:r>
    </w:p>
    <w:p w14:paraId="777C5863" w14:textId="0B910055" w:rsidR="00C04C03" w:rsidRPr="00012B9F" w:rsidRDefault="00C04C03" w:rsidP="009A10D8">
      <w:pPr>
        <w:tabs>
          <w:tab w:val="clear" w:pos="7100"/>
        </w:tabs>
        <w:spacing w:line="240" w:lineRule="exact"/>
        <w:rPr>
          <w:lang w:val="en-US"/>
        </w:rPr>
      </w:pPr>
      <w:r w:rsidRPr="00012B9F">
        <w:rPr>
          <w:lang w:val="en-US"/>
        </w:rPr>
        <w:t>Due to intensive work, the experimental set-up was continuously calibrated by testing stoichiometric mixtures of methane in air. The typical (average) value of (dP/dt)</w:t>
      </w:r>
      <w:r w:rsidRPr="00012B9F">
        <w:rPr>
          <w:vertAlign w:val="subscript"/>
          <w:lang w:val="en-US"/>
        </w:rPr>
        <w:t>max</w:t>
      </w:r>
      <w:r w:rsidRPr="00012B9F">
        <w:rPr>
          <w:lang w:val="en-US"/>
        </w:rPr>
        <w:t xml:space="preserve"> </w:t>
      </w:r>
      <w:r w:rsidR="002B57B4" w:rsidRPr="00012B9F">
        <w:rPr>
          <w:lang w:val="en-US"/>
        </w:rPr>
        <w:t xml:space="preserve">estimated </w:t>
      </w:r>
      <w:r w:rsidRPr="00012B9F">
        <w:rPr>
          <w:lang w:val="en-US"/>
        </w:rPr>
        <w:t>is equal to about 140</w:t>
      </w:r>
      <w:r w:rsidRPr="00012B9F">
        <w:rPr>
          <w:szCs w:val="18"/>
          <w:lang w:val="en-US"/>
        </w:rPr>
        <w:t> </w:t>
      </w:r>
      <w:r w:rsidRPr="00012B9F">
        <w:rPr>
          <w:lang w:val="en-US"/>
        </w:rPr>
        <w:t xml:space="preserve">bar/s. When assuming </w:t>
      </w:r>
      <m:oMath>
        <m:rad>
          <m:radPr>
            <m:ctrlPr>
              <w:rPr>
                <w:rFonts w:ascii="Cambria Math" w:hAnsi="Cambria Math"/>
                <w:i/>
                <w:color w:val="000000"/>
                <w:sz w:val="22"/>
                <w:szCs w:val="24"/>
                <w:lang w:val="en-US"/>
              </w:rPr>
            </m:ctrlPr>
          </m:radPr>
          <m:deg>
            <m:r>
              <w:rPr>
                <w:rFonts w:ascii="Cambria Math"/>
                <w:color w:val="000000"/>
                <w:sz w:val="22"/>
                <w:szCs w:val="24"/>
                <w:lang w:val="en-US"/>
              </w:rPr>
              <m:t>3</m:t>
            </m:r>
          </m:deg>
          <m:e>
            <m:r>
              <w:rPr>
                <w:rFonts w:ascii="Cambria Math"/>
                <w:color w:val="000000"/>
                <w:sz w:val="22"/>
                <w:szCs w:val="24"/>
                <w:lang w:val="en-US"/>
              </w:rPr>
              <m:t>V</m:t>
            </m:r>
          </m:e>
        </m:rad>
      </m:oMath>
      <w:r w:rsidRPr="00012B9F">
        <w:rPr>
          <w:lang w:val="en-US"/>
        </w:rPr>
        <w:t xml:space="preserve"> equal to the length of the vessel (=</w:t>
      </w:r>
      <w:r w:rsidRPr="00012B9F">
        <w:rPr>
          <w:szCs w:val="18"/>
          <w:lang w:val="en-US"/>
        </w:rPr>
        <w:t> </w:t>
      </w:r>
      <w:r w:rsidRPr="00012B9F">
        <w:rPr>
          <w:lang w:val="en-US"/>
        </w:rPr>
        <w:t>0.4</w:t>
      </w:r>
      <w:r w:rsidRPr="00012B9F">
        <w:rPr>
          <w:szCs w:val="18"/>
          <w:lang w:val="en-US"/>
        </w:rPr>
        <w:t> </w:t>
      </w:r>
      <w:r w:rsidRPr="00012B9F">
        <w:rPr>
          <w:lang w:val="en-US"/>
        </w:rPr>
        <w:t>m) in Eq(1), a value of K</w:t>
      </w:r>
      <w:r w:rsidRPr="00012B9F">
        <w:rPr>
          <w:vertAlign w:val="subscript"/>
          <w:lang w:val="en-US"/>
        </w:rPr>
        <w:t>G</w:t>
      </w:r>
      <w:r w:rsidRPr="00012B9F">
        <w:rPr>
          <w:lang w:val="en-US"/>
        </w:rPr>
        <w:t xml:space="preserve"> equal to 56</w:t>
      </w:r>
      <w:r w:rsidRPr="00012B9F">
        <w:rPr>
          <w:szCs w:val="18"/>
          <w:lang w:val="en-US"/>
        </w:rPr>
        <w:t> </w:t>
      </w:r>
      <w:r w:rsidRPr="00012B9F">
        <w:rPr>
          <w:lang w:val="en-US"/>
        </w:rPr>
        <w:t>bar m/s is obtained, which is very close to the tabulated value (55</w:t>
      </w:r>
      <w:r w:rsidRPr="00012B9F">
        <w:rPr>
          <w:szCs w:val="18"/>
          <w:lang w:val="en-US"/>
        </w:rPr>
        <w:t> </w:t>
      </w:r>
      <w:r w:rsidRPr="00012B9F">
        <w:rPr>
          <w:lang w:val="en-US"/>
        </w:rPr>
        <w:t>bar m/s) (NFPA 68, 2002).</w:t>
      </w:r>
    </w:p>
    <w:p w14:paraId="677EBFF0" w14:textId="29770647" w:rsidR="00600535" w:rsidRPr="00012B9F" w:rsidRDefault="007E5624" w:rsidP="00887E3F">
      <w:pPr>
        <w:pStyle w:val="CETHeading1"/>
        <w:numPr>
          <w:ilvl w:val="1"/>
          <w:numId w:val="1"/>
        </w:numPr>
        <w:tabs>
          <w:tab w:val="num" w:pos="360"/>
        </w:tabs>
        <w:ind w:left="0"/>
      </w:pPr>
      <w:r w:rsidRPr="00012B9F">
        <w:t>Results</w:t>
      </w:r>
    </w:p>
    <w:p w14:paraId="6C1F9531" w14:textId="5BF82909" w:rsidR="00C04C03" w:rsidRPr="00012B9F" w:rsidRDefault="00F57329" w:rsidP="00C04C03">
      <w:pPr>
        <w:rPr>
          <w:lang w:val="en-US"/>
        </w:rPr>
      </w:pPr>
      <w:r w:rsidRPr="00012B9F">
        <w:rPr>
          <w:lang w:val="en-US"/>
        </w:rPr>
        <w:t xml:space="preserve">Figure </w:t>
      </w:r>
      <w:r w:rsidR="00684B88" w:rsidRPr="00012B9F">
        <w:rPr>
          <w:lang w:val="en-US"/>
        </w:rPr>
        <w:t>2</w:t>
      </w:r>
      <w:r w:rsidRPr="00012B9F">
        <w:rPr>
          <w:lang w:val="en-US"/>
        </w:rPr>
        <w:t xml:space="preserve"> shows the results of explosion tests on stoichiometric ethanol</w:t>
      </w:r>
      <w:r w:rsidR="004876CF" w:rsidRPr="00012B9F">
        <w:rPr>
          <w:lang w:val="en-US"/>
        </w:rPr>
        <w:t>/</w:t>
      </w:r>
      <w:r w:rsidRPr="00012B9F">
        <w:rPr>
          <w:lang w:val="en-US"/>
        </w:rPr>
        <w:t>, ethyl acetate</w:t>
      </w:r>
      <w:r w:rsidR="004876CF" w:rsidRPr="00012B9F">
        <w:rPr>
          <w:lang w:val="en-US"/>
        </w:rPr>
        <w:t>/</w:t>
      </w:r>
      <w:r w:rsidRPr="00012B9F">
        <w:rPr>
          <w:lang w:val="en-US"/>
        </w:rPr>
        <w:t xml:space="preserve"> and ethanol-ethyl acetate</w:t>
      </w:r>
      <w:r w:rsidR="004876CF" w:rsidRPr="00012B9F">
        <w:rPr>
          <w:lang w:val="en-US"/>
        </w:rPr>
        <w:t>/</w:t>
      </w:r>
      <w:r w:rsidRPr="00012B9F">
        <w:rPr>
          <w:lang w:val="en-US"/>
        </w:rPr>
        <w:t>air.</w:t>
      </w:r>
      <w:r w:rsidR="00C04C03" w:rsidRPr="00012B9F">
        <w:rPr>
          <w:lang w:val="en-US"/>
        </w:rPr>
        <w:t xml:space="preserve"> Specifically, Figure 2a shows the plots of pressure, P, versus time, t, whereas Figure 2b shows the plots of dP/dt</w:t>
      </w:r>
      <w:r w:rsidR="00503CC9" w:rsidRPr="00012B9F">
        <w:rPr>
          <w:lang w:val="en-US"/>
        </w:rPr>
        <w:t xml:space="preserve"> </w:t>
      </w:r>
      <w:r w:rsidR="00C04C03" w:rsidRPr="00012B9F">
        <w:rPr>
          <w:lang w:val="en-US"/>
        </w:rPr>
        <w:t>versus t.</w:t>
      </w:r>
    </w:p>
    <w:p w14:paraId="484F6C16" w14:textId="77777777" w:rsidR="009A10D8" w:rsidRPr="00012B9F" w:rsidRDefault="009A10D8" w:rsidP="009A10D8">
      <w:pPr>
        <w:pStyle w:val="CETCaption"/>
        <w:rPr>
          <w:rStyle w:val="CETCaptionCarattere"/>
          <w:i/>
          <w:lang w:val="en-US"/>
        </w:rPr>
      </w:pPr>
      <w:r w:rsidRPr="00012B9F">
        <w:rPr>
          <w:noProof/>
          <w:lang w:val="it-IT" w:eastAsia="it-IT"/>
        </w:rPr>
        <w:drawing>
          <wp:inline distT="0" distB="0" distL="0" distR="0" wp14:anchorId="559F7785" wp14:editId="1B0D1CA8">
            <wp:extent cx="2970503" cy="3672000"/>
            <wp:effectExtent l="0" t="0" r="190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88"/>
                    <a:stretch/>
                  </pic:blipFill>
                  <pic:spPr bwMode="auto">
                    <a:xfrm>
                      <a:off x="0" y="0"/>
                      <a:ext cx="2970503" cy="3672000"/>
                    </a:xfrm>
                    <a:prstGeom prst="rect">
                      <a:avLst/>
                    </a:prstGeom>
                    <a:noFill/>
                    <a:ln>
                      <a:noFill/>
                    </a:ln>
                    <a:extLst>
                      <a:ext uri="{53640926-AAD7-44D8-BBD7-CCE9431645EC}">
                        <a14:shadowObscured xmlns:a14="http://schemas.microsoft.com/office/drawing/2010/main"/>
                      </a:ext>
                    </a:extLst>
                  </pic:spPr>
                </pic:pic>
              </a:graphicData>
            </a:graphic>
          </wp:inline>
        </w:drawing>
      </w:r>
    </w:p>
    <w:p w14:paraId="29F275D7" w14:textId="18D9EED5" w:rsidR="009A10D8" w:rsidRPr="00012B9F" w:rsidRDefault="009A10D8" w:rsidP="009A10D8">
      <w:pPr>
        <w:pStyle w:val="CETCaption"/>
        <w:rPr>
          <w:rStyle w:val="CETCaptionCarattere"/>
          <w:i/>
          <w:lang w:val="en-US"/>
        </w:rPr>
      </w:pPr>
      <w:r w:rsidRPr="00012B9F">
        <w:rPr>
          <w:rStyle w:val="CETCaptionCarattere"/>
          <w:i/>
          <w:lang w:val="en-US"/>
        </w:rPr>
        <w:t>Figure 2. Explosion tests on stoichiometric ethanol/, ethyl acetate/ and ethanol-ethyl acetate/air: a) pressure, P, versus time, t; b) dP/dt versus t</w:t>
      </w:r>
      <w:r w:rsidR="00F73AEC" w:rsidRPr="00012B9F">
        <w:rPr>
          <w:rStyle w:val="CETCaptionCarattere"/>
          <w:i/>
          <w:lang w:val="en-US"/>
        </w:rPr>
        <w:t>.</w:t>
      </w:r>
    </w:p>
    <w:p w14:paraId="0FCE85FE" w14:textId="5B100FA5" w:rsidR="009A10D8" w:rsidRPr="00012B9F" w:rsidRDefault="009A10D8" w:rsidP="009A10D8">
      <w:pPr>
        <w:tabs>
          <w:tab w:val="clear" w:pos="7100"/>
        </w:tabs>
        <w:rPr>
          <w:lang w:val="en-US"/>
        </w:rPr>
      </w:pPr>
      <w:r w:rsidRPr="00EF79E5">
        <w:rPr>
          <w:lang w:val="en-US"/>
        </w:rPr>
        <w:lastRenderedPageBreak/>
        <w:t xml:space="preserve">For all three systems, the trends of P and dP/dt with time follow the typical </w:t>
      </w:r>
      <w:r w:rsidR="00012B9F" w:rsidRPr="00EF79E5">
        <w:rPr>
          <w:lang w:val="en-US"/>
        </w:rPr>
        <w:t xml:space="preserve">explosion </w:t>
      </w:r>
      <w:r w:rsidRPr="00EF79E5">
        <w:rPr>
          <w:lang w:val="en-US"/>
        </w:rPr>
        <w:t xml:space="preserve">behavior of low-reactivity </w:t>
      </w:r>
      <w:r w:rsidR="00012B9F" w:rsidRPr="00EF79E5">
        <w:rPr>
          <w:lang w:val="en-US"/>
        </w:rPr>
        <w:t>gases i</w:t>
      </w:r>
      <w:r w:rsidRPr="00EF79E5">
        <w:rPr>
          <w:lang w:val="en-US"/>
        </w:rPr>
        <w:t>n non-adiabatic closed cylindrical vessel (Di Benedetto et al., 2009). Following central ignition, the first phase is that of quasi-spherical flame propagation. This phase lasts until the flame approaches the wall of the reactor. Its end corresponds approximately to the inflection point of the sigmoidal P-t curve and, thus, to the peak of the dP/dt-t curve. Once the wall has been reached, dP/dt strongly decreases. This is due to the fact that the direction of flame propagation becomes axial and, thus, the flame loses heat to the surroundings through the wall until it reaches the top and bottom ends of the vessel.</w:t>
      </w:r>
    </w:p>
    <w:p w14:paraId="00F70E62" w14:textId="77777777" w:rsidR="009A10D8" w:rsidRPr="00012B9F" w:rsidRDefault="009A10D8" w:rsidP="009A10D8">
      <w:pPr>
        <w:pStyle w:val="CETBodytext"/>
      </w:pPr>
      <w:r w:rsidRPr="00012B9F">
        <w:t>Figure 2 also shows that, although qualitatively similar, the behavior of the three systems is quantitatively different. This is especially evident from the time histories of dP/dt.</w:t>
      </w:r>
    </w:p>
    <w:p w14:paraId="20EF866B" w14:textId="77777777" w:rsidR="009A10D8" w:rsidRPr="00012B9F" w:rsidRDefault="009A10D8" w:rsidP="009A10D8">
      <w:pPr>
        <w:pStyle w:val="CETBodytext"/>
      </w:pPr>
      <w:r w:rsidRPr="00012B9F">
        <w:t>In Figure 3, P</w:t>
      </w:r>
      <w:r w:rsidRPr="00012B9F">
        <w:rPr>
          <w:vertAlign w:val="subscript"/>
        </w:rPr>
        <w:t>ex</w:t>
      </w:r>
      <w:r w:rsidRPr="00012B9F">
        <w:t xml:space="preserve"> (mean value and standard deviation) (Figure 3a) and (dP/dt)</w:t>
      </w:r>
      <w:r w:rsidRPr="00012B9F">
        <w:rPr>
          <w:vertAlign w:val="subscript"/>
        </w:rPr>
        <w:t>ex</w:t>
      </w:r>
      <w:r w:rsidRPr="00012B9F">
        <w:t xml:space="preserve"> (mean value and standard deviation) (Figure 3b) are plotted as a function of the fuel equivalence ratio for ethanol, ethyl acetate and their mixture.</w:t>
      </w:r>
    </w:p>
    <w:p w14:paraId="59FF9E20" w14:textId="1AE6ED05" w:rsidR="00123CD6" w:rsidRPr="00012B9F" w:rsidRDefault="00A4621F" w:rsidP="00CE0CD0">
      <w:pPr>
        <w:pStyle w:val="CETCaption"/>
        <w:rPr>
          <w:rStyle w:val="CETCaptionCarattere"/>
          <w:i/>
          <w:lang w:val="en-US"/>
        </w:rPr>
      </w:pPr>
      <w:r w:rsidRPr="00012B9F">
        <w:rPr>
          <w:noProof/>
          <w:lang w:val="it-IT" w:eastAsia="it-IT"/>
        </w:rPr>
        <w:drawing>
          <wp:inline distT="0" distB="0" distL="0" distR="0" wp14:anchorId="16C465B1" wp14:editId="66B919C0">
            <wp:extent cx="4273200" cy="5724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629"/>
                    <a:stretch/>
                  </pic:blipFill>
                  <pic:spPr bwMode="auto">
                    <a:xfrm>
                      <a:off x="0" y="0"/>
                      <a:ext cx="4273200" cy="5724000"/>
                    </a:xfrm>
                    <a:prstGeom prst="rect">
                      <a:avLst/>
                    </a:prstGeom>
                    <a:noFill/>
                    <a:ln>
                      <a:noFill/>
                    </a:ln>
                    <a:extLst>
                      <a:ext uri="{53640926-AAD7-44D8-BBD7-CCE9431645EC}">
                        <a14:shadowObscured xmlns:a14="http://schemas.microsoft.com/office/drawing/2010/main"/>
                      </a:ext>
                    </a:extLst>
                  </pic:spPr>
                </pic:pic>
              </a:graphicData>
            </a:graphic>
          </wp:inline>
        </w:drawing>
      </w:r>
    </w:p>
    <w:p w14:paraId="7E65A0C5" w14:textId="68C0C67E" w:rsidR="002D2091" w:rsidRPr="00012B9F" w:rsidRDefault="002D2091" w:rsidP="002D2091">
      <w:pPr>
        <w:pStyle w:val="CETCaption"/>
        <w:spacing w:after="120"/>
        <w:rPr>
          <w:rStyle w:val="CETCaptionCarattere"/>
          <w:i/>
          <w:lang w:val="en-US"/>
        </w:rPr>
      </w:pPr>
      <w:r w:rsidRPr="00012B9F">
        <w:rPr>
          <w:rStyle w:val="CETCaptionCarattere"/>
          <w:i/>
          <w:lang w:val="en-US"/>
        </w:rPr>
        <w:t>Figure 3: a) Explosion pressure, P</w:t>
      </w:r>
      <w:r w:rsidRPr="00012B9F">
        <w:rPr>
          <w:rStyle w:val="CETCaptionCarattere"/>
          <w:i/>
          <w:vertAlign w:val="subscript"/>
          <w:lang w:val="en-US"/>
        </w:rPr>
        <w:t>ex</w:t>
      </w:r>
      <w:r w:rsidRPr="00012B9F">
        <w:rPr>
          <w:rStyle w:val="CETCaptionCarattere"/>
          <w:i/>
          <w:lang w:val="en-US"/>
        </w:rPr>
        <w:t xml:space="preserve">, and b) rate of </w:t>
      </w:r>
      <w:r w:rsidR="00F74D92" w:rsidRPr="00012B9F">
        <w:rPr>
          <w:rStyle w:val="CETCaptionCarattere"/>
          <w:i/>
          <w:lang w:val="en-US"/>
        </w:rPr>
        <w:t xml:space="preserve">explosion </w:t>
      </w:r>
      <w:r w:rsidRPr="00012B9F">
        <w:rPr>
          <w:rStyle w:val="CETCaptionCarattere"/>
          <w:i/>
          <w:lang w:val="en-US"/>
        </w:rPr>
        <w:t>pressure rise, (dP/dt)</w:t>
      </w:r>
      <w:r w:rsidRPr="00012B9F">
        <w:rPr>
          <w:rStyle w:val="CETCaptionCarattere"/>
          <w:i/>
          <w:vertAlign w:val="subscript"/>
          <w:lang w:val="en-US"/>
        </w:rPr>
        <w:t>ex</w:t>
      </w:r>
      <w:r w:rsidRPr="00012B9F">
        <w:rPr>
          <w:rStyle w:val="CETCaptionCarattere"/>
          <w:i/>
          <w:lang w:val="en-US"/>
        </w:rPr>
        <w:t xml:space="preserve">, versus fuel equivalence ratio for </w:t>
      </w:r>
      <w:r w:rsidRPr="00012B9F">
        <w:rPr>
          <w:lang w:val="en-US"/>
        </w:rPr>
        <w:t>ethanol/, ethyl acetate/ and ethanol-ethyl acetate/air</w:t>
      </w:r>
      <w:r w:rsidRPr="00012B9F">
        <w:rPr>
          <w:rStyle w:val="CETCaptionCarattere"/>
          <w:i/>
          <w:lang w:val="en-US"/>
        </w:rPr>
        <w:t xml:space="preserve">. </w:t>
      </w:r>
      <w:r w:rsidRPr="00EF79E5">
        <w:rPr>
          <w:rStyle w:val="CETCaptionCarattere"/>
          <w:i/>
          <w:lang w:val="en-US"/>
        </w:rPr>
        <w:t xml:space="preserve">The linear trend obtained by averaging the </w:t>
      </w:r>
      <w:r w:rsidR="001844BC" w:rsidRPr="00EF79E5">
        <w:rPr>
          <w:rStyle w:val="CETCaptionCarattere"/>
          <w:i/>
          <w:lang w:val="en-US"/>
        </w:rPr>
        <w:t xml:space="preserve">(mean) </w:t>
      </w:r>
      <w:r w:rsidRPr="00EF79E5">
        <w:rPr>
          <w:rStyle w:val="CETCaptionCarattere"/>
          <w:i/>
          <w:lang w:val="en-US"/>
        </w:rPr>
        <w:t xml:space="preserve">values of the two fuels according to their molar proportions in the ethanol-ethyl acetate mixture is also shown (dashed line with empty </w:t>
      </w:r>
      <w:r w:rsidR="003B3638" w:rsidRPr="00EF79E5">
        <w:rPr>
          <w:rStyle w:val="CETCaptionCarattere"/>
          <w:i/>
          <w:lang w:val="en-US"/>
        </w:rPr>
        <w:t xml:space="preserve">square </w:t>
      </w:r>
      <w:r w:rsidRPr="00EF79E5">
        <w:rPr>
          <w:rStyle w:val="CETCaptionCarattere"/>
          <w:i/>
          <w:lang w:val="en-US"/>
        </w:rPr>
        <w:t>symbols)</w:t>
      </w:r>
      <w:r w:rsidR="00F73AEC" w:rsidRPr="00EF79E5">
        <w:rPr>
          <w:rStyle w:val="CETCaptionCarattere"/>
          <w:i/>
          <w:lang w:val="en-US"/>
        </w:rPr>
        <w:t>.</w:t>
      </w:r>
    </w:p>
    <w:p w14:paraId="5AFE4F48" w14:textId="3E91A008" w:rsidR="00F73AEC" w:rsidRPr="00012B9F" w:rsidRDefault="00F73AEC" w:rsidP="00F73AEC">
      <w:pPr>
        <w:pStyle w:val="CETBodytext"/>
      </w:pPr>
      <w:r w:rsidRPr="00012B9F">
        <w:lastRenderedPageBreak/>
        <w:t xml:space="preserve">Let us focus on Figure 3b. For the ethanol-ethyl acetate mixture, as the fuel equivalence ratio is increased, a regime transition occurs. </w:t>
      </w:r>
      <w:r w:rsidRPr="001C46A3">
        <w:t xml:space="preserve">At stoichiometric conditions, synergistic effects arise making the explosion behavior of ethanol-ethyl acetate more severe (i.e., </w:t>
      </w:r>
      <w:r w:rsidR="0085406D" w:rsidRPr="001C46A3">
        <w:t>making the rate of explosion pressure rise of ethanol-ethyl acetate higher</w:t>
      </w:r>
      <w:r w:rsidRPr="001C46A3">
        <w:t>) than both ethanol and ethyl acetate.</w:t>
      </w:r>
      <w:r w:rsidRPr="00012B9F">
        <w:t xml:space="preserve"> Conversely, at the highest value of fuel equivalence ratio explored (1.7), as a result of a completely different interaction between ethanol and ethyl acetate, the explosion behavior of their mixture is less severe than both the individual components.</w:t>
      </w:r>
    </w:p>
    <w:p w14:paraId="69345D83" w14:textId="173C7869" w:rsidR="00F73AEC" w:rsidRPr="00012B9F" w:rsidRDefault="00F73AEC" w:rsidP="00F73AEC">
      <w:pPr>
        <w:pStyle w:val="CETBodytext"/>
      </w:pPr>
      <w:r w:rsidRPr="00012B9F">
        <w:t>Figure 3b</w:t>
      </w:r>
      <w:r w:rsidRPr="00012B9F">
        <w:rPr>
          <w:szCs w:val="24"/>
        </w:rPr>
        <w:t xml:space="preserve"> </w:t>
      </w:r>
      <w:r w:rsidR="008C5C94">
        <w:rPr>
          <w:szCs w:val="24"/>
        </w:rPr>
        <w:t xml:space="preserve">also shows </w:t>
      </w:r>
      <w:r w:rsidRPr="00012B9F">
        <w:rPr>
          <w:szCs w:val="24"/>
        </w:rPr>
        <w:t xml:space="preserve">the </w:t>
      </w:r>
      <w:r w:rsidRPr="00012B9F">
        <w:t>linear trend obtained by averaging the (mean) values of the two fuels according to their molar proportions in the ethanol-ethyl acetate mixture:</w:t>
      </w:r>
    </w:p>
    <w:p w14:paraId="18F45B0F" w14:textId="77777777" w:rsidR="00F73AEC" w:rsidRPr="00012B9F" w:rsidRDefault="00E65C70" w:rsidP="00F73AEC">
      <w:pPr>
        <w:tabs>
          <w:tab w:val="clear" w:pos="7100"/>
          <w:tab w:val="left" w:pos="284"/>
          <w:tab w:val="left" w:pos="8505"/>
        </w:tabs>
        <w:spacing w:before="120" w:after="120"/>
        <w:rPr>
          <w:color w:val="000000"/>
          <w:lang w:val="en-US"/>
        </w:rPr>
      </w:pPr>
      <m:oMath>
        <m:sSub>
          <m:sSubPr>
            <m:ctrlPr>
              <w:rPr>
                <w:rFonts w:ascii="Cambria Math" w:hAnsi="Cambria Math"/>
                <w:i/>
                <w:color w:val="000000"/>
                <w:sz w:val="22"/>
                <w:szCs w:val="24"/>
                <w:lang w:val="en-US"/>
              </w:rPr>
            </m:ctrlPr>
          </m:sSubPr>
          <m:e>
            <m:d>
              <m:dPr>
                <m:ctrlPr>
                  <w:rPr>
                    <w:rFonts w:ascii="Cambria Math" w:hAnsi="Cambria Math"/>
                    <w:i/>
                    <w:color w:val="000000"/>
                    <w:sz w:val="22"/>
                    <w:szCs w:val="24"/>
                    <w:lang w:val="en-US"/>
                  </w:rPr>
                </m:ctrlPr>
              </m:dPr>
              <m:e>
                <m:f>
                  <m:fPr>
                    <m:ctrlPr>
                      <w:rPr>
                        <w:rFonts w:ascii="Cambria Math" w:hAnsi="Cambria Math"/>
                        <w:i/>
                        <w:color w:val="000000"/>
                        <w:sz w:val="22"/>
                        <w:szCs w:val="24"/>
                        <w:lang w:val="en-US"/>
                      </w:rPr>
                    </m:ctrlPr>
                  </m:fPr>
                  <m:num>
                    <m:r>
                      <w:rPr>
                        <w:rFonts w:ascii="Cambria Math"/>
                        <w:color w:val="000000"/>
                        <w:sz w:val="22"/>
                        <w:szCs w:val="24"/>
                        <w:lang w:val="en-US"/>
                      </w:rPr>
                      <m:t>dP</m:t>
                    </m:r>
                  </m:num>
                  <m:den>
                    <m:r>
                      <w:rPr>
                        <w:rFonts w:ascii="Cambria Math"/>
                        <w:color w:val="000000"/>
                        <w:sz w:val="22"/>
                        <w:szCs w:val="24"/>
                        <w:lang w:val="en-US"/>
                      </w:rPr>
                      <m:t>dt</m:t>
                    </m:r>
                  </m:den>
                </m:f>
              </m:e>
            </m:d>
          </m:e>
          <m:sub>
            <m:r>
              <w:rPr>
                <w:rFonts w:ascii="Cambria Math"/>
                <w:color w:val="000000"/>
                <w:sz w:val="22"/>
                <w:szCs w:val="24"/>
                <w:lang w:val="en-US"/>
              </w:rPr>
              <m:t>ex_Linear</m:t>
            </m:r>
          </m:sub>
        </m:sSub>
        <m:r>
          <w:rPr>
            <w:rFonts w:ascii="Cambria Math"/>
            <w:color w:val="000000"/>
            <w:sz w:val="22"/>
            <w:szCs w:val="24"/>
            <w:lang w:val="en-US"/>
          </w:rPr>
          <m:t>=</m:t>
        </m:r>
        <m:sSub>
          <m:sSubPr>
            <m:ctrlPr>
              <w:rPr>
                <w:rFonts w:ascii="Cambria Math" w:hAnsi="Cambria Math"/>
                <w:i/>
                <w:color w:val="000000"/>
                <w:sz w:val="22"/>
                <w:szCs w:val="24"/>
                <w:lang w:val="en-US"/>
              </w:rPr>
            </m:ctrlPr>
          </m:sSubPr>
          <m:e>
            <m:sSub>
              <m:sSubPr>
                <m:ctrlPr>
                  <w:rPr>
                    <w:rFonts w:ascii="Cambria Math" w:hAnsi="Cambria Math"/>
                    <w:i/>
                    <w:color w:val="000000"/>
                    <w:sz w:val="22"/>
                    <w:szCs w:val="24"/>
                    <w:lang w:val="en-US"/>
                  </w:rPr>
                </m:ctrlPr>
              </m:sSubPr>
              <m:e>
                <m:r>
                  <w:rPr>
                    <w:rFonts w:ascii="Cambria Math"/>
                    <w:color w:val="000000"/>
                    <w:sz w:val="22"/>
                    <w:szCs w:val="24"/>
                    <w:lang w:val="en-US"/>
                  </w:rPr>
                  <m:t>x</m:t>
                </m:r>
              </m:e>
              <m:sub>
                <m:r>
                  <w:rPr>
                    <w:rFonts w:ascii="Cambria Math"/>
                    <w:color w:val="000000"/>
                    <w:sz w:val="22"/>
                    <w:szCs w:val="24"/>
                    <w:lang w:val="en-US"/>
                  </w:rPr>
                  <m:t>Et</m:t>
                </m:r>
                <m:r>
                  <w:rPr>
                    <w:rFonts w:ascii="Cambria Math" w:hAnsi="Cambria Math"/>
                    <w:color w:val="000000"/>
                    <w:sz w:val="22"/>
                    <w:szCs w:val="24"/>
                    <w:lang w:val="en-US"/>
                  </w:rPr>
                  <m:t>h</m:t>
                </m:r>
                <m:r>
                  <w:rPr>
                    <w:rFonts w:ascii="Cambria Math"/>
                    <w:color w:val="000000"/>
                    <w:sz w:val="22"/>
                    <w:szCs w:val="24"/>
                    <w:lang w:val="en-US"/>
                  </w:rPr>
                  <m:t>anol</m:t>
                </m:r>
              </m:sub>
            </m:sSub>
            <m:r>
              <w:rPr>
                <w:rFonts w:ascii="Cambria Math" w:hAnsi="Cambria Math"/>
                <w:color w:val="000000"/>
                <w:sz w:val="22"/>
                <w:szCs w:val="24"/>
                <w:lang w:val="en-US"/>
              </w:rPr>
              <m:t>∙</m:t>
            </m:r>
            <m:d>
              <m:dPr>
                <m:ctrlPr>
                  <w:rPr>
                    <w:rFonts w:ascii="Cambria Math" w:hAnsi="Cambria Math"/>
                    <w:i/>
                    <w:color w:val="000000"/>
                    <w:sz w:val="22"/>
                    <w:szCs w:val="24"/>
                    <w:lang w:val="en-US"/>
                  </w:rPr>
                </m:ctrlPr>
              </m:dPr>
              <m:e>
                <m:f>
                  <m:fPr>
                    <m:ctrlPr>
                      <w:rPr>
                        <w:rFonts w:ascii="Cambria Math" w:hAnsi="Cambria Math"/>
                        <w:i/>
                        <w:color w:val="000000"/>
                        <w:sz w:val="22"/>
                        <w:szCs w:val="24"/>
                        <w:lang w:val="en-US"/>
                      </w:rPr>
                    </m:ctrlPr>
                  </m:fPr>
                  <m:num>
                    <m:r>
                      <w:rPr>
                        <w:rFonts w:ascii="Cambria Math"/>
                        <w:color w:val="000000"/>
                        <w:sz w:val="22"/>
                        <w:szCs w:val="24"/>
                        <w:lang w:val="en-US"/>
                      </w:rPr>
                      <m:t>dP</m:t>
                    </m:r>
                  </m:num>
                  <m:den>
                    <m:r>
                      <w:rPr>
                        <w:rFonts w:ascii="Cambria Math"/>
                        <w:color w:val="000000"/>
                        <w:sz w:val="22"/>
                        <w:szCs w:val="24"/>
                        <w:lang w:val="en-US"/>
                      </w:rPr>
                      <m:t>dt</m:t>
                    </m:r>
                  </m:den>
                </m:f>
              </m:e>
            </m:d>
          </m:e>
          <m:sub>
            <m:r>
              <w:rPr>
                <w:rFonts w:ascii="Cambria Math"/>
                <w:color w:val="000000"/>
                <w:sz w:val="22"/>
                <w:szCs w:val="24"/>
                <w:lang w:val="en-US"/>
              </w:rPr>
              <m:t>ex_Et</m:t>
            </m:r>
            <m:r>
              <w:rPr>
                <w:rFonts w:ascii="Cambria Math" w:hAnsi="Cambria Math"/>
                <w:color w:val="000000"/>
                <w:sz w:val="22"/>
                <w:szCs w:val="24"/>
                <w:lang w:val="en-US"/>
              </w:rPr>
              <m:t>h</m:t>
            </m:r>
            <m:r>
              <w:rPr>
                <w:rFonts w:ascii="Cambria Math"/>
                <w:color w:val="000000"/>
                <w:sz w:val="22"/>
                <w:szCs w:val="24"/>
                <w:lang w:val="en-US"/>
              </w:rPr>
              <m:t>anol</m:t>
            </m:r>
          </m:sub>
        </m:sSub>
        <m:r>
          <w:rPr>
            <w:rFonts w:ascii="Cambria Math" w:hAnsi="Cambria Math"/>
            <w:color w:val="000000"/>
            <w:sz w:val="22"/>
            <w:szCs w:val="24"/>
            <w:lang w:val="en-US"/>
          </w:rPr>
          <m:t>+</m:t>
        </m:r>
        <m:sSub>
          <m:sSubPr>
            <m:ctrlPr>
              <w:rPr>
                <w:rFonts w:ascii="Cambria Math" w:hAnsi="Cambria Math"/>
                <w:i/>
                <w:color w:val="000000"/>
                <w:sz w:val="22"/>
                <w:szCs w:val="24"/>
                <w:lang w:val="en-US"/>
              </w:rPr>
            </m:ctrlPr>
          </m:sSubPr>
          <m:e>
            <m:sSub>
              <m:sSubPr>
                <m:ctrlPr>
                  <w:rPr>
                    <w:rFonts w:ascii="Cambria Math" w:hAnsi="Cambria Math"/>
                    <w:i/>
                    <w:color w:val="000000"/>
                    <w:sz w:val="22"/>
                    <w:szCs w:val="24"/>
                    <w:lang w:val="en-US"/>
                  </w:rPr>
                </m:ctrlPr>
              </m:sSubPr>
              <m:e>
                <m:r>
                  <w:rPr>
                    <w:rFonts w:ascii="Cambria Math"/>
                    <w:color w:val="000000"/>
                    <w:sz w:val="22"/>
                    <w:szCs w:val="24"/>
                    <w:lang w:val="en-US"/>
                  </w:rPr>
                  <m:t>x</m:t>
                </m:r>
              </m:e>
              <m:sub>
                <m:r>
                  <w:rPr>
                    <w:rFonts w:ascii="Cambria Math"/>
                    <w:color w:val="000000"/>
                    <w:sz w:val="22"/>
                    <w:szCs w:val="24"/>
                    <w:lang w:val="en-US"/>
                  </w:rPr>
                  <m:t>Et</m:t>
                </m:r>
                <m:r>
                  <w:rPr>
                    <w:rFonts w:ascii="Cambria Math" w:hAnsi="Cambria Math"/>
                    <w:color w:val="000000"/>
                    <w:sz w:val="22"/>
                    <w:szCs w:val="24"/>
                    <w:lang w:val="en-US"/>
                  </w:rPr>
                  <m:t xml:space="preserve">hyl </m:t>
                </m:r>
                <m:r>
                  <w:rPr>
                    <w:rFonts w:ascii="Cambria Math"/>
                    <w:color w:val="000000"/>
                    <w:sz w:val="22"/>
                    <w:szCs w:val="24"/>
                    <w:lang w:val="en-US"/>
                  </w:rPr>
                  <m:t>Acetate</m:t>
                </m:r>
              </m:sub>
            </m:sSub>
            <m:r>
              <w:rPr>
                <w:rFonts w:ascii="Cambria Math" w:hAnsi="Cambria Math"/>
                <w:color w:val="000000"/>
                <w:sz w:val="22"/>
                <w:szCs w:val="24"/>
                <w:lang w:val="en-US"/>
              </w:rPr>
              <m:t>∙</m:t>
            </m:r>
            <m:d>
              <m:dPr>
                <m:ctrlPr>
                  <w:rPr>
                    <w:rFonts w:ascii="Cambria Math" w:hAnsi="Cambria Math"/>
                    <w:i/>
                    <w:color w:val="000000"/>
                    <w:sz w:val="22"/>
                    <w:szCs w:val="24"/>
                    <w:lang w:val="en-US"/>
                  </w:rPr>
                </m:ctrlPr>
              </m:dPr>
              <m:e>
                <m:f>
                  <m:fPr>
                    <m:ctrlPr>
                      <w:rPr>
                        <w:rFonts w:ascii="Cambria Math" w:hAnsi="Cambria Math"/>
                        <w:i/>
                        <w:color w:val="000000"/>
                        <w:sz w:val="22"/>
                        <w:szCs w:val="24"/>
                        <w:lang w:val="en-US"/>
                      </w:rPr>
                    </m:ctrlPr>
                  </m:fPr>
                  <m:num>
                    <m:r>
                      <w:rPr>
                        <w:rFonts w:ascii="Cambria Math"/>
                        <w:color w:val="000000"/>
                        <w:sz w:val="22"/>
                        <w:szCs w:val="24"/>
                        <w:lang w:val="en-US"/>
                      </w:rPr>
                      <m:t>dP</m:t>
                    </m:r>
                  </m:num>
                  <m:den>
                    <m:r>
                      <w:rPr>
                        <w:rFonts w:ascii="Cambria Math"/>
                        <w:color w:val="000000"/>
                        <w:sz w:val="22"/>
                        <w:szCs w:val="24"/>
                        <w:lang w:val="en-US"/>
                      </w:rPr>
                      <m:t>dt</m:t>
                    </m:r>
                  </m:den>
                </m:f>
              </m:e>
            </m:d>
          </m:e>
          <m:sub>
            <m:r>
              <w:rPr>
                <w:rFonts w:ascii="Cambria Math"/>
                <w:color w:val="000000"/>
                <w:sz w:val="22"/>
                <w:szCs w:val="24"/>
                <w:lang w:val="en-US"/>
              </w:rPr>
              <m:t>ex_Et</m:t>
            </m:r>
            <m:r>
              <w:rPr>
                <w:rFonts w:ascii="Cambria Math" w:hAnsi="Cambria Math"/>
                <w:color w:val="000000"/>
                <w:sz w:val="22"/>
                <w:szCs w:val="24"/>
                <w:lang w:val="en-US"/>
              </w:rPr>
              <m:t xml:space="preserve">hyl </m:t>
            </m:r>
            <m:r>
              <w:rPr>
                <w:rFonts w:ascii="Cambria Math"/>
                <w:color w:val="000000"/>
                <w:sz w:val="22"/>
                <w:szCs w:val="24"/>
                <w:lang w:val="en-US"/>
              </w:rPr>
              <m:t>Acetate</m:t>
            </m:r>
          </m:sub>
        </m:sSub>
      </m:oMath>
      <w:r w:rsidR="00F73AEC" w:rsidRPr="00012B9F">
        <w:rPr>
          <w:color w:val="000000"/>
          <w:lang w:val="en-US"/>
        </w:rPr>
        <w:tab/>
        <w:t>(2)</w:t>
      </w:r>
    </w:p>
    <w:p w14:paraId="71561A93" w14:textId="33EF48E2" w:rsidR="00F73AEC" w:rsidRPr="00012B9F" w:rsidRDefault="00F73AEC" w:rsidP="00F73AEC">
      <w:pPr>
        <w:pStyle w:val="CETBodytext"/>
      </w:pPr>
      <w:r w:rsidRPr="00012B9F">
        <w:t>The distance between the solid line with filled square symbols (ethanol-ethyl acetate) and the dashed line with empty square symbols (liner trend) allows the quantification of non-linear interaction effects between the two fuels in the mixture. As the fuel equivalence ratio is increased, these effects first decrease and then increase. Interestingly, the maximum rate of pressure rise, (dP/dt)</w:t>
      </w:r>
      <w:r w:rsidRPr="00012B9F">
        <w:rPr>
          <w:vertAlign w:val="subscript"/>
        </w:rPr>
        <w:t>max</w:t>
      </w:r>
      <w:r w:rsidRPr="00012B9F">
        <w:t xml:space="preserve">, falls within an intermediate regime in which non-linear interaction effects substantially disappear. As a consequence, the </w:t>
      </w:r>
      <w:r w:rsidR="0008150E">
        <w:t xml:space="preserve">value of </w:t>
      </w:r>
      <w:r w:rsidRPr="00012B9F">
        <w:t>deflagration index, K</w:t>
      </w:r>
      <w:r w:rsidRPr="00012B9F">
        <w:rPr>
          <w:vertAlign w:val="subscript"/>
        </w:rPr>
        <w:t>G</w:t>
      </w:r>
      <w:r w:rsidRPr="00012B9F">
        <w:t xml:space="preserve">, </w:t>
      </w:r>
      <w:r w:rsidR="001031A7">
        <w:t>of</w:t>
      </w:r>
      <w:r w:rsidRPr="00012B9F">
        <w:t xml:space="preserve"> the ethanol-ethyl acetate mixture can be obtained as a mole-fraction average of the values of the two fuels (Table 1).</w:t>
      </w:r>
    </w:p>
    <w:p w14:paraId="3A97E881" w14:textId="77777777" w:rsidR="006E1DD2" w:rsidRPr="00012B9F" w:rsidRDefault="006E1DD2" w:rsidP="006E1DD2">
      <w:pPr>
        <w:pStyle w:val="CETTabletitle"/>
        <w:rPr>
          <w:lang w:val="en-US"/>
        </w:rPr>
      </w:pPr>
      <w:r w:rsidRPr="00012B9F">
        <w:rPr>
          <w:lang w:val="en-US"/>
        </w:rPr>
        <w:t>Table 1: Deflagration index, K</w:t>
      </w:r>
      <w:r w:rsidRPr="00012B9F">
        <w:rPr>
          <w:vertAlign w:val="subscript"/>
          <w:lang w:val="en-US"/>
        </w:rPr>
        <w:t>G</w:t>
      </w:r>
      <w:r w:rsidRPr="00012B9F">
        <w:rPr>
          <w:lang w:val="en-US"/>
        </w:rPr>
        <w:t>, for the three systems investigated</w:t>
      </w:r>
    </w:p>
    <w:tbl>
      <w:tblPr>
        <w:tblW w:w="3791"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700"/>
        <w:gridCol w:w="2977"/>
      </w:tblGrid>
      <w:tr w:rsidR="006E1DD2" w:rsidRPr="00012B9F" w14:paraId="6A611D85" w14:textId="77777777" w:rsidTr="00317B2E">
        <w:trPr>
          <w:trHeight w:val="142"/>
        </w:trPr>
        <w:tc>
          <w:tcPr>
            <w:tcW w:w="1490" w:type="pct"/>
            <w:tcBorders>
              <w:top w:val="single" w:sz="12" w:space="0" w:color="008000"/>
              <w:bottom w:val="single" w:sz="6" w:space="0" w:color="008000"/>
            </w:tcBorders>
            <w:shd w:val="clear" w:color="auto" w:fill="FFFFFF"/>
          </w:tcPr>
          <w:p w14:paraId="70BF7101" w14:textId="77777777" w:rsidR="006E1DD2" w:rsidRPr="00012B9F" w:rsidRDefault="006E1DD2" w:rsidP="00317B2E">
            <w:pPr>
              <w:pStyle w:val="CETBodytext"/>
            </w:pPr>
            <w:r w:rsidRPr="00012B9F">
              <w:t>System</w:t>
            </w:r>
          </w:p>
        </w:tc>
        <w:tc>
          <w:tcPr>
            <w:tcW w:w="1276" w:type="pct"/>
            <w:tcBorders>
              <w:top w:val="single" w:sz="12" w:space="0" w:color="008000"/>
              <w:bottom w:val="single" w:sz="6" w:space="0" w:color="008000"/>
            </w:tcBorders>
            <w:shd w:val="clear" w:color="auto" w:fill="FFFFFF"/>
          </w:tcPr>
          <w:p w14:paraId="7B5F32E3" w14:textId="77777777" w:rsidR="006E1DD2" w:rsidRPr="00012B9F" w:rsidRDefault="006E1DD2" w:rsidP="00317B2E">
            <w:pPr>
              <w:pStyle w:val="CETBodytext"/>
            </w:pPr>
            <w:r w:rsidRPr="00012B9F">
              <w:t>K</w:t>
            </w:r>
            <w:r w:rsidRPr="00012B9F">
              <w:rPr>
                <w:vertAlign w:val="subscript"/>
              </w:rPr>
              <w:t>G</w:t>
            </w:r>
            <w:r w:rsidRPr="00012B9F">
              <w:t xml:space="preserve"> [bar m/s] (Eq(1))*</w:t>
            </w:r>
          </w:p>
        </w:tc>
        <w:tc>
          <w:tcPr>
            <w:tcW w:w="2235" w:type="pct"/>
            <w:tcBorders>
              <w:top w:val="single" w:sz="12" w:space="0" w:color="008000"/>
              <w:bottom w:val="single" w:sz="6" w:space="0" w:color="008000"/>
            </w:tcBorders>
            <w:shd w:val="clear" w:color="auto" w:fill="FFFFFF"/>
          </w:tcPr>
          <w:p w14:paraId="0E3034AA" w14:textId="77777777" w:rsidR="006E1DD2" w:rsidRPr="00012B9F" w:rsidRDefault="006E1DD2" w:rsidP="00317B2E">
            <w:pPr>
              <w:pStyle w:val="CETBodytext"/>
            </w:pPr>
            <w:r w:rsidRPr="00012B9F">
              <w:t>K</w:t>
            </w:r>
            <w:r w:rsidRPr="00012B9F">
              <w:rPr>
                <w:vertAlign w:val="subscript"/>
              </w:rPr>
              <w:t>G</w:t>
            </w:r>
            <w:r w:rsidRPr="00012B9F">
              <w:t xml:space="preserve"> [bar m/s] (mole-fraction average)**</w:t>
            </w:r>
          </w:p>
        </w:tc>
      </w:tr>
      <w:tr w:rsidR="006E1DD2" w:rsidRPr="00012B9F" w14:paraId="2C0C7D33" w14:textId="77777777" w:rsidTr="00317B2E">
        <w:tc>
          <w:tcPr>
            <w:tcW w:w="1490" w:type="pct"/>
            <w:shd w:val="clear" w:color="auto" w:fill="FFFFFF"/>
          </w:tcPr>
          <w:p w14:paraId="2AB66743" w14:textId="77777777" w:rsidR="006E1DD2" w:rsidRPr="00012B9F" w:rsidRDefault="006E1DD2" w:rsidP="00317B2E">
            <w:pPr>
              <w:pStyle w:val="CETBodytext"/>
            </w:pPr>
            <w:r w:rsidRPr="00012B9F">
              <w:t>Ethanol</w:t>
            </w:r>
          </w:p>
        </w:tc>
        <w:tc>
          <w:tcPr>
            <w:tcW w:w="1276" w:type="pct"/>
            <w:shd w:val="clear" w:color="auto" w:fill="FFFFFF"/>
          </w:tcPr>
          <w:p w14:paraId="32A4370E" w14:textId="77777777" w:rsidR="006E1DD2" w:rsidRPr="00012B9F" w:rsidRDefault="006E1DD2" w:rsidP="00317B2E">
            <w:pPr>
              <w:pStyle w:val="CETBodytext"/>
            </w:pPr>
            <w:r w:rsidRPr="00012B9F">
              <w:t>73.80 ± 2.82</w:t>
            </w:r>
          </w:p>
        </w:tc>
        <w:tc>
          <w:tcPr>
            <w:tcW w:w="2235" w:type="pct"/>
            <w:shd w:val="clear" w:color="auto" w:fill="FFFFFF"/>
          </w:tcPr>
          <w:p w14:paraId="60E0D306" w14:textId="77777777" w:rsidR="006E1DD2" w:rsidRPr="00012B9F" w:rsidRDefault="006E1DD2" w:rsidP="00317B2E">
            <w:pPr>
              <w:pStyle w:val="CETBodytext"/>
            </w:pPr>
            <w:r w:rsidRPr="00012B9F">
              <w:t>-</w:t>
            </w:r>
          </w:p>
        </w:tc>
      </w:tr>
      <w:tr w:rsidR="006E1DD2" w:rsidRPr="00012B9F" w14:paraId="190351E0" w14:textId="77777777" w:rsidTr="00317B2E">
        <w:tc>
          <w:tcPr>
            <w:tcW w:w="1490" w:type="pct"/>
            <w:shd w:val="clear" w:color="auto" w:fill="FFFFFF"/>
          </w:tcPr>
          <w:p w14:paraId="762BD634" w14:textId="77777777" w:rsidR="006E1DD2" w:rsidRPr="00012B9F" w:rsidRDefault="006E1DD2" w:rsidP="00317B2E">
            <w:pPr>
              <w:pStyle w:val="CETBodytext"/>
            </w:pPr>
            <w:r w:rsidRPr="00012B9F">
              <w:t>Ethyl Acetate</w:t>
            </w:r>
          </w:p>
        </w:tc>
        <w:tc>
          <w:tcPr>
            <w:tcW w:w="1276" w:type="pct"/>
            <w:shd w:val="clear" w:color="auto" w:fill="FFFFFF"/>
          </w:tcPr>
          <w:p w14:paraId="0AC59071" w14:textId="77777777" w:rsidR="006E1DD2" w:rsidRPr="00012B9F" w:rsidRDefault="006E1DD2" w:rsidP="00317B2E">
            <w:pPr>
              <w:pStyle w:val="CETBodytext"/>
            </w:pPr>
            <w:r w:rsidRPr="00012B9F">
              <w:t>64.99 ± 1.19</w:t>
            </w:r>
          </w:p>
        </w:tc>
        <w:tc>
          <w:tcPr>
            <w:tcW w:w="2235" w:type="pct"/>
            <w:shd w:val="clear" w:color="auto" w:fill="FFFFFF"/>
          </w:tcPr>
          <w:p w14:paraId="5842E2CA" w14:textId="77777777" w:rsidR="006E1DD2" w:rsidRPr="00012B9F" w:rsidRDefault="006E1DD2" w:rsidP="00317B2E">
            <w:pPr>
              <w:pStyle w:val="CETBodytext"/>
            </w:pPr>
            <w:r w:rsidRPr="00012B9F">
              <w:t>-</w:t>
            </w:r>
          </w:p>
        </w:tc>
      </w:tr>
      <w:tr w:rsidR="006E1DD2" w:rsidRPr="00012B9F" w14:paraId="7850BDA1" w14:textId="77777777" w:rsidTr="00317B2E">
        <w:tc>
          <w:tcPr>
            <w:tcW w:w="1490" w:type="pct"/>
            <w:shd w:val="clear" w:color="auto" w:fill="FFFFFF"/>
          </w:tcPr>
          <w:p w14:paraId="2F68C6D5" w14:textId="77777777" w:rsidR="006E1DD2" w:rsidRPr="00012B9F" w:rsidRDefault="006E1DD2" w:rsidP="00317B2E">
            <w:pPr>
              <w:pStyle w:val="CETBodytext"/>
              <w:ind w:right="-1"/>
              <w:rPr>
                <w:rFonts w:cs="Arial"/>
                <w:szCs w:val="18"/>
              </w:rPr>
            </w:pPr>
            <w:r w:rsidRPr="00012B9F">
              <w:t>Ethanol-Ethyl Acetate</w:t>
            </w:r>
          </w:p>
        </w:tc>
        <w:tc>
          <w:tcPr>
            <w:tcW w:w="1276" w:type="pct"/>
            <w:shd w:val="clear" w:color="auto" w:fill="FFFFFF"/>
          </w:tcPr>
          <w:p w14:paraId="61A0A5A7" w14:textId="77777777" w:rsidR="006E1DD2" w:rsidRPr="00012B9F" w:rsidRDefault="006E1DD2" w:rsidP="00317B2E">
            <w:pPr>
              <w:pStyle w:val="CETBodytext"/>
              <w:ind w:right="-1"/>
              <w:rPr>
                <w:rFonts w:cs="Arial"/>
                <w:szCs w:val="18"/>
              </w:rPr>
            </w:pPr>
            <w:r w:rsidRPr="00012B9F">
              <w:t>69.88 ± 2.45</w:t>
            </w:r>
          </w:p>
        </w:tc>
        <w:tc>
          <w:tcPr>
            <w:tcW w:w="2235" w:type="pct"/>
            <w:shd w:val="clear" w:color="auto" w:fill="FFFFFF"/>
          </w:tcPr>
          <w:p w14:paraId="6AFFF46C" w14:textId="77777777" w:rsidR="006E1DD2" w:rsidRPr="00012B9F" w:rsidRDefault="006E1DD2" w:rsidP="00317B2E">
            <w:pPr>
              <w:pStyle w:val="CETBodytext"/>
              <w:ind w:right="-1"/>
            </w:pPr>
            <w:r w:rsidRPr="00012B9F">
              <w:t>70.45</w:t>
            </w:r>
          </w:p>
        </w:tc>
      </w:tr>
    </w:tbl>
    <w:p w14:paraId="4C87C6FE" w14:textId="77777777" w:rsidR="006E1DD2" w:rsidRPr="00012B9F" w:rsidRDefault="006E1DD2" w:rsidP="006E1DD2">
      <w:pPr>
        <w:pStyle w:val="CETBodytext"/>
      </w:pPr>
      <w:r w:rsidRPr="00012B9F">
        <w:t xml:space="preserve">* computed assuming </w:t>
      </w:r>
      <m:oMath>
        <m:rad>
          <m:radPr>
            <m:ctrlPr>
              <w:rPr>
                <w:rFonts w:ascii="Cambria Math" w:hAnsi="Cambria Math"/>
                <w:i/>
                <w:color w:val="000000"/>
                <w:sz w:val="22"/>
                <w:szCs w:val="24"/>
              </w:rPr>
            </m:ctrlPr>
          </m:radPr>
          <m:deg>
            <m:r>
              <w:rPr>
                <w:rFonts w:ascii="Cambria Math"/>
                <w:color w:val="000000"/>
                <w:sz w:val="22"/>
                <w:szCs w:val="24"/>
              </w:rPr>
              <m:t>3</m:t>
            </m:r>
          </m:deg>
          <m:e>
            <m:r>
              <w:rPr>
                <w:rFonts w:ascii="Cambria Math"/>
                <w:color w:val="000000"/>
                <w:sz w:val="22"/>
                <w:szCs w:val="24"/>
              </w:rPr>
              <m:t>V</m:t>
            </m:r>
          </m:e>
        </m:rad>
      </m:oMath>
      <w:r w:rsidRPr="00012B9F">
        <w:t xml:space="preserve"> equal to the length of the vessel (=</w:t>
      </w:r>
      <w:r w:rsidRPr="00012B9F">
        <w:rPr>
          <w:szCs w:val="18"/>
        </w:rPr>
        <w:t> </w:t>
      </w:r>
      <w:r w:rsidRPr="00012B9F">
        <w:t>0.4</w:t>
      </w:r>
      <w:r w:rsidRPr="00012B9F">
        <w:rPr>
          <w:szCs w:val="18"/>
        </w:rPr>
        <w:t> </w:t>
      </w:r>
      <w:r w:rsidRPr="00012B9F">
        <w:t>m)</w:t>
      </w:r>
    </w:p>
    <w:p w14:paraId="0FE9E1B5" w14:textId="77777777" w:rsidR="006E1DD2" w:rsidRPr="00012B9F" w:rsidRDefault="006E1DD2" w:rsidP="006E1DD2">
      <w:pPr>
        <w:pStyle w:val="CETBodytext"/>
        <w:spacing w:after="240"/>
      </w:pPr>
      <w:r w:rsidRPr="00012B9F">
        <w:t>** computed from the mean values of ethanol and ethyl acetate</w:t>
      </w:r>
    </w:p>
    <w:p w14:paraId="0962A55A" w14:textId="37935EC2" w:rsidR="00D452BA" w:rsidRDefault="00D452BA" w:rsidP="00D452BA">
      <w:pPr>
        <w:pStyle w:val="CETBodytext"/>
      </w:pPr>
      <w:r w:rsidRPr="00012B9F">
        <w:t>It is worth highlighting that, for common alkanes, maximum pressure and the maximum rate of pressure rise occur at fuel equivalence ratios slightly higher than stoichiometric. For all investigated systems, Figure 3 show</w:t>
      </w:r>
      <w:r w:rsidR="00E81430">
        <w:t>s</w:t>
      </w:r>
      <w:r w:rsidRPr="00012B9F">
        <w:t xml:space="preserve"> that P</w:t>
      </w:r>
      <w:r w:rsidRPr="00012B9F">
        <w:rPr>
          <w:vertAlign w:val="subscript"/>
        </w:rPr>
        <w:t>max</w:t>
      </w:r>
      <w:r w:rsidRPr="00012B9F">
        <w:t xml:space="preserve"> and (dP/dt)</w:t>
      </w:r>
      <w:r w:rsidRPr="00012B9F">
        <w:rPr>
          <w:vertAlign w:val="subscript"/>
        </w:rPr>
        <w:t>max</w:t>
      </w:r>
      <w:r w:rsidRPr="00012B9F">
        <w:t xml:space="preserve"> occur at the same value of fuel equivalence ratio, 1.2, which is significantly higher than the stoichiometric ratio. In other words, the stoichiometric composition is far from being conservative for both the individual components and their mixture. This behavior has already been found for both ethanol (Mitu and Brandes, 2017) and ethyl acetate (Oppong et al., 2021).</w:t>
      </w:r>
    </w:p>
    <w:p w14:paraId="614E603B" w14:textId="0627BDE2" w:rsidR="00F73AEC" w:rsidRPr="00012B9F" w:rsidRDefault="00F73AEC" w:rsidP="00F73AEC">
      <w:pPr>
        <w:pStyle w:val="CETBodytext"/>
      </w:pPr>
      <w:r w:rsidRPr="00012B9F">
        <w:t xml:space="preserve">Finally, for all three systems, chemical equilibrium calculations were performed at </w:t>
      </w:r>
      <w:r w:rsidR="00671D26">
        <w:t>different</w:t>
      </w:r>
      <w:r w:rsidRPr="00012B9F">
        <w:t xml:space="preserve"> fuel equivalence ratios to compute the maximum adiabatic pressure, P</w:t>
      </w:r>
      <w:r w:rsidRPr="00012B9F">
        <w:rPr>
          <w:vertAlign w:val="subscript"/>
        </w:rPr>
        <w:t>ad_max</w:t>
      </w:r>
      <w:r w:rsidRPr="00012B9F">
        <w:t>, i.e., the maximum theoretical pressure produced by combustion occurring in a thermally insulated closed vessel. To this end, the Gaseq program (extended equilibrium scheme) (Morley, 2005) was used. The program was coupled to the thermodynamic data of the kinetic mechanism presented in Morsch et al. (2022). In Table 2, the calculated values of P</w:t>
      </w:r>
      <w:r w:rsidRPr="00012B9F">
        <w:rPr>
          <w:vertAlign w:val="subscript"/>
        </w:rPr>
        <w:t>ad_max</w:t>
      </w:r>
      <w:r w:rsidRPr="00012B9F">
        <w:t xml:space="preserve"> are given for ethanol, ethyl acetate and ethanol-ethyl acetate, along with the experimental values of P</w:t>
      </w:r>
      <w:r w:rsidRPr="00012B9F">
        <w:rPr>
          <w:vertAlign w:val="subscript"/>
        </w:rPr>
        <w:t>max</w:t>
      </w:r>
      <w:r w:rsidR="00203AB5" w:rsidRPr="00012B9F">
        <w:t>.</w:t>
      </w:r>
    </w:p>
    <w:p w14:paraId="0936C872" w14:textId="05EF95F0" w:rsidR="00A34B91" w:rsidRPr="00012B9F" w:rsidRDefault="00A34B91" w:rsidP="00A34B91">
      <w:pPr>
        <w:pStyle w:val="CETTabletitle"/>
        <w:rPr>
          <w:lang w:val="en-US"/>
        </w:rPr>
      </w:pPr>
      <w:r w:rsidRPr="00012B9F">
        <w:rPr>
          <w:lang w:val="en-US"/>
        </w:rPr>
        <w:t xml:space="preserve">Table 2: </w:t>
      </w:r>
      <w:r w:rsidR="00757A20" w:rsidRPr="00012B9F">
        <w:rPr>
          <w:lang w:val="en-US"/>
        </w:rPr>
        <w:t>Maximum pressure</w:t>
      </w:r>
      <w:r w:rsidRPr="00012B9F">
        <w:rPr>
          <w:lang w:val="en-US"/>
        </w:rPr>
        <w:t xml:space="preserve">, </w:t>
      </w:r>
      <w:r w:rsidR="00757A20" w:rsidRPr="00012B9F">
        <w:rPr>
          <w:lang w:val="en-US"/>
        </w:rPr>
        <w:t>P</w:t>
      </w:r>
      <w:r w:rsidR="00757A20" w:rsidRPr="00012B9F">
        <w:rPr>
          <w:vertAlign w:val="subscript"/>
          <w:lang w:val="en-US"/>
        </w:rPr>
        <w:t>max</w:t>
      </w:r>
      <w:r w:rsidRPr="00012B9F">
        <w:rPr>
          <w:lang w:val="en-US"/>
        </w:rPr>
        <w:t xml:space="preserve">, </w:t>
      </w:r>
      <w:r w:rsidR="00757A20" w:rsidRPr="00012B9F">
        <w:rPr>
          <w:lang w:val="en-US"/>
        </w:rPr>
        <w:t xml:space="preserve">and </w:t>
      </w:r>
      <w:r w:rsidR="004D0C11" w:rsidRPr="00012B9F">
        <w:rPr>
          <w:lang w:val="en-US"/>
        </w:rPr>
        <w:t xml:space="preserve">maximum </w:t>
      </w:r>
      <w:r w:rsidR="00757A20" w:rsidRPr="00012B9F">
        <w:rPr>
          <w:lang w:val="en-US"/>
        </w:rPr>
        <w:t>adiabatic pressure, P</w:t>
      </w:r>
      <w:r w:rsidR="00757A20" w:rsidRPr="00012B9F">
        <w:rPr>
          <w:vertAlign w:val="subscript"/>
          <w:lang w:val="en-US"/>
        </w:rPr>
        <w:t>ad</w:t>
      </w:r>
      <w:r w:rsidR="00474678" w:rsidRPr="00012B9F">
        <w:rPr>
          <w:vertAlign w:val="subscript"/>
          <w:lang w:val="en-US"/>
        </w:rPr>
        <w:t>_max</w:t>
      </w:r>
    </w:p>
    <w:tbl>
      <w:tblPr>
        <w:tblW w:w="2904"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700"/>
        <w:gridCol w:w="1418"/>
      </w:tblGrid>
      <w:tr w:rsidR="00A34B91" w:rsidRPr="00012B9F" w14:paraId="64481EA7" w14:textId="77777777" w:rsidTr="00CD2443">
        <w:trPr>
          <w:trHeight w:val="142"/>
        </w:trPr>
        <w:tc>
          <w:tcPr>
            <w:tcW w:w="1945" w:type="pct"/>
            <w:tcBorders>
              <w:top w:val="single" w:sz="12" w:space="0" w:color="008000"/>
              <w:bottom w:val="single" w:sz="6" w:space="0" w:color="008000"/>
            </w:tcBorders>
            <w:shd w:val="clear" w:color="auto" w:fill="FFFFFF"/>
          </w:tcPr>
          <w:p w14:paraId="15B4764A" w14:textId="77777777" w:rsidR="00A34B91" w:rsidRPr="00012B9F" w:rsidRDefault="00A34B91" w:rsidP="00A54926">
            <w:pPr>
              <w:pStyle w:val="CETBodytext"/>
            </w:pPr>
            <w:r w:rsidRPr="00012B9F">
              <w:t>System</w:t>
            </w:r>
          </w:p>
        </w:tc>
        <w:tc>
          <w:tcPr>
            <w:tcW w:w="1666" w:type="pct"/>
            <w:tcBorders>
              <w:top w:val="single" w:sz="12" w:space="0" w:color="008000"/>
              <w:bottom w:val="single" w:sz="6" w:space="0" w:color="008000"/>
            </w:tcBorders>
            <w:shd w:val="clear" w:color="auto" w:fill="FFFFFF"/>
          </w:tcPr>
          <w:p w14:paraId="472AA330" w14:textId="523AB914" w:rsidR="00A34B91" w:rsidRPr="00012B9F" w:rsidRDefault="00A34B91" w:rsidP="00A34B91">
            <w:pPr>
              <w:pStyle w:val="CETBodytext"/>
            </w:pPr>
            <w:r w:rsidRPr="00012B9F">
              <w:t>P</w:t>
            </w:r>
            <w:r w:rsidRPr="00012B9F">
              <w:rPr>
                <w:vertAlign w:val="subscript"/>
              </w:rPr>
              <w:t>max</w:t>
            </w:r>
            <w:r w:rsidRPr="00012B9F">
              <w:t xml:space="preserve"> [bar]</w:t>
            </w:r>
          </w:p>
        </w:tc>
        <w:tc>
          <w:tcPr>
            <w:tcW w:w="1389" w:type="pct"/>
            <w:tcBorders>
              <w:top w:val="single" w:sz="12" w:space="0" w:color="008000"/>
              <w:bottom w:val="single" w:sz="6" w:space="0" w:color="008000"/>
            </w:tcBorders>
            <w:shd w:val="clear" w:color="auto" w:fill="FFFFFF"/>
          </w:tcPr>
          <w:p w14:paraId="49C34C04" w14:textId="6FA9190E" w:rsidR="00A34B91" w:rsidRPr="00012B9F" w:rsidRDefault="00A34B91" w:rsidP="00474678">
            <w:pPr>
              <w:pStyle w:val="CETBodytext"/>
            </w:pPr>
            <w:r w:rsidRPr="00012B9F">
              <w:t>P</w:t>
            </w:r>
            <w:r w:rsidRPr="00012B9F">
              <w:rPr>
                <w:vertAlign w:val="subscript"/>
              </w:rPr>
              <w:t>ad</w:t>
            </w:r>
            <w:r w:rsidR="00474678" w:rsidRPr="00012B9F">
              <w:rPr>
                <w:vertAlign w:val="subscript"/>
              </w:rPr>
              <w:t>_max</w:t>
            </w:r>
            <w:r w:rsidRPr="00012B9F">
              <w:t xml:space="preserve"> [bar]*</w:t>
            </w:r>
          </w:p>
        </w:tc>
      </w:tr>
      <w:tr w:rsidR="00B10F12" w:rsidRPr="00012B9F" w14:paraId="62FC6EA5" w14:textId="77777777" w:rsidTr="00CD2443">
        <w:tc>
          <w:tcPr>
            <w:tcW w:w="1945" w:type="pct"/>
            <w:shd w:val="clear" w:color="auto" w:fill="FFFFFF"/>
          </w:tcPr>
          <w:p w14:paraId="3DCCC768" w14:textId="77777777" w:rsidR="00B10F12" w:rsidRPr="00012B9F" w:rsidRDefault="00B10F12" w:rsidP="00B10F12">
            <w:pPr>
              <w:pStyle w:val="CETBodytext"/>
            </w:pPr>
            <w:r w:rsidRPr="00012B9F">
              <w:t>Ethanol</w:t>
            </w:r>
          </w:p>
        </w:tc>
        <w:tc>
          <w:tcPr>
            <w:tcW w:w="1666" w:type="pct"/>
            <w:shd w:val="clear" w:color="auto" w:fill="FFFFFF"/>
          </w:tcPr>
          <w:p w14:paraId="740AB958" w14:textId="26139D7B" w:rsidR="00B10F12" w:rsidRPr="00012B9F" w:rsidRDefault="00B10F12" w:rsidP="00B10F12">
            <w:pPr>
              <w:pStyle w:val="CETBodytext"/>
            </w:pPr>
            <w:r w:rsidRPr="00012B9F">
              <w:t>7.52 ± 0.12</w:t>
            </w:r>
          </w:p>
        </w:tc>
        <w:tc>
          <w:tcPr>
            <w:tcW w:w="1389" w:type="pct"/>
            <w:shd w:val="clear" w:color="auto" w:fill="FFFFFF"/>
          </w:tcPr>
          <w:p w14:paraId="5A7559A1" w14:textId="4D162181" w:rsidR="00B10F12" w:rsidRPr="00012B9F" w:rsidRDefault="00B10F12" w:rsidP="00B10F12">
            <w:pPr>
              <w:pStyle w:val="CETBodytext"/>
            </w:pPr>
            <w:r w:rsidRPr="00012B9F">
              <w:t>9.78</w:t>
            </w:r>
          </w:p>
        </w:tc>
      </w:tr>
      <w:tr w:rsidR="00B10F12" w:rsidRPr="00012B9F" w14:paraId="3B5B8684" w14:textId="77777777" w:rsidTr="00CD2443">
        <w:tc>
          <w:tcPr>
            <w:tcW w:w="1945" w:type="pct"/>
            <w:shd w:val="clear" w:color="auto" w:fill="FFFFFF"/>
          </w:tcPr>
          <w:p w14:paraId="092DA522" w14:textId="77777777" w:rsidR="00B10F12" w:rsidRPr="00012B9F" w:rsidRDefault="00B10F12" w:rsidP="00B10F12">
            <w:pPr>
              <w:pStyle w:val="CETBodytext"/>
            </w:pPr>
            <w:r w:rsidRPr="00012B9F">
              <w:t>Ethyl Acetate</w:t>
            </w:r>
          </w:p>
        </w:tc>
        <w:tc>
          <w:tcPr>
            <w:tcW w:w="1666" w:type="pct"/>
            <w:shd w:val="clear" w:color="auto" w:fill="FFFFFF"/>
          </w:tcPr>
          <w:p w14:paraId="3724C020" w14:textId="5D88151F" w:rsidR="00B10F12" w:rsidRPr="00012B9F" w:rsidRDefault="00B10F12" w:rsidP="007763AF">
            <w:pPr>
              <w:pStyle w:val="CETBodytext"/>
            </w:pPr>
            <w:r w:rsidRPr="00012B9F">
              <w:t>7.</w:t>
            </w:r>
            <w:r w:rsidR="007763AF" w:rsidRPr="00012B9F">
              <w:t>56</w:t>
            </w:r>
            <w:r w:rsidRPr="00012B9F">
              <w:t> ± 0.</w:t>
            </w:r>
            <w:r w:rsidR="0080420F" w:rsidRPr="00012B9F">
              <w:t>05</w:t>
            </w:r>
          </w:p>
        </w:tc>
        <w:tc>
          <w:tcPr>
            <w:tcW w:w="1389" w:type="pct"/>
            <w:shd w:val="clear" w:color="auto" w:fill="FFFFFF"/>
          </w:tcPr>
          <w:p w14:paraId="17EB5D00" w14:textId="381CDE98" w:rsidR="00B10F12" w:rsidRPr="00012B9F" w:rsidRDefault="00B10F12" w:rsidP="00B10F12">
            <w:pPr>
              <w:tabs>
                <w:tab w:val="clear" w:pos="7100"/>
              </w:tabs>
              <w:spacing w:line="240" w:lineRule="auto"/>
              <w:rPr>
                <w:lang w:val="en-US"/>
              </w:rPr>
            </w:pPr>
            <w:r w:rsidRPr="00012B9F">
              <w:rPr>
                <w:lang w:val="en-US"/>
              </w:rPr>
              <w:t>9.89</w:t>
            </w:r>
          </w:p>
        </w:tc>
      </w:tr>
      <w:tr w:rsidR="00B10F12" w:rsidRPr="00012B9F" w14:paraId="198ABFE6" w14:textId="77777777" w:rsidTr="00CD2443">
        <w:tc>
          <w:tcPr>
            <w:tcW w:w="1945" w:type="pct"/>
            <w:shd w:val="clear" w:color="auto" w:fill="FFFFFF"/>
          </w:tcPr>
          <w:p w14:paraId="414454AA" w14:textId="77777777" w:rsidR="00B10F12" w:rsidRPr="00012B9F" w:rsidRDefault="00B10F12" w:rsidP="00B10F12">
            <w:pPr>
              <w:pStyle w:val="CETBodytext"/>
              <w:ind w:right="-1"/>
              <w:rPr>
                <w:rFonts w:cs="Arial"/>
                <w:szCs w:val="18"/>
              </w:rPr>
            </w:pPr>
            <w:r w:rsidRPr="00012B9F">
              <w:t>Ethanol-Ethyl Acetate</w:t>
            </w:r>
          </w:p>
        </w:tc>
        <w:tc>
          <w:tcPr>
            <w:tcW w:w="1666" w:type="pct"/>
            <w:shd w:val="clear" w:color="auto" w:fill="FFFFFF"/>
          </w:tcPr>
          <w:p w14:paraId="7570C802" w14:textId="24F58A51" w:rsidR="00B10F12" w:rsidRPr="00012B9F" w:rsidRDefault="00B10F12" w:rsidP="00B10F12">
            <w:pPr>
              <w:pStyle w:val="CETBodytext"/>
            </w:pPr>
            <w:r w:rsidRPr="00012B9F">
              <w:t>7.55 ± 0.07</w:t>
            </w:r>
          </w:p>
        </w:tc>
        <w:tc>
          <w:tcPr>
            <w:tcW w:w="1389" w:type="pct"/>
            <w:shd w:val="clear" w:color="auto" w:fill="FFFFFF"/>
          </w:tcPr>
          <w:p w14:paraId="02B5F528" w14:textId="665E7E35" w:rsidR="00B10F12" w:rsidRPr="00012B9F" w:rsidRDefault="00B10F12" w:rsidP="00B10F12">
            <w:pPr>
              <w:pStyle w:val="CETBodytext"/>
            </w:pPr>
            <w:r w:rsidRPr="00012B9F">
              <w:t>9.84</w:t>
            </w:r>
          </w:p>
        </w:tc>
      </w:tr>
    </w:tbl>
    <w:p w14:paraId="79B0CFA3" w14:textId="603FD722" w:rsidR="00A34B91" w:rsidRPr="00012B9F" w:rsidRDefault="00A34B91" w:rsidP="00537464">
      <w:pPr>
        <w:pStyle w:val="CETBodytext"/>
        <w:spacing w:after="240"/>
      </w:pPr>
      <w:r w:rsidRPr="00012B9F">
        <w:t xml:space="preserve">* </w:t>
      </w:r>
      <w:r w:rsidR="008D7F80" w:rsidRPr="00012B9F">
        <w:t>Gaseq</w:t>
      </w:r>
      <w:r w:rsidRPr="00012B9F">
        <w:t xml:space="preserve"> </w:t>
      </w:r>
      <w:r w:rsidR="00384EB0" w:rsidRPr="00012B9F">
        <w:t>calculations</w:t>
      </w:r>
    </w:p>
    <w:p w14:paraId="167414BA" w14:textId="07D9BBD3" w:rsidR="00FA7019" w:rsidRPr="00012B9F" w:rsidRDefault="000F0028" w:rsidP="00833EAB">
      <w:pPr>
        <w:pStyle w:val="CETBodytext"/>
      </w:pPr>
      <w:r w:rsidRPr="00012B9F">
        <w:t>Both P</w:t>
      </w:r>
      <w:r w:rsidRPr="00012B9F">
        <w:rPr>
          <w:vertAlign w:val="subscript"/>
        </w:rPr>
        <w:t>max</w:t>
      </w:r>
      <w:r w:rsidRPr="00012B9F">
        <w:t xml:space="preserve"> and P</w:t>
      </w:r>
      <w:r w:rsidRPr="00012B9F">
        <w:rPr>
          <w:vertAlign w:val="subscript"/>
        </w:rPr>
        <w:t>ad_max</w:t>
      </w:r>
      <w:r w:rsidRPr="00012B9F">
        <w:t xml:space="preserve"> slightly vary over </w:t>
      </w:r>
      <w:r w:rsidR="00CA45CE" w:rsidRPr="00012B9F">
        <w:t>the three systems investigated</w:t>
      </w:r>
      <w:r w:rsidRPr="00012B9F">
        <w:t xml:space="preserve">. </w:t>
      </w:r>
      <w:r w:rsidR="00B62AFD" w:rsidRPr="00012B9F">
        <w:t xml:space="preserve">The experimental values </w:t>
      </w:r>
      <w:r w:rsidRPr="00012B9F">
        <w:t>(of P</w:t>
      </w:r>
      <w:r w:rsidRPr="00012B9F">
        <w:rPr>
          <w:vertAlign w:val="subscript"/>
        </w:rPr>
        <w:t>max</w:t>
      </w:r>
      <w:r w:rsidRPr="00012B9F">
        <w:t xml:space="preserve">) </w:t>
      </w:r>
      <w:r w:rsidR="00B62AFD" w:rsidRPr="00012B9F">
        <w:t>are always lower than the computed values</w:t>
      </w:r>
      <w:r w:rsidRPr="00012B9F">
        <w:t xml:space="preserve"> (of P</w:t>
      </w:r>
      <w:r w:rsidRPr="00012B9F">
        <w:rPr>
          <w:vertAlign w:val="subscript"/>
        </w:rPr>
        <w:t>ad_max</w:t>
      </w:r>
      <w:r w:rsidRPr="00012B9F">
        <w:t>)</w:t>
      </w:r>
      <w:r w:rsidR="00B62AFD" w:rsidRPr="00012B9F">
        <w:t>. This is surely due to the effect of heat losses towards the external environment. However, a</w:t>
      </w:r>
      <w:r w:rsidR="00E9282F" w:rsidRPr="00012B9F">
        <w:t>s P</w:t>
      </w:r>
      <w:r w:rsidR="00E9282F" w:rsidRPr="00012B9F">
        <w:rPr>
          <w:vertAlign w:val="subscript"/>
        </w:rPr>
        <w:t>max</w:t>
      </w:r>
      <w:r w:rsidR="00E9282F" w:rsidRPr="00012B9F">
        <w:t xml:space="preserve">, </w:t>
      </w:r>
      <w:r w:rsidR="002B4EFD" w:rsidRPr="00012B9F">
        <w:t>P</w:t>
      </w:r>
      <w:r w:rsidR="002B4EFD" w:rsidRPr="00012B9F">
        <w:rPr>
          <w:vertAlign w:val="subscript"/>
        </w:rPr>
        <w:t>ad_max</w:t>
      </w:r>
      <w:r w:rsidR="00537464" w:rsidRPr="00012B9F">
        <w:t xml:space="preserve"> was </w:t>
      </w:r>
      <w:r w:rsidR="00BB1853" w:rsidRPr="00012B9F">
        <w:t xml:space="preserve">found at the same </w:t>
      </w:r>
      <w:r w:rsidR="005A41D6" w:rsidRPr="00012B9F">
        <w:t>value of fuel equivalence ratio</w:t>
      </w:r>
      <w:r w:rsidR="00855871" w:rsidRPr="00012B9F">
        <w:t xml:space="preserve">, 1.2, </w:t>
      </w:r>
      <w:r w:rsidR="00BB1853" w:rsidRPr="00012B9F">
        <w:t>for all three systems</w:t>
      </w:r>
      <w:r w:rsidR="0089091C" w:rsidRPr="00012B9F">
        <w:t>.</w:t>
      </w:r>
    </w:p>
    <w:p w14:paraId="68D26B83" w14:textId="35B54C4D" w:rsidR="00600535" w:rsidRPr="00012B9F" w:rsidRDefault="00600535" w:rsidP="00B94C19">
      <w:pPr>
        <w:pStyle w:val="CETHeading1"/>
        <w:numPr>
          <w:ilvl w:val="1"/>
          <w:numId w:val="1"/>
        </w:numPr>
        <w:tabs>
          <w:tab w:val="num" w:pos="360"/>
        </w:tabs>
        <w:ind w:left="0"/>
      </w:pPr>
      <w:r w:rsidRPr="00012B9F">
        <w:t>Conclusions</w:t>
      </w:r>
    </w:p>
    <w:p w14:paraId="2217E0C1" w14:textId="500C3DF2" w:rsidR="00AB63DC" w:rsidRPr="00012B9F" w:rsidRDefault="00E54D31" w:rsidP="00C75B15">
      <w:pPr>
        <w:rPr>
          <w:lang w:val="en-US"/>
        </w:rPr>
      </w:pPr>
      <w:r w:rsidRPr="00012B9F">
        <w:rPr>
          <w:lang w:val="en-US"/>
        </w:rPr>
        <w:t xml:space="preserve">Alcohol-ester mixtures and, specifically, ethanol-ethyl acetate mixtures are widely used as solvents in the packaging industry. </w:t>
      </w:r>
      <w:r w:rsidR="00C4623C" w:rsidRPr="00012B9F">
        <w:rPr>
          <w:lang w:val="en-US"/>
        </w:rPr>
        <w:t>The e</w:t>
      </w:r>
      <w:r w:rsidR="00D029BB" w:rsidRPr="00012B9F">
        <w:rPr>
          <w:lang w:val="en-US"/>
        </w:rPr>
        <w:t xml:space="preserve">thanol-ethyl acetate </w:t>
      </w:r>
      <w:r w:rsidR="00C4623C" w:rsidRPr="00012B9F">
        <w:rPr>
          <w:lang w:val="en-US"/>
        </w:rPr>
        <w:t xml:space="preserve">system </w:t>
      </w:r>
      <w:r w:rsidR="00D029BB" w:rsidRPr="00012B9F">
        <w:rPr>
          <w:lang w:val="en-US"/>
        </w:rPr>
        <w:t>exhibits the</w:t>
      </w:r>
      <w:r w:rsidR="00D029BB" w:rsidRPr="00012B9F">
        <w:rPr>
          <w:rStyle w:val="hgkelc"/>
          <w:lang w:val="en-US"/>
        </w:rPr>
        <w:t xml:space="preserve"> so-called “minimum flash point behavior”:</w:t>
      </w:r>
      <w:r w:rsidR="00AB63DC" w:rsidRPr="00012B9F">
        <w:rPr>
          <w:rStyle w:val="hgkelc"/>
          <w:lang w:val="en-US"/>
        </w:rPr>
        <w:t xml:space="preserve"> the flash point of the mixture is below the flash points of the individual components. This behavior</w:t>
      </w:r>
      <w:r w:rsidR="004A48ED" w:rsidRPr="00012B9F">
        <w:rPr>
          <w:rStyle w:val="hgkelc"/>
          <w:lang w:val="en-US"/>
        </w:rPr>
        <w:t xml:space="preserve"> </w:t>
      </w:r>
      <w:r w:rsidR="00AB63DC" w:rsidRPr="00012B9F">
        <w:rPr>
          <w:rStyle w:val="hgkelc"/>
          <w:lang w:val="en-US"/>
        </w:rPr>
        <w:t xml:space="preserve">increases the </w:t>
      </w:r>
      <w:r w:rsidR="00AB63DC" w:rsidRPr="00012B9F">
        <w:rPr>
          <w:rStyle w:val="hgkelc"/>
          <w:lang w:val="en-US"/>
        </w:rPr>
        <w:lastRenderedPageBreak/>
        <w:t xml:space="preserve">explosion risk for </w:t>
      </w:r>
      <w:r w:rsidR="00AB63DC" w:rsidRPr="00012B9F">
        <w:rPr>
          <w:lang w:val="en-US"/>
        </w:rPr>
        <w:t xml:space="preserve">ethanol-ethyl acetate </w:t>
      </w:r>
      <w:r w:rsidR="00AB63DC" w:rsidRPr="00012B9F">
        <w:rPr>
          <w:rStyle w:val="hgkelc"/>
          <w:lang w:val="en-US"/>
        </w:rPr>
        <w:t>mixtures</w:t>
      </w:r>
      <w:r w:rsidR="00AB63DC" w:rsidRPr="00012B9F">
        <w:rPr>
          <w:lang w:val="en-US"/>
        </w:rPr>
        <w:t xml:space="preserve"> compared to ethanol and ethyl acetate.</w:t>
      </w:r>
      <w:r w:rsidR="00C75B15" w:rsidRPr="00012B9F">
        <w:rPr>
          <w:lang w:val="en-US"/>
        </w:rPr>
        <w:t xml:space="preserve"> However, in the literature, </w:t>
      </w:r>
      <w:r w:rsidR="006E20A9" w:rsidRPr="00012B9F">
        <w:rPr>
          <w:lang w:val="en-US"/>
        </w:rPr>
        <w:t>while explosion data for ethanol and</w:t>
      </w:r>
      <w:r w:rsidR="009E0906" w:rsidRPr="00012B9F">
        <w:rPr>
          <w:lang w:val="en-US"/>
        </w:rPr>
        <w:t>, above all, for</w:t>
      </w:r>
      <w:r w:rsidR="006E20A9" w:rsidRPr="00012B9F">
        <w:rPr>
          <w:lang w:val="en-US"/>
        </w:rPr>
        <w:t xml:space="preserve"> ethyl acetate are rather scarce, </w:t>
      </w:r>
      <w:r w:rsidR="00C75B15" w:rsidRPr="00012B9F">
        <w:rPr>
          <w:lang w:val="en-US"/>
        </w:rPr>
        <w:t xml:space="preserve">there is a complete lack of data for </w:t>
      </w:r>
      <w:r w:rsidR="006E20A9" w:rsidRPr="00012B9F">
        <w:rPr>
          <w:lang w:val="en-US"/>
        </w:rPr>
        <w:t xml:space="preserve">their </w:t>
      </w:r>
      <w:r w:rsidR="00C75B15" w:rsidRPr="00012B9F">
        <w:rPr>
          <w:lang w:val="en-US"/>
        </w:rPr>
        <w:t>mixtures.</w:t>
      </w:r>
    </w:p>
    <w:p w14:paraId="7B7E7B94" w14:textId="19611671" w:rsidR="00184948" w:rsidRPr="00012B9F" w:rsidRDefault="0079508B" w:rsidP="00833EAB">
      <w:pPr>
        <w:pStyle w:val="CETBodytext"/>
      </w:pPr>
      <w:r w:rsidRPr="00012B9F">
        <w:t>In this work, f</w:t>
      </w:r>
      <w:r w:rsidR="00485182" w:rsidRPr="00012B9F">
        <w:t>or the first time, the explosion behavior of ethanol-ethyl acetate/air has been characterized. To this end, closed-vessel explosion tests were carried out. A wide range of fuel equivalence ratios (1.0–1.7) was explored for an ethanol-ethyl acetate composition of interest to the packaging industry (mole fraction of ethanol in ethanol</w:t>
      </w:r>
      <w:r w:rsidR="00485182" w:rsidRPr="00012B9F">
        <w:rPr>
          <w:szCs w:val="18"/>
        </w:rPr>
        <w:t> </w:t>
      </w:r>
      <w:r w:rsidR="00485182" w:rsidRPr="00012B9F">
        <w:t>+</w:t>
      </w:r>
      <w:r w:rsidR="00485182" w:rsidRPr="00012B9F">
        <w:rPr>
          <w:szCs w:val="18"/>
        </w:rPr>
        <w:t> </w:t>
      </w:r>
      <w:r w:rsidR="00485182" w:rsidRPr="00012B9F">
        <w:t>ethyl acetate equal to 0.62). Tests were also extended to ethanol/air and ethyl acetate/air to quantify the effects of the possible interaction between the two fuels in the mixture. All tests started from 25°C and 1 bar.</w:t>
      </w:r>
    </w:p>
    <w:p w14:paraId="138A91C2" w14:textId="13A9FDE8" w:rsidR="00485182" w:rsidRPr="00012B9F" w:rsidRDefault="00485182" w:rsidP="00833EAB">
      <w:pPr>
        <w:pStyle w:val="CETBodytext"/>
      </w:pPr>
      <w:r w:rsidRPr="00012B9F">
        <w:t>Experimental results have shown that:</w:t>
      </w:r>
    </w:p>
    <w:p w14:paraId="7249C2B8" w14:textId="5708D2B4" w:rsidR="00485182" w:rsidRPr="00012B9F" w:rsidRDefault="002F1501" w:rsidP="00833EAB">
      <w:pPr>
        <w:pStyle w:val="CETBodytext"/>
      </w:pPr>
      <w:r w:rsidRPr="00012B9F">
        <w:sym w:font="Symbol" w:char="F02D"/>
      </w:r>
      <w:r w:rsidR="00844560" w:rsidRPr="00012B9F">
        <w:t xml:space="preserve"> For the ethanol-ethyl acetate mixture, as the fuel equivalence ratio is increased, a regime transition occurs. At stoichiometric conditions, synergistic effects arise making the explosion behavior of ethanol-ethyl acetate more </w:t>
      </w:r>
      <w:r w:rsidR="00844560" w:rsidRPr="00C51AFA">
        <w:t xml:space="preserve">severe (i.e., </w:t>
      </w:r>
      <w:r w:rsidR="00C4372F" w:rsidRPr="00C51AFA">
        <w:t xml:space="preserve">making </w:t>
      </w:r>
      <w:r w:rsidR="00844560" w:rsidRPr="00C51AFA">
        <w:t xml:space="preserve">the rate of </w:t>
      </w:r>
      <w:r w:rsidR="00557C3F" w:rsidRPr="00C51AFA">
        <w:t xml:space="preserve">explosion </w:t>
      </w:r>
      <w:r w:rsidR="00844560" w:rsidRPr="00C51AFA">
        <w:t xml:space="preserve">pressure rise </w:t>
      </w:r>
      <w:r w:rsidR="00EF79E5" w:rsidRPr="00C51AFA">
        <w:t xml:space="preserve">of ethanol-ethyl acetate </w:t>
      </w:r>
      <w:r w:rsidR="00844560" w:rsidRPr="00C51AFA">
        <w:t>higher) than both ethanol and ethyl acetate. Conversely, at the highest value of fuel equivalence ratio explored (1.7), as a result of a completely different interaction between ethanol and ethyl acetate, the explosion behavior of their mixture is less severe than both the individual components</w:t>
      </w:r>
      <w:r w:rsidR="00485182" w:rsidRPr="00C51AFA">
        <w:t>;</w:t>
      </w:r>
    </w:p>
    <w:p w14:paraId="30E25F86" w14:textId="5B7FCDF8" w:rsidR="00485182" w:rsidRPr="00012B9F" w:rsidRDefault="002F1501" w:rsidP="00833EAB">
      <w:pPr>
        <w:pStyle w:val="CETBodytext"/>
      </w:pPr>
      <w:bookmarkStart w:id="2" w:name="_GoBack"/>
      <w:bookmarkEnd w:id="2"/>
      <w:r w:rsidRPr="0003704E">
        <w:sym w:font="Symbol" w:char="F02D"/>
      </w:r>
      <w:r w:rsidR="00B06B86" w:rsidRPr="0003704E">
        <w:t xml:space="preserve"> </w:t>
      </w:r>
      <w:r w:rsidR="00485182" w:rsidRPr="0003704E">
        <w:t xml:space="preserve">The maximum rate of pressure rise </w:t>
      </w:r>
      <w:r w:rsidR="0014750D" w:rsidRPr="0003704E">
        <w:t xml:space="preserve">for </w:t>
      </w:r>
      <w:r w:rsidR="008D193E" w:rsidRPr="0003704E">
        <w:t xml:space="preserve">the </w:t>
      </w:r>
      <w:r w:rsidR="0014750D" w:rsidRPr="0003704E">
        <w:t xml:space="preserve">ethanol-ethyl acetate </w:t>
      </w:r>
      <w:r w:rsidR="008D193E" w:rsidRPr="0003704E">
        <w:t xml:space="preserve">mixture </w:t>
      </w:r>
      <w:r w:rsidR="0014750D" w:rsidRPr="0003704E">
        <w:t>fa</w:t>
      </w:r>
      <w:r w:rsidR="00485182" w:rsidRPr="0003704E">
        <w:t>lls within an intermediate regime in which non</w:t>
      </w:r>
      <w:r w:rsidR="00B71333" w:rsidRPr="0003704E">
        <w:t>-</w:t>
      </w:r>
      <w:r w:rsidR="00485182" w:rsidRPr="0003704E">
        <w:t xml:space="preserve">linear interaction effects </w:t>
      </w:r>
      <w:r w:rsidR="00A42A9B" w:rsidRPr="0003704E">
        <w:t xml:space="preserve">between the two components </w:t>
      </w:r>
      <w:r w:rsidR="00485182" w:rsidRPr="0003704E">
        <w:t>substantially disappear</w:t>
      </w:r>
      <w:r w:rsidR="006A4FDB" w:rsidRPr="0003704E">
        <w:t>.</w:t>
      </w:r>
      <w:r w:rsidR="00485182" w:rsidRPr="0003704E">
        <w:t xml:space="preserve"> </w:t>
      </w:r>
      <w:r w:rsidR="006A4FDB" w:rsidRPr="0003704E">
        <w:t>T</w:t>
      </w:r>
      <w:r w:rsidR="00485182" w:rsidRPr="0003704E">
        <w:t>hus, the value of deflagration index for the mixture can be obtained by averaging the values of</w:t>
      </w:r>
      <w:r w:rsidR="003205F1" w:rsidRPr="0003704E">
        <w:t xml:space="preserve"> ethanol and ethyl acetate </w:t>
      </w:r>
      <w:r w:rsidR="00485182" w:rsidRPr="0003704E">
        <w:t>according to their molar proportions;</w:t>
      </w:r>
    </w:p>
    <w:p w14:paraId="13A2445E" w14:textId="309F37AD" w:rsidR="004B4A58" w:rsidRPr="00012B9F" w:rsidRDefault="002F1501" w:rsidP="004B4A58">
      <w:pPr>
        <w:pStyle w:val="CETBodytext"/>
      </w:pPr>
      <w:r w:rsidRPr="00012B9F">
        <w:sym w:font="Symbol" w:char="F02D"/>
      </w:r>
      <w:r w:rsidR="00B06B86" w:rsidRPr="00012B9F">
        <w:t xml:space="preserve"> </w:t>
      </w:r>
      <w:r w:rsidR="00CC5E25" w:rsidRPr="00012B9F">
        <w:t xml:space="preserve">For </w:t>
      </w:r>
      <w:r w:rsidR="007A0380" w:rsidRPr="00012B9F">
        <w:t>all three systems investigated</w:t>
      </w:r>
      <w:r w:rsidR="00CC5E25" w:rsidRPr="00012B9F">
        <w:t xml:space="preserve">, maximum pressure and the maximum rate of pressure rise occur at the same value of fuel equivalence ratio, 1.2, which is significantly higher than the stoichiometric ratio. Thus, differently from common alkanes, for </w:t>
      </w:r>
      <w:r w:rsidR="00472F9E" w:rsidRPr="00012B9F">
        <w:t>these systems</w:t>
      </w:r>
      <w:r w:rsidR="00CC5E25" w:rsidRPr="00012B9F">
        <w:t>, the stoichiometric composition is far from being conservative.</w:t>
      </w:r>
    </w:p>
    <w:p w14:paraId="4786505B" w14:textId="29DAC843" w:rsidR="00FF617A" w:rsidRPr="00012B9F" w:rsidRDefault="00BB3AD1" w:rsidP="00833EAB">
      <w:pPr>
        <w:pStyle w:val="CETBodytext"/>
      </w:pPr>
      <w:r w:rsidRPr="00BB3AD1">
        <w:t>Understanding the different nature of the interaction between ethanol and ethyl acetate as the fuel equivalence ratio varies requires further investigation and will be the subject of future research.</w:t>
      </w:r>
    </w:p>
    <w:p w14:paraId="4F1327F8" w14:textId="77777777" w:rsidR="00600535" w:rsidRPr="00012B9F" w:rsidRDefault="00600535" w:rsidP="00600535">
      <w:pPr>
        <w:pStyle w:val="CETReference"/>
        <w:rPr>
          <w:lang w:val="en-US"/>
        </w:rPr>
      </w:pPr>
      <w:r w:rsidRPr="00012B9F">
        <w:rPr>
          <w:lang w:val="en-US"/>
        </w:rPr>
        <w:t>References</w:t>
      </w:r>
    </w:p>
    <w:p w14:paraId="679A79A9" w14:textId="77777777" w:rsidR="00E54D4D" w:rsidRPr="00012B9F" w:rsidRDefault="00E54D4D" w:rsidP="00E85316">
      <w:pPr>
        <w:pStyle w:val="CETReferencetext"/>
        <w:rPr>
          <w:lang w:val="en-US"/>
        </w:rPr>
      </w:pPr>
      <w:r w:rsidRPr="00012B9F">
        <w:rPr>
          <w:lang w:val="en-US"/>
        </w:rPr>
        <w:t>BS EN 15967:2011 — Determination of Maximum Explosion Pressure and the Maximum Rate of Pressure Rise of Gases and Vapours, 2012.</w:t>
      </w:r>
    </w:p>
    <w:p w14:paraId="2C3A3830" w14:textId="77777777" w:rsidR="00E54D4D" w:rsidRPr="00012B9F" w:rsidRDefault="00E54D4D" w:rsidP="00E85316">
      <w:pPr>
        <w:pStyle w:val="CETReferencetext"/>
        <w:rPr>
          <w:lang w:val="en-US"/>
        </w:rPr>
      </w:pPr>
      <w:r w:rsidRPr="00012B9F">
        <w:rPr>
          <w:lang w:val="en-US"/>
        </w:rPr>
        <w:t>Cammarota F., Di Benedetto A., Di Sarli V., Salzano E., 2012, The effect of hydrogen addition on the explosion of ethanol/air mixtures, Chemical Engineering Transactions, 26, 405–410.</w:t>
      </w:r>
    </w:p>
    <w:p w14:paraId="508A6393" w14:textId="77777777" w:rsidR="00E54D4D" w:rsidRPr="00012B9F" w:rsidRDefault="00E54D4D" w:rsidP="00ED4015">
      <w:pPr>
        <w:pStyle w:val="CETReferencetext"/>
        <w:rPr>
          <w:lang w:val="en-US"/>
        </w:rPr>
      </w:pPr>
      <w:r w:rsidRPr="00012B9F">
        <w:rPr>
          <w:lang w:val="en-US"/>
        </w:rPr>
        <w:t xml:space="preserve">Cammarota F., Di Benedetto A., Di Sarli V., Salzano E., 2019, Influence of initial temperature and pressure on the explosion behavior of </w:t>
      </w:r>
      <w:r w:rsidRPr="00012B9F">
        <w:rPr>
          <w:i/>
          <w:lang w:val="en-US"/>
        </w:rPr>
        <w:t>n</w:t>
      </w:r>
      <w:r w:rsidRPr="00012B9F">
        <w:rPr>
          <w:lang w:val="en-US"/>
        </w:rPr>
        <w:t>-dodecane/air mixtures, Journal of Loss Prevention in the Process Industries, 62, 103920.</w:t>
      </w:r>
    </w:p>
    <w:p w14:paraId="681AEBF2" w14:textId="77777777" w:rsidR="00E54D4D" w:rsidRPr="00012B9F" w:rsidRDefault="00E54D4D" w:rsidP="005B77F1">
      <w:pPr>
        <w:pStyle w:val="CETReferencetext"/>
        <w:rPr>
          <w:lang w:val="en-US"/>
        </w:rPr>
      </w:pPr>
      <w:r w:rsidRPr="00012B9F">
        <w:rPr>
          <w:lang w:val="en-US"/>
        </w:rPr>
        <w:t>Crowl D.A., 2003, Understanding Explosions, American Institute of Chemical Engineers, New York, USA.</w:t>
      </w:r>
    </w:p>
    <w:p w14:paraId="6BDA922E" w14:textId="77777777" w:rsidR="00E54D4D" w:rsidRPr="00012B9F" w:rsidRDefault="00E54D4D" w:rsidP="00E132CF">
      <w:pPr>
        <w:pStyle w:val="CETReferencetext"/>
        <w:rPr>
          <w:lang w:val="en-US"/>
        </w:rPr>
      </w:pPr>
      <w:r w:rsidRPr="00012B9F">
        <w:rPr>
          <w:lang w:val="en-US"/>
        </w:rPr>
        <w:t>Di Benedetto A., Di Sarli V., Salzano E., Cammarota F., Russo G., 2009, Explosion behavior of CH</w:t>
      </w:r>
      <w:r w:rsidRPr="00012B9F">
        <w:rPr>
          <w:vertAlign w:val="subscript"/>
          <w:lang w:val="en-US"/>
        </w:rPr>
        <w:t>4</w:t>
      </w:r>
      <w:r w:rsidRPr="00012B9F">
        <w:rPr>
          <w:lang w:val="en-US"/>
        </w:rPr>
        <w:t>/O</w:t>
      </w:r>
      <w:r w:rsidRPr="00012B9F">
        <w:rPr>
          <w:vertAlign w:val="subscript"/>
          <w:lang w:val="en-US"/>
        </w:rPr>
        <w:t>2</w:t>
      </w:r>
      <w:r w:rsidRPr="00012B9F">
        <w:rPr>
          <w:lang w:val="en-US"/>
        </w:rPr>
        <w:t>/N</w:t>
      </w:r>
      <w:r w:rsidRPr="00012B9F">
        <w:rPr>
          <w:vertAlign w:val="subscript"/>
          <w:lang w:val="en-US"/>
        </w:rPr>
        <w:t>2</w:t>
      </w:r>
      <w:r w:rsidRPr="00012B9F">
        <w:rPr>
          <w:lang w:val="en-US"/>
        </w:rPr>
        <w:t>/CO</w:t>
      </w:r>
      <w:r w:rsidRPr="00012B9F">
        <w:rPr>
          <w:vertAlign w:val="subscript"/>
          <w:lang w:val="en-US"/>
        </w:rPr>
        <w:t>2</w:t>
      </w:r>
      <w:r w:rsidRPr="00012B9F">
        <w:rPr>
          <w:lang w:val="en-US"/>
        </w:rPr>
        <w:t xml:space="preserve"> and H</w:t>
      </w:r>
      <w:r w:rsidRPr="00012B9F">
        <w:rPr>
          <w:vertAlign w:val="subscript"/>
          <w:lang w:val="en-US"/>
        </w:rPr>
        <w:t>2</w:t>
      </w:r>
      <w:r w:rsidRPr="00012B9F">
        <w:rPr>
          <w:lang w:val="en-US"/>
        </w:rPr>
        <w:t>/O</w:t>
      </w:r>
      <w:r w:rsidRPr="00012B9F">
        <w:rPr>
          <w:vertAlign w:val="subscript"/>
          <w:lang w:val="en-US"/>
        </w:rPr>
        <w:t>2</w:t>
      </w:r>
      <w:r w:rsidRPr="00012B9F">
        <w:rPr>
          <w:lang w:val="en-US"/>
        </w:rPr>
        <w:t>/N</w:t>
      </w:r>
      <w:r w:rsidRPr="00012B9F">
        <w:rPr>
          <w:vertAlign w:val="subscript"/>
          <w:lang w:val="en-US"/>
        </w:rPr>
        <w:t>2</w:t>
      </w:r>
      <w:r w:rsidRPr="00012B9F">
        <w:rPr>
          <w:lang w:val="en-US"/>
        </w:rPr>
        <w:t>/CO</w:t>
      </w:r>
      <w:r w:rsidRPr="00012B9F">
        <w:rPr>
          <w:vertAlign w:val="subscript"/>
          <w:lang w:val="en-US"/>
        </w:rPr>
        <w:t>2</w:t>
      </w:r>
      <w:r w:rsidRPr="00012B9F">
        <w:rPr>
          <w:lang w:val="en-US"/>
        </w:rPr>
        <w:t xml:space="preserve"> mixtures, International Journal of Hydrogen Energy, 34, 6970–6978.</w:t>
      </w:r>
    </w:p>
    <w:p w14:paraId="3B26E4CC" w14:textId="77777777" w:rsidR="00E54D4D" w:rsidRPr="00012B9F" w:rsidRDefault="00E54D4D" w:rsidP="00E85316">
      <w:pPr>
        <w:pStyle w:val="CETReferencetext"/>
        <w:rPr>
          <w:lang w:val="en-US"/>
        </w:rPr>
      </w:pPr>
      <w:r w:rsidRPr="00012B9F">
        <w:rPr>
          <w:lang w:val="en-US"/>
        </w:rPr>
        <w:t>Di Benedetto A., Sanchirico R., Di Sarli V., 2018a, Flash point of flammable binary mixtures: Synergistic behavior, Journal of Loss Prevention in the Process Industries, 52, 1–6.</w:t>
      </w:r>
    </w:p>
    <w:p w14:paraId="5E244A23" w14:textId="77777777" w:rsidR="00E54D4D" w:rsidRPr="00012B9F" w:rsidRDefault="00E54D4D" w:rsidP="00667613">
      <w:pPr>
        <w:pStyle w:val="CETReferencetext"/>
        <w:rPr>
          <w:lang w:val="en-US"/>
        </w:rPr>
      </w:pPr>
      <w:r w:rsidRPr="00012B9F">
        <w:rPr>
          <w:lang w:val="en-US"/>
        </w:rPr>
        <w:t>Di Benedetto A., Sanchirico R., Di Sarli V., 2018b, Effect of pressure on the flash point of various fuels and their binary mixtures, Process Safety and Environmental Protection, 116, 615–620.</w:t>
      </w:r>
    </w:p>
    <w:p w14:paraId="313D0D5D" w14:textId="77777777" w:rsidR="00E54D4D" w:rsidRPr="00012B9F" w:rsidRDefault="00E54D4D" w:rsidP="00E85316">
      <w:pPr>
        <w:pStyle w:val="CETReferencetext"/>
        <w:rPr>
          <w:lang w:val="en-US"/>
        </w:rPr>
      </w:pPr>
      <w:r w:rsidRPr="00012B9F">
        <w:rPr>
          <w:lang w:val="en-US"/>
        </w:rPr>
        <w:t>Mitu M., Brandes E., 2017, Influence of pressure, temperature and vessel volume on explosion characteristics of ethanol/air mixtures in closed spherical vessels, Fuel, 203, 460–468.</w:t>
      </w:r>
    </w:p>
    <w:p w14:paraId="0E366ACD" w14:textId="77777777" w:rsidR="00E54D4D" w:rsidRPr="00012B9F" w:rsidRDefault="00E54D4D" w:rsidP="008B026B">
      <w:pPr>
        <w:pStyle w:val="CETReferencetext"/>
        <w:rPr>
          <w:lang w:val="en-US"/>
        </w:rPr>
      </w:pPr>
      <w:r w:rsidRPr="00012B9F">
        <w:rPr>
          <w:lang w:val="en-US"/>
        </w:rPr>
        <w:t>Morley C., 2005, Gaseq — A Chemical Equilibrium Program for Windows, Version 0.79, &lt;www.gaseq.co.uk/&gt; accessed 10.01.2022.</w:t>
      </w:r>
    </w:p>
    <w:p w14:paraId="58ABEEEC" w14:textId="77777777" w:rsidR="00E54D4D" w:rsidRPr="00012B9F" w:rsidRDefault="00E54D4D" w:rsidP="00E85316">
      <w:pPr>
        <w:pStyle w:val="CETReferencetext"/>
        <w:rPr>
          <w:lang w:val="en-US"/>
        </w:rPr>
      </w:pPr>
      <w:r w:rsidRPr="00012B9F">
        <w:rPr>
          <w:lang w:val="en-US"/>
        </w:rPr>
        <w:t>Morsch P., Döntgen M., Heufer K.A., 2022, Kinetic investigations on the high- and low-temperature chemistry of ethyl acetate, Combustion and Flame, doi: 10.1016/j.combustflame.2022.111995.</w:t>
      </w:r>
    </w:p>
    <w:p w14:paraId="56F9B344" w14:textId="77777777" w:rsidR="00E54D4D" w:rsidRPr="00012B9F" w:rsidRDefault="00E54D4D" w:rsidP="00E85316">
      <w:pPr>
        <w:pStyle w:val="CETReferencetext"/>
        <w:rPr>
          <w:lang w:val="en-US"/>
        </w:rPr>
      </w:pPr>
      <w:r w:rsidRPr="00012B9F">
        <w:rPr>
          <w:lang w:val="en-US"/>
        </w:rPr>
        <w:t>NFPA 30 — Flammable and Combustible Liquids Code, 2003 Edition, National Fire Protection Association, Quincy, Maryland.</w:t>
      </w:r>
    </w:p>
    <w:p w14:paraId="445F283F" w14:textId="77777777" w:rsidR="00E54D4D" w:rsidRPr="00012B9F" w:rsidRDefault="00E54D4D" w:rsidP="0064077F">
      <w:pPr>
        <w:pStyle w:val="CETReferencetext"/>
        <w:rPr>
          <w:lang w:val="en-US"/>
        </w:rPr>
      </w:pPr>
      <w:r w:rsidRPr="00012B9F">
        <w:rPr>
          <w:lang w:val="en-US"/>
        </w:rPr>
        <w:t>NFPA 68 — Guide for Venting of Deflagrations, 2002 Edition, National Fire Protection Association, Quincy, Maryland.</w:t>
      </w:r>
    </w:p>
    <w:p w14:paraId="1197CBFC" w14:textId="77777777" w:rsidR="00E54D4D" w:rsidRPr="00012B9F" w:rsidRDefault="00E54D4D" w:rsidP="00E85316">
      <w:pPr>
        <w:pStyle w:val="CETReferencetext"/>
        <w:rPr>
          <w:lang w:val="en-US"/>
        </w:rPr>
      </w:pPr>
      <w:r w:rsidRPr="00012B9F">
        <w:rPr>
          <w:lang w:val="en-US"/>
        </w:rPr>
        <w:t>Oppong F., Zhongyang L., Li X., Xu C., 2021, Investigations on explosion characteristics of ethyl acetate, Journal of Loss Prevention in the Process Industries, 70, 104409.</w:t>
      </w:r>
    </w:p>
    <w:p w14:paraId="1D1F7852" w14:textId="17E16A56" w:rsidR="0085406D" w:rsidRDefault="00E54D4D" w:rsidP="006341EE">
      <w:pPr>
        <w:pStyle w:val="CETReferencetext"/>
        <w:rPr>
          <w:lang w:val="en-US"/>
        </w:rPr>
      </w:pPr>
      <w:r w:rsidRPr="00012B9F">
        <w:rPr>
          <w:lang w:val="en-US"/>
        </w:rPr>
        <w:t>Venart J.E.S., 2004, Flixborough: The explosion and its aftermath, Process Safety and Environmental Protection, 82, 105–127.</w:t>
      </w:r>
    </w:p>
    <w:sectPr w:rsidR="0085406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E37EB" w14:textId="77777777" w:rsidR="00E65C70" w:rsidRDefault="00E65C70" w:rsidP="004F5E36">
      <w:r>
        <w:separator/>
      </w:r>
    </w:p>
  </w:endnote>
  <w:endnote w:type="continuationSeparator" w:id="0">
    <w:p w14:paraId="2D5504FA" w14:textId="77777777" w:rsidR="00E65C70" w:rsidRDefault="00E65C7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DOMJ G+ Times New Roman MT Std">
    <w:altName w:val="Times New Roman MT Std"/>
    <w:panose1 w:val="00000000000000000000"/>
    <w:charset w:val="00"/>
    <w:family w:val="roman"/>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9F835" w14:textId="77777777" w:rsidR="00E65C70" w:rsidRDefault="00E65C70" w:rsidP="004F5E36">
      <w:r>
        <w:separator/>
      </w:r>
    </w:p>
  </w:footnote>
  <w:footnote w:type="continuationSeparator" w:id="0">
    <w:p w14:paraId="134E40A2" w14:textId="77777777" w:rsidR="00E65C70" w:rsidRDefault="00E65C70"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142"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0E7A"/>
    <w:rsid w:val="000013F5"/>
    <w:rsid w:val="00001D38"/>
    <w:rsid w:val="00002782"/>
    <w:rsid w:val="000027C0"/>
    <w:rsid w:val="00002AF7"/>
    <w:rsid w:val="00003EF4"/>
    <w:rsid w:val="00004F69"/>
    <w:rsid w:val="000052FB"/>
    <w:rsid w:val="0000599D"/>
    <w:rsid w:val="000067D5"/>
    <w:rsid w:val="0001079E"/>
    <w:rsid w:val="00011127"/>
    <w:rsid w:val="000117CB"/>
    <w:rsid w:val="00011C81"/>
    <w:rsid w:val="00012A89"/>
    <w:rsid w:val="00012B9F"/>
    <w:rsid w:val="00013CB9"/>
    <w:rsid w:val="00015324"/>
    <w:rsid w:val="000155E8"/>
    <w:rsid w:val="00020DBA"/>
    <w:rsid w:val="0003148D"/>
    <w:rsid w:val="00031EEC"/>
    <w:rsid w:val="00036434"/>
    <w:rsid w:val="0003704E"/>
    <w:rsid w:val="0003798A"/>
    <w:rsid w:val="000412E9"/>
    <w:rsid w:val="00041E7D"/>
    <w:rsid w:val="0004551E"/>
    <w:rsid w:val="00045AD2"/>
    <w:rsid w:val="00045BF2"/>
    <w:rsid w:val="00046881"/>
    <w:rsid w:val="00050163"/>
    <w:rsid w:val="00051566"/>
    <w:rsid w:val="00051F6D"/>
    <w:rsid w:val="00052B08"/>
    <w:rsid w:val="00053173"/>
    <w:rsid w:val="000575F5"/>
    <w:rsid w:val="000601B5"/>
    <w:rsid w:val="000603A8"/>
    <w:rsid w:val="00062A9A"/>
    <w:rsid w:val="00062D39"/>
    <w:rsid w:val="00065058"/>
    <w:rsid w:val="00066E24"/>
    <w:rsid w:val="00072965"/>
    <w:rsid w:val="000757D5"/>
    <w:rsid w:val="00076709"/>
    <w:rsid w:val="00076A8A"/>
    <w:rsid w:val="0007719B"/>
    <w:rsid w:val="000813E9"/>
    <w:rsid w:val="0008150E"/>
    <w:rsid w:val="000823C5"/>
    <w:rsid w:val="00082569"/>
    <w:rsid w:val="0008597F"/>
    <w:rsid w:val="00086843"/>
    <w:rsid w:val="00086C39"/>
    <w:rsid w:val="00087E83"/>
    <w:rsid w:val="000912A7"/>
    <w:rsid w:val="000939D0"/>
    <w:rsid w:val="00093F5E"/>
    <w:rsid w:val="000A03B2"/>
    <w:rsid w:val="000A097A"/>
    <w:rsid w:val="000A212E"/>
    <w:rsid w:val="000A30B6"/>
    <w:rsid w:val="000A4FA6"/>
    <w:rsid w:val="000A6D86"/>
    <w:rsid w:val="000B0BBB"/>
    <w:rsid w:val="000B5940"/>
    <w:rsid w:val="000B7CDB"/>
    <w:rsid w:val="000C0D04"/>
    <w:rsid w:val="000C4881"/>
    <w:rsid w:val="000D0268"/>
    <w:rsid w:val="000D08D8"/>
    <w:rsid w:val="000D0A90"/>
    <w:rsid w:val="000D1C62"/>
    <w:rsid w:val="000D34BE"/>
    <w:rsid w:val="000D62B4"/>
    <w:rsid w:val="000D6CE1"/>
    <w:rsid w:val="000D7A81"/>
    <w:rsid w:val="000E102F"/>
    <w:rsid w:val="000E124D"/>
    <w:rsid w:val="000E36F1"/>
    <w:rsid w:val="000E3A73"/>
    <w:rsid w:val="000E3FB5"/>
    <w:rsid w:val="000E414A"/>
    <w:rsid w:val="000E4D7C"/>
    <w:rsid w:val="000E5E92"/>
    <w:rsid w:val="000E6F4A"/>
    <w:rsid w:val="000F0028"/>
    <w:rsid w:val="000F093C"/>
    <w:rsid w:val="000F2315"/>
    <w:rsid w:val="000F24D3"/>
    <w:rsid w:val="000F3B59"/>
    <w:rsid w:val="000F5756"/>
    <w:rsid w:val="000F6286"/>
    <w:rsid w:val="000F6567"/>
    <w:rsid w:val="000F68AE"/>
    <w:rsid w:val="000F6CD1"/>
    <w:rsid w:val="000F787B"/>
    <w:rsid w:val="00102C3A"/>
    <w:rsid w:val="001031A7"/>
    <w:rsid w:val="001047A6"/>
    <w:rsid w:val="00104E6A"/>
    <w:rsid w:val="00106156"/>
    <w:rsid w:val="001071B8"/>
    <w:rsid w:val="0010795E"/>
    <w:rsid w:val="001106AC"/>
    <w:rsid w:val="00112C80"/>
    <w:rsid w:val="001151AF"/>
    <w:rsid w:val="00116222"/>
    <w:rsid w:val="00116798"/>
    <w:rsid w:val="0012091F"/>
    <w:rsid w:val="00121ACF"/>
    <w:rsid w:val="0012224B"/>
    <w:rsid w:val="00122986"/>
    <w:rsid w:val="00123B31"/>
    <w:rsid w:val="00123CD6"/>
    <w:rsid w:val="00125E59"/>
    <w:rsid w:val="00126093"/>
    <w:rsid w:val="00126BC2"/>
    <w:rsid w:val="00126BE4"/>
    <w:rsid w:val="00127612"/>
    <w:rsid w:val="00130403"/>
    <w:rsid w:val="001308B6"/>
    <w:rsid w:val="0013121F"/>
    <w:rsid w:val="00131FE6"/>
    <w:rsid w:val="0013263F"/>
    <w:rsid w:val="00132ECD"/>
    <w:rsid w:val="001331DF"/>
    <w:rsid w:val="00134DE4"/>
    <w:rsid w:val="00135802"/>
    <w:rsid w:val="0013710B"/>
    <w:rsid w:val="0014034D"/>
    <w:rsid w:val="00140CCB"/>
    <w:rsid w:val="00140ED0"/>
    <w:rsid w:val="00143371"/>
    <w:rsid w:val="00144D16"/>
    <w:rsid w:val="0014554F"/>
    <w:rsid w:val="00145B17"/>
    <w:rsid w:val="00145F64"/>
    <w:rsid w:val="001467E0"/>
    <w:rsid w:val="0014750D"/>
    <w:rsid w:val="00150E59"/>
    <w:rsid w:val="00151380"/>
    <w:rsid w:val="00152B7D"/>
    <w:rsid w:val="00152DE3"/>
    <w:rsid w:val="00155763"/>
    <w:rsid w:val="00164172"/>
    <w:rsid w:val="00164CF9"/>
    <w:rsid w:val="00165D46"/>
    <w:rsid w:val="001667A6"/>
    <w:rsid w:val="00166A4F"/>
    <w:rsid w:val="00167089"/>
    <w:rsid w:val="00167128"/>
    <w:rsid w:val="0017133D"/>
    <w:rsid w:val="001719C2"/>
    <w:rsid w:val="001739EB"/>
    <w:rsid w:val="00174935"/>
    <w:rsid w:val="00177D53"/>
    <w:rsid w:val="00180E1F"/>
    <w:rsid w:val="00182C7F"/>
    <w:rsid w:val="00183B65"/>
    <w:rsid w:val="001844BC"/>
    <w:rsid w:val="00184948"/>
    <w:rsid w:val="00184AD6"/>
    <w:rsid w:val="001855A6"/>
    <w:rsid w:val="0018649E"/>
    <w:rsid w:val="00192600"/>
    <w:rsid w:val="001929C7"/>
    <w:rsid w:val="00196D81"/>
    <w:rsid w:val="00197D6A"/>
    <w:rsid w:val="001A3438"/>
    <w:rsid w:val="001A447E"/>
    <w:rsid w:val="001A4AF7"/>
    <w:rsid w:val="001A5FA5"/>
    <w:rsid w:val="001A74C3"/>
    <w:rsid w:val="001A76E5"/>
    <w:rsid w:val="001B0349"/>
    <w:rsid w:val="001B1E93"/>
    <w:rsid w:val="001B37F6"/>
    <w:rsid w:val="001B4AC6"/>
    <w:rsid w:val="001B542E"/>
    <w:rsid w:val="001B60BF"/>
    <w:rsid w:val="001B65C1"/>
    <w:rsid w:val="001C1F71"/>
    <w:rsid w:val="001C3F17"/>
    <w:rsid w:val="001C46A3"/>
    <w:rsid w:val="001C53AB"/>
    <w:rsid w:val="001C55D5"/>
    <w:rsid w:val="001C684B"/>
    <w:rsid w:val="001C6880"/>
    <w:rsid w:val="001C7275"/>
    <w:rsid w:val="001D039A"/>
    <w:rsid w:val="001D0CFB"/>
    <w:rsid w:val="001D2D8C"/>
    <w:rsid w:val="001D2FFE"/>
    <w:rsid w:val="001D53FC"/>
    <w:rsid w:val="001D6A20"/>
    <w:rsid w:val="001E02CD"/>
    <w:rsid w:val="001E0D3C"/>
    <w:rsid w:val="001E2558"/>
    <w:rsid w:val="001E2FAD"/>
    <w:rsid w:val="001E6CCA"/>
    <w:rsid w:val="001E7A6B"/>
    <w:rsid w:val="001F2498"/>
    <w:rsid w:val="001F298A"/>
    <w:rsid w:val="001F29C3"/>
    <w:rsid w:val="001F42A5"/>
    <w:rsid w:val="001F6B6B"/>
    <w:rsid w:val="001F6DC5"/>
    <w:rsid w:val="001F7B9D"/>
    <w:rsid w:val="00201C93"/>
    <w:rsid w:val="00203AB5"/>
    <w:rsid w:val="00207C70"/>
    <w:rsid w:val="00207FD1"/>
    <w:rsid w:val="00210738"/>
    <w:rsid w:val="00211827"/>
    <w:rsid w:val="002168C0"/>
    <w:rsid w:val="00220A10"/>
    <w:rsid w:val="002224B4"/>
    <w:rsid w:val="0022338D"/>
    <w:rsid w:val="00224747"/>
    <w:rsid w:val="00224DC6"/>
    <w:rsid w:val="00230BCF"/>
    <w:rsid w:val="002334BF"/>
    <w:rsid w:val="00236E0D"/>
    <w:rsid w:val="00237D8C"/>
    <w:rsid w:val="00242BB5"/>
    <w:rsid w:val="002447EF"/>
    <w:rsid w:val="0024580E"/>
    <w:rsid w:val="002461A2"/>
    <w:rsid w:val="00246364"/>
    <w:rsid w:val="0024647E"/>
    <w:rsid w:val="00247341"/>
    <w:rsid w:val="00251550"/>
    <w:rsid w:val="002516BF"/>
    <w:rsid w:val="0025229E"/>
    <w:rsid w:val="002541D9"/>
    <w:rsid w:val="00255681"/>
    <w:rsid w:val="00256272"/>
    <w:rsid w:val="00256B79"/>
    <w:rsid w:val="002573E2"/>
    <w:rsid w:val="00263B05"/>
    <w:rsid w:val="0026535B"/>
    <w:rsid w:val="00265F83"/>
    <w:rsid w:val="00266C4B"/>
    <w:rsid w:val="002708D5"/>
    <w:rsid w:val="00271386"/>
    <w:rsid w:val="0027221A"/>
    <w:rsid w:val="00275B61"/>
    <w:rsid w:val="00275DDA"/>
    <w:rsid w:val="00277D15"/>
    <w:rsid w:val="00280FAF"/>
    <w:rsid w:val="00282389"/>
    <w:rsid w:val="00282656"/>
    <w:rsid w:val="002834EC"/>
    <w:rsid w:val="00283674"/>
    <w:rsid w:val="00283A50"/>
    <w:rsid w:val="00283B12"/>
    <w:rsid w:val="00284082"/>
    <w:rsid w:val="0028490A"/>
    <w:rsid w:val="00284C10"/>
    <w:rsid w:val="00286EA7"/>
    <w:rsid w:val="00296B83"/>
    <w:rsid w:val="002A12AE"/>
    <w:rsid w:val="002A1B69"/>
    <w:rsid w:val="002B0329"/>
    <w:rsid w:val="002B0C0A"/>
    <w:rsid w:val="002B4015"/>
    <w:rsid w:val="002B4EFD"/>
    <w:rsid w:val="002B57B4"/>
    <w:rsid w:val="002B5A26"/>
    <w:rsid w:val="002B653B"/>
    <w:rsid w:val="002B78CE"/>
    <w:rsid w:val="002C0100"/>
    <w:rsid w:val="002C192C"/>
    <w:rsid w:val="002C2D57"/>
    <w:rsid w:val="002C2FB6"/>
    <w:rsid w:val="002C31ED"/>
    <w:rsid w:val="002C367F"/>
    <w:rsid w:val="002C771F"/>
    <w:rsid w:val="002D073D"/>
    <w:rsid w:val="002D1D93"/>
    <w:rsid w:val="002D2091"/>
    <w:rsid w:val="002D2FB2"/>
    <w:rsid w:val="002D4597"/>
    <w:rsid w:val="002D6162"/>
    <w:rsid w:val="002D7DCB"/>
    <w:rsid w:val="002E447D"/>
    <w:rsid w:val="002E5FA7"/>
    <w:rsid w:val="002E7BA2"/>
    <w:rsid w:val="002F1116"/>
    <w:rsid w:val="002F1501"/>
    <w:rsid w:val="002F3309"/>
    <w:rsid w:val="002F4549"/>
    <w:rsid w:val="002F4988"/>
    <w:rsid w:val="002F74DC"/>
    <w:rsid w:val="003008CE"/>
    <w:rsid w:val="003009B7"/>
    <w:rsid w:val="00300E56"/>
    <w:rsid w:val="0030210A"/>
    <w:rsid w:val="00302D58"/>
    <w:rsid w:val="0030312E"/>
    <w:rsid w:val="003041B9"/>
    <w:rsid w:val="003041FC"/>
    <w:rsid w:val="0030469C"/>
    <w:rsid w:val="00305B2E"/>
    <w:rsid w:val="0030773C"/>
    <w:rsid w:val="0031069E"/>
    <w:rsid w:val="00311FF4"/>
    <w:rsid w:val="00313811"/>
    <w:rsid w:val="00316F5B"/>
    <w:rsid w:val="003202B9"/>
    <w:rsid w:val="00320599"/>
    <w:rsid w:val="003205F1"/>
    <w:rsid w:val="00320A64"/>
    <w:rsid w:val="00320C8E"/>
    <w:rsid w:val="00321CA6"/>
    <w:rsid w:val="003228B0"/>
    <w:rsid w:val="003229BF"/>
    <w:rsid w:val="00323763"/>
    <w:rsid w:val="00324EB6"/>
    <w:rsid w:val="00325011"/>
    <w:rsid w:val="0032603C"/>
    <w:rsid w:val="00326662"/>
    <w:rsid w:val="0033012D"/>
    <w:rsid w:val="00331546"/>
    <w:rsid w:val="00334C09"/>
    <w:rsid w:val="00336AF2"/>
    <w:rsid w:val="00337738"/>
    <w:rsid w:val="00341782"/>
    <w:rsid w:val="00342FF2"/>
    <w:rsid w:val="00346717"/>
    <w:rsid w:val="00350294"/>
    <w:rsid w:val="00352FB5"/>
    <w:rsid w:val="00353178"/>
    <w:rsid w:val="00354D04"/>
    <w:rsid w:val="00355076"/>
    <w:rsid w:val="00357502"/>
    <w:rsid w:val="00362906"/>
    <w:rsid w:val="00366727"/>
    <w:rsid w:val="003667A8"/>
    <w:rsid w:val="003723D4"/>
    <w:rsid w:val="003750BA"/>
    <w:rsid w:val="00376B27"/>
    <w:rsid w:val="00376C95"/>
    <w:rsid w:val="003807D1"/>
    <w:rsid w:val="003810B5"/>
    <w:rsid w:val="00381905"/>
    <w:rsid w:val="003829CC"/>
    <w:rsid w:val="00384CC8"/>
    <w:rsid w:val="00384EB0"/>
    <w:rsid w:val="0038570B"/>
    <w:rsid w:val="003871FD"/>
    <w:rsid w:val="0038796F"/>
    <w:rsid w:val="00390412"/>
    <w:rsid w:val="0039059C"/>
    <w:rsid w:val="0039107B"/>
    <w:rsid w:val="003938BB"/>
    <w:rsid w:val="003953CD"/>
    <w:rsid w:val="00396DDB"/>
    <w:rsid w:val="00397075"/>
    <w:rsid w:val="00397362"/>
    <w:rsid w:val="00397750"/>
    <w:rsid w:val="003A1E30"/>
    <w:rsid w:val="003A2829"/>
    <w:rsid w:val="003A2D01"/>
    <w:rsid w:val="003A35A5"/>
    <w:rsid w:val="003A37B9"/>
    <w:rsid w:val="003A69EF"/>
    <w:rsid w:val="003A6B41"/>
    <w:rsid w:val="003A7D1C"/>
    <w:rsid w:val="003A7E24"/>
    <w:rsid w:val="003B3018"/>
    <w:rsid w:val="003B304B"/>
    <w:rsid w:val="003B3146"/>
    <w:rsid w:val="003B3638"/>
    <w:rsid w:val="003B4298"/>
    <w:rsid w:val="003B531E"/>
    <w:rsid w:val="003C104A"/>
    <w:rsid w:val="003C326D"/>
    <w:rsid w:val="003C6096"/>
    <w:rsid w:val="003C6BC2"/>
    <w:rsid w:val="003D08F2"/>
    <w:rsid w:val="003D0E3B"/>
    <w:rsid w:val="003D1466"/>
    <w:rsid w:val="003D3056"/>
    <w:rsid w:val="003D5B6E"/>
    <w:rsid w:val="003D65EF"/>
    <w:rsid w:val="003D688B"/>
    <w:rsid w:val="003E17F9"/>
    <w:rsid w:val="003E5333"/>
    <w:rsid w:val="003E5FB6"/>
    <w:rsid w:val="003E708C"/>
    <w:rsid w:val="003F015E"/>
    <w:rsid w:val="003F2CE4"/>
    <w:rsid w:val="003F2D28"/>
    <w:rsid w:val="003F3B13"/>
    <w:rsid w:val="003F683C"/>
    <w:rsid w:val="00400414"/>
    <w:rsid w:val="00402FF9"/>
    <w:rsid w:val="00403265"/>
    <w:rsid w:val="004032CD"/>
    <w:rsid w:val="00403A0A"/>
    <w:rsid w:val="0040488D"/>
    <w:rsid w:val="004077CE"/>
    <w:rsid w:val="0041446B"/>
    <w:rsid w:val="0041492F"/>
    <w:rsid w:val="00420CE9"/>
    <w:rsid w:val="00420F17"/>
    <w:rsid w:val="004221D4"/>
    <w:rsid w:val="00422D90"/>
    <w:rsid w:val="0042600D"/>
    <w:rsid w:val="0043059B"/>
    <w:rsid w:val="004315E7"/>
    <w:rsid w:val="00433688"/>
    <w:rsid w:val="00433D4E"/>
    <w:rsid w:val="00437115"/>
    <w:rsid w:val="004373F6"/>
    <w:rsid w:val="0043777E"/>
    <w:rsid w:val="004428A4"/>
    <w:rsid w:val="00442A96"/>
    <w:rsid w:val="0044329C"/>
    <w:rsid w:val="0044332D"/>
    <w:rsid w:val="004443E3"/>
    <w:rsid w:val="004456F7"/>
    <w:rsid w:val="00453AF9"/>
    <w:rsid w:val="00453E24"/>
    <w:rsid w:val="004551C8"/>
    <w:rsid w:val="0045551F"/>
    <w:rsid w:val="00457456"/>
    <w:rsid w:val="004577FE"/>
    <w:rsid w:val="00457814"/>
    <w:rsid w:val="00457B9C"/>
    <w:rsid w:val="0046164A"/>
    <w:rsid w:val="004628D2"/>
    <w:rsid w:val="00462AFA"/>
    <w:rsid w:val="00462DCD"/>
    <w:rsid w:val="004633BB"/>
    <w:rsid w:val="004648AD"/>
    <w:rsid w:val="004671A0"/>
    <w:rsid w:val="004703A9"/>
    <w:rsid w:val="00472F9E"/>
    <w:rsid w:val="0047465D"/>
    <w:rsid w:val="00474678"/>
    <w:rsid w:val="004760DE"/>
    <w:rsid w:val="004763D7"/>
    <w:rsid w:val="00476738"/>
    <w:rsid w:val="00482001"/>
    <w:rsid w:val="004820E3"/>
    <w:rsid w:val="00484C87"/>
    <w:rsid w:val="00484D06"/>
    <w:rsid w:val="00485182"/>
    <w:rsid w:val="004876CF"/>
    <w:rsid w:val="00487969"/>
    <w:rsid w:val="00490CE4"/>
    <w:rsid w:val="00490F88"/>
    <w:rsid w:val="00494151"/>
    <w:rsid w:val="0049537E"/>
    <w:rsid w:val="004A004E"/>
    <w:rsid w:val="004A0C23"/>
    <w:rsid w:val="004A1F47"/>
    <w:rsid w:val="004A24CF"/>
    <w:rsid w:val="004A48ED"/>
    <w:rsid w:val="004A7F7B"/>
    <w:rsid w:val="004B0BFD"/>
    <w:rsid w:val="004B4A58"/>
    <w:rsid w:val="004B5B55"/>
    <w:rsid w:val="004B730D"/>
    <w:rsid w:val="004C079A"/>
    <w:rsid w:val="004C1845"/>
    <w:rsid w:val="004C1AE6"/>
    <w:rsid w:val="004C20D3"/>
    <w:rsid w:val="004C2170"/>
    <w:rsid w:val="004C3919"/>
    <w:rsid w:val="004C3D1D"/>
    <w:rsid w:val="004C70E6"/>
    <w:rsid w:val="004C7913"/>
    <w:rsid w:val="004D0275"/>
    <w:rsid w:val="004D034E"/>
    <w:rsid w:val="004D0C11"/>
    <w:rsid w:val="004D3081"/>
    <w:rsid w:val="004D5512"/>
    <w:rsid w:val="004D6339"/>
    <w:rsid w:val="004D6A3D"/>
    <w:rsid w:val="004D73DF"/>
    <w:rsid w:val="004E25C2"/>
    <w:rsid w:val="004E4256"/>
    <w:rsid w:val="004E45DE"/>
    <w:rsid w:val="004E4DD6"/>
    <w:rsid w:val="004E6D0F"/>
    <w:rsid w:val="004E6F95"/>
    <w:rsid w:val="004F0025"/>
    <w:rsid w:val="004F1768"/>
    <w:rsid w:val="004F1BB8"/>
    <w:rsid w:val="004F54A3"/>
    <w:rsid w:val="004F5E36"/>
    <w:rsid w:val="004F692D"/>
    <w:rsid w:val="004F6AE4"/>
    <w:rsid w:val="004F715B"/>
    <w:rsid w:val="00503CC9"/>
    <w:rsid w:val="00505958"/>
    <w:rsid w:val="00506830"/>
    <w:rsid w:val="00507B47"/>
    <w:rsid w:val="00507BEF"/>
    <w:rsid w:val="00507CC9"/>
    <w:rsid w:val="005108B8"/>
    <w:rsid w:val="00510FAF"/>
    <w:rsid w:val="005119A5"/>
    <w:rsid w:val="00511D1F"/>
    <w:rsid w:val="00512E37"/>
    <w:rsid w:val="00515B50"/>
    <w:rsid w:val="0051646B"/>
    <w:rsid w:val="005175A1"/>
    <w:rsid w:val="00520B8D"/>
    <w:rsid w:val="00521766"/>
    <w:rsid w:val="005225C7"/>
    <w:rsid w:val="0052601B"/>
    <w:rsid w:val="005278B7"/>
    <w:rsid w:val="0053141B"/>
    <w:rsid w:val="00532016"/>
    <w:rsid w:val="005346C8"/>
    <w:rsid w:val="00537464"/>
    <w:rsid w:val="00542634"/>
    <w:rsid w:val="005427BE"/>
    <w:rsid w:val="00543D7D"/>
    <w:rsid w:val="00543E7D"/>
    <w:rsid w:val="00544804"/>
    <w:rsid w:val="00546513"/>
    <w:rsid w:val="00547A68"/>
    <w:rsid w:val="0055085E"/>
    <w:rsid w:val="005531C9"/>
    <w:rsid w:val="00553868"/>
    <w:rsid w:val="00554102"/>
    <w:rsid w:val="0055584C"/>
    <w:rsid w:val="00557075"/>
    <w:rsid w:val="00557C3F"/>
    <w:rsid w:val="00557D9D"/>
    <w:rsid w:val="0056192A"/>
    <w:rsid w:val="00561DE5"/>
    <w:rsid w:val="0056209A"/>
    <w:rsid w:val="00564F01"/>
    <w:rsid w:val="005654F0"/>
    <w:rsid w:val="00565A6F"/>
    <w:rsid w:val="00565FAC"/>
    <w:rsid w:val="00567C75"/>
    <w:rsid w:val="00570C43"/>
    <w:rsid w:val="005723E4"/>
    <w:rsid w:val="00577210"/>
    <w:rsid w:val="0058039E"/>
    <w:rsid w:val="0058257E"/>
    <w:rsid w:val="00582B6F"/>
    <w:rsid w:val="00583021"/>
    <w:rsid w:val="005855AC"/>
    <w:rsid w:val="00585FE5"/>
    <w:rsid w:val="00586B40"/>
    <w:rsid w:val="00592408"/>
    <w:rsid w:val="00595D18"/>
    <w:rsid w:val="005970DF"/>
    <w:rsid w:val="005A0EFA"/>
    <w:rsid w:val="005A1141"/>
    <w:rsid w:val="005A16E3"/>
    <w:rsid w:val="005A1B31"/>
    <w:rsid w:val="005A24C9"/>
    <w:rsid w:val="005A2899"/>
    <w:rsid w:val="005A41D6"/>
    <w:rsid w:val="005A4C9D"/>
    <w:rsid w:val="005B097D"/>
    <w:rsid w:val="005B2110"/>
    <w:rsid w:val="005B2E47"/>
    <w:rsid w:val="005B61E6"/>
    <w:rsid w:val="005B64BD"/>
    <w:rsid w:val="005B77F1"/>
    <w:rsid w:val="005B7C22"/>
    <w:rsid w:val="005C06BE"/>
    <w:rsid w:val="005C1AC8"/>
    <w:rsid w:val="005C3124"/>
    <w:rsid w:val="005C404E"/>
    <w:rsid w:val="005C4DE1"/>
    <w:rsid w:val="005C725B"/>
    <w:rsid w:val="005C77E1"/>
    <w:rsid w:val="005C7FA8"/>
    <w:rsid w:val="005D0A66"/>
    <w:rsid w:val="005D603C"/>
    <w:rsid w:val="005D668A"/>
    <w:rsid w:val="005D6728"/>
    <w:rsid w:val="005D6A2F"/>
    <w:rsid w:val="005E19B3"/>
    <w:rsid w:val="005E1A82"/>
    <w:rsid w:val="005E3C43"/>
    <w:rsid w:val="005E423A"/>
    <w:rsid w:val="005E794C"/>
    <w:rsid w:val="005F0A28"/>
    <w:rsid w:val="005F0E5E"/>
    <w:rsid w:val="005F2A56"/>
    <w:rsid w:val="005F37C4"/>
    <w:rsid w:val="005F3D73"/>
    <w:rsid w:val="005F5DC7"/>
    <w:rsid w:val="005F79A6"/>
    <w:rsid w:val="00600535"/>
    <w:rsid w:val="00601DD2"/>
    <w:rsid w:val="00604765"/>
    <w:rsid w:val="006054A3"/>
    <w:rsid w:val="006059CD"/>
    <w:rsid w:val="00607769"/>
    <w:rsid w:val="0060783C"/>
    <w:rsid w:val="006079D3"/>
    <w:rsid w:val="00610658"/>
    <w:rsid w:val="00610764"/>
    <w:rsid w:val="00610CD6"/>
    <w:rsid w:val="006122CA"/>
    <w:rsid w:val="0061334F"/>
    <w:rsid w:val="00614FF5"/>
    <w:rsid w:val="0061573C"/>
    <w:rsid w:val="00620DEE"/>
    <w:rsid w:val="00621F92"/>
    <w:rsid w:val="0062280A"/>
    <w:rsid w:val="006235D3"/>
    <w:rsid w:val="00623861"/>
    <w:rsid w:val="0062416E"/>
    <w:rsid w:val="00624D1A"/>
    <w:rsid w:val="006254D4"/>
    <w:rsid w:val="00625639"/>
    <w:rsid w:val="0062720C"/>
    <w:rsid w:val="00631B33"/>
    <w:rsid w:val="00633A22"/>
    <w:rsid w:val="006341EE"/>
    <w:rsid w:val="00636919"/>
    <w:rsid w:val="00636C2E"/>
    <w:rsid w:val="00637D52"/>
    <w:rsid w:val="00640145"/>
    <w:rsid w:val="0064077F"/>
    <w:rsid w:val="00640E2F"/>
    <w:rsid w:val="0064184D"/>
    <w:rsid w:val="006422CC"/>
    <w:rsid w:val="00642460"/>
    <w:rsid w:val="00642ECC"/>
    <w:rsid w:val="00643D92"/>
    <w:rsid w:val="00644A06"/>
    <w:rsid w:val="006458BD"/>
    <w:rsid w:val="00646ECE"/>
    <w:rsid w:val="00647622"/>
    <w:rsid w:val="00650363"/>
    <w:rsid w:val="00652AEC"/>
    <w:rsid w:val="00660E3E"/>
    <w:rsid w:val="006625D6"/>
    <w:rsid w:val="00662E74"/>
    <w:rsid w:val="0066388E"/>
    <w:rsid w:val="00667613"/>
    <w:rsid w:val="00670CC9"/>
    <w:rsid w:val="00671D26"/>
    <w:rsid w:val="0067357F"/>
    <w:rsid w:val="00680C23"/>
    <w:rsid w:val="00680C4A"/>
    <w:rsid w:val="00681D7E"/>
    <w:rsid w:val="00681EE4"/>
    <w:rsid w:val="00682A63"/>
    <w:rsid w:val="006844D8"/>
    <w:rsid w:val="00684B88"/>
    <w:rsid w:val="00686BA7"/>
    <w:rsid w:val="00690B2E"/>
    <w:rsid w:val="00690E93"/>
    <w:rsid w:val="00691626"/>
    <w:rsid w:val="006933D4"/>
    <w:rsid w:val="00693766"/>
    <w:rsid w:val="00693E94"/>
    <w:rsid w:val="006954A6"/>
    <w:rsid w:val="006A01EC"/>
    <w:rsid w:val="006A0695"/>
    <w:rsid w:val="006A1DE3"/>
    <w:rsid w:val="006A3281"/>
    <w:rsid w:val="006A3CF0"/>
    <w:rsid w:val="006A444E"/>
    <w:rsid w:val="006A45F2"/>
    <w:rsid w:val="006A4FDB"/>
    <w:rsid w:val="006A613C"/>
    <w:rsid w:val="006A6ADD"/>
    <w:rsid w:val="006A6DDD"/>
    <w:rsid w:val="006A7DD3"/>
    <w:rsid w:val="006B04C4"/>
    <w:rsid w:val="006B1A61"/>
    <w:rsid w:val="006B3A37"/>
    <w:rsid w:val="006B4888"/>
    <w:rsid w:val="006B5E65"/>
    <w:rsid w:val="006B754C"/>
    <w:rsid w:val="006C1F88"/>
    <w:rsid w:val="006C2E45"/>
    <w:rsid w:val="006C359C"/>
    <w:rsid w:val="006C44E7"/>
    <w:rsid w:val="006C5579"/>
    <w:rsid w:val="006C5D5B"/>
    <w:rsid w:val="006C7445"/>
    <w:rsid w:val="006D08A9"/>
    <w:rsid w:val="006D386E"/>
    <w:rsid w:val="006D5F19"/>
    <w:rsid w:val="006D6C78"/>
    <w:rsid w:val="006D6E8B"/>
    <w:rsid w:val="006E0010"/>
    <w:rsid w:val="006E099C"/>
    <w:rsid w:val="006E1DD2"/>
    <w:rsid w:val="006E20A9"/>
    <w:rsid w:val="006E2666"/>
    <w:rsid w:val="006E2C27"/>
    <w:rsid w:val="006E5FCB"/>
    <w:rsid w:val="006E6343"/>
    <w:rsid w:val="006E6FDC"/>
    <w:rsid w:val="006E737D"/>
    <w:rsid w:val="006E7469"/>
    <w:rsid w:val="006E7A29"/>
    <w:rsid w:val="006F037D"/>
    <w:rsid w:val="006F0F69"/>
    <w:rsid w:val="006F19C0"/>
    <w:rsid w:val="006F1E08"/>
    <w:rsid w:val="006F4DE1"/>
    <w:rsid w:val="006F668A"/>
    <w:rsid w:val="00700A9E"/>
    <w:rsid w:val="007010B6"/>
    <w:rsid w:val="00701A8B"/>
    <w:rsid w:val="00705F71"/>
    <w:rsid w:val="00706F76"/>
    <w:rsid w:val="0071124D"/>
    <w:rsid w:val="007115FC"/>
    <w:rsid w:val="00712530"/>
    <w:rsid w:val="007125FB"/>
    <w:rsid w:val="00713973"/>
    <w:rsid w:val="00714C55"/>
    <w:rsid w:val="00715C60"/>
    <w:rsid w:val="0072026C"/>
    <w:rsid w:val="00720A24"/>
    <w:rsid w:val="00722A0C"/>
    <w:rsid w:val="00726558"/>
    <w:rsid w:val="0072753B"/>
    <w:rsid w:val="007278AE"/>
    <w:rsid w:val="0073015D"/>
    <w:rsid w:val="00730905"/>
    <w:rsid w:val="00730BA0"/>
    <w:rsid w:val="00732386"/>
    <w:rsid w:val="0073353B"/>
    <w:rsid w:val="00734DBC"/>
    <w:rsid w:val="00734EB5"/>
    <w:rsid w:val="0073514D"/>
    <w:rsid w:val="007357F0"/>
    <w:rsid w:val="007416A7"/>
    <w:rsid w:val="007437BF"/>
    <w:rsid w:val="007447F3"/>
    <w:rsid w:val="00752408"/>
    <w:rsid w:val="00753CCF"/>
    <w:rsid w:val="007546F1"/>
    <w:rsid w:val="0075499F"/>
    <w:rsid w:val="0075521D"/>
    <w:rsid w:val="00756F5F"/>
    <w:rsid w:val="007574F5"/>
    <w:rsid w:val="00757A20"/>
    <w:rsid w:val="00760F8E"/>
    <w:rsid w:val="00761157"/>
    <w:rsid w:val="00764C79"/>
    <w:rsid w:val="00765741"/>
    <w:rsid w:val="007661C8"/>
    <w:rsid w:val="00767D65"/>
    <w:rsid w:val="0077098D"/>
    <w:rsid w:val="00771799"/>
    <w:rsid w:val="007740BE"/>
    <w:rsid w:val="00774383"/>
    <w:rsid w:val="007763AF"/>
    <w:rsid w:val="0078073F"/>
    <w:rsid w:val="00784F67"/>
    <w:rsid w:val="007931FA"/>
    <w:rsid w:val="0079508B"/>
    <w:rsid w:val="007A0380"/>
    <w:rsid w:val="007A192C"/>
    <w:rsid w:val="007A4861"/>
    <w:rsid w:val="007A7BBA"/>
    <w:rsid w:val="007B0C50"/>
    <w:rsid w:val="007B3510"/>
    <w:rsid w:val="007B47EA"/>
    <w:rsid w:val="007B48F9"/>
    <w:rsid w:val="007B4E06"/>
    <w:rsid w:val="007B771B"/>
    <w:rsid w:val="007B773A"/>
    <w:rsid w:val="007B79E5"/>
    <w:rsid w:val="007C1A43"/>
    <w:rsid w:val="007C284F"/>
    <w:rsid w:val="007C5FC8"/>
    <w:rsid w:val="007D2518"/>
    <w:rsid w:val="007D2D75"/>
    <w:rsid w:val="007D4442"/>
    <w:rsid w:val="007D54DB"/>
    <w:rsid w:val="007D692D"/>
    <w:rsid w:val="007D6D21"/>
    <w:rsid w:val="007E4CC8"/>
    <w:rsid w:val="007E4E24"/>
    <w:rsid w:val="007E5624"/>
    <w:rsid w:val="007E5CBD"/>
    <w:rsid w:val="007E621F"/>
    <w:rsid w:val="007E6313"/>
    <w:rsid w:val="007F0330"/>
    <w:rsid w:val="007F0E1D"/>
    <w:rsid w:val="007F3120"/>
    <w:rsid w:val="007F405B"/>
    <w:rsid w:val="007F6488"/>
    <w:rsid w:val="007F68F8"/>
    <w:rsid w:val="007F7520"/>
    <w:rsid w:val="0080013E"/>
    <w:rsid w:val="00801203"/>
    <w:rsid w:val="00801B0F"/>
    <w:rsid w:val="00802AE5"/>
    <w:rsid w:val="00803C3B"/>
    <w:rsid w:val="00803E49"/>
    <w:rsid w:val="0080420F"/>
    <w:rsid w:val="00805819"/>
    <w:rsid w:val="00810C91"/>
    <w:rsid w:val="00812D7E"/>
    <w:rsid w:val="00813288"/>
    <w:rsid w:val="00813A1D"/>
    <w:rsid w:val="00814450"/>
    <w:rsid w:val="00814873"/>
    <w:rsid w:val="00814F5C"/>
    <w:rsid w:val="0081524E"/>
    <w:rsid w:val="00815CDB"/>
    <w:rsid w:val="008168FC"/>
    <w:rsid w:val="008176AC"/>
    <w:rsid w:val="0082203D"/>
    <w:rsid w:val="00823729"/>
    <w:rsid w:val="0082549F"/>
    <w:rsid w:val="008272C3"/>
    <w:rsid w:val="008306EB"/>
    <w:rsid w:val="00830996"/>
    <w:rsid w:val="00833A75"/>
    <w:rsid w:val="00833EAB"/>
    <w:rsid w:val="008344A0"/>
    <w:rsid w:val="008345F1"/>
    <w:rsid w:val="00835207"/>
    <w:rsid w:val="00835D82"/>
    <w:rsid w:val="00836DBC"/>
    <w:rsid w:val="008377DE"/>
    <w:rsid w:val="00840EA2"/>
    <w:rsid w:val="00841B22"/>
    <w:rsid w:val="00842EDD"/>
    <w:rsid w:val="00843162"/>
    <w:rsid w:val="0084317B"/>
    <w:rsid w:val="00843CDE"/>
    <w:rsid w:val="00844560"/>
    <w:rsid w:val="00845D25"/>
    <w:rsid w:val="00853635"/>
    <w:rsid w:val="0085406D"/>
    <w:rsid w:val="008544C5"/>
    <w:rsid w:val="00854F35"/>
    <w:rsid w:val="00855871"/>
    <w:rsid w:val="00855F93"/>
    <w:rsid w:val="0086382E"/>
    <w:rsid w:val="00863C16"/>
    <w:rsid w:val="00863DED"/>
    <w:rsid w:val="008647DF"/>
    <w:rsid w:val="00865B07"/>
    <w:rsid w:val="008667EA"/>
    <w:rsid w:val="00871BEF"/>
    <w:rsid w:val="00873ECC"/>
    <w:rsid w:val="00874D79"/>
    <w:rsid w:val="0087637F"/>
    <w:rsid w:val="0087688E"/>
    <w:rsid w:val="00880C1E"/>
    <w:rsid w:val="00881462"/>
    <w:rsid w:val="008841C6"/>
    <w:rsid w:val="00884232"/>
    <w:rsid w:val="00885E9E"/>
    <w:rsid w:val="00887E3F"/>
    <w:rsid w:val="0089091C"/>
    <w:rsid w:val="00891AC9"/>
    <w:rsid w:val="00891FB2"/>
    <w:rsid w:val="00892156"/>
    <w:rsid w:val="00892AD5"/>
    <w:rsid w:val="008938BE"/>
    <w:rsid w:val="00897FE9"/>
    <w:rsid w:val="008A1512"/>
    <w:rsid w:val="008B026B"/>
    <w:rsid w:val="008B22A9"/>
    <w:rsid w:val="008B5B13"/>
    <w:rsid w:val="008B5C47"/>
    <w:rsid w:val="008B6D9D"/>
    <w:rsid w:val="008C2401"/>
    <w:rsid w:val="008C5C94"/>
    <w:rsid w:val="008C7178"/>
    <w:rsid w:val="008C74D6"/>
    <w:rsid w:val="008C754E"/>
    <w:rsid w:val="008D193E"/>
    <w:rsid w:val="008D2BCC"/>
    <w:rsid w:val="008D32B9"/>
    <w:rsid w:val="008D433B"/>
    <w:rsid w:val="008D6002"/>
    <w:rsid w:val="008D6954"/>
    <w:rsid w:val="008D6F96"/>
    <w:rsid w:val="008D7F80"/>
    <w:rsid w:val="008E1AB9"/>
    <w:rsid w:val="008E566E"/>
    <w:rsid w:val="008E6333"/>
    <w:rsid w:val="008F07C3"/>
    <w:rsid w:val="008F317B"/>
    <w:rsid w:val="008F4151"/>
    <w:rsid w:val="008F4382"/>
    <w:rsid w:val="008F443C"/>
    <w:rsid w:val="00900092"/>
    <w:rsid w:val="00900245"/>
    <w:rsid w:val="0090097E"/>
    <w:rsid w:val="0090161A"/>
    <w:rsid w:val="00901EB6"/>
    <w:rsid w:val="00902B37"/>
    <w:rsid w:val="00904977"/>
    <w:rsid w:val="00904C62"/>
    <w:rsid w:val="00905CAC"/>
    <w:rsid w:val="0090666A"/>
    <w:rsid w:val="00907926"/>
    <w:rsid w:val="00910D3A"/>
    <w:rsid w:val="00915A03"/>
    <w:rsid w:val="00922BA8"/>
    <w:rsid w:val="009232C3"/>
    <w:rsid w:val="0092463F"/>
    <w:rsid w:val="00924DAC"/>
    <w:rsid w:val="00927058"/>
    <w:rsid w:val="009304EB"/>
    <w:rsid w:val="00930E4C"/>
    <w:rsid w:val="00932243"/>
    <w:rsid w:val="00932B76"/>
    <w:rsid w:val="0093473F"/>
    <w:rsid w:val="00934A6D"/>
    <w:rsid w:val="00937CA9"/>
    <w:rsid w:val="00942750"/>
    <w:rsid w:val="009450CE"/>
    <w:rsid w:val="00947179"/>
    <w:rsid w:val="0095095A"/>
    <w:rsid w:val="0095164B"/>
    <w:rsid w:val="00952BAA"/>
    <w:rsid w:val="00954090"/>
    <w:rsid w:val="00957022"/>
    <w:rsid w:val="009573E7"/>
    <w:rsid w:val="00957616"/>
    <w:rsid w:val="00960DD3"/>
    <w:rsid w:val="00963E05"/>
    <w:rsid w:val="0096493A"/>
    <w:rsid w:val="00965004"/>
    <w:rsid w:val="009664CC"/>
    <w:rsid w:val="00967843"/>
    <w:rsid w:val="00967D54"/>
    <w:rsid w:val="00971028"/>
    <w:rsid w:val="009727A0"/>
    <w:rsid w:val="009753F1"/>
    <w:rsid w:val="00975CAC"/>
    <w:rsid w:val="009818E8"/>
    <w:rsid w:val="009832A5"/>
    <w:rsid w:val="009832C6"/>
    <w:rsid w:val="00986771"/>
    <w:rsid w:val="0098684B"/>
    <w:rsid w:val="009917BE"/>
    <w:rsid w:val="00992F17"/>
    <w:rsid w:val="00993B84"/>
    <w:rsid w:val="00995077"/>
    <w:rsid w:val="0099644E"/>
    <w:rsid w:val="00996483"/>
    <w:rsid w:val="00996F5A"/>
    <w:rsid w:val="009A07CD"/>
    <w:rsid w:val="009A10D8"/>
    <w:rsid w:val="009A2AC8"/>
    <w:rsid w:val="009A6056"/>
    <w:rsid w:val="009A6AAD"/>
    <w:rsid w:val="009A7455"/>
    <w:rsid w:val="009B041A"/>
    <w:rsid w:val="009B3FDE"/>
    <w:rsid w:val="009B4082"/>
    <w:rsid w:val="009C1B39"/>
    <w:rsid w:val="009C37C3"/>
    <w:rsid w:val="009C43CB"/>
    <w:rsid w:val="009C5275"/>
    <w:rsid w:val="009C6F38"/>
    <w:rsid w:val="009C7C86"/>
    <w:rsid w:val="009D14F8"/>
    <w:rsid w:val="009D1D60"/>
    <w:rsid w:val="009D2FF7"/>
    <w:rsid w:val="009D38FF"/>
    <w:rsid w:val="009D5142"/>
    <w:rsid w:val="009D55E5"/>
    <w:rsid w:val="009D5A90"/>
    <w:rsid w:val="009D6AD2"/>
    <w:rsid w:val="009E074B"/>
    <w:rsid w:val="009E0906"/>
    <w:rsid w:val="009E0D7B"/>
    <w:rsid w:val="009E5377"/>
    <w:rsid w:val="009E723B"/>
    <w:rsid w:val="009E7884"/>
    <w:rsid w:val="009E788A"/>
    <w:rsid w:val="009F0757"/>
    <w:rsid w:val="009F0E08"/>
    <w:rsid w:val="009F1BE7"/>
    <w:rsid w:val="009F293F"/>
    <w:rsid w:val="009F6BC4"/>
    <w:rsid w:val="009F6E2A"/>
    <w:rsid w:val="00A01CC1"/>
    <w:rsid w:val="00A01FC5"/>
    <w:rsid w:val="00A041E7"/>
    <w:rsid w:val="00A069AC"/>
    <w:rsid w:val="00A10F21"/>
    <w:rsid w:val="00A13A29"/>
    <w:rsid w:val="00A1763D"/>
    <w:rsid w:val="00A17CEC"/>
    <w:rsid w:val="00A20C6D"/>
    <w:rsid w:val="00A2195F"/>
    <w:rsid w:val="00A22769"/>
    <w:rsid w:val="00A246A4"/>
    <w:rsid w:val="00A26C72"/>
    <w:rsid w:val="00A27EF0"/>
    <w:rsid w:val="00A307A1"/>
    <w:rsid w:val="00A30A71"/>
    <w:rsid w:val="00A3251A"/>
    <w:rsid w:val="00A34B91"/>
    <w:rsid w:val="00A34E80"/>
    <w:rsid w:val="00A3788A"/>
    <w:rsid w:val="00A41214"/>
    <w:rsid w:val="00A419F3"/>
    <w:rsid w:val="00A42361"/>
    <w:rsid w:val="00A42A9B"/>
    <w:rsid w:val="00A43AD1"/>
    <w:rsid w:val="00A45185"/>
    <w:rsid w:val="00A455CC"/>
    <w:rsid w:val="00A455D8"/>
    <w:rsid w:val="00A4621F"/>
    <w:rsid w:val="00A46BF9"/>
    <w:rsid w:val="00A47742"/>
    <w:rsid w:val="00A47C56"/>
    <w:rsid w:val="00A47F15"/>
    <w:rsid w:val="00A50B20"/>
    <w:rsid w:val="00A50D92"/>
    <w:rsid w:val="00A51390"/>
    <w:rsid w:val="00A51702"/>
    <w:rsid w:val="00A53413"/>
    <w:rsid w:val="00A540A0"/>
    <w:rsid w:val="00A544C6"/>
    <w:rsid w:val="00A60243"/>
    <w:rsid w:val="00A60D13"/>
    <w:rsid w:val="00A644C9"/>
    <w:rsid w:val="00A65E5F"/>
    <w:rsid w:val="00A65F20"/>
    <w:rsid w:val="00A70C39"/>
    <w:rsid w:val="00A71AC6"/>
    <w:rsid w:val="00A72422"/>
    <w:rsid w:val="00A72745"/>
    <w:rsid w:val="00A760AC"/>
    <w:rsid w:val="00A76EFC"/>
    <w:rsid w:val="00A80E63"/>
    <w:rsid w:val="00A87D64"/>
    <w:rsid w:val="00A91009"/>
    <w:rsid w:val="00A91010"/>
    <w:rsid w:val="00A92B4F"/>
    <w:rsid w:val="00A932FA"/>
    <w:rsid w:val="00A940E1"/>
    <w:rsid w:val="00A946B2"/>
    <w:rsid w:val="00A946F2"/>
    <w:rsid w:val="00A94BD2"/>
    <w:rsid w:val="00A95F46"/>
    <w:rsid w:val="00A97F29"/>
    <w:rsid w:val="00AA1713"/>
    <w:rsid w:val="00AA5C1B"/>
    <w:rsid w:val="00AA702E"/>
    <w:rsid w:val="00AB0964"/>
    <w:rsid w:val="00AB4F22"/>
    <w:rsid w:val="00AB5011"/>
    <w:rsid w:val="00AB63DC"/>
    <w:rsid w:val="00AC0B45"/>
    <w:rsid w:val="00AC112E"/>
    <w:rsid w:val="00AC159C"/>
    <w:rsid w:val="00AC1AA8"/>
    <w:rsid w:val="00AC23A6"/>
    <w:rsid w:val="00AC4577"/>
    <w:rsid w:val="00AC6A5B"/>
    <w:rsid w:val="00AC7368"/>
    <w:rsid w:val="00AD16B9"/>
    <w:rsid w:val="00AD676F"/>
    <w:rsid w:val="00AD7AFC"/>
    <w:rsid w:val="00AD7D95"/>
    <w:rsid w:val="00AE2861"/>
    <w:rsid w:val="00AE377D"/>
    <w:rsid w:val="00AE433E"/>
    <w:rsid w:val="00AE44D5"/>
    <w:rsid w:val="00AE7102"/>
    <w:rsid w:val="00AF0EBA"/>
    <w:rsid w:val="00AF3007"/>
    <w:rsid w:val="00AF5095"/>
    <w:rsid w:val="00AF7C24"/>
    <w:rsid w:val="00B029A8"/>
    <w:rsid w:val="00B02C8A"/>
    <w:rsid w:val="00B03200"/>
    <w:rsid w:val="00B04DD5"/>
    <w:rsid w:val="00B06B86"/>
    <w:rsid w:val="00B07BBF"/>
    <w:rsid w:val="00B10F12"/>
    <w:rsid w:val="00B11184"/>
    <w:rsid w:val="00B120DA"/>
    <w:rsid w:val="00B144BC"/>
    <w:rsid w:val="00B15F59"/>
    <w:rsid w:val="00B1688A"/>
    <w:rsid w:val="00B173A5"/>
    <w:rsid w:val="00B178E4"/>
    <w:rsid w:val="00B17FBD"/>
    <w:rsid w:val="00B212FA"/>
    <w:rsid w:val="00B2300E"/>
    <w:rsid w:val="00B23267"/>
    <w:rsid w:val="00B275EB"/>
    <w:rsid w:val="00B315A6"/>
    <w:rsid w:val="00B31813"/>
    <w:rsid w:val="00B33365"/>
    <w:rsid w:val="00B34A9C"/>
    <w:rsid w:val="00B35712"/>
    <w:rsid w:val="00B37F58"/>
    <w:rsid w:val="00B4013E"/>
    <w:rsid w:val="00B42016"/>
    <w:rsid w:val="00B450EE"/>
    <w:rsid w:val="00B4547A"/>
    <w:rsid w:val="00B46017"/>
    <w:rsid w:val="00B463BF"/>
    <w:rsid w:val="00B538E1"/>
    <w:rsid w:val="00B53EF9"/>
    <w:rsid w:val="00B55AEE"/>
    <w:rsid w:val="00B56F87"/>
    <w:rsid w:val="00B57180"/>
    <w:rsid w:val="00B57B36"/>
    <w:rsid w:val="00B57E6F"/>
    <w:rsid w:val="00B60E5F"/>
    <w:rsid w:val="00B62AFD"/>
    <w:rsid w:val="00B636C1"/>
    <w:rsid w:val="00B67682"/>
    <w:rsid w:val="00B67AE0"/>
    <w:rsid w:val="00B70846"/>
    <w:rsid w:val="00B71333"/>
    <w:rsid w:val="00B71ACD"/>
    <w:rsid w:val="00B73AAF"/>
    <w:rsid w:val="00B747AB"/>
    <w:rsid w:val="00B7487F"/>
    <w:rsid w:val="00B768FE"/>
    <w:rsid w:val="00B76F92"/>
    <w:rsid w:val="00B773DA"/>
    <w:rsid w:val="00B8372B"/>
    <w:rsid w:val="00B85161"/>
    <w:rsid w:val="00B8686D"/>
    <w:rsid w:val="00B90DBF"/>
    <w:rsid w:val="00B90F32"/>
    <w:rsid w:val="00B916E3"/>
    <w:rsid w:val="00B91DDD"/>
    <w:rsid w:val="00B92EB4"/>
    <w:rsid w:val="00B93F69"/>
    <w:rsid w:val="00B94C19"/>
    <w:rsid w:val="00B96F9D"/>
    <w:rsid w:val="00B97304"/>
    <w:rsid w:val="00B9740D"/>
    <w:rsid w:val="00B97CE3"/>
    <w:rsid w:val="00BA07F1"/>
    <w:rsid w:val="00BA13B8"/>
    <w:rsid w:val="00BA1CE2"/>
    <w:rsid w:val="00BA2D02"/>
    <w:rsid w:val="00BA43D4"/>
    <w:rsid w:val="00BA4DC3"/>
    <w:rsid w:val="00BA5459"/>
    <w:rsid w:val="00BA574C"/>
    <w:rsid w:val="00BB1060"/>
    <w:rsid w:val="00BB1583"/>
    <w:rsid w:val="00BB1853"/>
    <w:rsid w:val="00BB1DDC"/>
    <w:rsid w:val="00BB3AD1"/>
    <w:rsid w:val="00BB41D7"/>
    <w:rsid w:val="00BB6A46"/>
    <w:rsid w:val="00BB6BBC"/>
    <w:rsid w:val="00BC0C03"/>
    <w:rsid w:val="00BC2997"/>
    <w:rsid w:val="00BC30C9"/>
    <w:rsid w:val="00BC37A9"/>
    <w:rsid w:val="00BC5866"/>
    <w:rsid w:val="00BC6826"/>
    <w:rsid w:val="00BC7BDC"/>
    <w:rsid w:val="00BD077D"/>
    <w:rsid w:val="00BD0E3A"/>
    <w:rsid w:val="00BD2048"/>
    <w:rsid w:val="00BD42A8"/>
    <w:rsid w:val="00BD75F0"/>
    <w:rsid w:val="00BE1C32"/>
    <w:rsid w:val="00BE3E58"/>
    <w:rsid w:val="00BF16B5"/>
    <w:rsid w:val="00BF2D92"/>
    <w:rsid w:val="00C01616"/>
    <w:rsid w:val="00C0162B"/>
    <w:rsid w:val="00C01C61"/>
    <w:rsid w:val="00C04C03"/>
    <w:rsid w:val="00C059E8"/>
    <w:rsid w:val="00C05F96"/>
    <w:rsid w:val="00C068ED"/>
    <w:rsid w:val="00C07E51"/>
    <w:rsid w:val="00C107E1"/>
    <w:rsid w:val="00C10B95"/>
    <w:rsid w:val="00C10E92"/>
    <w:rsid w:val="00C123C1"/>
    <w:rsid w:val="00C1535C"/>
    <w:rsid w:val="00C16482"/>
    <w:rsid w:val="00C21A37"/>
    <w:rsid w:val="00C22E0C"/>
    <w:rsid w:val="00C24AD4"/>
    <w:rsid w:val="00C24E0A"/>
    <w:rsid w:val="00C270A1"/>
    <w:rsid w:val="00C2712D"/>
    <w:rsid w:val="00C27D74"/>
    <w:rsid w:val="00C32B36"/>
    <w:rsid w:val="00C345B1"/>
    <w:rsid w:val="00C34660"/>
    <w:rsid w:val="00C3525D"/>
    <w:rsid w:val="00C357AC"/>
    <w:rsid w:val="00C37448"/>
    <w:rsid w:val="00C40142"/>
    <w:rsid w:val="00C429BD"/>
    <w:rsid w:val="00C42E0D"/>
    <w:rsid w:val="00C4372F"/>
    <w:rsid w:val="00C443F7"/>
    <w:rsid w:val="00C45163"/>
    <w:rsid w:val="00C4623C"/>
    <w:rsid w:val="00C51034"/>
    <w:rsid w:val="00C5138D"/>
    <w:rsid w:val="00C51AFA"/>
    <w:rsid w:val="00C51BBA"/>
    <w:rsid w:val="00C52C3C"/>
    <w:rsid w:val="00C57182"/>
    <w:rsid w:val="00C57863"/>
    <w:rsid w:val="00C606F3"/>
    <w:rsid w:val="00C607D3"/>
    <w:rsid w:val="00C62399"/>
    <w:rsid w:val="00C6310C"/>
    <w:rsid w:val="00C63179"/>
    <w:rsid w:val="00C65138"/>
    <w:rsid w:val="00C655FD"/>
    <w:rsid w:val="00C66CAF"/>
    <w:rsid w:val="00C7191B"/>
    <w:rsid w:val="00C7357E"/>
    <w:rsid w:val="00C75407"/>
    <w:rsid w:val="00C75B15"/>
    <w:rsid w:val="00C75D4E"/>
    <w:rsid w:val="00C77869"/>
    <w:rsid w:val="00C778BF"/>
    <w:rsid w:val="00C77ACD"/>
    <w:rsid w:val="00C809EF"/>
    <w:rsid w:val="00C81029"/>
    <w:rsid w:val="00C81444"/>
    <w:rsid w:val="00C83047"/>
    <w:rsid w:val="00C83329"/>
    <w:rsid w:val="00C83EC0"/>
    <w:rsid w:val="00C86327"/>
    <w:rsid w:val="00C870A8"/>
    <w:rsid w:val="00C8725F"/>
    <w:rsid w:val="00C90583"/>
    <w:rsid w:val="00C90904"/>
    <w:rsid w:val="00C931EB"/>
    <w:rsid w:val="00C94434"/>
    <w:rsid w:val="00C971CF"/>
    <w:rsid w:val="00C97C05"/>
    <w:rsid w:val="00CA0D75"/>
    <w:rsid w:val="00CA1C95"/>
    <w:rsid w:val="00CA3EF5"/>
    <w:rsid w:val="00CA45CE"/>
    <w:rsid w:val="00CA481E"/>
    <w:rsid w:val="00CA5117"/>
    <w:rsid w:val="00CA56D7"/>
    <w:rsid w:val="00CA5A9C"/>
    <w:rsid w:val="00CB2D5E"/>
    <w:rsid w:val="00CB2F70"/>
    <w:rsid w:val="00CB3786"/>
    <w:rsid w:val="00CB3B8F"/>
    <w:rsid w:val="00CB5706"/>
    <w:rsid w:val="00CC023E"/>
    <w:rsid w:val="00CC0892"/>
    <w:rsid w:val="00CC2F13"/>
    <w:rsid w:val="00CC4C20"/>
    <w:rsid w:val="00CC5E25"/>
    <w:rsid w:val="00CD0922"/>
    <w:rsid w:val="00CD0D7E"/>
    <w:rsid w:val="00CD1EED"/>
    <w:rsid w:val="00CD2443"/>
    <w:rsid w:val="00CD2B74"/>
    <w:rsid w:val="00CD2C08"/>
    <w:rsid w:val="00CD3517"/>
    <w:rsid w:val="00CD5FE2"/>
    <w:rsid w:val="00CD63C9"/>
    <w:rsid w:val="00CD7C39"/>
    <w:rsid w:val="00CE0A0A"/>
    <w:rsid w:val="00CE0CD0"/>
    <w:rsid w:val="00CE15DA"/>
    <w:rsid w:val="00CE173B"/>
    <w:rsid w:val="00CE1F7B"/>
    <w:rsid w:val="00CE7C68"/>
    <w:rsid w:val="00CF076A"/>
    <w:rsid w:val="00CF0F48"/>
    <w:rsid w:val="00CF22F5"/>
    <w:rsid w:val="00CF2603"/>
    <w:rsid w:val="00CF7578"/>
    <w:rsid w:val="00D029BB"/>
    <w:rsid w:val="00D02B4C"/>
    <w:rsid w:val="00D040C4"/>
    <w:rsid w:val="00D07F6F"/>
    <w:rsid w:val="00D108B5"/>
    <w:rsid w:val="00D11270"/>
    <w:rsid w:val="00D12307"/>
    <w:rsid w:val="00D1329F"/>
    <w:rsid w:val="00D13C0C"/>
    <w:rsid w:val="00D14114"/>
    <w:rsid w:val="00D147B1"/>
    <w:rsid w:val="00D15B20"/>
    <w:rsid w:val="00D1679F"/>
    <w:rsid w:val="00D16FBF"/>
    <w:rsid w:val="00D17D0B"/>
    <w:rsid w:val="00D22959"/>
    <w:rsid w:val="00D2346F"/>
    <w:rsid w:val="00D23B2A"/>
    <w:rsid w:val="00D2460C"/>
    <w:rsid w:val="00D26DAB"/>
    <w:rsid w:val="00D27437"/>
    <w:rsid w:val="00D30BBD"/>
    <w:rsid w:val="00D314D2"/>
    <w:rsid w:val="00D31940"/>
    <w:rsid w:val="00D31A6A"/>
    <w:rsid w:val="00D32149"/>
    <w:rsid w:val="00D33385"/>
    <w:rsid w:val="00D40AB8"/>
    <w:rsid w:val="00D43175"/>
    <w:rsid w:val="00D4317B"/>
    <w:rsid w:val="00D4493F"/>
    <w:rsid w:val="00D452BA"/>
    <w:rsid w:val="00D4695F"/>
    <w:rsid w:val="00D46B7E"/>
    <w:rsid w:val="00D5477C"/>
    <w:rsid w:val="00D57C84"/>
    <w:rsid w:val="00D6057D"/>
    <w:rsid w:val="00D61E89"/>
    <w:rsid w:val="00D65483"/>
    <w:rsid w:val="00D657B5"/>
    <w:rsid w:val="00D66C95"/>
    <w:rsid w:val="00D673DF"/>
    <w:rsid w:val="00D7359F"/>
    <w:rsid w:val="00D75483"/>
    <w:rsid w:val="00D758EB"/>
    <w:rsid w:val="00D7608D"/>
    <w:rsid w:val="00D76915"/>
    <w:rsid w:val="00D80A6B"/>
    <w:rsid w:val="00D817D4"/>
    <w:rsid w:val="00D81B56"/>
    <w:rsid w:val="00D83177"/>
    <w:rsid w:val="00D83676"/>
    <w:rsid w:val="00D836C5"/>
    <w:rsid w:val="00D84576"/>
    <w:rsid w:val="00D850AF"/>
    <w:rsid w:val="00D8522A"/>
    <w:rsid w:val="00D85320"/>
    <w:rsid w:val="00D86E5A"/>
    <w:rsid w:val="00D9201C"/>
    <w:rsid w:val="00D94097"/>
    <w:rsid w:val="00DA0C97"/>
    <w:rsid w:val="00DA1399"/>
    <w:rsid w:val="00DA1908"/>
    <w:rsid w:val="00DA24C6"/>
    <w:rsid w:val="00DA4D7B"/>
    <w:rsid w:val="00DA612D"/>
    <w:rsid w:val="00DA6654"/>
    <w:rsid w:val="00DA75FF"/>
    <w:rsid w:val="00DA7C15"/>
    <w:rsid w:val="00DB0E1D"/>
    <w:rsid w:val="00DB104C"/>
    <w:rsid w:val="00DB283E"/>
    <w:rsid w:val="00DB464B"/>
    <w:rsid w:val="00DB522C"/>
    <w:rsid w:val="00DB5C4D"/>
    <w:rsid w:val="00DC2091"/>
    <w:rsid w:val="00DC2A17"/>
    <w:rsid w:val="00DC2C61"/>
    <w:rsid w:val="00DC3813"/>
    <w:rsid w:val="00DC4B5E"/>
    <w:rsid w:val="00DC72F9"/>
    <w:rsid w:val="00DD2B80"/>
    <w:rsid w:val="00DD2F0A"/>
    <w:rsid w:val="00DD35EB"/>
    <w:rsid w:val="00DD3721"/>
    <w:rsid w:val="00DD3BBA"/>
    <w:rsid w:val="00DE0383"/>
    <w:rsid w:val="00DE0E1E"/>
    <w:rsid w:val="00DE1B95"/>
    <w:rsid w:val="00DE264A"/>
    <w:rsid w:val="00DE5502"/>
    <w:rsid w:val="00DE559B"/>
    <w:rsid w:val="00DE7136"/>
    <w:rsid w:val="00DF35A9"/>
    <w:rsid w:val="00DF5072"/>
    <w:rsid w:val="00DF748D"/>
    <w:rsid w:val="00E013C7"/>
    <w:rsid w:val="00E023DA"/>
    <w:rsid w:val="00E02D18"/>
    <w:rsid w:val="00E034A8"/>
    <w:rsid w:val="00E041E7"/>
    <w:rsid w:val="00E047DE"/>
    <w:rsid w:val="00E04FF3"/>
    <w:rsid w:val="00E071C4"/>
    <w:rsid w:val="00E1070E"/>
    <w:rsid w:val="00E12A60"/>
    <w:rsid w:val="00E132CF"/>
    <w:rsid w:val="00E13C13"/>
    <w:rsid w:val="00E14641"/>
    <w:rsid w:val="00E15540"/>
    <w:rsid w:val="00E15D9C"/>
    <w:rsid w:val="00E16C61"/>
    <w:rsid w:val="00E16E82"/>
    <w:rsid w:val="00E22929"/>
    <w:rsid w:val="00E23CA1"/>
    <w:rsid w:val="00E25986"/>
    <w:rsid w:val="00E278FD"/>
    <w:rsid w:val="00E31B28"/>
    <w:rsid w:val="00E33033"/>
    <w:rsid w:val="00E33246"/>
    <w:rsid w:val="00E34E89"/>
    <w:rsid w:val="00E37804"/>
    <w:rsid w:val="00E409A8"/>
    <w:rsid w:val="00E411CB"/>
    <w:rsid w:val="00E465FD"/>
    <w:rsid w:val="00E50C12"/>
    <w:rsid w:val="00E52262"/>
    <w:rsid w:val="00E53C36"/>
    <w:rsid w:val="00E54027"/>
    <w:rsid w:val="00E54D31"/>
    <w:rsid w:val="00E54D4D"/>
    <w:rsid w:val="00E54DA3"/>
    <w:rsid w:val="00E559C8"/>
    <w:rsid w:val="00E56BEA"/>
    <w:rsid w:val="00E57264"/>
    <w:rsid w:val="00E579B6"/>
    <w:rsid w:val="00E60519"/>
    <w:rsid w:val="00E63CDC"/>
    <w:rsid w:val="00E6449D"/>
    <w:rsid w:val="00E65011"/>
    <w:rsid w:val="00E65B91"/>
    <w:rsid w:val="00E65C70"/>
    <w:rsid w:val="00E66234"/>
    <w:rsid w:val="00E70C98"/>
    <w:rsid w:val="00E7209D"/>
    <w:rsid w:val="00E72EAD"/>
    <w:rsid w:val="00E77223"/>
    <w:rsid w:val="00E77818"/>
    <w:rsid w:val="00E81430"/>
    <w:rsid w:val="00E8528B"/>
    <w:rsid w:val="00E85316"/>
    <w:rsid w:val="00E85B94"/>
    <w:rsid w:val="00E911CA"/>
    <w:rsid w:val="00E9282F"/>
    <w:rsid w:val="00E93186"/>
    <w:rsid w:val="00E93837"/>
    <w:rsid w:val="00E94C2D"/>
    <w:rsid w:val="00E970D6"/>
    <w:rsid w:val="00E978D0"/>
    <w:rsid w:val="00E97D7E"/>
    <w:rsid w:val="00EA4613"/>
    <w:rsid w:val="00EA4AFC"/>
    <w:rsid w:val="00EA7F91"/>
    <w:rsid w:val="00EB0A8B"/>
    <w:rsid w:val="00EB1523"/>
    <w:rsid w:val="00EB27AE"/>
    <w:rsid w:val="00EB5851"/>
    <w:rsid w:val="00EB58DB"/>
    <w:rsid w:val="00EB5BAB"/>
    <w:rsid w:val="00EB5E96"/>
    <w:rsid w:val="00EB5F3F"/>
    <w:rsid w:val="00EB7111"/>
    <w:rsid w:val="00EC0D3A"/>
    <w:rsid w:val="00EC0E49"/>
    <w:rsid w:val="00EC101F"/>
    <w:rsid w:val="00EC125E"/>
    <w:rsid w:val="00EC165C"/>
    <w:rsid w:val="00EC1D9F"/>
    <w:rsid w:val="00EC498C"/>
    <w:rsid w:val="00EC4AE6"/>
    <w:rsid w:val="00EC57C1"/>
    <w:rsid w:val="00ED1682"/>
    <w:rsid w:val="00ED2E5F"/>
    <w:rsid w:val="00ED3B80"/>
    <w:rsid w:val="00ED4015"/>
    <w:rsid w:val="00EE012F"/>
    <w:rsid w:val="00EE0131"/>
    <w:rsid w:val="00EE17B0"/>
    <w:rsid w:val="00EE1909"/>
    <w:rsid w:val="00EE647D"/>
    <w:rsid w:val="00EF06D9"/>
    <w:rsid w:val="00EF2821"/>
    <w:rsid w:val="00EF79E5"/>
    <w:rsid w:val="00F0179E"/>
    <w:rsid w:val="00F019D2"/>
    <w:rsid w:val="00F03446"/>
    <w:rsid w:val="00F05BB6"/>
    <w:rsid w:val="00F06495"/>
    <w:rsid w:val="00F20B2C"/>
    <w:rsid w:val="00F21459"/>
    <w:rsid w:val="00F240A9"/>
    <w:rsid w:val="00F24592"/>
    <w:rsid w:val="00F24B1A"/>
    <w:rsid w:val="00F25AC3"/>
    <w:rsid w:val="00F25CF3"/>
    <w:rsid w:val="00F2782D"/>
    <w:rsid w:val="00F30188"/>
    <w:rsid w:val="00F30C64"/>
    <w:rsid w:val="00F32BA2"/>
    <w:rsid w:val="00F32CDB"/>
    <w:rsid w:val="00F32D3E"/>
    <w:rsid w:val="00F34540"/>
    <w:rsid w:val="00F34942"/>
    <w:rsid w:val="00F3564B"/>
    <w:rsid w:val="00F35C10"/>
    <w:rsid w:val="00F369CA"/>
    <w:rsid w:val="00F3705E"/>
    <w:rsid w:val="00F406FE"/>
    <w:rsid w:val="00F412F1"/>
    <w:rsid w:val="00F42CCD"/>
    <w:rsid w:val="00F431BA"/>
    <w:rsid w:val="00F44396"/>
    <w:rsid w:val="00F44BDD"/>
    <w:rsid w:val="00F44F41"/>
    <w:rsid w:val="00F463FE"/>
    <w:rsid w:val="00F47B46"/>
    <w:rsid w:val="00F50D1F"/>
    <w:rsid w:val="00F512DC"/>
    <w:rsid w:val="00F51D08"/>
    <w:rsid w:val="00F52A7D"/>
    <w:rsid w:val="00F5305C"/>
    <w:rsid w:val="00F55EAA"/>
    <w:rsid w:val="00F55FC8"/>
    <w:rsid w:val="00F565FE"/>
    <w:rsid w:val="00F57329"/>
    <w:rsid w:val="00F61151"/>
    <w:rsid w:val="00F61F37"/>
    <w:rsid w:val="00F621CC"/>
    <w:rsid w:val="00F6341D"/>
    <w:rsid w:val="00F63A70"/>
    <w:rsid w:val="00F662D8"/>
    <w:rsid w:val="00F66ADF"/>
    <w:rsid w:val="00F66BDB"/>
    <w:rsid w:val="00F6799D"/>
    <w:rsid w:val="00F7241B"/>
    <w:rsid w:val="00F72FCC"/>
    <w:rsid w:val="00F73AEC"/>
    <w:rsid w:val="00F74D92"/>
    <w:rsid w:val="00F7534E"/>
    <w:rsid w:val="00F759F7"/>
    <w:rsid w:val="00F7738D"/>
    <w:rsid w:val="00F77DEE"/>
    <w:rsid w:val="00F82158"/>
    <w:rsid w:val="00F83111"/>
    <w:rsid w:val="00F83DF7"/>
    <w:rsid w:val="00F84D4C"/>
    <w:rsid w:val="00F84D5C"/>
    <w:rsid w:val="00F85D22"/>
    <w:rsid w:val="00F85F1E"/>
    <w:rsid w:val="00F94D9C"/>
    <w:rsid w:val="00F954E2"/>
    <w:rsid w:val="00FA21D0"/>
    <w:rsid w:val="00FA5946"/>
    <w:rsid w:val="00FA5F5F"/>
    <w:rsid w:val="00FA6A96"/>
    <w:rsid w:val="00FA7019"/>
    <w:rsid w:val="00FB1224"/>
    <w:rsid w:val="00FB1747"/>
    <w:rsid w:val="00FB398A"/>
    <w:rsid w:val="00FB730C"/>
    <w:rsid w:val="00FC180A"/>
    <w:rsid w:val="00FC2695"/>
    <w:rsid w:val="00FC269C"/>
    <w:rsid w:val="00FC3E03"/>
    <w:rsid w:val="00FC3FC1"/>
    <w:rsid w:val="00FC42FF"/>
    <w:rsid w:val="00FC74C4"/>
    <w:rsid w:val="00FD0C8F"/>
    <w:rsid w:val="00FD338A"/>
    <w:rsid w:val="00FD4675"/>
    <w:rsid w:val="00FE0D36"/>
    <w:rsid w:val="00FE0E7D"/>
    <w:rsid w:val="00FE3AA3"/>
    <w:rsid w:val="00FE7F54"/>
    <w:rsid w:val="00FF35D5"/>
    <w:rsid w:val="00FF4C52"/>
    <w:rsid w:val="00FF4F7C"/>
    <w:rsid w:val="00FF58FB"/>
    <w:rsid w:val="00FF617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A3B72769-26AF-45BE-BB0A-96B07D1F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Enfasicorsivo">
    <w:name w:val="Emphasis"/>
    <w:basedOn w:val="Carpredefinitoparagrafo"/>
    <w:uiPriority w:val="20"/>
    <w:qFormat/>
    <w:rsid w:val="007C284F"/>
    <w:rPr>
      <w:i/>
      <w:iCs/>
    </w:rPr>
  </w:style>
  <w:style w:type="character" w:customStyle="1" w:styleId="acopre">
    <w:name w:val="acopre"/>
    <w:basedOn w:val="Carpredefinitoparagrafo"/>
    <w:rsid w:val="007C284F"/>
  </w:style>
  <w:style w:type="paragraph" w:customStyle="1" w:styleId="Figure">
    <w:name w:val="Figure"/>
    <w:basedOn w:val="Normale"/>
    <w:next w:val="Normale"/>
    <w:rsid w:val="00AB4F22"/>
    <w:pPr>
      <w:tabs>
        <w:tab w:val="clear" w:pos="7100"/>
      </w:tabs>
      <w:spacing w:before="120" w:after="240" w:line="240" w:lineRule="auto"/>
      <w:ind w:left="680" w:hanging="680"/>
      <w:jc w:val="center"/>
    </w:pPr>
    <w:rPr>
      <w:rFonts w:ascii="Times New Roman" w:hAnsi="Times New Roman"/>
      <w:sz w:val="20"/>
      <w:lang w:eastAsia="de-DE"/>
    </w:rPr>
  </w:style>
  <w:style w:type="character" w:customStyle="1" w:styleId="label">
    <w:name w:val="label"/>
    <w:basedOn w:val="Carpredefinitoparagrafo"/>
    <w:rsid w:val="008C2401"/>
  </w:style>
  <w:style w:type="character" w:customStyle="1" w:styleId="jlqj4b">
    <w:name w:val="jlqj4b"/>
    <w:rsid w:val="00604765"/>
  </w:style>
  <w:style w:type="paragraph" w:customStyle="1" w:styleId="Reference">
    <w:name w:val="Reference"/>
    <w:basedOn w:val="Normale"/>
    <w:rsid w:val="006079D3"/>
    <w:pPr>
      <w:tabs>
        <w:tab w:val="clear" w:pos="7100"/>
        <w:tab w:val="left" w:pos="454"/>
      </w:tabs>
      <w:spacing w:after="60" w:line="240" w:lineRule="auto"/>
      <w:ind w:left="454" w:hanging="454"/>
    </w:pPr>
    <w:rPr>
      <w:rFonts w:ascii="Times New Roman" w:hAnsi="Times New Roman"/>
      <w:sz w:val="22"/>
      <w:szCs w:val="22"/>
      <w:lang w:eastAsia="de-DE"/>
    </w:rPr>
  </w:style>
  <w:style w:type="character" w:customStyle="1" w:styleId="hgkelc">
    <w:name w:val="hgkelc"/>
    <w:basedOn w:val="Carpredefinitoparagrafo"/>
    <w:rsid w:val="00A455CC"/>
  </w:style>
  <w:style w:type="character" w:customStyle="1" w:styleId="markedcontent">
    <w:name w:val="markedcontent"/>
    <w:basedOn w:val="Carpredefinitoparagrafo"/>
    <w:rsid w:val="00A069AC"/>
  </w:style>
  <w:style w:type="character" w:customStyle="1" w:styleId="cc-item-value">
    <w:name w:val="cc-item-value"/>
    <w:basedOn w:val="Carpredefinitoparagrafo"/>
    <w:rsid w:val="00C6310C"/>
  </w:style>
  <w:style w:type="character" w:styleId="Enfasigrassetto">
    <w:name w:val="Strong"/>
    <w:basedOn w:val="Carpredefinitoparagrafo"/>
    <w:uiPriority w:val="22"/>
    <w:qFormat/>
    <w:rsid w:val="0064077F"/>
    <w:rPr>
      <w:b/>
      <w:bCs/>
    </w:rPr>
  </w:style>
  <w:style w:type="character" w:customStyle="1" w:styleId="css-roynbj">
    <w:name w:val="css-roynbj"/>
    <w:basedOn w:val="Carpredefinitoparagrafo"/>
    <w:rsid w:val="001E0D3C"/>
  </w:style>
  <w:style w:type="character" w:customStyle="1" w:styleId="css-b9cwsb">
    <w:name w:val="css-b9cwsb"/>
    <w:basedOn w:val="Carpredefinitoparagrafo"/>
    <w:rsid w:val="001E0D3C"/>
  </w:style>
  <w:style w:type="paragraph" w:customStyle="1" w:styleId="Default">
    <w:name w:val="Default"/>
    <w:rsid w:val="00C27D74"/>
    <w:pPr>
      <w:autoSpaceDE w:val="0"/>
      <w:autoSpaceDN w:val="0"/>
      <w:adjustRightInd w:val="0"/>
      <w:spacing w:after="0" w:line="240" w:lineRule="auto"/>
    </w:pPr>
    <w:rPr>
      <w:rFonts w:ascii="EDOMJ G+ Times New Roman MT Std" w:hAnsi="EDOMJ G+ Times New Roman MT Std" w:cs="EDOMJ G+ Times New Roman MT Std"/>
      <w:color w:val="000000"/>
      <w:sz w:val="24"/>
      <w:szCs w:val="24"/>
    </w:rPr>
  </w:style>
  <w:style w:type="character" w:customStyle="1" w:styleId="title-text">
    <w:name w:val="title-text"/>
    <w:basedOn w:val="Carpredefinitoparagrafo"/>
    <w:rsid w:val="00D43175"/>
  </w:style>
  <w:style w:type="character" w:customStyle="1" w:styleId="sr-only">
    <w:name w:val="sr-only"/>
    <w:basedOn w:val="Carpredefinitoparagrafo"/>
    <w:rsid w:val="00D43175"/>
  </w:style>
  <w:style w:type="character" w:customStyle="1" w:styleId="text">
    <w:name w:val="text"/>
    <w:basedOn w:val="Carpredefinitoparagrafo"/>
    <w:rsid w:val="00D43175"/>
  </w:style>
  <w:style w:type="character" w:customStyle="1" w:styleId="author-ref">
    <w:name w:val="author-ref"/>
    <w:basedOn w:val="Carpredefinitoparagrafo"/>
    <w:rsid w:val="00D43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3211">
      <w:bodyDiv w:val="1"/>
      <w:marLeft w:val="0"/>
      <w:marRight w:val="0"/>
      <w:marTop w:val="0"/>
      <w:marBottom w:val="0"/>
      <w:divBdr>
        <w:top w:val="none" w:sz="0" w:space="0" w:color="auto"/>
        <w:left w:val="none" w:sz="0" w:space="0" w:color="auto"/>
        <w:bottom w:val="none" w:sz="0" w:space="0" w:color="auto"/>
        <w:right w:val="none" w:sz="0" w:space="0" w:color="auto"/>
      </w:divBdr>
    </w:div>
    <w:div w:id="134757385">
      <w:bodyDiv w:val="1"/>
      <w:marLeft w:val="0"/>
      <w:marRight w:val="0"/>
      <w:marTop w:val="0"/>
      <w:marBottom w:val="0"/>
      <w:divBdr>
        <w:top w:val="none" w:sz="0" w:space="0" w:color="auto"/>
        <w:left w:val="none" w:sz="0" w:space="0" w:color="auto"/>
        <w:bottom w:val="none" w:sz="0" w:space="0" w:color="auto"/>
        <w:right w:val="none" w:sz="0" w:space="0" w:color="auto"/>
      </w:divBdr>
    </w:div>
    <w:div w:id="141116458">
      <w:bodyDiv w:val="1"/>
      <w:marLeft w:val="0"/>
      <w:marRight w:val="0"/>
      <w:marTop w:val="0"/>
      <w:marBottom w:val="0"/>
      <w:divBdr>
        <w:top w:val="none" w:sz="0" w:space="0" w:color="auto"/>
        <w:left w:val="none" w:sz="0" w:space="0" w:color="auto"/>
        <w:bottom w:val="none" w:sz="0" w:space="0" w:color="auto"/>
        <w:right w:val="none" w:sz="0" w:space="0" w:color="auto"/>
      </w:divBdr>
    </w:div>
    <w:div w:id="380520557">
      <w:bodyDiv w:val="1"/>
      <w:marLeft w:val="0"/>
      <w:marRight w:val="0"/>
      <w:marTop w:val="0"/>
      <w:marBottom w:val="0"/>
      <w:divBdr>
        <w:top w:val="none" w:sz="0" w:space="0" w:color="auto"/>
        <w:left w:val="none" w:sz="0" w:space="0" w:color="auto"/>
        <w:bottom w:val="none" w:sz="0" w:space="0" w:color="auto"/>
        <w:right w:val="none" w:sz="0" w:space="0" w:color="auto"/>
      </w:divBdr>
      <w:divsChild>
        <w:div w:id="1458792416">
          <w:marLeft w:val="0"/>
          <w:marRight w:val="0"/>
          <w:marTop w:val="0"/>
          <w:marBottom w:val="0"/>
          <w:divBdr>
            <w:top w:val="none" w:sz="0" w:space="0" w:color="auto"/>
            <w:left w:val="none" w:sz="0" w:space="0" w:color="auto"/>
            <w:bottom w:val="none" w:sz="0" w:space="0" w:color="auto"/>
            <w:right w:val="none" w:sz="0" w:space="0" w:color="auto"/>
          </w:divBdr>
        </w:div>
      </w:divsChild>
    </w:div>
    <w:div w:id="390541244">
      <w:bodyDiv w:val="1"/>
      <w:marLeft w:val="0"/>
      <w:marRight w:val="0"/>
      <w:marTop w:val="0"/>
      <w:marBottom w:val="0"/>
      <w:divBdr>
        <w:top w:val="none" w:sz="0" w:space="0" w:color="auto"/>
        <w:left w:val="none" w:sz="0" w:space="0" w:color="auto"/>
        <w:bottom w:val="none" w:sz="0" w:space="0" w:color="auto"/>
        <w:right w:val="none" w:sz="0" w:space="0" w:color="auto"/>
      </w:divBdr>
      <w:divsChild>
        <w:div w:id="1309213998">
          <w:marLeft w:val="0"/>
          <w:marRight w:val="0"/>
          <w:marTop w:val="0"/>
          <w:marBottom w:val="0"/>
          <w:divBdr>
            <w:top w:val="none" w:sz="0" w:space="0" w:color="auto"/>
            <w:left w:val="none" w:sz="0" w:space="0" w:color="auto"/>
            <w:bottom w:val="none" w:sz="0" w:space="0" w:color="auto"/>
            <w:right w:val="none" w:sz="0" w:space="0" w:color="auto"/>
          </w:divBdr>
          <w:divsChild>
            <w:div w:id="607125843">
              <w:marLeft w:val="0"/>
              <w:marRight w:val="0"/>
              <w:marTop w:val="0"/>
              <w:marBottom w:val="0"/>
              <w:divBdr>
                <w:top w:val="none" w:sz="0" w:space="0" w:color="auto"/>
                <w:left w:val="none" w:sz="0" w:space="0" w:color="auto"/>
                <w:bottom w:val="none" w:sz="0" w:space="0" w:color="auto"/>
                <w:right w:val="none" w:sz="0" w:space="0" w:color="auto"/>
              </w:divBdr>
              <w:divsChild>
                <w:div w:id="1569877144">
                  <w:marLeft w:val="0"/>
                  <w:marRight w:val="0"/>
                  <w:marTop w:val="0"/>
                  <w:marBottom w:val="0"/>
                  <w:divBdr>
                    <w:top w:val="none" w:sz="0" w:space="0" w:color="auto"/>
                    <w:left w:val="none" w:sz="0" w:space="0" w:color="auto"/>
                    <w:bottom w:val="none" w:sz="0" w:space="0" w:color="auto"/>
                    <w:right w:val="none" w:sz="0" w:space="0" w:color="auto"/>
                  </w:divBdr>
                </w:div>
              </w:divsChild>
            </w:div>
            <w:div w:id="1348095213">
              <w:marLeft w:val="0"/>
              <w:marRight w:val="0"/>
              <w:marTop w:val="0"/>
              <w:marBottom w:val="0"/>
              <w:divBdr>
                <w:top w:val="none" w:sz="0" w:space="0" w:color="auto"/>
                <w:left w:val="none" w:sz="0" w:space="0" w:color="auto"/>
                <w:bottom w:val="none" w:sz="0" w:space="0" w:color="auto"/>
                <w:right w:val="none" w:sz="0" w:space="0" w:color="auto"/>
              </w:divBdr>
            </w:div>
          </w:divsChild>
        </w:div>
        <w:div w:id="842401619">
          <w:marLeft w:val="0"/>
          <w:marRight w:val="0"/>
          <w:marTop w:val="0"/>
          <w:marBottom w:val="0"/>
          <w:divBdr>
            <w:top w:val="none" w:sz="0" w:space="0" w:color="auto"/>
            <w:left w:val="none" w:sz="0" w:space="0" w:color="auto"/>
            <w:bottom w:val="none" w:sz="0" w:space="0" w:color="auto"/>
            <w:right w:val="none" w:sz="0" w:space="0" w:color="auto"/>
          </w:divBdr>
          <w:divsChild>
            <w:div w:id="1392576554">
              <w:marLeft w:val="0"/>
              <w:marRight w:val="0"/>
              <w:marTop w:val="0"/>
              <w:marBottom w:val="0"/>
              <w:divBdr>
                <w:top w:val="none" w:sz="0" w:space="0" w:color="auto"/>
                <w:left w:val="none" w:sz="0" w:space="0" w:color="auto"/>
                <w:bottom w:val="none" w:sz="0" w:space="0" w:color="auto"/>
                <w:right w:val="none" w:sz="0" w:space="0" w:color="auto"/>
              </w:divBdr>
              <w:divsChild>
                <w:div w:id="1588077145">
                  <w:marLeft w:val="0"/>
                  <w:marRight w:val="0"/>
                  <w:marTop w:val="0"/>
                  <w:marBottom w:val="0"/>
                  <w:divBdr>
                    <w:top w:val="none" w:sz="0" w:space="0" w:color="auto"/>
                    <w:left w:val="none" w:sz="0" w:space="0" w:color="auto"/>
                    <w:bottom w:val="none" w:sz="0" w:space="0" w:color="auto"/>
                    <w:right w:val="none" w:sz="0" w:space="0" w:color="auto"/>
                  </w:divBdr>
                  <w:divsChild>
                    <w:div w:id="13725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372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9456">
      <w:bodyDiv w:val="1"/>
      <w:marLeft w:val="0"/>
      <w:marRight w:val="0"/>
      <w:marTop w:val="0"/>
      <w:marBottom w:val="0"/>
      <w:divBdr>
        <w:top w:val="none" w:sz="0" w:space="0" w:color="auto"/>
        <w:left w:val="none" w:sz="0" w:space="0" w:color="auto"/>
        <w:bottom w:val="none" w:sz="0" w:space="0" w:color="auto"/>
        <w:right w:val="none" w:sz="0" w:space="0" w:color="auto"/>
      </w:divBdr>
    </w:div>
    <w:div w:id="851266594">
      <w:bodyDiv w:val="1"/>
      <w:marLeft w:val="0"/>
      <w:marRight w:val="0"/>
      <w:marTop w:val="0"/>
      <w:marBottom w:val="0"/>
      <w:divBdr>
        <w:top w:val="none" w:sz="0" w:space="0" w:color="auto"/>
        <w:left w:val="none" w:sz="0" w:space="0" w:color="auto"/>
        <w:bottom w:val="none" w:sz="0" w:space="0" w:color="auto"/>
        <w:right w:val="none" w:sz="0" w:space="0" w:color="auto"/>
      </w:divBdr>
      <w:divsChild>
        <w:div w:id="1663699803">
          <w:marLeft w:val="0"/>
          <w:marRight w:val="0"/>
          <w:marTop w:val="0"/>
          <w:marBottom w:val="0"/>
          <w:divBdr>
            <w:top w:val="none" w:sz="0" w:space="0" w:color="auto"/>
            <w:left w:val="none" w:sz="0" w:space="0" w:color="auto"/>
            <w:bottom w:val="none" w:sz="0" w:space="0" w:color="auto"/>
            <w:right w:val="none" w:sz="0" w:space="0" w:color="auto"/>
          </w:divBdr>
          <w:divsChild>
            <w:div w:id="115370201">
              <w:marLeft w:val="0"/>
              <w:marRight w:val="0"/>
              <w:marTop w:val="0"/>
              <w:marBottom w:val="0"/>
              <w:divBdr>
                <w:top w:val="none" w:sz="0" w:space="0" w:color="auto"/>
                <w:left w:val="none" w:sz="0" w:space="0" w:color="auto"/>
                <w:bottom w:val="none" w:sz="0" w:space="0" w:color="auto"/>
                <w:right w:val="none" w:sz="0" w:space="0" w:color="auto"/>
              </w:divBdr>
            </w:div>
          </w:divsChild>
        </w:div>
        <w:div w:id="972758032">
          <w:marLeft w:val="0"/>
          <w:marRight w:val="0"/>
          <w:marTop w:val="0"/>
          <w:marBottom w:val="0"/>
          <w:divBdr>
            <w:top w:val="none" w:sz="0" w:space="0" w:color="auto"/>
            <w:left w:val="none" w:sz="0" w:space="0" w:color="auto"/>
            <w:bottom w:val="none" w:sz="0" w:space="0" w:color="auto"/>
            <w:right w:val="none" w:sz="0" w:space="0" w:color="auto"/>
          </w:divBdr>
        </w:div>
      </w:divsChild>
    </w:div>
    <w:div w:id="85422392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6663">
      <w:bodyDiv w:val="1"/>
      <w:marLeft w:val="0"/>
      <w:marRight w:val="0"/>
      <w:marTop w:val="0"/>
      <w:marBottom w:val="0"/>
      <w:divBdr>
        <w:top w:val="none" w:sz="0" w:space="0" w:color="auto"/>
        <w:left w:val="none" w:sz="0" w:space="0" w:color="auto"/>
        <w:bottom w:val="none" w:sz="0" w:space="0" w:color="auto"/>
        <w:right w:val="none" w:sz="0" w:space="0" w:color="auto"/>
      </w:divBdr>
    </w:div>
    <w:div w:id="1402554759">
      <w:bodyDiv w:val="1"/>
      <w:marLeft w:val="0"/>
      <w:marRight w:val="0"/>
      <w:marTop w:val="0"/>
      <w:marBottom w:val="0"/>
      <w:divBdr>
        <w:top w:val="none" w:sz="0" w:space="0" w:color="auto"/>
        <w:left w:val="none" w:sz="0" w:space="0" w:color="auto"/>
        <w:bottom w:val="none" w:sz="0" w:space="0" w:color="auto"/>
        <w:right w:val="none" w:sz="0" w:space="0" w:color="auto"/>
      </w:divBdr>
      <w:divsChild>
        <w:div w:id="560600146">
          <w:marLeft w:val="0"/>
          <w:marRight w:val="0"/>
          <w:marTop w:val="0"/>
          <w:marBottom w:val="0"/>
          <w:divBdr>
            <w:top w:val="none" w:sz="0" w:space="0" w:color="auto"/>
            <w:left w:val="none" w:sz="0" w:space="0" w:color="auto"/>
            <w:bottom w:val="none" w:sz="0" w:space="0" w:color="auto"/>
            <w:right w:val="none" w:sz="0" w:space="0" w:color="auto"/>
          </w:divBdr>
        </w:div>
        <w:div w:id="573978817">
          <w:marLeft w:val="0"/>
          <w:marRight w:val="0"/>
          <w:marTop w:val="0"/>
          <w:marBottom w:val="0"/>
          <w:divBdr>
            <w:top w:val="none" w:sz="0" w:space="0" w:color="auto"/>
            <w:left w:val="none" w:sz="0" w:space="0" w:color="auto"/>
            <w:bottom w:val="none" w:sz="0" w:space="0" w:color="auto"/>
            <w:right w:val="none" w:sz="0" w:space="0" w:color="auto"/>
          </w:divBdr>
          <w:divsChild>
            <w:div w:id="6517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300839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2909">
      <w:bodyDiv w:val="1"/>
      <w:marLeft w:val="0"/>
      <w:marRight w:val="0"/>
      <w:marTop w:val="0"/>
      <w:marBottom w:val="0"/>
      <w:divBdr>
        <w:top w:val="none" w:sz="0" w:space="0" w:color="auto"/>
        <w:left w:val="none" w:sz="0" w:space="0" w:color="auto"/>
        <w:bottom w:val="none" w:sz="0" w:space="0" w:color="auto"/>
        <w:right w:val="none" w:sz="0" w:space="0" w:color="auto"/>
      </w:divBdr>
      <w:divsChild>
        <w:div w:id="560101153">
          <w:marLeft w:val="0"/>
          <w:marRight w:val="0"/>
          <w:marTop w:val="0"/>
          <w:marBottom w:val="0"/>
          <w:divBdr>
            <w:top w:val="none" w:sz="0" w:space="0" w:color="auto"/>
            <w:left w:val="none" w:sz="0" w:space="0" w:color="auto"/>
            <w:bottom w:val="none" w:sz="0" w:space="0" w:color="auto"/>
            <w:right w:val="none" w:sz="0" w:space="0" w:color="auto"/>
          </w:divBdr>
        </w:div>
      </w:divsChild>
    </w:div>
    <w:div w:id="1796096112">
      <w:bodyDiv w:val="1"/>
      <w:marLeft w:val="0"/>
      <w:marRight w:val="0"/>
      <w:marTop w:val="0"/>
      <w:marBottom w:val="0"/>
      <w:divBdr>
        <w:top w:val="none" w:sz="0" w:space="0" w:color="auto"/>
        <w:left w:val="none" w:sz="0" w:space="0" w:color="auto"/>
        <w:bottom w:val="none" w:sz="0" w:space="0" w:color="auto"/>
        <w:right w:val="none" w:sz="0" w:space="0" w:color="auto"/>
      </w:divBdr>
    </w:div>
    <w:div w:id="1953318424">
      <w:bodyDiv w:val="1"/>
      <w:marLeft w:val="0"/>
      <w:marRight w:val="0"/>
      <w:marTop w:val="0"/>
      <w:marBottom w:val="0"/>
      <w:divBdr>
        <w:top w:val="none" w:sz="0" w:space="0" w:color="auto"/>
        <w:left w:val="none" w:sz="0" w:space="0" w:color="auto"/>
        <w:bottom w:val="none" w:sz="0" w:space="0" w:color="auto"/>
        <w:right w:val="none" w:sz="0" w:space="0" w:color="auto"/>
      </w:divBdr>
    </w:div>
    <w:div w:id="2010518962">
      <w:bodyDiv w:val="1"/>
      <w:marLeft w:val="0"/>
      <w:marRight w:val="0"/>
      <w:marTop w:val="0"/>
      <w:marBottom w:val="0"/>
      <w:divBdr>
        <w:top w:val="none" w:sz="0" w:space="0" w:color="auto"/>
        <w:left w:val="none" w:sz="0" w:space="0" w:color="auto"/>
        <w:bottom w:val="none" w:sz="0" w:space="0" w:color="auto"/>
        <w:right w:val="none" w:sz="0" w:space="0" w:color="auto"/>
      </w:divBdr>
    </w:div>
    <w:div w:id="204239476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9B5C7-7125-4AD3-BE6A-0CD098FB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2888</Words>
  <Characters>16468</Characters>
  <Application>Microsoft Office Word</Application>
  <DocSecurity>0</DocSecurity>
  <Lines>137</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valeria</cp:lastModifiedBy>
  <cp:revision>107</cp:revision>
  <cp:lastPrinted>2022-03-01T10:29:00Z</cp:lastPrinted>
  <dcterms:created xsi:type="dcterms:W3CDTF">2022-02-28T07:05:00Z</dcterms:created>
  <dcterms:modified xsi:type="dcterms:W3CDTF">2022-03-03T11:11:00Z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