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226270"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226270" w:rsidRDefault="000A03B2" w:rsidP="00DE264A">
            <w:pPr>
              <w:tabs>
                <w:tab w:val="left" w:pos="-108"/>
              </w:tabs>
              <w:ind w:left="-108"/>
              <w:jc w:val="left"/>
              <w:rPr>
                <w:rFonts w:cs="Arial"/>
                <w:b/>
                <w:bCs/>
                <w:i/>
                <w:iCs/>
                <w:color w:val="000066"/>
                <w:sz w:val="12"/>
                <w:szCs w:val="12"/>
                <w:lang w:eastAsia="it-IT"/>
              </w:rPr>
            </w:pPr>
            <w:r w:rsidRPr="00226270">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26270">
              <w:rPr>
                <w:rFonts w:ascii="AdvP6960" w:hAnsi="AdvP6960" w:cs="AdvP6960"/>
                <w:color w:val="241F20"/>
                <w:szCs w:val="18"/>
                <w:lang w:eastAsia="it-IT"/>
              </w:rPr>
              <w:t xml:space="preserve"> </w:t>
            </w:r>
            <w:r w:rsidRPr="00226270">
              <w:rPr>
                <w:rFonts w:cs="Arial"/>
                <w:b/>
                <w:bCs/>
                <w:i/>
                <w:iCs/>
                <w:color w:val="000066"/>
                <w:sz w:val="24"/>
                <w:szCs w:val="24"/>
                <w:lang w:eastAsia="it-IT"/>
              </w:rPr>
              <w:t>CHEMICAL ENGINEERING</w:t>
            </w:r>
            <w:r w:rsidRPr="00226270">
              <w:rPr>
                <w:rFonts w:cs="Arial"/>
                <w:b/>
                <w:bCs/>
                <w:i/>
                <w:iCs/>
                <w:color w:val="0033FF"/>
                <w:sz w:val="24"/>
                <w:szCs w:val="24"/>
                <w:lang w:eastAsia="it-IT"/>
              </w:rPr>
              <w:t xml:space="preserve"> </w:t>
            </w:r>
            <w:r w:rsidRPr="00226270">
              <w:rPr>
                <w:rFonts w:cs="Arial"/>
                <w:b/>
                <w:bCs/>
                <w:i/>
                <w:iCs/>
                <w:color w:val="666666"/>
                <w:sz w:val="24"/>
                <w:szCs w:val="24"/>
                <w:lang w:eastAsia="it-IT"/>
              </w:rPr>
              <w:t>TRANSACTIONS</w:t>
            </w:r>
            <w:r w:rsidRPr="00226270">
              <w:rPr>
                <w:color w:val="333333"/>
                <w:sz w:val="24"/>
                <w:szCs w:val="24"/>
                <w:lang w:eastAsia="it-IT"/>
              </w:rPr>
              <w:t xml:space="preserve"> </w:t>
            </w:r>
            <w:r w:rsidRPr="00226270">
              <w:rPr>
                <w:rFonts w:cs="Arial"/>
                <w:b/>
                <w:bCs/>
                <w:i/>
                <w:iCs/>
                <w:color w:val="000066"/>
                <w:sz w:val="27"/>
                <w:szCs w:val="27"/>
                <w:lang w:eastAsia="it-IT"/>
              </w:rPr>
              <w:br/>
            </w:r>
          </w:p>
          <w:p w14:paraId="4B780582" w14:textId="740002EE" w:rsidR="000A03B2" w:rsidRPr="00226270" w:rsidRDefault="00A76EFC" w:rsidP="00B57E6F">
            <w:pPr>
              <w:tabs>
                <w:tab w:val="left" w:pos="-108"/>
              </w:tabs>
              <w:ind w:left="-108"/>
              <w:rPr>
                <w:rFonts w:cs="Arial"/>
                <w:b/>
                <w:bCs/>
                <w:i/>
                <w:iCs/>
                <w:color w:val="000066"/>
                <w:sz w:val="22"/>
                <w:szCs w:val="22"/>
                <w:lang w:eastAsia="it-IT"/>
              </w:rPr>
            </w:pPr>
            <w:r w:rsidRPr="00226270">
              <w:rPr>
                <w:rFonts w:cs="Arial"/>
                <w:b/>
                <w:bCs/>
                <w:i/>
                <w:iCs/>
                <w:color w:val="000066"/>
                <w:sz w:val="22"/>
                <w:szCs w:val="22"/>
                <w:lang w:eastAsia="it-IT"/>
              </w:rPr>
              <w:t xml:space="preserve">VOL. </w:t>
            </w:r>
            <w:r w:rsidR="00D46B7E" w:rsidRPr="00226270">
              <w:rPr>
                <w:rFonts w:cs="Arial"/>
                <w:b/>
                <w:bCs/>
                <w:i/>
                <w:iCs/>
                <w:color w:val="000066"/>
                <w:sz w:val="22"/>
                <w:szCs w:val="22"/>
                <w:lang w:eastAsia="it-IT"/>
              </w:rPr>
              <w:t>9</w:t>
            </w:r>
            <w:r w:rsidR="00B57E6F" w:rsidRPr="00226270">
              <w:rPr>
                <w:rFonts w:cs="Arial"/>
                <w:b/>
                <w:bCs/>
                <w:i/>
                <w:iCs/>
                <w:color w:val="000066"/>
                <w:sz w:val="22"/>
                <w:szCs w:val="22"/>
                <w:lang w:eastAsia="it-IT"/>
              </w:rPr>
              <w:t>1</w:t>
            </w:r>
            <w:r w:rsidR="007B48F9" w:rsidRPr="00226270">
              <w:rPr>
                <w:rFonts w:cs="Arial"/>
                <w:b/>
                <w:bCs/>
                <w:i/>
                <w:iCs/>
                <w:color w:val="000066"/>
                <w:sz w:val="22"/>
                <w:szCs w:val="22"/>
                <w:lang w:eastAsia="it-IT"/>
              </w:rPr>
              <w:t>,</w:t>
            </w:r>
            <w:r w:rsidR="00FA5F5F" w:rsidRPr="00226270">
              <w:rPr>
                <w:rFonts w:cs="Arial"/>
                <w:b/>
                <w:bCs/>
                <w:i/>
                <w:iCs/>
                <w:color w:val="000066"/>
                <w:sz w:val="22"/>
                <w:szCs w:val="22"/>
                <w:lang w:eastAsia="it-IT"/>
              </w:rPr>
              <w:t xml:space="preserve"> 20</w:t>
            </w:r>
            <w:r w:rsidR="00DF5072" w:rsidRPr="00226270">
              <w:rPr>
                <w:rFonts w:cs="Arial"/>
                <w:b/>
                <w:bCs/>
                <w:i/>
                <w:iCs/>
                <w:color w:val="000066"/>
                <w:sz w:val="22"/>
                <w:szCs w:val="22"/>
                <w:lang w:eastAsia="it-IT"/>
              </w:rPr>
              <w:t>2</w:t>
            </w:r>
            <w:r w:rsidR="007B48F9" w:rsidRPr="00226270">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226270" w:rsidRDefault="000A03B2" w:rsidP="00CD5FE2">
            <w:pPr>
              <w:spacing w:line="140" w:lineRule="atLeast"/>
              <w:jc w:val="right"/>
              <w:rPr>
                <w:rFonts w:cs="Arial"/>
                <w:sz w:val="14"/>
                <w:szCs w:val="14"/>
              </w:rPr>
            </w:pPr>
            <w:r w:rsidRPr="00226270">
              <w:rPr>
                <w:rFonts w:cs="Arial"/>
                <w:sz w:val="14"/>
                <w:szCs w:val="14"/>
              </w:rPr>
              <w:t>A publication of</w:t>
            </w:r>
          </w:p>
          <w:p w14:paraId="599E5441" w14:textId="77777777" w:rsidR="000A03B2" w:rsidRPr="00226270" w:rsidRDefault="000A03B2" w:rsidP="00CD5FE2">
            <w:pPr>
              <w:jc w:val="right"/>
            </w:pPr>
            <w:r w:rsidRPr="00226270">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226270" w14:paraId="380FA3CD" w14:textId="77777777" w:rsidTr="00DE264A">
        <w:trPr>
          <w:trHeight w:val="567"/>
          <w:jc w:val="center"/>
        </w:trPr>
        <w:tc>
          <w:tcPr>
            <w:tcW w:w="6946" w:type="dxa"/>
            <w:vMerge/>
            <w:tcBorders>
              <w:right w:val="single" w:sz="4" w:space="0" w:color="auto"/>
            </w:tcBorders>
          </w:tcPr>
          <w:p w14:paraId="39E5E4C1" w14:textId="77777777" w:rsidR="000A03B2" w:rsidRPr="00226270"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226270" w:rsidRDefault="000A03B2" w:rsidP="00CD5FE2">
            <w:pPr>
              <w:spacing w:line="140" w:lineRule="atLeast"/>
              <w:jc w:val="right"/>
              <w:rPr>
                <w:rFonts w:cs="Arial"/>
                <w:sz w:val="14"/>
                <w:szCs w:val="14"/>
              </w:rPr>
            </w:pPr>
            <w:r w:rsidRPr="00226270">
              <w:rPr>
                <w:rFonts w:cs="Arial"/>
                <w:sz w:val="14"/>
                <w:szCs w:val="14"/>
              </w:rPr>
              <w:t>The Italian Association</w:t>
            </w:r>
          </w:p>
          <w:p w14:paraId="7522B1D2" w14:textId="77777777" w:rsidR="000A03B2" w:rsidRPr="00226270" w:rsidRDefault="000A03B2" w:rsidP="00CD5FE2">
            <w:pPr>
              <w:spacing w:line="140" w:lineRule="atLeast"/>
              <w:jc w:val="right"/>
              <w:rPr>
                <w:rFonts w:cs="Arial"/>
                <w:sz w:val="14"/>
                <w:szCs w:val="14"/>
              </w:rPr>
            </w:pPr>
            <w:r w:rsidRPr="00226270">
              <w:rPr>
                <w:rFonts w:cs="Arial"/>
                <w:sz w:val="14"/>
                <w:szCs w:val="14"/>
              </w:rPr>
              <w:t>of Chemical Engineering</w:t>
            </w:r>
          </w:p>
          <w:p w14:paraId="4F0CC5DE" w14:textId="47FDB2FC" w:rsidR="000A03B2" w:rsidRPr="00226270" w:rsidRDefault="000D0268" w:rsidP="00CD5FE2">
            <w:pPr>
              <w:spacing w:line="140" w:lineRule="atLeast"/>
              <w:jc w:val="right"/>
              <w:rPr>
                <w:rFonts w:cs="Arial"/>
                <w:sz w:val="13"/>
                <w:szCs w:val="13"/>
              </w:rPr>
            </w:pPr>
            <w:r w:rsidRPr="00226270">
              <w:rPr>
                <w:rFonts w:cs="Arial"/>
                <w:sz w:val="13"/>
                <w:szCs w:val="13"/>
              </w:rPr>
              <w:t>Online at www.cetjournal.it</w:t>
            </w:r>
          </w:p>
        </w:tc>
      </w:tr>
      <w:tr w:rsidR="000A03B2" w:rsidRPr="00226270" w14:paraId="2D1B7169" w14:textId="77777777" w:rsidTr="00DE264A">
        <w:trPr>
          <w:trHeight w:val="68"/>
          <w:jc w:val="center"/>
        </w:trPr>
        <w:tc>
          <w:tcPr>
            <w:tcW w:w="8789" w:type="dxa"/>
            <w:gridSpan w:val="2"/>
          </w:tcPr>
          <w:p w14:paraId="4B0BB442" w14:textId="4EADF2C2" w:rsidR="00300E56" w:rsidRPr="00226270" w:rsidRDefault="00300E56" w:rsidP="00B57E6F">
            <w:pPr>
              <w:ind w:left="-107"/>
              <w:outlineLvl w:val="2"/>
              <w:rPr>
                <w:rFonts w:ascii="Tahoma" w:hAnsi="Tahoma" w:cs="Tahoma"/>
                <w:bCs/>
                <w:color w:val="000000"/>
                <w:sz w:val="14"/>
                <w:szCs w:val="14"/>
                <w:lang w:eastAsia="it-IT"/>
              </w:rPr>
            </w:pPr>
            <w:r w:rsidRPr="00226270">
              <w:rPr>
                <w:rFonts w:ascii="Tahoma" w:hAnsi="Tahoma" w:cs="Tahoma"/>
                <w:iCs/>
                <w:color w:val="333333"/>
                <w:sz w:val="14"/>
                <w:szCs w:val="14"/>
                <w:lang w:eastAsia="it-IT"/>
              </w:rPr>
              <w:t>Guest Editors:</w:t>
            </w:r>
            <w:r w:rsidR="00904C62" w:rsidRPr="00226270">
              <w:rPr>
                <w:rFonts w:ascii="Tahoma" w:hAnsi="Tahoma" w:cs="Tahoma"/>
                <w:iCs/>
                <w:color w:val="333333"/>
                <w:sz w:val="14"/>
                <w:szCs w:val="14"/>
                <w:lang w:eastAsia="it-IT"/>
              </w:rPr>
              <w:t xml:space="preserve"> </w:t>
            </w:r>
            <w:r w:rsidR="00B57E6F" w:rsidRPr="00226270">
              <w:rPr>
                <w:rFonts w:ascii="Tahoma" w:hAnsi="Tahoma" w:cs="Tahoma"/>
                <w:color w:val="000000"/>
                <w:sz w:val="14"/>
                <w:szCs w:val="14"/>
                <w:shd w:val="clear" w:color="auto" w:fill="FFFFFF"/>
              </w:rPr>
              <w:t xml:space="preserve">Valerio </w:t>
            </w:r>
            <w:proofErr w:type="spellStart"/>
            <w:r w:rsidR="00B57E6F" w:rsidRPr="00226270">
              <w:rPr>
                <w:rFonts w:ascii="Tahoma" w:hAnsi="Tahoma" w:cs="Tahoma"/>
                <w:color w:val="000000"/>
                <w:sz w:val="14"/>
                <w:szCs w:val="14"/>
                <w:shd w:val="clear" w:color="auto" w:fill="FFFFFF"/>
              </w:rPr>
              <w:t>Cozzani</w:t>
            </w:r>
            <w:proofErr w:type="spellEnd"/>
            <w:r w:rsidR="00B57E6F" w:rsidRPr="00226270">
              <w:rPr>
                <w:rFonts w:ascii="Tahoma" w:hAnsi="Tahoma" w:cs="Tahoma"/>
                <w:color w:val="000000"/>
                <w:sz w:val="14"/>
                <w:szCs w:val="14"/>
                <w:shd w:val="clear" w:color="auto" w:fill="FFFFFF"/>
              </w:rPr>
              <w:t xml:space="preserve">, </w:t>
            </w:r>
            <w:r w:rsidR="001331DF" w:rsidRPr="00226270">
              <w:rPr>
                <w:rFonts w:ascii="Tahoma" w:hAnsi="Tahoma" w:cs="Tahoma"/>
                <w:color w:val="000000"/>
                <w:sz w:val="14"/>
                <w:szCs w:val="14"/>
                <w:shd w:val="clear" w:color="auto" w:fill="FFFFFF"/>
              </w:rPr>
              <w:t>Bruno Fabiano</w:t>
            </w:r>
            <w:r w:rsidR="00B57E6F" w:rsidRPr="00226270">
              <w:rPr>
                <w:rFonts w:ascii="Tahoma" w:hAnsi="Tahoma" w:cs="Tahoma"/>
                <w:color w:val="000000"/>
                <w:sz w:val="14"/>
                <w:szCs w:val="14"/>
                <w:shd w:val="clear" w:color="auto" w:fill="FFFFFF"/>
              </w:rPr>
              <w:t xml:space="preserve">, </w:t>
            </w:r>
            <w:proofErr w:type="spellStart"/>
            <w:r w:rsidR="00B57E6F" w:rsidRPr="00226270">
              <w:rPr>
                <w:rFonts w:ascii="Tahoma" w:hAnsi="Tahoma" w:cs="Tahoma"/>
                <w:bCs/>
                <w:color w:val="000000"/>
                <w:sz w:val="14"/>
                <w:szCs w:val="14"/>
                <w:lang w:eastAsia="it-IT"/>
              </w:rPr>
              <w:t>Genserik</w:t>
            </w:r>
            <w:proofErr w:type="spellEnd"/>
            <w:r w:rsidR="00B57E6F" w:rsidRPr="00226270">
              <w:rPr>
                <w:rFonts w:ascii="Tahoma" w:hAnsi="Tahoma" w:cs="Tahoma"/>
                <w:bCs/>
                <w:color w:val="000000"/>
                <w:sz w:val="14"/>
                <w:szCs w:val="14"/>
                <w:lang w:eastAsia="it-IT"/>
              </w:rPr>
              <w:t xml:space="preserve"> </w:t>
            </w:r>
            <w:proofErr w:type="spellStart"/>
            <w:r w:rsidR="00B57E6F" w:rsidRPr="00226270">
              <w:rPr>
                <w:rFonts w:ascii="Tahoma" w:hAnsi="Tahoma" w:cs="Tahoma"/>
                <w:bCs/>
                <w:color w:val="000000"/>
                <w:sz w:val="14"/>
                <w:szCs w:val="14"/>
                <w:lang w:eastAsia="it-IT"/>
              </w:rPr>
              <w:t>Reniers</w:t>
            </w:r>
            <w:proofErr w:type="spellEnd"/>
          </w:p>
          <w:p w14:paraId="1B0F1814" w14:textId="08709475" w:rsidR="000A03B2" w:rsidRPr="00226270" w:rsidRDefault="00FA5F5F" w:rsidP="00B57E6F">
            <w:pPr>
              <w:tabs>
                <w:tab w:val="left" w:pos="-108"/>
              </w:tabs>
              <w:spacing w:line="140" w:lineRule="atLeast"/>
              <w:ind w:left="-107"/>
              <w:jc w:val="left"/>
            </w:pPr>
            <w:r w:rsidRPr="00226270">
              <w:rPr>
                <w:rFonts w:ascii="Tahoma" w:hAnsi="Tahoma" w:cs="Tahoma"/>
                <w:iCs/>
                <w:color w:val="333333"/>
                <w:sz w:val="14"/>
                <w:szCs w:val="14"/>
                <w:lang w:eastAsia="it-IT"/>
              </w:rPr>
              <w:t>Copyright © 20</w:t>
            </w:r>
            <w:r w:rsidR="00DF5072" w:rsidRPr="00226270">
              <w:rPr>
                <w:rFonts w:ascii="Tahoma" w:hAnsi="Tahoma" w:cs="Tahoma"/>
                <w:iCs/>
                <w:color w:val="333333"/>
                <w:sz w:val="14"/>
                <w:szCs w:val="14"/>
                <w:lang w:eastAsia="it-IT"/>
              </w:rPr>
              <w:t>2</w:t>
            </w:r>
            <w:r w:rsidR="00E72EAD" w:rsidRPr="00226270">
              <w:rPr>
                <w:rFonts w:ascii="Tahoma" w:hAnsi="Tahoma" w:cs="Tahoma"/>
                <w:iCs/>
                <w:color w:val="333333"/>
                <w:sz w:val="14"/>
                <w:szCs w:val="14"/>
                <w:lang w:eastAsia="it-IT"/>
              </w:rPr>
              <w:t>2</w:t>
            </w:r>
            <w:r w:rsidR="00904C62" w:rsidRPr="00226270">
              <w:rPr>
                <w:rFonts w:ascii="Tahoma" w:hAnsi="Tahoma" w:cs="Tahoma"/>
                <w:iCs/>
                <w:color w:val="333333"/>
                <w:sz w:val="14"/>
                <w:szCs w:val="14"/>
                <w:lang w:eastAsia="it-IT"/>
              </w:rPr>
              <w:t xml:space="preserve">, AIDIC </w:t>
            </w:r>
            <w:proofErr w:type="spellStart"/>
            <w:r w:rsidR="00904C62" w:rsidRPr="00226270">
              <w:rPr>
                <w:rFonts w:ascii="Tahoma" w:hAnsi="Tahoma" w:cs="Tahoma"/>
                <w:iCs/>
                <w:color w:val="333333"/>
                <w:sz w:val="14"/>
                <w:szCs w:val="14"/>
                <w:lang w:eastAsia="it-IT"/>
              </w:rPr>
              <w:t>Servizi</w:t>
            </w:r>
            <w:proofErr w:type="spellEnd"/>
            <w:r w:rsidR="00904C62" w:rsidRPr="00226270">
              <w:rPr>
                <w:rFonts w:ascii="Tahoma" w:hAnsi="Tahoma" w:cs="Tahoma"/>
                <w:iCs/>
                <w:color w:val="333333"/>
                <w:sz w:val="14"/>
                <w:szCs w:val="14"/>
                <w:lang w:eastAsia="it-IT"/>
              </w:rPr>
              <w:t xml:space="preserve"> </w:t>
            </w:r>
            <w:proofErr w:type="spellStart"/>
            <w:r w:rsidR="00904C62" w:rsidRPr="00226270">
              <w:rPr>
                <w:rFonts w:ascii="Tahoma" w:hAnsi="Tahoma" w:cs="Tahoma"/>
                <w:iCs/>
                <w:color w:val="333333"/>
                <w:sz w:val="14"/>
                <w:szCs w:val="14"/>
                <w:lang w:eastAsia="it-IT"/>
              </w:rPr>
              <w:t>S.r.l</w:t>
            </w:r>
            <w:proofErr w:type="spellEnd"/>
            <w:r w:rsidR="00904C62" w:rsidRPr="00226270">
              <w:rPr>
                <w:rFonts w:ascii="Tahoma" w:hAnsi="Tahoma" w:cs="Tahoma"/>
                <w:iCs/>
                <w:color w:val="333333"/>
                <w:sz w:val="14"/>
                <w:szCs w:val="14"/>
                <w:lang w:eastAsia="it-IT"/>
              </w:rPr>
              <w:t>.</w:t>
            </w:r>
            <w:r w:rsidR="00300E56" w:rsidRPr="00226270">
              <w:rPr>
                <w:rFonts w:ascii="Tahoma" w:hAnsi="Tahoma" w:cs="Tahoma"/>
                <w:iCs/>
                <w:color w:val="333333"/>
                <w:sz w:val="14"/>
                <w:szCs w:val="14"/>
                <w:lang w:eastAsia="it-IT"/>
              </w:rPr>
              <w:br/>
            </w:r>
            <w:r w:rsidR="00300E56" w:rsidRPr="00226270">
              <w:rPr>
                <w:rFonts w:ascii="Tahoma" w:hAnsi="Tahoma" w:cs="Tahoma"/>
                <w:b/>
                <w:iCs/>
                <w:color w:val="000000"/>
                <w:sz w:val="14"/>
                <w:szCs w:val="14"/>
                <w:lang w:eastAsia="it-IT"/>
              </w:rPr>
              <w:t>ISBN</w:t>
            </w:r>
            <w:r w:rsidR="00300E56" w:rsidRPr="00226270">
              <w:rPr>
                <w:rFonts w:ascii="Tahoma" w:hAnsi="Tahoma" w:cs="Tahoma"/>
                <w:iCs/>
                <w:color w:val="000000"/>
                <w:sz w:val="14"/>
                <w:szCs w:val="14"/>
                <w:lang w:eastAsia="it-IT"/>
              </w:rPr>
              <w:t xml:space="preserve"> </w:t>
            </w:r>
            <w:r w:rsidR="008D32B9" w:rsidRPr="00226270">
              <w:rPr>
                <w:rFonts w:ascii="Tahoma" w:hAnsi="Tahoma" w:cs="Tahoma"/>
                <w:sz w:val="14"/>
                <w:szCs w:val="14"/>
              </w:rPr>
              <w:t>978-88-95608</w:t>
            </w:r>
            <w:r w:rsidR="00D46B7E" w:rsidRPr="00226270">
              <w:rPr>
                <w:rFonts w:ascii="Tahoma" w:hAnsi="Tahoma" w:cs="Tahoma"/>
                <w:sz w:val="14"/>
                <w:szCs w:val="14"/>
              </w:rPr>
              <w:t>-8</w:t>
            </w:r>
            <w:r w:rsidR="00B57E6F" w:rsidRPr="00226270">
              <w:rPr>
                <w:rFonts w:ascii="Tahoma" w:hAnsi="Tahoma" w:cs="Tahoma"/>
                <w:sz w:val="14"/>
                <w:szCs w:val="14"/>
              </w:rPr>
              <w:t>9</w:t>
            </w:r>
            <w:r w:rsidR="00D46B7E" w:rsidRPr="00226270">
              <w:rPr>
                <w:rFonts w:ascii="Tahoma" w:hAnsi="Tahoma" w:cs="Tahoma"/>
                <w:sz w:val="14"/>
                <w:szCs w:val="14"/>
              </w:rPr>
              <w:t>-</w:t>
            </w:r>
            <w:r w:rsidR="00B57E6F" w:rsidRPr="00226270">
              <w:rPr>
                <w:rFonts w:ascii="Tahoma" w:hAnsi="Tahoma" w:cs="Tahoma"/>
                <w:sz w:val="14"/>
                <w:szCs w:val="14"/>
              </w:rPr>
              <w:t>1</w:t>
            </w:r>
            <w:r w:rsidR="007B48F9" w:rsidRPr="00226270">
              <w:rPr>
                <w:rFonts w:ascii="Tahoma" w:hAnsi="Tahoma" w:cs="Tahoma"/>
                <w:iCs/>
                <w:color w:val="333333"/>
                <w:sz w:val="14"/>
                <w:szCs w:val="14"/>
                <w:lang w:eastAsia="it-IT"/>
              </w:rPr>
              <w:t>;</w:t>
            </w:r>
            <w:r w:rsidR="00300E56" w:rsidRPr="00226270">
              <w:rPr>
                <w:rFonts w:ascii="Tahoma" w:hAnsi="Tahoma" w:cs="Tahoma"/>
                <w:iCs/>
                <w:color w:val="333333"/>
                <w:sz w:val="14"/>
                <w:szCs w:val="14"/>
                <w:lang w:eastAsia="it-IT"/>
              </w:rPr>
              <w:t xml:space="preserve"> </w:t>
            </w:r>
            <w:r w:rsidR="00300E56" w:rsidRPr="00226270">
              <w:rPr>
                <w:rFonts w:ascii="Tahoma" w:hAnsi="Tahoma" w:cs="Tahoma"/>
                <w:b/>
                <w:iCs/>
                <w:color w:val="333333"/>
                <w:sz w:val="14"/>
                <w:szCs w:val="14"/>
                <w:lang w:eastAsia="it-IT"/>
              </w:rPr>
              <w:t>ISSN</w:t>
            </w:r>
            <w:r w:rsidR="00300E56" w:rsidRPr="00226270">
              <w:rPr>
                <w:rFonts w:ascii="Tahoma" w:hAnsi="Tahoma" w:cs="Tahoma"/>
                <w:iCs/>
                <w:color w:val="333333"/>
                <w:sz w:val="14"/>
                <w:szCs w:val="14"/>
                <w:lang w:eastAsia="it-IT"/>
              </w:rPr>
              <w:t xml:space="preserve"> 2283-9216</w:t>
            </w:r>
          </w:p>
        </w:tc>
      </w:tr>
    </w:tbl>
    <w:p w14:paraId="10DAA130" w14:textId="77777777" w:rsidR="000A03B2" w:rsidRPr="00226270" w:rsidRDefault="000A03B2" w:rsidP="000A03B2">
      <w:pPr>
        <w:pStyle w:val="CETAuthors"/>
        <w:sectPr w:rsidR="000A03B2" w:rsidRPr="00226270" w:rsidSect="00CD5FE2">
          <w:type w:val="continuous"/>
          <w:pgSz w:w="11906" w:h="16838" w:code="9"/>
          <w:pgMar w:top="1701" w:right="1418" w:bottom="1701" w:left="1701" w:header="1701" w:footer="0" w:gutter="0"/>
          <w:cols w:space="708"/>
          <w:titlePg/>
          <w:docGrid w:linePitch="360"/>
        </w:sectPr>
      </w:pPr>
    </w:p>
    <w:p w14:paraId="2E667253" w14:textId="16F27575" w:rsidR="00E978D0" w:rsidRPr="00226270" w:rsidRDefault="009A2902" w:rsidP="00E978D0">
      <w:pPr>
        <w:pStyle w:val="CETTitle"/>
      </w:pPr>
      <w:r w:rsidRPr="00226270">
        <w:t>Modelling of the plume rise phenomenon due to warehouse or pool fires considering penetration of the mixing layer</w:t>
      </w:r>
    </w:p>
    <w:p w14:paraId="0488FED2" w14:textId="23E1ED33" w:rsidR="00B57E6F" w:rsidRPr="003616FA" w:rsidRDefault="009A2902" w:rsidP="00B57E6F">
      <w:pPr>
        <w:pStyle w:val="CETAuthors"/>
        <w:rPr>
          <w:lang w:val="es-ES"/>
        </w:rPr>
      </w:pPr>
      <w:r w:rsidRPr="003616FA">
        <w:rPr>
          <w:lang w:val="es-ES"/>
        </w:rPr>
        <w:t>Boot, Hans</w:t>
      </w:r>
      <w:r w:rsidR="00B57E6F" w:rsidRPr="003616FA">
        <w:rPr>
          <w:vertAlign w:val="superscript"/>
          <w:lang w:val="es-ES"/>
        </w:rPr>
        <w:t>a</w:t>
      </w:r>
      <w:r w:rsidR="00B57E6F" w:rsidRPr="003616FA">
        <w:rPr>
          <w:lang w:val="es-ES"/>
        </w:rPr>
        <w:t xml:space="preserve">, </w:t>
      </w:r>
      <w:r w:rsidRPr="003616FA">
        <w:rPr>
          <w:lang w:val="es-ES"/>
        </w:rPr>
        <w:t>Ruiz P</w:t>
      </w:r>
      <w:r w:rsidR="00950AFB" w:rsidRPr="003616FA">
        <w:rPr>
          <w:lang w:val="es-ES"/>
        </w:rPr>
        <w:t>é</w:t>
      </w:r>
      <w:r w:rsidRPr="003616FA">
        <w:rPr>
          <w:lang w:val="es-ES"/>
        </w:rPr>
        <w:t>rez Sonia</w:t>
      </w:r>
      <w:r w:rsidR="00B57E6F" w:rsidRPr="003616FA">
        <w:rPr>
          <w:vertAlign w:val="superscript"/>
          <w:lang w:val="es-ES"/>
        </w:rPr>
        <w:t>b</w:t>
      </w:r>
      <w:r w:rsidR="006241EB" w:rsidRPr="003616FA">
        <w:rPr>
          <w:vertAlign w:val="superscript"/>
          <w:lang w:val="es-ES"/>
        </w:rPr>
        <w:t>*</w:t>
      </w:r>
    </w:p>
    <w:p w14:paraId="6B2D21B3" w14:textId="55D429F0" w:rsidR="00B57E6F" w:rsidRPr="00226270" w:rsidRDefault="00B57E6F" w:rsidP="00830A82">
      <w:pPr>
        <w:rPr>
          <w:noProof/>
          <w:sz w:val="16"/>
        </w:rPr>
      </w:pPr>
      <w:proofErr w:type="spellStart"/>
      <w:r w:rsidRPr="00226270">
        <w:rPr>
          <w:vertAlign w:val="superscript"/>
        </w:rPr>
        <w:t>a</w:t>
      </w:r>
      <w:r w:rsidR="0030343A" w:rsidRPr="00226270">
        <w:rPr>
          <w:noProof/>
          <w:sz w:val="16"/>
        </w:rPr>
        <w:t>Gexcon</w:t>
      </w:r>
      <w:proofErr w:type="spellEnd"/>
      <w:r w:rsidR="0030343A" w:rsidRPr="00226270">
        <w:rPr>
          <w:noProof/>
          <w:sz w:val="16"/>
        </w:rPr>
        <w:t xml:space="preserve"> Netherlands BV, Princenhof Park 18, Driebergen, 3972 NG, The Netherlands</w:t>
      </w:r>
    </w:p>
    <w:p w14:paraId="3D72B0B0" w14:textId="59A7A8F5" w:rsidR="00B57E6F" w:rsidRPr="00226270" w:rsidRDefault="00B57E6F" w:rsidP="00B57E6F">
      <w:pPr>
        <w:pStyle w:val="CETAddress"/>
      </w:pPr>
      <w:r w:rsidRPr="00226270">
        <w:rPr>
          <w:vertAlign w:val="superscript"/>
        </w:rPr>
        <w:t>b</w:t>
      </w:r>
      <w:r w:rsidR="00741092" w:rsidRPr="00226270">
        <w:t>Gexcon Australia, Level 14, 172 St Georges Terrace, Perth 6000 WA, Australia</w:t>
      </w:r>
    </w:p>
    <w:p w14:paraId="73F1267A" w14:textId="6F06DA79" w:rsidR="00B57E6F" w:rsidRPr="00226270" w:rsidRDefault="00B57E6F" w:rsidP="00B57E6F">
      <w:pPr>
        <w:pStyle w:val="CETemail"/>
      </w:pPr>
      <w:r w:rsidRPr="00226270">
        <w:t xml:space="preserve"> </w:t>
      </w:r>
      <w:r w:rsidR="0038179E" w:rsidRPr="00226270">
        <w:t>hans.boot@gexcon.com, sonia.ruiz.perez@gexcon.com</w:t>
      </w:r>
    </w:p>
    <w:p w14:paraId="3FF794EF" w14:textId="66AF386A" w:rsidR="00E21436" w:rsidRPr="00226270" w:rsidRDefault="00E21436" w:rsidP="00FF385A">
      <w:pPr>
        <w:pStyle w:val="CETBodytext"/>
        <w:rPr>
          <w:lang w:val="en-GB"/>
        </w:rPr>
      </w:pPr>
      <w:r w:rsidRPr="00226270">
        <w:rPr>
          <w:lang w:val="en-GB"/>
        </w:rPr>
        <w:t>Smoke plumes containing toxic combustion products will initially rise due to the density difference between the hot combustion products and the ambient air. This density difference is caused by the fact that the</w:t>
      </w:r>
      <w:r w:rsidR="008651DA">
        <w:rPr>
          <w:lang w:val="en-GB"/>
        </w:rPr>
        <w:t xml:space="preserve"> plume</w:t>
      </w:r>
      <w:r w:rsidRPr="00226270">
        <w:rPr>
          <w:lang w:val="en-GB"/>
        </w:rPr>
        <w:t xml:space="preserve"> temperature is significantly higher than the </w:t>
      </w:r>
      <w:r w:rsidR="003D7CBD">
        <w:rPr>
          <w:lang w:val="en-GB"/>
        </w:rPr>
        <w:t xml:space="preserve">air’s ambient </w:t>
      </w:r>
      <w:r w:rsidRPr="00226270">
        <w:rPr>
          <w:lang w:val="en-GB"/>
        </w:rPr>
        <w:t>temperature. The theory behind this plume rise phenomenon foresees that there will be a height at which the finally cooled down plume will be in equilibrium with the density of the air at that height, leading to a maximum plume height. The trajectory of the plume and the hazard distances to specific concentration threshold levels will be mainly influenced by the windspeed, atmospheric stability class and the fire’s convective heat production, where the combination of these parameters lead</w:t>
      </w:r>
      <w:r w:rsidR="00F267B3" w:rsidRPr="00226270">
        <w:rPr>
          <w:lang w:val="en-GB"/>
        </w:rPr>
        <w:t>s</w:t>
      </w:r>
      <w:r w:rsidRPr="00226270">
        <w:rPr>
          <w:lang w:val="en-GB"/>
        </w:rPr>
        <w:t xml:space="preserve"> to potential penetration of, or even reflection against the mixing layer.</w:t>
      </w:r>
    </w:p>
    <w:p w14:paraId="19FB748C" w14:textId="77777777" w:rsidR="00FF385A" w:rsidRPr="00226270" w:rsidRDefault="00FF385A" w:rsidP="00FF385A">
      <w:pPr>
        <w:pStyle w:val="CETBodytext"/>
        <w:rPr>
          <w:lang w:val="en-GB"/>
        </w:rPr>
      </w:pPr>
    </w:p>
    <w:p w14:paraId="5EB2F15B" w14:textId="5F82F5B4" w:rsidR="00FF385A" w:rsidRPr="00226270" w:rsidRDefault="00FF385A" w:rsidP="00FF385A">
      <w:pPr>
        <w:pStyle w:val="CETBodytext"/>
        <w:rPr>
          <w:lang w:val="en-GB"/>
        </w:rPr>
      </w:pPr>
      <w:r w:rsidRPr="00226270">
        <w:rPr>
          <w:lang w:val="en-GB"/>
        </w:rPr>
        <w:t>Typical models that describe the mathematics behind rising of hot plumes include the effects of atmospheric turbulence. However, the plume’s potential penetration of the mixing layer</w:t>
      </w:r>
      <w:r w:rsidR="00D67633">
        <w:rPr>
          <w:lang w:val="en-GB"/>
        </w:rPr>
        <w:t xml:space="preserve"> and reflection of the plume</w:t>
      </w:r>
      <w:r w:rsidRPr="00226270">
        <w:rPr>
          <w:lang w:val="en-GB"/>
        </w:rPr>
        <w:t xml:space="preserve"> </w:t>
      </w:r>
      <w:r w:rsidR="009C008C" w:rsidRPr="00226270">
        <w:rPr>
          <w:lang w:val="en-GB"/>
        </w:rPr>
        <w:t xml:space="preserve">is often </w:t>
      </w:r>
      <w:r w:rsidR="001E5A28">
        <w:rPr>
          <w:lang w:val="en-GB"/>
        </w:rPr>
        <w:t>neglected</w:t>
      </w:r>
      <w:r w:rsidRPr="00226270">
        <w:rPr>
          <w:lang w:val="en-GB"/>
        </w:rPr>
        <w:t xml:space="preserve">. </w:t>
      </w:r>
    </w:p>
    <w:p w14:paraId="11E20960" w14:textId="77777777" w:rsidR="00FF385A" w:rsidRPr="00226270" w:rsidRDefault="00FF385A" w:rsidP="00FF385A">
      <w:pPr>
        <w:pStyle w:val="CETBodytext"/>
        <w:rPr>
          <w:lang w:val="en-GB"/>
        </w:rPr>
      </w:pPr>
    </w:p>
    <w:p w14:paraId="0A0B3696" w14:textId="29BA7FBC" w:rsidR="004523EF" w:rsidRDefault="00FF385A" w:rsidP="00FF385A">
      <w:pPr>
        <w:pStyle w:val="CETBodytext"/>
        <w:rPr>
          <w:lang w:val="en-GB"/>
        </w:rPr>
      </w:pPr>
      <w:r w:rsidRPr="00226270">
        <w:rPr>
          <w:lang w:val="en-GB"/>
        </w:rPr>
        <w:t xml:space="preserve">The present study has led to the </w:t>
      </w:r>
      <w:r w:rsidR="001E5A28">
        <w:rPr>
          <w:lang w:val="en-GB"/>
        </w:rPr>
        <w:t>development</w:t>
      </w:r>
      <w:r w:rsidR="001E5A28" w:rsidRPr="00226270">
        <w:rPr>
          <w:lang w:val="en-GB"/>
        </w:rPr>
        <w:t xml:space="preserve"> </w:t>
      </w:r>
      <w:r w:rsidRPr="00226270">
        <w:rPr>
          <w:lang w:val="en-GB"/>
        </w:rPr>
        <w:t xml:space="preserve">of a dedicated model, implemented in </w:t>
      </w:r>
      <w:proofErr w:type="spellStart"/>
      <w:r w:rsidRPr="00226270">
        <w:rPr>
          <w:lang w:val="en-GB"/>
        </w:rPr>
        <w:t>Gexcon’s</w:t>
      </w:r>
      <w:proofErr w:type="spellEnd"/>
      <w:r w:rsidRPr="00226270">
        <w:rPr>
          <w:lang w:val="en-GB"/>
        </w:rPr>
        <w:t xml:space="preserve"> software package EFFECTS, to simulate the plume rise phenomenon due to warehouse</w:t>
      </w:r>
      <w:r w:rsidR="003B6336" w:rsidRPr="00226270">
        <w:rPr>
          <w:lang w:val="en-GB"/>
        </w:rPr>
        <w:t xml:space="preserve"> and pool</w:t>
      </w:r>
      <w:r w:rsidRPr="00226270">
        <w:rPr>
          <w:lang w:val="en-GB"/>
        </w:rPr>
        <w:t xml:space="preserve"> fires. </w:t>
      </w:r>
      <w:r w:rsidR="00A00977" w:rsidRPr="00226270">
        <w:rPr>
          <w:lang w:val="en-GB"/>
        </w:rPr>
        <w:t>The model</w:t>
      </w:r>
      <w:r w:rsidR="00A00977">
        <w:rPr>
          <w:lang w:val="en-GB"/>
        </w:rPr>
        <w:t xml:space="preserve"> </w:t>
      </w:r>
      <w:r w:rsidR="00A00977" w:rsidRPr="00226270">
        <w:rPr>
          <w:lang w:val="en-GB"/>
        </w:rPr>
        <w:t>is based on Briggs’ study of the plume rise phenomenon (Briggs, 1969), the theory of the Yellow Book (Yellow Book, 1992) and uses Mills’ correction for burning fires (Mills, 1987).</w:t>
      </w:r>
      <w:r w:rsidR="00A00977">
        <w:rPr>
          <w:lang w:val="en-GB"/>
        </w:rPr>
        <w:t xml:space="preserve"> </w:t>
      </w:r>
      <w:r w:rsidRPr="00226270">
        <w:rPr>
          <w:lang w:val="en-GB"/>
        </w:rPr>
        <w:t xml:space="preserve">This model </w:t>
      </w:r>
      <w:r w:rsidR="00A00977">
        <w:rPr>
          <w:lang w:val="en-GB"/>
        </w:rPr>
        <w:t xml:space="preserve">not only </w:t>
      </w:r>
      <w:r w:rsidRPr="00226270">
        <w:rPr>
          <w:lang w:val="en-GB"/>
        </w:rPr>
        <w:t>calculates the maximum height</w:t>
      </w:r>
      <w:r w:rsidR="000B4398" w:rsidRPr="00226270">
        <w:rPr>
          <w:lang w:val="en-GB"/>
        </w:rPr>
        <w:t xml:space="preserve">, </w:t>
      </w:r>
      <w:r w:rsidRPr="00226270">
        <w:rPr>
          <w:lang w:val="en-GB"/>
        </w:rPr>
        <w:t>plume path</w:t>
      </w:r>
      <w:r w:rsidR="000B4398" w:rsidRPr="00226270">
        <w:rPr>
          <w:lang w:val="en-GB"/>
        </w:rPr>
        <w:t>, and c</w:t>
      </w:r>
      <w:r w:rsidR="00B46435" w:rsidRPr="00226270">
        <w:rPr>
          <w:lang w:val="en-GB"/>
        </w:rPr>
        <w:t>oncentration threshold contours of toxic combustion products at any height,</w:t>
      </w:r>
      <w:r w:rsidRPr="00226270">
        <w:rPr>
          <w:lang w:val="en-GB"/>
        </w:rPr>
        <w:t xml:space="preserve"> </w:t>
      </w:r>
      <w:r w:rsidR="003B6336" w:rsidRPr="00226270">
        <w:rPr>
          <w:lang w:val="en-GB"/>
        </w:rPr>
        <w:t>but also</w:t>
      </w:r>
      <w:r w:rsidRPr="00226270">
        <w:rPr>
          <w:lang w:val="en-GB"/>
        </w:rPr>
        <w:t xml:space="preserve"> includes </w:t>
      </w:r>
      <w:r w:rsidR="003B6336" w:rsidRPr="00226270">
        <w:rPr>
          <w:lang w:val="en-GB"/>
        </w:rPr>
        <w:t xml:space="preserve">the </w:t>
      </w:r>
      <w:r w:rsidR="008B59E8" w:rsidRPr="00226270">
        <w:rPr>
          <w:lang w:val="en-GB"/>
        </w:rPr>
        <w:t xml:space="preserve">effects of the </w:t>
      </w:r>
      <w:r w:rsidR="003B6336" w:rsidRPr="00226270">
        <w:rPr>
          <w:lang w:val="en-GB"/>
        </w:rPr>
        <w:t>penetration and reflection phenomena</w:t>
      </w:r>
      <w:r w:rsidRPr="00226270">
        <w:rPr>
          <w:lang w:val="en-GB"/>
        </w:rPr>
        <w:t>.</w:t>
      </w:r>
      <w:r w:rsidR="008F047E">
        <w:rPr>
          <w:lang w:val="en-GB"/>
        </w:rPr>
        <w:t xml:space="preserve"> The model has been validated against </w:t>
      </w:r>
      <w:r w:rsidR="004523EF">
        <w:rPr>
          <w:lang w:val="en-GB"/>
        </w:rPr>
        <w:t xml:space="preserve">the </w:t>
      </w:r>
      <w:r w:rsidR="008F047E">
        <w:rPr>
          <w:lang w:val="en-GB"/>
        </w:rPr>
        <w:t>experimental data</w:t>
      </w:r>
      <w:r w:rsidR="004523EF">
        <w:rPr>
          <w:lang w:val="en-GB"/>
        </w:rPr>
        <w:t xml:space="preserve"> presented by </w:t>
      </w:r>
      <w:r w:rsidR="004523EF" w:rsidRPr="00226270">
        <w:rPr>
          <w:lang w:val="en-GB"/>
        </w:rPr>
        <w:t xml:space="preserve">(Hall et al., 1995) </w:t>
      </w:r>
      <w:r w:rsidR="004523EF">
        <w:rPr>
          <w:lang w:val="en-GB"/>
        </w:rPr>
        <w:t>and</w:t>
      </w:r>
      <w:r w:rsidR="004523EF" w:rsidRPr="00226270">
        <w:rPr>
          <w:lang w:val="en-GB"/>
        </w:rPr>
        <w:t xml:space="preserve"> Briggs (1969)</w:t>
      </w:r>
      <w:r w:rsidR="00DA7856">
        <w:rPr>
          <w:lang w:val="en-GB"/>
        </w:rPr>
        <w:t xml:space="preserve">, as well as other validated mathematical models, to ensure </w:t>
      </w:r>
      <w:r w:rsidR="00E14535">
        <w:rPr>
          <w:lang w:val="en-GB"/>
        </w:rPr>
        <w:t>its</w:t>
      </w:r>
      <w:r w:rsidR="00DA7856">
        <w:rPr>
          <w:lang w:val="en-GB"/>
        </w:rPr>
        <w:t xml:space="preserve"> </w:t>
      </w:r>
      <w:r w:rsidR="00E14535">
        <w:rPr>
          <w:lang w:val="en-GB"/>
        </w:rPr>
        <w:t xml:space="preserve">good </w:t>
      </w:r>
      <w:r w:rsidR="00DA7856">
        <w:rPr>
          <w:lang w:val="en-GB"/>
        </w:rPr>
        <w:t xml:space="preserve">performance. </w:t>
      </w:r>
    </w:p>
    <w:p w14:paraId="476B2F2E" w14:textId="77777777" w:rsidR="00600535" w:rsidRPr="00226270" w:rsidRDefault="00600535" w:rsidP="00600535">
      <w:pPr>
        <w:pStyle w:val="CETHeading1"/>
        <w:rPr>
          <w:lang w:val="en-GB"/>
        </w:rPr>
      </w:pPr>
      <w:r w:rsidRPr="00226270">
        <w:rPr>
          <w:lang w:val="en-GB"/>
        </w:rPr>
        <w:t>Introduction</w:t>
      </w:r>
    </w:p>
    <w:p w14:paraId="326776AD" w14:textId="79AA9017" w:rsidR="00CB216E" w:rsidRPr="00226270" w:rsidRDefault="00CB216E" w:rsidP="00CB216E">
      <w:pPr>
        <w:pStyle w:val="CETBodytext"/>
        <w:rPr>
          <w:lang w:val="en-GB"/>
        </w:rPr>
      </w:pPr>
      <w:r w:rsidRPr="00226270">
        <w:rPr>
          <w:lang w:val="en-GB"/>
        </w:rPr>
        <w:t>Although warehouse fires are hardly being recognized as “hazardous accidents”, they are</w:t>
      </w:r>
      <w:r w:rsidR="00AA16BF">
        <w:rPr>
          <w:lang w:val="en-GB"/>
        </w:rPr>
        <w:t>,</w:t>
      </w:r>
      <w:r w:rsidRPr="00226270">
        <w:rPr>
          <w:lang w:val="en-GB"/>
        </w:rPr>
        <w:t xml:space="preserve"> in fact</w:t>
      </w:r>
      <w:r w:rsidR="00AA16BF">
        <w:rPr>
          <w:lang w:val="en-GB"/>
        </w:rPr>
        <w:t>,</w:t>
      </w:r>
      <w:r w:rsidRPr="00226270">
        <w:rPr>
          <w:lang w:val="en-GB"/>
        </w:rPr>
        <w:t xml:space="preserve"> one of the most recurring toxic exposure events. Due to the formation of highly toxic combustion products, these situations often lead to large scale alarming and evacuation actions towards potentially exposed population</w:t>
      </w:r>
      <w:r w:rsidR="00AA16BF">
        <w:rPr>
          <w:lang w:val="en-GB"/>
        </w:rPr>
        <w:t>s</w:t>
      </w:r>
      <w:r w:rsidRPr="00226270">
        <w:rPr>
          <w:lang w:val="en-GB"/>
        </w:rPr>
        <w:t>.</w:t>
      </w:r>
    </w:p>
    <w:p w14:paraId="5FB22E01" w14:textId="77777777" w:rsidR="007656C0" w:rsidRPr="00226270" w:rsidRDefault="007656C0" w:rsidP="00CB216E">
      <w:pPr>
        <w:pStyle w:val="CETBodytext"/>
        <w:rPr>
          <w:lang w:val="en-GB"/>
        </w:rPr>
      </w:pPr>
    </w:p>
    <w:p w14:paraId="03F50DF9" w14:textId="72C314E7" w:rsidR="00874FF5" w:rsidRDefault="00CB216E" w:rsidP="00874FF5">
      <w:pPr>
        <w:pStyle w:val="CETBodytext"/>
        <w:rPr>
          <w:lang w:val="en-GB"/>
        </w:rPr>
      </w:pPr>
      <w:r w:rsidRPr="00226270">
        <w:rPr>
          <w:lang w:val="en-GB"/>
        </w:rPr>
        <w:t>Warehouses may contain large quantities of either liquid or solid combustible products, varying from fertilizers</w:t>
      </w:r>
      <w:r w:rsidR="00AA16BF">
        <w:rPr>
          <w:lang w:val="en-GB"/>
        </w:rPr>
        <w:t xml:space="preserve"> and</w:t>
      </w:r>
      <w:r w:rsidRPr="00226270">
        <w:rPr>
          <w:lang w:val="en-GB"/>
        </w:rPr>
        <w:t xml:space="preserve"> pesticides to cleaning agents</w:t>
      </w:r>
      <w:r w:rsidR="004D1693" w:rsidRPr="00226270">
        <w:rPr>
          <w:lang w:val="en-GB"/>
        </w:rPr>
        <w:t>. Upon a warehouse fire</w:t>
      </w:r>
      <w:r w:rsidR="007274F2" w:rsidRPr="00226270">
        <w:rPr>
          <w:lang w:val="en-GB"/>
        </w:rPr>
        <w:t xml:space="preserve"> </w:t>
      </w:r>
      <w:r w:rsidR="00F9383D" w:rsidRPr="00226270">
        <w:rPr>
          <w:lang w:val="en-GB"/>
        </w:rPr>
        <w:t>a</w:t>
      </w:r>
      <w:r w:rsidR="007274F2" w:rsidRPr="00226270">
        <w:rPr>
          <w:lang w:val="en-GB"/>
        </w:rPr>
        <w:t xml:space="preserve"> smoke plume</w:t>
      </w:r>
      <w:r w:rsidR="00F9383D" w:rsidRPr="00226270">
        <w:rPr>
          <w:lang w:val="en-GB"/>
        </w:rPr>
        <w:t xml:space="preserve"> will be generated, which</w:t>
      </w:r>
      <w:r w:rsidR="007274F2" w:rsidRPr="00226270">
        <w:rPr>
          <w:lang w:val="en-GB"/>
        </w:rPr>
        <w:t xml:space="preserve"> can potentially produce </w:t>
      </w:r>
      <w:r w:rsidRPr="00226270">
        <w:rPr>
          <w:lang w:val="en-GB"/>
        </w:rPr>
        <w:t>a large range of different toxic combustion products</w:t>
      </w:r>
      <w:r w:rsidR="00155B80" w:rsidRPr="00226270">
        <w:rPr>
          <w:lang w:val="en-GB"/>
        </w:rPr>
        <w:t>, such as NO</w:t>
      </w:r>
      <w:r w:rsidR="00155B80" w:rsidRPr="00226270">
        <w:rPr>
          <w:vertAlign w:val="subscript"/>
          <w:lang w:val="en-GB"/>
        </w:rPr>
        <w:t>x</w:t>
      </w:r>
      <w:r w:rsidR="00155B80" w:rsidRPr="00226270">
        <w:rPr>
          <w:lang w:val="en-GB"/>
        </w:rPr>
        <w:t>, HCl, HF, SO</w:t>
      </w:r>
      <w:r w:rsidR="00155B80" w:rsidRPr="00226270">
        <w:rPr>
          <w:vertAlign w:val="subscript"/>
          <w:lang w:val="en-GB"/>
        </w:rPr>
        <w:t>2</w:t>
      </w:r>
      <w:r w:rsidR="00155B80" w:rsidRPr="00226270">
        <w:rPr>
          <w:lang w:val="en-GB"/>
        </w:rPr>
        <w:t>, etc</w:t>
      </w:r>
      <w:r w:rsidR="007274F2" w:rsidRPr="00226270">
        <w:rPr>
          <w:lang w:val="en-GB"/>
        </w:rPr>
        <w:t xml:space="preserve">. </w:t>
      </w:r>
      <w:r w:rsidRPr="00226270">
        <w:rPr>
          <w:lang w:val="en-GB"/>
        </w:rPr>
        <w:t xml:space="preserve">This smoke plume will initially rise into the atmosphere </w:t>
      </w:r>
      <w:r w:rsidR="008F776D">
        <w:rPr>
          <w:lang w:val="en-GB"/>
        </w:rPr>
        <w:t xml:space="preserve">but </w:t>
      </w:r>
      <w:r w:rsidR="006042EE">
        <w:rPr>
          <w:lang w:val="en-GB"/>
        </w:rPr>
        <w:t xml:space="preserve">will </w:t>
      </w:r>
      <w:r w:rsidR="008F776D">
        <w:rPr>
          <w:lang w:val="en-GB"/>
        </w:rPr>
        <w:t xml:space="preserve">eventually stabilize in height and </w:t>
      </w:r>
      <w:r w:rsidR="00FE2C70">
        <w:rPr>
          <w:lang w:val="en-GB"/>
        </w:rPr>
        <w:t>spread-out</w:t>
      </w:r>
      <w:r w:rsidRPr="00226270">
        <w:rPr>
          <w:lang w:val="en-GB"/>
        </w:rPr>
        <w:t xml:space="preserve"> toxic combustion products that can be harmful for both humans and the environment.</w:t>
      </w:r>
      <w:r w:rsidR="00F15AFD" w:rsidRPr="00226270">
        <w:rPr>
          <w:lang w:val="en-GB"/>
        </w:rPr>
        <w:t xml:space="preserve"> These </w:t>
      </w:r>
      <w:r w:rsidR="00874FF5" w:rsidRPr="00226270">
        <w:rPr>
          <w:lang w:val="en-GB"/>
        </w:rPr>
        <w:t>toxic combustion products can reach dangerous concentrations up to large distances, requiring alarming or even evacuation actions by emergency response teams.</w:t>
      </w:r>
    </w:p>
    <w:p w14:paraId="4105D84E" w14:textId="77777777" w:rsidR="00E14535" w:rsidRPr="00226270" w:rsidRDefault="00E14535" w:rsidP="00874FF5">
      <w:pPr>
        <w:pStyle w:val="CETBodytext"/>
        <w:rPr>
          <w:lang w:val="en-GB"/>
        </w:rPr>
      </w:pPr>
    </w:p>
    <w:p w14:paraId="29B65BB1" w14:textId="629BFED4" w:rsidR="00821AE3" w:rsidRPr="00226270" w:rsidRDefault="00874FF5" w:rsidP="00874FF5">
      <w:pPr>
        <w:pStyle w:val="CETBodytext"/>
        <w:rPr>
          <w:lang w:val="en-GB"/>
        </w:rPr>
      </w:pPr>
      <w:r w:rsidRPr="00226270">
        <w:rPr>
          <w:lang w:val="en-GB"/>
        </w:rPr>
        <w:lastRenderedPageBreak/>
        <w:t>That is the reason why</w:t>
      </w:r>
      <w:r w:rsidR="003D7724" w:rsidRPr="00226270">
        <w:rPr>
          <w:lang w:val="en-GB"/>
        </w:rPr>
        <w:t xml:space="preserve"> nowadays</w:t>
      </w:r>
      <w:r w:rsidRPr="00226270">
        <w:rPr>
          <w:lang w:val="en-GB"/>
        </w:rPr>
        <w:t xml:space="preserve"> there is a growing interest </w:t>
      </w:r>
      <w:r w:rsidR="007A10E1">
        <w:rPr>
          <w:lang w:val="en-GB"/>
        </w:rPr>
        <w:t>in</w:t>
      </w:r>
      <w:r w:rsidRPr="00226270">
        <w:rPr>
          <w:lang w:val="en-GB"/>
        </w:rPr>
        <w:t xml:space="preserve"> simulating the effects of rising smoke plumes. The assessment of the toxic concentration levels of these combustion products transported along the plume </w:t>
      </w:r>
      <w:r w:rsidR="007A10E1" w:rsidRPr="00226270">
        <w:rPr>
          <w:lang w:val="en-GB"/>
        </w:rPr>
        <w:t xml:space="preserve">trajectory </w:t>
      </w:r>
      <w:r w:rsidRPr="00226270">
        <w:rPr>
          <w:lang w:val="en-GB"/>
        </w:rPr>
        <w:t>is of u</w:t>
      </w:r>
      <w:r w:rsidR="00EA09F7">
        <w:rPr>
          <w:lang w:val="en-GB"/>
        </w:rPr>
        <w:t>t</w:t>
      </w:r>
      <w:r w:rsidRPr="00226270">
        <w:rPr>
          <w:lang w:val="en-GB"/>
        </w:rPr>
        <w:t>most importance</w:t>
      </w:r>
      <w:r w:rsidR="001E5A28">
        <w:rPr>
          <w:lang w:val="en-GB"/>
        </w:rPr>
        <w:t>, allowing</w:t>
      </w:r>
      <w:r w:rsidRPr="00226270">
        <w:rPr>
          <w:lang w:val="en-GB"/>
        </w:rPr>
        <w:t xml:space="preserve"> safety professionals </w:t>
      </w:r>
      <w:r w:rsidR="001E5A28">
        <w:rPr>
          <w:lang w:val="en-GB"/>
        </w:rPr>
        <w:t>to</w:t>
      </w:r>
      <w:r w:rsidR="001E5A28" w:rsidRPr="00226270">
        <w:rPr>
          <w:lang w:val="en-GB"/>
        </w:rPr>
        <w:t xml:space="preserve"> </w:t>
      </w:r>
      <w:r w:rsidRPr="00226270">
        <w:rPr>
          <w:lang w:val="en-GB"/>
        </w:rPr>
        <w:t xml:space="preserve">use this information for hazard identification, safety analysis and emergency planning. </w:t>
      </w:r>
      <w:r w:rsidR="00395928">
        <w:rPr>
          <w:lang w:val="en-GB"/>
        </w:rPr>
        <w:t>Figure 1 below shows a hot</w:t>
      </w:r>
      <w:r w:rsidR="001663DA">
        <w:rPr>
          <w:lang w:val="en-GB"/>
        </w:rPr>
        <w:t xml:space="preserve"> smoke plume due to a warehouse fire.</w:t>
      </w:r>
    </w:p>
    <w:p w14:paraId="5795F32F" w14:textId="77777777" w:rsidR="00821AE3" w:rsidRPr="00226270" w:rsidRDefault="00821AE3" w:rsidP="00821AE3">
      <w:pPr>
        <w:pStyle w:val="CETBodytext"/>
        <w:rPr>
          <w:lang w:val="en-GB"/>
        </w:rPr>
      </w:pPr>
      <w:r w:rsidRPr="00226270">
        <w:rPr>
          <w:noProof/>
          <w:lang w:val="en-GB"/>
        </w:rPr>
        <w:drawing>
          <wp:inline distT="0" distB="0" distL="0" distR="0" wp14:anchorId="2D950876" wp14:editId="0EE2CD6B">
            <wp:extent cx="2890520" cy="1924819"/>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9817" cy="1957646"/>
                    </a:xfrm>
                    <a:prstGeom prst="rect">
                      <a:avLst/>
                    </a:prstGeom>
                    <a:noFill/>
                    <a:ln>
                      <a:noFill/>
                    </a:ln>
                  </pic:spPr>
                </pic:pic>
              </a:graphicData>
            </a:graphic>
          </wp:inline>
        </w:drawing>
      </w:r>
    </w:p>
    <w:p w14:paraId="2E9F3A87" w14:textId="77777777" w:rsidR="00821AE3" w:rsidRPr="00226270" w:rsidRDefault="00821AE3" w:rsidP="00821AE3">
      <w:pPr>
        <w:pStyle w:val="CETCaption"/>
        <w:spacing w:before="0"/>
      </w:pPr>
      <w:r w:rsidRPr="00226270">
        <w:t xml:space="preserve">Figure </w:t>
      </w:r>
      <w:r w:rsidRPr="00226270">
        <w:fldChar w:fldCharType="begin"/>
      </w:r>
      <w:r w:rsidRPr="00226270">
        <w:instrText xml:space="preserve"> SEQ Figure \* ARABIC </w:instrText>
      </w:r>
      <w:r w:rsidRPr="00226270">
        <w:fldChar w:fldCharType="separate"/>
      </w:r>
      <w:r w:rsidRPr="00226270">
        <w:rPr>
          <w:noProof/>
        </w:rPr>
        <w:t>1</w:t>
      </w:r>
      <w:r w:rsidRPr="00226270">
        <w:fldChar w:fldCharType="end"/>
      </w:r>
      <w:r w:rsidRPr="00226270">
        <w:t>: Smoke plume generated upon a warehouse fire</w:t>
      </w:r>
    </w:p>
    <w:p w14:paraId="0EE1A6CC" w14:textId="60FCF885" w:rsidR="00253654" w:rsidRPr="00226270" w:rsidRDefault="00253654" w:rsidP="000144CE">
      <w:pPr>
        <w:pStyle w:val="CETBodytext"/>
        <w:rPr>
          <w:lang w:val="en-GB"/>
        </w:rPr>
      </w:pPr>
      <w:r w:rsidRPr="00226270">
        <w:rPr>
          <w:lang w:val="en-GB"/>
        </w:rPr>
        <w:t xml:space="preserve">Typical models that describe the mathematics behind rising of hot plumes, such as those described by Briggs (Briggs, 1969), include the effects of atmospheric conditions. However, the plume’s potential penetration of the mixing layer </w:t>
      </w:r>
      <w:r w:rsidR="004A2D0D" w:rsidRPr="00226270">
        <w:rPr>
          <w:lang w:val="en-GB"/>
        </w:rPr>
        <w:t>is often</w:t>
      </w:r>
      <w:r w:rsidR="001E5A28">
        <w:rPr>
          <w:lang w:val="en-GB"/>
        </w:rPr>
        <w:t xml:space="preserve"> neglected</w:t>
      </w:r>
      <w:r w:rsidRPr="00226270">
        <w:rPr>
          <w:lang w:val="en-GB"/>
        </w:rPr>
        <w:t xml:space="preserve">. The importance of the plume penetration is that all mass that has risen above the mixing layer, will never disperse back into the mixing layer. Therefore, toxic combustion products trapped above the mixing layer height </w:t>
      </w:r>
      <w:r w:rsidR="001E5A28">
        <w:rPr>
          <w:lang w:val="en-GB"/>
        </w:rPr>
        <w:t>can</w:t>
      </w:r>
      <w:r w:rsidRPr="00226270">
        <w:rPr>
          <w:lang w:val="en-GB"/>
        </w:rPr>
        <w:t xml:space="preserve"> never create chemical exposure at ground level. Apart from penetration of the mixing layer height, the potential reflection of the plume should also be considered</w:t>
      </w:r>
      <w:r w:rsidR="001E5A28">
        <w:rPr>
          <w:lang w:val="en-GB"/>
        </w:rPr>
        <w:t xml:space="preserve">. This </w:t>
      </w:r>
      <w:r w:rsidRPr="00226270">
        <w:rPr>
          <w:lang w:val="en-GB"/>
        </w:rPr>
        <w:t>can play a</w:t>
      </w:r>
      <w:r w:rsidR="001E5A28">
        <w:rPr>
          <w:lang w:val="en-GB"/>
        </w:rPr>
        <w:t>n important</w:t>
      </w:r>
      <w:r w:rsidRPr="00226270">
        <w:rPr>
          <w:lang w:val="en-GB"/>
        </w:rPr>
        <w:t xml:space="preserve"> role for plumes that remain below the mixing layer height as reflection will be the responsible phenomena to trap the (toxic) combustion products below the mixing layer height, thus, creating chemical exposure at ground level. </w:t>
      </w:r>
    </w:p>
    <w:p w14:paraId="33D0F3B3" w14:textId="77777777" w:rsidR="00253654" w:rsidRPr="00226270" w:rsidRDefault="00253654" w:rsidP="00253654">
      <w:pPr>
        <w:pStyle w:val="CETBodytext"/>
        <w:rPr>
          <w:lang w:val="en-GB"/>
        </w:rPr>
      </w:pPr>
    </w:p>
    <w:p w14:paraId="6BD6D1AB" w14:textId="14C3C794" w:rsidR="00297370" w:rsidRPr="00226270" w:rsidRDefault="00253654" w:rsidP="00316130">
      <w:pPr>
        <w:pStyle w:val="CETBodytext"/>
        <w:rPr>
          <w:lang w:val="en-GB"/>
        </w:rPr>
      </w:pPr>
      <w:r w:rsidRPr="00226270">
        <w:rPr>
          <w:lang w:val="en-GB"/>
        </w:rPr>
        <w:t xml:space="preserve">The present study has led to the </w:t>
      </w:r>
      <w:r w:rsidR="001E5A28">
        <w:rPr>
          <w:lang w:val="en-GB"/>
        </w:rPr>
        <w:t>development</w:t>
      </w:r>
      <w:r w:rsidR="001E5A28" w:rsidRPr="00226270">
        <w:rPr>
          <w:lang w:val="en-GB"/>
        </w:rPr>
        <w:t xml:space="preserve"> </w:t>
      </w:r>
      <w:r w:rsidRPr="00226270">
        <w:rPr>
          <w:lang w:val="en-GB"/>
        </w:rPr>
        <w:t xml:space="preserve">of a dedicated model, implemented in </w:t>
      </w:r>
      <w:proofErr w:type="spellStart"/>
      <w:r w:rsidRPr="00226270">
        <w:rPr>
          <w:lang w:val="en-GB"/>
        </w:rPr>
        <w:t>Gexcon’s</w:t>
      </w:r>
      <w:proofErr w:type="spellEnd"/>
      <w:r w:rsidRPr="00226270">
        <w:rPr>
          <w:lang w:val="en-GB"/>
        </w:rPr>
        <w:t xml:space="preserve"> software package EFFECTS, to simulate the plume rise phenomenon due to warehouse or pool fires. </w:t>
      </w:r>
      <w:r w:rsidR="004D49AE" w:rsidRPr="00226270">
        <w:rPr>
          <w:lang w:val="en-GB"/>
        </w:rPr>
        <w:t xml:space="preserve">The aim of this model is to provide safety professionals with valuable information for hazard identification, safety analysis and emergency planning. </w:t>
      </w:r>
    </w:p>
    <w:p w14:paraId="5741900F" w14:textId="1414621C" w:rsidR="00453E24" w:rsidRPr="00226270" w:rsidRDefault="001E632F" w:rsidP="00F7721B">
      <w:pPr>
        <w:pStyle w:val="CETHeading1"/>
        <w:numPr>
          <w:ilvl w:val="1"/>
          <w:numId w:val="24"/>
        </w:numPr>
        <w:rPr>
          <w:lang w:val="en-GB"/>
        </w:rPr>
      </w:pPr>
      <w:r w:rsidRPr="00226270">
        <w:rPr>
          <w:lang w:val="en-GB"/>
        </w:rPr>
        <w:t>Methodology</w:t>
      </w:r>
    </w:p>
    <w:p w14:paraId="505AA955" w14:textId="1E5E8A63" w:rsidR="00F7721B" w:rsidRPr="00226270" w:rsidRDefault="00F7721B" w:rsidP="008D03A2">
      <w:pPr>
        <w:pStyle w:val="CETheadingx"/>
        <w:rPr>
          <w:lang w:val="en-GB"/>
        </w:rPr>
      </w:pPr>
      <w:r w:rsidRPr="00226270">
        <w:rPr>
          <w:lang w:val="en-GB"/>
        </w:rPr>
        <w:t>Plume rise modelling</w:t>
      </w:r>
    </w:p>
    <w:p w14:paraId="25C471E3" w14:textId="68B09B54" w:rsidR="00F7721B" w:rsidRPr="00226270" w:rsidRDefault="00F7721B" w:rsidP="00F7721B">
      <w:pPr>
        <w:pStyle w:val="CETBodytext"/>
        <w:rPr>
          <w:lang w:val="en-GB"/>
        </w:rPr>
      </w:pPr>
      <w:r w:rsidRPr="00226270">
        <w:rPr>
          <w:lang w:val="en-GB"/>
        </w:rPr>
        <w:t>The “plume rise from fires</w:t>
      </w:r>
      <w:r w:rsidR="008E61C6">
        <w:rPr>
          <w:lang w:val="en-GB"/>
        </w:rPr>
        <w:t>”</w:t>
      </w:r>
      <w:r w:rsidRPr="00226270">
        <w:rPr>
          <w:lang w:val="en-GB"/>
        </w:rPr>
        <w:t xml:space="preserve"> model</w:t>
      </w:r>
      <w:r w:rsidR="008E61C6">
        <w:rPr>
          <w:lang w:val="en-GB"/>
        </w:rPr>
        <w:t xml:space="preserve"> </w:t>
      </w:r>
      <w:r w:rsidRPr="00226270">
        <w:rPr>
          <w:lang w:val="en-GB"/>
        </w:rPr>
        <w:t>is based on Briggs’ study of the plume rise phenomenon (Briggs, 1969), the theory of the Yellow Book (Yellow Book, 1992) and uses Mills</w:t>
      </w:r>
      <w:r w:rsidR="00C65A55" w:rsidRPr="00226270">
        <w:rPr>
          <w:lang w:val="en-GB"/>
        </w:rPr>
        <w:t>’</w:t>
      </w:r>
      <w:r w:rsidRPr="00226270">
        <w:rPr>
          <w:lang w:val="en-GB"/>
        </w:rPr>
        <w:t xml:space="preserve"> correction for burning fires (Mills, 1987).</w:t>
      </w:r>
    </w:p>
    <w:p w14:paraId="7C51D7E5" w14:textId="77777777" w:rsidR="00F7721B" w:rsidRPr="00226270" w:rsidRDefault="00F7721B" w:rsidP="00F7721B">
      <w:pPr>
        <w:pStyle w:val="CETBodytext"/>
        <w:rPr>
          <w:lang w:val="en-GB"/>
        </w:rPr>
      </w:pPr>
    </w:p>
    <w:p w14:paraId="70D3C182" w14:textId="1035185D" w:rsidR="00F7721B" w:rsidRPr="00226270" w:rsidRDefault="00F7721B" w:rsidP="00F7721B">
      <w:pPr>
        <w:pStyle w:val="CETBodytext"/>
        <w:rPr>
          <w:lang w:val="en-GB"/>
        </w:rPr>
      </w:pPr>
      <w:r w:rsidRPr="00226270">
        <w:rPr>
          <w:lang w:val="en-GB"/>
        </w:rPr>
        <w:t xml:space="preserve">The rising of the plume with distance and the maximum height of the plume can be calculated in two different ways, depending on the atmospheric stability. The atmospheric stability is the tendency of atmosphere to resist or enhance vertical motion. According to </w:t>
      </w:r>
      <w:r w:rsidR="00CD231C" w:rsidRPr="00226270">
        <w:rPr>
          <w:lang w:val="en-GB"/>
        </w:rPr>
        <w:t xml:space="preserve">the </w:t>
      </w:r>
      <w:r w:rsidRPr="00226270">
        <w:rPr>
          <w:lang w:val="en-GB"/>
        </w:rPr>
        <w:t xml:space="preserve">Yellow Book </w:t>
      </w:r>
      <w:r w:rsidR="00CD231C" w:rsidRPr="00226270">
        <w:rPr>
          <w:lang w:val="en-GB"/>
        </w:rPr>
        <w:t>(</w:t>
      </w:r>
      <w:r w:rsidRPr="00226270">
        <w:rPr>
          <w:lang w:val="en-GB"/>
        </w:rPr>
        <w:t xml:space="preserve">1992) and Briggs </w:t>
      </w:r>
      <w:r w:rsidR="00CD231C" w:rsidRPr="00226270">
        <w:rPr>
          <w:lang w:val="en-GB"/>
        </w:rPr>
        <w:t>(</w:t>
      </w:r>
      <w:r w:rsidRPr="00226270">
        <w:rPr>
          <w:lang w:val="en-GB"/>
        </w:rPr>
        <w:t xml:space="preserve">1969), for </w:t>
      </w:r>
      <w:proofErr w:type="spellStart"/>
      <w:r w:rsidRPr="00226270">
        <w:rPr>
          <w:lang w:val="en-GB"/>
        </w:rPr>
        <w:t>Pasquill</w:t>
      </w:r>
      <w:proofErr w:type="spellEnd"/>
      <w:r w:rsidRPr="00226270">
        <w:rPr>
          <w:lang w:val="en-GB"/>
        </w:rPr>
        <w:t xml:space="preserve"> stability class A, B, C and D, the rising of the plume with distance and the maximum height of the plume can be calculated with </w:t>
      </w:r>
      <w:proofErr w:type="spellStart"/>
      <w:r w:rsidRPr="00226270">
        <w:rPr>
          <w:lang w:val="en-GB"/>
        </w:rPr>
        <w:t>Eq</w:t>
      </w:r>
      <w:proofErr w:type="spellEnd"/>
      <w:r w:rsidRPr="00226270">
        <w:rPr>
          <w:lang w:val="en-GB"/>
        </w:rPr>
        <w:t xml:space="preserve">(1), </w:t>
      </w:r>
      <w:proofErr w:type="spellStart"/>
      <w:r w:rsidRPr="00226270">
        <w:rPr>
          <w:lang w:val="en-GB"/>
        </w:rPr>
        <w:t>Eq</w:t>
      </w:r>
      <w:proofErr w:type="spellEnd"/>
      <w:r w:rsidRPr="00226270">
        <w:rPr>
          <w:lang w:val="en-GB"/>
        </w:rPr>
        <w:t xml:space="preserve">(2) and </w:t>
      </w:r>
      <w:proofErr w:type="spellStart"/>
      <w:r w:rsidRPr="00226270">
        <w:rPr>
          <w:lang w:val="en-GB"/>
        </w:rPr>
        <w:t>Eq</w:t>
      </w:r>
      <w:proofErr w:type="spellEnd"/>
      <w:r w:rsidRPr="00226270">
        <w:rPr>
          <w:lang w:val="en-GB"/>
        </w:rPr>
        <w:t>(3), respectively. The corresponding distance to the maximum height of the plume (</w:t>
      </w:r>
      <w:proofErr w:type="spellStart"/>
      <w:r w:rsidRPr="00226270">
        <w:rPr>
          <w:lang w:val="en-GB"/>
        </w:rPr>
        <w:t>x</w:t>
      </w:r>
      <w:r w:rsidRPr="00226270">
        <w:rPr>
          <w:vertAlign w:val="subscript"/>
          <w:lang w:val="en-GB"/>
        </w:rPr>
        <w:t>f</w:t>
      </w:r>
      <w:proofErr w:type="spellEnd"/>
      <w:r w:rsidRPr="00226270">
        <w:rPr>
          <w:lang w:val="en-GB"/>
        </w:rPr>
        <w:t xml:space="preserve">) can be calculated with </w:t>
      </w:r>
      <w:proofErr w:type="spellStart"/>
      <w:r w:rsidRPr="00226270">
        <w:rPr>
          <w:lang w:val="en-GB"/>
        </w:rPr>
        <w:t>Eq</w:t>
      </w:r>
      <w:proofErr w:type="spellEnd"/>
      <w:r w:rsidRPr="00226270">
        <w:rPr>
          <w:lang w:val="en-GB"/>
        </w:rPr>
        <w:t xml:space="preserve">(4) and </w:t>
      </w:r>
      <w:proofErr w:type="spellStart"/>
      <w:r w:rsidRPr="00226270">
        <w:rPr>
          <w:lang w:val="en-GB"/>
        </w:rPr>
        <w:t>Eq</w:t>
      </w:r>
      <w:proofErr w:type="spellEnd"/>
      <w:r w:rsidRPr="00226270">
        <w:rPr>
          <w:lang w:val="en-GB"/>
        </w:rPr>
        <w:t>(5), depending on the value of the initial heat flux (Q</w:t>
      </w:r>
      <w:r w:rsidRPr="00226270">
        <w:rPr>
          <w:vertAlign w:val="subscript"/>
          <w:lang w:val="en-GB"/>
        </w:rPr>
        <w:t>0</w:t>
      </w:r>
      <w:r w:rsidRPr="00226270">
        <w:rPr>
          <w:lang w:val="en-GB"/>
        </w:rPr>
        <w:t>).</w:t>
      </w:r>
    </w:p>
    <w:tbl>
      <w:tblPr>
        <w:tblW w:w="5000" w:type="pct"/>
        <w:tblLook w:val="04A0" w:firstRow="1" w:lastRow="0" w:firstColumn="1" w:lastColumn="0" w:noHBand="0" w:noVBand="1"/>
      </w:tblPr>
      <w:tblGrid>
        <w:gridCol w:w="7983"/>
        <w:gridCol w:w="9"/>
        <w:gridCol w:w="795"/>
      </w:tblGrid>
      <w:tr w:rsidR="00297370" w:rsidRPr="00226270" w14:paraId="4532DA4C" w14:textId="77777777" w:rsidTr="00A36D87">
        <w:tc>
          <w:tcPr>
            <w:tcW w:w="7992" w:type="dxa"/>
            <w:gridSpan w:val="2"/>
            <w:shd w:val="clear" w:color="auto" w:fill="auto"/>
            <w:vAlign w:val="center"/>
          </w:tcPr>
          <w:p w14:paraId="1705B8C2" w14:textId="77777777" w:rsidR="00297370" w:rsidRPr="00226270" w:rsidRDefault="00297370" w:rsidP="00A36D87">
            <w:pPr>
              <w:pStyle w:val="CETEquation"/>
            </w:pPr>
            <w:r w:rsidRPr="00226270">
              <w:rPr>
                <w:rFonts w:cs="Arial"/>
                <w:szCs w:val="18"/>
              </w:rPr>
              <w:t xml:space="preserve">if x &lt; </w:t>
            </w:r>
            <w:proofErr w:type="spellStart"/>
            <w:r w:rsidRPr="00226270">
              <w:rPr>
                <w:rFonts w:cs="Arial"/>
                <w:szCs w:val="18"/>
              </w:rPr>
              <w:t>xf</w:t>
            </w:r>
            <w:proofErr w:type="spellEnd"/>
            <w:r w:rsidRPr="00226270">
              <w:rPr>
                <w:rFonts w:cs="Arial"/>
                <w:szCs w:val="18"/>
              </w:rPr>
              <w:tab/>
            </w:r>
            <m:oMath>
              <m:sSub>
                <m:sSubPr>
                  <m:ctrlPr>
                    <w:rPr>
                      <w:rFonts w:ascii="Cambria Math" w:hAnsi="Cambria Math" w:cs="Arial"/>
                      <w:szCs w:val="18"/>
                    </w:rPr>
                  </m:ctrlPr>
                </m:sSubPr>
                <m:e>
                  <m:r>
                    <w:rPr>
                      <w:rFonts w:ascii="Cambria Math" w:hAnsi="Cambria Math" w:cs="Arial"/>
                      <w:szCs w:val="18"/>
                    </w:rPr>
                    <m:t>h</m:t>
                  </m:r>
                </m:e>
                <m:sub>
                  <m:r>
                    <w:rPr>
                      <w:rFonts w:ascii="Cambria Math" w:hAnsi="Cambria Math" w:cs="Arial"/>
                      <w:szCs w:val="18"/>
                    </w:rPr>
                    <m:t>BRIGGS</m:t>
                  </m:r>
                </m:sub>
              </m:sSub>
              <m:r>
                <m:rPr>
                  <m:sty m:val="p"/>
                </m:rPr>
                <w:rPr>
                  <w:rFonts w:ascii="Cambria Math" w:hAnsi="Cambria Math" w:cs="Arial"/>
                  <w:szCs w:val="18"/>
                </w:rPr>
                <m:t>=</m:t>
              </m:r>
              <m:sSub>
                <m:sSubPr>
                  <m:ctrlPr>
                    <w:rPr>
                      <w:rFonts w:ascii="Cambria Math" w:hAnsi="Cambria Math" w:cs="Arial"/>
                      <w:szCs w:val="18"/>
                    </w:rPr>
                  </m:ctrlPr>
                </m:sSubPr>
                <m:e>
                  <m:r>
                    <w:rPr>
                      <w:rFonts w:ascii="Cambria Math" w:hAnsi="Cambria Math" w:cs="Arial"/>
                      <w:szCs w:val="18"/>
                    </w:rPr>
                    <m:t>z</m:t>
                  </m:r>
                </m:e>
                <m:sub>
                  <m:r>
                    <w:rPr>
                      <w:rFonts w:ascii="Cambria Math" w:hAnsi="Cambria Math" w:cs="Arial"/>
                      <w:szCs w:val="18"/>
                    </w:rPr>
                    <m:t>s</m:t>
                  </m:r>
                </m:sub>
              </m:sSub>
              <m:r>
                <m:rPr>
                  <m:sty m:val="p"/>
                </m:rPr>
                <w:rPr>
                  <w:rFonts w:ascii="Cambria Math" w:hAnsi="Cambria Math" w:cs="Arial"/>
                  <w:szCs w:val="18"/>
                </w:rPr>
                <m:t>+1.6·</m:t>
              </m:r>
              <m:sSubSup>
                <m:sSubSupPr>
                  <m:ctrlPr>
                    <w:rPr>
                      <w:rFonts w:ascii="Cambria Math" w:hAnsi="Cambria Math" w:cs="Arial"/>
                      <w:szCs w:val="18"/>
                    </w:rPr>
                  </m:ctrlPr>
                </m:sSubSupPr>
                <m:e>
                  <m:r>
                    <w:rPr>
                      <w:rFonts w:ascii="Cambria Math" w:hAnsi="Cambria Math" w:cs="Arial"/>
                      <w:szCs w:val="18"/>
                    </w:rPr>
                    <m:t>Q</m:t>
                  </m:r>
                </m:e>
                <m:sub>
                  <m:r>
                    <m:rPr>
                      <m:sty m:val="p"/>
                    </m:rPr>
                    <w:rPr>
                      <w:rFonts w:ascii="Cambria Math" w:hAnsi="Cambria Math" w:cs="Arial"/>
                      <w:szCs w:val="18"/>
                    </w:rPr>
                    <m:t>0</m:t>
                  </m:r>
                </m:sub>
                <m:sup>
                  <m:f>
                    <m:fPr>
                      <m:ctrlPr>
                        <w:rPr>
                          <w:rFonts w:ascii="Cambria Math" w:hAnsi="Cambria Math" w:cs="Arial"/>
                          <w:szCs w:val="18"/>
                        </w:rPr>
                      </m:ctrlPr>
                    </m:fPr>
                    <m:num>
                      <m:r>
                        <m:rPr>
                          <m:sty m:val="p"/>
                        </m:rPr>
                        <w:rPr>
                          <w:rFonts w:ascii="Cambria Math" w:hAnsi="Cambria Math" w:cs="Arial"/>
                          <w:szCs w:val="18"/>
                        </w:rPr>
                        <m:t>1</m:t>
                      </m:r>
                    </m:num>
                    <m:den>
                      <m:r>
                        <m:rPr>
                          <m:sty m:val="p"/>
                        </m:rPr>
                        <w:rPr>
                          <w:rFonts w:ascii="Cambria Math" w:hAnsi="Cambria Math" w:cs="Arial"/>
                          <w:szCs w:val="18"/>
                        </w:rPr>
                        <m:t>3</m:t>
                      </m:r>
                    </m:den>
                  </m:f>
                </m:sup>
              </m:sSubSup>
              <m:r>
                <m:rPr>
                  <m:sty m:val="p"/>
                </m:rPr>
                <w:rPr>
                  <w:rFonts w:ascii="Cambria Math" w:hAnsi="Cambria Math" w:cs="Arial"/>
                  <w:szCs w:val="18"/>
                </w:rPr>
                <m:t>·</m:t>
              </m:r>
              <m:sSub>
                <m:sSubPr>
                  <m:ctrlPr>
                    <w:rPr>
                      <w:rFonts w:ascii="Cambria Math" w:hAnsi="Cambria Math" w:cs="Arial"/>
                      <w:szCs w:val="18"/>
                    </w:rPr>
                  </m:ctrlPr>
                </m:sSubPr>
                <m:e>
                  <m:r>
                    <w:rPr>
                      <w:rFonts w:ascii="Cambria Math" w:hAnsi="Cambria Math" w:cs="Arial"/>
                      <w:szCs w:val="18"/>
                    </w:rPr>
                    <m:t>u</m:t>
                  </m:r>
                </m:e>
                <m:sub>
                  <m:r>
                    <w:rPr>
                      <w:rFonts w:ascii="Cambria Math" w:hAnsi="Cambria Math" w:cs="Arial"/>
                      <w:szCs w:val="18"/>
                    </w:rPr>
                    <m:t>w</m:t>
                  </m:r>
                </m:sub>
              </m:sSub>
              <m:sSup>
                <m:sSupPr>
                  <m:ctrlPr>
                    <w:rPr>
                      <w:rFonts w:ascii="Cambria Math" w:hAnsi="Cambria Math" w:cs="Arial"/>
                      <w:szCs w:val="18"/>
                    </w:rPr>
                  </m:ctrlPr>
                </m:sSupPr>
                <m:e>
                  <m:d>
                    <m:dPr>
                      <m:ctrlPr>
                        <w:rPr>
                          <w:rFonts w:ascii="Cambria Math" w:hAnsi="Cambria Math" w:cs="Arial"/>
                          <w:szCs w:val="18"/>
                        </w:rPr>
                      </m:ctrlPr>
                    </m:dPr>
                    <m:e>
                      <m:sSub>
                        <m:sSubPr>
                          <m:ctrlPr>
                            <w:rPr>
                              <w:rFonts w:ascii="Cambria Math" w:hAnsi="Cambria Math" w:cs="Arial"/>
                              <w:szCs w:val="18"/>
                            </w:rPr>
                          </m:ctrlPr>
                        </m:sSubPr>
                        <m:e>
                          <m:r>
                            <w:rPr>
                              <w:rFonts w:ascii="Cambria Math" w:hAnsi="Cambria Math" w:cs="Arial"/>
                              <w:szCs w:val="18"/>
                            </w:rPr>
                            <m:t>z</m:t>
                          </m:r>
                        </m:e>
                        <m:sub>
                          <m:r>
                            <w:rPr>
                              <w:rFonts w:ascii="Cambria Math" w:hAnsi="Cambria Math" w:cs="Arial"/>
                              <w:szCs w:val="18"/>
                            </w:rPr>
                            <m:t>s</m:t>
                          </m:r>
                        </m:sub>
                      </m:sSub>
                    </m:e>
                  </m:d>
                </m:e>
                <m:sup>
                  <m:r>
                    <m:rPr>
                      <m:sty m:val="p"/>
                    </m:rPr>
                    <w:rPr>
                      <w:rFonts w:ascii="Cambria Math" w:hAnsi="Cambria Math" w:cs="Arial"/>
                      <w:szCs w:val="18"/>
                    </w:rPr>
                    <m:t>-1</m:t>
                  </m:r>
                </m:sup>
              </m:sSup>
              <m:r>
                <m:rPr>
                  <m:sty m:val="p"/>
                </m:rPr>
                <w:rPr>
                  <w:rFonts w:ascii="Cambria Math" w:hAnsi="Cambria Math" w:cs="Arial"/>
                  <w:szCs w:val="18"/>
                </w:rPr>
                <m:t>·</m:t>
              </m:r>
              <m:sSup>
                <m:sSupPr>
                  <m:ctrlPr>
                    <w:rPr>
                      <w:rFonts w:ascii="Cambria Math" w:hAnsi="Cambria Math" w:cs="Arial"/>
                      <w:szCs w:val="18"/>
                    </w:rPr>
                  </m:ctrlPr>
                </m:sSupPr>
                <m:e>
                  <m:r>
                    <w:rPr>
                      <w:rFonts w:ascii="Cambria Math" w:hAnsi="Cambria Math" w:cs="Arial"/>
                      <w:szCs w:val="18"/>
                    </w:rPr>
                    <m:t>x</m:t>
                  </m:r>
                </m:e>
                <m:sup>
                  <m:f>
                    <m:fPr>
                      <m:ctrlPr>
                        <w:rPr>
                          <w:rFonts w:ascii="Cambria Math" w:hAnsi="Cambria Math" w:cs="Arial"/>
                          <w:szCs w:val="18"/>
                        </w:rPr>
                      </m:ctrlPr>
                    </m:fPr>
                    <m:num>
                      <m:r>
                        <m:rPr>
                          <m:sty m:val="p"/>
                        </m:rPr>
                        <w:rPr>
                          <w:rFonts w:ascii="Cambria Math" w:hAnsi="Cambria Math" w:cs="Arial"/>
                          <w:szCs w:val="18"/>
                        </w:rPr>
                        <m:t>2</m:t>
                      </m:r>
                    </m:num>
                    <m:den>
                      <m:r>
                        <m:rPr>
                          <m:sty m:val="p"/>
                        </m:rPr>
                        <w:rPr>
                          <w:rFonts w:ascii="Cambria Math" w:hAnsi="Cambria Math" w:cs="Arial"/>
                          <w:szCs w:val="18"/>
                        </w:rPr>
                        <m:t>3</m:t>
                      </m:r>
                    </m:den>
                  </m:f>
                </m:sup>
              </m:sSup>
            </m:oMath>
          </w:p>
        </w:tc>
        <w:tc>
          <w:tcPr>
            <w:tcW w:w="795" w:type="dxa"/>
            <w:shd w:val="clear" w:color="auto" w:fill="auto"/>
            <w:vAlign w:val="center"/>
          </w:tcPr>
          <w:p w14:paraId="518DBA59" w14:textId="77777777" w:rsidR="00297370" w:rsidRPr="00226270" w:rsidRDefault="00297370" w:rsidP="00A36D87">
            <w:pPr>
              <w:pStyle w:val="CETEquation"/>
              <w:jc w:val="right"/>
            </w:pPr>
            <w:r w:rsidRPr="00226270">
              <w:t>(1)</w:t>
            </w:r>
          </w:p>
        </w:tc>
      </w:tr>
      <w:tr w:rsidR="00297370" w:rsidRPr="00226270" w14:paraId="181E47C1" w14:textId="77777777" w:rsidTr="00A36D87">
        <w:tc>
          <w:tcPr>
            <w:tcW w:w="7992" w:type="dxa"/>
            <w:gridSpan w:val="2"/>
            <w:shd w:val="clear" w:color="auto" w:fill="auto"/>
            <w:vAlign w:val="center"/>
          </w:tcPr>
          <w:p w14:paraId="4AED7A03" w14:textId="77777777" w:rsidR="00297370" w:rsidRPr="00226270" w:rsidRDefault="00297370" w:rsidP="00A36D87">
            <w:pPr>
              <w:pStyle w:val="CETEquation"/>
            </w:pPr>
            <w:r w:rsidRPr="00226270">
              <w:rPr>
                <w:rFonts w:cs="Arial"/>
                <w:szCs w:val="18"/>
              </w:rPr>
              <w:t xml:space="preserve">if x </w:t>
            </w:r>
            <m:oMath>
              <m:r>
                <m:rPr>
                  <m:sty m:val="p"/>
                </m:rPr>
                <w:rPr>
                  <w:rFonts w:ascii="Cambria Math" w:hAnsi="Cambria Math" w:cs="Arial"/>
                  <w:szCs w:val="18"/>
                </w:rPr>
                <m:t>≥</m:t>
              </m:r>
            </m:oMath>
            <w:r w:rsidRPr="00226270">
              <w:rPr>
                <w:rFonts w:cs="Arial"/>
                <w:szCs w:val="18"/>
              </w:rPr>
              <w:t xml:space="preserve"> xf </w:t>
            </w:r>
            <w:r w:rsidRPr="00226270">
              <w:rPr>
                <w:rFonts w:cs="Arial"/>
                <w:szCs w:val="18"/>
              </w:rPr>
              <w:tab/>
            </w:r>
            <m:oMath>
              <m:sSub>
                <m:sSubPr>
                  <m:ctrlPr>
                    <w:rPr>
                      <w:rFonts w:ascii="Cambria Math" w:hAnsi="Cambria Math" w:cs="Arial"/>
                      <w:szCs w:val="18"/>
                    </w:rPr>
                  </m:ctrlPr>
                </m:sSubPr>
                <m:e>
                  <m:r>
                    <w:rPr>
                      <w:rFonts w:ascii="Cambria Math" w:hAnsi="Cambria Math" w:cs="Arial"/>
                      <w:szCs w:val="18"/>
                    </w:rPr>
                    <m:t>h</m:t>
                  </m:r>
                </m:e>
                <m:sub>
                  <m:r>
                    <w:rPr>
                      <w:rFonts w:ascii="Cambria Math" w:hAnsi="Cambria Math" w:cs="Arial"/>
                      <w:szCs w:val="18"/>
                    </w:rPr>
                    <m:t>BRIGGS</m:t>
                  </m:r>
                </m:sub>
              </m:sSub>
              <m:r>
                <m:rPr>
                  <m:sty m:val="p"/>
                </m:rPr>
                <w:rPr>
                  <w:rFonts w:ascii="Cambria Math" w:hAnsi="Cambria Math" w:cs="Arial"/>
                  <w:szCs w:val="18"/>
                </w:rPr>
                <m:t>=</m:t>
              </m:r>
              <m:sSub>
                <m:sSubPr>
                  <m:ctrlPr>
                    <w:rPr>
                      <w:rFonts w:ascii="Cambria Math" w:hAnsi="Cambria Math" w:cs="Arial"/>
                      <w:szCs w:val="18"/>
                    </w:rPr>
                  </m:ctrlPr>
                </m:sSubPr>
                <m:e>
                  <m:r>
                    <w:rPr>
                      <w:rFonts w:ascii="Cambria Math" w:hAnsi="Cambria Math" w:cs="Arial"/>
                      <w:szCs w:val="18"/>
                    </w:rPr>
                    <m:t>z</m:t>
                  </m:r>
                </m:e>
                <m:sub>
                  <m:r>
                    <w:rPr>
                      <w:rFonts w:ascii="Cambria Math" w:hAnsi="Cambria Math" w:cs="Arial"/>
                      <w:szCs w:val="18"/>
                    </w:rPr>
                    <m:t>s</m:t>
                  </m:r>
                </m:sub>
              </m:sSub>
              <m:r>
                <m:rPr>
                  <m:sty m:val="p"/>
                </m:rPr>
                <w:rPr>
                  <w:rFonts w:ascii="Cambria Math" w:hAnsi="Cambria Math" w:cs="Arial"/>
                  <w:szCs w:val="18"/>
                </w:rPr>
                <m:t>+1.6·</m:t>
              </m:r>
              <m:sSubSup>
                <m:sSubSupPr>
                  <m:ctrlPr>
                    <w:rPr>
                      <w:rFonts w:ascii="Cambria Math" w:hAnsi="Cambria Math" w:cs="Arial"/>
                      <w:szCs w:val="18"/>
                    </w:rPr>
                  </m:ctrlPr>
                </m:sSubSupPr>
                <m:e>
                  <m:r>
                    <w:rPr>
                      <w:rFonts w:ascii="Cambria Math" w:hAnsi="Cambria Math" w:cs="Arial"/>
                      <w:szCs w:val="18"/>
                    </w:rPr>
                    <m:t>Q</m:t>
                  </m:r>
                </m:e>
                <m:sub>
                  <m:r>
                    <m:rPr>
                      <m:sty m:val="p"/>
                    </m:rPr>
                    <w:rPr>
                      <w:rFonts w:ascii="Cambria Math" w:hAnsi="Cambria Math" w:cs="Arial"/>
                      <w:szCs w:val="18"/>
                    </w:rPr>
                    <m:t>0</m:t>
                  </m:r>
                </m:sub>
                <m:sup>
                  <m:f>
                    <m:fPr>
                      <m:ctrlPr>
                        <w:rPr>
                          <w:rFonts w:ascii="Cambria Math" w:hAnsi="Cambria Math" w:cs="Arial"/>
                          <w:szCs w:val="18"/>
                        </w:rPr>
                      </m:ctrlPr>
                    </m:fPr>
                    <m:num>
                      <m:r>
                        <m:rPr>
                          <m:sty m:val="p"/>
                        </m:rPr>
                        <w:rPr>
                          <w:rFonts w:ascii="Cambria Math" w:hAnsi="Cambria Math" w:cs="Arial"/>
                          <w:szCs w:val="18"/>
                        </w:rPr>
                        <m:t>1</m:t>
                      </m:r>
                    </m:num>
                    <m:den>
                      <m:r>
                        <m:rPr>
                          <m:sty m:val="p"/>
                        </m:rPr>
                        <w:rPr>
                          <w:rFonts w:ascii="Cambria Math" w:hAnsi="Cambria Math" w:cs="Arial"/>
                          <w:szCs w:val="18"/>
                        </w:rPr>
                        <m:t>3</m:t>
                      </m:r>
                    </m:den>
                  </m:f>
                </m:sup>
              </m:sSubSup>
              <m:r>
                <m:rPr>
                  <m:sty m:val="p"/>
                </m:rPr>
                <w:rPr>
                  <w:rFonts w:ascii="Cambria Math" w:hAnsi="Cambria Math" w:cs="Arial"/>
                  <w:szCs w:val="18"/>
                </w:rPr>
                <m:t>·</m:t>
              </m:r>
              <m:sSub>
                <m:sSubPr>
                  <m:ctrlPr>
                    <w:rPr>
                      <w:rFonts w:ascii="Cambria Math" w:hAnsi="Cambria Math" w:cs="Arial"/>
                      <w:szCs w:val="18"/>
                    </w:rPr>
                  </m:ctrlPr>
                </m:sSubPr>
                <m:e>
                  <m:r>
                    <w:rPr>
                      <w:rFonts w:ascii="Cambria Math" w:hAnsi="Cambria Math" w:cs="Arial"/>
                      <w:szCs w:val="18"/>
                    </w:rPr>
                    <m:t>u</m:t>
                  </m:r>
                </m:e>
                <m:sub>
                  <m:r>
                    <w:rPr>
                      <w:rFonts w:ascii="Cambria Math" w:hAnsi="Cambria Math" w:cs="Arial"/>
                      <w:szCs w:val="18"/>
                    </w:rPr>
                    <m:t>w</m:t>
                  </m:r>
                </m:sub>
              </m:sSub>
              <m:sSup>
                <m:sSupPr>
                  <m:ctrlPr>
                    <w:rPr>
                      <w:rFonts w:ascii="Cambria Math" w:hAnsi="Cambria Math" w:cs="Arial"/>
                      <w:szCs w:val="18"/>
                    </w:rPr>
                  </m:ctrlPr>
                </m:sSupPr>
                <m:e>
                  <m:d>
                    <m:dPr>
                      <m:ctrlPr>
                        <w:rPr>
                          <w:rFonts w:ascii="Cambria Math" w:hAnsi="Cambria Math" w:cs="Arial"/>
                          <w:szCs w:val="18"/>
                        </w:rPr>
                      </m:ctrlPr>
                    </m:dPr>
                    <m:e>
                      <m:sSub>
                        <m:sSubPr>
                          <m:ctrlPr>
                            <w:rPr>
                              <w:rFonts w:ascii="Cambria Math" w:hAnsi="Cambria Math" w:cs="Arial"/>
                              <w:szCs w:val="18"/>
                            </w:rPr>
                          </m:ctrlPr>
                        </m:sSubPr>
                        <m:e>
                          <m:r>
                            <w:rPr>
                              <w:rFonts w:ascii="Cambria Math" w:hAnsi="Cambria Math" w:cs="Arial"/>
                              <w:szCs w:val="18"/>
                            </w:rPr>
                            <m:t>z</m:t>
                          </m:r>
                        </m:e>
                        <m:sub>
                          <m:r>
                            <w:rPr>
                              <w:rFonts w:ascii="Cambria Math" w:hAnsi="Cambria Math" w:cs="Arial"/>
                              <w:szCs w:val="18"/>
                            </w:rPr>
                            <m:t>s</m:t>
                          </m:r>
                        </m:sub>
                      </m:sSub>
                    </m:e>
                  </m:d>
                </m:e>
                <m:sup>
                  <m:r>
                    <m:rPr>
                      <m:sty m:val="p"/>
                    </m:rPr>
                    <w:rPr>
                      <w:rFonts w:ascii="Cambria Math" w:hAnsi="Cambria Math" w:cs="Arial"/>
                      <w:szCs w:val="18"/>
                    </w:rPr>
                    <m:t>-1</m:t>
                  </m:r>
                </m:sup>
              </m:sSup>
              <m:r>
                <m:rPr>
                  <m:sty m:val="p"/>
                </m:rPr>
                <w:rPr>
                  <w:rFonts w:ascii="Cambria Math" w:hAnsi="Cambria Math" w:cs="Arial"/>
                  <w:szCs w:val="18"/>
                </w:rPr>
                <m:t>·</m:t>
              </m:r>
              <m:sSup>
                <m:sSupPr>
                  <m:ctrlPr>
                    <w:rPr>
                      <w:rFonts w:ascii="Cambria Math" w:hAnsi="Cambria Math" w:cs="Arial"/>
                      <w:szCs w:val="18"/>
                    </w:rPr>
                  </m:ctrlPr>
                </m:sSupPr>
                <m:e>
                  <m:sSub>
                    <m:sSubPr>
                      <m:ctrlPr>
                        <w:rPr>
                          <w:rFonts w:ascii="Cambria Math" w:hAnsi="Cambria Math" w:cs="Arial"/>
                          <w:szCs w:val="18"/>
                        </w:rPr>
                      </m:ctrlPr>
                    </m:sSubPr>
                    <m:e>
                      <m:r>
                        <w:rPr>
                          <w:rFonts w:ascii="Cambria Math" w:hAnsi="Cambria Math" w:cs="Arial"/>
                          <w:szCs w:val="18"/>
                        </w:rPr>
                        <m:t>x</m:t>
                      </m:r>
                    </m:e>
                    <m:sub>
                      <m:r>
                        <w:rPr>
                          <w:rFonts w:ascii="Cambria Math" w:hAnsi="Cambria Math" w:cs="Arial"/>
                          <w:szCs w:val="18"/>
                        </w:rPr>
                        <m:t>f</m:t>
                      </m:r>
                    </m:sub>
                  </m:sSub>
                </m:e>
                <m:sup>
                  <m:f>
                    <m:fPr>
                      <m:ctrlPr>
                        <w:rPr>
                          <w:rFonts w:ascii="Cambria Math" w:hAnsi="Cambria Math" w:cs="Arial"/>
                          <w:szCs w:val="18"/>
                        </w:rPr>
                      </m:ctrlPr>
                    </m:fPr>
                    <m:num>
                      <m:r>
                        <m:rPr>
                          <m:sty m:val="p"/>
                        </m:rPr>
                        <w:rPr>
                          <w:rFonts w:ascii="Cambria Math" w:hAnsi="Cambria Math" w:cs="Arial"/>
                          <w:szCs w:val="18"/>
                        </w:rPr>
                        <m:t>2</m:t>
                      </m:r>
                    </m:num>
                    <m:den>
                      <m:r>
                        <m:rPr>
                          <m:sty m:val="p"/>
                        </m:rPr>
                        <w:rPr>
                          <w:rFonts w:ascii="Cambria Math" w:hAnsi="Cambria Math" w:cs="Arial"/>
                          <w:szCs w:val="18"/>
                        </w:rPr>
                        <m:t>3</m:t>
                      </m:r>
                    </m:den>
                  </m:f>
                </m:sup>
              </m:sSup>
            </m:oMath>
          </w:p>
        </w:tc>
        <w:tc>
          <w:tcPr>
            <w:tcW w:w="795" w:type="dxa"/>
            <w:shd w:val="clear" w:color="auto" w:fill="auto"/>
            <w:vAlign w:val="center"/>
          </w:tcPr>
          <w:p w14:paraId="136EAE38" w14:textId="77777777" w:rsidR="00297370" w:rsidRPr="00226270" w:rsidRDefault="00297370" w:rsidP="00A36D87">
            <w:pPr>
              <w:pStyle w:val="CETEquation"/>
              <w:jc w:val="right"/>
            </w:pPr>
            <w:r w:rsidRPr="00226270">
              <w:t>(2)</w:t>
            </w:r>
          </w:p>
        </w:tc>
      </w:tr>
      <w:tr w:rsidR="00297370" w:rsidRPr="00226270" w14:paraId="6C817046" w14:textId="77777777" w:rsidTr="00A36D87">
        <w:tc>
          <w:tcPr>
            <w:tcW w:w="7983" w:type="dxa"/>
            <w:shd w:val="clear" w:color="auto" w:fill="auto"/>
            <w:vAlign w:val="center"/>
          </w:tcPr>
          <w:p w14:paraId="5CB36D6F" w14:textId="77777777" w:rsidR="00297370" w:rsidRPr="00226270" w:rsidRDefault="009A7F9A" w:rsidP="00A36D87">
            <w:pPr>
              <w:pStyle w:val="CETEquation"/>
            </w:pPr>
            <m:oMathPara>
              <m:oMathParaPr>
                <m:jc m:val="left"/>
              </m:oMathParaPr>
              <m:oMath>
                <m:sSub>
                  <m:sSubPr>
                    <m:ctrlPr>
                      <w:rPr>
                        <w:rFonts w:ascii="Cambria Math" w:hAnsi="Cambria Math" w:cs="Arial"/>
                        <w:szCs w:val="18"/>
                      </w:rPr>
                    </m:ctrlPr>
                  </m:sSubPr>
                  <m:e>
                    <m:r>
                      <w:rPr>
                        <w:rFonts w:ascii="Cambria Math" w:hAnsi="Cambria Math" w:cs="Arial"/>
                        <w:szCs w:val="18"/>
                      </w:rPr>
                      <m:t>h</m:t>
                    </m:r>
                  </m:e>
                  <m:sub>
                    <m:r>
                      <w:rPr>
                        <w:rFonts w:ascii="Cambria Math" w:hAnsi="Cambria Math" w:cs="Arial"/>
                        <w:szCs w:val="18"/>
                      </w:rPr>
                      <m:t>max</m:t>
                    </m:r>
                  </m:sub>
                </m:sSub>
                <m:r>
                  <m:rPr>
                    <m:sty m:val="p"/>
                  </m:rPr>
                  <w:rPr>
                    <w:rFonts w:ascii="Cambria Math" w:hAnsi="Cambria Math" w:cs="Arial"/>
                    <w:szCs w:val="18"/>
                  </w:rPr>
                  <m:t>=</m:t>
                </m:r>
                <m:sSub>
                  <m:sSubPr>
                    <m:ctrlPr>
                      <w:rPr>
                        <w:rFonts w:ascii="Cambria Math" w:hAnsi="Cambria Math" w:cs="Arial"/>
                        <w:szCs w:val="18"/>
                      </w:rPr>
                    </m:ctrlPr>
                  </m:sSubPr>
                  <m:e>
                    <m:r>
                      <w:rPr>
                        <w:rFonts w:ascii="Cambria Math" w:hAnsi="Cambria Math" w:cs="Arial"/>
                        <w:szCs w:val="18"/>
                      </w:rPr>
                      <m:t>z</m:t>
                    </m:r>
                  </m:e>
                  <m:sub>
                    <m:r>
                      <w:rPr>
                        <w:rFonts w:ascii="Cambria Math" w:hAnsi="Cambria Math" w:cs="Arial"/>
                        <w:szCs w:val="18"/>
                      </w:rPr>
                      <m:t>s</m:t>
                    </m:r>
                  </m:sub>
                </m:sSub>
                <m:r>
                  <m:rPr>
                    <m:sty m:val="p"/>
                  </m:rPr>
                  <w:rPr>
                    <w:rFonts w:ascii="Cambria Math" w:hAnsi="Cambria Math" w:cs="Arial"/>
                    <w:szCs w:val="18"/>
                  </w:rPr>
                  <m:t>+1.6·</m:t>
                </m:r>
                <m:sSubSup>
                  <m:sSubSupPr>
                    <m:ctrlPr>
                      <w:rPr>
                        <w:rFonts w:ascii="Cambria Math" w:hAnsi="Cambria Math" w:cs="Arial"/>
                        <w:szCs w:val="18"/>
                      </w:rPr>
                    </m:ctrlPr>
                  </m:sSubSupPr>
                  <m:e>
                    <m:r>
                      <w:rPr>
                        <w:rFonts w:ascii="Cambria Math" w:hAnsi="Cambria Math" w:cs="Arial"/>
                        <w:szCs w:val="18"/>
                      </w:rPr>
                      <m:t>Q</m:t>
                    </m:r>
                  </m:e>
                  <m:sub>
                    <m:r>
                      <m:rPr>
                        <m:sty m:val="p"/>
                      </m:rPr>
                      <w:rPr>
                        <w:rFonts w:ascii="Cambria Math" w:hAnsi="Cambria Math" w:cs="Arial"/>
                        <w:szCs w:val="18"/>
                      </w:rPr>
                      <m:t>0</m:t>
                    </m:r>
                  </m:sub>
                  <m:sup>
                    <m:f>
                      <m:fPr>
                        <m:ctrlPr>
                          <w:rPr>
                            <w:rFonts w:ascii="Cambria Math" w:hAnsi="Cambria Math" w:cs="Arial"/>
                            <w:szCs w:val="18"/>
                          </w:rPr>
                        </m:ctrlPr>
                      </m:fPr>
                      <m:num>
                        <m:r>
                          <m:rPr>
                            <m:sty m:val="p"/>
                          </m:rPr>
                          <w:rPr>
                            <w:rFonts w:ascii="Cambria Math" w:hAnsi="Cambria Math" w:cs="Arial"/>
                            <w:szCs w:val="18"/>
                          </w:rPr>
                          <m:t>1</m:t>
                        </m:r>
                      </m:num>
                      <m:den>
                        <m:r>
                          <m:rPr>
                            <m:sty m:val="p"/>
                          </m:rPr>
                          <w:rPr>
                            <w:rFonts w:ascii="Cambria Math" w:hAnsi="Cambria Math" w:cs="Arial"/>
                            <w:szCs w:val="18"/>
                          </w:rPr>
                          <m:t>3</m:t>
                        </m:r>
                      </m:den>
                    </m:f>
                  </m:sup>
                </m:sSubSup>
                <m:r>
                  <m:rPr>
                    <m:sty m:val="p"/>
                  </m:rPr>
                  <w:rPr>
                    <w:rFonts w:ascii="Cambria Math" w:hAnsi="Cambria Math" w:cs="Arial"/>
                    <w:szCs w:val="18"/>
                  </w:rPr>
                  <m:t>·</m:t>
                </m:r>
                <m:sSub>
                  <m:sSubPr>
                    <m:ctrlPr>
                      <w:rPr>
                        <w:rFonts w:ascii="Cambria Math" w:hAnsi="Cambria Math" w:cs="Arial"/>
                        <w:szCs w:val="18"/>
                      </w:rPr>
                    </m:ctrlPr>
                  </m:sSubPr>
                  <m:e>
                    <m:r>
                      <w:rPr>
                        <w:rFonts w:ascii="Cambria Math" w:hAnsi="Cambria Math" w:cs="Arial"/>
                        <w:szCs w:val="18"/>
                      </w:rPr>
                      <m:t>u</m:t>
                    </m:r>
                  </m:e>
                  <m:sub>
                    <m:r>
                      <w:rPr>
                        <w:rFonts w:ascii="Cambria Math" w:hAnsi="Cambria Math" w:cs="Arial"/>
                        <w:szCs w:val="18"/>
                      </w:rPr>
                      <m:t>w</m:t>
                    </m:r>
                  </m:sub>
                </m:sSub>
                <m:sSup>
                  <m:sSupPr>
                    <m:ctrlPr>
                      <w:rPr>
                        <w:rFonts w:ascii="Cambria Math" w:hAnsi="Cambria Math" w:cs="Arial"/>
                        <w:szCs w:val="18"/>
                      </w:rPr>
                    </m:ctrlPr>
                  </m:sSupPr>
                  <m:e>
                    <m:d>
                      <m:dPr>
                        <m:ctrlPr>
                          <w:rPr>
                            <w:rFonts w:ascii="Cambria Math" w:hAnsi="Cambria Math" w:cs="Arial"/>
                            <w:szCs w:val="18"/>
                          </w:rPr>
                        </m:ctrlPr>
                      </m:dPr>
                      <m:e>
                        <m:sSub>
                          <m:sSubPr>
                            <m:ctrlPr>
                              <w:rPr>
                                <w:rFonts w:ascii="Cambria Math" w:hAnsi="Cambria Math" w:cs="Arial"/>
                                <w:szCs w:val="18"/>
                              </w:rPr>
                            </m:ctrlPr>
                          </m:sSubPr>
                          <m:e>
                            <m:r>
                              <w:rPr>
                                <w:rFonts w:ascii="Cambria Math" w:hAnsi="Cambria Math" w:cs="Arial"/>
                                <w:szCs w:val="18"/>
                              </w:rPr>
                              <m:t>z</m:t>
                            </m:r>
                          </m:e>
                          <m:sub>
                            <m:r>
                              <w:rPr>
                                <w:rFonts w:ascii="Cambria Math" w:hAnsi="Cambria Math" w:cs="Arial"/>
                                <w:szCs w:val="18"/>
                              </w:rPr>
                              <m:t>s</m:t>
                            </m:r>
                          </m:sub>
                        </m:sSub>
                      </m:e>
                    </m:d>
                  </m:e>
                  <m:sup>
                    <m:r>
                      <m:rPr>
                        <m:sty m:val="p"/>
                      </m:rPr>
                      <w:rPr>
                        <w:rFonts w:ascii="Cambria Math" w:hAnsi="Cambria Math" w:cs="Arial"/>
                        <w:szCs w:val="18"/>
                      </w:rPr>
                      <m:t>-1</m:t>
                    </m:r>
                  </m:sup>
                </m:sSup>
                <m:r>
                  <m:rPr>
                    <m:sty m:val="p"/>
                  </m:rPr>
                  <w:rPr>
                    <w:rFonts w:ascii="Cambria Math" w:hAnsi="Cambria Math" w:cs="Arial"/>
                    <w:szCs w:val="18"/>
                  </w:rPr>
                  <m:t>·</m:t>
                </m:r>
                <m:sSup>
                  <m:sSupPr>
                    <m:ctrlPr>
                      <w:rPr>
                        <w:rFonts w:ascii="Cambria Math" w:hAnsi="Cambria Math" w:cs="Arial"/>
                        <w:szCs w:val="18"/>
                      </w:rPr>
                    </m:ctrlPr>
                  </m:sSupPr>
                  <m:e>
                    <m:sSub>
                      <m:sSubPr>
                        <m:ctrlPr>
                          <w:rPr>
                            <w:rFonts w:ascii="Cambria Math" w:hAnsi="Cambria Math" w:cs="Arial"/>
                            <w:szCs w:val="18"/>
                          </w:rPr>
                        </m:ctrlPr>
                      </m:sSubPr>
                      <m:e>
                        <m:r>
                          <w:rPr>
                            <w:rFonts w:ascii="Cambria Math" w:hAnsi="Cambria Math" w:cs="Arial"/>
                            <w:szCs w:val="18"/>
                          </w:rPr>
                          <m:t>x</m:t>
                        </m:r>
                      </m:e>
                      <m:sub>
                        <m:r>
                          <w:rPr>
                            <w:rFonts w:ascii="Cambria Math" w:hAnsi="Cambria Math" w:cs="Arial"/>
                            <w:szCs w:val="18"/>
                          </w:rPr>
                          <m:t>f</m:t>
                        </m:r>
                      </m:sub>
                    </m:sSub>
                  </m:e>
                  <m:sup>
                    <m:f>
                      <m:fPr>
                        <m:ctrlPr>
                          <w:rPr>
                            <w:rFonts w:ascii="Cambria Math" w:hAnsi="Cambria Math" w:cs="Arial"/>
                            <w:szCs w:val="18"/>
                          </w:rPr>
                        </m:ctrlPr>
                      </m:fPr>
                      <m:num>
                        <m:r>
                          <m:rPr>
                            <m:sty m:val="p"/>
                          </m:rPr>
                          <w:rPr>
                            <w:rFonts w:ascii="Cambria Math" w:hAnsi="Cambria Math" w:cs="Arial"/>
                            <w:szCs w:val="18"/>
                          </w:rPr>
                          <m:t>2</m:t>
                        </m:r>
                      </m:num>
                      <m:den>
                        <m:r>
                          <m:rPr>
                            <m:sty m:val="p"/>
                          </m:rPr>
                          <w:rPr>
                            <w:rFonts w:ascii="Cambria Math" w:hAnsi="Cambria Math" w:cs="Arial"/>
                            <w:szCs w:val="18"/>
                          </w:rPr>
                          <m:t>3</m:t>
                        </m:r>
                      </m:den>
                    </m:f>
                  </m:sup>
                </m:sSup>
              </m:oMath>
            </m:oMathPara>
          </w:p>
        </w:tc>
        <w:tc>
          <w:tcPr>
            <w:tcW w:w="804" w:type="dxa"/>
            <w:gridSpan w:val="2"/>
            <w:shd w:val="clear" w:color="auto" w:fill="auto"/>
            <w:vAlign w:val="center"/>
          </w:tcPr>
          <w:p w14:paraId="6A7A2F9C" w14:textId="77777777" w:rsidR="00297370" w:rsidRPr="00226270" w:rsidRDefault="00297370" w:rsidP="00A36D87">
            <w:pPr>
              <w:pStyle w:val="CETEquation"/>
              <w:jc w:val="right"/>
            </w:pPr>
            <w:r w:rsidRPr="00226270">
              <w:t>(3)</w:t>
            </w:r>
          </w:p>
        </w:tc>
      </w:tr>
      <w:tr w:rsidR="00297370" w:rsidRPr="00226270" w14:paraId="7A9234FB" w14:textId="77777777" w:rsidTr="00A36D87">
        <w:tc>
          <w:tcPr>
            <w:tcW w:w="7983" w:type="dxa"/>
            <w:shd w:val="clear" w:color="auto" w:fill="auto"/>
            <w:vAlign w:val="center"/>
          </w:tcPr>
          <w:p w14:paraId="3CBD3041" w14:textId="77777777" w:rsidR="00297370" w:rsidRPr="00226270" w:rsidRDefault="009A7F9A" w:rsidP="00A36D87">
            <w:pPr>
              <w:pStyle w:val="CETEquation"/>
              <w:rPr>
                <w:rFonts w:ascii="Cambria Math" w:hAnsi="Cambria Math" w:cs="Arial"/>
                <w:szCs w:val="18"/>
                <w:oMath/>
              </w:rPr>
            </w:pPr>
            <m:oMathPara>
              <m:oMathParaPr>
                <m:jc m:val="left"/>
              </m:oMathParaPr>
              <m:oMath>
                <m:sSub>
                  <m:sSubPr>
                    <m:ctrlPr>
                      <w:rPr>
                        <w:rFonts w:ascii="Cambria Math" w:hAnsi="Cambria Math" w:cs="Arial"/>
                        <w:szCs w:val="18"/>
                      </w:rPr>
                    </m:ctrlPr>
                  </m:sSubPr>
                  <m:e>
                    <m:r>
                      <w:rPr>
                        <w:rFonts w:ascii="Cambria Math" w:hAnsi="Cambria Math" w:cs="Arial"/>
                        <w:szCs w:val="18"/>
                      </w:rPr>
                      <m:t>x</m:t>
                    </m:r>
                  </m:e>
                  <m:sub>
                    <m:r>
                      <w:rPr>
                        <w:rFonts w:ascii="Cambria Math" w:hAnsi="Cambria Math" w:cs="Arial"/>
                        <w:szCs w:val="18"/>
                      </w:rPr>
                      <m:t>f</m:t>
                    </m:r>
                  </m:sub>
                </m:sSub>
                <m:r>
                  <m:rPr>
                    <m:sty m:val="p"/>
                  </m:rPr>
                  <w:rPr>
                    <w:rFonts w:ascii="Cambria Math" w:hAnsi="Cambria Math" w:cs="Arial"/>
                    <w:szCs w:val="18"/>
                  </w:rPr>
                  <m:t>=49·</m:t>
                </m:r>
                <m:sSubSup>
                  <m:sSubSupPr>
                    <m:ctrlPr>
                      <w:rPr>
                        <w:rFonts w:ascii="Cambria Math" w:hAnsi="Cambria Math" w:cs="Arial"/>
                        <w:szCs w:val="18"/>
                      </w:rPr>
                    </m:ctrlPr>
                  </m:sSubSupPr>
                  <m:e>
                    <m:r>
                      <w:rPr>
                        <w:rFonts w:ascii="Cambria Math" w:hAnsi="Cambria Math" w:cs="Arial"/>
                        <w:szCs w:val="18"/>
                      </w:rPr>
                      <m:t>Q</m:t>
                    </m:r>
                  </m:e>
                  <m:sub>
                    <m:r>
                      <m:rPr>
                        <m:sty m:val="p"/>
                      </m:rPr>
                      <w:rPr>
                        <w:rFonts w:ascii="Cambria Math" w:hAnsi="Cambria Math" w:cs="Arial"/>
                        <w:szCs w:val="18"/>
                      </w:rPr>
                      <m:t>0</m:t>
                    </m:r>
                  </m:sub>
                  <m:sup>
                    <m:f>
                      <m:fPr>
                        <m:ctrlPr>
                          <w:rPr>
                            <w:rFonts w:ascii="Cambria Math" w:hAnsi="Cambria Math" w:cs="Arial"/>
                            <w:szCs w:val="18"/>
                          </w:rPr>
                        </m:ctrlPr>
                      </m:fPr>
                      <m:num>
                        <m:r>
                          <m:rPr>
                            <m:sty m:val="p"/>
                          </m:rPr>
                          <w:rPr>
                            <w:rFonts w:ascii="Cambria Math" w:hAnsi="Cambria Math" w:cs="Arial"/>
                            <w:szCs w:val="18"/>
                          </w:rPr>
                          <m:t>5</m:t>
                        </m:r>
                      </m:num>
                      <m:den>
                        <m:r>
                          <m:rPr>
                            <m:sty m:val="p"/>
                          </m:rPr>
                          <w:rPr>
                            <w:rFonts w:ascii="Cambria Math" w:hAnsi="Cambria Math" w:cs="Arial"/>
                            <w:szCs w:val="18"/>
                          </w:rPr>
                          <m:t>8</m:t>
                        </m:r>
                      </m:den>
                    </m:f>
                  </m:sup>
                </m:sSubSup>
                <m:r>
                  <m:rPr>
                    <m:sty m:val="p"/>
                  </m:rPr>
                  <w:rPr>
                    <w:rFonts w:ascii="Cambria Math" w:hAnsi="Cambria Math" w:cs="Arial"/>
                    <w:szCs w:val="18"/>
                  </w:rPr>
                  <m:t xml:space="preserve">            for </m:t>
                </m:r>
                <m:sSub>
                  <m:sSubPr>
                    <m:ctrlPr>
                      <w:rPr>
                        <w:rFonts w:ascii="Cambria Math" w:hAnsi="Cambria Math" w:cs="Arial"/>
                        <w:szCs w:val="18"/>
                      </w:rPr>
                    </m:ctrlPr>
                  </m:sSubPr>
                  <m:e>
                    <m:r>
                      <m:rPr>
                        <m:sty m:val="p"/>
                      </m:rPr>
                      <w:rPr>
                        <w:rFonts w:ascii="Cambria Math" w:hAnsi="Cambria Math" w:cs="Arial"/>
                        <w:szCs w:val="18"/>
                      </w:rPr>
                      <m:t>Q</m:t>
                    </m:r>
                  </m:e>
                  <m:sub>
                    <m:r>
                      <m:rPr>
                        <m:sty m:val="p"/>
                      </m:rPr>
                      <w:rPr>
                        <w:rFonts w:ascii="Cambria Math" w:hAnsi="Cambria Math" w:cs="Arial"/>
                        <w:szCs w:val="18"/>
                      </w:rPr>
                      <m:t>0</m:t>
                    </m:r>
                  </m:sub>
                </m:sSub>
                <m:r>
                  <m:rPr>
                    <m:sty m:val="p"/>
                  </m:rPr>
                  <w:rPr>
                    <w:rFonts w:ascii="Cambria Math" w:hAnsi="Cambria Math" w:cs="Arial"/>
                    <w:szCs w:val="18"/>
                  </w:rPr>
                  <m:t>&lt;55</m:t>
                </m:r>
              </m:oMath>
            </m:oMathPara>
          </w:p>
        </w:tc>
        <w:tc>
          <w:tcPr>
            <w:tcW w:w="804" w:type="dxa"/>
            <w:gridSpan w:val="2"/>
            <w:shd w:val="clear" w:color="auto" w:fill="auto"/>
            <w:vAlign w:val="center"/>
          </w:tcPr>
          <w:p w14:paraId="40F10D26" w14:textId="77777777" w:rsidR="00297370" w:rsidRPr="00226270" w:rsidRDefault="00297370" w:rsidP="00A36D87">
            <w:pPr>
              <w:pStyle w:val="CETEquation"/>
              <w:jc w:val="right"/>
            </w:pPr>
            <w:r w:rsidRPr="00226270">
              <w:t>(4)</w:t>
            </w:r>
          </w:p>
        </w:tc>
      </w:tr>
      <w:tr w:rsidR="00297370" w:rsidRPr="00226270" w14:paraId="1F5DE051" w14:textId="77777777" w:rsidTr="00A36D87">
        <w:tc>
          <w:tcPr>
            <w:tcW w:w="7983" w:type="dxa"/>
            <w:shd w:val="clear" w:color="auto" w:fill="auto"/>
            <w:vAlign w:val="center"/>
          </w:tcPr>
          <w:p w14:paraId="56077AA4" w14:textId="77777777" w:rsidR="00297370" w:rsidRPr="00226270" w:rsidRDefault="009A7F9A" w:rsidP="00A36D87">
            <w:pPr>
              <w:pStyle w:val="CETEquation"/>
            </w:pPr>
            <m:oMathPara>
              <m:oMathParaPr>
                <m:jc m:val="left"/>
              </m:oMathParaPr>
              <m:oMath>
                <m:sSub>
                  <m:sSubPr>
                    <m:ctrlPr>
                      <w:rPr>
                        <w:rFonts w:ascii="Cambria Math" w:hAnsi="Cambria Math" w:cs="Arial"/>
                        <w:szCs w:val="18"/>
                      </w:rPr>
                    </m:ctrlPr>
                  </m:sSubPr>
                  <m:e>
                    <m:r>
                      <w:rPr>
                        <w:rFonts w:ascii="Cambria Math" w:hAnsi="Cambria Math" w:cs="Arial"/>
                        <w:szCs w:val="18"/>
                      </w:rPr>
                      <m:t>x</m:t>
                    </m:r>
                  </m:e>
                  <m:sub>
                    <m:r>
                      <w:rPr>
                        <w:rFonts w:ascii="Cambria Math" w:hAnsi="Cambria Math" w:cs="Arial"/>
                        <w:szCs w:val="18"/>
                      </w:rPr>
                      <m:t>f</m:t>
                    </m:r>
                  </m:sub>
                </m:sSub>
                <m:r>
                  <m:rPr>
                    <m:sty m:val="p"/>
                  </m:rPr>
                  <w:rPr>
                    <w:rFonts w:ascii="Cambria Math" w:hAnsi="Cambria Math" w:cs="Arial"/>
                    <w:szCs w:val="18"/>
                  </w:rPr>
                  <m:t>=119·</m:t>
                </m:r>
                <m:sSubSup>
                  <m:sSubSupPr>
                    <m:ctrlPr>
                      <w:rPr>
                        <w:rFonts w:ascii="Cambria Math" w:hAnsi="Cambria Math" w:cs="Arial"/>
                        <w:szCs w:val="18"/>
                      </w:rPr>
                    </m:ctrlPr>
                  </m:sSubSupPr>
                  <m:e>
                    <m:r>
                      <w:rPr>
                        <w:rFonts w:ascii="Cambria Math" w:hAnsi="Cambria Math" w:cs="Arial"/>
                        <w:szCs w:val="18"/>
                      </w:rPr>
                      <m:t>Q</m:t>
                    </m:r>
                  </m:e>
                  <m:sub>
                    <m:r>
                      <m:rPr>
                        <m:sty m:val="p"/>
                      </m:rPr>
                      <w:rPr>
                        <w:rFonts w:ascii="Cambria Math" w:hAnsi="Cambria Math" w:cs="Arial"/>
                        <w:szCs w:val="18"/>
                      </w:rPr>
                      <m:t>0</m:t>
                    </m:r>
                  </m:sub>
                  <m:sup>
                    <m:f>
                      <m:fPr>
                        <m:ctrlPr>
                          <w:rPr>
                            <w:rFonts w:ascii="Cambria Math" w:hAnsi="Cambria Math" w:cs="Arial"/>
                            <w:szCs w:val="18"/>
                          </w:rPr>
                        </m:ctrlPr>
                      </m:fPr>
                      <m:num>
                        <m:r>
                          <m:rPr>
                            <m:sty m:val="p"/>
                          </m:rPr>
                          <w:rPr>
                            <w:rFonts w:ascii="Cambria Math" w:hAnsi="Cambria Math" w:cs="Arial"/>
                            <w:szCs w:val="18"/>
                          </w:rPr>
                          <m:t>2</m:t>
                        </m:r>
                      </m:num>
                      <m:den>
                        <m:r>
                          <m:rPr>
                            <m:sty m:val="p"/>
                          </m:rPr>
                          <w:rPr>
                            <w:rFonts w:ascii="Cambria Math" w:hAnsi="Cambria Math" w:cs="Arial"/>
                            <w:szCs w:val="18"/>
                          </w:rPr>
                          <m:t>5</m:t>
                        </m:r>
                      </m:den>
                    </m:f>
                  </m:sup>
                </m:sSubSup>
                <m:r>
                  <m:rPr>
                    <m:sty m:val="p"/>
                  </m:rPr>
                  <w:rPr>
                    <w:rFonts w:ascii="Cambria Math" w:hAnsi="Cambria Math" w:cs="Arial"/>
                    <w:szCs w:val="18"/>
                  </w:rPr>
                  <m:t xml:space="preserve">          for </m:t>
                </m:r>
                <m:sSub>
                  <m:sSubPr>
                    <m:ctrlPr>
                      <w:rPr>
                        <w:rFonts w:ascii="Cambria Math" w:hAnsi="Cambria Math" w:cs="Arial"/>
                        <w:szCs w:val="18"/>
                      </w:rPr>
                    </m:ctrlPr>
                  </m:sSubPr>
                  <m:e>
                    <m:r>
                      <m:rPr>
                        <m:sty m:val="p"/>
                      </m:rPr>
                      <w:rPr>
                        <w:rFonts w:ascii="Cambria Math" w:hAnsi="Cambria Math" w:cs="Arial"/>
                        <w:szCs w:val="18"/>
                      </w:rPr>
                      <m:t>Q</m:t>
                    </m:r>
                  </m:e>
                  <m:sub>
                    <m:r>
                      <m:rPr>
                        <m:sty m:val="p"/>
                      </m:rPr>
                      <w:rPr>
                        <w:rFonts w:ascii="Cambria Math" w:hAnsi="Cambria Math" w:cs="Arial"/>
                        <w:szCs w:val="18"/>
                      </w:rPr>
                      <m:t>0</m:t>
                    </m:r>
                  </m:sub>
                </m:sSub>
                <m:r>
                  <m:rPr>
                    <m:sty m:val="p"/>
                  </m:rPr>
                  <w:rPr>
                    <w:rFonts w:ascii="Cambria Math" w:hAnsi="Cambria Math" w:cs="Arial"/>
                    <w:szCs w:val="18"/>
                  </w:rPr>
                  <m:t>≥55</m:t>
                </m:r>
              </m:oMath>
            </m:oMathPara>
          </w:p>
        </w:tc>
        <w:tc>
          <w:tcPr>
            <w:tcW w:w="804" w:type="dxa"/>
            <w:gridSpan w:val="2"/>
            <w:shd w:val="clear" w:color="auto" w:fill="auto"/>
            <w:vAlign w:val="center"/>
          </w:tcPr>
          <w:p w14:paraId="77F8D059" w14:textId="77777777" w:rsidR="00297370" w:rsidRPr="00226270" w:rsidRDefault="00297370" w:rsidP="00A36D87">
            <w:pPr>
              <w:pStyle w:val="CETEquation"/>
              <w:jc w:val="right"/>
            </w:pPr>
            <w:r w:rsidRPr="00226270">
              <w:t>(5)</w:t>
            </w:r>
          </w:p>
        </w:tc>
      </w:tr>
    </w:tbl>
    <w:p w14:paraId="4811CFA2" w14:textId="141FB7AB" w:rsidR="00F7721B" w:rsidRPr="00226270" w:rsidRDefault="00F7721B" w:rsidP="00F7721B">
      <w:pPr>
        <w:pStyle w:val="CETBodytext"/>
        <w:rPr>
          <w:lang w:val="en-GB"/>
        </w:rPr>
      </w:pPr>
      <w:r w:rsidRPr="00226270">
        <w:rPr>
          <w:lang w:val="en-GB"/>
        </w:rPr>
        <w:t xml:space="preserve">For </w:t>
      </w:r>
      <w:r w:rsidR="00C203B3">
        <w:rPr>
          <w:lang w:val="en-GB"/>
        </w:rPr>
        <w:t xml:space="preserve">the </w:t>
      </w:r>
      <w:r w:rsidR="003E1F18">
        <w:rPr>
          <w:lang w:val="en-GB"/>
        </w:rPr>
        <w:t xml:space="preserve">other </w:t>
      </w:r>
      <w:proofErr w:type="spellStart"/>
      <w:r w:rsidRPr="00226270">
        <w:rPr>
          <w:lang w:val="en-GB"/>
        </w:rPr>
        <w:t>Pasquill</w:t>
      </w:r>
      <w:proofErr w:type="spellEnd"/>
      <w:r w:rsidRPr="00226270">
        <w:rPr>
          <w:lang w:val="en-GB"/>
        </w:rPr>
        <w:t xml:space="preserve"> stability class</w:t>
      </w:r>
      <w:r w:rsidR="00C203B3">
        <w:rPr>
          <w:lang w:val="en-GB"/>
        </w:rPr>
        <w:t>es</w:t>
      </w:r>
      <w:r w:rsidRPr="00226270">
        <w:rPr>
          <w:lang w:val="en-GB"/>
        </w:rPr>
        <w:t xml:space="preserve"> E and F, the rising of the plume with distance and the maximum height of the plume can be calculated with </w:t>
      </w:r>
      <w:proofErr w:type="spellStart"/>
      <w:r w:rsidRPr="00226270">
        <w:rPr>
          <w:lang w:val="en-GB"/>
        </w:rPr>
        <w:t>Eq</w:t>
      </w:r>
      <w:proofErr w:type="spellEnd"/>
      <w:r w:rsidRPr="00226270">
        <w:rPr>
          <w:lang w:val="en-GB"/>
        </w:rPr>
        <w:t xml:space="preserve">(6) and </w:t>
      </w:r>
      <w:proofErr w:type="spellStart"/>
      <w:r w:rsidRPr="00226270">
        <w:rPr>
          <w:lang w:val="en-GB"/>
        </w:rPr>
        <w:t>Eq</w:t>
      </w:r>
      <w:proofErr w:type="spellEnd"/>
      <w:r w:rsidRPr="00226270">
        <w:rPr>
          <w:lang w:val="en-GB"/>
        </w:rPr>
        <w:t xml:space="preserve">(7), respectively. The 2/3 relation results from treating the time average profile of the bent over plume as an extension of the model of </w:t>
      </w:r>
      <w:r w:rsidR="003E5A11" w:rsidRPr="00226270">
        <w:rPr>
          <w:lang w:val="en-GB"/>
        </w:rPr>
        <w:t>(</w:t>
      </w:r>
      <w:r w:rsidRPr="00226270">
        <w:rPr>
          <w:lang w:val="en-GB"/>
        </w:rPr>
        <w:t>Morton et a</w:t>
      </w:r>
      <w:r w:rsidR="003E5A11" w:rsidRPr="00226270">
        <w:rPr>
          <w:lang w:val="en-GB"/>
        </w:rPr>
        <w:t xml:space="preserve">l., </w:t>
      </w:r>
      <w:r w:rsidRPr="00226270">
        <w:rPr>
          <w:lang w:val="en-GB"/>
        </w:rPr>
        <w:t>1956).</w:t>
      </w:r>
    </w:p>
    <w:tbl>
      <w:tblPr>
        <w:tblW w:w="5000" w:type="pct"/>
        <w:tblLook w:val="04A0" w:firstRow="1" w:lastRow="0" w:firstColumn="1" w:lastColumn="0" w:noHBand="0" w:noVBand="1"/>
      </w:tblPr>
      <w:tblGrid>
        <w:gridCol w:w="7983"/>
        <w:gridCol w:w="804"/>
      </w:tblGrid>
      <w:tr w:rsidR="00E25569" w:rsidRPr="00226270" w14:paraId="48F1C95E" w14:textId="77777777" w:rsidTr="0049067A">
        <w:tc>
          <w:tcPr>
            <w:tcW w:w="7983" w:type="dxa"/>
            <w:shd w:val="clear" w:color="auto" w:fill="auto"/>
            <w:vAlign w:val="center"/>
          </w:tcPr>
          <w:p w14:paraId="2C0BBCDC" w14:textId="6C838505" w:rsidR="00E25569" w:rsidRPr="00226270" w:rsidRDefault="009A7F9A" w:rsidP="00A36D87">
            <w:pPr>
              <w:pStyle w:val="CETEquation"/>
            </w:pPr>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BRIGGS</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s</m:t>
                    </m:r>
                  </m:sub>
                </m:sSub>
                <m:r>
                  <m:rPr>
                    <m:sty m:val="p"/>
                  </m:rPr>
                  <w:rPr>
                    <w:rFonts w:ascii="Cambria Math" w:hAnsi="Cambria Math"/>
                  </w:rPr>
                  <m:t>+2·</m:t>
                </m:r>
                <m:sSubSup>
                  <m:sSubSupPr>
                    <m:ctrlPr>
                      <w:rPr>
                        <w:rFonts w:ascii="Cambria Math" w:hAnsi="Cambria Math"/>
                      </w:rPr>
                    </m:ctrlPr>
                  </m:sSubSupPr>
                  <m:e>
                    <m:r>
                      <w:rPr>
                        <w:rFonts w:ascii="Cambria Math" w:hAnsi="Cambria Math"/>
                      </w:rPr>
                      <m:t>Q</m:t>
                    </m:r>
                  </m:e>
                  <m:sub>
                    <m:r>
                      <m:rPr>
                        <m:sty m:val="p"/>
                      </m:rPr>
                      <w:rPr>
                        <w:rFonts w:ascii="Cambria Math" w:hAnsi="Cambria Math"/>
                      </w:rPr>
                      <m:t>0</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bSup>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w</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s</m:t>
                            </m:r>
                          </m:sub>
                        </m:sSub>
                      </m:e>
                    </m:d>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w:rPr>
                                <w:rFonts w:ascii="Cambria Math" w:hAnsi="Cambria Math"/>
                              </w:rPr>
                              <m:t>cos</m:t>
                            </m:r>
                          </m:fName>
                          <m:e>
                            <m:f>
                              <m:fPr>
                                <m:ctrlPr>
                                  <w:rPr>
                                    <w:rFonts w:ascii="Cambria Math" w:hAnsi="Cambria Math"/>
                                  </w:rPr>
                                </m:ctrlPr>
                              </m:fPr>
                              <m:num>
                                <m:r>
                                  <w:rPr>
                                    <w:rFonts w:ascii="Cambria Math" w:hAnsi="Cambria Math"/>
                                  </w:rPr>
                                  <m:t>N</m:t>
                                </m:r>
                                <m:r>
                                  <m:rPr>
                                    <m:sty m:val="p"/>
                                  </m:rPr>
                                  <w:rPr>
                                    <w:rFonts w:ascii="Cambria Math" w:hAnsi="Cambria Math"/>
                                  </w:rPr>
                                  <m:t>·</m:t>
                                </m:r>
                                <m:r>
                                  <w:rPr>
                                    <w:rFonts w:ascii="Cambria Math" w:hAnsi="Cambria Math"/>
                                  </w:rPr>
                                  <m:t>x</m:t>
                                </m:r>
                              </m:num>
                              <m:den>
                                <m:sSub>
                                  <m:sSubPr>
                                    <m:ctrlPr>
                                      <w:rPr>
                                        <w:rFonts w:ascii="Cambria Math" w:hAnsi="Cambria Math"/>
                                      </w:rPr>
                                    </m:ctrlPr>
                                  </m:sSubPr>
                                  <m:e>
                                    <m:r>
                                      <w:rPr>
                                        <w:rFonts w:ascii="Cambria Math" w:hAnsi="Cambria Math"/>
                                      </w:rPr>
                                      <m:t>u</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s</m:t>
                                    </m:r>
                                  </m:sub>
                                </m:sSub>
                                <m:r>
                                  <m:rPr>
                                    <m:sty m:val="p"/>
                                  </m:rPr>
                                  <w:rPr>
                                    <w:rFonts w:ascii="Cambria Math" w:hAnsi="Cambria Math"/>
                                  </w:rPr>
                                  <m:t>)</m:t>
                                </m:r>
                              </m:den>
                            </m:f>
                          </m:e>
                        </m:func>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oMath>
            </m:oMathPara>
          </w:p>
        </w:tc>
        <w:tc>
          <w:tcPr>
            <w:tcW w:w="804" w:type="dxa"/>
            <w:shd w:val="clear" w:color="auto" w:fill="auto"/>
            <w:vAlign w:val="center"/>
          </w:tcPr>
          <w:p w14:paraId="59591119" w14:textId="29B35725" w:rsidR="00E25569" w:rsidRPr="00226270" w:rsidRDefault="00E25569" w:rsidP="00A36D87">
            <w:pPr>
              <w:pStyle w:val="CETEquation"/>
              <w:jc w:val="right"/>
            </w:pPr>
            <w:r w:rsidRPr="00226270">
              <w:t>(</w:t>
            </w:r>
            <w:r w:rsidR="0049067A" w:rsidRPr="00226270">
              <w:t>6</w:t>
            </w:r>
            <w:r w:rsidRPr="00226270">
              <w:t>)</w:t>
            </w:r>
          </w:p>
        </w:tc>
      </w:tr>
      <w:tr w:rsidR="0049067A" w:rsidRPr="00226270" w14:paraId="6F541D75" w14:textId="77777777" w:rsidTr="0049067A">
        <w:tc>
          <w:tcPr>
            <w:tcW w:w="7983" w:type="dxa"/>
            <w:shd w:val="clear" w:color="auto" w:fill="auto"/>
            <w:vAlign w:val="center"/>
          </w:tcPr>
          <w:p w14:paraId="6D99C8EB" w14:textId="349BC888" w:rsidR="0049067A" w:rsidRPr="00226270" w:rsidRDefault="009A7F9A" w:rsidP="00A36D87">
            <w:pPr>
              <w:pStyle w:val="CETEquation"/>
            </w:pPr>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s</m:t>
                    </m:r>
                  </m:sub>
                </m:sSub>
                <m:r>
                  <m:rPr>
                    <m:sty m:val="p"/>
                  </m:rPr>
                  <w:rPr>
                    <w:rFonts w:ascii="Cambria Math" w:hAnsi="Cambria Math"/>
                  </w:rPr>
                  <m:t>+2.52·</m:t>
                </m:r>
                <m:sSubSup>
                  <m:sSubSupPr>
                    <m:ctrlPr>
                      <w:rPr>
                        <w:rFonts w:ascii="Cambria Math" w:hAnsi="Cambria Math"/>
                      </w:rPr>
                    </m:ctrlPr>
                  </m:sSubSupPr>
                  <m:e>
                    <m:r>
                      <w:rPr>
                        <w:rFonts w:ascii="Cambria Math" w:hAnsi="Cambria Math"/>
                      </w:rPr>
                      <m:t>Q</m:t>
                    </m:r>
                  </m:e>
                  <m:sub>
                    <m:r>
                      <m:rPr>
                        <m:sty m:val="p"/>
                      </m:rPr>
                      <w:rPr>
                        <w:rFonts w:ascii="Cambria Math" w:hAnsi="Cambria Math"/>
                      </w:rPr>
                      <m:t>0</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bSup>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w</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s</m:t>
                            </m:r>
                          </m:sub>
                        </m:sSub>
                      </m:e>
                    </m:d>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sup>
                </m:sSup>
              </m:oMath>
            </m:oMathPara>
          </w:p>
        </w:tc>
        <w:tc>
          <w:tcPr>
            <w:tcW w:w="804" w:type="dxa"/>
            <w:shd w:val="clear" w:color="auto" w:fill="auto"/>
            <w:vAlign w:val="center"/>
          </w:tcPr>
          <w:p w14:paraId="3FBDCC51" w14:textId="39AC1D61" w:rsidR="0049067A" w:rsidRPr="00226270" w:rsidRDefault="0049067A" w:rsidP="00A36D87">
            <w:pPr>
              <w:pStyle w:val="CETEquation"/>
              <w:jc w:val="right"/>
            </w:pPr>
            <w:r w:rsidRPr="00226270">
              <w:t>(7)</w:t>
            </w:r>
          </w:p>
        </w:tc>
      </w:tr>
    </w:tbl>
    <w:p w14:paraId="367B1CC7" w14:textId="45221490" w:rsidR="00E25569" w:rsidRPr="00226270" w:rsidRDefault="00E25569" w:rsidP="00F7721B">
      <w:pPr>
        <w:pStyle w:val="CETBodytext"/>
        <w:rPr>
          <w:lang w:val="en-GB"/>
        </w:rPr>
      </w:pPr>
    </w:p>
    <w:p w14:paraId="5E41F166" w14:textId="3E2C2A91" w:rsidR="00F7721B" w:rsidRPr="00226270" w:rsidRDefault="00F7721B" w:rsidP="00F7721B">
      <w:pPr>
        <w:pStyle w:val="CETBodytext"/>
        <w:rPr>
          <w:lang w:val="en-GB"/>
        </w:rPr>
      </w:pPr>
      <w:r w:rsidRPr="00226270">
        <w:rPr>
          <w:lang w:val="en-GB"/>
        </w:rPr>
        <w:t>According to</w:t>
      </w:r>
      <w:r w:rsidR="008C5177">
        <w:rPr>
          <w:lang w:val="en-GB"/>
        </w:rPr>
        <w:t xml:space="preserve"> </w:t>
      </w:r>
      <w:r w:rsidR="008C5177" w:rsidRPr="00226270">
        <w:rPr>
          <w:lang w:val="en-GB"/>
        </w:rPr>
        <w:t>(Mills, 1987</w:t>
      </w:r>
      <w:r w:rsidR="008C5177">
        <w:rPr>
          <w:lang w:val="en-GB"/>
        </w:rPr>
        <w:t>)</w:t>
      </w:r>
      <w:r w:rsidRPr="00226270">
        <w:rPr>
          <w:lang w:val="en-GB"/>
        </w:rPr>
        <w:t xml:space="preserve"> the rising</w:t>
      </w:r>
      <w:r w:rsidR="0075564B">
        <w:rPr>
          <w:lang w:val="en-GB"/>
        </w:rPr>
        <w:t xml:space="preserve"> height</w:t>
      </w:r>
      <w:r w:rsidRPr="00226270">
        <w:rPr>
          <w:lang w:val="en-GB"/>
        </w:rPr>
        <w:t xml:space="preserve"> of smoke plumes from free burning fires </w:t>
      </w:r>
      <w:r w:rsidR="00BF3F1E">
        <w:rPr>
          <w:lang w:val="en-GB"/>
        </w:rPr>
        <w:t xml:space="preserve">can be predicted </w:t>
      </w:r>
      <w:r w:rsidR="008C5177">
        <w:rPr>
          <w:lang w:val="en-GB"/>
        </w:rPr>
        <w:t>by</w:t>
      </w:r>
      <w:r w:rsidRPr="00226270">
        <w:rPr>
          <w:lang w:val="en-GB"/>
        </w:rPr>
        <w:t xml:space="preserve"> altering the Briggs formula as shown </w:t>
      </w:r>
      <w:r w:rsidR="00CC40A9">
        <w:rPr>
          <w:lang w:val="en-GB"/>
        </w:rPr>
        <w:t xml:space="preserve">in </w:t>
      </w:r>
      <w:proofErr w:type="spellStart"/>
      <w:r w:rsidR="00CC40A9">
        <w:rPr>
          <w:lang w:val="en-GB"/>
        </w:rPr>
        <w:t>Eq</w:t>
      </w:r>
      <w:proofErr w:type="spellEnd"/>
      <w:r w:rsidR="00CC40A9">
        <w:rPr>
          <w:lang w:val="en-GB"/>
        </w:rPr>
        <w:t>(8)</w:t>
      </w:r>
      <w:r w:rsidRPr="00226270">
        <w:rPr>
          <w:lang w:val="en-GB"/>
        </w:rPr>
        <w:t>.</w:t>
      </w:r>
    </w:p>
    <w:tbl>
      <w:tblPr>
        <w:tblW w:w="5000" w:type="pct"/>
        <w:tblLook w:val="04A0" w:firstRow="1" w:lastRow="0" w:firstColumn="1" w:lastColumn="0" w:noHBand="0" w:noVBand="1"/>
      </w:tblPr>
      <w:tblGrid>
        <w:gridCol w:w="7983"/>
        <w:gridCol w:w="804"/>
      </w:tblGrid>
      <w:tr w:rsidR="00F73E49" w:rsidRPr="00226270" w14:paraId="1F7BB6EC" w14:textId="77777777" w:rsidTr="00A36D87">
        <w:tc>
          <w:tcPr>
            <w:tcW w:w="8188" w:type="dxa"/>
            <w:shd w:val="clear" w:color="auto" w:fill="auto"/>
            <w:vAlign w:val="center"/>
          </w:tcPr>
          <w:p w14:paraId="211AE43C" w14:textId="5778C464" w:rsidR="00F73E49" w:rsidRPr="00226270" w:rsidRDefault="009A7F9A" w:rsidP="00A36D87">
            <w:pPr>
              <w:pStyle w:val="CETEquation"/>
            </w:pPr>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MILLS</m:t>
                    </m:r>
                  </m:sub>
                </m:sSub>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BRIGGS</m:t>
                                    </m:r>
                                  </m:sub>
                                </m:sSub>
                              </m:e>
                            </m:d>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m:rPr>
                                        <m:sty m:val="p"/>
                                      </m:rPr>
                                      <w:rPr>
                                        <w:rFonts w:ascii="Cambria Math" w:hAnsi="Cambria Math"/>
                                      </w:rPr>
                                      <m:t>2·</m:t>
                                    </m:r>
                                    <m:r>
                                      <w:rPr>
                                        <w:rFonts w:ascii="Cambria Math" w:hAnsi="Cambria Math"/>
                                      </w:rPr>
                                      <m:t>γ</m:t>
                                    </m:r>
                                  </m:den>
                                </m:f>
                              </m:e>
                            </m:d>
                          </m:e>
                          <m:sup>
                            <m:r>
                              <m:rPr>
                                <m:sty m:val="p"/>
                              </m:rPr>
                              <w:rPr>
                                <w:rFonts w:ascii="Cambria Math" w:hAnsi="Cambria Math"/>
                              </w:rPr>
                              <m:t>3</m:t>
                            </m:r>
                          </m:sup>
                        </m:sSup>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m:t>
                </m:r>
                <m:f>
                  <m:fPr>
                    <m:ctrlPr>
                      <w:rPr>
                        <w:rFonts w:ascii="Cambria Math" w:hAnsi="Cambria Math"/>
                      </w:rPr>
                    </m:ctrlPr>
                  </m:fPr>
                  <m:num>
                    <m:r>
                      <w:rPr>
                        <w:rFonts w:ascii="Cambria Math" w:hAnsi="Cambria Math"/>
                      </w:rPr>
                      <m:t>D</m:t>
                    </m:r>
                  </m:num>
                  <m:den>
                    <m:r>
                      <m:rPr>
                        <m:sty m:val="p"/>
                      </m:rPr>
                      <w:rPr>
                        <w:rFonts w:ascii="Cambria Math" w:hAnsi="Cambria Math"/>
                      </w:rPr>
                      <m:t>2·</m:t>
                    </m:r>
                    <m:r>
                      <w:rPr>
                        <w:rFonts w:ascii="Cambria Math" w:hAnsi="Cambria Math"/>
                      </w:rPr>
                      <m:t>γ</m:t>
                    </m:r>
                  </m:den>
                </m:f>
              </m:oMath>
            </m:oMathPara>
          </w:p>
        </w:tc>
        <w:tc>
          <w:tcPr>
            <w:tcW w:w="815" w:type="dxa"/>
            <w:shd w:val="clear" w:color="auto" w:fill="auto"/>
            <w:vAlign w:val="center"/>
          </w:tcPr>
          <w:p w14:paraId="1FB28A98" w14:textId="119B7F79" w:rsidR="00F73E49" w:rsidRPr="00226270" w:rsidRDefault="00F73E49" w:rsidP="00A36D87">
            <w:pPr>
              <w:pStyle w:val="CETEquation"/>
              <w:jc w:val="right"/>
            </w:pPr>
            <w:r w:rsidRPr="00226270">
              <w:t>(8)</w:t>
            </w:r>
          </w:p>
        </w:tc>
      </w:tr>
    </w:tbl>
    <w:p w14:paraId="71D40484" w14:textId="6DBE1F75" w:rsidR="00F73E49" w:rsidRPr="00226270" w:rsidRDefault="00F73E49" w:rsidP="00F7721B">
      <w:pPr>
        <w:pStyle w:val="CETBodytext"/>
        <w:rPr>
          <w:lang w:val="en-GB"/>
        </w:rPr>
      </w:pPr>
    </w:p>
    <w:p w14:paraId="2BEFB376" w14:textId="38CD4FCB" w:rsidR="00F7721B" w:rsidRDefault="00F7721B" w:rsidP="00F7721B">
      <w:pPr>
        <w:pStyle w:val="CETBodytext"/>
        <w:rPr>
          <w:lang w:val="en-GB"/>
        </w:rPr>
      </w:pPr>
      <w:r w:rsidRPr="00226270">
        <w:rPr>
          <w:lang w:val="en-GB"/>
        </w:rPr>
        <w:t>Mills assumes that the 30</w:t>
      </w:r>
      <w:r w:rsidR="00821AE3" w:rsidRPr="00226270">
        <w:rPr>
          <w:lang w:val="en-GB"/>
        </w:rPr>
        <w:t xml:space="preserve"> </w:t>
      </w:r>
      <w:r w:rsidRPr="00226270">
        <w:rPr>
          <w:lang w:val="en-GB"/>
        </w:rPr>
        <w:t>% of the heat released in the combustion process is dispersed as thermal radiation in the surrounding area and/or lost due to conduction or non-ideal combustion. Thus, the 70</w:t>
      </w:r>
      <w:r w:rsidR="00821AE3" w:rsidRPr="00226270">
        <w:rPr>
          <w:lang w:val="en-GB"/>
        </w:rPr>
        <w:t xml:space="preserve"> </w:t>
      </w:r>
      <w:r w:rsidRPr="00226270">
        <w:rPr>
          <w:lang w:val="en-GB"/>
        </w:rPr>
        <w:t>% of the heat combustion is devoted to the plume rise. The initial heat flux (Q</w:t>
      </w:r>
      <w:r w:rsidRPr="00226270">
        <w:rPr>
          <w:vertAlign w:val="subscript"/>
          <w:lang w:val="en-GB"/>
        </w:rPr>
        <w:t>0</w:t>
      </w:r>
      <w:r w:rsidRPr="00226270">
        <w:rPr>
          <w:lang w:val="en-GB"/>
        </w:rPr>
        <w:t xml:space="preserve">) is an input parameter of the model </w:t>
      </w:r>
      <w:r w:rsidR="001B7B23">
        <w:rPr>
          <w:lang w:val="en-GB"/>
        </w:rPr>
        <w:t xml:space="preserve">that </w:t>
      </w:r>
      <w:r w:rsidR="004561C5">
        <w:rPr>
          <w:lang w:val="en-GB"/>
        </w:rPr>
        <w:t>dominate</w:t>
      </w:r>
      <w:r w:rsidR="001B7B23">
        <w:rPr>
          <w:lang w:val="en-GB"/>
        </w:rPr>
        <w:t>s</w:t>
      </w:r>
      <w:r w:rsidR="004561C5">
        <w:rPr>
          <w:lang w:val="en-GB"/>
        </w:rPr>
        <w:t xml:space="preserve"> the </w:t>
      </w:r>
      <w:r w:rsidRPr="00226270">
        <w:rPr>
          <w:lang w:val="en-GB"/>
        </w:rPr>
        <w:t xml:space="preserve">influence </w:t>
      </w:r>
      <w:r w:rsidR="001B5D12">
        <w:rPr>
          <w:lang w:val="en-GB"/>
        </w:rPr>
        <w:t>o</w:t>
      </w:r>
      <w:r w:rsidR="00F261E3">
        <w:rPr>
          <w:lang w:val="en-GB"/>
        </w:rPr>
        <w:t>n</w:t>
      </w:r>
      <w:r w:rsidR="001B5D12">
        <w:rPr>
          <w:lang w:val="en-GB"/>
        </w:rPr>
        <w:t xml:space="preserve"> </w:t>
      </w:r>
      <w:r w:rsidRPr="00226270">
        <w:rPr>
          <w:lang w:val="en-GB"/>
        </w:rPr>
        <w:t xml:space="preserve">the plume </w:t>
      </w:r>
      <w:r w:rsidR="00F846A0">
        <w:rPr>
          <w:lang w:val="en-GB"/>
        </w:rPr>
        <w:t>trajectory</w:t>
      </w:r>
      <w:r w:rsidRPr="00226270">
        <w:rPr>
          <w:lang w:val="en-GB"/>
        </w:rPr>
        <w:t xml:space="preserve">. The </w:t>
      </w:r>
      <w:r w:rsidR="00E94830">
        <w:rPr>
          <w:lang w:val="en-GB"/>
        </w:rPr>
        <w:t>consequence modelling tool</w:t>
      </w:r>
      <w:r w:rsidRPr="00226270">
        <w:rPr>
          <w:lang w:val="en-GB"/>
        </w:rPr>
        <w:t xml:space="preserve"> EFFECTS </w:t>
      </w:r>
      <w:r w:rsidR="00BA3E2E">
        <w:rPr>
          <w:lang w:val="en-GB"/>
        </w:rPr>
        <w:t xml:space="preserve">already provides </w:t>
      </w:r>
      <w:r w:rsidRPr="00226270">
        <w:rPr>
          <w:lang w:val="en-GB"/>
        </w:rPr>
        <w:t>a dedicated model (</w:t>
      </w:r>
      <w:r w:rsidR="00CC40A9">
        <w:rPr>
          <w:lang w:val="en-GB"/>
        </w:rPr>
        <w:t xml:space="preserve">i.e., the </w:t>
      </w:r>
      <w:r w:rsidRPr="00226270">
        <w:rPr>
          <w:lang w:val="en-GB"/>
        </w:rPr>
        <w:t>“combustion and toxic combustion products” model), that calculates this initial heat flux based on the combustion rate of the chemical burning, its heat of combustion, and the fraction of the heat radiated from the flame surface. Thus, the plume rise model is suitable for all types of burning materials and for both warehouse and pool fire situations.</w:t>
      </w:r>
    </w:p>
    <w:p w14:paraId="77E9DA96" w14:textId="71AEA68F" w:rsidR="00666C53" w:rsidRPr="00226270" w:rsidRDefault="00666C53" w:rsidP="00666C53">
      <w:pPr>
        <w:pStyle w:val="CETheadingx"/>
        <w:rPr>
          <w:lang w:val="en-GB"/>
        </w:rPr>
      </w:pPr>
      <w:r>
        <w:rPr>
          <w:lang w:val="en-GB"/>
        </w:rPr>
        <w:t>Calculation of the plume concentration</w:t>
      </w:r>
    </w:p>
    <w:p w14:paraId="6ACF052D" w14:textId="7457B9B2" w:rsidR="007B7622" w:rsidRPr="00226270" w:rsidRDefault="007B7622" w:rsidP="007B7622">
      <w:proofErr w:type="gramStart"/>
      <w:r w:rsidRPr="00226270">
        <w:t>In order to</w:t>
      </w:r>
      <w:proofErr w:type="gramEnd"/>
      <w:r w:rsidRPr="00226270">
        <w:t xml:space="preserve"> </w:t>
      </w:r>
      <w:r w:rsidR="00B94045">
        <w:t>d</w:t>
      </w:r>
      <w:r w:rsidR="00ED1A25">
        <w:t>etermine</w:t>
      </w:r>
      <w:r w:rsidR="00B94045" w:rsidRPr="00226270">
        <w:t xml:space="preserve"> </w:t>
      </w:r>
      <w:r w:rsidRPr="00226270">
        <w:t>concentration</w:t>
      </w:r>
      <w:r w:rsidR="00F52D3F">
        <w:t xml:space="preserve"> contours</w:t>
      </w:r>
      <w:r w:rsidRPr="00226270">
        <w:t xml:space="preserve"> of the plume, </w:t>
      </w:r>
      <w:r w:rsidR="007F2FBD">
        <w:t xml:space="preserve">the plume centreline path and its </w:t>
      </w:r>
      <w:r w:rsidR="0003747C">
        <w:t xml:space="preserve">mass </w:t>
      </w:r>
      <w:r w:rsidR="00FD1C36">
        <w:t xml:space="preserve">distribution need to be </w:t>
      </w:r>
      <w:r w:rsidR="00ED1A25">
        <w:t>assessed</w:t>
      </w:r>
      <w:r w:rsidRPr="00226270">
        <w:t>. A rising plume entrains air into its own volume, thereby, increasing its radius. The Gaussian Plume Model as described in the Yellow Book</w:t>
      </w:r>
      <w:r w:rsidR="003945A8" w:rsidRPr="00226270">
        <w:t xml:space="preserve"> </w:t>
      </w:r>
      <w:r w:rsidR="00941D80">
        <w:t>(</w:t>
      </w:r>
      <w:r w:rsidRPr="00226270">
        <w:t xml:space="preserve">1992) can be applied to describe passive dispersion if the dispersing cloud is either neutral or positively buoyant. Therefore, the Gaussian Plume Model is selected to calculate the dispersion phenomena for all scaling regions in the mixing layer, which is valid for dispersion calculations over flat and uniform terrain. </w:t>
      </w:r>
    </w:p>
    <w:p w14:paraId="230679AC" w14:textId="77777777" w:rsidR="007B7622" w:rsidRPr="00226270" w:rsidRDefault="007B7622" w:rsidP="007B7622"/>
    <w:p w14:paraId="3DE6200A" w14:textId="484C1DF0" w:rsidR="007B7622" w:rsidRPr="00226270" w:rsidRDefault="007B7622" w:rsidP="007B7622">
      <w:r w:rsidRPr="00226270">
        <w:t xml:space="preserve">The </w:t>
      </w:r>
      <w:r w:rsidR="00613E16">
        <w:t>G</w:t>
      </w:r>
      <w:r w:rsidRPr="00226270">
        <w:t>aussian mathematical equations to calculate the plume concentration for continuous releases can be found in the Yellow Book</w:t>
      </w:r>
      <w:r w:rsidR="003945A8" w:rsidRPr="00226270">
        <w:t xml:space="preserve"> </w:t>
      </w:r>
      <w:r w:rsidR="00DF7448">
        <w:t>(</w:t>
      </w:r>
      <w:r w:rsidR="003945A8" w:rsidRPr="00226270">
        <w:t>1</w:t>
      </w:r>
      <w:r w:rsidRPr="00226270">
        <w:t xml:space="preserve">992), </w:t>
      </w:r>
      <w:r w:rsidR="00D84444">
        <w:t>and</w:t>
      </w:r>
      <w:r w:rsidR="00D84444" w:rsidRPr="00226270">
        <w:t xml:space="preserve"> </w:t>
      </w:r>
      <w:r w:rsidRPr="00226270">
        <w:t xml:space="preserve">account for the lateral (crosswind) dispersion </w:t>
      </w:r>
      <w:proofErr w:type="spellStart"/>
      <w:r w:rsidRPr="00226270">
        <w:t>F</w:t>
      </w:r>
      <w:r w:rsidRPr="00226270">
        <w:rPr>
          <w:vertAlign w:val="subscript"/>
        </w:rPr>
        <w:t>y</w:t>
      </w:r>
      <w:proofErr w:type="spellEnd"/>
      <w:r w:rsidRPr="00226270">
        <w:t>(</w:t>
      </w:r>
      <w:proofErr w:type="spellStart"/>
      <w:r w:rsidRPr="00226270">
        <w:t>x,y</w:t>
      </w:r>
      <w:proofErr w:type="spellEnd"/>
      <w:r w:rsidRPr="00226270">
        <w:t xml:space="preserve">) and vertical dispersion </w:t>
      </w:r>
      <w:proofErr w:type="spellStart"/>
      <w:r w:rsidRPr="00226270">
        <w:t>F</w:t>
      </w:r>
      <w:r w:rsidRPr="00226270">
        <w:rPr>
          <w:vertAlign w:val="subscript"/>
        </w:rPr>
        <w:t>z</w:t>
      </w:r>
      <w:proofErr w:type="spellEnd"/>
      <w:r w:rsidRPr="00226270">
        <w:t>(</w:t>
      </w:r>
      <w:proofErr w:type="spellStart"/>
      <w:r w:rsidRPr="00226270">
        <w:t>x,z</w:t>
      </w:r>
      <w:proofErr w:type="spellEnd"/>
      <w:r w:rsidRPr="00226270">
        <w:t xml:space="preserve">). The calculation of the lateral dispersion is straightforward. However, the mathematical expression to calculate the vertical dispersion needs to be adapted to account for </w:t>
      </w:r>
      <w:r w:rsidR="002D35E1">
        <w:t>potential</w:t>
      </w:r>
      <w:r w:rsidR="002D35E1" w:rsidRPr="00226270">
        <w:t xml:space="preserve"> </w:t>
      </w:r>
      <w:r w:rsidRPr="00226270">
        <w:t xml:space="preserve">penetration and reflection phenomena. These two phenomena had never been mathematically described before and are both </w:t>
      </w:r>
      <w:r w:rsidR="00FE3F57">
        <w:t>unique for</w:t>
      </w:r>
      <w:r w:rsidR="00FE3F57" w:rsidRPr="00226270">
        <w:t xml:space="preserve"> </w:t>
      </w:r>
      <w:r w:rsidR="006329F6">
        <w:t xml:space="preserve">this </w:t>
      </w:r>
      <w:r w:rsidR="00576A53">
        <w:t>model approach</w:t>
      </w:r>
      <w:r w:rsidR="00C56CE2">
        <w:t xml:space="preserve">. </w:t>
      </w:r>
    </w:p>
    <w:p w14:paraId="4067E444" w14:textId="77777777" w:rsidR="007B7622" w:rsidRPr="00226270" w:rsidRDefault="007B7622" w:rsidP="007B7622"/>
    <w:p w14:paraId="6CACED3A" w14:textId="5309EF91" w:rsidR="007B7622" w:rsidRPr="00226270" w:rsidRDefault="007B7622" w:rsidP="007B7622">
      <w:r w:rsidRPr="00226270">
        <w:t xml:space="preserve">The penetration fraction P(x) is the fraction of mass that has risen above the mixing layer </w:t>
      </w:r>
      <w:proofErr w:type="gramStart"/>
      <w:r w:rsidRPr="00226270">
        <w:t>height</w:t>
      </w:r>
      <w:proofErr w:type="gramEnd"/>
      <w:r w:rsidRPr="00226270">
        <w:t xml:space="preserve"> and it is calculated assuming a </w:t>
      </w:r>
      <w:r w:rsidR="00613E16">
        <w:t>G</w:t>
      </w:r>
      <w:r w:rsidRPr="00226270">
        <w:t>aussian distribution of mass in the vertical direction. It is assumed that at the top of the mixing layer, there is a region (at the temperature inversion height) where there is no vertical turbulence</w:t>
      </w:r>
      <w:r w:rsidR="006E2639">
        <w:t xml:space="preserve">. Hence, </w:t>
      </w:r>
      <w:r w:rsidRPr="00226270">
        <w:t xml:space="preserve">there is no turbulent exchange of mass through this inversion layer height. </w:t>
      </w:r>
    </w:p>
    <w:tbl>
      <w:tblPr>
        <w:tblW w:w="5000" w:type="pct"/>
        <w:tblLook w:val="04A0" w:firstRow="1" w:lastRow="0" w:firstColumn="1" w:lastColumn="0" w:noHBand="0" w:noVBand="1"/>
      </w:tblPr>
      <w:tblGrid>
        <w:gridCol w:w="7984"/>
        <w:gridCol w:w="803"/>
      </w:tblGrid>
      <w:tr w:rsidR="00340B4F" w:rsidRPr="00226270" w14:paraId="0591BE00" w14:textId="77777777" w:rsidTr="00A36D87">
        <w:tc>
          <w:tcPr>
            <w:tcW w:w="8188" w:type="dxa"/>
            <w:shd w:val="clear" w:color="auto" w:fill="auto"/>
            <w:vAlign w:val="center"/>
          </w:tcPr>
          <w:p w14:paraId="7C4D4518" w14:textId="0027AB39" w:rsidR="00340B4F" w:rsidRPr="00226270" w:rsidRDefault="00340B4F" w:rsidP="00A36D87">
            <w:pPr>
              <w:pStyle w:val="CETEquation"/>
            </w:pPr>
            <m:oMathPara>
              <m:oMathParaPr>
                <m:jc m:val="left"/>
              </m:oMathParaPr>
              <m:oMath>
                <m:r>
                  <w:rPr>
                    <w:rFonts w:ascii="Cambria Math" w:hAnsi="Cambria Math" w:cs="Arial"/>
                    <w:szCs w:val="18"/>
                  </w:rPr>
                  <m:t>P(x)=</m:t>
                </m:r>
                <m:f>
                  <m:fPr>
                    <m:ctrlPr>
                      <w:rPr>
                        <w:rFonts w:ascii="Cambria Math" w:hAnsi="Cambria Math" w:cs="Arial"/>
                        <w:i/>
                        <w:iCs/>
                        <w:szCs w:val="18"/>
                      </w:rPr>
                    </m:ctrlPr>
                  </m:fPr>
                  <m:num>
                    <m:r>
                      <w:rPr>
                        <w:rFonts w:ascii="Cambria Math" w:hAnsi="Cambria Math" w:cs="Arial"/>
                        <w:szCs w:val="18"/>
                      </w:rPr>
                      <m:t>1</m:t>
                    </m:r>
                  </m:num>
                  <m:den>
                    <m:r>
                      <w:rPr>
                        <w:rFonts w:ascii="Cambria Math" w:hAnsi="Cambria Math" w:cs="Arial"/>
                        <w:szCs w:val="18"/>
                      </w:rPr>
                      <m:t>2</m:t>
                    </m:r>
                  </m:den>
                </m:f>
                <m:r>
                  <w:rPr>
                    <w:rFonts w:ascii="Cambria Math" w:hAnsi="Cambria Math" w:cs="Arial"/>
                    <w:szCs w:val="18"/>
                  </w:rPr>
                  <m:t>+</m:t>
                </m:r>
                <m:f>
                  <m:fPr>
                    <m:ctrlPr>
                      <w:rPr>
                        <w:rFonts w:ascii="Cambria Math" w:hAnsi="Cambria Math" w:cs="Arial"/>
                        <w:i/>
                        <w:iCs/>
                        <w:szCs w:val="18"/>
                      </w:rPr>
                    </m:ctrlPr>
                  </m:fPr>
                  <m:num>
                    <m:r>
                      <w:rPr>
                        <w:rFonts w:ascii="Cambria Math" w:hAnsi="Cambria Math" w:cs="Arial"/>
                        <w:szCs w:val="18"/>
                      </w:rPr>
                      <m:t>1</m:t>
                    </m:r>
                  </m:num>
                  <m:den>
                    <m:r>
                      <w:rPr>
                        <w:rFonts w:ascii="Cambria Math" w:hAnsi="Cambria Math" w:cs="Arial"/>
                        <w:szCs w:val="18"/>
                      </w:rPr>
                      <m:t>2</m:t>
                    </m:r>
                  </m:den>
                </m:f>
                <m:r>
                  <w:rPr>
                    <w:rFonts w:ascii="Cambria Math" w:hAnsi="Cambria Math" w:cs="Arial"/>
                    <w:szCs w:val="18"/>
                  </w:rPr>
                  <m:t>∙Erf</m:t>
                </m:r>
                <m:d>
                  <m:dPr>
                    <m:ctrlPr>
                      <w:rPr>
                        <w:rFonts w:ascii="Cambria Math" w:hAnsi="Cambria Math" w:cs="Arial"/>
                        <w:i/>
                        <w:iCs/>
                        <w:szCs w:val="18"/>
                      </w:rPr>
                    </m:ctrlPr>
                  </m:dPr>
                  <m:e>
                    <m:f>
                      <m:fPr>
                        <m:ctrlPr>
                          <w:rPr>
                            <w:rFonts w:ascii="Cambria Math" w:hAnsi="Cambria Math" w:cs="Arial"/>
                            <w:i/>
                            <w:iCs/>
                            <w:szCs w:val="18"/>
                          </w:rPr>
                        </m:ctrlPr>
                      </m:fPr>
                      <m:num>
                        <m:sSub>
                          <m:sSubPr>
                            <m:ctrlPr>
                              <w:rPr>
                                <w:rFonts w:ascii="Cambria Math" w:hAnsi="Cambria Math" w:cs="Arial"/>
                                <w:i/>
                                <w:iCs/>
                                <w:szCs w:val="18"/>
                              </w:rPr>
                            </m:ctrlPr>
                          </m:sSubPr>
                          <m:e>
                            <m:r>
                              <w:rPr>
                                <w:rFonts w:ascii="Cambria Math" w:hAnsi="Cambria Math" w:cs="Arial"/>
                                <w:szCs w:val="18"/>
                              </w:rPr>
                              <m:t>h</m:t>
                            </m:r>
                          </m:e>
                          <m:sub>
                            <m:r>
                              <w:rPr>
                                <w:rFonts w:ascii="Cambria Math" w:hAnsi="Cambria Math" w:cs="Arial"/>
                                <w:szCs w:val="18"/>
                              </w:rPr>
                              <m:t>max</m:t>
                            </m:r>
                          </m:sub>
                        </m:sSub>
                        <m:r>
                          <w:rPr>
                            <w:rFonts w:ascii="Cambria Math" w:hAnsi="Cambria Math" w:cs="Arial"/>
                            <w:szCs w:val="18"/>
                          </w:rPr>
                          <m:t>-MH</m:t>
                        </m:r>
                      </m:num>
                      <m:den>
                        <m:rad>
                          <m:radPr>
                            <m:degHide m:val="1"/>
                            <m:ctrlPr>
                              <w:rPr>
                                <w:rFonts w:ascii="Cambria Math" w:hAnsi="Cambria Math" w:cs="Arial"/>
                                <w:i/>
                                <w:iCs/>
                                <w:szCs w:val="18"/>
                              </w:rPr>
                            </m:ctrlPr>
                          </m:radPr>
                          <m:deg/>
                          <m:e>
                            <m:r>
                              <w:rPr>
                                <w:rFonts w:ascii="Cambria Math" w:hAnsi="Cambria Math" w:cs="Arial"/>
                                <w:szCs w:val="18"/>
                              </w:rPr>
                              <m:t>2</m:t>
                            </m:r>
                          </m:e>
                        </m:rad>
                        <m:r>
                          <w:rPr>
                            <w:rFonts w:ascii="Cambria Math" w:hAnsi="Cambria Math" w:cs="Arial"/>
                            <w:szCs w:val="18"/>
                          </w:rPr>
                          <m:t>∙</m:t>
                        </m:r>
                        <m:sSub>
                          <m:sSubPr>
                            <m:ctrlPr>
                              <w:rPr>
                                <w:rFonts w:ascii="Cambria Math" w:hAnsi="Cambria Math" w:cs="Arial"/>
                                <w:i/>
                                <w:iCs/>
                                <w:szCs w:val="18"/>
                              </w:rPr>
                            </m:ctrlPr>
                          </m:sSubPr>
                          <m:e>
                            <m:r>
                              <w:rPr>
                                <w:rFonts w:ascii="Cambria Math" w:eastAsiaTheme="minorEastAsia" w:hAnsi="Cambria Math" w:cs="Arial"/>
                                <w:szCs w:val="18"/>
                              </w:rPr>
                              <m:t>σ</m:t>
                            </m:r>
                          </m:e>
                          <m:sub>
                            <m:r>
                              <w:rPr>
                                <w:rFonts w:ascii="Cambria Math" w:hAnsi="Cambria Math" w:cs="Arial"/>
                                <w:szCs w:val="18"/>
                              </w:rPr>
                              <m:t>z</m:t>
                            </m:r>
                          </m:sub>
                        </m:sSub>
                        <m:r>
                          <w:rPr>
                            <w:rFonts w:ascii="Cambria Math" w:hAnsi="Cambria Math" w:cs="Arial"/>
                            <w:szCs w:val="18"/>
                          </w:rPr>
                          <m:t>(</m:t>
                        </m:r>
                        <m:sSub>
                          <m:sSubPr>
                            <m:ctrlPr>
                              <w:rPr>
                                <w:rFonts w:ascii="Cambria Math" w:hAnsi="Cambria Math" w:cs="Arial"/>
                                <w:i/>
                                <w:iCs/>
                                <w:szCs w:val="18"/>
                              </w:rPr>
                            </m:ctrlPr>
                          </m:sSubPr>
                          <m:e>
                            <m:r>
                              <w:rPr>
                                <w:rFonts w:ascii="Cambria Math" w:hAnsi="Cambria Math" w:cs="Arial"/>
                                <w:szCs w:val="18"/>
                              </w:rPr>
                              <m:t>X</m:t>
                            </m:r>
                          </m:e>
                          <m:sub>
                            <m:r>
                              <w:rPr>
                                <w:rFonts w:ascii="Cambria Math" w:hAnsi="Cambria Math" w:cs="Arial"/>
                                <w:szCs w:val="18"/>
                              </w:rPr>
                              <m:t>d</m:t>
                            </m:r>
                          </m:sub>
                        </m:sSub>
                        <m:r>
                          <w:rPr>
                            <w:rFonts w:ascii="Cambria Math" w:hAnsi="Cambria Math" w:cs="Arial"/>
                            <w:szCs w:val="18"/>
                          </w:rPr>
                          <m:t>)</m:t>
                        </m:r>
                      </m:den>
                    </m:f>
                  </m:e>
                </m:d>
              </m:oMath>
            </m:oMathPara>
          </w:p>
        </w:tc>
        <w:tc>
          <w:tcPr>
            <w:tcW w:w="815" w:type="dxa"/>
            <w:shd w:val="clear" w:color="auto" w:fill="auto"/>
            <w:vAlign w:val="center"/>
          </w:tcPr>
          <w:p w14:paraId="3B60A474" w14:textId="1B7ED09F" w:rsidR="00340B4F" w:rsidRPr="00226270" w:rsidRDefault="00340B4F" w:rsidP="00A36D87">
            <w:pPr>
              <w:pStyle w:val="CETEquation"/>
              <w:jc w:val="right"/>
            </w:pPr>
            <w:r w:rsidRPr="00226270">
              <w:t>(9)</w:t>
            </w:r>
          </w:p>
        </w:tc>
      </w:tr>
    </w:tbl>
    <w:p w14:paraId="38A3D686" w14:textId="748006BF" w:rsidR="00F30103" w:rsidRDefault="007B7622" w:rsidP="007B7622">
      <w:pPr>
        <w:pStyle w:val="CETBodytext"/>
        <w:rPr>
          <w:lang w:val="en-GB"/>
        </w:rPr>
      </w:pPr>
      <w:r w:rsidRPr="00226270">
        <w:rPr>
          <w:lang w:val="en-GB"/>
        </w:rPr>
        <w:t xml:space="preserve">Reflection is the phenomenon in which concentrations get “bounced back” against a non-penetrable boundary, such as the ground level or temperature inversion layer. Reflection is also calculated assuming a </w:t>
      </w:r>
      <w:r w:rsidR="00613E16">
        <w:rPr>
          <w:lang w:val="en-GB"/>
        </w:rPr>
        <w:t>G</w:t>
      </w:r>
      <w:r w:rsidRPr="00226270">
        <w:rPr>
          <w:lang w:val="en-GB"/>
        </w:rPr>
        <w:t>aussian distribution of mass in the vertical direction. For plumes near the ground level, the reflection against the ground needs to be accounted for. For plumes near the mixing layer height</w:t>
      </w:r>
      <w:r w:rsidR="00C4491B">
        <w:rPr>
          <w:lang w:val="en-GB"/>
        </w:rPr>
        <w:t>,</w:t>
      </w:r>
      <w:r w:rsidRPr="00226270">
        <w:rPr>
          <w:lang w:val="en-GB"/>
        </w:rPr>
        <w:t xml:space="preserve"> the reflection against the mixing layer needs to be considered as the mixing layer might act as a ceiling for the smoke plume.</w:t>
      </w:r>
      <w:r w:rsidR="00F30103">
        <w:rPr>
          <w:lang w:val="en-GB"/>
        </w:rPr>
        <w:t xml:space="preserve"> </w:t>
      </w:r>
    </w:p>
    <w:p w14:paraId="70A7A083" w14:textId="77777777" w:rsidR="00F30103" w:rsidRDefault="00F30103" w:rsidP="007B7622">
      <w:pPr>
        <w:pStyle w:val="CETBodytext"/>
        <w:rPr>
          <w:lang w:val="en-GB"/>
        </w:rPr>
      </w:pPr>
    </w:p>
    <w:p w14:paraId="4571348F" w14:textId="110E4857" w:rsidR="007B7622" w:rsidRPr="00226270" w:rsidRDefault="007B7622" w:rsidP="007B7622">
      <w:pPr>
        <w:pStyle w:val="CETBodytext"/>
        <w:rPr>
          <w:lang w:val="en-GB"/>
        </w:rPr>
      </w:pPr>
      <w:r w:rsidRPr="00226270">
        <w:rPr>
          <w:lang w:val="en-GB"/>
        </w:rPr>
        <w:lastRenderedPageBreak/>
        <w:t xml:space="preserve">Once the plume has reached its maximum height, the plume </w:t>
      </w:r>
      <w:r w:rsidR="00666C53" w:rsidRPr="00226270">
        <w:rPr>
          <w:lang w:val="en-GB"/>
        </w:rPr>
        <w:t>centre</w:t>
      </w:r>
      <w:r w:rsidRPr="00226270">
        <w:rPr>
          <w:lang w:val="en-GB"/>
        </w:rPr>
        <w:t>line can be situated either below or above the mixing layer height. That is the reason why the calculation of the vertical dispersion needs to consider two different situations</w:t>
      </w:r>
      <w:r w:rsidR="00C4491B">
        <w:rPr>
          <w:lang w:val="en-GB"/>
        </w:rPr>
        <w:t xml:space="preserve">, as described below. </w:t>
      </w:r>
    </w:p>
    <w:p w14:paraId="22FA28CB" w14:textId="77777777" w:rsidR="007B7622" w:rsidRPr="00226270" w:rsidRDefault="007B7622" w:rsidP="007B7622">
      <w:pPr>
        <w:pStyle w:val="CETBodytext"/>
        <w:rPr>
          <w:lang w:val="en-GB"/>
        </w:rPr>
      </w:pPr>
    </w:p>
    <w:p w14:paraId="71FBBB3A" w14:textId="56DACF52" w:rsidR="007B7622" w:rsidRPr="00666C53" w:rsidRDefault="007B7622" w:rsidP="00666C53">
      <w:pPr>
        <w:pStyle w:val="CETBodytext"/>
        <w:rPr>
          <w:u w:val="single"/>
          <w:lang w:val="en-GB"/>
        </w:rPr>
      </w:pPr>
      <w:r w:rsidRPr="00666C53">
        <w:rPr>
          <w:u w:val="single"/>
          <w:lang w:val="en-GB"/>
        </w:rPr>
        <w:t>The maximum height of the plume is situated below the mixing layer height</w:t>
      </w:r>
    </w:p>
    <w:p w14:paraId="24E5E6E2" w14:textId="429E67D3" w:rsidR="00E544B5" w:rsidRPr="000F0776" w:rsidRDefault="00666C53" w:rsidP="000F0776">
      <w:pPr>
        <w:pStyle w:val="CETBodytext"/>
        <w:rPr>
          <w:lang w:val="en-GB"/>
        </w:rPr>
      </w:pPr>
      <w:r>
        <w:rPr>
          <w:lang w:val="en-GB"/>
        </w:rPr>
        <w:t>In this case</w:t>
      </w:r>
      <w:r w:rsidR="007B7622" w:rsidRPr="00226270">
        <w:rPr>
          <w:lang w:val="en-GB"/>
        </w:rPr>
        <w:t xml:space="preserve"> the penetration fraction is expected to be small</w:t>
      </w:r>
      <w:r w:rsidR="00484CDE">
        <w:rPr>
          <w:lang w:val="en-GB"/>
        </w:rPr>
        <w:t xml:space="preserve"> (Figure </w:t>
      </w:r>
      <w:r w:rsidR="008E2237">
        <w:rPr>
          <w:lang w:val="en-GB"/>
        </w:rPr>
        <w:t>2</w:t>
      </w:r>
      <w:r w:rsidR="00484CDE">
        <w:rPr>
          <w:lang w:val="en-GB"/>
        </w:rPr>
        <w:t>a)</w:t>
      </w:r>
      <w:r w:rsidR="007B7622" w:rsidRPr="00226270">
        <w:rPr>
          <w:lang w:val="en-GB"/>
        </w:rPr>
        <w:t xml:space="preserve"> or </w:t>
      </w:r>
      <w:r w:rsidR="007E0ED4">
        <w:rPr>
          <w:lang w:val="en-GB"/>
        </w:rPr>
        <w:t>zero</w:t>
      </w:r>
      <w:r w:rsidR="007B7622" w:rsidRPr="00226270">
        <w:rPr>
          <w:lang w:val="en-GB"/>
        </w:rPr>
        <w:t xml:space="preserve"> (</w:t>
      </w:r>
      <w:r w:rsidR="00484CDE">
        <w:rPr>
          <w:lang w:val="en-GB"/>
        </w:rPr>
        <w:t xml:space="preserve">Figure </w:t>
      </w:r>
      <w:r w:rsidR="008E2237">
        <w:rPr>
          <w:lang w:val="en-GB"/>
        </w:rPr>
        <w:t>2</w:t>
      </w:r>
      <w:r w:rsidR="00484CDE">
        <w:rPr>
          <w:lang w:val="en-GB"/>
        </w:rPr>
        <w:t>b</w:t>
      </w:r>
      <w:r w:rsidR="007B7622" w:rsidRPr="00226270">
        <w:rPr>
          <w:lang w:val="en-GB"/>
        </w:rPr>
        <w:t xml:space="preserve">). This is because the plume does not have sufficient momentum to </w:t>
      </w:r>
      <w:r w:rsidR="00C524BF">
        <w:rPr>
          <w:lang w:val="en-GB"/>
        </w:rPr>
        <w:t xml:space="preserve">fully </w:t>
      </w:r>
      <w:r w:rsidR="007B7622" w:rsidRPr="00226270">
        <w:rPr>
          <w:lang w:val="en-GB"/>
        </w:rPr>
        <w:t>penetrate the mixing layer due to its heat of combustion. In this situation the reflection of the plume against the mixing layer height needs to be accounted for</w:t>
      </w:r>
      <w:r w:rsidR="00D14026">
        <w:rPr>
          <w:lang w:val="en-GB"/>
        </w:rPr>
        <w:t xml:space="preserve"> (as shown in </w:t>
      </w:r>
      <w:r w:rsidR="00287BFB">
        <w:rPr>
          <w:lang w:val="en-GB"/>
        </w:rPr>
        <w:t xml:space="preserve">both </w:t>
      </w:r>
      <w:r w:rsidR="00D14026">
        <w:rPr>
          <w:lang w:val="en-GB"/>
        </w:rPr>
        <w:t xml:space="preserve">Figure </w:t>
      </w:r>
      <w:r w:rsidR="008E2237">
        <w:rPr>
          <w:lang w:val="en-GB"/>
        </w:rPr>
        <w:t>2</w:t>
      </w:r>
      <w:r w:rsidR="00D14026">
        <w:rPr>
          <w:lang w:val="en-GB"/>
        </w:rPr>
        <w:t xml:space="preserve">a and Figure </w:t>
      </w:r>
      <w:r w:rsidR="008E2237">
        <w:rPr>
          <w:lang w:val="en-GB"/>
        </w:rPr>
        <w:t>2</w:t>
      </w:r>
      <w:r w:rsidR="00D14026">
        <w:rPr>
          <w:lang w:val="en-GB"/>
        </w:rPr>
        <w:t>b)</w:t>
      </w:r>
      <w:r w:rsidR="007B7622" w:rsidRPr="00226270">
        <w:rPr>
          <w:lang w:val="en-GB"/>
        </w:rPr>
        <w:t>.</w:t>
      </w:r>
      <w:r w:rsidR="00287BFB">
        <w:rPr>
          <w:b/>
          <w:bCs/>
          <w:lang w:val="en-GB"/>
        </w:rPr>
        <w:t xml:space="preserve"> </w:t>
      </w:r>
      <w:bookmarkStart w:id="0" w:name="_Ref35507996"/>
    </w:p>
    <w:p w14:paraId="64144C32" w14:textId="77203B78" w:rsidR="000F0776" w:rsidRDefault="000F0776" w:rsidP="00C94AA8">
      <w:pPr>
        <w:pStyle w:val="CETCaption"/>
        <w:spacing w:before="0"/>
      </w:pPr>
      <w:r>
        <w:rPr>
          <w:noProof/>
        </w:rPr>
        <w:drawing>
          <wp:inline distT="0" distB="0" distL="0" distR="0" wp14:anchorId="2A9660AF" wp14:editId="4DBFA3DF">
            <wp:extent cx="5593080" cy="2013942"/>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4072" cy="2014299"/>
                    </a:xfrm>
                    <a:prstGeom prst="rect">
                      <a:avLst/>
                    </a:prstGeom>
                  </pic:spPr>
                </pic:pic>
              </a:graphicData>
            </a:graphic>
          </wp:inline>
        </w:drawing>
      </w:r>
    </w:p>
    <w:p w14:paraId="22B6CCA6" w14:textId="0E98AFF0" w:rsidR="007B7622" w:rsidRPr="00226270" w:rsidRDefault="007B7622" w:rsidP="007B7622">
      <w:pPr>
        <w:pStyle w:val="CETCaption"/>
      </w:pPr>
      <w:r w:rsidRPr="00226270">
        <w:t xml:space="preserve">Figure </w:t>
      </w:r>
      <w:bookmarkEnd w:id="0"/>
      <w:r w:rsidR="008E2237">
        <w:t>2</w:t>
      </w:r>
      <w:r w:rsidRPr="00226270">
        <w:t>: EFFECTS side view contours</w:t>
      </w:r>
      <w:r w:rsidR="00C7753C">
        <w:t xml:space="preserve"> for two plumes</w:t>
      </w:r>
      <w:r w:rsidRPr="00226270">
        <w:t xml:space="preserve"> with a maximum height situated below the mixing layer height with</w:t>
      </w:r>
      <w:r w:rsidR="008E6903">
        <w:t xml:space="preserve"> (a)</w:t>
      </w:r>
      <w:r w:rsidRPr="00226270">
        <w:t xml:space="preserve"> a very small penetration fractio</w:t>
      </w:r>
      <w:r w:rsidR="007B0562">
        <w:t>n</w:t>
      </w:r>
      <w:r w:rsidRPr="00226270">
        <w:t xml:space="preserve"> and </w:t>
      </w:r>
      <w:r w:rsidR="007B0562">
        <w:t xml:space="preserve">(b) </w:t>
      </w:r>
      <w:r w:rsidRPr="00226270">
        <w:t>with no penetration</w:t>
      </w:r>
      <w:r w:rsidR="00FB2130">
        <w:t>.</w:t>
      </w:r>
    </w:p>
    <w:p w14:paraId="59D5D000" w14:textId="2160E967" w:rsidR="007B7622" w:rsidRPr="00226270" w:rsidRDefault="007B7622" w:rsidP="007B7622">
      <w:pPr>
        <w:pStyle w:val="CETBodytext"/>
        <w:rPr>
          <w:lang w:val="en-GB"/>
        </w:rPr>
      </w:pPr>
      <w:r w:rsidRPr="00226270">
        <w:rPr>
          <w:lang w:val="en-GB"/>
        </w:rPr>
        <w:t xml:space="preserve">On the other hand, while the plume is rising, the penetration fraction might still be increasing as a function of distance. </w:t>
      </w:r>
      <w:r w:rsidR="00AF148A">
        <w:rPr>
          <w:lang w:val="en-GB"/>
        </w:rPr>
        <w:t>Therefore, th</w:t>
      </w:r>
      <w:r w:rsidR="00595E72">
        <w:rPr>
          <w:lang w:val="en-GB"/>
        </w:rPr>
        <w:t xml:space="preserve">e final </w:t>
      </w:r>
      <w:r w:rsidR="00AF148A">
        <w:rPr>
          <w:lang w:val="en-GB"/>
        </w:rPr>
        <w:t>(</w:t>
      </w:r>
      <w:r w:rsidR="00595E72">
        <w:rPr>
          <w:lang w:val="en-GB"/>
        </w:rPr>
        <w:t>max</w:t>
      </w:r>
      <w:r w:rsidR="00AF148A">
        <w:rPr>
          <w:lang w:val="en-GB"/>
        </w:rPr>
        <w:t>imum)</w:t>
      </w:r>
      <w:r w:rsidR="00595E72">
        <w:rPr>
          <w:lang w:val="en-GB"/>
        </w:rPr>
        <w:t xml:space="preserve"> penetration factor </w:t>
      </w:r>
      <w:r w:rsidR="00AF148A">
        <w:rPr>
          <w:lang w:val="en-GB"/>
        </w:rPr>
        <w:t xml:space="preserve">will be reached once the plume reaches its maximum height. </w:t>
      </w:r>
      <w:r w:rsidR="00682669">
        <w:rPr>
          <w:lang w:val="en-GB"/>
        </w:rPr>
        <w:t>A</w:t>
      </w:r>
      <w:r w:rsidR="00682669" w:rsidRPr="00226270">
        <w:rPr>
          <w:lang w:val="en-GB"/>
        </w:rPr>
        <w:t xml:space="preserve">ny part of the plume reaching this mixing layer boundary, will always penetrate through the mixing layer height due to the density differences. </w:t>
      </w:r>
      <w:r w:rsidRPr="00226270">
        <w:rPr>
          <w:lang w:val="en-GB"/>
        </w:rPr>
        <w:t xml:space="preserve">The only </w:t>
      </w:r>
      <w:r w:rsidR="00A96BEE">
        <w:rPr>
          <w:lang w:val="en-GB"/>
        </w:rPr>
        <w:t xml:space="preserve">additional </w:t>
      </w:r>
      <w:r w:rsidRPr="00226270">
        <w:rPr>
          <w:lang w:val="en-GB"/>
        </w:rPr>
        <w:t>correction required in the calculation of vertical dispersion is the reflection against the ground</w:t>
      </w:r>
      <w:r w:rsidR="00791D85">
        <w:rPr>
          <w:lang w:val="en-GB"/>
        </w:rPr>
        <w:t xml:space="preserve"> (as shown in Figure 3)</w:t>
      </w:r>
      <w:r w:rsidRPr="00226270">
        <w:rPr>
          <w:lang w:val="en-GB"/>
        </w:rPr>
        <w:t>.</w:t>
      </w:r>
      <w:r w:rsidR="003217C8">
        <w:rPr>
          <w:lang w:val="en-GB"/>
        </w:rPr>
        <w:t xml:space="preserve"> The part of the plume that penetrates </w:t>
      </w:r>
      <w:r w:rsidR="0097185E">
        <w:rPr>
          <w:lang w:val="en-GB"/>
        </w:rPr>
        <w:t xml:space="preserve">the </w:t>
      </w:r>
      <w:r w:rsidR="003217C8">
        <w:rPr>
          <w:lang w:val="en-GB"/>
        </w:rPr>
        <w:t>mixing layer</w:t>
      </w:r>
      <w:r w:rsidR="00ED07CF">
        <w:rPr>
          <w:lang w:val="en-GB"/>
        </w:rPr>
        <w:t xml:space="preserve"> is no longer affected by </w:t>
      </w:r>
      <w:r w:rsidR="00B11C02">
        <w:rPr>
          <w:lang w:val="en-GB"/>
        </w:rPr>
        <w:t>additional mass</w:t>
      </w:r>
      <w:r w:rsidR="000560E5">
        <w:rPr>
          <w:lang w:val="en-GB"/>
        </w:rPr>
        <w:t xml:space="preserve"> getting </w:t>
      </w:r>
      <w:r w:rsidR="007B371C">
        <w:rPr>
          <w:lang w:val="en-GB"/>
        </w:rPr>
        <w:t>dispersed upwards</w:t>
      </w:r>
      <w:r w:rsidR="00DE4E93">
        <w:rPr>
          <w:lang w:val="en-GB"/>
        </w:rPr>
        <w:t>. That is</w:t>
      </w:r>
      <w:r w:rsidR="007B371C">
        <w:rPr>
          <w:lang w:val="en-GB"/>
        </w:rPr>
        <w:t xml:space="preserve"> because all mass </w:t>
      </w:r>
      <w:r w:rsidR="001A1000">
        <w:rPr>
          <w:lang w:val="en-GB"/>
        </w:rPr>
        <w:t xml:space="preserve">that initially did not get through this “ceiling” will </w:t>
      </w:r>
      <w:r w:rsidR="00481F95">
        <w:rPr>
          <w:lang w:val="en-GB"/>
        </w:rPr>
        <w:t xml:space="preserve">later </w:t>
      </w:r>
      <w:r w:rsidR="001A1000">
        <w:rPr>
          <w:lang w:val="en-GB"/>
        </w:rPr>
        <w:t xml:space="preserve">get </w:t>
      </w:r>
      <w:r w:rsidR="00A27EB0">
        <w:rPr>
          <w:lang w:val="en-GB"/>
        </w:rPr>
        <w:t>reflected downwards.</w:t>
      </w:r>
      <w:r w:rsidRPr="00226270">
        <w:rPr>
          <w:lang w:val="en-GB"/>
        </w:rPr>
        <w:t xml:space="preserve"> </w:t>
      </w:r>
    </w:p>
    <w:p w14:paraId="39272CB9" w14:textId="60C3F0CA" w:rsidR="008A10ED" w:rsidRDefault="0077569D" w:rsidP="007B7622">
      <w:pPr>
        <w:pStyle w:val="CETCaption"/>
      </w:pPr>
      <w:r>
        <w:rPr>
          <w:noProof/>
        </w:rPr>
        <w:drawing>
          <wp:inline distT="0" distB="0" distL="0" distR="0" wp14:anchorId="57F963AD" wp14:editId="5AE111DC">
            <wp:extent cx="2748280" cy="2015308"/>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85" t="5421" r="5187"/>
                    <a:stretch/>
                  </pic:blipFill>
                  <pic:spPr bwMode="auto">
                    <a:xfrm>
                      <a:off x="0" y="0"/>
                      <a:ext cx="2802495" cy="2055064"/>
                    </a:xfrm>
                    <a:prstGeom prst="rect">
                      <a:avLst/>
                    </a:prstGeom>
                    <a:ln>
                      <a:noFill/>
                    </a:ln>
                    <a:extLst>
                      <a:ext uri="{53640926-AAD7-44D8-BBD7-CCE9431645EC}">
                        <a14:shadowObscured xmlns:a14="http://schemas.microsoft.com/office/drawing/2010/main"/>
                      </a:ext>
                    </a:extLst>
                  </pic:spPr>
                </pic:pic>
              </a:graphicData>
            </a:graphic>
          </wp:inline>
        </w:drawing>
      </w:r>
    </w:p>
    <w:p w14:paraId="69E015E3" w14:textId="69730D5D" w:rsidR="007B7622" w:rsidRPr="00226270" w:rsidRDefault="007B7622" w:rsidP="007B7622">
      <w:pPr>
        <w:pStyle w:val="CETCaption"/>
      </w:pPr>
      <w:r w:rsidRPr="00226270">
        <w:t xml:space="preserve">Figure </w:t>
      </w:r>
      <w:r w:rsidR="008E2237">
        <w:t>3</w:t>
      </w:r>
      <w:r w:rsidRPr="00226270">
        <w:t xml:space="preserve">: EFFECTS side view contours for a rising plume with a maximum height situated below the mixing layer height which is experiencing reflection against both the mixing layer height and the ground </w:t>
      </w:r>
    </w:p>
    <w:p w14:paraId="30AEE985" w14:textId="77777777" w:rsidR="007B7622" w:rsidRPr="00666C53" w:rsidRDefault="007B7622" w:rsidP="00666C53">
      <w:pPr>
        <w:pStyle w:val="CETHeadingxx"/>
        <w:rPr>
          <w:b w:val="0"/>
          <w:bCs/>
          <w:u w:val="single"/>
          <w:lang w:val="en-GB"/>
        </w:rPr>
      </w:pPr>
      <w:r w:rsidRPr="00666C53">
        <w:rPr>
          <w:b w:val="0"/>
          <w:bCs/>
          <w:u w:val="single"/>
          <w:lang w:val="en-GB"/>
        </w:rPr>
        <w:t>The maximum height of the plume is situated above the mixing layer height</w:t>
      </w:r>
    </w:p>
    <w:p w14:paraId="41415CD2" w14:textId="6ADE47FE" w:rsidR="007B7622" w:rsidRDefault="00711A8B" w:rsidP="007B7622">
      <w:pPr>
        <w:pStyle w:val="CETBodytext"/>
        <w:rPr>
          <w:lang w:val="en-GB"/>
        </w:rPr>
      </w:pPr>
      <w:r>
        <w:rPr>
          <w:lang w:val="en-GB"/>
        </w:rPr>
        <w:t>In this other case</w:t>
      </w:r>
      <w:r w:rsidR="007B7622" w:rsidRPr="00226270">
        <w:rPr>
          <w:lang w:val="en-GB"/>
        </w:rPr>
        <w:t>, the penetration fraction needs to be evaluated as it is highly relevant for the dilution of the plume concentration. In the situation where full penetration</w:t>
      </w:r>
      <w:r w:rsidR="0017449A">
        <w:rPr>
          <w:lang w:val="en-GB"/>
        </w:rPr>
        <w:t xml:space="preserve"> occurs (P = 1)</w:t>
      </w:r>
      <w:r w:rsidR="007B7622" w:rsidRPr="00226270">
        <w:rPr>
          <w:lang w:val="en-GB"/>
        </w:rPr>
        <w:t xml:space="preserve">, the smoke plume will be fully trapped above the mixing layer (see </w:t>
      </w:r>
      <w:r w:rsidR="008E2237">
        <w:rPr>
          <w:lang w:val="en-GB"/>
        </w:rPr>
        <w:t>Figure 4</w:t>
      </w:r>
      <w:r>
        <w:rPr>
          <w:lang w:val="en-GB"/>
        </w:rPr>
        <w:t>a</w:t>
      </w:r>
      <w:r w:rsidR="007B7622" w:rsidRPr="00226270">
        <w:rPr>
          <w:lang w:val="en-GB"/>
        </w:rPr>
        <w:t>)</w:t>
      </w:r>
      <w:r w:rsidR="0017449A">
        <w:rPr>
          <w:lang w:val="en-GB"/>
        </w:rPr>
        <w:t>. Thus</w:t>
      </w:r>
      <w:r w:rsidR="007B7622" w:rsidRPr="00226270">
        <w:rPr>
          <w:lang w:val="en-GB"/>
        </w:rPr>
        <w:t xml:space="preserve">, the (toxic) combustion products will not disperse back below the mixing layer. However, in some other cases the plume will not fully penetrate the mixing layer (P &lt; 1). </w:t>
      </w:r>
      <w:r w:rsidR="00CD0E6A">
        <w:rPr>
          <w:lang w:val="en-GB"/>
        </w:rPr>
        <w:t xml:space="preserve">In those </w:t>
      </w:r>
      <w:r w:rsidR="00CD0E6A">
        <w:rPr>
          <w:lang w:val="en-GB"/>
        </w:rPr>
        <w:lastRenderedPageBreak/>
        <w:t>cases</w:t>
      </w:r>
      <w:r w:rsidR="007B7622" w:rsidRPr="00226270">
        <w:rPr>
          <w:lang w:val="en-GB"/>
        </w:rPr>
        <w:t>, for the mass fraction below mixing layer,</w:t>
      </w:r>
      <w:r w:rsidR="00E11D99">
        <w:rPr>
          <w:lang w:val="en-GB"/>
        </w:rPr>
        <w:t xml:space="preserve"> a different </w:t>
      </w:r>
      <w:r w:rsidR="00DD3190">
        <w:rPr>
          <w:lang w:val="en-GB"/>
        </w:rPr>
        <w:t>contour is obtained</w:t>
      </w:r>
      <w:r w:rsidR="007C7247">
        <w:rPr>
          <w:lang w:val="en-GB"/>
        </w:rPr>
        <w:t xml:space="preserve"> because </w:t>
      </w:r>
      <w:r w:rsidR="00FB6793">
        <w:rPr>
          <w:lang w:val="en-GB"/>
        </w:rPr>
        <w:t>vertical transportation through</w:t>
      </w:r>
      <w:r w:rsidR="00CD0E6A">
        <w:rPr>
          <w:lang w:val="en-GB"/>
        </w:rPr>
        <w:t xml:space="preserve"> the mixing layer is blocked</w:t>
      </w:r>
      <w:r w:rsidR="00167B23">
        <w:rPr>
          <w:lang w:val="en-GB"/>
        </w:rPr>
        <w:t xml:space="preserve"> </w:t>
      </w:r>
      <w:r w:rsidR="007B7622" w:rsidRPr="00226270">
        <w:rPr>
          <w:lang w:val="en-GB"/>
        </w:rPr>
        <w:t xml:space="preserve">(see </w:t>
      </w:r>
      <w:r w:rsidR="008E2237">
        <w:rPr>
          <w:lang w:val="en-GB"/>
        </w:rPr>
        <w:t>Figure 4</w:t>
      </w:r>
      <w:r w:rsidR="00D026E1">
        <w:rPr>
          <w:lang w:val="en-GB"/>
        </w:rPr>
        <w:t>b</w:t>
      </w:r>
      <w:r w:rsidR="007B7622" w:rsidRPr="00226270">
        <w:rPr>
          <w:lang w:val="en-GB"/>
        </w:rPr>
        <w:t>).</w:t>
      </w:r>
    </w:p>
    <w:p w14:paraId="0BE4E75A" w14:textId="5E290AB3" w:rsidR="00D9005D" w:rsidRDefault="00D9005D" w:rsidP="00323CC6">
      <w:pPr>
        <w:pStyle w:val="CETCaption"/>
      </w:pPr>
      <w:bookmarkStart w:id="1" w:name="_Ref14867045"/>
      <w:r>
        <w:rPr>
          <w:noProof/>
        </w:rPr>
        <w:drawing>
          <wp:inline distT="0" distB="0" distL="0" distR="0" wp14:anchorId="678C633F" wp14:editId="6FFD45EF">
            <wp:extent cx="5579745" cy="20472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9745" cy="2047240"/>
                    </a:xfrm>
                    <a:prstGeom prst="rect">
                      <a:avLst/>
                    </a:prstGeom>
                  </pic:spPr>
                </pic:pic>
              </a:graphicData>
            </a:graphic>
          </wp:inline>
        </w:drawing>
      </w:r>
    </w:p>
    <w:p w14:paraId="1DB95A6F" w14:textId="2CE925EF" w:rsidR="007B7622" w:rsidRPr="00226270" w:rsidRDefault="007B7622" w:rsidP="00323CC6">
      <w:pPr>
        <w:pStyle w:val="CETCaption"/>
      </w:pPr>
      <w:r w:rsidRPr="00226270">
        <w:t xml:space="preserve">Figure </w:t>
      </w:r>
      <w:bookmarkEnd w:id="1"/>
      <w:r w:rsidR="008E2237">
        <w:t>4</w:t>
      </w:r>
      <w:r w:rsidRPr="00226270">
        <w:t xml:space="preserve">: EFFECTS side view contours for a rising plume with a maximum height situated above the mixing layer height with </w:t>
      </w:r>
      <w:r w:rsidR="00EE76E9">
        <w:t xml:space="preserve">(a) </w:t>
      </w:r>
      <w:r w:rsidRPr="00226270">
        <w:t xml:space="preserve">full penetration and </w:t>
      </w:r>
      <w:r w:rsidR="00711A8B">
        <w:t xml:space="preserve">(b) </w:t>
      </w:r>
      <w:r w:rsidRPr="00226270">
        <w:t xml:space="preserve">partial penetration with reflection against the mixing layer height  </w:t>
      </w:r>
    </w:p>
    <w:p w14:paraId="64F8B8FF" w14:textId="2970A38F" w:rsidR="007F27F8" w:rsidRPr="00226270" w:rsidRDefault="00326045" w:rsidP="007F27F8">
      <w:pPr>
        <w:pStyle w:val="CETHeading1"/>
        <w:tabs>
          <w:tab w:val="clear" w:pos="360"/>
          <w:tab w:val="right" w:pos="7100"/>
        </w:tabs>
        <w:jc w:val="both"/>
        <w:rPr>
          <w:lang w:val="en-GB"/>
        </w:rPr>
      </w:pPr>
      <w:r w:rsidRPr="00226270">
        <w:rPr>
          <w:lang w:val="en-GB"/>
        </w:rPr>
        <w:t>Validation</w:t>
      </w:r>
    </w:p>
    <w:p w14:paraId="6214F820" w14:textId="442A6EDD" w:rsidR="007F27F8" w:rsidRPr="00226270" w:rsidRDefault="007F27F8" w:rsidP="007F27F8">
      <w:pPr>
        <w:pStyle w:val="CETBodytext"/>
        <w:rPr>
          <w:lang w:val="en-GB"/>
        </w:rPr>
      </w:pPr>
      <w:r w:rsidRPr="00226270">
        <w:rPr>
          <w:lang w:val="en-GB"/>
        </w:rPr>
        <w:t>The validation of the “plume rise from fires</w:t>
      </w:r>
      <w:r w:rsidR="001F4D37">
        <w:rPr>
          <w:lang w:val="en-GB"/>
        </w:rPr>
        <w:t>”</w:t>
      </w:r>
      <w:r w:rsidRPr="00226270">
        <w:rPr>
          <w:lang w:val="en-GB"/>
        </w:rPr>
        <w:t xml:space="preserve"> model is performed by comparing the results </w:t>
      </w:r>
      <w:r w:rsidR="00AD3302">
        <w:rPr>
          <w:lang w:val="en-GB"/>
        </w:rPr>
        <w:t xml:space="preserve">provided by the </w:t>
      </w:r>
      <w:r w:rsidR="00BE64E4">
        <w:rPr>
          <w:lang w:val="en-GB"/>
        </w:rPr>
        <w:t xml:space="preserve">model </w:t>
      </w:r>
      <w:r w:rsidRPr="00226270">
        <w:rPr>
          <w:lang w:val="en-GB"/>
        </w:rPr>
        <w:t xml:space="preserve">with measurements from field experiments and with other already validated mathematical models. </w:t>
      </w:r>
    </w:p>
    <w:p w14:paraId="597FCD6C" w14:textId="77777777" w:rsidR="007F27F8" w:rsidRPr="00226270" w:rsidRDefault="007F27F8" w:rsidP="007F27F8">
      <w:pPr>
        <w:pStyle w:val="CETBodytext"/>
        <w:rPr>
          <w:lang w:val="en-GB"/>
        </w:rPr>
      </w:pPr>
    </w:p>
    <w:p w14:paraId="16F89FD3" w14:textId="61025CE5" w:rsidR="007F27F8" w:rsidRPr="00226270" w:rsidRDefault="007F27F8" w:rsidP="007F27F8">
      <w:pPr>
        <w:pStyle w:val="CETBodytext"/>
        <w:rPr>
          <w:lang w:val="en-GB"/>
        </w:rPr>
      </w:pPr>
      <w:r w:rsidRPr="00226270">
        <w:rPr>
          <w:lang w:val="en-GB"/>
        </w:rPr>
        <w:t xml:space="preserve">The investigation presented by </w:t>
      </w:r>
      <w:r w:rsidR="003945A8" w:rsidRPr="00226270">
        <w:rPr>
          <w:lang w:val="en-GB"/>
        </w:rPr>
        <w:t>(</w:t>
      </w:r>
      <w:r w:rsidRPr="00226270">
        <w:rPr>
          <w:lang w:val="en-GB"/>
        </w:rPr>
        <w:t>Hall et al</w:t>
      </w:r>
      <w:r w:rsidR="003945A8" w:rsidRPr="00226270">
        <w:rPr>
          <w:lang w:val="en-GB"/>
        </w:rPr>
        <w:t>.,</w:t>
      </w:r>
      <w:r w:rsidRPr="00226270">
        <w:rPr>
          <w:lang w:val="en-GB"/>
        </w:rPr>
        <w:t xml:space="preserve"> 1995) is used to validate the concentration of the rising plume </w:t>
      </w:r>
      <w:r w:rsidR="00C9622B">
        <w:rPr>
          <w:lang w:val="en-GB"/>
        </w:rPr>
        <w:t>given by the model</w:t>
      </w:r>
      <w:r w:rsidRPr="00226270">
        <w:rPr>
          <w:lang w:val="en-GB"/>
        </w:rPr>
        <w:t xml:space="preserve">. This investigation examines a variety of fire plume discharges in a small-scale wind tunnel. </w:t>
      </w:r>
      <w:r w:rsidR="008E2237">
        <w:rPr>
          <w:lang w:val="en-GB"/>
        </w:rPr>
        <w:t>Figure 5</w:t>
      </w:r>
      <w:r w:rsidRPr="00226270">
        <w:rPr>
          <w:lang w:val="en-GB"/>
        </w:rPr>
        <w:t>a shows experimental ground level concentrations downwind of the source for discharges with buoyancy only, where S, T, U, V, W, and X correspond to different experimental conditions. The simulation of S, T, U, V and W present good agreement with the experimental data. The simulation of X shows over-predicted values for downwind distances very close to the source.</w:t>
      </w:r>
    </w:p>
    <w:p w14:paraId="5B18113B" w14:textId="77777777" w:rsidR="007F27F8" w:rsidRPr="00226270" w:rsidRDefault="007F27F8" w:rsidP="007F27F8">
      <w:pPr>
        <w:pStyle w:val="CETBodytext"/>
        <w:rPr>
          <w:lang w:val="en-GB"/>
        </w:rPr>
      </w:pPr>
    </w:p>
    <w:p w14:paraId="4559EB63" w14:textId="0ACFA89B" w:rsidR="007F27F8" w:rsidRDefault="007F27F8" w:rsidP="007F27F8">
      <w:pPr>
        <w:pStyle w:val="CETBodytext"/>
        <w:rPr>
          <w:lang w:val="en-GB"/>
        </w:rPr>
      </w:pPr>
      <w:r w:rsidRPr="00226270">
        <w:rPr>
          <w:lang w:val="en-GB"/>
        </w:rPr>
        <w:t xml:space="preserve">On the other hand, Briggs (1969) collected a series of experimental data for rising plumes and presented a series of already validated theoretical formulas. Both the experimental data and the results from the different validated theoretical formulas, are used to assess </w:t>
      </w:r>
      <w:r w:rsidR="0071102E">
        <w:rPr>
          <w:lang w:val="en-GB"/>
        </w:rPr>
        <w:t xml:space="preserve">the </w:t>
      </w:r>
      <w:r w:rsidRPr="00226270">
        <w:rPr>
          <w:lang w:val="en-GB"/>
        </w:rPr>
        <w:t xml:space="preserve">performance </w:t>
      </w:r>
      <w:r w:rsidR="0071102E">
        <w:rPr>
          <w:lang w:val="en-GB"/>
        </w:rPr>
        <w:t xml:space="preserve">of the model </w:t>
      </w:r>
      <w:r w:rsidRPr="00226270">
        <w:rPr>
          <w:lang w:val="en-GB"/>
        </w:rPr>
        <w:t xml:space="preserve">to calculate the maximum height of the plume. The validation in </w:t>
      </w:r>
      <w:r w:rsidR="008E2237">
        <w:rPr>
          <w:lang w:val="en-GB"/>
        </w:rPr>
        <w:t>Figure 5</w:t>
      </w:r>
      <w:r w:rsidRPr="00226270">
        <w:rPr>
          <w:lang w:val="en-GB"/>
        </w:rPr>
        <w:t>b shows that the simulation with the “plume rise from fires</w:t>
      </w:r>
      <w:r w:rsidR="00484939">
        <w:rPr>
          <w:lang w:val="en-GB"/>
        </w:rPr>
        <w:t>”</w:t>
      </w:r>
      <w:r w:rsidRPr="00226270">
        <w:rPr>
          <w:lang w:val="en-GB"/>
        </w:rPr>
        <w:t xml:space="preserve"> model present</w:t>
      </w:r>
      <w:r w:rsidR="001F7A1E">
        <w:rPr>
          <w:lang w:val="en-GB"/>
        </w:rPr>
        <w:t>s</w:t>
      </w:r>
      <w:r w:rsidRPr="00226270">
        <w:rPr>
          <w:lang w:val="en-GB"/>
        </w:rPr>
        <w:t xml:space="preserve"> very good agreement with experimental data. Moreover, from all the theoretical formulas collected in the</w:t>
      </w:r>
      <w:r w:rsidR="00D1263B">
        <w:rPr>
          <w:lang w:val="en-GB"/>
        </w:rPr>
        <w:t xml:space="preserve"> Briggs’</w:t>
      </w:r>
      <w:r w:rsidRPr="00226270">
        <w:rPr>
          <w:lang w:val="en-GB"/>
        </w:rPr>
        <w:t xml:space="preserve"> publication (Briggs, 1969), the equations implemented (</w:t>
      </w:r>
      <w:r w:rsidR="001F7A1E">
        <w:rPr>
          <w:lang w:val="en-GB"/>
        </w:rPr>
        <w:t>see</w:t>
      </w:r>
      <w:r w:rsidRPr="00226270">
        <w:rPr>
          <w:lang w:val="en-GB"/>
        </w:rPr>
        <w:t xml:space="preserve"> chapter </w:t>
      </w:r>
      <w:r w:rsidR="001F7A1E">
        <w:rPr>
          <w:lang w:val="en-GB"/>
        </w:rPr>
        <w:t>2</w:t>
      </w:r>
      <w:r w:rsidRPr="00226270">
        <w:rPr>
          <w:lang w:val="en-GB"/>
        </w:rPr>
        <w:t>) present the best agreement with experimental data.</w:t>
      </w:r>
    </w:p>
    <w:p w14:paraId="25A7FE79" w14:textId="77777777" w:rsidR="007F27F8" w:rsidRPr="00226270" w:rsidRDefault="007F27F8" w:rsidP="007F27F8">
      <w:pPr>
        <w:pStyle w:val="CETBodytext"/>
        <w:rPr>
          <w:lang w:val="en-GB"/>
        </w:rPr>
      </w:pPr>
    </w:p>
    <w:p w14:paraId="38DA22B4" w14:textId="77777777" w:rsidR="007F27F8" w:rsidRPr="00226270" w:rsidRDefault="007F27F8" w:rsidP="007F27F8">
      <w:pPr>
        <w:pStyle w:val="CETBodytext"/>
        <w:rPr>
          <w:noProof/>
          <w:color w:val="FF0000"/>
          <w:lang w:val="en-GB"/>
        </w:rPr>
        <w:sectPr w:rsidR="007F27F8" w:rsidRPr="00226270" w:rsidSect="00EF06D9">
          <w:type w:val="continuous"/>
          <w:pgSz w:w="11906" w:h="16838" w:code="9"/>
          <w:pgMar w:top="1701" w:right="1418" w:bottom="1701" w:left="1701" w:header="1701" w:footer="0" w:gutter="0"/>
          <w:cols w:space="708"/>
          <w:formProt w:val="0"/>
          <w:titlePg/>
          <w:docGrid w:linePitch="360"/>
        </w:sectPr>
      </w:pPr>
    </w:p>
    <w:p w14:paraId="23721674" w14:textId="77777777" w:rsidR="007F27F8" w:rsidRPr="00226270" w:rsidRDefault="007F27F8" w:rsidP="007F27F8">
      <w:pPr>
        <w:pStyle w:val="CETBodytext"/>
        <w:rPr>
          <w:lang w:val="en-GB"/>
        </w:rPr>
      </w:pPr>
      <w:r w:rsidRPr="00226270">
        <w:rPr>
          <w:noProof/>
          <w:color w:val="FF0000"/>
          <w:lang w:val="en-GB"/>
        </w:rPr>
        <w:drawing>
          <wp:inline distT="0" distB="0" distL="0" distR="0" wp14:anchorId="6845E06F" wp14:editId="5BBFF82F">
            <wp:extent cx="2564130" cy="1953157"/>
            <wp:effectExtent l="0" t="0" r="762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9822" cy="1972727"/>
                    </a:xfrm>
                    <a:prstGeom prst="rect">
                      <a:avLst/>
                    </a:prstGeom>
                    <a:noFill/>
                  </pic:spPr>
                </pic:pic>
              </a:graphicData>
            </a:graphic>
          </wp:inline>
        </w:drawing>
      </w:r>
      <w:r w:rsidRPr="00226270">
        <w:rPr>
          <w:noProof/>
          <w:color w:val="FF0000"/>
          <w:lang w:val="en-GB"/>
        </w:rPr>
        <w:t xml:space="preserve"> </w:t>
      </w:r>
      <w:r w:rsidRPr="00226270">
        <w:rPr>
          <w:noProof/>
          <w:color w:val="FF0000"/>
          <w:lang w:val="en-GB"/>
        </w:rPr>
        <w:drawing>
          <wp:inline distT="0" distB="0" distL="0" distR="0" wp14:anchorId="6EA1188F" wp14:editId="35381EF6">
            <wp:extent cx="2946400" cy="1955142"/>
            <wp:effectExtent l="0" t="0" r="635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4157" cy="2020010"/>
                    </a:xfrm>
                    <a:prstGeom prst="rect">
                      <a:avLst/>
                    </a:prstGeom>
                    <a:noFill/>
                  </pic:spPr>
                </pic:pic>
              </a:graphicData>
            </a:graphic>
          </wp:inline>
        </w:drawing>
      </w:r>
    </w:p>
    <w:p w14:paraId="3CF011F0" w14:textId="0DCEEED4" w:rsidR="007F27F8" w:rsidRPr="00226270" w:rsidRDefault="007F27F8" w:rsidP="007F27F8">
      <w:pPr>
        <w:pStyle w:val="CETBodytext"/>
        <w:rPr>
          <w:lang w:val="en-GB"/>
        </w:rPr>
      </w:pPr>
      <w:bookmarkStart w:id="2" w:name="_Ref35510996"/>
      <w:r w:rsidRPr="00226270">
        <w:rPr>
          <w:i/>
          <w:iCs/>
          <w:szCs w:val="18"/>
          <w:lang w:val="en-GB"/>
        </w:rPr>
        <w:t xml:space="preserve">Figure </w:t>
      </w:r>
      <w:r w:rsidR="008E2237">
        <w:rPr>
          <w:i/>
          <w:iCs/>
          <w:szCs w:val="18"/>
          <w:lang w:val="en-GB"/>
        </w:rPr>
        <w:t>5</w:t>
      </w:r>
      <w:bookmarkEnd w:id="2"/>
      <w:r w:rsidRPr="00226270">
        <w:rPr>
          <w:i/>
          <w:iCs/>
          <w:szCs w:val="18"/>
          <w:lang w:val="en-GB"/>
        </w:rPr>
        <w:t xml:space="preserve">: </w:t>
      </w:r>
      <w:r w:rsidRPr="00226270">
        <w:rPr>
          <w:i/>
          <w:iCs/>
          <w:lang w:val="en-GB"/>
        </w:rPr>
        <w:t xml:space="preserve">Validation against </w:t>
      </w:r>
      <w:r w:rsidR="008D0BFC">
        <w:rPr>
          <w:i/>
          <w:iCs/>
          <w:lang w:val="en-GB"/>
        </w:rPr>
        <w:t xml:space="preserve">(a) </w:t>
      </w:r>
      <w:r w:rsidRPr="00226270">
        <w:rPr>
          <w:i/>
          <w:iCs/>
          <w:lang w:val="en-GB"/>
        </w:rPr>
        <w:t>Hall’s experimental data</w:t>
      </w:r>
      <w:bookmarkStart w:id="3" w:name="_Ref35511120"/>
      <w:r w:rsidRPr="00226270">
        <w:rPr>
          <w:i/>
          <w:iCs/>
          <w:lang w:val="en-GB"/>
        </w:rPr>
        <w:t xml:space="preserve"> and (b)</w:t>
      </w:r>
      <w:bookmarkEnd w:id="3"/>
      <w:r w:rsidRPr="00226270">
        <w:rPr>
          <w:i/>
          <w:iCs/>
          <w:lang w:val="en-GB"/>
        </w:rPr>
        <w:t xml:space="preserve"> experimental data and validated theoretical formulas</w:t>
      </w:r>
    </w:p>
    <w:p w14:paraId="0BDFB467" w14:textId="481DC700" w:rsidR="00A87DAC" w:rsidRPr="00226270" w:rsidRDefault="00600535" w:rsidP="00280FAF">
      <w:pPr>
        <w:pStyle w:val="CETHeading1"/>
        <w:rPr>
          <w:lang w:val="en-GB"/>
        </w:rPr>
      </w:pPr>
      <w:r w:rsidRPr="00226270">
        <w:rPr>
          <w:lang w:val="en-GB"/>
        </w:rPr>
        <w:lastRenderedPageBreak/>
        <w:t>Conclusions</w:t>
      </w:r>
    </w:p>
    <w:p w14:paraId="1834DFAB" w14:textId="7E5A9246" w:rsidR="00A87DAC" w:rsidRPr="00226270" w:rsidRDefault="00A87DAC" w:rsidP="00A87DAC">
      <w:pPr>
        <w:pStyle w:val="CETBodytext"/>
        <w:rPr>
          <w:lang w:val="en-GB"/>
        </w:rPr>
      </w:pPr>
      <w:r w:rsidRPr="00226270">
        <w:rPr>
          <w:lang w:val="en-GB"/>
        </w:rPr>
        <w:t>The “plume rise from fires</w:t>
      </w:r>
      <w:r w:rsidR="00484939">
        <w:rPr>
          <w:lang w:val="en-GB"/>
        </w:rPr>
        <w:t>”</w:t>
      </w:r>
      <w:r w:rsidRPr="00226270">
        <w:rPr>
          <w:lang w:val="en-GB"/>
        </w:rPr>
        <w:t xml:space="preserve"> model is a </w:t>
      </w:r>
      <w:r w:rsidR="001907EB">
        <w:rPr>
          <w:lang w:val="en-GB"/>
        </w:rPr>
        <w:t xml:space="preserve">dedicated </w:t>
      </w:r>
      <w:r w:rsidRPr="00226270">
        <w:rPr>
          <w:lang w:val="en-GB"/>
        </w:rPr>
        <w:t xml:space="preserve">model </w:t>
      </w:r>
      <w:r w:rsidR="001907EB">
        <w:rPr>
          <w:lang w:val="en-GB"/>
        </w:rPr>
        <w:t xml:space="preserve">now </w:t>
      </w:r>
      <w:r w:rsidRPr="00226270">
        <w:rPr>
          <w:lang w:val="en-GB"/>
        </w:rPr>
        <w:t xml:space="preserve">implemented in the software package EFFECTS to calculate the plume rise phenomenon </w:t>
      </w:r>
      <w:r w:rsidR="00AB26E9">
        <w:rPr>
          <w:lang w:val="en-GB"/>
        </w:rPr>
        <w:t>of potential toxic combustion product</w:t>
      </w:r>
      <w:r w:rsidR="001C7276">
        <w:rPr>
          <w:lang w:val="en-GB"/>
        </w:rPr>
        <w:t>s</w:t>
      </w:r>
      <w:r w:rsidRPr="00226270">
        <w:rPr>
          <w:lang w:val="en-GB"/>
        </w:rPr>
        <w:t xml:space="preserve">. The model is based on the theory presented on Briggs’ study (Briggs, 1969), the theory in </w:t>
      </w:r>
      <w:r w:rsidR="00535FF1">
        <w:rPr>
          <w:lang w:val="en-GB"/>
        </w:rPr>
        <w:t xml:space="preserve">the </w:t>
      </w:r>
      <w:r w:rsidRPr="00226270">
        <w:rPr>
          <w:lang w:val="en-GB"/>
        </w:rPr>
        <w:t xml:space="preserve">Yellow Book </w:t>
      </w:r>
      <w:r w:rsidR="00535FF1">
        <w:rPr>
          <w:lang w:val="en-GB"/>
        </w:rPr>
        <w:t>(</w:t>
      </w:r>
      <w:r w:rsidRPr="00226270">
        <w:rPr>
          <w:lang w:val="en-GB"/>
        </w:rPr>
        <w:t xml:space="preserve">1992) and </w:t>
      </w:r>
      <w:r w:rsidR="00432B37">
        <w:rPr>
          <w:lang w:val="en-GB"/>
        </w:rPr>
        <w:t>adapted</w:t>
      </w:r>
      <w:r w:rsidRPr="00226270">
        <w:rPr>
          <w:lang w:val="en-GB"/>
        </w:rPr>
        <w:t xml:space="preserve"> with Mill’s correction for burning fires (Mills, 1987). </w:t>
      </w:r>
    </w:p>
    <w:p w14:paraId="3F7573AB" w14:textId="77777777" w:rsidR="00A87DAC" w:rsidRPr="00226270" w:rsidRDefault="00A87DAC" w:rsidP="00A87DAC">
      <w:pPr>
        <w:pStyle w:val="CETBodytext"/>
        <w:rPr>
          <w:lang w:val="en-GB"/>
        </w:rPr>
      </w:pPr>
    </w:p>
    <w:p w14:paraId="17E34B14" w14:textId="79481487" w:rsidR="00A87DAC" w:rsidRPr="00226270" w:rsidRDefault="00CC5CD4" w:rsidP="00A87DAC">
      <w:pPr>
        <w:pStyle w:val="CETBodytext"/>
        <w:rPr>
          <w:lang w:val="en-GB"/>
        </w:rPr>
      </w:pPr>
      <w:r>
        <w:rPr>
          <w:lang w:val="en-GB"/>
        </w:rPr>
        <w:t>The model includes a</w:t>
      </w:r>
      <w:r w:rsidR="00A87DAC" w:rsidRPr="00226270">
        <w:rPr>
          <w:lang w:val="en-GB"/>
        </w:rPr>
        <w:t xml:space="preserve"> mathematical approach for the calculation of the potential penetration of the plume through the atmospheric mixing layer. This </w:t>
      </w:r>
      <w:r w:rsidR="00AF2FB8">
        <w:rPr>
          <w:lang w:val="en-GB"/>
        </w:rPr>
        <w:t xml:space="preserve"> </w:t>
      </w:r>
      <w:r w:rsidR="00873299">
        <w:rPr>
          <w:lang w:val="en-GB"/>
        </w:rPr>
        <w:t xml:space="preserve">approach </w:t>
      </w:r>
      <w:r w:rsidR="00E07CA2">
        <w:rPr>
          <w:lang w:val="en-GB"/>
        </w:rPr>
        <w:t xml:space="preserve">includes </w:t>
      </w:r>
      <w:r w:rsidR="00592B41">
        <w:rPr>
          <w:lang w:val="en-GB"/>
        </w:rPr>
        <w:t xml:space="preserve">an </w:t>
      </w:r>
      <w:r w:rsidR="00E07CA2">
        <w:rPr>
          <w:lang w:val="en-GB"/>
        </w:rPr>
        <w:t xml:space="preserve">assessment of </w:t>
      </w:r>
      <w:r w:rsidR="005B1C75">
        <w:rPr>
          <w:lang w:val="en-GB"/>
        </w:rPr>
        <w:t xml:space="preserve">plume </w:t>
      </w:r>
      <w:r w:rsidR="00592B41">
        <w:rPr>
          <w:lang w:val="en-GB"/>
        </w:rPr>
        <w:t>mass “lost” above the mixing layer, and</w:t>
      </w:r>
      <w:r w:rsidR="00214398">
        <w:rPr>
          <w:lang w:val="en-GB"/>
        </w:rPr>
        <w:t xml:space="preserve"> inclusion of the plume’s fraction</w:t>
      </w:r>
      <w:r w:rsidR="00F33EB3">
        <w:rPr>
          <w:lang w:val="en-GB"/>
        </w:rPr>
        <w:t xml:space="preserve"> that </w:t>
      </w:r>
      <w:r w:rsidR="00873299">
        <w:rPr>
          <w:lang w:val="en-GB"/>
        </w:rPr>
        <w:t>get</w:t>
      </w:r>
      <w:r w:rsidR="00214398">
        <w:rPr>
          <w:lang w:val="en-GB"/>
        </w:rPr>
        <w:t>s</w:t>
      </w:r>
      <w:r w:rsidR="00873299">
        <w:rPr>
          <w:lang w:val="en-GB"/>
        </w:rPr>
        <w:t xml:space="preserve"> </w:t>
      </w:r>
      <w:r w:rsidR="00214398">
        <w:rPr>
          <w:lang w:val="en-GB"/>
        </w:rPr>
        <w:t>reflected</w:t>
      </w:r>
      <w:r w:rsidR="00F86428">
        <w:rPr>
          <w:lang w:val="en-GB"/>
        </w:rPr>
        <w:t xml:space="preserve">. </w:t>
      </w:r>
      <w:r w:rsidR="00A87DAC" w:rsidRPr="00226270">
        <w:rPr>
          <w:lang w:val="en-GB"/>
        </w:rPr>
        <w:t xml:space="preserve">This </w:t>
      </w:r>
      <w:r w:rsidR="00A65D7B">
        <w:rPr>
          <w:lang w:val="en-GB"/>
        </w:rPr>
        <w:t xml:space="preserve">reflection </w:t>
      </w:r>
      <w:r w:rsidR="00A87DAC" w:rsidRPr="00226270">
        <w:rPr>
          <w:lang w:val="en-GB"/>
        </w:rPr>
        <w:t xml:space="preserve">phenomenon is highly relevant because if the plume is “trapped” below the mixing layer, </w:t>
      </w:r>
      <w:r w:rsidR="0041175A">
        <w:rPr>
          <w:lang w:val="en-GB"/>
        </w:rPr>
        <w:t>this</w:t>
      </w:r>
      <w:r w:rsidR="00A65D7B">
        <w:rPr>
          <w:lang w:val="en-GB"/>
        </w:rPr>
        <w:t xml:space="preserve"> could lead to</w:t>
      </w:r>
      <w:r w:rsidR="00A87DAC" w:rsidRPr="00226270">
        <w:rPr>
          <w:lang w:val="en-GB"/>
        </w:rPr>
        <w:t xml:space="preserve"> more severe consequences for individuals at ground level exposed to toxic combustion products.</w:t>
      </w:r>
    </w:p>
    <w:p w14:paraId="05C3FD95" w14:textId="77777777" w:rsidR="00A87DAC" w:rsidRPr="00226270" w:rsidRDefault="00A87DAC" w:rsidP="00A87DAC">
      <w:pPr>
        <w:pStyle w:val="CETBodytext"/>
        <w:rPr>
          <w:lang w:val="en-GB"/>
        </w:rPr>
      </w:pPr>
    </w:p>
    <w:p w14:paraId="4AE40343" w14:textId="726F15D7" w:rsidR="00A87DAC" w:rsidRPr="00226270" w:rsidRDefault="00A87DAC" w:rsidP="00A87DAC">
      <w:pPr>
        <w:pStyle w:val="CETBodytext"/>
        <w:rPr>
          <w:lang w:val="en-GB"/>
        </w:rPr>
      </w:pPr>
      <w:r w:rsidRPr="00226270">
        <w:rPr>
          <w:lang w:val="en-GB"/>
        </w:rPr>
        <w:t xml:space="preserve">The model provides safety professionals with valuable information for hazard identification, safety analysis and emergency planning. For instance, if a warehouse fire has enough convective heat production, a toxic smoke plume may rise high enough and even penetrate the mixing layer, not providing any danger at ground level. </w:t>
      </w:r>
      <w:r w:rsidR="000845FF">
        <w:rPr>
          <w:lang w:val="en-GB"/>
        </w:rPr>
        <w:t xml:space="preserve">Although </w:t>
      </w:r>
      <w:r w:rsidR="009F74B1">
        <w:rPr>
          <w:lang w:val="en-GB"/>
        </w:rPr>
        <w:t xml:space="preserve">potential escalation must be avoided, </w:t>
      </w:r>
      <w:r w:rsidR="00640432">
        <w:rPr>
          <w:lang w:val="en-GB"/>
        </w:rPr>
        <w:t>t</w:t>
      </w:r>
      <w:r w:rsidRPr="00226270">
        <w:rPr>
          <w:lang w:val="en-GB"/>
        </w:rPr>
        <w:t>rying to extinguish the fire would decrease the heat production, leading to more danger of toxic exposure at ground level</w:t>
      </w:r>
      <w:r w:rsidR="00640432">
        <w:rPr>
          <w:lang w:val="en-GB"/>
        </w:rPr>
        <w:t xml:space="preserve">. </w:t>
      </w:r>
    </w:p>
    <w:p w14:paraId="285DFBC8" w14:textId="77777777" w:rsidR="00A87DAC" w:rsidRPr="00226270" w:rsidRDefault="00A87DAC" w:rsidP="00A87DAC">
      <w:pPr>
        <w:pStyle w:val="CETBodytext"/>
        <w:rPr>
          <w:lang w:val="en-GB"/>
        </w:rPr>
      </w:pPr>
    </w:p>
    <w:p w14:paraId="66E4FD68" w14:textId="6E52DDF0" w:rsidR="00A87DAC" w:rsidRPr="00226270" w:rsidRDefault="00A87DAC" w:rsidP="00A87DAC">
      <w:pPr>
        <w:pStyle w:val="CETBodytext"/>
        <w:rPr>
          <w:lang w:val="en-GB"/>
        </w:rPr>
      </w:pPr>
      <w:r w:rsidRPr="00226270">
        <w:rPr>
          <w:lang w:val="en-GB"/>
        </w:rPr>
        <w:t>The results of the validation of the “plume rise from fires</w:t>
      </w:r>
      <w:r w:rsidR="00484939">
        <w:rPr>
          <w:lang w:val="en-GB"/>
        </w:rPr>
        <w:t>”</w:t>
      </w:r>
      <w:r w:rsidRPr="00226270">
        <w:rPr>
          <w:lang w:val="en-GB"/>
        </w:rPr>
        <w:t xml:space="preserve"> model present not only very good agreement with experimental data but also the best agreement compared to other already validated mathematical formulas.</w:t>
      </w:r>
    </w:p>
    <w:p w14:paraId="07A6D20F" w14:textId="1B1EE90F" w:rsidR="00280FAF" w:rsidRPr="00226270" w:rsidRDefault="00280FAF" w:rsidP="00280FAF">
      <w:pPr>
        <w:pStyle w:val="CETHeadingxx"/>
        <w:rPr>
          <w:lang w:val="en-GB"/>
        </w:rPr>
        <w:sectPr w:rsidR="00280FAF" w:rsidRPr="00226270" w:rsidSect="00B57E6F">
          <w:type w:val="continuous"/>
          <w:pgSz w:w="11906" w:h="16838" w:code="9"/>
          <w:pgMar w:top="1701" w:right="1418" w:bottom="1701" w:left="1701" w:header="1701" w:footer="0" w:gutter="0"/>
          <w:cols w:space="708"/>
          <w:formProt w:val="0"/>
          <w:titlePg/>
          <w:docGrid w:linePitch="360"/>
        </w:sectPr>
      </w:pPr>
      <w:r w:rsidRPr="00226270">
        <w:rPr>
          <w:lang w:val="en-GB"/>
        </w:rPr>
        <w:t>Nomenclature</w:t>
      </w:r>
    </w:p>
    <w:p w14:paraId="57590CE2" w14:textId="0542AA0C" w:rsidR="00280FAF" w:rsidRPr="00226270" w:rsidRDefault="000A0A22" w:rsidP="00280FAF">
      <w:pPr>
        <w:pStyle w:val="CETBodytext"/>
        <w:jc w:val="left"/>
        <w:rPr>
          <w:rFonts w:eastAsia="SimSun"/>
          <w:lang w:val="en-GB"/>
        </w:rPr>
      </w:pPr>
      <w:r w:rsidRPr="00226270">
        <w:rPr>
          <w:rFonts w:eastAsia="SimSun"/>
          <w:lang w:val="en-GB"/>
        </w:rPr>
        <w:t>D</w:t>
      </w:r>
      <w:r w:rsidR="00280FAF" w:rsidRPr="00226270">
        <w:rPr>
          <w:rFonts w:eastAsia="SimSun"/>
          <w:lang w:val="en-GB"/>
        </w:rPr>
        <w:t xml:space="preserve"> –</w:t>
      </w:r>
      <w:r w:rsidRPr="00226270">
        <w:rPr>
          <w:rFonts w:eastAsia="SimSun"/>
          <w:lang w:val="en-GB"/>
        </w:rPr>
        <w:t xml:space="preserve"> Diameter of the fire, m</w:t>
      </w:r>
    </w:p>
    <w:p w14:paraId="0E502614" w14:textId="56E3E35A" w:rsidR="00280FAF" w:rsidRDefault="000A0A22" w:rsidP="00280FAF">
      <w:pPr>
        <w:pStyle w:val="CETBodytext"/>
        <w:jc w:val="left"/>
        <w:rPr>
          <w:rFonts w:eastAsia="SimSun"/>
          <w:lang w:val="en-GB"/>
        </w:rPr>
      </w:pPr>
      <w:r w:rsidRPr="00226270">
        <w:rPr>
          <w:rFonts w:eastAsia="SimSun"/>
          <w:lang w:val="en-GB"/>
        </w:rPr>
        <w:t>Erf</w:t>
      </w:r>
      <w:r w:rsidR="00280FAF" w:rsidRPr="00226270">
        <w:rPr>
          <w:rFonts w:eastAsia="SimSun"/>
          <w:lang w:val="en-GB"/>
        </w:rPr>
        <w:t xml:space="preserve"> – </w:t>
      </w:r>
      <w:r w:rsidR="00F10854" w:rsidRPr="00226270">
        <w:rPr>
          <w:rFonts w:eastAsia="SimSun"/>
          <w:lang w:val="en-GB"/>
        </w:rPr>
        <w:t>Gauss error function, -</w:t>
      </w:r>
    </w:p>
    <w:p w14:paraId="7EF73B70" w14:textId="19F15F73" w:rsidR="00E43530" w:rsidRDefault="00E43530" w:rsidP="00280FAF">
      <w:pPr>
        <w:pStyle w:val="CETBodytext"/>
        <w:jc w:val="left"/>
      </w:pPr>
      <w:proofErr w:type="spellStart"/>
      <w:r w:rsidRPr="00226270">
        <w:t>F</w:t>
      </w:r>
      <w:r w:rsidRPr="00226270">
        <w:rPr>
          <w:vertAlign w:val="subscript"/>
        </w:rPr>
        <w:t>y</w:t>
      </w:r>
      <w:proofErr w:type="spellEnd"/>
      <w:r w:rsidRPr="00226270">
        <w:t>(</w:t>
      </w:r>
      <w:proofErr w:type="spellStart"/>
      <w:proofErr w:type="gramStart"/>
      <w:r w:rsidRPr="00226270">
        <w:t>x,y</w:t>
      </w:r>
      <w:proofErr w:type="spellEnd"/>
      <w:proofErr w:type="gramEnd"/>
      <w:r>
        <w:t xml:space="preserve">) </w:t>
      </w:r>
      <w:r w:rsidRPr="00226270">
        <w:rPr>
          <w:rFonts w:eastAsia="SimSun"/>
          <w:lang w:val="en-GB"/>
        </w:rPr>
        <w:t>–</w:t>
      </w:r>
      <w:r>
        <w:rPr>
          <w:rFonts w:eastAsia="SimSun"/>
          <w:lang w:val="en-GB"/>
        </w:rPr>
        <w:t xml:space="preserve"> L</w:t>
      </w:r>
      <w:proofErr w:type="spellStart"/>
      <w:r w:rsidRPr="00226270">
        <w:t>ateral</w:t>
      </w:r>
      <w:proofErr w:type="spellEnd"/>
      <w:r w:rsidRPr="00226270">
        <w:t xml:space="preserve"> (crosswind) dispersion</w:t>
      </w:r>
      <w:r>
        <w:t>, -</w:t>
      </w:r>
      <w:r w:rsidRPr="00226270">
        <w:t xml:space="preserve"> </w:t>
      </w:r>
    </w:p>
    <w:p w14:paraId="7F95DAF1" w14:textId="4ED5E709" w:rsidR="00E43530" w:rsidRPr="00226270" w:rsidRDefault="00E43530" w:rsidP="00280FAF">
      <w:pPr>
        <w:pStyle w:val="CETBodytext"/>
        <w:jc w:val="left"/>
        <w:rPr>
          <w:rFonts w:eastAsia="SimSun"/>
          <w:lang w:val="en-GB"/>
        </w:rPr>
      </w:pPr>
      <w:proofErr w:type="spellStart"/>
      <w:r w:rsidRPr="00226270">
        <w:t>F</w:t>
      </w:r>
      <w:r w:rsidRPr="00226270">
        <w:rPr>
          <w:vertAlign w:val="subscript"/>
        </w:rPr>
        <w:t>z</w:t>
      </w:r>
      <w:proofErr w:type="spellEnd"/>
      <w:r w:rsidRPr="00226270">
        <w:t>(</w:t>
      </w:r>
      <w:proofErr w:type="spellStart"/>
      <w:proofErr w:type="gramStart"/>
      <w:r w:rsidRPr="00226270">
        <w:t>x,z</w:t>
      </w:r>
      <w:proofErr w:type="spellEnd"/>
      <w:proofErr w:type="gramEnd"/>
      <w:r w:rsidRPr="00226270">
        <w:t xml:space="preserve">) </w:t>
      </w:r>
      <w:r w:rsidRPr="00226270">
        <w:rPr>
          <w:rFonts w:eastAsia="SimSun"/>
          <w:lang w:val="en-GB"/>
        </w:rPr>
        <w:t>–</w:t>
      </w:r>
      <w:r>
        <w:rPr>
          <w:rFonts w:eastAsia="SimSun"/>
          <w:lang w:val="en-GB"/>
        </w:rPr>
        <w:t xml:space="preserve"> V</w:t>
      </w:r>
      <w:proofErr w:type="spellStart"/>
      <w:r w:rsidRPr="00226270">
        <w:t>ertical</w:t>
      </w:r>
      <w:proofErr w:type="spellEnd"/>
      <w:r w:rsidRPr="00226270">
        <w:t xml:space="preserve"> dispersion</w:t>
      </w:r>
      <w:r>
        <w:t>, -</w:t>
      </w:r>
    </w:p>
    <w:p w14:paraId="33D176ED" w14:textId="69824820" w:rsidR="00280FAF" w:rsidRPr="00226270" w:rsidRDefault="00F10854" w:rsidP="00280FAF">
      <w:pPr>
        <w:pStyle w:val="CETBodytext"/>
        <w:jc w:val="left"/>
        <w:rPr>
          <w:rFonts w:eastAsia="SimSun"/>
          <w:lang w:val="en-GB"/>
        </w:rPr>
      </w:pPr>
      <w:proofErr w:type="spellStart"/>
      <w:r w:rsidRPr="00226270">
        <w:rPr>
          <w:rFonts w:eastAsia="SimSun"/>
          <w:lang w:val="en-GB"/>
        </w:rPr>
        <w:t>h</w:t>
      </w:r>
      <w:r w:rsidRPr="00226270">
        <w:rPr>
          <w:rFonts w:eastAsia="SimSun"/>
          <w:vertAlign w:val="subscript"/>
          <w:lang w:val="en-GB"/>
        </w:rPr>
        <w:t>BRIGGS</w:t>
      </w:r>
      <w:proofErr w:type="spellEnd"/>
      <w:r w:rsidR="00280FAF" w:rsidRPr="00226270">
        <w:rPr>
          <w:rFonts w:eastAsia="SimSun"/>
          <w:lang w:val="en-GB"/>
        </w:rPr>
        <w:t xml:space="preserve"> – </w:t>
      </w:r>
      <w:r w:rsidR="00135142" w:rsidRPr="00226270">
        <w:rPr>
          <w:rFonts w:eastAsia="SimSun"/>
          <w:lang w:val="en-GB"/>
        </w:rPr>
        <w:t>p</w:t>
      </w:r>
      <w:r w:rsidR="00E879E5" w:rsidRPr="00226270">
        <w:rPr>
          <w:rFonts w:eastAsia="SimSun"/>
          <w:lang w:val="en-GB"/>
        </w:rPr>
        <w:t>lume rise according to Briggs, m</w:t>
      </w:r>
    </w:p>
    <w:p w14:paraId="30B099CA" w14:textId="5379FAB6" w:rsidR="00135142" w:rsidRPr="00226270" w:rsidRDefault="00E879E5" w:rsidP="00280FAF">
      <w:pPr>
        <w:pStyle w:val="CETBodytext"/>
        <w:jc w:val="left"/>
        <w:rPr>
          <w:rFonts w:eastAsia="SimSun"/>
          <w:lang w:val="en-GB"/>
        </w:rPr>
      </w:pPr>
      <w:proofErr w:type="spellStart"/>
      <w:r w:rsidRPr="00226270">
        <w:rPr>
          <w:rFonts w:eastAsia="SimSun"/>
          <w:lang w:val="en-GB"/>
        </w:rPr>
        <w:t>h</w:t>
      </w:r>
      <w:r w:rsidR="00135142" w:rsidRPr="00226270">
        <w:rPr>
          <w:rFonts w:eastAsia="SimSun"/>
          <w:vertAlign w:val="subscript"/>
          <w:lang w:val="en-GB"/>
        </w:rPr>
        <w:t>m</w:t>
      </w:r>
      <w:r w:rsidRPr="00226270">
        <w:rPr>
          <w:rFonts w:eastAsia="SimSun"/>
          <w:vertAlign w:val="subscript"/>
          <w:lang w:val="en-GB"/>
        </w:rPr>
        <w:t>ax</w:t>
      </w:r>
      <w:proofErr w:type="spellEnd"/>
      <w:r w:rsidR="00280FAF" w:rsidRPr="00226270">
        <w:rPr>
          <w:rFonts w:eastAsia="SimSun"/>
          <w:lang w:val="en-GB"/>
        </w:rPr>
        <w:t xml:space="preserve"> – </w:t>
      </w:r>
      <w:r w:rsidR="006B163E" w:rsidRPr="00226270">
        <w:rPr>
          <w:rFonts w:eastAsia="SimSun"/>
          <w:lang w:val="en-GB"/>
        </w:rPr>
        <w:t>m</w:t>
      </w:r>
      <w:r w:rsidR="00135142" w:rsidRPr="00226270">
        <w:rPr>
          <w:rFonts w:eastAsia="SimSun"/>
          <w:lang w:val="en-GB"/>
        </w:rPr>
        <w:t>aximum height of the plume, m</w:t>
      </w:r>
    </w:p>
    <w:p w14:paraId="5A6624BF" w14:textId="4EFAA948" w:rsidR="00280FAF" w:rsidRPr="00226270" w:rsidRDefault="00135142" w:rsidP="00280FAF">
      <w:pPr>
        <w:pStyle w:val="CETBodytext"/>
        <w:jc w:val="left"/>
        <w:rPr>
          <w:rFonts w:eastAsia="SimSun"/>
          <w:lang w:val="en-GB"/>
        </w:rPr>
      </w:pPr>
      <w:proofErr w:type="spellStart"/>
      <w:r w:rsidRPr="00226270">
        <w:rPr>
          <w:rFonts w:eastAsia="SimSun"/>
          <w:lang w:val="en-GB"/>
        </w:rPr>
        <w:t>h</w:t>
      </w:r>
      <w:r w:rsidRPr="00226270">
        <w:rPr>
          <w:rFonts w:eastAsia="SimSun"/>
          <w:vertAlign w:val="subscript"/>
          <w:lang w:val="en-GB"/>
        </w:rPr>
        <w:t>MILLS</w:t>
      </w:r>
      <w:proofErr w:type="spellEnd"/>
      <w:r w:rsidR="00280FAF" w:rsidRPr="00226270">
        <w:rPr>
          <w:rFonts w:eastAsia="SimSun"/>
          <w:lang w:val="en-GB"/>
        </w:rPr>
        <w:t xml:space="preserve"> – </w:t>
      </w:r>
      <w:r w:rsidR="006B163E" w:rsidRPr="00226270">
        <w:rPr>
          <w:rFonts w:eastAsia="SimSun"/>
          <w:lang w:val="en-GB"/>
        </w:rPr>
        <w:t>p</w:t>
      </w:r>
      <w:r w:rsidR="00C619E1" w:rsidRPr="00226270">
        <w:rPr>
          <w:rFonts w:eastAsia="SimSun"/>
          <w:lang w:val="en-GB"/>
        </w:rPr>
        <w:t xml:space="preserve">lume rise </w:t>
      </w:r>
      <w:r w:rsidR="002570DF">
        <w:rPr>
          <w:rFonts w:eastAsia="SimSun"/>
          <w:lang w:val="en-GB"/>
        </w:rPr>
        <w:t>for</w:t>
      </w:r>
      <w:r w:rsidR="00C619E1" w:rsidRPr="00226270">
        <w:rPr>
          <w:rFonts w:eastAsia="SimSun"/>
          <w:lang w:val="en-GB"/>
        </w:rPr>
        <w:t xml:space="preserve"> Mills</w:t>
      </w:r>
      <w:r w:rsidR="002570DF">
        <w:rPr>
          <w:rFonts w:eastAsia="SimSun"/>
          <w:lang w:val="en-GB"/>
        </w:rPr>
        <w:t>’</w:t>
      </w:r>
      <w:r w:rsidR="00C619E1" w:rsidRPr="00226270">
        <w:rPr>
          <w:rFonts w:eastAsia="SimSun"/>
          <w:lang w:val="en-GB"/>
        </w:rPr>
        <w:t xml:space="preserve"> correction, m</w:t>
      </w:r>
    </w:p>
    <w:p w14:paraId="1B9CA67B" w14:textId="21B617E6" w:rsidR="00280FAF" w:rsidRPr="00226270" w:rsidRDefault="00C619E1" w:rsidP="00280FAF">
      <w:pPr>
        <w:pStyle w:val="CETBodytext"/>
        <w:jc w:val="left"/>
        <w:rPr>
          <w:rFonts w:eastAsia="SimSun"/>
          <w:lang w:val="en-GB"/>
        </w:rPr>
      </w:pPr>
      <w:r w:rsidRPr="00226270">
        <w:rPr>
          <w:rFonts w:eastAsia="SimSun"/>
          <w:lang w:val="en-GB"/>
        </w:rPr>
        <w:t>MH</w:t>
      </w:r>
      <w:r w:rsidR="00280FAF" w:rsidRPr="00226270">
        <w:rPr>
          <w:rFonts w:eastAsia="SimSun"/>
          <w:lang w:val="en-GB"/>
        </w:rPr>
        <w:t xml:space="preserve"> – </w:t>
      </w:r>
      <w:r w:rsidRPr="00226270">
        <w:rPr>
          <w:rFonts w:eastAsia="SimSun"/>
          <w:lang w:val="en-GB"/>
        </w:rPr>
        <w:t>mixing layer height</w:t>
      </w:r>
      <w:r w:rsidR="00280FAF" w:rsidRPr="00226270">
        <w:rPr>
          <w:rFonts w:eastAsia="SimSun"/>
          <w:lang w:val="en-GB"/>
        </w:rPr>
        <w:t>, m</w:t>
      </w:r>
    </w:p>
    <w:p w14:paraId="63AB7028" w14:textId="2384A741" w:rsidR="00280FAF" w:rsidRPr="00226270" w:rsidRDefault="00C619E1" w:rsidP="00280FAF">
      <w:pPr>
        <w:pStyle w:val="CETBodytext"/>
        <w:jc w:val="left"/>
        <w:rPr>
          <w:rFonts w:eastAsia="SimSun"/>
          <w:lang w:val="en-GB"/>
        </w:rPr>
      </w:pPr>
      <w:r w:rsidRPr="00226270">
        <w:rPr>
          <w:rFonts w:eastAsia="SimSun"/>
          <w:lang w:val="en-GB"/>
        </w:rPr>
        <w:t>N</w:t>
      </w:r>
      <w:r w:rsidR="00280FAF" w:rsidRPr="00226270">
        <w:rPr>
          <w:rFonts w:eastAsia="SimSun"/>
          <w:lang w:val="en-GB"/>
        </w:rPr>
        <w:t xml:space="preserve"> – </w:t>
      </w:r>
      <w:r w:rsidR="002570DF">
        <w:rPr>
          <w:rFonts w:eastAsia="SimSun"/>
          <w:lang w:val="en-GB"/>
        </w:rPr>
        <w:t>B</w:t>
      </w:r>
      <w:r w:rsidR="003F47D6" w:rsidRPr="00226270">
        <w:rPr>
          <w:rFonts w:eastAsia="SimSun"/>
          <w:lang w:val="en-GB"/>
        </w:rPr>
        <w:t>runt</w:t>
      </w:r>
      <w:r w:rsidR="002570DF">
        <w:rPr>
          <w:rFonts w:eastAsia="SimSun"/>
          <w:lang w:val="en-GB"/>
        </w:rPr>
        <w:t xml:space="preserve"> </w:t>
      </w:r>
      <w:r w:rsidR="003F47D6" w:rsidRPr="00226270">
        <w:rPr>
          <w:rFonts w:eastAsia="SimSun"/>
          <w:lang w:val="en-GB"/>
        </w:rPr>
        <w:t>Vaisala frequency</w:t>
      </w:r>
      <w:r w:rsidR="00280FAF" w:rsidRPr="00226270">
        <w:rPr>
          <w:rFonts w:eastAsia="SimSun"/>
          <w:lang w:val="en-GB"/>
        </w:rPr>
        <w:t xml:space="preserve">, </w:t>
      </w:r>
      <w:r w:rsidR="003F47D6" w:rsidRPr="00226270">
        <w:rPr>
          <w:rFonts w:eastAsia="SimSun"/>
          <w:lang w:val="en-GB"/>
        </w:rPr>
        <w:t>s</w:t>
      </w:r>
      <w:r w:rsidR="003F47D6" w:rsidRPr="00226270">
        <w:rPr>
          <w:rFonts w:eastAsia="SimSun"/>
          <w:vertAlign w:val="superscript"/>
          <w:lang w:val="en-GB"/>
        </w:rPr>
        <w:t>-2</w:t>
      </w:r>
    </w:p>
    <w:p w14:paraId="66E0241E" w14:textId="0DC9D6B3" w:rsidR="003F47D6" w:rsidRPr="00226270" w:rsidRDefault="003F47D6" w:rsidP="00280FAF">
      <w:pPr>
        <w:pStyle w:val="CETBodytext"/>
        <w:jc w:val="left"/>
        <w:rPr>
          <w:rFonts w:eastAsia="SimSun"/>
          <w:lang w:val="en-GB"/>
        </w:rPr>
      </w:pPr>
      <w:r w:rsidRPr="00226270">
        <w:rPr>
          <w:rFonts w:eastAsia="SimSun"/>
          <w:lang w:val="en-GB"/>
        </w:rPr>
        <w:t>P(x) –</w:t>
      </w:r>
      <w:r w:rsidR="00D7566D" w:rsidRPr="00226270">
        <w:rPr>
          <w:rFonts w:eastAsia="SimSun"/>
          <w:lang w:val="en-GB"/>
        </w:rPr>
        <w:t xml:space="preserve"> penetration fraction at distance x, -</w:t>
      </w:r>
    </w:p>
    <w:p w14:paraId="42FAA691" w14:textId="31F5B68C" w:rsidR="00280FAF" w:rsidRDefault="00D7566D" w:rsidP="00280FAF">
      <w:pPr>
        <w:pStyle w:val="CETBodytext"/>
        <w:jc w:val="left"/>
        <w:rPr>
          <w:rFonts w:eastAsia="SimSun"/>
          <w:lang w:val="en-GB"/>
        </w:rPr>
      </w:pPr>
      <w:r w:rsidRPr="00226270">
        <w:rPr>
          <w:rFonts w:eastAsia="SimSun"/>
          <w:lang w:val="en-GB"/>
        </w:rPr>
        <w:t>Q</w:t>
      </w:r>
      <w:r w:rsidRPr="00226270">
        <w:rPr>
          <w:rFonts w:eastAsia="SimSun"/>
          <w:vertAlign w:val="subscript"/>
          <w:lang w:val="en-GB"/>
        </w:rPr>
        <w:t>0</w:t>
      </w:r>
      <w:r w:rsidR="00280FAF" w:rsidRPr="00226270">
        <w:rPr>
          <w:rFonts w:eastAsia="SimSun"/>
          <w:lang w:val="en-GB"/>
        </w:rPr>
        <w:t xml:space="preserve"> – </w:t>
      </w:r>
      <w:r w:rsidRPr="00226270">
        <w:rPr>
          <w:rFonts w:eastAsia="SimSun"/>
          <w:lang w:val="en-GB"/>
        </w:rPr>
        <w:t>initial heat flux</w:t>
      </w:r>
      <w:r w:rsidR="00280FAF" w:rsidRPr="00226270">
        <w:rPr>
          <w:rFonts w:eastAsia="SimSun"/>
          <w:lang w:val="en-GB"/>
        </w:rPr>
        <w:t xml:space="preserve">, </w:t>
      </w:r>
      <w:r w:rsidRPr="00226270">
        <w:rPr>
          <w:rFonts w:eastAsia="SimSun"/>
          <w:lang w:val="en-GB"/>
        </w:rPr>
        <w:t>kcal/s</w:t>
      </w:r>
    </w:p>
    <w:p w14:paraId="0B985DE7" w14:textId="11D6B9ED" w:rsidR="006E1740" w:rsidRDefault="00D7566D" w:rsidP="00280FAF">
      <w:pPr>
        <w:pStyle w:val="CETBodytext"/>
        <w:jc w:val="left"/>
        <w:rPr>
          <w:rFonts w:eastAsia="SimSun"/>
          <w:lang w:val="en-GB"/>
        </w:rPr>
      </w:pPr>
      <w:proofErr w:type="spellStart"/>
      <w:r w:rsidRPr="00226270">
        <w:rPr>
          <w:rFonts w:eastAsia="SimSun"/>
          <w:lang w:val="en-GB"/>
        </w:rPr>
        <w:t>u</w:t>
      </w:r>
      <w:r w:rsidRPr="00226270">
        <w:rPr>
          <w:rFonts w:eastAsia="SimSun"/>
          <w:vertAlign w:val="subscript"/>
          <w:lang w:val="en-GB"/>
        </w:rPr>
        <w:t>w</w:t>
      </w:r>
      <w:proofErr w:type="spellEnd"/>
      <w:r w:rsidRPr="00226270">
        <w:rPr>
          <w:rFonts w:eastAsia="SimSun"/>
          <w:lang w:val="en-GB"/>
        </w:rPr>
        <w:t xml:space="preserve"> (</w:t>
      </w:r>
      <w:proofErr w:type="spellStart"/>
      <w:r w:rsidRPr="00226270">
        <w:rPr>
          <w:rFonts w:eastAsia="SimSun"/>
          <w:lang w:val="en-GB"/>
        </w:rPr>
        <w:t>z</w:t>
      </w:r>
      <w:r w:rsidRPr="00226270">
        <w:rPr>
          <w:rFonts w:eastAsia="SimSun"/>
          <w:vertAlign w:val="subscript"/>
          <w:lang w:val="en-GB"/>
        </w:rPr>
        <w:t>s</w:t>
      </w:r>
      <w:proofErr w:type="spellEnd"/>
      <w:r w:rsidRPr="00226270">
        <w:rPr>
          <w:rFonts w:eastAsia="SimSun"/>
          <w:lang w:val="en-GB"/>
        </w:rPr>
        <w:t>)</w:t>
      </w:r>
      <w:r w:rsidR="00280FAF" w:rsidRPr="00226270">
        <w:rPr>
          <w:rFonts w:eastAsia="SimSun"/>
          <w:lang w:val="en-GB"/>
        </w:rPr>
        <w:t xml:space="preserve"> – </w:t>
      </w:r>
      <w:r w:rsidR="006B163E" w:rsidRPr="00226270">
        <w:rPr>
          <w:rFonts w:eastAsia="SimSun"/>
          <w:lang w:val="en-GB"/>
        </w:rPr>
        <w:t>w</w:t>
      </w:r>
      <w:r w:rsidR="00F32E50" w:rsidRPr="00226270">
        <w:rPr>
          <w:rFonts w:eastAsia="SimSun"/>
          <w:lang w:val="en-GB"/>
        </w:rPr>
        <w:t>ind speed at stack height, m/s</w:t>
      </w:r>
    </w:p>
    <w:p w14:paraId="75A76454" w14:textId="77777777" w:rsidR="004613F0" w:rsidRDefault="004613F0" w:rsidP="00280FAF">
      <w:pPr>
        <w:pStyle w:val="CETBodytext"/>
        <w:jc w:val="left"/>
        <w:rPr>
          <w:rFonts w:eastAsia="SimSun"/>
          <w:lang w:val="en-GB"/>
        </w:rPr>
      </w:pPr>
    </w:p>
    <w:p w14:paraId="7E6B0607" w14:textId="6AD33FD7" w:rsidR="006E1740" w:rsidRDefault="006E1740" w:rsidP="00280FAF">
      <w:pPr>
        <w:pStyle w:val="CETBodytext"/>
        <w:jc w:val="left"/>
        <w:rPr>
          <w:rFonts w:eastAsia="SimSun"/>
          <w:lang w:val="en-GB"/>
        </w:rPr>
      </w:pPr>
    </w:p>
    <w:p w14:paraId="510AC1B9" w14:textId="499947AC" w:rsidR="00F32E50" w:rsidRPr="00226270" w:rsidRDefault="00F32E50" w:rsidP="00F32E50">
      <w:pPr>
        <w:pStyle w:val="CETBodytext"/>
        <w:jc w:val="left"/>
        <w:rPr>
          <w:rFonts w:eastAsia="SimSun"/>
          <w:lang w:val="en-GB"/>
        </w:rPr>
      </w:pPr>
      <w:proofErr w:type="spellStart"/>
      <w:r w:rsidRPr="00226270">
        <w:rPr>
          <w:rFonts w:eastAsia="SimSun"/>
          <w:lang w:val="en-GB"/>
        </w:rPr>
        <w:t>V</w:t>
      </w:r>
      <w:r w:rsidRPr="00226270">
        <w:rPr>
          <w:rFonts w:eastAsia="SimSun"/>
          <w:vertAlign w:val="subscript"/>
          <w:lang w:val="en-GB"/>
        </w:rPr>
        <w:t>z</w:t>
      </w:r>
      <w:proofErr w:type="spellEnd"/>
      <w:r w:rsidRPr="00226270">
        <w:rPr>
          <w:rFonts w:eastAsia="SimSun"/>
          <w:lang w:val="en-GB"/>
        </w:rPr>
        <w:t xml:space="preserve"> – </w:t>
      </w:r>
      <w:r w:rsidR="006B163E" w:rsidRPr="00226270">
        <w:rPr>
          <w:rFonts w:eastAsia="SimSun"/>
          <w:lang w:val="en-GB"/>
        </w:rPr>
        <w:t>v</w:t>
      </w:r>
      <w:r w:rsidR="00197F01" w:rsidRPr="00226270">
        <w:rPr>
          <w:rFonts w:eastAsia="SimSun"/>
          <w:lang w:val="en-GB"/>
        </w:rPr>
        <w:t>irtual source for horizontal cross-section area equivalent to actual source, m</w:t>
      </w:r>
    </w:p>
    <w:p w14:paraId="0B88E35F" w14:textId="78E0D005" w:rsidR="00197F01" w:rsidRPr="00226270" w:rsidRDefault="00197F01" w:rsidP="00F32E50">
      <w:pPr>
        <w:pStyle w:val="CETBodytext"/>
        <w:jc w:val="left"/>
        <w:rPr>
          <w:rFonts w:eastAsia="SimSun"/>
          <w:lang w:val="en-GB"/>
        </w:rPr>
      </w:pPr>
      <w:r w:rsidRPr="00226270">
        <w:rPr>
          <w:rFonts w:eastAsia="SimSun"/>
          <w:lang w:val="en-GB"/>
        </w:rPr>
        <w:t>x –</w:t>
      </w:r>
      <w:r w:rsidR="0012036A" w:rsidRPr="00226270">
        <w:rPr>
          <w:rFonts w:eastAsia="SimSun"/>
          <w:lang w:val="en-GB"/>
        </w:rPr>
        <w:t xml:space="preserve"> downwind distance, m</w:t>
      </w:r>
    </w:p>
    <w:p w14:paraId="0BD91EFB" w14:textId="11B362EA" w:rsidR="0012036A" w:rsidRPr="00226270" w:rsidRDefault="0012036A" w:rsidP="0012036A">
      <w:pPr>
        <w:pStyle w:val="CETBodytext"/>
        <w:jc w:val="left"/>
        <w:rPr>
          <w:rFonts w:eastAsia="SimSun"/>
          <w:lang w:val="en-GB"/>
        </w:rPr>
      </w:pPr>
      <w:proofErr w:type="spellStart"/>
      <w:r w:rsidRPr="00226270">
        <w:rPr>
          <w:rFonts w:eastAsia="SimSun"/>
          <w:lang w:val="en-GB"/>
        </w:rPr>
        <w:t>x</w:t>
      </w:r>
      <w:r w:rsidRPr="00226270">
        <w:rPr>
          <w:rFonts w:eastAsia="SimSun"/>
          <w:vertAlign w:val="subscript"/>
          <w:lang w:val="en-GB"/>
        </w:rPr>
        <w:t>f</w:t>
      </w:r>
      <w:proofErr w:type="spellEnd"/>
      <w:r w:rsidRPr="00226270">
        <w:rPr>
          <w:rFonts w:eastAsia="SimSun"/>
          <w:lang w:val="en-GB"/>
        </w:rPr>
        <w:t xml:space="preserve"> – downwind distance</w:t>
      </w:r>
      <w:r w:rsidR="008C60BD" w:rsidRPr="00226270">
        <w:rPr>
          <w:rFonts w:eastAsia="SimSun"/>
          <w:lang w:val="en-GB"/>
        </w:rPr>
        <w:t xml:space="preserve"> at which plume reaches its maximum height</w:t>
      </w:r>
      <w:r w:rsidRPr="00226270">
        <w:rPr>
          <w:rFonts w:eastAsia="SimSun"/>
          <w:lang w:val="en-GB"/>
        </w:rPr>
        <w:t>, m</w:t>
      </w:r>
    </w:p>
    <w:p w14:paraId="17377033" w14:textId="7AB2FBF1" w:rsidR="008C60BD" w:rsidRPr="00226270" w:rsidRDefault="008C60BD" w:rsidP="008C60BD">
      <w:pPr>
        <w:pStyle w:val="CETBodytext"/>
        <w:jc w:val="left"/>
        <w:rPr>
          <w:rFonts w:eastAsia="SimSun"/>
          <w:lang w:val="en-GB"/>
        </w:rPr>
      </w:pPr>
      <w:proofErr w:type="spellStart"/>
      <w:r w:rsidRPr="00226270">
        <w:rPr>
          <w:rFonts w:eastAsia="SimSun"/>
          <w:lang w:val="en-GB"/>
        </w:rPr>
        <w:t>X</w:t>
      </w:r>
      <w:r w:rsidRPr="00226270">
        <w:rPr>
          <w:rFonts w:eastAsia="SimSun"/>
          <w:vertAlign w:val="subscript"/>
          <w:lang w:val="en-GB"/>
        </w:rPr>
        <w:t>d</w:t>
      </w:r>
      <w:proofErr w:type="spellEnd"/>
      <w:r w:rsidRPr="00226270">
        <w:rPr>
          <w:rFonts w:eastAsia="SimSun"/>
          <w:lang w:val="en-GB"/>
        </w:rPr>
        <w:t xml:space="preserve"> – </w:t>
      </w:r>
      <w:proofErr w:type="spellStart"/>
      <w:r w:rsidRPr="00226270">
        <w:rPr>
          <w:rFonts w:eastAsia="SimSun"/>
          <w:lang w:val="en-GB"/>
        </w:rPr>
        <w:t>x</w:t>
      </w:r>
      <w:r w:rsidRPr="00226270">
        <w:rPr>
          <w:rFonts w:eastAsia="SimSun"/>
          <w:vertAlign w:val="subscript"/>
          <w:lang w:val="en-GB"/>
        </w:rPr>
        <w:t>f</w:t>
      </w:r>
      <w:proofErr w:type="spellEnd"/>
      <w:r w:rsidRPr="00226270">
        <w:rPr>
          <w:rFonts w:eastAsia="SimSun"/>
          <w:lang w:val="en-GB"/>
        </w:rPr>
        <w:t xml:space="preserve"> + </w:t>
      </w:r>
      <w:proofErr w:type="spellStart"/>
      <w:r w:rsidRPr="00226270">
        <w:rPr>
          <w:rFonts w:eastAsia="SimSun"/>
          <w:lang w:val="en-GB"/>
        </w:rPr>
        <w:t>V</w:t>
      </w:r>
      <w:r w:rsidRPr="00226270">
        <w:rPr>
          <w:rFonts w:eastAsia="SimSun"/>
          <w:vertAlign w:val="subscript"/>
          <w:lang w:val="en-GB"/>
        </w:rPr>
        <w:t>z</w:t>
      </w:r>
      <w:proofErr w:type="spellEnd"/>
      <w:r w:rsidRPr="00226270">
        <w:rPr>
          <w:rFonts w:eastAsia="SimSun"/>
          <w:lang w:val="en-GB"/>
        </w:rPr>
        <w:t>, m</w:t>
      </w:r>
    </w:p>
    <w:p w14:paraId="0689C9D4" w14:textId="327B6D3D" w:rsidR="008C60BD" w:rsidRPr="00226270" w:rsidRDefault="008C60BD" w:rsidP="008C60BD">
      <w:pPr>
        <w:pStyle w:val="CETBodytext"/>
        <w:jc w:val="left"/>
        <w:rPr>
          <w:rFonts w:eastAsia="SimSun"/>
          <w:lang w:val="en-GB"/>
        </w:rPr>
      </w:pPr>
      <w:proofErr w:type="spellStart"/>
      <w:r w:rsidRPr="00226270">
        <w:rPr>
          <w:rFonts w:eastAsia="SimSun"/>
          <w:lang w:val="en-GB"/>
        </w:rPr>
        <w:t>z</w:t>
      </w:r>
      <w:r w:rsidRPr="00226270">
        <w:rPr>
          <w:rFonts w:eastAsia="SimSun"/>
          <w:vertAlign w:val="subscript"/>
          <w:lang w:val="en-GB"/>
        </w:rPr>
        <w:t>s</w:t>
      </w:r>
      <w:proofErr w:type="spellEnd"/>
      <w:r w:rsidRPr="00226270">
        <w:rPr>
          <w:rFonts w:eastAsia="SimSun"/>
          <w:lang w:val="en-GB"/>
        </w:rPr>
        <w:t xml:space="preserve"> – </w:t>
      </w:r>
      <w:r w:rsidR="00E14986" w:rsidRPr="00226270">
        <w:rPr>
          <w:rFonts w:eastAsia="SimSun"/>
          <w:lang w:val="en-GB"/>
        </w:rPr>
        <w:t>stack height, m</w:t>
      </w:r>
    </w:p>
    <w:p w14:paraId="441A8744" w14:textId="74D84B6B" w:rsidR="00607E01" w:rsidRPr="00226270" w:rsidRDefault="00607E01" w:rsidP="008C60BD">
      <w:pPr>
        <w:pStyle w:val="CETBodytext"/>
        <w:jc w:val="left"/>
        <w:rPr>
          <w:rFonts w:eastAsia="SimSun"/>
          <w:lang w:val="en-GB"/>
        </w:rPr>
      </w:pPr>
      <w:r w:rsidRPr="00226270">
        <w:rPr>
          <w:rFonts w:eastAsia="SimSun"/>
          <w:lang w:val="en-GB"/>
        </w:rPr>
        <w:t>γ –</w:t>
      </w:r>
      <w:r w:rsidR="00840B93" w:rsidRPr="00226270">
        <w:rPr>
          <w:rFonts w:eastAsia="SimSun"/>
          <w:lang w:val="en-GB"/>
        </w:rPr>
        <w:t xml:space="preserve"> entrainment </w:t>
      </w:r>
      <w:proofErr w:type="spellStart"/>
      <w:r w:rsidR="00840B93" w:rsidRPr="00226270">
        <w:rPr>
          <w:rFonts w:eastAsia="SimSun"/>
          <w:lang w:val="en-GB"/>
        </w:rPr>
        <w:t>coeff</w:t>
      </w:r>
      <w:proofErr w:type="spellEnd"/>
      <w:r w:rsidR="00840B93" w:rsidRPr="00226270">
        <w:rPr>
          <w:rFonts w:eastAsia="SimSun"/>
          <w:lang w:val="en-GB"/>
        </w:rPr>
        <w:t>. for buoyant plume rise, -</w:t>
      </w:r>
    </w:p>
    <w:p w14:paraId="63995184" w14:textId="4010AD63" w:rsidR="0012036A" w:rsidRDefault="00F8796D" w:rsidP="00F32E50">
      <w:pPr>
        <w:pStyle w:val="CETBodytext"/>
        <w:jc w:val="left"/>
        <w:rPr>
          <w:rFonts w:eastAsia="SimSun"/>
          <w:lang w:val="en-GB"/>
        </w:rPr>
      </w:pPr>
      <w:proofErr w:type="spellStart"/>
      <w:r w:rsidRPr="00226270">
        <w:rPr>
          <w:rFonts w:eastAsia="SimSun"/>
          <w:lang w:val="en-GB"/>
        </w:rPr>
        <w:t>σ</w:t>
      </w:r>
      <w:r w:rsidRPr="00226270">
        <w:rPr>
          <w:rFonts w:eastAsia="SimSun"/>
          <w:vertAlign w:val="subscript"/>
          <w:lang w:val="en-GB"/>
        </w:rPr>
        <w:t>z</w:t>
      </w:r>
      <w:proofErr w:type="spellEnd"/>
      <w:r w:rsidRPr="00226270">
        <w:rPr>
          <w:rFonts w:eastAsia="SimSun"/>
          <w:lang w:val="en-GB"/>
        </w:rPr>
        <w:t>(x)</w:t>
      </w:r>
      <w:r w:rsidR="00840B93" w:rsidRPr="00226270">
        <w:rPr>
          <w:rFonts w:eastAsia="SimSun"/>
          <w:lang w:val="en-GB"/>
        </w:rPr>
        <w:t xml:space="preserve"> – </w:t>
      </w:r>
      <w:r w:rsidR="00D2114C" w:rsidRPr="00226270">
        <w:rPr>
          <w:rFonts w:eastAsia="SimSun"/>
          <w:lang w:val="en-GB"/>
        </w:rPr>
        <w:t>vertical dispersion parameter</w:t>
      </w:r>
      <w:r w:rsidR="00840B93" w:rsidRPr="00226270">
        <w:rPr>
          <w:rFonts w:eastAsia="SimSun"/>
          <w:lang w:val="en-GB"/>
        </w:rPr>
        <w:t>, m</w:t>
      </w:r>
    </w:p>
    <w:p w14:paraId="3EF124EC" w14:textId="11CE42F3" w:rsidR="004613F0" w:rsidRPr="00B4157D" w:rsidRDefault="004613F0" w:rsidP="004613F0">
      <w:pPr>
        <w:pStyle w:val="CETBodytext"/>
        <w:rPr>
          <w:lang w:val="en-AU"/>
        </w:rPr>
      </w:pPr>
      <w:r>
        <w:rPr>
          <w:rFonts w:cs="Arial"/>
          <w:lang w:val="en-GB"/>
        </w:rPr>
        <w:t>Δ</w:t>
      </w:r>
      <w:r w:rsidRPr="00B4157D">
        <w:rPr>
          <w:lang w:val="en-AU"/>
        </w:rPr>
        <w:t>h</w:t>
      </w:r>
      <w:r>
        <w:rPr>
          <w:lang w:val="en-GB"/>
        </w:rPr>
        <w:sym w:font="Wingdings" w:char="F09E"/>
      </w:r>
      <w:proofErr w:type="spellStart"/>
      <w:r w:rsidRPr="00B4157D">
        <w:rPr>
          <w:lang w:val="en-AU"/>
        </w:rPr>
        <w:t>u</w:t>
      </w:r>
      <w:r w:rsidRPr="00B4157D">
        <w:rPr>
          <w:vertAlign w:val="subscript"/>
          <w:lang w:val="en-AU"/>
        </w:rPr>
        <w:t>w</w:t>
      </w:r>
      <w:proofErr w:type="spellEnd"/>
      <w:r w:rsidRPr="00B4157D">
        <w:rPr>
          <w:lang w:val="en-AU"/>
        </w:rPr>
        <w:t>(</w:t>
      </w:r>
      <w:proofErr w:type="spellStart"/>
      <w:r w:rsidRPr="00B4157D">
        <w:rPr>
          <w:lang w:val="en-AU"/>
        </w:rPr>
        <w:t>z</w:t>
      </w:r>
      <w:r w:rsidRPr="00B4157D">
        <w:rPr>
          <w:vertAlign w:val="subscript"/>
          <w:lang w:val="en-AU"/>
        </w:rPr>
        <w:t>s</w:t>
      </w:r>
      <w:proofErr w:type="spellEnd"/>
      <w:r w:rsidRPr="00B4157D">
        <w:rPr>
          <w:lang w:val="en-AU"/>
        </w:rPr>
        <w:t xml:space="preserve">) </w:t>
      </w:r>
      <w:r w:rsidRPr="00B4157D">
        <w:rPr>
          <w:rFonts w:eastAsia="SimSun"/>
          <w:lang w:val="en-AU"/>
        </w:rPr>
        <w:t>– product of</w:t>
      </w:r>
      <w:r w:rsidR="00B4157D" w:rsidRPr="00B4157D">
        <w:rPr>
          <w:rFonts w:eastAsia="SimSun"/>
          <w:lang w:val="en-AU"/>
        </w:rPr>
        <w:t xml:space="preserve"> </w:t>
      </w:r>
      <w:r w:rsidR="00B4157D">
        <w:rPr>
          <w:rFonts w:eastAsia="SimSun"/>
          <w:lang w:val="en-AU"/>
        </w:rPr>
        <w:t xml:space="preserve">plume </w:t>
      </w:r>
      <w:proofErr w:type="gramStart"/>
      <w:r w:rsidR="00B4157D">
        <w:rPr>
          <w:rFonts w:eastAsia="SimSun"/>
          <w:lang w:val="en-AU"/>
        </w:rPr>
        <w:t>rise</w:t>
      </w:r>
      <w:proofErr w:type="gramEnd"/>
      <w:r w:rsidR="00B4157D">
        <w:rPr>
          <w:rFonts w:eastAsia="SimSun"/>
          <w:lang w:val="en-AU"/>
        </w:rPr>
        <w:t xml:space="preserve"> height and wind speed, m</w:t>
      </w:r>
      <w:r w:rsidR="00B4157D" w:rsidRPr="00B4157D">
        <w:rPr>
          <w:rFonts w:eastAsia="SimSun"/>
          <w:vertAlign w:val="superscript"/>
          <w:lang w:val="en-AU"/>
        </w:rPr>
        <w:t>2</w:t>
      </w:r>
      <w:r w:rsidR="00B4157D">
        <w:rPr>
          <w:rFonts w:eastAsia="SimSun"/>
          <w:lang w:val="en-AU"/>
        </w:rPr>
        <w:sym w:font="Wingdings" w:char="F09E"/>
      </w:r>
      <w:r w:rsidR="00B4157D">
        <w:rPr>
          <w:rFonts w:eastAsia="SimSun"/>
          <w:lang w:val="en-AU"/>
        </w:rPr>
        <w:t>s</w:t>
      </w:r>
    </w:p>
    <w:p w14:paraId="5AD8819C" w14:textId="77777777" w:rsidR="004613F0" w:rsidRPr="00B4157D" w:rsidRDefault="004613F0" w:rsidP="00F32E50">
      <w:pPr>
        <w:pStyle w:val="CETBodytext"/>
        <w:jc w:val="left"/>
        <w:rPr>
          <w:rFonts w:eastAsia="SimSun"/>
          <w:lang w:val="en-AU"/>
        </w:rPr>
      </w:pPr>
    </w:p>
    <w:p w14:paraId="5E2F20D0" w14:textId="77777777" w:rsidR="00F32E50" w:rsidRPr="00B4157D" w:rsidRDefault="00F32E50" w:rsidP="00280FAF">
      <w:pPr>
        <w:pStyle w:val="CETBodytext"/>
        <w:jc w:val="left"/>
        <w:rPr>
          <w:rFonts w:eastAsia="SimSun"/>
          <w:lang w:val="en-AU"/>
        </w:rPr>
      </w:pPr>
    </w:p>
    <w:p w14:paraId="45518A54" w14:textId="77777777" w:rsidR="00280FAF" w:rsidRPr="00B4157D" w:rsidRDefault="00280FAF" w:rsidP="00280FAF">
      <w:pPr>
        <w:pStyle w:val="CETBodytext"/>
        <w:jc w:val="left"/>
        <w:rPr>
          <w:rFonts w:eastAsia="SimSun"/>
          <w:lang w:val="en-AU"/>
        </w:rPr>
      </w:pPr>
    </w:p>
    <w:p w14:paraId="38BFE636" w14:textId="2DE856AA" w:rsidR="00F32E50" w:rsidRPr="00B4157D" w:rsidRDefault="00F32E50" w:rsidP="00280FAF">
      <w:pPr>
        <w:pStyle w:val="CETBodytext"/>
        <w:jc w:val="left"/>
        <w:rPr>
          <w:rFonts w:eastAsia="SimSun"/>
          <w:lang w:val="en-AU"/>
        </w:rPr>
        <w:sectPr w:rsidR="00F32E50" w:rsidRPr="00B4157D" w:rsidSect="00200ECB">
          <w:type w:val="continuous"/>
          <w:pgSz w:w="11906" w:h="16838" w:code="9"/>
          <w:pgMar w:top="1701" w:right="1418" w:bottom="1701" w:left="1701" w:header="1701" w:footer="0" w:gutter="0"/>
          <w:cols w:num="2" w:space="708"/>
          <w:formProt w:val="0"/>
          <w:titlePg/>
          <w:docGrid w:linePitch="360"/>
        </w:sectPr>
      </w:pPr>
    </w:p>
    <w:p w14:paraId="4F1327F8" w14:textId="77777777" w:rsidR="00600535" w:rsidRPr="00226270" w:rsidRDefault="00600535" w:rsidP="00600535">
      <w:pPr>
        <w:pStyle w:val="CETReference"/>
      </w:pPr>
      <w:r w:rsidRPr="00226270">
        <w:t>References</w:t>
      </w:r>
    </w:p>
    <w:p w14:paraId="17DAF44F" w14:textId="34745813" w:rsidR="0050749F" w:rsidRPr="00226270" w:rsidRDefault="0050749F" w:rsidP="0050749F">
      <w:pPr>
        <w:pStyle w:val="CETReferencetext"/>
      </w:pPr>
      <w:r w:rsidRPr="00226270">
        <w:t xml:space="preserve">Briggs, Gilbert Arthur. Plume Rise. Air Resources Atmospheric Turbulence and Diffusion Laboratory. Environmental Science Services Administration. 1969. Oak Ridge, Tennessee. </w:t>
      </w:r>
    </w:p>
    <w:p w14:paraId="6E639F0D" w14:textId="77777777" w:rsidR="00A41A0E" w:rsidRPr="00226270" w:rsidRDefault="00A41A0E" w:rsidP="0050749F">
      <w:pPr>
        <w:pStyle w:val="CETReferencetext"/>
      </w:pPr>
    </w:p>
    <w:p w14:paraId="45DB299B" w14:textId="7ED9A0DE" w:rsidR="0050749F" w:rsidRPr="00226270" w:rsidRDefault="0050749F" w:rsidP="0050749F">
      <w:pPr>
        <w:pStyle w:val="CETReferencetext"/>
      </w:pPr>
      <w:r w:rsidRPr="00226270">
        <w:t xml:space="preserve">Hall, D., </w:t>
      </w:r>
      <w:proofErr w:type="spellStart"/>
      <w:r w:rsidRPr="00226270">
        <w:t>Kukadia</w:t>
      </w:r>
      <w:proofErr w:type="spellEnd"/>
      <w:r w:rsidRPr="00226270">
        <w:t xml:space="preserve">, V., Walker, S., &amp; </w:t>
      </w:r>
      <w:proofErr w:type="spellStart"/>
      <w:r w:rsidRPr="00226270">
        <w:t>Marsland</w:t>
      </w:r>
      <w:proofErr w:type="spellEnd"/>
      <w:r w:rsidRPr="00226270">
        <w:t>, G. Watford. Plume dispersion from chemical warehouse fires. Building Research Establishment. 1995. UK.</w:t>
      </w:r>
    </w:p>
    <w:p w14:paraId="7DFD5B42" w14:textId="77777777" w:rsidR="00A41A0E" w:rsidRPr="00226270" w:rsidRDefault="00A41A0E" w:rsidP="0050749F">
      <w:pPr>
        <w:pStyle w:val="CETReferencetext"/>
      </w:pPr>
    </w:p>
    <w:p w14:paraId="03D7EDEA" w14:textId="7BA2E17E" w:rsidR="0050749F" w:rsidRPr="00226270" w:rsidRDefault="0050749F" w:rsidP="0050749F">
      <w:pPr>
        <w:pStyle w:val="CETReferencetext"/>
      </w:pPr>
      <w:r w:rsidRPr="00226270">
        <w:t>Mills, M.T. Modelling the release and dispersion of toxic combustion products from chemical fires. International Conference on Vapor Cloud Modelling. November 1987. Boston, Massachusetts.</w:t>
      </w:r>
    </w:p>
    <w:p w14:paraId="32B19BFB" w14:textId="77777777" w:rsidR="00A41A0E" w:rsidRPr="00226270" w:rsidRDefault="00A41A0E" w:rsidP="0050749F">
      <w:pPr>
        <w:pStyle w:val="CETReferencetext"/>
      </w:pPr>
    </w:p>
    <w:p w14:paraId="0DCECBE1" w14:textId="62B9B3BD" w:rsidR="0050749F" w:rsidRPr="00226270" w:rsidRDefault="0050749F" w:rsidP="0050749F">
      <w:pPr>
        <w:pStyle w:val="CETReferencetext"/>
      </w:pPr>
      <w:r w:rsidRPr="00226270">
        <w:t xml:space="preserve">Morton, B., Taylor, G., &amp; </w:t>
      </w:r>
      <w:proofErr w:type="spellStart"/>
      <w:r w:rsidRPr="00226270">
        <w:t>Turnen</w:t>
      </w:r>
      <w:proofErr w:type="spellEnd"/>
      <w:r w:rsidRPr="00226270">
        <w:t xml:space="preserve">, J. Turbulent Gravitational Convection from Maintained and Instantaneous Sources. Proceedings of the Royal Society of London. 234: 1-23. 1956. London, UK. </w:t>
      </w:r>
    </w:p>
    <w:p w14:paraId="09314569" w14:textId="77777777" w:rsidR="00A41A0E" w:rsidRPr="00226270" w:rsidRDefault="00A41A0E" w:rsidP="0050749F">
      <w:pPr>
        <w:pStyle w:val="CETReferencetext"/>
      </w:pPr>
    </w:p>
    <w:p w14:paraId="51702E1C" w14:textId="42408843" w:rsidR="0050749F" w:rsidRPr="00226270" w:rsidRDefault="0050749F" w:rsidP="0050749F">
      <w:pPr>
        <w:pStyle w:val="CETReferencetext"/>
      </w:pPr>
      <w:r w:rsidRPr="00226270">
        <w:t xml:space="preserve">Yellow Book. Methods for the calculation of physical effects due to release of hazardous materials (liquids and gases). CPR14E. 2nd Edition, 1992. The Hague, The Netherlands. </w:t>
      </w:r>
    </w:p>
    <w:p w14:paraId="40B8583E" w14:textId="77777777" w:rsidR="00A41A0E" w:rsidRPr="00226270" w:rsidRDefault="00A41A0E" w:rsidP="0050749F">
      <w:pPr>
        <w:pStyle w:val="CETReferencetext"/>
      </w:pPr>
    </w:p>
    <w:p w14:paraId="19C4FC68" w14:textId="7B725B70" w:rsidR="004628D2" w:rsidRPr="00226270" w:rsidRDefault="004628D2" w:rsidP="00B55E61">
      <w:pPr>
        <w:pStyle w:val="CETReferencetext"/>
        <w:ind w:left="0" w:firstLine="0"/>
      </w:pPr>
    </w:p>
    <w:sectPr w:rsidR="004628D2" w:rsidRPr="00226270"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66594" w14:textId="77777777" w:rsidR="009A7F9A" w:rsidRDefault="009A7F9A" w:rsidP="004F5E36">
      <w:r>
        <w:separator/>
      </w:r>
    </w:p>
  </w:endnote>
  <w:endnote w:type="continuationSeparator" w:id="0">
    <w:p w14:paraId="73CB33DE" w14:textId="77777777" w:rsidR="009A7F9A" w:rsidRDefault="009A7F9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0ADE5" w14:textId="77777777" w:rsidR="009A7F9A" w:rsidRDefault="009A7F9A" w:rsidP="004F5E36">
      <w:r>
        <w:separator/>
      </w:r>
    </w:p>
  </w:footnote>
  <w:footnote w:type="continuationSeparator" w:id="0">
    <w:p w14:paraId="4BAD937A" w14:textId="77777777" w:rsidR="009A7F9A" w:rsidRDefault="009A7F9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9F1669"/>
    <w:multiLevelType w:val="hybridMultilevel"/>
    <w:tmpl w:val="002AB1E6"/>
    <w:lvl w:ilvl="0" w:tplc="ECA8A582">
      <w:start w:val="2"/>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27B4883"/>
    <w:multiLevelType w:val="hybridMultilevel"/>
    <w:tmpl w:val="39CCA5A8"/>
    <w:lvl w:ilvl="0" w:tplc="BC60434C">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F007973"/>
    <w:multiLevelType w:val="hybridMultilevel"/>
    <w:tmpl w:val="B574C048"/>
    <w:lvl w:ilvl="0" w:tplc="310AB17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2"/>
  </w:num>
  <w:num w:numId="16">
    <w:abstractNumId w:val="21"/>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7"/>
  </w:num>
  <w:num w:numId="24">
    <w:abstractNumId w:val="10"/>
    <w:lvlOverride w:ilvl="0">
      <w:startOverride w:val="1"/>
    </w:lvlOverride>
    <w:lvlOverride w:ilvl="1">
      <w:startOverride w:val="2"/>
    </w:lvlOverride>
  </w:num>
  <w:num w:numId="25">
    <w:abstractNumId w:val="2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2E0"/>
    <w:rsid w:val="000027C0"/>
    <w:rsid w:val="000052FB"/>
    <w:rsid w:val="000059C5"/>
    <w:rsid w:val="00010370"/>
    <w:rsid w:val="000117CB"/>
    <w:rsid w:val="00014403"/>
    <w:rsid w:val="000144CE"/>
    <w:rsid w:val="00014DF4"/>
    <w:rsid w:val="00016057"/>
    <w:rsid w:val="00025392"/>
    <w:rsid w:val="0003107D"/>
    <w:rsid w:val="0003119B"/>
    <w:rsid w:val="0003148D"/>
    <w:rsid w:val="00031EEC"/>
    <w:rsid w:val="0003747C"/>
    <w:rsid w:val="00040B12"/>
    <w:rsid w:val="000419AD"/>
    <w:rsid w:val="00050D41"/>
    <w:rsid w:val="00051566"/>
    <w:rsid w:val="00054316"/>
    <w:rsid w:val="000560E5"/>
    <w:rsid w:val="00062A9A"/>
    <w:rsid w:val="000649DA"/>
    <w:rsid w:val="00065058"/>
    <w:rsid w:val="000672DF"/>
    <w:rsid w:val="00067E4C"/>
    <w:rsid w:val="000713A0"/>
    <w:rsid w:val="00076019"/>
    <w:rsid w:val="000845FF"/>
    <w:rsid w:val="00086C39"/>
    <w:rsid w:val="000946AF"/>
    <w:rsid w:val="000A03B2"/>
    <w:rsid w:val="000A0A22"/>
    <w:rsid w:val="000A20F5"/>
    <w:rsid w:val="000A4797"/>
    <w:rsid w:val="000A4B8C"/>
    <w:rsid w:val="000B3003"/>
    <w:rsid w:val="000B4398"/>
    <w:rsid w:val="000B6C29"/>
    <w:rsid w:val="000C07EA"/>
    <w:rsid w:val="000D0268"/>
    <w:rsid w:val="000D34BE"/>
    <w:rsid w:val="000D7C43"/>
    <w:rsid w:val="000E102F"/>
    <w:rsid w:val="000E36F1"/>
    <w:rsid w:val="000E3A73"/>
    <w:rsid w:val="000E414A"/>
    <w:rsid w:val="000F0776"/>
    <w:rsid w:val="000F093C"/>
    <w:rsid w:val="000F1AE3"/>
    <w:rsid w:val="000F2091"/>
    <w:rsid w:val="000F2736"/>
    <w:rsid w:val="000F2820"/>
    <w:rsid w:val="000F787B"/>
    <w:rsid w:val="0010144B"/>
    <w:rsid w:val="0012036A"/>
    <w:rsid w:val="0012091F"/>
    <w:rsid w:val="00125800"/>
    <w:rsid w:val="00126BC2"/>
    <w:rsid w:val="001308B6"/>
    <w:rsid w:val="0013121F"/>
    <w:rsid w:val="00131FE6"/>
    <w:rsid w:val="0013263F"/>
    <w:rsid w:val="001331DF"/>
    <w:rsid w:val="00134DE4"/>
    <w:rsid w:val="00135142"/>
    <w:rsid w:val="0014034D"/>
    <w:rsid w:val="00144B79"/>
    <w:rsid w:val="00144B8E"/>
    <w:rsid w:val="00144D16"/>
    <w:rsid w:val="00150E59"/>
    <w:rsid w:val="00152DE3"/>
    <w:rsid w:val="00155B80"/>
    <w:rsid w:val="0016250B"/>
    <w:rsid w:val="00164CF9"/>
    <w:rsid w:val="001663DA"/>
    <w:rsid w:val="001667A6"/>
    <w:rsid w:val="00167B23"/>
    <w:rsid w:val="0017449A"/>
    <w:rsid w:val="00174BB7"/>
    <w:rsid w:val="00175053"/>
    <w:rsid w:val="00183E2C"/>
    <w:rsid w:val="00184AD6"/>
    <w:rsid w:val="00186F62"/>
    <w:rsid w:val="001907EB"/>
    <w:rsid w:val="00197F01"/>
    <w:rsid w:val="001A1000"/>
    <w:rsid w:val="001A4AF7"/>
    <w:rsid w:val="001B0349"/>
    <w:rsid w:val="001B1E93"/>
    <w:rsid w:val="001B5D12"/>
    <w:rsid w:val="001B65C1"/>
    <w:rsid w:val="001B7495"/>
    <w:rsid w:val="001B7B23"/>
    <w:rsid w:val="001C684B"/>
    <w:rsid w:val="001C7276"/>
    <w:rsid w:val="001C7D4A"/>
    <w:rsid w:val="001C7DDC"/>
    <w:rsid w:val="001D0CFB"/>
    <w:rsid w:val="001D53FC"/>
    <w:rsid w:val="001D70BB"/>
    <w:rsid w:val="001E3A92"/>
    <w:rsid w:val="001E5A28"/>
    <w:rsid w:val="001E632F"/>
    <w:rsid w:val="001F42A5"/>
    <w:rsid w:val="001F4D37"/>
    <w:rsid w:val="001F7A1E"/>
    <w:rsid w:val="001F7B9D"/>
    <w:rsid w:val="00201C93"/>
    <w:rsid w:val="002111D7"/>
    <w:rsid w:val="00213E0A"/>
    <w:rsid w:val="00214398"/>
    <w:rsid w:val="00216F46"/>
    <w:rsid w:val="00217ACF"/>
    <w:rsid w:val="0022179B"/>
    <w:rsid w:val="002224B4"/>
    <w:rsid w:val="002237E4"/>
    <w:rsid w:val="00226270"/>
    <w:rsid w:val="002278F5"/>
    <w:rsid w:val="002413F3"/>
    <w:rsid w:val="00244330"/>
    <w:rsid w:val="002447EF"/>
    <w:rsid w:val="00246D8F"/>
    <w:rsid w:val="00251550"/>
    <w:rsid w:val="0025307A"/>
    <w:rsid w:val="00253654"/>
    <w:rsid w:val="002543D8"/>
    <w:rsid w:val="00255BE3"/>
    <w:rsid w:val="00255C2B"/>
    <w:rsid w:val="002570DF"/>
    <w:rsid w:val="00263B05"/>
    <w:rsid w:val="002666A1"/>
    <w:rsid w:val="0027221A"/>
    <w:rsid w:val="00275B61"/>
    <w:rsid w:val="00277E34"/>
    <w:rsid w:val="00280FAF"/>
    <w:rsid w:val="00282656"/>
    <w:rsid w:val="0028625E"/>
    <w:rsid w:val="00287BFB"/>
    <w:rsid w:val="00287D15"/>
    <w:rsid w:val="00294997"/>
    <w:rsid w:val="00296B83"/>
    <w:rsid w:val="00297370"/>
    <w:rsid w:val="002A2A19"/>
    <w:rsid w:val="002A3C84"/>
    <w:rsid w:val="002A4DB5"/>
    <w:rsid w:val="002B4015"/>
    <w:rsid w:val="002B78CE"/>
    <w:rsid w:val="002C2FB6"/>
    <w:rsid w:val="002C4628"/>
    <w:rsid w:val="002D35E1"/>
    <w:rsid w:val="002E46E7"/>
    <w:rsid w:val="002E5FA7"/>
    <w:rsid w:val="002F3309"/>
    <w:rsid w:val="003008CE"/>
    <w:rsid w:val="003009B7"/>
    <w:rsid w:val="00300E56"/>
    <w:rsid w:val="0030343A"/>
    <w:rsid w:val="0030469C"/>
    <w:rsid w:val="00316130"/>
    <w:rsid w:val="00320F8F"/>
    <w:rsid w:val="003217C8"/>
    <w:rsid w:val="00321CA6"/>
    <w:rsid w:val="00323763"/>
    <w:rsid w:val="00323CC6"/>
    <w:rsid w:val="00326045"/>
    <w:rsid w:val="00332788"/>
    <w:rsid w:val="00334C09"/>
    <w:rsid w:val="00340B4F"/>
    <w:rsid w:val="0034669D"/>
    <w:rsid w:val="00353935"/>
    <w:rsid w:val="003616FA"/>
    <w:rsid w:val="003723D4"/>
    <w:rsid w:val="00377E3F"/>
    <w:rsid w:val="0038179E"/>
    <w:rsid w:val="00381905"/>
    <w:rsid w:val="003834B3"/>
    <w:rsid w:val="00384CC8"/>
    <w:rsid w:val="003871FD"/>
    <w:rsid w:val="003945A8"/>
    <w:rsid w:val="0039523A"/>
    <w:rsid w:val="00395928"/>
    <w:rsid w:val="00396C7A"/>
    <w:rsid w:val="003A1E30"/>
    <w:rsid w:val="003A2829"/>
    <w:rsid w:val="003A3F82"/>
    <w:rsid w:val="003A454B"/>
    <w:rsid w:val="003A7D1C"/>
    <w:rsid w:val="003B304B"/>
    <w:rsid w:val="003B3146"/>
    <w:rsid w:val="003B6336"/>
    <w:rsid w:val="003B6751"/>
    <w:rsid w:val="003C1762"/>
    <w:rsid w:val="003D0E7C"/>
    <w:rsid w:val="003D7724"/>
    <w:rsid w:val="003D7CBD"/>
    <w:rsid w:val="003E1F18"/>
    <w:rsid w:val="003E478C"/>
    <w:rsid w:val="003E57E1"/>
    <w:rsid w:val="003E5A11"/>
    <w:rsid w:val="003F015E"/>
    <w:rsid w:val="003F47D6"/>
    <w:rsid w:val="003F7AE2"/>
    <w:rsid w:val="00400414"/>
    <w:rsid w:val="0041175A"/>
    <w:rsid w:val="00411984"/>
    <w:rsid w:val="0041446B"/>
    <w:rsid w:val="00415BE9"/>
    <w:rsid w:val="00424AAD"/>
    <w:rsid w:val="0043272F"/>
    <w:rsid w:val="00432B37"/>
    <w:rsid w:val="004336F9"/>
    <w:rsid w:val="004424E0"/>
    <w:rsid w:val="00442FFE"/>
    <w:rsid w:val="0044329C"/>
    <w:rsid w:val="00446AE1"/>
    <w:rsid w:val="00450529"/>
    <w:rsid w:val="004523EF"/>
    <w:rsid w:val="00453E24"/>
    <w:rsid w:val="004561C5"/>
    <w:rsid w:val="004566F6"/>
    <w:rsid w:val="00457456"/>
    <w:rsid w:val="004577FE"/>
    <w:rsid w:val="00457B9C"/>
    <w:rsid w:val="004613F0"/>
    <w:rsid w:val="0046164A"/>
    <w:rsid w:val="004628D2"/>
    <w:rsid w:val="00462DCD"/>
    <w:rsid w:val="004648AD"/>
    <w:rsid w:val="004703A9"/>
    <w:rsid w:val="004760DE"/>
    <w:rsid w:val="004763D7"/>
    <w:rsid w:val="00480C7B"/>
    <w:rsid w:val="00481F95"/>
    <w:rsid w:val="00484939"/>
    <w:rsid w:val="00484CDE"/>
    <w:rsid w:val="00486B61"/>
    <w:rsid w:val="0049067A"/>
    <w:rsid w:val="00497312"/>
    <w:rsid w:val="004A004E"/>
    <w:rsid w:val="004A24CF"/>
    <w:rsid w:val="004A2D0D"/>
    <w:rsid w:val="004A2D3E"/>
    <w:rsid w:val="004C0274"/>
    <w:rsid w:val="004C3D1D"/>
    <w:rsid w:val="004C7913"/>
    <w:rsid w:val="004D1693"/>
    <w:rsid w:val="004D49AE"/>
    <w:rsid w:val="004E4DD6"/>
    <w:rsid w:val="004F5E36"/>
    <w:rsid w:val="004F6AF7"/>
    <w:rsid w:val="0050363B"/>
    <w:rsid w:val="0050749F"/>
    <w:rsid w:val="00507B47"/>
    <w:rsid w:val="00507BEF"/>
    <w:rsid w:val="00507CC9"/>
    <w:rsid w:val="005119A5"/>
    <w:rsid w:val="005126B7"/>
    <w:rsid w:val="00522F45"/>
    <w:rsid w:val="00526DFB"/>
    <w:rsid w:val="005278B7"/>
    <w:rsid w:val="00532016"/>
    <w:rsid w:val="005346C8"/>
    <w:rsid w:val="00534A22"/>
    <w:rsid w:val="00535FF1"/>
    <w:rsid w:val="00543E7D"/>
    <w:rsid w:val="00547A68"/>
    <w:rsid w:val="00550C2B"/>
    <w:rsid w:val="005531C9"/>
    <w:rsid w:val="005645A0"/>
    <w:rsid w:val="00570C43"/>
    <w:rsid w:val="005714CA"/>
    <w:rsid w:val="00571CF3"/>
    <w:rsid w:val="00576A53"/>
    <w:rsid w:val="00586E26"/>
    <w:rsid w:val="00592B41"/>
    <w:rsid w:val="00595E72"/>
    <w:rsid w:val="005A29E8"/>
    <w:rsid w:val="005B1C75"/>
    <w:rsid w:val="005B2110"/>
    <w:rsid w:val="005B61E6"/>
    <w:rsid w:val="005B7EEC"/>
    <w:rsid w:val="005C77E1"/>
    <w:rsid w:val="005D21DE"/>
    <w:rsid w:val="005D668A"/>
    <w:rsid w:val="005D6A2F"/>
    <w:rsid w:val="005D7AAC"/>
    <w:rsid w:val="005E02DB"/>
    <w:rsid w:val="005E03FB"/>
    <w:rsid w:val="005E1A82"/>
    <w:rsid w:val="005E794C"/>
    <w:rsid w:val="005F0A28"/>
    <w:rsid w:val="005F0E5E"/>
    <w:rsid w:val="005F23A2"/>
    <w:rsid w:val="00600535"/>
    <w:rsid w:val="00602E66"/>
    <w:rsid w:val="006042EE"/>
    <w:rsid w:val="00607E01"/>
    <w:rsid w:val="00610CD6"/>
    <w:rsid w:val="00613E16"/>
    <w:rsid w:val="00620DEE"/>
    <w:rsid w:val="0062169D"/>
    <w:rsid w:val="00621F92"/>
    <w:rsid w:val="006223B9"/>
    <w:rsid w:val="0062280A"/>
    <w:rsid w:val="006241EB"/>
    <w:rsid w:val="00625639"/>
    <w:rsid w:val="00631B33"/>
    <w:rsid w:val="006329F6"/>
    <w:rsid w:val="00640432"/>
    <w:rsid w:val="0064184D"/>
    <w:rsid w:val="006422CC"/>
    <w:rsid w:val="00642CA8"/>
    <w:rsid w:val="00660E3E"/>
    <w:rsid w:val="006612AB"/>
    <w:rsid w:val="00662E74"/>
    <w:rsid w:val="00662F07"/>
    <w:rsid w:val="006638FF"/>
    <w:rsid w:val="00666C53"/>
    <w:rsid w:val="00673CFF"/>
    <w:rsid w:val="00676D4B"/>
    <w:rsid w:val="00680C23"/>
    <w:rsid w:val="00682669"/>
    <w:rsid w:val="00683FBF"/>
    <w:rsid w:val="00687DFB"/>
    <w:rsid w:val="00693766"/>
    <w:rsid w:val="006A03BA"/>
    <w:rsid w:val="006A3281"/>
    <w:rsid w:val="006B163E"/>
    <w:rsid w:val="006B1CB7"/>
    <w:rsid w:val="006B4888"/>
    <w:rsid w:val="006C2E45"/>
    <w:rsid w:val="006C359C"/>
    <w:rsid w:val="006C3B7A"/>
    <w:rsid w:val="006C4225"/>
    <w:rsid w:val="006C5579"/>
    <w:rsid w:val="006D3EF8"/>
    <w:rsid w:val="006D6E8B"/>
    <w:rsid w:val="006E1740"/>
    <w:rsid w:val="006E1800"/>
    <w:rsid w:val="006E2639"/>
    <w:rsid w:val="006E737D"/>
    <w:rsid w:val="006F5140"/>
    <w:rsid w:val="0071102E"/>
    <w:rsid w:val="00711A8B"/>
    <w:rsid w:val="00711F7A"/>
    <w:rsid w:val="00713973"/>
    <w:rsid w:val="00713F9C"/>
    <w:rsid w:val="007144FD"/>
    <w:rsid w:val="00720A24"/>
    <w:rsid w:val="007274F2"/>
    <w:rsid w:val="00732386"/>
    <w:rsid w:val="0073514D"/>
    <w:rsid w:val="00741092"/>
    <w:rsid w:val="0074391D"/>
    <w:rsid w:val="007447F3"/>
    <w:rsid w:val="007529B6"/>
    <w:rsid w:val="0075499F"/>
    <w:rsid w:val="00755605"/>
    <w:rsid w:val="0075564B"/>
    <w:rsid w:val="00755B41"/>
    <w:rsid w:val="007641B3"/>
    <w:rsid w:val="007656C0"/>
    <w:rsid w:val="007661C8"/>
    <w:rsid w:val="00766BC1"/>
    <w:rsid w:val="0077098D"/>
    <w:rsid w:val="0077569D"/>
    <w:rsid w:val="00780F22"/>
    <w:rsid w:val="00783E11"/>
    <w:rsid w:val="00783E89"/>
    <w:rsid w:val="00791D85"/>
    <w:rsid w:val="007931FA"/>
    <w:rsid w:val="007A10E1"/>
    <w:rsid w:val="007A4861"/>
    <w:rsid w:val="007A7966"/>
    <w:rsid w:val="007A7BBA"/>
    <w:rsid w:val="007B0562"/>
    <w:rsid w:val="007B0C50"/>
    <w:rsid w:val="007B371C"/>
    <w:rsid w:val="007B48F9"/>
    <w:rsid w:val="007B7622"/>
    <w:rsid w:val="007C1A43"/>
    <w:rsid w:val="007C2DAA"/>
    <w:rsid w:val="007C3910"/>
    <w:rsid w:val="007C7247"/>
    <w:rsid w:val="007E0ED4"/>
    <w:rsid w:val="007E5FDE"/>
    <w:rsid w:val="007F27F8"/>
    <w:rsid w:val="007F2FBD"/>
    <w:rsid w:val="0080013E"/>
    <w:rsid w:val="00811EB8"/>
    <w:rsid w:val="00813288"/>
    <w:rsid w:val="00816078"/>
    <w:rsid w:val="008168FC"/>
    <w:rsid w:val="00821AE3"/>
    <w:rsid w:val="0082575D"/>
    <w:rsid w:val="00830996"/>
    <w:rsid w:val="00830A82"/>
    <w:rsid w:val="008330C4"/>
    <w:rsid w:val="008345F1"/>
    <w:rsid w:val="00840B93"/>
    <w:rsid w:val="00845B92"/>
    <w:rsid w:val="00850EA8"/>
    <w:rsid w:val="00852106"/>
    <w:rsid w:val="0085381F"/>
    <w:rsid w:val="00855068"/>
    <w:rsid w:val="008651DA"/>
    <w:rsid w:val="00865B07"/>
    <w:rsid w:val="008667EA"/>
    <w:rsid w:val="00871991"/>
    <w:rsid w:val="00873299"/>
    <w:rsid w:val="008739AC"/>
    <w:rsid w:val="00873EB2"/>
    <w:rsid w:val="00874FF5"/>
    <w:rsid w:val="0087637F"/>
    <w:rsid w:val="00886CCF"/>
    <w:rsid w:val="00892AD5"/>
    <w:rsid w:val="008A10ED"/>
    <w:rsid w:val="008A1512"/>
    <w:rsid w:val="008B59E8"/>
    <w:rsid w:val="008C138E"/>
    <w:rsid w:val="008C5177"/>
    <w:rsid w:val="008C60BD"/>
    <w:rsid w:val="008C699E"/>
    <w:rsid w:val="008D03A2"/>
    <w:rsid w:val="008D0BFC"/>
    <w:rsid w:val="008D32B9"/>
    <w:rsid w:val="008D433B"/>
    <w:rsid w:val="008D5B0C"/>
    <w:rsid w:val="008E2237"/>
    <w:rsid w:val="008E566E"/>
    <w:rsid w:val="008E61C6"/>
    <w:rsid w:val="008E6903"/>
    <w:rsid w:val="008F047E"/>
    <w:rsid w:val="008F4D2E"/>
    <w:rsid w:val="008F776D"/>
    <w:rsid w:val="0090161A"/>
    <w:rsid w:val="00901EB6"/>
    <w:rsid w:val="00904C62"/>
    <w:rsid w:val="00922BA8"/>
    <w:rsid w:val="00924DAC"/>
    <w:rsid w:val="00927058"/>
    <w:rsid w:val="00931624"/>
    <w:rsid w:val="00936CAC"/>
    <w:rsid w:val="00941D80"/>
    <w:rsid w:val="00942750"/>
    <w:rsid w:val="00942CBD"/>
    <w:rsid w:val="009450CE"/>
    <w:rsid w:val="00947179"/>
    <w:rsid w:val="00950AFB"/>
    <w:rsid w:val="0095164B"/>
    <w:rsid w:val="009516CB"/>
    <w:rsid w:val="00954090"/>
    <w:rsid w:val="009573E7"/>
    <w:rsid w:val="009616FF"/>
    <w:rsid w:val="00962450"/>
    <w:rsid w:val="00963E05"/>
    <w:rsid w:val="00967843"/>
    <w:rsid w:val="00967D54"/>
    <w:rsid w:val="00971028"/>
    <w:rsid w:val="0097185E"/>
    <w:rsid w:val="00993B84"/>
    <w:rsid w:val="00996483"/>
    <w:rsid w:val="00996F5A"/>
    <w:rsid w:val="009A14E8"/>
    <w:rsid w:val="009A2902"/>
    <w:rsid w:val="009A7F9A"/>
    <w:rsid w:val="009B041A"/>
    <w:rsid w:val="009C008C"/>
    <w:rsid w:val="009C37C3"/>
    <w:rsid w:val="009C7C86"/>
    <w:rsid w:val="009D24E5"/>
    <w:rsid w:val="009D2FF7"/>
    <w:rsid w:val="009E0738"/>
    <w:rsid w:val="009E24DF"/>
    <w:rsid w:val="009E2D06"/>
    <w:rsid w:val="009E677B"/>
    <w:rsid w:val="009E76CA"/>
    <w:rsid w:val="009E7884"/>
    <w:rsid w:val="009E788A"/>
    <w:rsid w:val="009F0E08"/>
    <w:rsid w:val="009F2BC1"/>
    <w:rsid w:val="009F62B6"/>
    <w:rsid w:val="009F68B2"/>
    <w:rsid w:val="009F74B1"/>
    <w:rsid w:val="00A00977"/>
    <w:rsid w:val="00A1763D"/>
    <w:rsid w:val="00A17CEC"/>
    <w:rsid w:val="00A27EB0"/>
    <w:rsid w:val="00A27EF0"/>
    <w:rsid w:val="00A41A0E"/>
    <w:rsid w:val="00A42361"/>
    <w:rsid w:val="00A45393"/>
    <w:rsid w:val="00A50B20"/>
    <w:rsid w:val="00A51390"/>
    <w:rsid w:val="00A57F94"/>
    <w:rsid w:val="00A60D13"/>
    <w:rsid w:val="00A65344"/>
    <w:rsid w:val="00A65D7B"/>
    <w:rsid w:val="00A72745"/>
    <w:rsid w:val="00A76EFC"/>
    <w:rsid w:val="00A8168D"/>
    <w:rsid w:val="00A87454"/>
    <w:rsid w:val="00A87DAC"/>
    <w:rsid w:val="00A91010"/>
    <w:rsid w:val="00A96BEE"/>
    <w:rsid w:val="00A97F29"/>
    <w:rsid w:val="00AA16BF"/>
    <w:rsid w:val="00AA4682"/>
    <w:rsid w:val="00AA702E"/>
    <w:rsid w:val="00AB0964"/>
    <w:rsid w:val="00AB26E9"/>
    <w:rsid w:val="00AB5011"/>
    <w:rsid w:val="00AB6ECA"/>
    <w:rsid w:val="00AB7F4E"/>
    <w:rsid w:val="00AC19A2"/>
    <w:rsid w:val="00AC7368"/>
    <w:rsid w:val="00AD16B9"/>
    <w:rsid w:val="00AD2A7A"/>
    <w:rsid w:val="00AD3302"/>
    <w:rsid w:val="00AD34BA"/>
    <w:rsid w:val="00AD6E5C"/>
    <w:rsid w:val="00AE377D"/>
    <w:rsid w:val="00AF0EBA"/>
    <w:rsid w:val="00AF148A"/>
    <w:rsid w:val="00AF2FB8"/>
    <w:rsid w:val="00AF34FD"/>
    <w:rsid w:val="00AF7EF4"/>
    <w:rsid w:val="00B02C8A"/>
    <w:rsid w:val="00B04084"/>
    <w:rsid w:val="00B07F40"/>
    <w:rsid w:val="00B11C02"/>
    <w:rsid w:val="00B13444"/>
    <w:rsid w:val="00B17FBD"/>
    <w:rsid w:val="00B315A6"/>
    <w:rsid w:val="00B31813"/>
    <w:rsid w:val="00B33365"/>
    <w:rsid w:val="00B340D4"/>
    <w:rsid w:val="00B4157D"/>
    <w:rsid w:val="00B46199"/>
    <w:rsid w:val="00B46435"/>
    <w:rsid w:val="00B55E61"/>
    <w:rsid w:val="00B57B36"/>
    <w:rsid w:val="00B57E6F"/>
    <w:rsid w:val="00B71AF6"/>
    <w:rsid w:val="00B85D48"/>
    <w:rsid w:val="00B8686D"/>
    <w:rsid w:val="00B93F69"/>
    <w:rsid w:val="00B94045"/>
    <w:rsid w:val="00BA3E2E"/>
    <w:rsid w:val="00BB1DDC"/>
    <w:rsid w:val="00BB29DE"/>
    <w:rsid w:val="00BC18EB"/>
    <w:rsid w:val="00BC30C9"/>
    <w:rsid w:val="00BC55D8"/>
    <w:rsid w:val="00BD077D"/>
    <w:rsid w:val="00BD67E8"/>
    <w:rsid w:val="00BD7A20"/>
    <w:rsid w:val="00BE0A0D"/>
    <w:rsid w:val="00BE3E58"/>
    <w:rsid w:val="00BE64E4"/>
    <w:rsid w:val="00BE6F56"/>
    <w:rsid w:val="00BE777D"/>
    <w:rsid w:val="00BF0206"/>
    <w:rsid w:val="00BF3F1E"/>
    <w:rsid w:val="00C01616"/>
    <w:rsid w:val="00C0162B"/>
    <w:rsid w:val="00C0235B"/>
    <w:rsid w:val="00C0314C"/>
    <w:rsid w:val="00C068ED"/>
    <w:rsid w:val="00C118D7"/>
    <w:rsid w:val="00C1368C"/>
    <w:rsid w:val="00C13F96"/>
    <w:rsid w:val="00C1631B"/>
    <w:rsid w:val="00C203B3"/>
    <w:rsid w:val="00C22E0C"/>
    <w:rsid w:val="00C345B1"/>
    <w:rsid w:val="00C36698"/>
    <w:rsid w:val="00C40142"/>
    <w:rsid w:val="00C40EAC"/>
    <w:rsid w:val="00C4491B"/>
    <w:rsid w:val="00C5144A"/>
    <w:rsid w:val="00C524BF"/>
    <w:rsid w:val="00C52C3C"/>
    <w:rsid w:val="00C56CE2"/>
    <w:rsid w:val="00C57182"/>
    <w:rsid w:val="00C57863"/>
    <w:rsid w:val="00C60E7A"/>
    <w:rsid w:val="00C619E1"/>
    <w:rsid w:val="00C655FD"/>
    <w:rsid w:val="00C65A55"/>
    <w:rsid w:val="00C66AD8"/>
    <w:rsid w:val="00C74DD4"/>
    <w:rsid w:val="00C75407"/>
    <w:rsid w:val="00C7753C"/>
    <w:rsid w:val="00C870A8"/>
    <w:rsid w:val="00C94434"/>
    <w:rsid w:val="00C94AA8"/>
    <w:rsid w:val="00C9622B"/>
    <w:rsid w:val="00CA0D75"/>
    <w:rsid w:val="00CA1C95"/>
    <w:rsid w:val="00CA5A9C"/>
    <w:rsid w:val="00CB216E"/>
    <w:rsid w:val="00CC40A9"/>
    <w:rsid w:val="00CC4C20"/>
    <w:rsid w:val="00CC5CD4"/>
    <w:rsid w:val="00CD0E6A"/>
    <w:rsid w:val="00CD231C"/>
    <w:rsid w:val="00CD2736"/>
    <w:rsid w:val="00CD3517"/>
    <w:rsid w:val="00CD5FE2"/>
    <w:rsid w:val="00CE7BEE"/>
    <w:rsid w:val="00CE7C68"/>
    <w:rsid w:val="00D026E1"/>
    <w:rsid w:val="00D027E0"/>
    <w:rsid w:val="00D02B4C"/>
    <w:rsid w:val="00D040C4"/>
    <w:rsid w:val="00D1263B"/>
    <w:rsid w:val="00D12F60"/>
    <w:rsid w:val="00D14026"/>
    <w:rsid w:val="00D2114C"/>
    <w:rsid w:val="00D23137"/>
    <w:rsid w:val="00D30478"/>
    <w:rsid w:val="00D46B7E"/>
    <w:rsid w:val="00D57C84"/>
    <w:rsid w:val="00D6057D"/>
    <w:rsid w:val="00D67633"/>
    <w:rsid w:val="00D71FFF"/>
    <w:rsid w:val="00D7566D"/>
    <w:rsid w:val="00D77AF7"/>
    <w:rsid w:val="00D836C5"/>
    <w:rsid w:val="00D84444"/>
    <w:rsid w:val="00D84576"/>
    <w:rsid w:val="00D9005D"/>
    <w:rsid w:val="00D9126D"/>
    <w:rsid w:val="00D97947"/>
    <w:rsid w:val="00DA1399"/>
    <w:rsid w:val="00DA24C6"/>
    <w:rsid w:val="00DA4D7B"/>
    <w:rsid w:val="00DA7856"/>
    <w:rsid w:val="00DB4ACE"/>
    <w:rsid w:val="00DB7641"/>
    <w:rsid w:val="00DC2C45"/>
    <w:rsid w:val="00DC5CAA"/>
    <w:rsid w:val="00DD3190"/>
    <w:rsid w:val="00DD4932"/>
    <w:rsid w:val="00DE264A"/>
    <w:rsid w:val="00DE4E93"/>
    <w:rsid w:val="00DF5072"/>
    <w:rsid w:val="00DF7448"/>
    <w:rsid w:val="00E01291"/>
    <w:rsid w:val="00E02D18"/>
    <w:rsid w:val="00E03D6E"/>
    <w:rsid w:val="00E041E7"/>
    <w:rsid w:val="00E042AC"/>
    <w:rsid w:val="00E07CA2"/>
    <w:rsid w:val="00E11BC8"/>
    <w:rsid w:val="00E11D99"/>
    <w:rsid w:val="00E14535"/>
    <w:rsid w:val="00E14986"/>
    <w:rsid w:val="00E16F78"/>
    <w:rsid w:val="00E21436"/>
    <w:rsid w:val="00E23CA1"/>
    <w:rsid w:val="00E25569"/>
    <w:rsid w:val="00E3139B"/>
    <w:rsid w:val="00E32BB4"/>
    <w:rsid w:val="00E34936"/>
    <w:rsid w:val="00E3623A"/>
    <w:rsid w:val="00E409A8"/>
    <w:rsid w:val="00E411BA"/>
    <w:rsid w:val="00E43530"/>
    <w:rsid w:val="00E50C12"/>
    <w:rsid w:val="00E544B5"/>
    <w:rsid w:val="00E5735B"/>
    <w:rsid w:val="00E577C9"/>
    <w:rsid w:val="00E65B91"/>
    <w:rsid w:val="00E6768B"/>
    <w:rsid w:val="00E7209D"/>
    <w:rsid w:val="00E72EAD"/>
    <w:rsid w:val="00E77223"/>
    <w:rsid w:val="00E8528B"/>
    <w:rsid w:val="00E85B94"/>
    <w:rsid w:val="00E87000"/>
    <w:rsid w:val="00E879E5"/>
    <w:rsid w:val="00E91999"/>
    <w:rsid w:val="00E92E4A"/>
    <w:rsid w:val="00E94830"/>
    <w:rsid w:val="00E978D0"/>
    <w:rsid w:val="00EA09F7"/>
    <w:rsid w:val="00EA4137"/>
    <w:rsid w:val="00EA4613"/>
    <w:rsid w:val="00EA7F91"/>
    <w:rsid w:val="00EB1523"/>
    <w:rsid w:val="00EB5D7D"/>
    <w:rsid w:val="00EC0E49"/>
    <w:rsid w:val="00EC101F"/>
    <w:rsid w:val="00EC1D9F"/>
    <w:rsid w:val="00EC352E"/>
    <w:rsid w:val="00EC5CE5"/>
    <w:rsid w:val="00ED07CF"/>
    <w:rsid w:val="00ED1A25"/>
    <w:rsid w:val="00EE0131"/>
    <w:rsid w:val="00EE0612"/>
    <w:rsid w:val="00EE17B0"/>
    <w:rsid w:val="00EE2345"/>
    <w:rsid w:val="00EE76E9"/>
    <w:rsid w:val="00EE799F"/>
    <w:rsid w:val="00EE7C60"/>
    <w:rsid w:val="00EE7D2A"/>
    <w:rsid w:val="00EE7DC5"/>
    <w:rsid w:val="00EF06D9"/>
    <w:rsid w:val="00F021ED"/>
    <w:rsid w:val="00F0644B"/>
    <w:rsid w:val="00F10854"/>
    <w:rsid w:val="00F12072"/>
    <w:rsid w:val="00F15AFD"/>
    <w:rsid w:val="00F261E3"/>
    <w:rsid w:val="00F267B3"/>
    <w:rsid w:val="00F30103"/>
    <w:rsid w:val="00F30C64"/>
    <w:rsid w:val="00F32BA2"/>
    <w:rsid w:val="00F32CDB"/>
    <w:rsid w:val="00F32E50"/>
    <w:rsid w:val="00F33EB3"/>
    <w:rsid w:val="00F52D3F"/>
    <w:rsid w:val="00F565FE"/>
    <w:rsid w:val="00F63A70"/>
    <w:rsid w:val="00F64A7F"/>
    <w:rsid w:val="00F662D9"/>
    <w:rsid w:val="00F73E49"/>
    <w:rsid w:val="00F7534E"/>
    <w:rsid w:val="00F7721B"/>
    <w:rsid w:val="00F846A0"/>
    <w:rsid w:val="00F86428"/>
    <w:rsid w:val="00F8796D"/>
    <w:rsid w:val="00F90C31"/>
    <w:rsid w:val="00F9383D"/>
    <w:rsid w:val="00FA21D0"/>
    <w:rsid w:val="00FA3BD5"/>
    <w:rsid w:val="00FA5F5F"/>
    <w:rsid w:val="00FB2130"/>
    <w:rsid w:val="00FB6793"/>
    <w:rsid w:val="00FB730C"/>
    <w:rsid w:val="00FC2695"/>
    <w:rsid w:val="00FC3E03"/>
    <w:rsid w:val="00FC3FC1"/>
    <w:rsid w:val="00FD07CA"/>
    <w:rsid w:val="00FD1C36"/>
    <w:rsid w:val="00FD31E0"/>
    <w:rsid w:val="00FD37E4"/>
    <w:rsid w:val="00FE13EF"/>
    <w:rsid w:val="00FE2C70"/>
    <w:rsid w:val="00FE3F57"/>
    <w:rsid w:val="00FF385A"/>
    <w:rsid w:val="00FF479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8AF0CC40-28D1-46E2-B2B8-65D4E6047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PlaceholderText">
    <w:name w:val="Placeholder Text"/>
    <w:basedOn w:val="DefaultParagraphFont"/>
    <w:uiPriority w:val="99"/>
    <w:semiHidden/>
    <w:rsid w:val="00C1631B"/>
    <w:rPr>
      <w:color w:val="808080"/>
    </w:rPr>
  </w:style>
  <w:style w:type="paragraph" w:customStyle="1" w:styleId="Body">
    <w:name w:val="Body"/>
    <w:basedOn w:val="Normal"/>
    <w:rsid w:val="003E57E1"/>
    <w:pPr>
      <w:tabs>
        <w:tab w:val="clear" w:pos="7100"/>
      </w:tabs>
      <w:suppressAutoHyphens/>
      <w:spacing w:line="260" w:lineRule="atLeast"/>
      <w:jc w:val="left"/>
    </w:pPr>
    <w:rPr>
      <w:rFonts w:eastAsia="Arial Unicode M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2777</Words>
  <Characters>15275</Characters>
  <Application>Microsoft Office Word</Application>
  <DocSecurity>0</DocSecurity>
  <Lines>127</Lines>
  <Paragraphs>36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Sonia Ruiz Pérez</cp:lastModifiedBy>
  <cp:revision>84</cp:revision>
  <cp:lastPrinted>2015-05-12T18:31:00Z</cp:lastPrinted>
  <dcterms:created xsi:type="dcterms:W3CDTF">2021-12-03T03:32:00Z</dcterms:created>
  <dcterms:modified xsi:type="dcterms:W3CDTF">2022-02-07T03:59:00Z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