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916FA7" w:rsidRPr="00B57B36" w14:paraId="2A131A54" w14:textId="77777777" w:rsidTr="00916FA7">
        <w:trPr>
          <w:trHeight w:val="852"/>
          <w:jc w:val="center"/>
        </w:trPr>
        <w:tc>
          <w:tcPr>
            <w:tcW w:w="6940" w:type="dxa"/>
            <w:vMerge w:val="restart"/>
            <w:tcBorders>
              <w:right w:val="single" w:sz="4" w:space="0" w:color="auto"/>
            </w:tcBorders>
          </w:tcPr>
          <w:p w14:paraId="178E81ED" w14:textId="6FE5B644" w:rsidR="00916FA7" w:rsidRDefault="00811F02" w:rsidP="00916FA7">
            <w:pPr>
              <w:tabs>
                <w:tab w:val="left" w:pos="-108"/>
              </w:tabs>
              <w:ind w:left="-108"/>
              <w:jc w:val="left"/>
              <w:rPr>
                <w:rFonts w:cs="Arial"/>
                <w:b/>
                <w:bCs/>
                <w:i/>
                <w:iCs/>
                <w:color w:val="000066"/>
                <w:sz w:val="12"/>
                <w:szCs w:val="12"/>
                <w:lang w:eastAsia="it-IT"/>
              </w:rPr>
            </w:pPr>
            <w:r>
              <w:rPr>
                <w:rFonts w:ascii="AdvP6960" w:hAnsi="AdvP6960" w:cs="AdvP6960"/>
                <w:color w:val="241F20"/>
                <w:szCs w:val="18"/>
                <w:lang w:eastAsia="it-IT"/>
              </w:rPr>
              <w:t xml:space="preserve"> </w:t>
            </w:r>
            <w:r w:rsidR="00916FA7">
              <w:rPr>
                <w:rFonts w:ascii="AdvP6960" w:hAnsi="AdvP6960" w:cs="AdvP6960"/>
                <w:noProof/>
                <w:color w:val="241F20"/>
                <w:szCs w:val="18"/>
                <w:lang w:val="it-IT" w:eastAsia="it-IT"/>
              </w:rPr>
              <w:drawing>
                <wp:inline distT="0" distB="0" distL="0" distR="0" wp14:anchorId="54FA0B40" wp14:editId="1C3ED208">
                  <wp:extent cx="641350" cy="368300"/>
                  <wp:effectExtent l="0" t="0" r="6350" b="0"/>
                  <wp:docPr id="1" name="Immagine 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 cy="368300"/>
                          </a:xfrm>
                          <a:prstGeom prst="rect">
                            <a:avLst/>
                          </a:prstGeom>
                          <a:noFill/>
                          <a:ln>
                            <a:noFill/>
                          </a:ln>
                        </pic:spPr>
                      </pic:pic>
                    </a:graphicData>
                  </a:graphic>
                </wp:inline>
              </w:drawing>
            </w:r>
            <w:r w:rsidR="00916FA7">
              <w:rPr>
                <w:rFonts w:ascii="AdvP6960" w:hAnsi="AdvP6960" w:cs="AdvP6960"/>
                <w:color w:val="241F20"/>
                <w:szCs w:val="18"/>
                <w:lang w:eastAsia="it-IT"/>
              </w:rPr>
              <w:t xml:space="preserve"> </w:t>
            </w:r>
            <w:r w:rsidR="00916FA7">
              <w:rPr>
                <w:rFonts w:cs="Arial"/>
                <w:b/>
                <w:bCs/>
                <w:i/>
                <w:iCs/>
                <w:color w:val="000066"/>
                <w:sz w:val="24"/>
                <w:szCs w:val="24"/>
                <w:lang w:eastAsia="it-IT"/>
              </w:rPr>
              <w:t>CHEMICAL ENGINEERING</w:t>
            </w:r>
            <w:r w:rsidR="00916FA7">
              <w:rPr>
                <w:rFonts w:cs="Arial"/>
                <w:b/>
                <w:bCs/>
                <w:i/>
                <w:iCs/>
                <w:color w:val="0033FF"/>
                <w:sz w:val="24"/>
                <w:szCs w:val="24"/>
                <w:lang w:eastAsia="it-IT"/>
              </w:rPr>
              <w:t xml:space="preserve"> </w:t>
            </w:r>
            <w:r w:rsidR="00916FA7">
              <w:rPr>
                <w:rFonts w:cs="Arial"/>
                <w:b/>
                <w:bCs/>
                <w:i/>
                <w:iCs/>
                <w:color w:val="666666"/>
                <w:sz w:val="24"/>
                <w:szCs w:val="24"/>
                <w:lang w:eastAsia="it-IT"/>
              </w:rPr>
              <w:t>TRANSACTIONS</w:t>
            </w:r>
            <w:r w:rsidR="00916FA7">
              <w:rPr>
                <w:color w:val="333333"/>
                <w:sz w:val="24"/>
                <w:szCs w:val="24"/>
                <w:lang w:eastAsia="it-IT"/>
              </w:rPr>
              <w:t xml:space="preserve"> </w:t>
            </w:r>
            <w:r w:rsidR="00916FA7">
              <w:rPr>
                <w:rFonts w:cs="Arial"/>
                <w:b/>
                <w:bCs/>
                <w:i/>
                <w:iCs/>
                <w:color w:val="000066"/>
                <w:sz w:val="27"/>
                <w:szCs w:val="27"/>
                <w:lang w:eastAsia="it-IT"/>
              </w:rPr>
              <w:br/>
            </w:r>
          </w:p>
          <w:p w14:paraId="4B780582" w14:textId="511B153F" w:rsidR="00916FA7" w:rsidRPr="003C063B" w:rsidRDefault="00916FA7" w:rsidP="00916FA7">
            <w:pPr>
              <w:tabs>
                <w:tab w:val="left" w:pos="-108"/>
              </w:tabs>
              <w:ind w:left="-108"/>
              <w:rPr>
                <w:rFonts w:cs="Arial"/>
                <w:b/>
                <w:bCs/>
                <w:i/>
                <w:iCs/>
                <w:color w:val="000066"/>
                <w:sz w:val="22"/>
                <w:szCs w:val="22"/>
                <w:highlight w:val="yellow"/>
                <w:lang w:eastAsia="it-IT"/>
              </w:rPr>
            </w:pPr>
            <w:r>
              <w:rPr>
                <w:rFonts w:cs="Arial"/>
                <w:b/>
                <w:bCs/>
                <w:i/>
                <w:iCs/>
                <w:color w:val="000066"/>
                <w:sz w:val="22"/>
                <w:szCs w:val="22"/>
                <w:lang w:eastAsia="it-IT"/>
              </w:rPr>
              <w:t>VOL. 91, 2022</w:t>
            </w:r>
          </w:p>
        </w:tc>
        <w:tc>
          <w:tcPr>
            <w:tcW w:w="1842" w:type="dxa"/>
            <w:tcBorders>
              <w:left w:val="single" w:sz="4" w:space="0" w:color="auto"/>
              <w:bottom w:val="nil"/>
              <w:right w:val="single" w:sz="4" w:space="0" w:color="auto"/>
            </w:tcBorders>
          </w:tcPr>
          <w:p w14:paraId="309A0759" w14:textId="77777777" w:rsidR="00916FA7" w:rsidRDefault="00916FA7" w:rsidP="00916FA7">
            <w:pPr>
              <w:spacing w:line="140" w:lineRule="atLeast"/>
              <w:jc w:val="right"/>
              <w:rPr>
                <w:rFonts w:cs="Arial"/>
                <w:sz w:val="14"/>
                <w:szCs w:val="14"/>
              </w:rPr>
            </w:pPr>
            <w:r>
              <w:rPr>
                <w:rFonts w:cs="Arial"/>
                <w:sz w:val="14"/>
                <w:szCs w:val="14"/>
              </w:rPr>
              <w:t>A publication of</w:t>
            </w:r>
          </w:p>
          <w:p w14:paraId="599E5441" w14:textId="2018AD16" w:rsidR="00916FA7" w:rsidRPr="00B57B36" w:rsidRDefault="004746EA" w:rsidP="00916FA7">
            <w:pPr>
              <w:jc w:val="right"/>
            </w:pPr>
            <w:r>
              <w:rPr>
                <w:noProof/>
                <w:lang w:val="it-IT" w:eastAsia="it-IT"/>
              </w:rPr>
              <w:pict w14:anchorId="4BB66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i1025" type="#_x0000_t75" alt="aidiclogo_grande" style="width:53.15pt;height:28.7pt;visibility:visible;mso-wrap-style:square">
                  <v:imagedata r:id="rId12" o:title="aidiclogo_grande"/>
                </v:shape>
              </w:pict>
            </w:r>
          </w:p>
        </w:tc>
      </w:tr>
      <w:tr w:rsidR="00916FA7" w:rsidRPr="00B57B36" w14:paraId="380FA3CD" w14:textId="77777777" w:rsidTr="00916FA7">
        <w:trPr>
          <w:trHeight w:val="567"/>
          <w:jc w:val="center"/>
        </w:trPr>
        <w:tc>
          <w:tcPr>
            <w:tcW w:w="6940" w:type="dxa"/>
            <w:vMerge/>
            <w:tcBorders>
              <w:right w:val="single" w:sz="4" w:space="0" w:color="auto"/>
            </w:tcBorders>
          </w:tcPr>
          <w:p w14:paraId="39E5E4C1" w14:textId="77777777" w:rsidR="00916FA7" w:rsidRPr="003C063B" w:rsidRDefault="00916FA7" w:rsidP="00916FA7">
            <w:pPr>
              <w:tabs>
                <w:tab w:val="left" w:pos="-108"/>
              </w:tabs>
              <w:rPr>
                <w:highlight w:val="yellow"/>
              </w:rPr>
            </w:pPr>
          </w:p>
        </w:tc>
        <w:tc>
          <w:tcPr>
            <w:tcW w:w="1842" w:type="dxa"/>
            <w:tcBorders>
              <w:left w:val="single" w:sz="4" w:space="0" w:color="auto"/>
              <w:bottom w:val="nil"/>
              <w:right w:val="single" w:sz="4" w:space="0" w:color="auto"/>
            </w:tcBorders>
          </w:tcPr>
          <w:p w14:paraId="518D3AFA" w14:textId="77777777" w:rsidR="00916FA7" w:rsidRDefault="00916FA7" w:rsidP="00916FA7">
            <w:pPr>
              <w:spacing w:line="140" w:lineRule="atLeast"/>
              <w:jc w:val="right"/>
              <w:rPr>
                <w:rFonts w:cs="Arial"/>
                <w:sz w:val="14"/>
                <w:szCs w:val="14"/>
              </w:rPr>
            </w:pPr>
            <w:r>
              <w:rPr>
                <w:rFonts w:cs="Arial"/>
                <w:sz w:val="14"/>
                <w:szCs w:val="14"/>
              </w:rPr>
              <w:t>The Italian Association</w:t>
            </w:r>
          </w:p>
          <w:p w14:paraId="321C5D6A" w14:textId="77777777" w:rsidR="00916FA7" w:rsidRDefault="00916FA7" w:rsidP="00916FA7">
            <w:pPr>
              <w:spacing w:line="140" w:lineRule="atLeast"/>
              <w:jc w:val="right"/>
              <w:rPr>
                <w:rFonts w:cs="Arial"/>
                <w:sz w:val="14"/>
                <w:szCs w:val="14"/>
              </w:rPr>
            </w:pPr>
            <w:r>
              <w:rPr>
                <w:rFonts w:cs="Arial"/>
                <w:sz w:val="14"/>
                <w:szCs w:val="14"/>
              </w:rPr>
              <w:t>of Chemical Engineering</w:t>
            </w:r>
          </w:p>
          <w:p w14:paraId="4F0CC5DE" w14:textId="05388820" w:rsidR="00916FA7" w:rsidRPr="000D0268" w:rsidRDefault="00916FA7" w:rsidP="00916FA7">
            <w:pPr>
              <w:spacing w:line="140" w:lineRule="atLeast"/>
              <w:jc w:val="right"/>
              <w:rPr>
                <w:rFonts w:cs="Arial"/>
                <w:sz w:val="13"/>
                <w:szCs w:val="13"/>
              </w:rPr>
            </w:pPr>
            <w:r>
              <w:rPr>
                <w:rFonts w:cs="Arial"/>
                <w:sz w:val="13"/>
                <w:szCs w:val="13"/>
              </w:rPr>
              <w:t>Online at www.cetjournal.it</w:t>
            </w:r>
          </w:p>
        </w:tc>
      </w:tr>
      <w:tr w:rsidR="000A03B2" w:rsidRPr="003C063B" w14:paraId="2D1B7169" w14:textId="77777777" w:rsidTr="00916FA7">
        <w:trPr>
          <w:trHeight w:val="68"/>
          <w:jc w:val="center"/>
        </w:trPr>
        <w:tc>
          <w:tcPr>
            <w:tcW w:w="8782" w:type="dxa"/>
            <w:gridSpan w:val="2"/>
          </w:tcPr>
          <w:p w14:paraId="43E898BB" w14:textId="77777777" w:rsidR="00916FA7" w:rsidRPr="00916FA7" w:rsidRDefault="00916FA7" w:rsidP="00916FA7">
            <w:pPr>
              <w:ind w:left="-107"/>
              <w:outlineLvl w:val="2"/>
              <w:rPr>
                <w:rFonts w:ascii="Tahoma" w:hAnsi="Tahoma" w:cs="Tahoma"/>
                <w:bCs/>
                <w:color w:val="000000"/>
                <w:sz w:val="14"/>
                <w:szCs w:val="14"/>
                <w:lang w:val="it-IT" w:eastAsia="it-IT"/>
              </w:rPr>
            </w:pPr>
            <w:r w:rsidRPr="00916FA7">
              <w:rPr>
                <w:rFonts w:ascii="Tahoma" w:hAnsi="Tahoma" w:cs="Tahoma"/>
                <w:iCs/>
                <w:color w:val="333333"/>
                <w:sz w:val="14"/>
                <w:szCs w:val="14"/>
                <w:lang w:val="it-IT" w:eastAsia="it-IT"/>
              </w:rPr>
              <w:t xml:space="preserve">Guest Editors: </w:t>
            </w:r>
            <w:r w:rsidRPr="00916FA7">
              <w:rPr>
                <w:rFonts w:ascii="Tahoma" w:hAnsi="Tahoma" w:cs="Tahoma"/>
                <w:color w:val="000000"/>
                <w:sz w:val="14"/>
                <w:szCs w:val="14"/>
                <w:shd w:val="clear" w:color="auto" w:fill="FFFFFF"/>
                <w:lang w:val="it-IT"/>
              </w:rPr>
              <w:t xml:space="preserve">Valerio </w:t>
            </w:r>
            <w:proofErr w:type="spellStart"/>
            <w:r w:rsidRPr="00916FA7">
              <w:rPr>
                <w:rFonts w:ascii="Tahoma" w:hAnsi="Tahoma" w:cs="Tahoma"/>
                <w:color w:val="000000"/>
                <w:sz w:val="14"/>
                <w:szCs w:val="14"/>
                <w:shd w:val="clear" w:color="auto" w:fill="FFFFFF"/>
                <w:lang w:val="it-IT"/>
              </w:rPr>
              <w:t>Cozzani</w:t>
            </w:r>
            <w:proofErr w:type="spellEnd"/>
            <w:r w:rsidRPr="00916FA7">
              <w:rPr>
                <w:rFonts w:ascii="Tahoma" w:hAnsi="Tahoma" w:cs="Tahoma"/>
                <w:color w:val="000000"/>
                <w:sz w:val="14"/>
                <w:szCs w:val="14"/>
                <w:shd w:val="clear" w:color="auto" w:fill="FFFFFF"/>
                <w:lang w:val="it-IT"/>
              </w:rPr>
              <w:t xml:space="preserve">, Bruno Fabiano, </w:t>
            </w:r>
            <w:proofErr w:type="spellStart"/>
            <w:r w:rsidRPr="00916FA7">
              <w:rPr>
                <w:rFonts w:ascii="Tahoma" w:hAnsi="Tahoma" w:cs="Tahoma"/>
                <w:bCs/>
                <w:color w:val="000000"/>
                <w:sz w:val="14"/>
                <w:szCs w:val="14"/>
                <w:lang w:val="it-IT" w:eastAsia="it-IT"/>
              </w:rPr>
              <w:t>Genserik</w:t>
            </w:r>
            <w:proofErr w:type="spellEnd"/>
            <w:r w:rsidRPr="00916FA7">
              <w:rPr>
                <w:rFonts w:ascii="Tahoma" w:hAnsi="Tahoma" w:cs="Tahoma"/>
                <w:bCs/>
                <w:color w:val="000000"/>
                <w:sz w:val="14"/>
                <w:szCs w:val="14"/>
                <w:lang w:val="it-IT" w:eastAsia="it-IT"/>
              </w:rPr>
              <w:t xml:space="preserve"> </w:t>
            </w:r>
            <w:proofErr w:type="spellStart"/>
            <w:r w:rsidRPr="00916FA7">
              <w:rPr>
                <w:rFonts w:ascii="Tahoma" w:hAnsi="Tahoma" w:cs="Tahoma"/>
                <w:bCs/>
                <w:color w:val="000000"/>
                <w:sz w:val="14"/>
                <w:szCs w:val="14"/>
                <w:lang w:val="it-IT" w:eastAsia="it-IT"/>
              </w:rPr>
              <w:t>Reniers</w:t>
            </w:r>
            <w:proofErr w:type="spellEnd"/>
          </w:p>
          <w:p w14:paraId="1B0F1814" w14:textId="4D380B2F" w:rsidR="000A03B2" w:rsidRPr="003C063B" w:rsidRDefault="00916FA7" w:rsidP="00916FA7">
            <w:pPr>
              <w:tabs>
                <w:tab w:val="left" w:pos="-108"/>
              </w:tabs>
              <w:spacing w:line="140" w:lineRule="atLeast"/>
              <w:ind w:left="-107"/>
              <w:jc w:val="left"/>
              <w:rPr>
                <w:highlight w:val="yellow"/>
              </w:rPr>
            </w:pPr>
            <w:r>
              <w:rPr>
                <w:rFonts w:ascii="Tahoma" w:hAnsi="Tahoma" w:cs="Tahoma"/>
                <w:iCs/>
                <w:color w:val="333333"/>
                <w:sz w:val="14"/>
                <w:szCs w:val="14"/>
                <w:lang w:eastAsia="it-IT"/>
              </w:rPr>
              <w:t xml:space="preserve">Copyright © 2022,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978-88-95608-89-1</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10DAA130" w14:textId="77777777" w:rsidR="000A03B2" w:rsidRPr="003C063B" w:rsidRDefault="000A03B2" w:rsidP="000A03B2">
      <w:pPr>
        <w:pStyle w:val="CETAuthors"/>
        <w:rPr>
          <w:highlight w:val="yellow"/>
        </w:rPr>
        <w:sectPr w:rsidR="000A03B2" w:rsidRPr="003C063B" w:rsidSect="008B32D8">
          <w:type w:val="continuous"/>
          <w:pgSz w:w="11906" w:h="16838" w:code="9"/>
          <w:pgMar w:top="1701" w:right="1418" w:bottom="1701" w:left="1701" w:header="1701" w:footer="0" w:gutter="0"/>
          <w:cols w:space="708"/>
          <w:titlePg/>
          <w:docGrid w:linePitch="360"/>
        </w:sectPr>
      </w:pPr>
    </w:p>
    <w:p w14:paraId="768B4900" w14:textId="7BA6811D" w:rsidR="000C3F1C" w:rsidRPr="004D71CD" w:rsidRDefault="000C3F1C" w:rsidP="000C3F1C">
      <w:pPr>
        <w:pStyle w:val="CETTitle"/>
        <w:rPr>
          <w:lang w:val="en-US"/>
        </w:rPr>
      </w:pPr>
      <w:r w:rsidRPr="004D71CD">
        <w:rPr>
          <w:lang w:val="en-US"/>
        </w:rPr>
        <w:t>On the use of Fire Safety Engineering to evaluate the performance of heat detectors in high ceiling application</w:t>
      </w:r>
    </w:p>
    <w:p w14:paraId="2B3CA35C" w14:textId="451FD936" w:rsidR="00E978D0" w:rsidRPr="00FB7383" w:rsidRDefault="003A0C8A" w:rsidP="00AB5011">
      <w:pPr>
        <w:pStyle w:val="CETAuthors"/>
        <w:rPr>
          <w:lang w:val="it-IT"/>
        </w:rPr>
      </w:pPr>
      <w:r w:rsidRPr="004D71CD">
        <w:rPr>
          <w:lang w:val="it-IT"/>
        </w:rPr>
        <w:t>Mattia Carboni</w:t>
      </w:r>
      <w:r w:rsidR="00404EFE">
        <w:rPr>
          <w:lang w:val="it-IT"/>
        </w:rPr>
        <w:t xml:space="preserve"> </w:t>
      </w:r>
      <w:r w:rsidRPr="004D71CD">
        <w:rPr>
          <w:vertAlign w:val="superscript"/>
          <w:lang w:val="it-IT"/>
        </w:rPr>
        <w:t>a</w:t>
      </w:r>
      <w:r w:rsidRPr="004D71CD">
        <w:rPr>
          <w:lang w:val="it-IT"/>
        </w:rPr>
        <w:t>,</w:t>
      </w:r>
      <w:r w:rsidR="00404EFE">
        <w:rPr>
          <w:lang w:val="it-IT"/>
        </w:rPr>
        <w:t xml:space="preserve"> </w:t>
      </w:r>
      <w:r w:rsidR="00FB7383" w:rsidRPr="004D71CD">
        <w:rPr>
          <w:lang w:val="it-IT"/>
        </w:rPr>
        <w:t>Lorenzo Rossi</w:t>
      </w:r>
      <w:r w:rsidR="00404EFE">
        <w:rPr>
          <w:lang w:val="it-IT"/>
        </w:rPr>
        <w:t xml:space="preserve"> </w:t>
      </w:r>
      <w:r w:rsidR="00FB7383" w:rsidRPr="004D71CD">
        <w:rPr>
          <w:vertAlign w:val="superscript"/>
          <w:lang w:val="it-IT"/>
        </w:rPr>
        <w:t>b</w:t>
      </w:r>
      <w:r w:rsidR="00FB7383" w:rsidRPr="004D71CD">
        <w:rPr>
          <w:lang w:val="it-IT"/>
        </w:rPr>
        <w:t xml:space="preserve">, </w:t>
      </w:r>
      <w:r w:rsidRPr="004D71CD">
        <w:rPr>
          <w:lang w:val="it-IT"/>
        </w:rPr>
        <w:t>Paolo Mocellin</w:t>
      </w:r>
      <w:r w:rsidR="00404EFE">
        <w:rPr>
          <w:lang w:val="it-IT"/>
        </w:rPr>
        <w:t xml:space="preserve"> </w:t>
      </w:r>
      <w:r w:rsidRPr="004D71CD">
        <w:rPr>
          <w:vertAlign w:val="superscript"/>
          <w:lang w:val="it-IT"/>
        </w:rPr>
        <w:t>a</w:t>
      </w:r>
      <w:r w:rsidRPr="001564A9">
        <w:rPr>
          <w:vertAlign w:val="superscript"/>
          <w:lang w:val="it-IT"/>
        </w:rPr>
        <w:t>,</w:t>
      </w:r>
      <w:r w:rsidRPr="00404EFE">
        <w:rPr>
          <w:lang w:val="it-IT"/>
        </w:rPr>
        <w:t>*</w:t>
      </w:r>
    </w:p>
    <w:p w14:paraId="6EF11A8A" w14:textId="4BBB22B3" w:rsidR="001564A9" w:rsidRPr="001564A9" w:rsidRDefault="001564A9" w:rsidP="00FB7383">
      <w:pPr>
        <w:pStyle w:val="CETAddress"/>
        <w:jc w:val="both"/>
        <w:rPr>
          <w:lang w:val="it-IT"/>
        </w:rPr>
      </w:pPr>
      <w:r w:rsidRPr="001564A9">
        <w:rPr>
          <w:vertAlign w:val="superscript"/>
          <w:lang w:val="it-IT"/>
        </w:rPr>
        <w:t>a</w:t>
      </w:r>
      <w:r w:rsidR="00FB7383" w:rsidRPr="00FB7383">
        <w:rPr>
          <w:lang w:val="it-IT"/>
        </w:rPr>
        <w:t xml:space="preserve"> Dipartimento di Ingegneria Industriale, Università degli Studi di Padova. Via Marzolo 9, 35131 Padova, Italia.</w:t>
      </w:r>
    </w:p>
    <w:p w14:paraId="086C152C" w14:textId="19E0C9CB" w:rsidR="00884C73" w:rsidRPr="001564A9" w:rsidRDefault="001564A9" w:rsidP="006B1271">
      <w:pPr>
        <w:pStyle w:val="CETAddress"/>
        <w:jc w:val="both"/>
        <w:rPr>
          <w:lang w:val="it-IT"/>
        </w:rPr>
      </w:pPr>
      <w:r w:rsidRPr="001564A9">
        <w:rPr>
          <w:vertAlign w:val="superscript"/>
          <w:lang w:val="it-IT"/>
        </w:rPr>
        <w:t>b</w:t>
      </w:r>
      <w:r w:rsidR="00404EFE">
        <w:rPr>
          <w:vertAlign w:val="superscript"/>
          <w:lang w:val="it-IT"/>
        </w:rPr>
        <w:t xml:space="preserve"> </w:t>
      </w:r>
      <w:r w:rsidR="00FB7383">
        <w:rPr>
          <w:lang w:val="it-IT"/>
        </w:rPr>
        <w:t>SPR Tecnologie Srl</w:t>
      </w:r>
      <w:r w:rsidR="004D71CD">
        <w:rPr>
          <w:lang w:val="it-IT"/>
        </w:rPr>
        <w:t>,</w:t>
      </w:r>
      <w:r w:rsidR="00FB7383">
        <w:rPr>
          <w:lang w:val="it-IT"/>
        </w:rPr>
        <w:t xml:space="preserve"> Via Niccolò Machiavelli 1/b, Zola Predosa, 40069, Bologna, Italia.</w:t>
      </w:r>
    </w:p>
    <w:p w14:paraId="319FFF46" w14:textId="77777777" w:rsidR="00EB2315" w:rsidRPr="00811F02" w:rsidRDefault="00EB2315" w:rsidP="00916FA7">
      <w:pPr>
        <w:pStyle w:val="CETBodytext"/>
        <w:rPr>
          <w:lang w:val="it-IT"/>
        </w:rPr>
      </w:pPr>
    </w:p>
    <w:p w14:paraId="23AD0CCE" w14:textId="1679919C" w:rsidR="00231F21" w:rsidRPr="00916FA7" w:rsidRDefault="00D6498E" w:rsidP="00916FA7">
      <w:pPr>
        <w:pStyle w:val="CETBodytext"/>
      </w:pPr>
      <w:r w:rsidRPr="00916FA7">
        <w:t xml:space="preserve">In the framework of design and installation of fire detection and fire alarm system in buildings, when high </w:t>
      </w:r>
      <w:r w:rsidR="000C3F1C" w:rsidRPr="00916FA7">
        <w:t xml:space="preserve">ceilings </w:t>
      </w:r>
      <w:r w:rsidRPr="00916FA7">
        <w:t xml:space="preserve">are involved, </w:t>
      </w:r>
      <w:r w:rsidR="00225EBF" w:rsidRPr="00916FA7">
        <w:t xml:space="preserve">it is </w:t>
      </w:r>
      <w:r w:rsidRPr="00916FA7">
        <w:t xml:space="preserve">likely to run into the </w:t>
      </w:r>
      <w:r w:rsidR="003A0C8A" w:rsidRPr="00916FA7">
        <w:t>limits of the more common standards</w:t>
      </w:r>
      <w:r w:rsidRPr="00916FA7">
        <w:t xml:space="preserve">. </w:t>
      </w:r>
      <w:r w:rsidR="00404EFE">
        <w:t>S</w:t>
      </w:r>
      <w:r w:rsidR="003A0C8A" w:rsidRPr="00916FA7">
        <w:t>everal regulations</w:t>
      </w:r>
      <w:r w:rsidRPr="00916FA7">
        <w:t xml:space="preserve"> </w:t>
      </w:r>
      <w:r w:rsidR="004E47F1" w:rsidRPr="00916FA7">
        <w:t xml:space="preserve">fix </w:t>
      </w:r>
      <w:r w:rsidR="003A0C8A" w:rsidRPr="00916FA7">
        <w:t xml:space="preserve">a </w:t>
      </w:r>
      <w:r w:rsidR="004E47F1" w:rsidRPr="00916FA7">
        <w:t xml:space="preserve">ceiling height </w:t>
      </w:r>
      <w:r w:rsidR="003A0C8A" w:rsidRPr="00916FA7">
        <w:t xml:space="preserve">limit </w:t>
      </w:r>
      <w:r w:rsidR="004E47F1" w:rsidRPr="00916FA7">
        <w:t>beyon</w:t>
      </w:r>
      <w:r w:rsidR="003A0C8A" w:rsidRPr="00916FA7">
        <w:t>d</w:t>
      </w:r>
      <w:r w:rsidR="004E47F1" w:rsidRPr="00916FA7">
        <w:t xml:space="preserve"> w</w:t>
      </w:r>
      <w:r w:rsidR="003A0C8A" w:rsidRPr="00916FA7">
        <w:t>h</w:t>
      </w:r>
      <w:r w:rsidR="004E47F1" w:rsidRPr="00916FA7">
        <w:t>ich h</w:t>
      </w:r>
      <w:r w:rsidRPr="00916FA7">
        <w:t>eat, smoke</w:t>
      </w:r>
      <w:r w:rsidR="003A0C8A" w:rsidRPr="00916FA7">
        <w:t>,</w:t>
      </w:r>
      <w:r w:rsidRPr="00916FA7">
        <w:t xml:space="preserve"> and combustion gas detectors should not be mounted</w:t>
      </w:r>
      <w:r w:rsidR="004E47F1" w:rsidRPr="00916FA7">
        <w:t>. Among the available technolog</w:t>
      </w:r>
      <w:r w:rsidR="003A0C8A" w:rsidRPr="00916FA7">
        <w:t>ies</w:t>
      </w:r>
      <w:r w:rsidR="004E47F1" w:rsidRPr="00916FA7">
        <w:t>, the aspirating smoke detection (ASD) systems h</w:t>
      </w:r>
      <w:r w:rsidR="003A0C8A" w:rsidRPr="00916FA7">
        <w:t>ave</w:t>
      </w:r>
      <w:r w:rsidR="004E47F1" w:rsidRPr="00916FA7">
        <w:t xml:space="preserve"> the highest limit (i.e., 40 m according to BS 5839-1:2017). Nevertheless, </w:t>
      </w:r>
      <w:r w:rsidR="00DE17BA" w:rsidRPr="00916FA7">
        <w:t xml:space="preserve">this technology should not be used </w:t>
      </w:r>
      <w:r w:rsidR="004E47F1" w:rsidRPr="00916FA7">
        <w:t>when processes that yield smoke, fumes, dust, etc., are present,</w:t>
      </w:r>
      <w:r w:rsidR="00DE17BA" w:rsidRPr="00916FA7">
        <w:t xml:space="preserve"> and</w:t>
      </w:r>
      <w:r w:rsidR="004E47F1" w:rsidRPr="00916FA7">
        <w:t xml:space="preserve"> </w:t>
      </w:r>
      <w:r w:rsidR="00DE17BA" w:rsidRPr="00916FA7">
        <w:t xml:space="preserve">an alternative type of fire detector needs to be </w:t>
      </w:r>
      <w:r w:rsidR="003A0C8A" w:rsidRPr="00916FA7">
        <w:t>employed</w:t>
      </w:r>
      <w:r w:rsidR="00DE17BA" w:rsidRPr="00916FA7">
        <w:t xml:space="preserve">. This is due to the necessity to avoid false alarms, </w:t>
      </w:r>
      <w:r w:rsidR="003A0C8A" w:rsidRPr="00916FA7">
        <w:t xml:space="preserve">which is </w:t>
      </w:r>
      <w:r w:rsidR="00860FD6">
        <w:t>critical for successful</w:t>
      </w:r>
      <w:r w:rsidR="003A0C8A" w:rsidRPr="00916FA7">
        <w:t xml:space="preserve"> fire detection and</w:t>
      </w:r>
      <w:r w:rsidR="00DE17BA" w:rsidRPr="00916FA7">
        <w:t xml:space="preserve"> alarm system</w:t>
      </w:r>
      <w:r w:rsidR="00C850E2" w:rsidRPr="00916FA7">
        <w:t>s</w:t>
      </w:r>
      <w:r w:rsidR="00DE17BA" w:rsidRPr="00916FA7">
        <w:t xml:space="preserve">. </w:t>
      </w:r>
      <w:r w:rsidR="003A0C8A" w:rsidRPr="00916FA7">
        <w:t>The concomitance of these two situations, i.e., dusty environments and high ceiling height, is not unusual in the industrial sectors</w:t>
      </w:r>
      <w:r w:rsidR="00DE17BA" w:rsidRPr="00916FA7">
        <w:t>.</w:t>
      </w:r>
      <w:r w:rsidR="003A0C8A" w:rsidRPr="00916FA7">
        <w:t xml:space="preserve"> To investigate it, the state</w:t>
      </w:r>
      <w:r w:rsidR="00C850E2" w:rsidRPr="00916FA7">
        <w:t>-of-the-</w:t>
      </w:r>
      <w:r w:rsidR="003A0C8A" w:rsidRPr="00916FA7">
        <w:t>art solution</w:t>
      </w:r>
      <w:r w:rsidR="00DE17BA" w:rsidRPr="00916FA7">
        <w:t xml:space="preserve"> is </w:t>
      </w:r>
      <w:r w:rsidR="00860FD6">
        <w:t xml:space="preserve">adopting the principles of </w:t>
      </w:r>
      <w:r w:rsidR="00DE17BA" w:rsidRPr="00916FA7">
        <w:t>Fire Safety Engineering (FSE)</w:t>
      </w:r>
      <w:r w:rsidR="00387911" w:rsidRPr="00916FA7">
        <w:t xml:space="preserve">. The FSE </w:t>
      </w:r>
      <w:r w:rsidR="003A0C8A" w:rsidRPr="00916FA7">
        <w:t xml:space="preserve">is based on </w:t>
      </w:r>
      <w:r w:rsidR="00387911" w:rsidRPr="00916FA7">
        <w:t xml:space="preserve">calculations </w:t>
      </w:r>
      <w:r w:rsidR="003A0C8A" w:rsidRPr="00916FA7">
        <w:t xml:space="preserve">that </w:t>
      </w:r>
      <w:r w:rsidR="00225EBF" w:rsidRPr="00916FA7">
        <w:t>consider</w:t>
      </w:r>
      <w:r w:rsidR="00387911" w:rsidRPr="00916FA7">
        <w:t xml:space="preserve"> the conservation of mass and energy and </w:t>
      </w:r>
      <w:r w:rsidR="00231F21" w:rsidRPr="00916FA7">
        <w:t xml:space="preserve">permit to predict </w:t>
      </w:r>
      <w:r w:rsidR="003A0C8A" w:rsidRPr="00916FA7">
        <w:t xml:space="preserve">several crucial quantities such as </w:t>
      </w:r>
      <w:r w:rsidR="00231F21" w:rsidRPr="00916FA7">
        <w:t>the smoke temperature, smoke volume (and layer height)</w:t>
      </w:r>
      <w:r w:rsidR="003A0C8A" w:rsidRPr="00916FA7">
        <w:t>,</w:t>
      </w:r>
      <w:r w:rsidR="00231F21" w:rsidRPr="00916FA7">
        <w:t xml:space="preserve"> and species concentrations resulting from a fire of a given size (ISO/TS 13447:2013).</w:t>
      </w:r>
      <w:r w:rsidR="000800C7" w:rsidRPr="00916FA7">
        <w:t xml:space="preserve"> </w:t>
      </w:r>
      <w:r w:rsidR="00231F21" w:rsidRPr="00916FA7">
        <w:t>In this work</w:t>
      </w:r>
      <w:r w:rsidR="00DC6BF4" w:rsidRPr="00916FA7">
        <w:t xml:space="preserve">, a series of Computational Fluid Dynamics (CFD) simulations </w:t>
      </w:r>
      <w:r w:rsidR="003A0C8A" w:rsidRPr="00916FA7">
        <w:t>were</w:t>
      </w:r>
      <w:r w:rsidR="00DC6BF4" w:rsidRPr="00916FA7">
        <w:t xml:space="preserve"> conducted to asse</w:t>
      </w:r>
      <w:r w:rsidR="003A0C8A" w:rsidRPr="00916FA7">
        <w:t>s</w:t>
      </w:r>
      <w:r w:rsidR="00DC6BF4" w:rsidRPr="00916FA7">
        <w:t>s the performa</w:t>
      </w:r>
      <w:r w:rsidR="003A0C8A" w:rsidRPr="00916FA7">
        <w:t>n</w:t>
      </w:r>
      <w:r w:rsidR="00DC6BF4" w:rsidRPr="00916FA7">
        <w:t xml:space="preserve">ces of a fire detection system composed of heat </w:t>
      </w:r>
      <w:r w:rsidR="00916FA7" w:rsidRPr="00916FA7">
        <w:t xml:space="preserve">detectors installed </w:t>
      </w:r>
      <w:r w:rsidR="00661FB2" w:rsidRPr="00916FA7">
        <w:t>at height</w:t>
      </w:r>
      <w:r w:rsidR="003A0C8A" w:rsidRPr="00916FA7">
        <w:t>s</w:t>
      </w:r>
      <w:r w:rsidR="00661FB2" w:rsidRPr="00916FA7">
        <w:t xml:space="preserve"> up to </w:t>
      </w:r>
      <w:r w:rsidR="008B51B5">
        <w:t>20 m</w:t>
      </w:r>
      <w:r w:rsidR="00536684" w:rsidRPr="00916FA7">
        <w:t xml:space="preserve"> larger </w:t>
      </w:r>
      <w:r w:rsidR="003A0C8A" w:rsidRPr="00916FA7">
        <w:t>than</w:t>
      </w:r>
      <w:r w:rsidR="00536684" w:rsidRPr="00916FA7">
        <w:t xml:space="preserve"> the </w:t>
      </w:r>
      <w:r w:rsidR="002706A0" w:rsidRPr="00916FA7">
        <w:t xml:space="preserve">standard limit. </w:t>
      </w:r>
      <w:r w:rsidR="003A0C8A" w:rsidRPr="00916FA7">
        <w:t>The</w:t>
      </w:r>
      <w:r w:rsidR="000800C7" w:rsidRPr="00916FA7">
        <w:t xml:space="preserve"> charac</w:t>
      </w:r>
      <w:r w:rsidR="003A0C8A" w:rsidRPr="00916FA7">
        <w:t>teri</w:t>
      </w:r>
      <w:r w:rsidR="000800C7" w:rsidRPr="00916FA7">
        <w:t>stics of a</w:t>
      </w:r>
      <w:r w:rsidR="00225EBF" w:rsidRPr="00916FA7">
        <w:t>n actu</w:t>
      </w:r>
      <w:r w:rsidR="002706A0" w:rsidRPr="00916FA7">
        <w:t>al building</w:t>
      </w:r>
      <w:r w:rsidR="000800C7" w:rsidRPr="00916FA7">
        <w:t xml:space="preserve"> adopt</w:t>
      </w:r>
      <w:r w:rsidR="00225EBF" w:rsidRPr="00916FA7">
        <w:t>ed</w:t>
      </w:r>
      <w:r w:rsidR="000800C7" w:rsidRPr="00916FA7">
        <w:t xml:space="preserve"> </w:t>
      </w:r>
      <w:r w:rsidR="003A0C8A" w:rsidRPr="00916FA7">
        <w:t>for</w:t>
      </w:r>
      <w:r w:rsidR="000800C7" w:rsidRPr="00916FA7">
        <w:t xml:space="preserve"> storage </w:t>
      </w:r>
      <w:r w:rsidR="00225EBF" w:rsidRPr="00916FA7">
        <w:t>of hazardous mater</w:t>
      </w:r>
      <w:r w:rsidR="004D71CD" w:rsidRPr="00916FA7">
        <w:t>ials</w:t>
      </w:r>
      <w:r w:rsidR="00225EBF" w:rsidRPr="00916FA7">
        <w:t xml:space="preserve"> </w:t>
      </w:r>
      <w:r w:rsidR="003A0C8A" w:rsidRPr="00916FA7">
        <w:t xml:space="preserve">and a real heat detector system </w:t>
      </w:r>
      <w:r w:rsidR="000800C7" w:rsidRPr="00916FA7">
        <w:t xml:space="preserve">were considered. </w:t>
      </w:r>
      <w:r w:rsidR="002706A0" w:rsidRPr="00916FA7">
        <w:t>The temperature field resulting from two different type</w:t>
      </w:r>
      <w:r w:rsidR="003A0C8A" w:rsidRPr="00916FA7">
        <w:t>s</w:t>
      </w:r>
      <w:r w:rsidR="002706A0" w:rsidRPr="00916FA7">
        <w:t xml:space="preserve"> of </w:t>
      </w:r>
      <w:r w:rsidR="00860FD6">
        <w:t>t</w:t>
      </w:r>
      <w:r w:rsidR="00860FD6" w:rsidRPr="00860FD6">
        <w:rPr>
          <w:vertAlign w:val="superscript"/>
        </w:rPr>
        <w:t>2</w:t>
      </w:r>
      <w:r w:rsidR="00860FD6">
        <w:t xml:space="preserve">-growth </w:t>
      </w:r>
      <w:r w:rsidR="002706A0" w:rsidRPr="00916FA7">
        <w:t xml:space="preserve">fire, i.e., one ultra-fast and one with slow </w:t>
      </w:r>
      <w:r w:rsidR="00860FD6">
        <w:t>evolution</w:t>
      </w:r>
      <w:r w:rsidR="002706A0" w:rsidRPr="00916FA7">
        <w:t xml:space="preserve">, were analyzed. The corresponding alarm times </w:t>
      </w:r>
      <w:r w:rsidR="000800C7" w:rsidRPr="00916FA7">
        <w:t xml:space="preserve">were </w:t>
      </w:r>
      <w:r w:rsidR="002706A0" w:rsidRPr="00916FA7">
        <w:t xml:space="preserve">evaluated and compared with ASD </w:t>
      </w:r>
      <w:r w:rsidR="000503B1" w:rsidRPr="00916FA7">
        <w:t xml:space="preserve">characteristics </w:t>
      </w:r>
      <w:r w:rsidR="002706A0" w:rsidRPr="00916FA7">
        <w:t>tim</w:t>
      </w:r>
      <w:r w:rsidR="00860FD6">
        <w:t>ings</w:t>
      </w:r>
      <w:r w:rsidR="002706A0" w:rsidRPr="00916FA7">
        <w:t xml:space="preserve">, recognized as a benchmark for </w:t>
      </w:r>
      <w:r w:rsidR="000800C7" w:rsidRPr="00916FA7">
        <w:t>its high sensiti</w:t>
      </w:r>
      <w:r w:rsidR="003A0C8A" w:rsidRPr="00916FA7">
        <w:t>v</w:t>
      </w:r>
      <w:r w:rsidR="000800C7" w:rsidRPr="00916FA7">
        <w:t>ity</w:t>
      </w:r>
      <w:r w:rsidR="003A0C8A" w:rsidRPr="00916FA7">
        <w:t>.</w:t>
      </w:r>
    </w:p>
    <w:p w14:paraId="6D1B5C1D" w14:textId="72A28221" w:rsidR="00916FA7" w:rsidRDefault="00916FA7" w:rsidP="00916FA7">
      <w:pPr>
        <w:pStyle w:val="CETHeading1"/>
        <w:numPr>
          <w:ilvl w:val="1"/>
          <w:numId w:val="23"/>
        </w:numPr>
        <w:tabs>
          <w:tab w:val="num" w:pos="360"/>
        </w:tabs>
        <w:rPr>
          <w:lang w:val="en-GB"/>
        </w:rPr>
      </w:pPr>
      <w:r>
        <w:rPr>
          <w:lang w:val="en-GB"/>
        </w:rPr>
        <w:t>Introduction</w:t>
      </w:r>
    </w:p>
    <w:p w14:paraId="17FAE744" w14:textId="73C2C165" w:rsidR="007A36B1" w:rsidRDefault="00BF14B2" w:rsidP="007A36B1">
      <w:pPr>
        <w:pStyle w:val="CETBodytext"/>
      </w:pPr>
      <w:r>
        <w:t>F</w:t>
      </w:r>
      <w:r w:rsidR="0022054A" w:rsidRPr="0022054A">
        <w:t>ire detectors a</w:t>
      </w:r>
      <w:r w:rsidR="0022054A">
        <w:t>re designed to detect at least one of the four characteristics of fire: heat, smoke, carbon monoxide</w:t>
      </w:r>
      <w:r w:rsidR="00C018FC">
        <w:t>,</w:t>
      </w:r>
      <w:r w:rsidR="0022054A">
        <w:t xml:space="preserve"> and infrared or ultraviolet radiations</w:t>
      </w:r>
      <w:r w:rsidR="00A674DD">
        <w:t xml:space="preserve"> </w:t>
      </w:r>
      <w:r w:rsidR="00A674DD">
        <w:fldChar w:fldCharType="begin" w:fldLock="1"/>
      </w:r>
      <w:r w:rsidR="00B42DCB">
        <w:instrText>ADDIN CSL_CITATION {"citationItems":[{"id":"ITEM-1","itemData":{"ISBN":"9780580523595","author":[{"dropping-particle":"","family":"BSI","given":"","non-dropping-particle":"","parse-names":false,"suffix":""}],"id":"ITEM-1","issued":{"date-parts":[["2017"]]},"publisher":"BSI Stabdards Publication","title":"BSI 5839-1:2017, Fire detection and fire alarm systems for buildings. BSI Stand. Publ.","type":"article"},"uris":["http://www.mendeley.com/documents/?uuid=46c1fa4d-2af3-4bca-928f-4710205a8115"]}],"mendeley":{"formattedCitation":"(BSI, 2017)","plainTextFormattedCitation":"(BSI, 2017)","previouslyFormattedCitation":"(BSI, 2017)"},"properties":{"noteIndex":0},"schema":"https://github.com/citation-style-language/schema/raw/master/csl-citation.json"}</w:instrText>
      </w:r>
      <w:r w:rsidR="00A674DD">
        <w:fldChar w:fldCharType="separate"/>
      </w:r>
      <w:r w:rsidR="00A674DD" w:rsidRPr="00A674DD">
        <w:rPr>
          <w:noProof/>
        </w:rPr>
        <w:t>(BSI, 2017)</w:t>
      </w:r>
      <w:r w:rsidR="00A674DD">
        <w:fldChar w:fldCharType="end"/>
      </w:r>
      <w:r w:rsidR="0022054A">
        <w:t xml:space="preserve">. </w:t>
      </w:r>
      <w:r w:rsidR="00E9552E">
        <w:t>The</w:t>
      </w:r>
      <w:r w:rsidR="0022054A">
        <w:t xml:space="preserve"> </w:t>
      </w:r>
      <w:r w:rsidR="00E9552E">
        <w:t xml:space="preserve">technology chosen should provide adequate protection of occupants minimizing false alarms. </w:t>
      </w:r>
      <w:r w:rsidR="00605E6D">
        <w:t>At this aim,</w:t>
      </w:r>
      <w:r w:rsidR="00E9552E">
        <w:t xml:space="preserve"> it is </w:t>
      </w:r>
      <w:r w:rsidR="00C018FC">
        <w:t>essential</w:t>
      </w:r>
      <w:r w:rsidR="00E9552E">
        <w:t xml:space="preserve"> to individuate the kind of fire expected and the</w:t>
      </w:r>
      <w:r w:rsidR="00605E6D">
        <w:t xml:space="preserve"> characteristics of</w:t>
      </w:r>
      <w:r w:rsidR="00E9552E">
        <w:t xml:space="preserve"> </w:t>
      </w:r>
      <w:r w:rsidR="00C018FC">
        <w:t xml:space="preserve">the </w:t>
      </w:r>
      <w:r w:rsidR="00E9552E">
        <w:t xml:space="preserve">environment in which the system should be installed. For example, heat detectors may not be installed in areas in which products of </w:t>
      </w:r>
      <w:r w:rsidR="00605E6D">
        <w:t>combustions might</w:t>
      </w:r>
      <w:r w:rsidR="00E9552E">
        <w:t xml:space="preserve"> be corrosive and </w:t>
      </w:r>
      <w:r w:rsidR="00605E6D">
        <w:t xml:space="preserve">consequently can </w:t>
      </w:r>
      <w:r w:rsidR="00E9552E">
        <w:t xml:space="preserve">cause considerable damage without burning the contents of the affected area. On the other hand, smoke detectors should not be used when the principal fire hazard is the presence of flammable liquids or gases that produce little smoke or in </w:t>
      </w:r>
      <w:r w:rsidR="00E9552E" w:rsidRPr="00E9552E">
        <w:t>areas in which smoke detectors would have a high potential for false alarms</w:t>
      </w:r>
      <w:r w:rsidR="00A674DD">
        <w:t>. Moreover, flame detectors should only be used in situations in which it is sufficient for the fire detection system to respond to flaming fires, but not fires that produce smoke without significant flame</w:t>
      </w:r>
      <w:r w:rsidR="00C018FC">
        <w:t>s</w:t>
      </w:r>
      <w:r w:rsidR="00A674DD">
        <w:t xml:space="preserve"> (e.g.</w:t>
      </w:r>
      <w:r w:rsidR="00C018FC">
        <w:t>,</w:t>
      </w:r>
      <w:r w:rsidR="00A674DD">
        <w:t xml:space="preserve"> </w:t>
      </w:r>
      <w:proofErr w:type="spellStart"/>
      <w:r w:rsidR="00605E6D">
        <w:t>smo</w:t>
      </w:r>
      <w:r w:rsidR="00404EFE">
        <w:t>u</w:t>
      </w:r>
      <w:r w:rsidR="00605E6D">
        <w:t>ldering</w:t>
      </w:r>
      <w:proofErr w:type="spellEnd"/>
      <w:r w:rsidR="00A674DD">
        <w:t xml:space="preserve"> fires)</w:t>
      </w:r>
      <w:r w:rsidR="00404EFE">
        <w:t>. In contrast,</w:t>
      </w:r>
      <w:r w:rsidR="00A674DD">
        <w:t xml:space="preserve"> ultraviolet flame detectors should not be used as the sole means of fire detection in areas within buildings in which a fire can produce significant quantities of smoke before flaming occurs. </w:t>
      </w:r>
      <w:r w:rsidR="00E41555">
        <w:t>In addition to standard technologies, more sophisticated solutions</w:t>
      </w:r>
      <w:r w:rsidR="00383AF1">
        <w:t xml:space="preserve"> have been developed</w:t>
      </w:r>
      <w:r w:rsidR="00E41555">
        <w:t>. For example, the aspirating smoke detection systems (ASD)</w:t>
      </w:r>
      <w:r w:rsidR="00447F0B">
        <w:t xml:space="preserve"> can </w:t>
      </w:r>
      <w:r w:rsidR="00404EFE">
        <w:t>also guarantee a very high sensitivity</w:t>
      </w:r>
      <w:r w:rsidR="00383AF1">
        <w:t xml:space="preserve"> </w:t>
      </w:r>
      <w:r w:rsidR="00E41555">
        <w:t>to detect smoke that has been substantially diluted with clean air</w:t>
      </w:r>
      <w:r w:rsidR="00383AF1">
        <w:t xml:space="preserve">. On the heat side, a more efficient way to detect </w:t>
      </w:r>
      <w:r w:rsidR="00605E6D">
        <w:t>a fire</w:t>
      </w:r>
      <w:r w:rsidR="00383AF1">
        <w:t xml:space="preserve"> is to analyze the </w:t>
      </w:r>
      <w:r w:rsidR="00C018FC">
        <w:t>pressure variation</w:t>
      </w:r>
      <w:r w:rsidR="00383AF1">
        <w:t xml:space="preserve"> inside a tube filled with air installed in the monitoring area. An example of this system is the one developed by </w:t>
      </w:r>
      <w:proofErr w:type="spellStart"/>
      <w:r w:rsidR="00383AF1">
        <w:t>Securiton</w:t>
      </w:r>
      <w:proofErr w:type="spellEnd"/>
      <w:r w:rsidR="00383AF1">
        <w:t xml:space="preserve">, named </w:t>
      </w:r>
      <w:proofErr w:type="spellStart"/>
      <w:r w:rsidR="00383AF1">
        <w:t>Securisens</w:t>
      </w:r>
      <w:proofErr w:type="spellEnd"/>
      <w:r w:rsidR="00383AF1">
        <w:t xml:space="preserve"> ADW </w:t>
      </w:r>
      <w:r w:rsidR="00791FA3">
        <w:fldChar w:fldCharType="begin" w:fldLock="1"/>
      </w:r>
      <w:r w:rsidR="002212F4">
        <w:instrText>ADDIN CSL_CITATION {"citationItems":[{"id":"ITEM-1","itemData":{"author":[{"dropping-particle":"","family":"Securiton","given":"","non-dropping-particle":"","parse-names":false,"suffix":""}],"id":"ITEM-1","issued":{"date-parts":[["2021"]]},"page":"1-9","title":"ADW 535 data sheet","type":"article"},"uris":["http://www.mendeley.com/documents/?uuid=acffc7a9-b4a0-4725-9f75-56e3acc7233c"]}],"mendeley":{"formattedCitation":"(Securiton, 2021)","plainTextFormattedCitation":"(Securiton, 2021)","previouslyFormattedCitation":"(Securiton, 2021)"},"properties":{"noteIndex":0},"schema":"https://github.com/citation-style-language/schema/raw/master/csl-citation.json"}</w:instrText>
      </w:r>
      <w:r w:rsidR="00791FA3">
        <w:fldChar w:fldCharType="separate"/>
      </w:r>
      <w:r w:rsidR="00791FA3" w:rsidRPr="00791FA3">
        <w:rPr>
          <w:noProof/>
        </w:rPr>
        <w:t>(Securiton, 2021)</w:t>
      </w:r>
      <w:r w:rsidR="00791FA3">
        <w:fldChar w:fldCharType="end"/>
      </w:r>
      <w:r w:rsidR="00383AF1" w:rsidRPr="00383AF1">
        <w:t>.</w:t>
      </w:r>
      <w:r w:rsidR="00605E6D">
        <w:t xml:space="preserve"> More details can be retrieved in the following chapters.</w:t>
      </w:r>
      <w:r w:rsidR="00383AF1" w:rsidRPr="00383AF1">
        <w:t xml:space="preserve"> </w:t>
      </w:r>
      <w:r w:rsidR="00605E6D">
        <w:lastRenderedPageBreak/>
        <w:t>In Table 1</w:t>
      </w:r>
      <w:r w:rsidR="00404EFE">
        <w:t>,</w:t>
      </w:r>
      <w:r w:rsidR="00605E6D">
        <w:t xml:space="preserve"> the </w:t>
      </w:r>
      <w:r w:rsidR="00290B77">
        <w:t>abovementioned</w:t>
      </w:r>
      <w:r w:rsidR="00605E6D">
        <w:t xml:space="preserve"> characteristics are resumed and compared</w:t>
      </w:r>
      <w:r w:rsidR="00EB2315">
        <w:t xml:space="preserve"> for a monitoring area of</w:t>
      </w:r>
      <w:r w:rsidR="00EB2315" w:rsidRPr="00EB2315">
        <w:t xml:space="preserve"> 2500 m</w:t>
      </w:r>
      <w:r w:rsidR="00EB2315" w:rsidRPr="00EB2315">
        <w:rPr>
          <w:vertAlign w:val="superscript"/>
        </w:rPr>
        <w:t>2</w:t>
      </w:r>
      <w:r w:rsidR="00EB2315">
        <w:t xml:space="preserve">. Moreover, the ceiling limits refer to </w:t>
      </w:r>
      <w:r w:rsidR="00EB2315" w:rsidRPr="00EB2315">
        <w:t>BSI 5839-1:2017 (BSI, 2017).</w:t>
      </w:r>
      <w:r w:rsidR="00EB2315">
        <w:t xml:space="preserve"> For the heat detectors, 9.0 </w:t>
      </w:r>
      <w:r w:rsidR="003061AA">
        <w:rPr>
          <w:lang w:val="en-GB"/>
        </w:rPr>
        <w:t xml:space="preserve">m </w:t>
      </w:r>
      <w:r w:rsidR="00EB2315">
        <w:t xml:space="preserve">is referred to </w:t>
      </w:r>
      <w:r w:rsidR="00404EFE">
        <w:t xml:space="preserve">as </w:t>
      </w:r>
      <w:r w:rsidR="00C018FC">
        <w:t>C</w:t>
      </w:r>
      <w:r w:rsidR="00EB2315">
        <w:t>lass A1 system</w:t>
      </w:r>
      <w:r w:rsidR="00404EFE">
        <w:t>,</w:t>
      </w:r>
      <w:r w:rsidR="00EB2315">
        <w:t xml:space="preserve"> while the values of 40 m </w:t>
      </w:r>
      <w:proofErr w:type="gramStart"/>
      <w:r w:rsidR="00EB2315">
        <w:t>is</w:t>
      </w:r>
      <w:proofErr w:type="gramEnd"/>
      <w:r w:rsidR="00EB2315">
        <w:t xml:space="preserve"> for </w:t>
      </w:r>
      <w:r w:rsidR="00EB2315" w:rsidRPr="00EB2315">
        <w:t>Class B</w:t>
      </w:r>
      <w:r w:rsidR="00EB2315">
        <w:t xml:space="preserve"> ASD</w:t>
      </w:r>
      <w:r w:rsidR="00EB2315" w:rsidRPr="00EB2315">
        <w:t xml:space="preserve"> </w:t>
      </w:r>
      <w:r w:rsidR="00EB2315">
        <w:t xml:space="preserve">system </w:t>
      </w:r>
      <w:r w:rsidR="00EB2315" w:rsidRPr="00EB2315">
        <w:t>with at least 15 holes</w:t>
      </w:r>
      <w:r w:rsidR="00EB2315">
        <w:t xml:space="preserve"> or for optical beam with e</w:t>
      </w:r>
      <w:r w:rsidR="00EB2315" w:rsidRPr="00EB2315">
        <w:t>nhanced sensitivity (alarm at 35% attenuation or less).</w:t>
      </w:r>
    </w:p>
    <w:tbl>
      <w:tblPr>
        <w:tblpPr w:leftFromText="141" w:rightFromText="141" w:vertAnchor="text" w:horzAnchor="margin" w:tblpY="478"/>
        <w:tblW w:w="8886"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070"/>
        <w:gridCol w:w="936"/>
        <w:gridCol w:w="964"/>
        <w:gridCol w:w="990"/>
        <w:gridCol w:w="1080"/>
        <w:gridCol w:w="630"/>
        <w:gridCol w:w="630"/>
        <w:gridCol w:w="644"/>
        <w:gridCol w:w="816"/>
        <w:gridCol w:w="1126"/>
      </w:tblGrid>
      <w:tr w:rsidR="007A36B1" w14:paraId="0D62DD1C" w14:textId="77777777" w:rsidTr="00EE489C">
        <w:trPr>
          <w:trHeight w:val="179"/>
        </w:trPr>
        <w:tc>
          <w:tcPr>
            <w:tcW w:w="1070" w:type="dxa"/>
            <w:vMerge w:val="restart"/>
            <w:tcBorders>
              <w:top w:val="single" w:sz="12" w:space="0" w:color="008000"/>
              <w:left w:val="nil"/>
              <w:bottom w:val="single" w:sz="4" w:space="0" w:color="auto"/>
              <w:right w:val="nil"/>
            </w:tcBorders>
            <w:shd w:val="clear" w:color="auto" w:fill="FFFFFF"/>
            <w:vAlign w:val="center"/>
            <w:hideMark/>
          </w:tcPr>
          <w:p w14:paraId="0F86CFA2" w14:textId="77777777" w:rsidR="007A36B1" w:rsidRPr="004746EA" w:rsidRDefault="007A36B1" w:rsidP="00EE489C">
            <w:pPr>
              <w:pStyle w:val="CETBodytext"/>
              <w:jc w:val="center"/>
              <w:rPr>
                <w:sz w:val="16"/>
                <w:szCs w:val="18"/>
                <w:lang w:val="en-GB"/>
              </w:rPr>
            </w:pPr>
            <w:r w:rsidRPr="004746EA">
              <w:rPr>
                <w:sz w:val="16"/>
                <w:szCs w:val="18"/>
                <w:lang w:val="en-GB"/>
              </w:rPr>
              <w:t>Technology</w:t>
            </w:r>
          </w:p>
        </w:tc>
        <w:tc>
          <w:tcPr>
            <w:tcW w:w="1900" w:type="dxa"/>
            <w:gridSpan w:val="2"/>
            <w:tcBorders>
              <w:top w:val="single" w:sz="12" w:space="0" w:color="008000"/>
              <w:left w:val="nil"/>
              <w:bottom w:val="single" w:sz="6" w:space="0" w:color="008000"/>
              <w:right w:val="nil"/>
            </w:tcBorders>
            <w:shd w:val="clear" w:color="auto" w:fill="FFFFFF"/>
            <w:vAlign w:val="center"/>
            <w:hideMark/>
          </w:tcPr>
          <w:p w14:paraId="41D8289B" w14:textId="47146F74" w:rsidR="007A36B1" w:rsidRPr="004746EA" w:rsidRDefault="007A36B1" w:rsidP="00EE489C">
            <w:pPr>
              <w:pStyle w:val="CETBodytext"/>
              <w:jc w:val="center"/>
              <w:rPr>
                <w:sz w:val="16"/>
                <w:szCs w:val="18"/>
                <w:lang w:val="en-GB"/>
              </w:rPr>
            </w:pPr>
            <w:r w:rsidRPr="004746EA">
              <w:rPr>
                <w:sz w:val="16"/>
                <w:szCs w:val="18"/>
                <w:lang w:val="en-GB"/>
              </w:rPr>
              <w:t>Economic</w:t>
            </w:r>
            <w:r w:rsidR="00EE489C" w:rsidRPr="004746EA">
              <w:rPr>
                <w:sz w:val="16"/>
                <w:szCs w:val="18"/>
                <w:lang w:val="en-GB"/>
              </w:rPr>
              <w:t xml:space="preserve"> affordability</w:t>
            </w:r>
          </w:p>
        </w:tc>
        <w:tc>
          <w:tcPr>
            <w:tcW w:w="2070" w:type="dxa"/>
            <w:gridSpan w:val="2"/>
            <w:tcBorders>
              <w:top w:val="single" w:sz="12" w:space="0" w:color="008000"/>
              <w:left w:val="nil"/>
              <w:bottom w:val="single" w:sz="6" w:space="0" w:color="008000"/>
              <w:right w:val="nil"/>
            </w:tcBorders>
            <w:shd w:val="clear" w:color="auto" w:fill="FFFFFF"/>
            <w:vAlign w:val="center"/>
            <w:hideMark/>
          </w:tcPr>
          <w:p w14:paraId="1C9AA956" w14:textId="77777777" w:rsidR="007A36B1" w:rsidRPr="004746EA" w:rsidRDefault="007A36B1" w:rsidP="00EE489C">
            <w:pPr>
              <w:pStyle w:val="CETBodytext"/>
              <w:ind w:right="-1"/>
              <w:jc w:val="center"/>
              <w:rPr>
                <w:rFonts w:cs="Arial"/>
                <w:sz w:val="16"/>
                <w:szCs w:val="18"/>
                <w:lang w:val="en-GB"/>
              </w:rPr>
            </w:pPr>
            <w:r w:rsidRPr="004746EA">
              <w:rPr>
                <w:sz w:val="16"/>
                <w:szCs w:val="18"/>
                <w:lang w:val="en-GB"/>
              </w:rPr>
              <w:t>Types of revelation</w:t>
            </w:r>
          </w:p>
        </w:tc>
        <w:tc>
          <w:tcPr>
            <w:tcW w:w="1904" w:type="dxa"/>
            <w:gridSpan w:val="3"/>
            <w:tcBorders>
              <w:top w:val="single" w:sz="12" w:space="0" w:color="008000"/>
              <w:left w:val="nil"/>
              <w:bottom w:val="single" w:sz="6" w:space="0" w:color="008000"/>
              <w:right w:val="nil"/>
            </w:tcBorders>
            <w:shd w:val="clear" w:color="auto" w:fill="FFFFFF"/>
            <w:vAlign w:val="center"/>
            <w:hideMark/>
          </w:tcPr>
          <w:p w14:paraId="745F18B6" w14:textId="77777777" w:rsidR="007A36B1" w:rsidRPr="004746EA" w:rsidRDefault="007A36B1" w:rsidP="00EE489C">
            <w:pPr>
              <w:pStyle w:val="CETBodytext"/>
              <w:ind w:right="-1"/>
              <w:jc w:val="center"/>
              <w:rPr>
                <w:rFonts w:cs="Arial"/>
                <w:sz w:val="16"/>
                <w:szCs w:val="18"/>
                <w:lang w:val="en-GB"/>
              </w:rPr>
            </w:pPr>
            <w:r w:rsidRPr="004746EA">
              <w:rPr>
                <w:rFonts w:cs="Arial"/>
                <w:sz w:val="16"/>
                <w:szCs w:val="18"/>
                <w:lang w:val="en-GB"/>
              </w:rPr>
              <w:t>Environment</w:t>
            </w:r>
          </w:p>
        </w:tc>
        <w:tc>
          <w:tcPr>
            <w:tcW w:w="816" w:type="dxa"/>
            <w:vMerge w:val="restart"/>
            <w:tcBorders>
              <w:top w:val="single" w:sz="12" w:space="0" w:color="008000"/>
              <w:left w:val="nil"/>
              <w:bottom w:val="single" w:sz="4" w:space="0" w:color="auto"/>
              <w:right w:val="nil"/>
            </w:tcBorders>
            <w:shd w:val="clear" w:color="auto" w:fill="FFFFFF"/>
            <w:vAlign w:val="center"/>
            <w:hideMark/>
          </w:tcPr>
          <w:p w14:paraId="7F440177" w14:textId="4F6F46E5" w:rsidR="007A36B1" w:rsidRPr="004746EA" w:rsidRDefault="007A36B1" w:rsidP="00EE489C">
            <w:pPr>
              <w:pStyle w:val="CETBodytext"/>
              <w:ind w:right="-1"/>
              <w:jc w:val="center"/>
              <w:rPr>
                <w:rFonts w:cs="Arial"/>
                <w:sz w:val="16"/>
                <w:szCs w:val="18"/>
                <w:lang w:val="en-GB"/>
              </w:rPr>
            </w:pPr>
            <w:r w:rsidRPr="004746EA">
              <w:rPr>
                <w:rFonts w:cs="Arial"/>
                <w:sz w:val="16"/>
                <w:szCs w:val="18"/>
                <w:lang w:val="en-GB"/>
              </w:rPr>
              <w:t>Ceiling Heigh</w:t>
            </w:r>
            <w:r w:rsidR="00290B77" w:rsidRPr="004746EA">
              <w:rPr>
                <w:rFonts w:cs="Arial"/>
                <w:sz w:val="16"/>
                <w:szCs w:val="18"/>
                <w:lang w:val="en-GB"/>
              </w:rPr>
              <w:t>t</w:t>
            </w:r>
          </w:p>
          <w:p w14:paraId="6EF91C1A" w14:textId="5597B63C" w:rsidR="007A36B1" w:rsidRPr="004746EA" w:rsidRDefault="007A36B1" w:rsidP="00EE489C">
            <w:pPr>
              <w:pStyle w:val="CETBodytext"/>
              <w:ind w:right="-1"/>
              <w:jc w:val="center"/>
              <w:rPr>
                <w:rFonts w:cs="Arial"/>
                <w:sz w:val="16"/>
                <w:szCs w:val="18"/>
                <w:lang w:val="en-GB"/>
              </w:rPr>
            </w:pPr>
            <w:r w:rsidRPr="004746EA">
              <w:rPr>
                <w:rFonts w:cs="Arial"/>
                <w:sz w:val="16"/>
                <w:szCs w:val="18"/>
                <w:lang w:val="en-GB"/>
              </w:rPr>
              <w:t>[m]</w:t>
            </w:r>
          </w:p>
        </w:tc>
        <w:tc>
          <w:tcPr>
            <w:tcW w:w="1126" w:type="dxa"/>
            <w:vMerge w:val="restart"/>
            <w:tcBorders>
              <w:top w:val="single" w:sz="12" w:space="0" w:color="008000"/>
              <w:left w:val="nil"/>
              <w:bottom w:val="single" w:sz="4" w:space="0" w:color="auto"/>
              <w:right w:val="nil"/>
            </w:tcBorders>
            <w:shd w:val="clear" w:color="auto" w:fill="FFFFFF"/>
            <w:vAlign w:val="center"/>
            <w:hideMark/>
          </w:tcPr>
          <w:p w14:paraId="65B8049C" w14:textId="6A0095C2" w:rsidR="007A36B1" w:rsidRPr="004746EA" w:rsidRDefault="007A36B1" w:rsidP="00EE489C">
            <w:pPr>
              <w:pStyle w:val="CETBodytext"/>
              <w:ind w:right="-1"/>
              <w:jc w:val="center"/>
              <w:rPr>
                <w:rFonts w:cs="Arial"/>
                <w:sz w:val="16"/>
                <w:szCs w:val="18"/>
                <w:lang w:val="en-GB"/>
              </w:rPr>
            </w:pPr>
            <w:r w:rsidRPr="004746EA">
              <w:rPr>
                <w:rFonts w:cs="Arial"/>
                <w:sz w:val="16"/>
                <w:szCs w:val="18"/>
                <w:lang w:val="en-GB"/>
              </w:rPr>
              <w:t xml:space="preserve">False </w:t>
            </w:r>
            <w:r w:rsidR="001D6253" w:rsidRPr="004746EA">
              <w:rPr>
                <w:rFonts w:cs="Arial"/>
                <w:sz w:val="16"/>
                <w:szCs w:val="18"/>
                <w:lang w:val="en-GB"/>
              </w:rPr>
              <w:t>Alarm</w:t>
            </w:r>
          </w:p>
          <w:p w14:paraId="5F95B58D" w14:textId="77777777" w:rsidR="007A36B1" w:rsidRPr="004746EA" w:rsidRDefault="007A36B1" w:rsidP="00EE489C">
            <w:pPr>
              <w:pStyle w:val="CETBodytext"/>
              <w:ind w:right="-1"/>
              <w:jc w:val="center"/>
              <w:rPr>
                <w:rFonts w:cs="Arial"/>
                <w:sz w:val="16"/>
                <w:szCs w:val="18"/>
                <w:lang w:val="en-GB"/>
              </w:rPr>
            </w:pPr>
            <w:r w:rsidRPr="004746EA">
              <w:rPr>
                <w:rFonts w:cs="Arial"/>
                <w:sz w:val="16"/>
                <w:szCs w:val="18"/>
                <w:lang w:val="en-GB"/>
              </w:rPr>
              <w:t>Resistance</w:t>
            </w:r>
          </w:p>
        </w:tc>
      </w:tr>
      <w:tr w:rsidR="007A36B1" w14:paraId="33C66673" w14:textId="77777777" w:rsidTr="00EE489C">
        <w:trPr>
          <w:trHeight w:val="188"/>
        </w:trPr>
        <w:tc>
          <w:tcPr>
            <w:tcW w:w="1070" w:type="dxa"/>
            <w:vMerge/>
            <w:tcBorders>
              <w:top w:val="single" w:sz="12" w:space="0" w:color="008000"/>
              <w:left w:val="nil"/>
              <w:bottom w:val="single" w:sz="4" w:space="0" w:color="auto"/>
              <w:right w:val="nil"/>
            </w:tcBorders>
            <w:shd w:val="clear" w:color="auto" w:fill="FFFFFF"/>
            <w:vAlign w:val="center"/>
            <w:hideMark/>
          </w:tcPr>
          <w:p w14:paraId="24C92A74" w14:textId="77777777" w:rsidR="007A36B1" w:rsidRDefault="007A36B1" w:rsidP="00EE489C">
            <w:pPr>
              <w:tabs>
                <w:tab w:val="clear" w:pos="7100"/>
              </w:tabs>
              <w:spacing w:line="276" w:lineRule="auto"/>
              <w:jc w:val="center"/>
            </w:pPr>
          </w:p>
        </w:tc>
        <w:tc>
          <w:tcPr>
            <w:tcW w:w="936" w:type="dxa"/>
            <w:tcBorders>
              <w:top w:val="single" w:sz="6" w:space="0" w:color="008000"/>
              <w:left w:val="nil"/>
              <w:bottom w:val="single" w:sz="4" w:space="0" w:color="auto"/>
              <w:right w:val="nil"/>
            </w:tcBorders>
            <w:shd w:val="clear" w:color="auto" w:fill="FFFFFF"/>
            <w:vAlign w:val="center"/>
            <w:hideMark/>
          </w:tcPr>
          <w:p w14:paraId="546E6F38" w14:textId="77777777" w:rsidR="007A36B1" w:rsidRPr="004746EA" w:rsidRDefault="007A36B1" w:rsidP="00EE489C">
            <w:pPr>
              <w:pStyle w:val="CETBodytext"/>
              <w:jc w:val="center"/>
              <w:rPr>
                <w:sz w:val="14"/>
                <w:szCs w:val="18"/>
                <w:lang w:val="en-GB"/>
              </w:rPr>
            </w:pPr>
            <w:r w:rsidRPr="004746EA">
              <w:rPr>
                <w:sz w:val="14"/>
                <w:szCs w:val="18"/>
                <w:lang w:val="en-GB"/>
              </w:rPr>
              <w:t>Installation</w:t>
            </w:r>
          </w:p>
        </w:tc>
        <w:tc>
          <w:tcPr>
            <w:tcW w:w="964" w:type="dxa"/>
            <w:tcBorders>
              <w:top w:val="single" w:sz="6" w:space="0" w:color="008000"/>
              <w:left w:val="nil"/>
              <w:bottom w:val="single" w:sz="4" w:space="0" w:color="auto"/>
              <w:right w:val="nil"/>
            </w:tcBorders>
            <w:shd w:val="clear" w:color="auto" w:fill="FFFFFF"/>
            <w:vAlign w:val="center"/>
            <w:hideMark/>
          </w:tcPr>
          <w:p w14:paraId="2BAD9156" w14:textId="77777777" w:rsidR="007A36B1" w:rsidRPr="004746EA" w:rsidRDefault="007A36B1" w:rsidP="00EE489C">
            <w:pPr>
              <w:pStyle w:val="CETBodytext"/>
              <w:jc w:val="center"/>
              <w:rPr>
                <w:sz w:val="14"/>
                <w:szCs w:val="18"/>
                <w:lang w:val="en-GB"/>
              </w:rPr>
            </w:pPr>
            <w:r w:rsidRPr="004746EA">
              <w:rPr>
                <w:sz w:val="14"/>
                <w:szCs w:val="18"/>
                <w:lang w:val="en-GB"/>
              </w:rPr>
              <w:t>Maintenance</w:t>
            </w:r>
          </w:p>
        </w:tc>
        <w:tc>
          <w:tcPr>
            <w:tcW w:w="990" w:type="dxa"/>
            <w:tcBorders>
              <w:top w:val="single" w:sz="6" w:space="0" w:color="008000"/>
              <w:left w:val="nil"/>
              <w:bottom w:val="single" w:sz="4" w:space="0" w:color="auto"/>
              <w:right w:val="nil"/>
            </w:tcBorders>
            <w:shd w:val="clear" w:color="auto" w:fill="FFFFFF"/>
            <w:vAlign w:val="center"/>
            <w:hideMark/>
          </w:tcPr>
          <w:p w14:paraId="3CAD497D" w14:textId="77777777" w:rsidR="007A36B1" w:rsidRPr="004746EA" w:rsidRDefault="007A36B1" w:rsidP="00EE489C">
            <w:pPr>
              <w:pStyle w:val="CETBodytext"/>
              <w:jc w:val="center"/>
              <w:rPr>
                <w:sz w:val="14"/>
                <w:szCs w:val="18"/>
                <w:lang w:val="en-GB"/>
              </w:rPr>
            </w:pPr>
            <w:r w:rsidRPr="004746EA">
              <w:rPr>
                <w:sz w:val="14"/>
                <w:szCs w:val="18"/>
                <w:lang w:val="en-GB"/>
              </w:rPr>
              <w:t>Very Clean Fires</w:t>
            </w:r>
          </w:p>
        </w:tc>
        <w:tc>
          <w:tcPr>
            <w:tcW w:w="1080" w:type="dxa"/>
            <w:tcBorders>
              <w:top w:val="single" w:sz="6" w:space="0" w:color="008000"/>
              <w:left w:val="nil"/>
              <w:bottom w:val="single" w:sz="4" w:space="0" w:color="auto"/>
              <w:right w:val="nil"/>
            </w:tcBorders>
            <w:shd w:val="clear" w:color="auto" w:fill="FFFFFF"/>
            <w:vAlign w:val="center"/>
            <w:hideMark/>
          </w:tcPr>
          <w:p w14:paraId="5EE9118E" w14:textId="77777777" w:rsidR="007A36B1" w:rsidRPr="004746EA" w:rsidRDefault="007A36B1" w:rsidP="00EE489C">
            <w:pPr>
              <w:pStyle w:val="CETBodytext"/>
              <w:ind w:right="-1"/>
              <w:jc w:val="center"/>
              <w:rPr>
                <w:rFonts w:cs="Arial"/>
                <w:sz w:val="14"/>
                <w:szCs w:val="18"/>
                <w:lang w:val="en-GB"/>
              </w:rPr>
            </w:pPr>
            <w:r w:rsidRPr="004746EA">
              <w:rPr>
                <w:rFonts w:cs="Arial"/>
                <w:sz w:val="14"/>
                <w:szCs w:val="18"/>
                <w:lang w:val="en-GB"/>
              </w:rPr>
              <w:t>Smouldering Fires</w:t>
            </w:r>
          </w:p>
        </w:tc>
        <w:tc>
          <w:tcPr>
            <w:tcW w:w="630" w:type="dxa"/>
            <w:tcBorders>
              <w:top w:val="single" w:sz="6" w:space="0" w:color="008000"/>
              <w:left w:val="nil"/>
              <w:bottom w:val="single" w:sz="4" w:space="0" w:color="auto"/>
              <w:right w:val="nil"/>
            </w:tcBorders>
            <w:shd w:val="clear" w:color="auto" w:fill="FFFFFF"/>
            <w:vAlign w:val="center"/>
            <w:hideMark/>
          </w:tcPr>
          <w:p w14:paraId="2E5369ED" w14:textId="2D8D9F69" w:rsidR="007A36B1" w:rsidRPr="004746EA" w:rsidRDefault="007A36B1" w:rsidP="00EE489C">
            <w:pPr>
              <w:pStyle w:val="CETBodytext"/>
              <w:ind w:right="-1"/>
              <w:jc w:val="center"/>
              <w:rPr>
                <w:rFonts w:cs="Arial"/>
                <w:sz w:val="14"/>
                <w:szCs w:val="18"/>
                <w:lang w:val="en-GB"/>
              </w:rPr>
            </w:pPr>
            <w:r w:rsidRPr="004746EA">
              <w:rPr>
                <w:rFonts w:cs="Arial"/>
                <w:sz w:val="14"/>
                <w:szCs w:val="18"/>
                <w:lang w:val="en-GB"/>
              </w:rPr>
              <w:t>Open</w:t>
            </w:r>
          </w:p>
        </w:tc>
        <w:tc>
          <w:tcPr>
            <w:tcW w:w="630" w:type="dxa"/>
            <w:tcBorders>
              <w:top w:val="single" w:sz="6" w:space="0" w:color="008000"/>
              <w:left w:val="nil"/>
              <w:bottom w:val="single" w:sz="4" w:space="0" w:color="auto"/>
              <w:right w:val="nil"/>
            </w:tcBorders>
            <w:shd w:val="clear" w:color="auto" w:fill="FFFFFF"/>
            <w:vAlign w:val="center"/>
            <w:hideMark/>
          </w:tcPr>
          <w:p w14:paraId="51136DCE" w14:textId="2D295504" w:rsidR="007A36B1" w:rsidRPr="004746EA" w:rsidRDefault="007A36B1" w:rsidP="00EE489C">
            <w:pPr>
              <w:pStyle w:val="CETBodytext"/>
              <w:ind w:right="-1"/>
              <w:jc w:val="center"/>
              <w:rPr>
                <w:rFonts w:cs="Arial"/>
                <w:sz w:val="14"/>
                <w:szCs w:val="18"/>
                <w:lang w:val="en-GB"/>
              </w:rPr>
            </w:pPr>
            <w:r w:rsidRPr="004746EA">
              <w:rPr>
                <w:rFonts w:cs="Arial"/>
                <w:sz w:val="14"/>
                <w:szCs w:val="18"/>
                <w:lang w:val="en-GB"/>
              </w:rPr>
              <w:t>Closed</w:t>
            </w:r>
          </w:p>
        </w:tc>
        <w:tc>
          <w:tcPr>
            <w:tcW w:w="644" w:type="dxa"/>
            <w:tcBorders>
              <w:top w:val="single" w:sz="6" w:space="0" w:color="008000"/>
              <w:left w:val="nil"/>
              <w:bottom w:val="single" w:sz="4" w:space="0" w:color="auto"/>
              <w:right w:val="nil"/>
            </w:tcBorders>
            <w:shd w:val="clear" w:color="auto" w:fill="FFFFFF"/>
            <w:vAlign w:val="center"/>
            <w:hideMark/>
          </w:tcPr>
          <w:p w14:paraId="71686754" w14:textId="7C8567E5" w:rsidR="007A36B1" w:rsidRPr="004746EA" w:rsidRDefault="007A36B1" w:rsidP="00EE489C">
            <w:pPr>
              <w:pStyle w:val="CETBodytext"/>
              <w:ind w:right="-1"/>
              <w:jc w:val="center"/>
              <w:rPr>
                <w:rFonts w:cs="Arial"/>
                <w:sz w:val="14"/>
                <w:szCs w:val="18"/>
                <w:lang w:val="en-GB"/>
              </w:rPr>
            </w:pPr>
            <w:r w:rsidRPr="004746EA">
              <w:rPr>
                <w:rFonts w:cs="Arial"/>
                <w:sz w:val="14"/>
                <w:szCs w:val="18"/>
                <w:lang w:val="en-GB"/>
              </w:rPr>
              <w:t>Dusty</w:t>
            </w:r>
          </w:p>
        </w:tc>
        <w:tc>
          <w:tcPr>
            <w:tcW w:w="816" w:type="dxa"/>
            <w:vMerge/>
            <w:tcBorders>
              <w:top w:val="single" w:sz="12" w:space="0" w:color="008000"/>
              <w:left w:val="nil"/>
              <w:bottom w:val="single" w:sz="4" w:space="0" w:color="auto"/>
              <w:right w:val="nil"/>
            </w:tcBorders>
            <w:shd w:val="clear" w:color="auto" w:fill="FFFFFF"/>
            <w:vAlign w:val="center"/>
            <w:hideMark/>
          </w:tcPr>
          <w:p w14:paraId="4D50E625" w14:textId="77777777" w:rsidR="007A36B1" w:rsidRDefault="007A36B1" w:rsidP="00EE489C">
            <w:pPr>
              <w:tabs>
                <w:tab w:val="clear" w:pos="7100"/>
              </w:tabs>
              <w:spacing w:line="276" w:lineRule="auto"/>
              <w:jc w:val="center"/>
              <w:rPr>
                <w:rFonts w:cs="Arial"/>
                <w:szCs w:val="18"/>
              </w:rPr>
            </w:pPr>
          </w:p>
        </w:tc>
        <w:tc>
          <w:tcPr>
            <w:tcW w:w="1126" w:type="dxa"/>
            <w:vMerge/>
            <w:tcBorders>
              <w:top w:val="single" w:sz="12" w:space="0" w:color="008000"/>
              <w:left w:val="nil"/>
              <w:bottom w:val="single" w:sz="4" w:space="0" w:color="auto"/>
              <w:right w:val="nil"/>
            </w:tcBorders>
            <w:shd w:val="clear" w:color="auto" w:fill="FFFFFF"/>
            <w:vAlign w:val="center"/>
            <w:hideMark/>
          </w:tcPr>
          <w:p w14:paraId="3399F12F" w14:textId="77777777" w:rsidR="007A36B1" w:rsidRDefault="007A36B1" w:rsidP="00EE489C">
            <w:pPr>
              <w:tabs>
                <w:tab w:val="clear" w:pos="7100"/>
              </w:tabs>
              <w:spacing w:line="276" w:lineRule="auto"/>
              <w:jc w:val="center"/>
              <w:rPr>
                <w:rFonts w:cs="Arial"/>
                <w:szCs w:val="18"/>
              </w:rPr>
            </w:pPr>
          </w:p>
        </w:tc>
      </w:tr>
      <w:tr w:rsidR="007A36B1" w14:paraId="7A54B0A0" w14:textId="77777777" w:rsidTr="004746EA">
        <w:trPr>
          <w:trHeight w:val="175"/>
        </w:trPr>
        <w:tc>
          <w:tcPr>
            <w:tcW w:w="1070" w:type="dxa"/>
            <w:tcBorders>
              <w:top w:val="single" w:sz="4" w:space="0" w:color="auto"/>
              <w:left w:val="nil"/>
              <w:bottom w:val="nil"/>
              <w:right w:val="nil"/>
            </w:tcBorders>
            <w:shd w:val="clear" w:color="auto" w:fill="FFFFFF"/>
            <w:vAlign w:val="center"/>
          </w:tcPr>
          <w:p w14:paraId="5D552377" w14:textId="25AF3413" w:rsidR="007A36B1" w:rsidRPr="004746EA" w:rsidRDefault="007A36B1" w:rsidP="00911182">
            <w:pPr>
              <w:pStyle w:val="CETBodytext"/>
              <w:spacing w:line="240" w:lineRule="auto"/>
              <w:jc w:val="center"/>
              <w:rPr>
                <w:b/>
                <w:sz w:val="16"/>
                <w:szCs w:val="18"/>
                <w:lang w:val="en-GB"/>
              </w:rPr>
            </w:pPr>
            <w:proofErr w:type="spellStart"/>
            <w:r w:rsidRPr="004746EA">
              <w:rPr>
                <w:b/>
                <w:sz w:val="16"/>
                <w:szCs w:val="18"/>
                <w:lang w:val="en-GB"/>
              </w:rPr>
              <w:t>Securisens</w:t>
            </w:r>
            <w:proofErr w:type="spellEnd"/>
          </w:p>
          <w:p w14:paraId="263E7655" w14:textId="77777777" w:rsidR="007A36B1" w:rsidRPr="004746EA" w:rsidRDefault="007A36B1" w:rsidP="00911182">
            <w:pPr>
              <w:pStyle w:val="CETBodytext"/>
              <w:spacing w:line="240" w:lineRule="auto"/>
              <w:jc w:val="center"/>
              <w:rPr>
                <w:sz w:val="16"/>
                <w:szCs w:val="18"/>
                <w:lang w:val="en-GB"/>
              </w:rPr>
            </w:pPr>
            <w:r w:rsidRPr="004746EA">
              <w:rPr>
                <w:b/>
                <w:sz w:val="16"/>
                <w:szCs w:val="18"/>
                <w:lang w:val="en-GB"/>
              </w:rPr>
              <w:t>ADW</w:t>
            </w:r>
          </w:p>
        </w:tc>
        <w:tc>
          <w:tcPr>
            <w:tcW w:w="936" w:type="dxa"/>
            <w:tcBorders>
              <w:top w:val="single" w:sz="4" w:space="0" w:color="auto"/>
              <w:left w:val="nil"/>
              <w:bottom w:val="nil"/>
              <w:right w:val="nil"/>
            </w:tcBorders>
            <w:shd w:val="clear" w:color="auto" w:fill="FFFFFF"/>
            <w:vAlign w:val="center"/>
          </w:tcPr>
          <w:p w14:paraId="454E5626"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64" w:type="dxa"/>
            <w:tcBorders>
              <w:top w:val="single" w:sz="4" w:space="0" w:color="auto"/>
              <w:left w:val="nil"/>
              <w:bottom w:val="nil"/>
              <w:right w:val="nil"/>
            </w:tcBorders>
            <w:shd w:val="clear" w:color="auto" w:fill="FFFFFF"/>
            <w:vAlign w:val="center"/>
          </w:tcPr>
          <w:p w14:paraId="694BBD47"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90" w:type="dxa"/>
            <w:tcBorders>
              <w:top w:val="single" w:sz="4" w:space="0" w:color="auto"/>
              <w:left w:val="nil"/>
              <w:bottom w:val="nil"/>
              <w:right w:val="nil"/>
            </w:tcBorders>
            <w:shd w:val="clear" w:color="auto" w:fill="FFFFFF"/>
            <w:vAlign w:val="center"/>
          </w:tcPr>
          <w:p w14:paraId="19A945F4"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1080" w:type="dxa"/>
            <w:tcBorders>
              <w:top w:val="single" w:sz="4" w:space="0" w:color="auto"/>
              <w:left w:val="nil"/>
              <w:bottom w:val="nil"/>
              <w:right w:val="nil"/>
            </w:tcBorders>
            <w:shd w:val="clear" w:color="auto" w:fill="FFFFFF"/>
            <w:vAlign w:val="center"/>
          </w:tcPr>
          <w:p w14:paraId="0DED7078"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single" w:sz="4" w:space="0" w:color="auto"/>
              <w:left w:val="nil"/>
              <w:bottom w:val="nil"/>
              <w:right w:val="nil"/>
            </w:tcBorders>
            <w:shd w:val="clear" w:color="auto" w:fill="FFFFFF"/>
            <w:vAlign w:val="center"/>
          </w:tcPr>
          <w:p w14:paraId="6900625D"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single" w:sz="4" w:space="0" w:color="auto"/>
              <w:left w:val="nil"/>
              <w:bottom w:val="nil"/>
              <w:right w:val="nil"/>
            </w:tcBorders>
            <w:shd w:val="clear" w:color="auto" w:fill="FFFFFF"/>
            <w:vAlign w:val="center"/>
          </w:tcPr>
          <w:p w14:paraId="4ECA8185"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44" w:type="dxa"/>
            <w:tcBorders>
              <w:top w:val="single" w:sz="4" w:space="0" w:color="auto"/>
              <w:left w:val="nil"/>
              <w:bottom w:val="nil"/>
              <w:right w:val="nil"/>
            </w:tcBorders>
            <w:shd w:val="clear" w:color="auto" w:fill="FFFFFF"/>
            <w:vAlign w:val="center"/>
          </w:tcPr>
          <w:p w14:paraId="49D7AF32"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816" w:type="dxa"/>
            <w:tcBorders>
              <w:top w:val="single" w:sz="4" w:space="0" w:color="auto"/>
              <w:left w:val="nil"/>
              <w:bottom w:val="nil"/>
              <w:right w:val="nil"/>
            </w:tcBorders>
            <w:shd w:val="clear" w:color="auto" w:fill="FFFFFF"/>
            <w:vAlign w:val="center"/>
          </w:tcPr>
          <w:p w14:paraId="7268EFDF" w14:textId="5E7D14D9" w:rsidR="007A36B1" w:rsidRPr="004746EA" w:rsidRDefault="00EB2315" w:rsidP="00911182">
            <w:pPr>
              <w:pStyle w:val="CETBodytext"/>
              <w:spacing w:line="240" w:lineRule="auto"/>
              <w:ind w:right="-1"/>
              <w:jc w:val="center"/>
              <w:rPr>
                <w:rFonts w:cs="Arial"/>
                <w:sz w:val="16"/>
                <w:szCs w:val="18"/>
                <w:lang w:val="en-GB"/>
              </w:rPr>
            </w:pPr>
            <w:r w:rsidRPr="004746EA">
              <w:rPr>
                <w:rFonts w:cs="Arial"/>
                <w:sz w:val="16"/>
                <w:szCs w:val="18"/>
                <w:lang w:val="en-GB"/>
              </w:rPr>
              <w:t>7.5/</w:t>
            </w:r>
            <w:r w:rsidR="007A36B1" w:rsidRPr="004746EA">
              <w:rPr>
                <w:rFonts w:cs="Arial"/>
                <w:sz w:val="16"/>
                <w:szCs w:val="18"/>
                <w:lang w:val="en-GB"/>
              </w:rPr>
              <w:t>9.0</w:t>
            </w:r>
          </w:p>
        </w:tc>
        <w:tc>
          <w:tcPr>
            <w:tcW w:w="1126" w:type="dxa"/>
            <w:tcBorders>
              <w:top w:val="single" w:sz="4" w:space="0" w:color="auto"/>
              <w:left w:val="nil"/>
              <w:bottom w:val="nil"/>
              <w:right w:val="nil"/>
            </w:tcBorders>
            <w:shd w:val="clear" w:color="auto" w:fill="FFFFFF"/>
            <w:vAlign w:val="center"/>
          </w:tcPr>
          <w:p w14:paraId="3EC72EA1"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r>
      <w:tr w:rsidR="007A36B1" w14:paraId="7FF7CA1D" w14:textId="77777777" w:rsidTr="004746EA">
        <w:trPr>
          <w:trHeight w:val="176"/>
        </w:trPr>
        <w:tc>
          <w:tcPr>
            <w:tcW w:w="1070" w:type="dxa"/>
            <w:tcBorders>
              <w:top w:val="nil"/>
              <w:left w:val="nil"/>
              <w:bottom w:val="nil"/>
              <w:right w:val="nil"/>
            </w:tcBorders>
            <w:shd w:val="clear" w:color="auto" w:fill="FFFFFF"/>
            <w:vAlign w:val="center"/>
          </w:tcPr>
          <w:p w14:paraId="1E08D7AC"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Point heat detectors</w:t>
            </w:r>
          </w:p>
        </w:tc>
        <w:tc>
          <w:tcPr>
            <w:tcW w:w="936" w:type="dxa"/>
            <w:tcBorders>
              <w:top w:val="nil"/>
              <w:left w:val="nil"/>
              <w:bottom w:val="nil"/>
              <w:right w:val="nil"/>
            </w:tcBorders>
            <w:shd w:val="clear" w:color="auto" w:fill="FFFFFF"/>
            <w:vAlign w:val="center"/>
          </w:tcPr>
          <w:p w14:paraId="5446AA8A"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64" w:type="dxa"/>
            <w:tcBorders>
              <w:top w:val="nil"/>
              <w:left w:val="nil"/>
              <w:bottom w:val="nil"/>
              <w:right w:val="nil"/>
            </w:tcBorders>
            <w:shd w:val="clear" w:color="auto" w:fill="FFFFFF"/>
            <w:vAlign w:val="center"/>
          </w:tcPr>
          <w:p w14:paraId="36094DCB"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90" w:type="dxa"/>
            <w:tcBorders>
              <w:top w:val="nil"/>
              <w:left w:val="nil"/>
              <w:bottom w:val="nil"/>
              <w:right w:val="nil"/>
            </w:tcBorders>
            <w:shd w:val="clear" w:color="auto" w:fill="FFFFFF"/>
            <w:vAlign w:val="center"/>
          </w:tcPr>
          <w:p w14:paraId="1DFA4089"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1080" w:type="dxa"/>
            <w:tcBorders>
              <w:top w:val="nil"/>
              <w:left w:val="nil"/>
              <w:bottom w:val="nil"/>
              <w:right w:val="nil"/>
            </w:tcBorders>
            <w:shd w:val="clear" w:color="auto" w:fill="FFFFFF"/>
            <w:vAlign w:val="center"/>
          </w:tcPr>
          <w:p w14:paraId="248A8ECE"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nil"/>
              <w:right w:val="nil"/>
            </w:tcBorders>
            <w:shd w:val="clear" w:color="auto" w:fill="FFFFFF"/>
            <w:vAlign w:val="center"/>
          </w:tcPr>
          <w:p w14:paraId="72952FCD"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nil"/>
              <w:right w:val="nil"/>
            </w:tcBorders>
            <w:shd w:val="clear" w:color="auto" w:fill="FFFFFF"/>
            <w:vAlign w:val="center"/>
          </w:tcPr>
          <w:p w14:paraId="6057C9CD"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44" w:type="dxa"/>
            <w:tcBorders>
              <w:top w:val="nil"/>
              <w:left w:val="nil"/>
              <w:bottom w:val="nil"/>
              <w:right w:val="nil"/>
            </w:tcBorders>
            <w:shd w:val="clear" w:color="auto" w:fill="FFFFFF"/>
            <w:vAlign w:val="center"/>
          </w:tcPr>
          <w:p w14:paraId="22E5A0E8" w14:textId="654526FA" w:rsidR="007A36B1" w:rsidRPr="004746EA" w:rsidRDefault="00791FA3" w:rsidP="00911182">
            <w:pPr>
              <w:pStyle w:val="CETBodytext"/>
              <w:spacing w:line="240" w:lineRule="auto"/>
              <w:ind w:right="-1"/>
              <w:jc w:val="center"/>
              <w:rPr>
                <w:rFonts w:cs="Arial"/>
                <w:sz w:val="16"/>
                <w:szCs w:val="18"/>
                <w:lang w:val="en-GB"/>
              </w:rPr>
            </w:pPr>
            <w:r w:rsidRPr="004746EA">
              <w:rPr>
                <w:rFonts w:cs="Arial"/>
                <w:sz w:val="16"/>
                <w:szCs w:val="18"/>
                <w:lang w:val="en-GB"/>
              </w:rPr>
              <w:t>+</w:t>
            </w:r>
            <w:r w:rsidR="007A36B1" w:rsidRPr="004746EA">
              <w:rPr>
                <w:rFonts w:cs="Arial"/>
                <w:sz w:val="16"/>
                <w:szCs w:val="18"/>
                <w:lang w:val="en-GB"/>
              </w:rPr>
              <w:t>+++</w:t>
            </w:r>
          </w:p>
        </w:tc>
        <w:tc>
          <w:tcPr>
            <w:tcW w:w="816" w:type="dxa"/>
            <w:tcBorders>
              <w:top w:val="nil"/>
              <w:left w:val="nil"/>
              <w:bottom w:val="nil"/>
              <w:right w:val="nil"/>
            </w:tcBorders>
            <w:shd w:val="clear" w:color="auto" w:fill="FFFFFF"/>
            <w:vAlign w:val="center"/>
          </w:tcPr>
          <w:p w14:paraId="5E5A992E" w14:textId="2A0037CD" w:rsidR="007A36B1" w:rsidRPr="004746EA" w:rsidRDefault="00EB2315" w:rsidP="00911182">
            <w:pPr>
              <w:pStyle w:val="CETBodytext"/>
              <w:spacing w:line="240" w:lineRule="auto"/>
              <w:ind w:right="-1"/>
              <w:jc w:val="center"/>
              <w:rPr>
                <w:rFonts w:cs="Arial"/>
                <w:sz w:val="16"/>
                <w:szCs w:val="18"/>
                <w:lang w:val="en-GB"/>
              </w:rPr>
            </w:pPr>
            <w:r w:rsidRPr="004746EA">
              <w:rPr>
                <w:rFonts w:cs="Arial"/>
                <w:sz w:val="16"/>
                <w:szCs w:val="18"/>
                <w:lang w:val="en-GB"/>
              </w:rPr>
              <w:t>7.5/</w:t>
            </w:r>
            <w:r w:rsidR="007A36B1" w:rsidRPr="004746EA">
              <w:rPr>
                <w:rFonts w:cs="Arial"/>
                <w:sz w:val="16"/>
                <w:szCs w:val="18"/>
                <w:lang w:val="en-GB"/>
              </w:rPr>
              <w:t>9.0</w:t>
            </w:r>
          </w:p>
        </w:tc>
        <w:tc>
          <w:tcPr>
            <w:tcW w:w="1126" w:type="dxa"/>
            <w:tcBorders>
              <w:top w:val="nil"/>
              <w:left w:val="nil"/>
              <w:bottom w:val="nil"/>
              <w:right w:val="nil"/>
            </w:tcBorders>
            <w:shd w:val="clear" w:color="auto" w:fill="FFFFFF"/>
            <w:vAlign w:val="center"/>
          </w:tcPr>
          <w:p w14:paraId="54B35CB1"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r>
      <w:tr w:rsidR="007A36B1" w14:paraId="07353977" w14:textId="77777777" w:rsidTr="00EE489C">
        <w:trPr>
          <w:trHeight w:val="276"/>
        </w:trPr>
        <w:tc>
          <w:tcPr>
            <w:tcW w:w="1070" w:type="dxa"/>
            <w:tcBorders>
              <w:top w:val="nil"/>
              <w:left w:val="nil"/>
              <w:bottom w:val="nil"/>
              <w:right w:val="nil"/>
            </w:tcBorders>
            <w:shd w:val="clear" w:color="auto" w:fill="FFFFFF"/>
            <w:vAlign w:val="center"/>
          </w:tcPr>
          <w:p w14:paraId="6011B63D"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ASD</w:t>
            </w:r>
          </w:p>
        </w:tc>
        <w:tc>
          <w:tcPr>
            <w:tcW w:w="936" w:type="dxa"/>
            <w:tcBorders>
              <w:top w:val="nil"/>
              <w:left w:val="nil"/>
              <w:bottom w:val="nil"/>
              <w:right w:val="nil"/>
            </w:tcBorders>
            <w:shd w:val="clear" w:color="auto" w:fill="FFFFFF"/>
            <w:vAlign w:val="center"/>
          </w:tcPr>
          <w:p w14:paraId="22893E2B"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64" w:type="dxa"/>
            <w:tcBorders>
              <w:top w:val="nil"/>
              <w:left w:val="nil"/>
              <w:bottom w:val="nil"/>
              <w:right w:val="nil"/>
            </w:tcBorders>
            <w:shd w:val="clear" w:color="auto" w:fill="FFFFFF"/>
            <w:vAlign w:val="center"/>
          </w:tcPr>
          <w:p w14:paraId="0622C2B4"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90" w:type="dxa"/>
            <w:tcBorders>
              <w:top w:val="nil"/>
              <w:left w:val="nil"/>
              <w:bottom w:val="nil"/>
              <w:right w:val="nil"/>
            </w:tcBorders>
            <w:shd w:val="clear" w:color="auto" w:fill="FFFFFF"/>
            <w:vAlign w:val="center"/>
          </w:tcPr>
          <w:p w14:paraId="7E942703"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1080" w:type="dxa"/>
            <w:tcBorders>
              <w:top w:val="nil"/>
              <w:left w:val="nil"/>
              <w:bottom w:val="nil"/>
              <w:right w:val="nil"/>
            </w:tcBorders>
            <w:shd w:val="clear" w:color="auto" w:fill="FFFFFF"/>
            <w:vAlign w:val="center"/>
          </w:tcPr>
          <w:p w14:paraId="14A9A411"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nil"/>
              <w:right w:val="nil"/>
            </w:tcBorders>
            <w:shd w:val="clear" w:color="auto" w:fill="FFFFFF"/>
            <w:vAlign w:val="center"/>
          </w:tcPr>
          <w:p w14:paraId="4B07CAF6"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nil"/>
              <w:right w:val="nil"/>
            </w:tcBorders>
            <w:shd w:val="clear" w:color="auto" w:fill="FFFFFF"/>
            <w:vAlign w:val="center"/>
          </w:tcPr>
          <w:p w14:paraId="05020E58"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44" w:type="dxa"/>
            <w:tcBorders>
              <w:top w:val="nil"/>
              <w:left w:val="nil"/>
              <w:bottom w:val="nil"/>
              <w:right w:val="nil"/>
            </w:tcBorders>
            <w:shd w:val="clear" w:color="auto" w:fill="FFFFFF"/>
            <w:vAlign w:val="center"/>
          </w:tcPr>
          <w:p w14:paraId="3AED0AAE"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816" w:type="dxa"/>
            <w:tcBorders>
              <w:top w:val="nil"/>
              <w:left w:val="nil"/>
              <w:bottom w:val="nil"/>
              <w:right w:val="nil"/>
            </w:tcBorders>
            <w:shd w:val="clear" w:color="auto" w:fill="FFFFFF"/>
            <w:vAlign w:val="center"/>
          </w:tcPr>
          <w:p w14:paraId="32BF7E58" w14:textId="7D710F8A"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40.0</w:t>
            </w:r>
          </w:p>
        </w:tc>
        <w:tc>
          <w:tcPr>
            <w:tcW w:w="1126" w:type="dxa"/>
            <w:tcBorders>
              <w:top w:val="nil"/>
              <w:left w:val="nil"/>
              <w:bottom w:val="nil"/>
              <w:right w:val="nil"/>
            </w:tcBorders>
            <w:shd w:val="clear" w:color="auto" w:fill="FFFFFF"/>
            <w:vAlign w:val="center"/>
          </w:tcPr>
          <w:p w14:paraId="775EB43B"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r>
      <w:tr w:rsidR="007A36B1" w14:paraId="279243A5" w14:textId="77777777" w:rsidTr="004746EA">
        <w:trPr>
          <w:trHeight w:val="158"/>
        </w:trPr>
        <w:tc>
          <w:tcPr>
            <w:tcW w:w="1070" w:type="dxa"/>
            <w:tcBorders>
              <w:top w:val="nil"/>
              <w:left w:val="nil"/>
              <w:bottom w:val="nil"/>
              <w:right w:val="nil"/>
            </w:tcBorders>
            <w:shd w:val="clear" w:color="auto" w:fill="FFFFFF"/>
            <w:vAlign w:val="center"/>
          </w:tcPr>
          <w:p w14:paraId="1FEA51CA"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Point smoke detectors</w:t>
            </w:r>
          </w:p>
        </w:tc>
        <w:tc>
          <w:tcPr>
            <w:tcW w:w="936" w:type="dxa"/>
            <w:tcBorders>
              <w:top w:val="nil"/>
              <w:left w:val="nil"/>
              <w:bottom w:val="nil"/>
              <w:right w:val="nil"/>
            </w:tcBorders>
            <w:shd w:val="clear" w:color="auto" w:fill="FFFFFF"/>
            <w:vAlign w:val="center"/>
          </w:tcPr>
          <w:p w14:paraId="7B5077C3"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64" w:type="dxa"/>
            <w:tcBorders>
              <w:top w:val="nil"/>
              <w:left w:val="nil"/>
              <w:bottom w:val="nil"/>
              <w:right w:val="nil"/>
            </w:tcBorders>
            <w:shd w:val="clear" w:color="auto" w:fill="FFFFFF"/>
            <w:vAlign w:val="center"/>
          </w:tcPr>
          <w:p w14:paraId="590F7BAF"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990" w:type="dxa"/>
            <w:tcBorders>
              <w:top w:val="nil"/>
              <w:left w:val="nil"/>
              <w:bottom w:val="nil"/>
              <w:right w:val="nil"/>
            </w:tcBorders>
            <w:shd w:val="clear" w:color="auto" w:fill="FFFFFF"/>
            <w:vAlign w:val="center"/>
          </w:tcPr>
          <w:p w14:paraId="4208CE8D" w14:textId="77777777" w:rsidR="007A36B1" w:rsidRPr="004746EA" w:rsidRDefault="007A36B1" w:rsidP="00911182">
            <w:pPr>
              <w:pStyle w:val="CETBodytext"/>
              <w:spacing w:line="240" w:lineRule="auto"/>
              <w:jc w:val="center"/>
              <w:rPr>
                <w:sz w:val="16"/>
                <w:szCs w:val="18"/>
                <w:lang w:val="en-GB"/>
              </w:rPr>
            </w:pPr>
            <w:r w:rsidRPr="004746EA">
              <w:rPr>
                <w:sz w:val="16"/>
                <w:szCs w:val="18"/>
                <w:lang w:val="en-GB"/>
              </w:rPr>
              <w:t>++</w:t>
            </w:r>
          </w:p>
        </w:tc>
        <w:tc>
          <w:tcPr>
            <w:tcW w:w="1080" w:type="dxa"/>
            <w:tcBorders>
              <w:top w:val="nil"/>
              <w:left w:val="nil"/>
              <w:bottom w:val="nil"/>
              <w:right w:val="nil"/>
            </w:tcBorders>
            <w:shd w:val="clear" w:color="auto" w:fill="FFFFFF"/>
            <w:vAlign w:val="center"/>
          </w:tcPr>
          <w:p w14:paraId="66E8D93A"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nil"/>
              <w:right w:val="nil"/>
            </w:tcBorders>
            <w:shd w:val="clear" w:color="auto" w:fill="FFFFFF"/>
            <w:vAlign w:val="center"/>
          </w:tcPr>
          <w:p w14:paraId="0DE27664"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nil"/>
              <w:right w:val="nil"/>
            </w:tcBorders>
            <w:shd w:val="clear" w:color="auto" w:fill="FFFFFF"/>
            <w:vAlign w:val="center"/>
          </w:tcPr>
          <w:p w14:paraId="43E49885"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44" w:type="dxa"/>
            <w:tcBorders>
              <w:top w:val="nil"/>
              <w:left w:val="nil"/>
              <w:bottom w:val="nil"/>
              <w:right w:val="nil"/>
            </w:tcBorders>
            <w:shd w:val="clear" w:color="auto" w:fill="FFFFFF"/>
            <w:vAlign w:val="center"/>
          </w:tcPr>
          <w:p w14:paraId="33BBF704"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816" w:type="dxa"/>
            <w:tcBorders>
              <w:top w:val="nil"/>
              <w:left w:val="nil"/>
              <w:bottom w:val="nil"/>
              <w:right w:val="nil"/>
            </w:tcBorders>
            <w:shd w:val="clear" w:color="auto" w:fill="FFFFFF"/>
            <w:vAlign w:val="center"/>
          </w:tcPr>
          <w:p w14:paraId="4D001FFB"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10.5</w:t>
            </w:r>
          </w:p>
        </w:tc>
        <w:tc>
          <w:tcPr>
            <w:tcW w:w="1126" w:type="dxa"/>
            <w:tcBorders>
              <w:top w:val="nil"/>
              <w:left w:val="nil"/>
              <w:bottom w:val="nil"/>
              <w:right w:val="nil"/>
            </w:tcBorders>
            <w:shd w:val="clear" w:color="auto" w:fill="FFFFFF"/>
            <w:vAlign w:val="center"/>
          </w:tcPr>
          <w:p w14:paraId="18D7BD9F"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r>
      <w:tr w:rsidR="007A36B1" w14:paraId="6B6D6353" w14:textId="77777777" w:rsidTr="004746EA">
        <w:trPr>
          <w:trHeight w:val="239"/>
        </w:trPr>
        <w:tc>
          <w:tcPr>
            <w:tcW w:w="1070" w:type="dxa"/>
            <w:tcBorders>
              <w:top w:val="nil"/>
              <w:left w:val="nil"/>
              <w:bottom w:val="single" w:sz="12" w:space="0" w:color="008000"/>
              <w:right w:val="nil"/>
            </w:tcBorders>
            <w:shd w:val="clear" w:color="auto" w:fill="FFFFFF"/>
            <w:vAlign w:val="center"/>
            <w:hideMark/>
          </w:tcPr>
          <w:p w14:paraId="3139E456" w14:textId="77777777" w:rsidR="007A36B1" w:rsidRPr="004746EA" w:rsidRDefault="007A36B1" w:rsidP="00911182">
            <w:pPr>
              <w:pStyle w:val="CETBodytext"/>
              <w:spacing w:line="240" w:lineRule="auto"/>
              <w:ind w:right="-1"/>
              <w:jc w:val="center"/>
              <w:rPr>
                <w:rFonts w:cs="Arial"/>
                <w:sz w:val="16"/>
                <w:szCs w:val="18"/>
                <w:lang w:val="en-GB"/>
              </w:rPr>
            </w:pPr>
            <w:r w:rsidRPr="004746EA">
              <w:rPr>
                <w:sz w:val="16"/>
                <w:szCs w:val="18"/>
                <w:lang w:val="en-GB"/>
              </w:rPr>
              <w:t>Optical Beam</w:t>
            </w:r>
          </w:p>
        </w:tc>
        <w:tc>
          <w:tcPr>
            <w:tcW w:w="936" w:type="dxa"/>
            <w:tcBorders>
              <w:top w:val="nil"/>
              <w:left w:val="nil"/>
              <w:bottom w:val="single" w:sz="12" w:space="0" w:color="008000"/>
              <w:right w:val="nil"/>
            </w:tcBorders>
            <w:shd w:val="clear" w:color="auto" w:fill="FFFFFF"/>
            <w:vAlign w:val="center"/>
            <w:hideMark/>
          </w:tcPr>
          <w:p w14:paraId="14F99774" w14:textId="77777777" w:rsidR="007A36B1" w:rsidRPr="004746EA" w:rsidRDefault="007A36B1" w:rsidP="00911182">
            <w:pPr>
              <w:pStyle w:val="CETBodytext"/>
              <w:spacing w:line="240" w:lineRule="auto"/>
              <w:ind w:right="-1"/>
              <w:jc w:val="center"/>
              <w:rPr>
                <w:rFonts w:cs="Arial"/>
                <w:sz w:val="16"/>
                <w:szCs w:val="18"/>
                <w:lang w:val="en-GB"/>
              </w:rPr>
            </w:pPr>
            <w:r w:rsidRPr="004746EA">
              <w:rPr>
                <w:sz w:val="16"/>
                <w:szCs w:val="18"/>
                <w:lang w:val="en-GB"/>
              </w:rPr>
              <w:t>€€</w:t>
            </w:r>
          </w:p>
        </w:tc>
        <w:tc>
          <w:tcPr>
            <w:tcW w:w="964" w:type="dxa"/>
            <w:tcBorders>
              <w:top w:val="nil"/>
              <w:left w:val="nil"/>
              <w:bottom w:val="single" w:sz="12" w:space="0" w:color="008000"/>
              <w:right w:val="nil"/>
            </w:tcBorders>
            <w:shd w:val="clear" w:color="auto" w:fill="FFFFFF"/>
            <w:vAlign w:val="center"/>
            <w:hideMark/>
          </w:tcPr>
          <w:p w14:paraId="4633F94F" w14:textId="77777777" w:rsidR="007A36B1" w:rsidRPr="004746EA" w:rsidRDefault="007A36B1" w:rsidP="00911182">
            <w:pPr>
              <w:pStyle w:val="CETBodytext"/>
              <w:spacing w:line="240" w:lineRule="auto"/>
              <w:ind w:right="-1"/>
              <w:jc w:val="center"/>
              <w:rPr>
                <w:rFonts w:cs="Arial"/>
                <w:sz w:val="16"/>
                <w:szCs w:val="18"/>
                <w:lang w:val="en-GB"/>
              </w:rPr>
            </w:pPr>
            <w:r w:rsidRPr="004746EA">
              <w:rPr>
                <w:sz w:val="16"/>
                <w:szCs w:val="18"/>
                <w:lang w:val="en-GB"/>
              </w:rPr>
              <w:t>€€€€</w:t>
            </w:r>
          </w:p>
        </w:tc>
        <w:tc>
          <w:tcPr>
            <w:tcW w:w="990" w:type="dxa"/>
            <w:tcBorders>
              <w:top w:val="nil"/>
              <w:left w:val="nil"/>
              <w:bottom w:val="single" w:sz="12" w:space="0" w:color="008000"/>
              <w:right w:val="nil"/>
            </w:tcBorders>
            <w:shd w:val="clear" w:color="auto" w:fill="FFFFFF"/>
            <w:vAlign w:val="center"/>
            <w:hideMark/>
          </w:tcPr>
          <w:p w14:paraId="52F02011" w14:textId="77777777" w:rsidR="007A36B1" w:rsidRPr="004746EA" w:rsidRDefault="007A36B1" w:rsidP="00911182">
            <w:pPr>
              <w:pStyle w:val="CETBodytext"/>
              <w:spacing w:line="240" w:lineRule="auto"/>
              <w:ind w:right="-1"/>
              <w:jc w:val="center"/>
              <w:rPr>
                <w:rFonts w:cs="Arial"/>
                <w:sz w:val="16"/>
                <w:szCs w:val="18"/>
                <w:lang w:val="en-GB"/>
              </w:rPr>
            </w:pPr>
            <w:r w:rsidRPr="004746EA">
              <w:rPr>
                <w:sz w:val="16"/>
                <w:szCs w:val="18"/>
                <w:lang w:val="en-GB"/>
              </w:rPr>
              <w:t>+</w:t>
            </w:r>
          </w:p>
        </w:tc>
        <w:tc>
          <w:tcPr>
            <w:tcW w:w="1080" w:type="dxa"/>
            <w:tcBorders>
              <w:top w:val="nil"/>
              <w:left w:val="nil"/>
              <w:bottom w:val="single" w:sz="12" w:space="0" w:color="008000"/>
              <w:right w:val="nil"/>
            </w:tcBorders>
            <w:shd w:val="clear" w:color="auto" w:fill="FFFFFF"/>
            <w:vAlign w:val="center"/>
            <w:hideMark/>
          </w:tcPr>
          <w:p w14:paraId="610B1A3E"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single" w:sz="12" w:space="0" w:color="008000"/>
              <w:right w:val="nil"/>
            </w:tcBorders>
            <w:shd w:val="clear" w:color="auto" w:fill="FFFFFF"/>
            <w:vAlign w:val="center"/>
            <w:hideMark/>
          </w:tcPr>
          <w:p w14:paraId="01FAB636"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30" w:type="dxa"/>
            <w:tcBorders>
              <w:top w:val="nil"/>
              <w:left w:val="nil"/>
              <w:bottom w:val="single" w:sz="12" w:space="0" w:color="008000"/>
              <w:right w:val="nil"/>
            </w:tcBorders>
            <w:shd w:val="clear" w:color="auto" w:fill="FFFFFF"/>
            <w:vAlign w:val="center"/>
            <w:hideMark/>
          </w:tcPr>
          <w:p w14:paraId="0A2CE87F"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644" w:type="dxa"/>
            <w:tcBorders>
              <w:top w:val="nil"/>
              <w:left w:val="nil"/>
              <w:bottom w:val="single" w:sz="12" w:space="0" w:color="008000"/>
              <w:right w:val="nil"/>
            </w:tcBorders>
            <w:shd w:val="clear" w:color="auto" w:fill="FFFFFF"/>
            <w:vAlign w:val="center"/>
            <w:hideMark/>
          </w:tcPr>
          <w:p w14:paraId="77E0106D" w14:textId="6DA7D31B"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c>
          <w:tcPr>
            <w:tcW w:w="816" w:type="dxa"/>
            <w:tcBorders>
              <w:top w:val="nil"/>
              <w:left w:val="nil"/>
              <w:bottom w:val="single" w:sz="12" w:space="0" w:color="008000"/>
              <w:right w:val="nil"/>
            </w:tcBorders>
            <w:shd w:val="clear" w:color="auto" w:fill="FFFFFF"/>
            <w:vAlign w:val="center"/>
          </w:tcPr>
          <w:p w14:paraId="69E31095" w14:textId="7D3B524E"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40.0</w:t>
            </w:r>
          </w:p>
        </w:tc>
        <w:tc>
          <w:tcPr>
            <w:tcW w:w="1126" w:type="dxa"/>
            <w:tcBorders>
              <w:top w:val="nil"/>
              <w:left w:val="nil"/>
              <w:bottom w:val="single" w:sz="12" w:space="0" w:color="008000"/>
              <w:right w:val="nil"/>
            </w:tcBorders>
            <w:shd w:val="clear" w:color="auto" w:fill="FFFFFF"/>
            <w:vAlign w:val="center"/>
            <w:hideMark/>
          </w:tcPr>
          <w:p w14:paraId="470023E2" w14:textId="77777777" w:rsidR="007A36B1" w:rsidRPr="004746EA" w:rsidRDefault="007A36B1" w:rsidP="00911182">
            <w:pPr>
              <w:pStyle w:val="CETBodytext"/>
              <w:spacing w:line="240" w:lineRule="auto"/>
              <w:ind w:right="-1"/>
              <w:jc w:val="center"/>
              <w:rPr>
                <w:rFonts w:cs="Arial"/>
                <w:sz w:val="16"/>
                <w:szCs w:val="18"/>
                <w:lang w:val="en-GB"/>
              </w:rPr>
            </w:pPr>
            <w:r w:rsidRPr="004746EA">
              <w:rPr>
                <w:rFonts w:cs="Arial"/>
                <w:sz w:val="16"/>
                <w:szCs w:val="18"/>
                <w:lang w:val="en-GB"/>
              </w:rPr>
              <w:t>+</w:t>
            </w:r>
          </w:p>
        </w:tc>
      </w:tr>
    </w:tbl>
    <w:p w14:paraId="2FD5781F" w14:textId="58C07D8F" w:rsidR="007A36B1" w:rsidRDefault="007A36B1" w:rsidP="000503B1">
      <w:pPr>
        <w:pStyle w:val="CETTabletitle"/>
        <w:spacing w:before="120"/>
      </w:pPr>
      <w:r>
        <w:t xml:space="preserve">Table 1: </w:t>
      </w:r>
      <w:r w:rsidR="00290B77">
        <w:t xml:space="preserve">Comparison of the most </w:t>
      </w:r>
      <w:r w:rsidR="00EE489C">
        <w:t>common</w:t>
      </w:r>
      <w:r w:rsidR="00290B77">
        <w:t xml:space="preserve"> fire detection system technologies. </w:t>
      </w:r>
    </w:p>
    <w:p w14:paraId="4F212499" w14:textId="21D11406" w:rsidR="00791FA3" w:rsidRDefault="00725621" w:rsidP="000503B1">
      <w:pPr>
        <w:pStyle w:val="CETBodytext"/>
        <w:spacing w:before="240"/>
      </w:pPr>
      <w:r w:rsidRPr="00725621">
        <w:rPr>
          <w:szCs w:val="18"/>
        </w:rPr>
        <w:t xml:space="preserve">Quite clearly, one of the main parameters to </w:t>
      </w:r>
      <w:r w:rsidR="00C018FC">
        <w:rPr>
          <w:szCs w:val="18"/>
        </w:rPr>
        <w:t>consider</w:t>
      </w:r>
      <w:r>
        <w:rPr>
          <w:szCs w:val="18"/>
        </w:rPr>
        <w:t xml:space="preserve"> </w:t>
      </w:r>
      <w:r w:rsidRPr="00725621">
        <w:rPr>
          <w:szCs w:val="18"/>
        </w:rPr>
        <w:t>is the ceiling height</w:t>
      </w:r>
      <w:r w:rsidR="00C018FC">
        <w:rPr>
          <w:szCs w:val="18"/>
        </w:rPr>
        <w:t xml:space="preserve"> limit</w:t>
      </w:r>
      <w:r w:rsidRPr="00725621">
        <w:rPr>
          <w:szCs w:val="18"/>
        </w:rPr>
        <w:t xml:space="preserve">. Based on </w:t>
      </w:r>
      <w:r w:rsidRPr="00725621">
        <w:rPr>
          <w:rFonts w:cs="Arial"/>
          <w:noProof/>
          <w:szCs w:val="18"/>
        </w:rPr>
        <w:t>BSI 5839-1:2017</w:t>
      </w:r>
      <w:r w:rsidRPr="00725621">
        <w:rPr>
          <w:szCs w:val="18"/>
        </w:rPr>
        <w:t xml:space="preserve"> </w:t>
      </w:r>
      <w:r w:rsidRPr="00725621">
        <w:rPr>
          <w:szCs w:val="18"/>
        </w:rPr>
        <w:fldChar w:fldCharType="begin" w:fldLock="1"/>
      </w:r>
      <w:r w:rsidR="00B42DCB">
        <w:rPr>
          <w:szCs w:val="18"/>
        </w:rPr>
        <w:instrText>ADDIN CSL_CITATION {"citationItems":[{"id":"ITEM-1","itemData":{"ISBN":"9780580523595","author":[{"dropping-particle":"","family":"BSI","given":"","non-dropping-particle":"","parse-names":false,"suffix":""}],"id":"ITEM-1","issued":{"date-parts":[["2017"]]},"publisher":"BSI Stabdards Publication","title":"BSI 5839-1:2017, Fire detection and fire alarm systems for buildings. BSI Stand. Publ.","type":"article"},"uris":["http://www.mendeley.com/documents/?uuid=46c1fa4d-2af3-4bca-928f-4710205a8115"]}],"mendeley":{"formattedCitation":"(BSI, 2017)","plainTextFormattedCitation":"(BSI, 2017)","previouslyFormattedCitation":"(BSI, 2017)"},"properties":{"noteIndex":0},"schema":"https://github.com/citation-style-language/schema/raw/master/csl-citation.json"}</w:instrText>
      </w:r>
      <w:r w:rsidRPr="00725621">
        <w:rPr>
          <w:szCs w:val="18"/>
        </w:rPr>
        <w:fldChar w:fldCharType="separate"/>
      </w:r>
      <w:r w:rsidRPr="00725621">
        <w:rPr>
          <w:noProof/>
          <w:szCs w:val="18"/>
        </w:rPr>
        <w:t>(BSI, 2017)</w:t>
      </w:r>
      <w:r w:rsidRPr="00725621">
        <w:rPr>
          <w:szCs w:val="18"/>
        </w:rPr>
        <w:fldChar w:fldCharType="end"/>
      </w:r>
      <w:r>
        <w:rPr>
          <w:szCs w:val="18"/>
        </w:rPr>
        <w:t>, when ceiling</w:t>
      </w:r>
      <w:r w:rsidR="00C018FC">
        <w:rPr>
          <w:szCs w:val="18"/>
        </w:rPr>
        <w:t>s</w:t>
      </w:r>
      <w:r>
        <w:rPr>
          <w:szCs w:val="18"/>
        </w:rPr>
        <w:t xml:space="preserve"> higher than 10.5 m are present, only the optical beam and the ASD can be employed.</w:t>
      </w:r>
      <w:r w:rsidR="00791FA3">
        <w:rPr>
          <w:szCs w:val="18"/>
        </w:rPr>
        <w:t xml:space="preserve"> Indeed,</w:t>
      </w:r>
      <w:r w:rsidR="00791FA3">
        <w:t xml:space="preserve"> o</w:t>
      </w:r>
      <w:r w:rsidR="00791FA3" w:rsidRPr="00791FA3">
        <w:rPr>
          <w:szCs w:val="18"/>
        </w:rPr>
        <w:t>ptical beam detectors and aspirating smoke detection systems are less</w:t>
      </w:r>
      <w:r w:rsidR="00791FA3">
        <w:rPr>
          <w:szCs w:val="18"/>
        </w:rPr>
        <w:t xml:space="preserve"> s</w:t>
      </w:r>
      <w:r w:rsidR="00791FA3" w:rsidRPr="00791FA3">
        <w:rPr>
          <w:szCs w:val="18"/>
        </w:rPr>
        <w:t xml:space="preserve">ensitive to the effects of ceiling height since the increased size of </w:t>
      </w:r>
      <w:r w:rsidR="00C018FC">
        <w:rPr>
          <w:szCs w:val="18"/>
        </w:rPr>
        <w:t xml:space="preserve">the </w:t>
      </w:r>
      <w:r w:rsidR="00791FA3" w:rsidRPr="00791FA3">
        <w:rPr>
          <w:szCs w:val="18"/>
        </w:rPr>
        <w:t>plume</w:t>
      </w:r>
      <w:r w:rsidR="00C018FC">
        <w:rPr>
          <w:szCs w:val="18"/>
        </w:rPr>
        <w:t xml:space="preserve"> </w:t>
      </w:r>
      <w:r w:rsidR="00791FA3" w:rsidRPr="00791FA3">
        <w:rPr>
          <w:szCs w:val="18"/>
        </w:rPr>
        <w:t xml:space="preserve">will involve a </w:t>
      </w:r>
      <w:r w:rsidR="00C018FC">
        <w:rPr>
          <w:szCs w:val="18"/>
        </w:rPr>
        <w:t>more significant</w:t>
      </w:r>
      <w:r w:rsidR="00791FA3" w:rsidRPr="00791FA3">
        <w:rPr>
          <w:szCs w:val="18"/>
        </w:rPr>
        <w:t xml:space="preserve"> proportion of the path length of the optical beam or more sampling holes</w:t>
      </w:r>
      <w:r w:rsidR="00EE489C">
        <w:rPr>
          <w:szCs w:val="18"/>
        </w:rPr>
        <w:t>,</w:t>
      </w:r>
      <w:r w:rsidR="00791FA3">
        <w:rPr>
          <w:szCs w:val="18"/>
        </w:rPr>
        <w:t xml:space="preserve"> </w:t>
      </w:r>
      <w:r w:rsidR="00791FA3" w:rsidRPr="00791FA3">
        <w:rPr>
          <w:szCs w:val="18"/>
        </w:rPr>
        <w:t>alleviat</w:t>
      </w:r>
      <w:r w:rsidR="00EE489C">
        <w:rPr>
          <w:szCs w:val="18"/>
        </w:rPr>
        <w:t>ing</w:t>
      </w:r>
      <w:r w:rsidR="00791FA3" w:rsidRPr="00791FA3">
        <w:rPr>
          <w:szCs w:val="18"/>
        </w:rPr>
        <w:t xml:space="preserve"> the effects of reduced smoke density.</w:t>
      </w:r>
      <w:r>
        <w:rPr>
          <w:szCs w:val="18"/>
        </w:rPr>
        <w:t xml:space="preserve"> </w:t>
      </w:r>
      <w:r w:rsidR="002212F4" w:rsidRPr="00916FA7">
        <w:t>Nevertheless, th</w:t>
      </w:r>
      <w:r w:rsidR="002212F4">
        <w:t>e</w:t>
      </w:r>
      <w:r w:rsidR="002212F4" w:rsidRPr="00916FA7">
        <w:t>s</w:t>
      </w:r>
      <w:r w:rsidR="002212F4">
        <w:t>e</w:t>
      </w:r>
      <w:r w:rsidR="002212F4" w:rsidRPr="00916FA7">
        <w:t xml:space="preserve"> technolog</w:t>
      </w:r>
      <w:r w:rsidR="006802B3">
        <w:t>ies</w:t>
      </w:r>
      <w:r w:rsidR="002212F4" w:rsidRPr="00916FA7">
        <w:t xml:space="preserve"> should not be used when processes that yield smoke, fumes, dust, etc., are present</w:t>
      </w:r>
      <w:r w:rsidR="002212F4">
        <w:t xml:space="preserve"> (i.e., dusty environments)</w:t>
      </w:r>
      <w:r w:rsidR="00C018FC">
        <w:t xml:space="preserve">, which are not rare </w:t>
      </w:r>
      <w:r w:rsidR="00EE489C">
        <w:t>conditions</w:t>
      </w:r>
      <w:r w:rsidR="00C018FC">
        <w:t xml:space="preserve"> in the industrial fiel</w:t>
      </w:r>
      <w:r w:rsidR="002771C1">
        <w:t>d (</w:t>
      </w:r>
      <w:proofErr w:type="spellStart"/>
      <w:r w:rsidR="002771C1">
        <w:t>Vianello</w:t>
      </w:r>
      <w:proofErr w:type="spellEnd"/>
      <w:r w:rsidR="002771C1">
        <w:t xml:space="preserve"> et al., 2020; Mocellin and </w:t>
      </w:r>
      <w:proofErr w:type="spellStart"/>
      <w:r w:rsidR="002771C1">
        <w:t>Maschio</w:t>
      </w:r>
      <w:proofErr w:type="spellEnd"/>
      <w:r w:rsidR="002771C1">
        <w:t>, 2016)</w:t>
      </w:r>
      <w:r w:rsidR="00C018FC">
        <w:t>.</w:t>
      </w:r>
    </w:p>
    <w:p w14:paraId="2D2C4FB7" w14:textId="2FA25A1A" w:rsidR="007A36B1" w:rsidRPr="007A36B1" w:rsidRDefault="002212F4" w:rsidP="00916FA7">
      <w:pPr>
        <w:pStyle w:val="CETBodytext"/>
      </w:pPr>
      <w:r>
        <w:rPr>
          <w:szCs w:val="18"/>
        </w:rPr>
        <w:t xml:space="preserve">In this work, the performances of the </w:t>
      </w:r>
      <w:proofErr w:type="spellStart"/>
      <w:r>
        <w:rPr>
          <w:szCs w:val="18"/>
        </w:rPr>
        <w:t>Securisens</w:t>
      </w:r>
      <w:proofErr w:type="spellEnd"/>
      <w:r>
        <w:rPr>
          <w:szCs w:val="18"/>
        </w:rPr>
        <w:t xml:space="preserve"> ADW detection system (i.e., </w:t>
      </w:r>
      <w:r w:rsidR="00C018FC">
        <w:rPr>
          <w:szCs w:val="18"/>
        </w:rPr>
        <w:t xml:space="preserve">a </w:t>
      </w:r>
      <w:r>
        <w:rPr>
          <w:szCs w:val="18"/>
        </w:rPr>
        <w:t xml:space="preserve">linear heat detector) in a </w:t>
      </w:r>
      <w:r w:rsidRPr="002212F4">
        <w:rPr>
          <w:szCs w:val="18"/>
        </w:rPr>
        <w:t xml:space="preserve">building adopted for storage of hazardous materials </w:t>
      </w:r>
      <w:r>
        <w:rPr>
          <w:szCs w:val="18"/>
        </w:rPr>
        <w:t xml:space="preserve">with a height larger than the one recommended by </w:t>
      </w:r>
      <w:r w:rsidRPr="00725621">
        <w:rPr>
          <w:rFonts w:cs="Arial"/>
          <w:noProof/>
          <w:szCs w:val="18"/>
        </w:rPr>
        <w:t>BSI 5839-1:2017</w:t>
      </w:r>
      <w:r w:rsidRPr="00725621">
        <w:rPr>
          <w:szCs w:val="18"/>
        </w:rPr>
        <w:t xml:space="preserve"> </w:t>
      </w:r>
      <w:r w:rsidRPr="00725621">
        <w:rPr>
          <w:szCs w:val="18"/>
        </w:rPr>
        <w:fldChar w:fldCharType="begin" w:fldLock="1"/>
      </w:r>
      <w:r w:rsidR="00B42DCB">
        <w:rPr>
          <w:szCs w:val="18"/>
        </w:rPr>
        <w:instrText>ADDIN CSL_CITATION {"citationItems":[{"id":"ITEM-1","itemData":{"ISBN":"9780580523595","author":[{"dropping-particle":"","family":"BSI","given":"","non-dropping-particle":"","parse-names":false,"suffix":""}],"id":"ITEM-1","issued":{"date-parts":[["2017"]]},"publisher":"BSI Stabdards Publication","title":"BSI 5839-1:2017, Fire detection and fire alarm systems for buildings. BSI Stand. Publ.","type":"article"},"uris":["http://www.mendeley.com/documents/?uuid=46c1fa4d-2af3-4bca-928f-4710205a8115"]}],"mendeley":{"formattedCitation":"(BSI, 2017)","plainTextFormattedCitation":"(BSI, 2017)","previouslyFormattedCitation":"(BSI, 2017)"},"properties":{"noteIndex":0},"schema":"https://github.com/citation-style-language/schema/raw/master/csl-citation.json"}</w:instrText>
      </w:r>
      <w:r w:rsidRPr="00725621">
        <w:rPr>
          <w:szCs w:val="18"/>
        </w:rPr>
        <w:fldChar w:fldCharType="separate"/>
      </w:r>
      <w:r w:rsidRPr="00725621">
        <w:rPr>
          <w:noProof/>
          <w:szCs w:val="18"/>
        </w:rPr>
        <w:t>(BSI, 2017)</w:t>
      </w:r>
      <w:r w:rsidRPr="00725621">
        <w:rPr>
          <w:szCs w:val="18"/>
        </w:rPr>
        <w:fldChar w:fldCharType="end"/>
      </w:r>
      <w:r w:rsidR="00C018FC">
        <w:rPr>
          <w:szCs w:val="18"/>
        </w:rPr>
        <w:t xml:space="preserve"> </w:t>
      </w:r>
      <w:r w:rsidR="00811F02">
        <w:rPr>
          <w:szCs w:val="18"/>
        </w:rPr>
        <w:t>were</w:t>
      </w:r>
      <w:r>
        <w:rPr>
          <w:szCs w:val="18"/>
        </w:rPr>
        <w:t xml:space="preserve"> evaluated </w:t>
      </w:r>
      <w:r w:rsidR="00EE489C">
        <w:rPr>
          <w:szCs w:val="18"/>
        </w:rPr>
        <w:t>through</w:t>
      </w:r>
      <w:r>
        <w:rPr>
          <w:szCs w:val="18"/>
        </w:rPr>
        <w:t xml:space="preserve"> computational fluids dynamics (CFD)</w:t>
      </w:r>
      <w:r w:rsidR="002771C1">
        <w:rPr>
          <w:szCs w:val="18"/>
        </w:rPr>
        <w:t xml:space="preserve"> (</w:t>
      </w:r>
      <w:proofErr w:type="spellStart"/>
      <w:r w:rsidR="002771C1">
        <w:rPr>
          <w:szCs w:val="18"/>
        </w:rPr>
        <w:t>Vianello</w:t>
      </w:r>
      <w:proofErr w:type="spellEnd"/>
      <w:r w:rsidR="002771C1">
        <w:rPr>
          <w:szCs w:val="18"/>
        </w:rPr>
        <w:t xml:space="preserve"> et al., 2014)</w:t>
      </w:r>
      <w:r>
        <w:rPr>
          <w:szCs w:val="18"/>
        </w:rPr>
        <w:t>.</w:t>
      </w:r>
      <w:r w:rsidR="00C018FC">
        <w:rPr>
          <w:szCs w:val="18"/>
        </w:rPr>
        <w:t xml:space="preserve"> Results are analyzed in terms of alarm time</w:t>
      </w:r>
      <w:r w:rsidR="00811F02">
        <w:rPr>
          <w:szCs w:val="18"/>
        </w:rPr>
        <w:t>s</w:t>
      </w:r>
      <w:r w:rsidR="00C018FC">
        <w:rPr>
          <w:szCs w:val="18"/>
        </w:rPr>
        <w:t>, temperature field</w:t>
      </w:r>
      <w:r w:rsidR="00811F02">
        <w:rPr>
          <w:szCs w:val="18"/>
        </w:rPr>
        <w:t>s</w:t>
      </w:r>
      <w:r w:rsidR="00C018FC">
        <w:rPr>
          <w:szCs w:val="18"/>
        </w:rPr>
        <w:t>, and radiative heat fluxes.</w:t>
      </w:r>
    </w:p>
    <w:p w14:paraId="54ADF988" w14:textId="3C485981" w:rsidR="007A36B1" w:rsidRDefault="00916FA7" w:rsidP="00EB2315">
      <w:pPr>
        <w:pStyle w:val="CETHeading1"/>
        <w:numPr>
          <w:ilvl w:val="1"/>
          <w:numId w:val="23"/>
        </w:numPr>
        <w:tabs>
          <w:tab w:val="num" w:pos="360"/>
        </w:tabs>
      </w:pPr>
      <w:r>
        <w:t>Materials and method</w:t>
      </w:r>
      <w:r w:rsidR="00861DBF">
        <w:t xml:space="preserve"> </w:t>
      </w:r>
    </w:p>
    <w:p w14:paraId="191EB526" w14:textId="4FA4D2FD" w:rsidR="007A36B1" w:rsidRPr="007A36B1" w:rsidRDefault="00AB5A42" w:rsidP="00916FA7">
      <w:pPr>
        <w:pStyle w:val="CETBodytext"/>
      </w:pPr>
      <w:r>
        <w:t xml:space="preserve">The software employed </w:t>
      </w:r>
      <w:r w:rsidR="002212F4">
        <w:t xml:space="preserve">in this work </w:t>
      </w:r>
      <w:r>
        <w:t>is Fire Dynamics Simulator (FDS), which is a computational fluid dynamics (CFD) model of fire-driven fluid flow. FDS solves numerically a form of the Navier-Stokes equations appropriate for low-speed (Ma</w:t>
      </w:r>
      <w:r w:rsidR="002B39D4">
        <w:t xml:space="preserve"> </w:t>
      </w:r>
      <w:r>
        <w:t>&lt;</w:t>
      </w:r>
      <w:r w:rsidR="002B39D4">
        <w:t xml:space="preserve"> </w:t>
      </w:r>
      <w:r>
        <w:t xml:space="preserve">0.3), </w:t>
      </w:r>
      <w:proofErr w:type="gramStart"/>
      <w:r>
        <w:t>thermally-driven</w:t>
      </w:r>
      <w:proofErr w:type="gramEnd"/>
      <w:r>
        <w:t xml:space="preserve"> flow</w:t>
      </w:r>
      <w:r w:rsidR="004A7F4F">
        <w:t>,</w:t>
      </w:r>
      <w:r w:rsidR="00AD1439">
        <w:t xml:space="preserve"> emphasizing</w:t>
      </w:r>
      <w:r>
        <w:t xml:space="preserve"> smoke and heat transport from fires</w:t>
      </w:r>
      <w:r w:rsidR="002771C1">
        <w:t xml:space="preserve"> (Mocellin et al., 2021)</w:t>
      </w:r>
      <w:r>
        <w:t>.</w:t>
      </w:r>
      <w:r w:rsidR="004A7F4F">
        <w:t xml:space="preserve"> </w:t>
      </w:r>
      <w:r>
        <w:t>The formulation of the equations and the numerical algorithm are contained in the FDS Technical Reference Guide</w:t>
      </w:r>
      <w:r w:rsidR="007A36B1" w:rsidRPr="007A36B1">
        <w:t xml:space="preserve">. In addition, some verified and validated models are discussed in the </w:t>
      </w:r>
      <w:r>
        <w:t>Verification</w:t>
      </w:r>
      <w:r w:rsidR="007A36B1" w:rsidRPr="007A36B1">
        <w:t xml:space="preserve"> </w:t>
      </w:r>
      <w:r w:rsidR="007A36B1" w:rsidRPr="007A36B1">
        <w:fldChar w:fldCharType="begin" w:fldLock="1"/>
      </w:r>
      <w:r w:rsidR="00A674DD">
        <w:instrText>ADDIN CSL_CITATION {"citationItems":[{"id":"ITEM-1","itemData":{"author":[{"dropping-particle":"","family":"McGrattan","given":"Kevin","non-dropping-particle":"","parse-names":false,"suffix":""},{"dropping-particle":"","family":"Hostikka","given":"Simo","non-dropping-particle":"","parse-names":false,"suffix":""},{"dropping-particle":"","family":"McDermott","given":"Randall","non-dropping-particle":"","parse-names":false,"suffix":""},{"dropping-particle":"","family":"Floyd","given":"Jason","non-dropping-particle":"","parse-names":false,"suffix":""},{"dropping-particle":"","family":"Weinschenk","given":"Craig","non-dropping-particle":"","parse-names":false,"suffix":""},{"dropping-particle":"","family":"Overhold","given":"Kristopher","non-dropping-particle":"","parse-names":false,"suffix":""}],"id":"ITEM-1","issued":{"date-parts":[["2013"]]},"title":"Fire Dynamics Simulator, Technical Reference Guide, Volume 2: Verification.","type":"article-journal"},"uris":["http://www.mendeley.com/documents/?uuid=efed1e89-c5c2-4239-94e6-7df05f842981"]}],"mendeley":{"formattedCitation":"(McGrattan et al., 2013)","plainTextFormattedCitation":"(McGrattan et al., 2013)","previouslyFormattedCitation":"(McGrattan et al., 2013)"},"properties":{"noteIndex":0},"schema":"https://github.com/citation-style-language/schema/raw/master/csl-citation.json"}</w:instrText>
      </w:r>
      <w:r w:rsidR="007A36B1" w:rsidRPr="007A36B1">
        <w:fldChar w:fldCharType="separate"/>
      </w:r>
      <w:r w:rsidR="007A36B1" w:rsidRPr="007A36B1">
        <w:rPr>
          <w:noProof/>
        </w:rPr>
        <w:t>(McGrattan et al., 2013)</w:t>
      </w:r>
      <w:r w:rsidR="007A36B1" w:rsidRPr="007A36B1">
        <w:fldChar w:fldCharType="end"/>
      </w:r>
      <w:r w:rsidR="007A36B1" w:rsidRPr="007A36B1">
        <w:t xml:space="preserve"> </w:t>
      </w:r>
      <w:r w:rsidR="007A36B1">
        <w:t xml:space="preserve">and </w:t>
      </w:r>
      <w:r>
        <w:t>V</w:t>
      </w:r>
      <w:r w:rsidR="007A36B1">
        <w:t>alidation</w:t>
      </w:r>
      <w:r w:rsidR="007A36B1" w:rsidRPr="007A36B1">
        <w:t xml:space="preserve"> </w:t>
      </w:r>
      <w:r w:rsidR="007A36B1" w:rsidRPr="007A36B1">
        <w:fldChar w:fldCharType="begin" w:fldLock="1"/>
      </w:r>
      <w:r w:rsidR="00A674DD">
        <w:instrText>ADDIN CSL_CITATION {"citationItems":[{"id":"ITEM-1","itemData":{"DOI":"10.6028/NIST.SP.1018-1","author":[{"dropping-particle":"","family":"McGrattan","given":"Kevin","non-dropping-particle":"","parse-names":false,"suffix":""},{"dropping-particle":"","family":"Hostikka","given":"Simo","non-dropping-particle":"","parse-names":false,"suffix":""},{"dropping-particle":"","family":"McDermott","given":"Randall","non-dropping-particle":"","parse-names":false,"suffix":""},{"dropping-particle":"","family":"Floyd","given":"Jason","non-dropping-particle":"","parse-names":false,"suffix":""},{"dropping-particle":"","family":"Weinschenk","given":"Craig","non-dropping-particle":"","parse-names":false,"suffix":""},{"dropping-particle":"","family":"Overhold","given":"Kristopher","non-dropping-particle":"","parse-names":false,"suffix":""}],"container-title":"NIST Special Publication 1018","id":"ITEM-1","issued":{"date-parts":[["2019"]]},"title":"Fire dynamics simulator (FDS) validation technical reference guide volume 3 : Validation","type":"article-journal","volume":"3"},"uris":["http://www.mendeley.com/documents/?uuid=e7202e3a-eb50-4fea-8098-49a04a1bdf04"]}],"mendeley":{"formattedCitation":"(McGrattan et al., 2019b)","plainTextFormattedCitation":"(McGrattan et al., 2019b)","previouslyFormattedCitation":"(McGrattan et al., 2019b)"},"properties":{"noteIndex":0},"schema":"https://github.com/citation-style-language/schema/raw/master/csl-citation.json"}</w:instrText>
      </w:r>
      <w:r w:rsidR="007A36B1" w:rsidRPr="007A36B1">
        <w:fldChar w:fldCharType="separate"/>
      </w:r>
      <w:r w:rsidR="007A36B1" w:rsidRPr="007A36B1">
        <w:rPr>
          <w:noProof/>
        </w:rPr>
        <w:t>(McGrattan et al., 2019b)</w:t>
      </w:r>
      <w:r w:rsidR="007A36B1" w:rsidRPr="007A36B1">
        <w:fldChar w:fldCharType="end"/>
      </w:r>
      <w:r>
        <w:t xml:space="preserve"> </w:t>
      </w:r>
      <w:r w:rsidR="001E38D0">
        <w:t>g</w:t>
      </w:r>
      <w:r>
        <w:t>uides.</w:t>
      </w:r>
      <w:r w:rsidR="002212F4">
        <w:t xml:space="preserve"> This software has already been employed either to evaluate </w:t>
      </w:r>
      <w:r w:rsidR="00C018FC">
        <w:t xml:space="preserve">the </w:t>
      </w:r>
      <w:r w:rsidR="002212F4">
        <w:t>performances of ASD system</w:t>
      </w:r>
      <w:r w:rsidR="00C018FC">
        <w:t>s</w:t>
      </w:r>
      <w:r w:rsidR="002212F4">
        <w:t xml:space="preserve"> </w:t>
      </w:r>
      <w:r w:rsidR="002212F4">
        <w:fldChar w:fldCharType="begin" w:fldLock="1"/>
      </w:r>
      <w:r w:rsidR="002212F4">
        <w:instrText>ADDIN CSL_CITATION {"citationItems":[{"id":"ITEM-1","itemData":{"DOI":"10.1016/j.csite.2020.100594","ISSN":"2214157X","abstract":"In this paper, the fire growth and smoke spread process in Large-space building have been investigated through the Fire Dynamics Simulator (FDS). What's more, the alarm process of the Line-type Infra-red Beam Smoke Fire Detector (LSD) and the Aspirating Smoke Detection System (ASD) have discussed, some valuable results have been obtained. The results indicated that the raise of the difference between the two height, and the smoke spread process is becoming slower at the constant heat release rate. The set of fire alarm system in large-space should be consider the \"height advantage\", as the higher set of the smoke decent responding earlier than the lower ones. What's more, referring to the ASD system the aspirator samplers close to the building's edge should be affected by the edge. For the LSD system should determine the parameter of install by the numerical or experimental test to optimizing the performance of the LSD, which has been proposed in the paper. In summary, the research investigates the basic fire alarm process for the LSD and the ASD System in the large-space buildings, and these are valuable for the selecting and setting of fire alarm system in the large-space buildings.","author":[{"dropping-particle":"","family":"Huang","given":"Yufeng","non-dropping-particle":"","parse-names":false,"suffix":""},{"dropping-particle":"","family":"Wang","given":"Ershen","non-dropping-particle":"","parse-names":false,"suffix":""},{"dropping-particle":"","family":"Bie","given":"Yuxia","non-dropping-particle":"","parse-names":false,"suffix":""}],"container-title":"Case Studies in Thermal Engineering","id":"ITEM-1","issue":"January","issued":{"date-parts":[["2020"]]},"page":"100594","publisher":"Elsevier Ltd","title":"Simulation investigation on the smoke spread process in the large-space building with various height","type":"article-journal","volume":"18"},"uris":["http://www.mendeley.com/documents/?uuid=accb6941-852d-4a13-8fa0-e6866fa77d68"]}],"mendeley":{"formattedCitation":"(Huang et al., 2020)","plainTextFormattedCitation":"(Huang et al., 2020)","previouslyFormattedCitation":"(Huang et al., 2020)"},"properties":{"noteIndex":0},"schema":"https://github.com/citation-style-language/schema/raw/master/csl-citation.json"}</w:instrText>
      </w:r>
      <w:r w:rsidR="002212F4">
        <w:fldChar w:fldCharType="separate"/>
      </w:r>
      <w:r w:rsidR="002212F4" w:rsidRPr="002212F4">
        <w:rPr>
          <w:noProof/>
        </w:rPr>
        <w:t>(Huang et al., 2020)</w:t>
      </w:r>
      <w:r w:rsidR="002212F4">
        <w:fldChar w:fldCharType="end"/>
      </w:r>
      <w:r w:rsidR="002212F4">
        <w:t xml:space="preserve"> </w:t>
      </w:r>
      <w:r w:rsidR="002212F4">
        <w:fldChar w:fldCharType="begin" w:fldLock="1"/>
      </w:r>
      <w:r w:rsidR="00BF14B2">
        <w:instrText>ADDIN CSL_CITATION {"citationItems":[{"id":"ITEM-1","itemData":{"author":[{"dropping-particle":"","family":"He","given":"Ming","non-dropping-particle":"","parse-names":false,"suffix":""},{"dropping-particle":"","family":"Jiang","given":"Yun","non-dropping-particle":"","parse-names":false,"suffix":""}],"id":"ITEM-1","issued":{"date-parts":[["2005"]]},"page":"1-14","title":"Use FDS to Assess Effectiveness of Air Sampling-Type Detector for Large Open Spaces Protection","type":"article-journal"},"uris":["http://www.mendeley.com/documents/?uuid=60c5d8b6-9c37-41f8-81b6-59538379a6b2"]}],"mendeley":{"formattedCitation":"(He and Jiang, 2005)","plainTextFormattedCitation":"(He and Jiang, 2005)","previouslyFormattedCitation":"(He and Jiang, 2005)"},"properties":{"noteIndex":0},"schema":"https://github.com/citation-style-language/schema/raw/master/csl-citation.json"}</w:instrText>
      </w:r>
      <w:r w:rsidR="002212F4">
        <w:fldChar w:fldCharType="separate"/>
      </w:r>
      <w:r w:rsidR="002212F4" w:rsidRPr="002212F4">
        <w:rPr>
          <w:noProof/>
        </w:rPr>
        <w:t>(He and Jiang, 2005)</w:t>
      </w:r>
      <w:r w:rsidR="002212F4">
        <w:fldChar w:fldCharType="end"/>
      </w:r>
      <w:r w:rsidR="002212F4">
        <w:t xml:space="preserve"> </w:t>
      </w:r>
      <w:r w:rsidR="00C018FC">
        <w:t>o</w:t>
      </w:r>
      <w:r w:rsidR="00BF14B2">
        <w:t xml:space="preserve">r for heat detectors </w:t>
      </w:r>
      <w:r w:rsidR="00BF14B2">
        <w:fldChar w:fldCharType="begin" w:fldLock="1"/>
      </w:r>
      <w:r w:rsidR="008F5896">
        <w:instrText>ADDIN CSL_CITATION {"citationItems":[{"id":"ITEM-1","itemData":{"author":[{"dropping-particle":"","family":"Hurley","given":"Morgan J","non-dropping-particle":"","parse-names":false,"suffix":""},{"dropping-particle":"","family":"Munguia","given":"Alex","non-dropping-particle":"","parse-names":false,"suffix":""}],"id":"ITEM-1","issued":{"date-parts":[["2007"]]},"title":"Analysis of FDS Thermal Detector Response Prediction Capability, NIST GCR 09-921","type":"report"},"uris":["http://www.mendeley.com/documents/?uuid=69cdea15-8e30-4099-9e8f-abae9a0e35c9"]}],"mendeley":{"formattedCitation":"(Hurley and Munguia, 2007)","plainTextFormattedCitation":"(Hurley and Munguia, 2007)","previouslyFormattedCitation":"(Hurley and Munguia, 2007)"},"properties":{"noteIndex":0},"schema":"https://github.com/citation-style-language/schema/raw/master/csl-citation.json"}</w:instrText>
      </w:r>
      <w:r w:rsidR="00BF14B2">
        <w:fldChar w:fldCharType="separate"/>
      </w:r>
      <w:r w:rsidR="00BF14B2" w:rsidRPr="00BF14B2">
        <w:rPr>
          <w:noProof/>
        </w:rPr>
        <w:t>(Hurley and Munguia, 2007)</w:t>
      </w:r>
      <w:r w:rsidR="00BF14B2">
        <w:fldChar w:fldCharType="end"/>
      </w:r>
      <w:r w:rsidR="00BF14B2">
        <w:t>. In the following sections</w:t>
      </w:r>
      <w:r w:rsidR="006149F3">
        <w:t>,</w:t>
      </w:r>
      <w:r w:rsidR="00BF14B2">
        <w:t xml:space="preserve"> the characteristics of the building and the alarm system considered are reported</w:t>
      </w:r>
      <w:r w:rsidR="006149F3">
        <w:t xml:space="preserve"> together with</w:t>
      </w:r>
      <w:r w:rsidR="00BF14B2">
        <w:t xml:space="preserve"> the design fire scenario</w:t>
      </w:r>
      <w:r w:rsidR="006149F3">
        <w:t>s</w:t>
      </w:r>
      <w:r w:rsidR="00BF14B2">
        <w:t xml:space="preserve"> and the geometrical domain</w:t>
      </w:r>
      <w:r w:rsidR="006149F3">
        <w:t>.</w:t>
      </w:r>
    </w:p>
    <w:p w14:paraId="04B6E47F" w14:textId="0BC82F24" w:rsidR="00916FA7" w:rsidRDefault="00BF14B2" w:rsidP="00916FA7">
      <w:pPr>
        <w:pStyle w:val="CETheadingx"/>
        <w:numPr>
          <w:ilvl w:val="2"/>
          <w:numId w:val="23"/>
        </w:numPr>
      </w:pPr>
      <w:r>
        <w:t>Building geometrical characteristics</w:t>
      </w:r>
    </w:p>
    <w:p w14:paraId="743D7A90" w14:textId="39195658" w:rsidR="007621EC" w:rsidRDefault="00993666" w:rsidP="00017507">
      <w:pPr>
        <w:pStyle w:val="CETBodytext"/>
      </w:pPr>
      <w:r>
        <w:t xml:space="preserve">The considered building is designed for the storage of hydrocarbons waste. </w:t>
      </w:r>
      <w:r w:rsidR="00C018FC">
        <w:t>The geometrical structure was simplified for the CFD simulations</w:t>
      </w:r>
      <w:r w:rsidR="004A7605">
        <w:t xml:space="preserve"> </w:t>
      </w:r>
      <w:r w:rsidR="006149F3">
        <w:t xml:space="preserve">as in </w:t>
      </w:r>
      <w:r w:rsidR="004A7605">
        <w:t>Figure 1a</w:t>
      </w:r>
      <w:r w:rsidR="007621EC">
        <w:t>. More specifically, the building is formed by a single volume with a base of 4</w:t>
      </w:r>
      <w:r w:rsidR="0071229D">
        <w:t>3.8 m (x-direction)</w:t>
      </w:r>
      <w:r w:rsidR="007621EC">
        <w:t xml:space="preserve"> </w:t>
      </w:r>
      <w:r w:rsidR="00C018FC">
        <w:rPr>
          <w:rFonts w:cs="Arial"/>
        </w:rPr>
        <w:t>x</w:t>
      </w:r>
      <w:r w:rsidR="0071229D">
        <w:t xml:space="preserve"> </w:t>
      </w:r>
      <w:r w:rsidR="007621EC">
        <w:t>4</w:t>
      </w:r>
      <w:r w:rsidR="0071229D">
        <w:t>4.4 m (y-direction)</w:t>
      </w:r>
      <w:r w:rsidR="007621EC">
        <w:t>. The</w:t>
      </w:r>
      <w:r w:rsidR="000F32F0">
        <w:t xml:space="preserve"> ceiling</w:t>
      </w:r>
      <w:r w:rsidR="007621EC">
        <w:t xml:space="preserve"> height of the structure</w:t>
      </w:r>
      <w:r w:rsidR="000F32F0">
        <w:t xml:space="preserve"> </w:t>
      </w:r>
      <w:r w:rsidR="007621EC">
        <w:t xml:space="preserve">is 13.0 m in the central part </w:t>
      </w:r>
      <w:r w:rsidR="00585664">
        <w:t>(</w:t>
      </w:r>
      <w:r w:rsidR="00585664" w:rsidRPr="00540499">
        <w:rPr>
          <w:i/>
          <w:iCs/>
        </w:rPr>
        <w:t>h</w:t>
      </w:r>
      <w:r w:rsidR="00585664" w:rsidRPr="00540499">
        <w:rPr>
          <w:i/>
          <w:iCs/>
          <w:vertAlign w:val="subscript"/>
        </w:rPr>
        <w:t>max</w:t>
      </w:r>
      <w:r w:rsidR="00585664">
        <w:t xml:space="preserve">) </w:t>
      </w:r>
      <w:r w:rsidR="007621EC">
        <w:t>and 10.3 m in the lateral ones</w:t>
      </w:r>
      <w:r w:rsidR="00585664">
        <w:t xml:space="preserve"> (</w:t>
      </w:r>
      <w:r w:rsidR="00585664" w:rsidRPr="00540499">
        <w:rPr>
          <w:i/>
          <w:iCs/>
        </w:rPr>
        <w:t>h</w:t>
      </w:r>
      <w:r w:rsidR="00585664" w:rsidRPr="00540499">
        <w:rPr>
          <w:i/>
          <w:iCs/>
          <w:vertAlign w:val="subscript"/>
        </w:rPr>
        <w:t>min</w:t>
      </w:r>
      <w:r w:rsidR="00585664">
        <w:t>)</w:t>
      </w:r>
      <w:r w:rsidR="007621EC">
        <w:t xml:space="preserve">. </w:t>
      </w:r>
      <w:r w:rsidR="0071229D">
        <w:t>The central part is 20.5 m wide (x-direction).</w:t>
      </w:r>
      <w:r w:rsidR="00C018FC">
        <w:t xml:space="preserve"> </w:t>
      </w:r>
      <w:r w:rsidR="007621EC">
        <w:t>Two doors of (6 x 5) m</w:t>
      </w:r>
      <w:r w:rsidR="007621EC" w:rsidRPr="007621EC">
        <w:rPr>
          <w:vertAlign w:val="superscript"/>
        </w:rPr>
        <w:t>2</w:t>
      </w:r>
      <w:r w:rsidR="007621EC">
        <w:t xml:space="preserve"> and 11 vents of (1.7 x 1.8) m</w:t>
      </w:r>
      <w:r w:rsidR="007621EC" w:rsidRPr="007621EC">
        <w:rPr>
          <w:vertAlign w:val="superscript"/>
        </w:rPr>
        <w:t>2</w:t>
      </w:r>
      <w:r w:rsidR="007621EC">
        <w:t xml:space="preserve"> </w:t>
      </w:r>
      <w:r w:rsidR="005E2E44">
        <w:t xml:space="preserve">and </w:t>
      </w:r>
      <w:r w:rsidR="00C018FC" w:rsidRPr="009E780C">
        <w:t>13</w:t>
      </w:r>
      <w:r w:rsidR="00C018FC">
        <w:t xml:space="preserve"> rectangular</w:t>
      </w:r>
      <w:r w:rsidR="00C018FC" w:rsidRPr="009E780C">
        <w:t xml:space="preserve"> storage bays are </w:t>
      </w:r>
      <w:r w:rsidR="00C018FC">
        <w:t>present. The</w:t>
      </w:r>
      <w:r w:rsidR="005E2E44">
        <w:t xml:space="preserve"> storage bay</w:t>
      </w:r>
      <w:r w:rsidR="004A7F4F">
        <w:t xml:space="preserve"> boundary walls are</w:t>
      </w:r>
      <w:r w:rsidR="00C018FC" w:rsidRPr="009E780C">
        <w:t xml:space="preserve"> 6.0 m high from the floor</w:t>
      </w:r>
      <w:r w:rsidR="00C018FC">
        <w:t xml:space="preserve"> (z-direction) and </w:t>
      </w:r>
      <w:r w:rsidR="00C018FC" w:rsidRPr="009E780C">
        <w:t xml:space="preserve">13.3 m long </w:t>
      </w:r>
      <w:r w:rsidR="00C018FC">
        <w:t>(x-</w:t>
      </w:r>
      <w:r w:rsidR="00C018FC" w:rsidRPr="009E780C">
        <w:t>direction</w:t>
      </w:r>
      <w:r w:rsidR="00C018FC">
        <w:t>). On the other hand, in the y-direction</w:t>
      </w:r>
      <w:r w:rsidR="004A7F4F">
        <w:t>,</w:t>
      </w:r>
      <w:r w:rsidR="00C018FC">
        <w:t xml:space="preserve"> the lengths vary from 4.60 m to 6.20 m</w:t>
      </w:r>
      <w:r w:rsidR="00C018FC" w:rsidRPr="009E780C">
        <w:t xml:space="preserve">. The bays </w:t>
      </w:r>
      <w:r w:rsidR="00C018FC">
        <w:t xml:space="preserve">were </w:t>
      </w:r>
      <w:r w:rsidR="00C018FC" w:rsidRPr="009E780C">
        <w:t>uniquely identified and numbered</w:t>
      </w:r>
      <w:r w:rsidR="004A7F4F">
        <w:t>,</w:t>
      </w:r>
      <w:r w:rsidR="00C018FC" w:rsidRPr="009E780C">
        <w:t xml:space="preserve"> as shown in Figure </w:t>
      </w:r>
      <w:r w:rsidR="00C018FC">
        <w:t xml:space="preserve">1b. The red bays were </w:t>
      </w:r>
      <w:r w:rsidR="004A7F4F">
        <w:t>selected</w:t>
      </w:r>
      <w:r w:rsidR="00C018FC">
        <w:t xml:space="preserve"> for the fire scenarios (more details are reported in the following chapter). </w:t>
      </w:r>
      <w:r w:rsidR="004A7F4F">
        <w:t>Considering</w:t>
      </w:r>
      <w:r w:rsidR="00C018FC" w:rsidRPr="007621EC">
        <w:t xml:space="preserve"> the construction materials, all the components, </w:t>
      </w:r>
      <w:r w:rsidR="00C018FC">
        <w:t>except</w:t>
      </w:r>
      <w:r w:rsidR="00C018FC" w:rsidRPr="007621EC">
        <w:t xml:space="preserve"> the fuel matrices, </w:t>
      </w:r>
      <w:r w:rsidR="00C018FC">
        <w:t>were</w:t>
      </w:r>
      <w:r w:rsidR="00C018FC" w:rsidRPr="007621EC">
        <w:t xml:space="preserve"> assumed as inert.</w:t>
      </w:r>
    </w:p>
    <w:p w14:paraId="05005A60" w14:textId="77777777" w:rsidR="00536D71" w:rsidRPr="007A36B1" w:rsidRDefault="00536D71" w:rsidP="00536D71">
      <w:pPr>
        <w:pStyle w:val="CETheadingx"/>
        <w:numPr>
          <w:ilvl w:val="2"/>
          <w:numId w:val="23"/>
        </w:numPr>
      </w:pPr>
      <w:bookmarkStart w:id="0" w:name="_Hlk89180524"/>
      <w:r w:rsidRPr="007A36B1">
        <w:t>Fire scenarios</w:t>
      </w:r>
      <w:bookmarkEnd w:id="0"/>
    </w:p>
    <w:p w14:paraId="7997BF0E" w14:textId="77777777" w:rsidR="00536D71" w:rsidRPr="001B7668" w:rsidRDefault="00536D71" w:rsidP="00536D71">
      <w:pPr>
        <w:pStyle w:val="CETBodytext"/>
      </w:pPr>
      <w:r>
        <w:t>Two design fire scenarios were identified to evaluate the response of the alarm system in case of slow and rapid (i.e., ultra-fast) fires. Both considered a</w:t>
      </w:r>
      <w:r w:rsidRPr="008A0CB8">
        <w:t xml:space="preserve"> pre-flashover condition, </w:t>
      </w:r>
      <w:r>
        <w:t>but the first is</w:t>
      </w:r>
      <w:r w:rsidRPr="008A0CB8">
        <w:t xml:space="preserve"> of interest </w:t>
      </w:r>
      <w:r>
        <w:t>for</w:t>
      </w:r>
      <w:r w:rsidRPr="008A0CB8">
        <w:t xml:space="preserve"> the system response in terms of early detection</w:t>
      </w:r>
      <w:r>
        <w:t>, while the second is for the individuation of the possible radiative heat flux (q). Two possible fire positions were considered: one originated from Bay No. 1 (60 m</w:t>
      </w:r>
      <w:r w:rsidRPr="004D3142">
        <w:rPr>
          <w:vertAlign w:val="superscript"/>
        </w:rPr>
        <w:t>2</w:t>
      </w:r>
      <w:r>
        <w:t>) and one from Bay No. 9 (68 m</w:t>
      </w:r>
      <w:r w:rsidRPr="004D3142">
        <w:rPr>
          <w:vertAlign w:val="superscript"/>
        </w:rPr>
        <w:t>2</w:t>
      </w:r>
      <w:r>
        <w:t xml:space="preserve">). </w:t>
      </w:r>
      <w:r>
        <w:lastRenderedPageBreak/>
        <w:t xml:space="preserve">In both cases, the bays were considered half-filled (i.e., filled up until a height of 3.0 m from the floor). Bay No. 1 was considered significant for the angular position in the domain, close to a ventilation opening, while Bay No. 9, because of the central position and proximity to the ventilation opening generally also used as access to the area. </w:t>
      </w:r>
      <w:r w:rsidRPr="001B7668">
        <w:t>The other combustion parameters employed were retrieve</w:t>
      </w:r>
      <w:r>
        <w:t>d</w:t>
      </w:r>
      <w:r w:rsidRPr="001B7668">
        <w:t xml:space="preserve"> from the</w:t>
      </w:r>
      <w:r>
        <w:t xml:space="preserve"> Italian fire safety regulations dealing with FSE</w:t>
      </w:r>
      <w:r w:rsidRPr="001B7668">
        <w:t xml:space="preserve"> </w:t>
      </w:r>
      <w:r>
        <w:fldChar w:fldCharType="begin" w:fldLock="1"/>
      </w:r>
      <w:r>
        <w:instrText>ADDIN CSL_CITATION {"citationItems":[{"id":"ITEM-1","itemData":{"author":[{"dropping-particle":"","family":"VVF","given":"","non-dropping-particle":"","parse-names":false,"suffix":""}],"id":"ITEM-1","issued":{"date-parts":[["2021"]]},"title":"Norme tecniche di prevenzione incendi","type":"article"},"uris":["http://www.mendeley.com/documents/?uuid=a80d8d64-74cd-4a7f-8c25-79608f2e343b"]}],"mendeley":{"formattedCitation":"(VVF, 2021)","plainTextFormattedCitation":"(VVF, 2021)","previouslyFormattedCitation":"(VVF, 2021)"},"properties":{"noteIndex":0},"schema":"https://github.com/citation-style-language/schema/raw/master/csl-citation.json"}</w:instrText>
      </w:r>
      <w:r>
        <w:fldChar w:fldCharType="separate"/>
      </w:r>
      <w:r w:rsidRPr="001B7668">
        <w:rPr>
          <w:noProof/>
        </w:rPr>
        <w:t>(VVF, 2021)</w:t>
      </w:r>
      <w:r>
        <w:fldChar w:fldCharType="end"/>
      </w:r>
      <w:r>
        <w:t xml:space="preserve"> and</w:t>
      </w:r>
      <w:r w:rsidRPr="001B7668">
        <w:t xml:space="preserve"> reported in Table 1</w:t>
      </w:r>
      <w:r>
        <w:t>.</w:t>
      </w:r>
      <w:r w:rsidRPr="001B7668">
        <w:t xml:space="preserve"> </w:t>
      </w:r>
      <w:r>
        <w:t xml:space="preserve">Furthermore, the initial ambient temperature </w:t>
      </w:r>
      <w:r>
        <w:rPr>
          <w:lang w:val="en-GB"/>
        </w:rPr>
        <w:t>(T</w:t>
      </w:r>
      <w:r w:rsidRPr="00D61D91">
        <w:rPr>
          <w:vertAlign w:val="subscript"/>
          <w:lang w:val="en-GB"/>
        </w:rPr>
        <w:t>a</w:t>
      </w:r>
      <w:r>
        <w:rPr>
          <w:lang w:val="en-GB"/>
        </w:rPr>
        <w:t>) was set equal to 20°C</w:t>
      </w:r>
      <w:r>
        <w:t xml:space="preserve"> for all tests. </w:t>
      </w:r>
      <w:r w:rsidRPr="001B7668">
        <w:t>Starting from these considerations, four simulations were conducted</w:t>
      </w:r>
      <w:r>
        <w:t xml:space="preserve"> (Table 1)</w:t>
      </w:r>
      <w:r w:rsidRPr="001B7668">
        <w:t xml:space="preserve">. </w:t>
      </w:r>
    </w:p>
    <w:p w14:paraId="1C124C28" w14:textId="77777777" w:rsidR="00536D71" w:rsidRDefault="00536D71" w:rsidP="00017507">
      <w:pPr>
        <w:pStyle w:val="CETBodytext"/>
      </w:pPr>
    </w:p>
    <w:p w14:paraId="02C96DCC" w14:textId="156C8594" w:rsidR="009E780C" w:rsidRDefault="00990EC3" w:rsidP="00017507">
      <w:pPr>
        <w:pStyle w:val="CETBodytext"/>
        <w:rPr>
          <w:noProof/>
        </w:rPr>
      </w:pPr>
      <w:r>
        <w:rPr>
          <w:noProof/>
        </w:rPr>
        <w:drawing>
          <wp:inline distT="0" distB="0" distL="0" distR="0" wp14:anchorId="7332E931" wp14:editId="1C52C95D">
            <wp:extent cx="2125221" cy="1279071"/>
            <wp:effectExtent l="0" t="0" r="889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8877" cy="1323401"/>
                    </a:xfrm>
                    <a:prstGeom prst="rect">
                      <a:avLst/>
                    </a:prstGeom>
                    <a:noFill/>
                  </pic:spPr>
                </pic:pic>
              </a:graphicData>
            </a:graphic>
          </wp:inline>
        </w:drawing>
      </w:r>
      <w:r w:rsidR="009E780C" w:rsidRPr="009E780C">
        <w:rPr>
          <w:noProof/>
        </w:rPr>
        <w:t xml:space="preserve"> </w:t>
      </w:r>
      <w:r>
        <w:rPr>
          <w:noProof/>
        </w:rPr>
        <w:drawing>
          <wp:inline distT="0" distB="0" distL="0" distR="0" wp14:anchorId="663E13B9" wp14:editId="33FAC90B">
            <wp:extent cx="1263331" cy="130084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374" cy="1343105"/>
                    </a:xfrm>
                    <a:prstGeom prst="rect">
                      <a:avLst/>
                    </a:prstGeom>
                    <a:noFill/>
                  </pic:spPr>
                </pic:pic>
              </a:graphicData>
            </a:graphic>
          </wp:inline>
        </w:drawing>
      </w:r>
      <w:r w:rsidR="0050452E">
        <w:rPr>
          <w:noProof/>
        </w:rPr>
        <w:t xml:space="preserve">  </w:t>
      </w:r>
    </w:p>
    <w:p w14:paraId="09F2A330" w14:textId="3770E2D4" w:rsidR="004D3142" w:rsidRDefault="0050452E" w:rsidP="0050452E">
      <w:pPr>
        <w:pStyle w:val="CETBodytext"/>
        <w:numPr>
          <w:ilvl w:val="0"/>
          <w:numId w:val="26"/>
        </w:numPr>
        <w:tabs>
          <w:tab w:val="clear" w:pos="7100"/>
        </w:tabs>
        <w:ind w:left="2977" w:hanging="1447"/>
      </w:pPr>
      <w:r>
        <w:t xml:space="preserve">                           </w:t>
      </w:r>
      <w:r w:rsidR="0015663B">
        <w:t>b)</w:t>
      </w:r>
    </w:p>
    <w:p w14:paraId="53F33744" w14:textId="6B605B2C" w:rsidR="00E15ACB" w:rsidRPr="00B57B36" w:rsidRDefault="00E15ACB" w:rsidP="0050452E">
      <w:pPr>
        <w:pStyle w:val="CETTabletitle"/>
        <w:spacing w:before="120"/>
      </w:pPr>
      <w:r>
        <w:t>Figure</w:t>
      </w:r>
      <w:r w:rsidRPr="00B57B36">
        <w:t xml:space="preserve"> 1: </w:t>
      </w:r>
      <w:r w:rsidR="006149F3">
        <w:t>Geometrical characteristics of the building considered.</w:t>
      </w:r>
    </w:p>
    <w:p w14:paraId="3A1E30E2" w14:textId="7DC15E87" w:rsidR="00E15ACB" w:rsidRPr="00B57B36" w:rsidRDefault="00E15ACB" w:rsidP="00E15ACB">
      <w:pPr>
        <w:pStyle w:val="CETTabletitle"/>
      </w:pPr>
      <w:r w:rsidRPr="00B57B36">
        <w:t xml:space="preserve">Table 1: </w:t>
      </w:r>
      <w:r w:rsidR="00F96249">
        <w:t>Main input parameters of the four simulations conduc</w:t>
      </w:r>
      <w:r w:rsidR="00172740">
        <w:t>t</w:t>
      </w:r>
      <w:r w:rsidR="00F96249">
        <w:t>ed.</w:t>
      </w:r>
    </w:p>
    <w:tbl>
      <w:tblPr>
        <w:tblW w:w="881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960"/>
        <w:gridCol w:w="1170"/>
        <w:gridCol w:w="1170"/>
        <w:gridCol w:w="1260"/>
        <w:gridCol w:w="1250"/>
      </w:tblGrid>
      <w:tr w:rsidR="001C4D26" w:rsidRPr="00B57B36" w14:paraId="40F6DB06" w14:textId="77777777" w:rsidTr="00F27AD1">
        <w:trPr>
          <w:trHeight w:val="245"/>
        </w:trPr>
        <w:tc>
          <w:tcPr>
            <w:tcW w:w="3960" w:type="dxa"/>
            <w:tcBorders>
              <w:top w:val="single" w:sz="12" w:space="0" w:color="008000"/>
              <w:bottom w:val="single" w:sz="6" w:space="0" w:color="008000"/>
            </w:tcBorders>
            <w:shd w:val="clear" w:color="auto" w:fill="FFFFFF"/>
          </w:tcPr>
          <w:p w14:paraId="18900C6B" w14:textId="77777777" w:rsidR="001C4D26" w:rsidRPr="00B57B36" w:rsidRDefault="001C4D26" w:rsidP="00725AA8">
            <w:pPr>
              <w:pStyle w:val="CETBodytext"/>
              <w:jc w:val="center"/>
              <w:rPr>
                <w:lang w:val="en-GB"/>
              </w:rPr>
            </w:pPr>
            <w:r>
              <w:rPr>
                <w:lang w:val="en-GB"/>
              </w:rPr>
              <w:t>Parameter</w:t>
            </w:r>
          </w:p>
        </w:tc>
        <w:tc>
          <w:tcPr>
            <w:tcW w:w="1170" w:type="dxa"/>
            <w:tcBorders>
              <w:top w:val="single" w:sz="12" w:space="0" w:color="008000"/>
              <w:bottom w:val="single" w:sz="6" w:space="0" w:color="008000"/>
            </w:tcBorders>
            <w:shd w:val="clear" w:color="auto" w:fill="FFFFFF"/>
          </w:tcPr>
          <w:p w14:paraId="69392E99" w14:textId="67E63818" w:rsidR="001C4D26" w:rsidRPr="00B57B36" w:rsidRDefault="0045539C" w:rsidP="00725AA8">
            <w:pPr>
              <w:pStyle w:val="CETBodytext"/>
              <w:jc w:val="center"/>
              <w:rPr>
                <w:lang w:val="en-GB"/>
              </w:rPr>
            </w:pPr>
            <w:r>
              <w:rPr>
                <w:lang w:val="en-GB"/>
              </w:rPr>
              <w:t>TEST1</w:t>
            </w:r>
          </w:p>
        </w:tc>
        <w:tc>
          <w:tcPr>
            <w:tcW w:w="1170" w:type="dxa"/>
            <w:tcBorders>
              <w:top w:val="single" w:sz="12" w:space="0" w:color="008000"/>
              <w:bottom w:val="single" w:sz="6" w:space="0" w:color="008000"/>
            </w:tcBorders>
            <w:shd w:val="clear" w:color="auto" w:fill="FFFFFF"/>
          </w:tcPr>
          <w:p w14:paraId="51BD9998" w14:textId="3447AC87" w:rsidR="001C4D26" w:rsidRPr="00B57B36" w:rsidRDefault="0045539C" w:rsidP="00725AA8">
            <w:pPr>
              <w:pStyle w:val="CETBodytext"/>
              <w:jc w:val="center"/>
              <w:rPr>
                <w:lang w:val="en-GB"/>
              </w:rPr>
            </w:pPr>
            <w:r>
              <w:rPr>
                <w:lang w:val="en-GB"/>
              </w:rPr>
              <w:t>TEST2</w:t>
            </w:r>
          </w:p>
        </w:tc>
        <w:tc>
          <w:tcPr>
            <w:tcW w:w="1260" w:type="dxa"/>
            <w:tcBorders>
              <w:top w:val="single" w:sz="12" w:space="0" w:color="008000"/>
              <w:bottom w:val="single" w:sz="6" w:space="0" w:color="008000"/>
            </w:tcBorders>
            <w:shd w:val="clear" w:color="auto" w:fill="FFFFFF"/>
          </w:tcPr>
          <w:p w14:paraId="71BA3947" w14:textId="3D6F7C8F" w:rsidR="001C4D26" w:rsidRPr="00B57B36" w:rsidRDefault="0045539C" w:rsidP="00725AA8">
            <w:pPr>
              <w:pStyle w:val="CETBodytext"/>
              <w:ind w:right="-1"/>
              <w:jc w:val="center"/>
              <w:rPr>
                <w:rFonts w:cs="Arial"/>
                <w:szCs w:val="18"/>
                <w:lang w:val="en-GB"/>
              </w:rPr>
            </w:pPr>
            <w:r>
              <w:rPr>
                <w:lang w:val="en-GB"/>
              </w:rPr>
              <w:t>TEST3</w:t>
            </w:r>
          </w:p>
        </w:tc>
        <w:tc>
          <w:tcPr>
            <w:tcW w:w="1250" w:type="dxa"/>
            <w:tcBorders>
              <w:top w:val="single" w:sz="12" w:space="0" w:color="008000"/>
              <w:bottom w:val="single" w:sz="6" w:space="0" w:color="008000"/>
            </w:tcBorders>
            <w:shd w:val="clear" w:color="auto" w:fill="FFFFFF"/>
          </w:tcPr>
          <w:p w14:paraId="10344990" w14:textId="6BB1966F" w:rsidR="001C4D26" w:rsidRPr="00B57B36" w:rsidRDefault="0045539C" w:rsidP="00725AA8">
            <w:pPr>
              <w:pStyle w:val="CETBodytext"/>
              <w:ind w:right="-1"/>
              <w:jc w:val="center"/>
              <w:rPr>
                <w:rFonts w:cs="Arial"/>
                <w:szCs w:val="18"/>
                <w:lang w:val="en-GB"/>
              </w:rPr>
            </w:pPr>
            <w:r>
              <w:rPr>
                <w:lang w:val="en-GB"/>
              </w:rPr>
              <w:t>TEST4</w:t>
            </w:r>
          </w:p>
        </w:tc>
      </w:tr>
      <w:tr w:rsidR="001C4D26" w:rsidRPr="00B57B36" w14:paraId="40A9C552" w14:textId="77777777" w:rsidTr="004746EA">
        <w:trPr>
          <w:trHeight w:val="144"/>
        </w:trPr>
        <w:tc>
          <w:tcPr>
            <w:tcW w:w="3960" w:type="dxa"/>
            <w:shd w:val="clear" w:color="auto" w:fill="FFFFFF"/>
          </w:tcPr>
          <w:p w14:paraId="593D5A7B" w14:textId="77777777" w:rsidR="001C4D26" w:rsidRPr="004746EA" w:rsidRDefault="001C4D26" w:rsidP="00725AA8">
            <w:pPr>
              <w:pStyle w:val="CETBodytext"/>
              <w:jc w:val="center"/>
              <w:rPr>
                <w:sz w:val="16"/>
                <w:szCs w:val="18"/>
                <w:lang w:val="en-GB"/>
              </w:rPr>
            </w:pPr>
            <w:r w:rsidRPr="004746EA">
              <w:rPr>
                <w:sz w:val="16"/>
                <w:szCs w:val="18"/>
                <w:lang w:val="en-GB"/>
              </w:rPr>
              <w:t>Fire growth rate [s]</w:t>
            </w:r>
          </w:p>
        </w:tc>
        <w:tc>
          <w:tcPr>
            <w:tcW w:w="1170" w:type="dxa"/>
            <w:shd w:val="clear" w:color="auto" w:fill="FFFFFF"/>
            <w:vAlign w:val="center"/>
          </w:tcPr>
          <w:p w14:paraId="21C510B4" w14:textId="77777777" w:rsidR="001C4D26" w:rsidRPr="004746EA" w:rsidRDefault="001C4D26" w:rsidP="006802B3">
            <w:pPr>
              <w:pStyle w:val="CETBodytext"/>
              <w:jc w:val="center"/>
              <w:rPr>
                <w:sz w:val="16"/>
                <w:szCs w:val="18"/>
                <w:lang w:val="en-GB"/>
              </w:rPr>
            </w:pPr>
            <w:r w:rsidRPr="004746EA">
              <w:rPr>
                <w:sz w:val="16"/>
                <w:szCs w:val="18"/>
                <w:lang w:val="en-GB"/>
              </w:rPr>
              <w:t>600 (slow)</w:t>
            </w:r>
          </w:p>
        </w:tc>
        <w:tc>
          <w:tcPr>
            <w:tcW w:w="1170" w:type="dxa"/>
            <w:shd w:val="clear" w:color="auto" w:fill="FFFFFF"/>
            <w:vAlign w:val="center"/>
          </w:tcPr>
          <w:p w14:paraId="201E9213" w14:textId="14096CD9" w:rsidR="001C4D26" w:rsidRPr="004746EA" w:rsidRDefault="001C4D26" w:rsidP="006802B3">
            <w:pPr>
              <w:pStyle w:val="CETBodytext"/>
              <w:jc w:val="center"/>
              <w:rPr>
                <w:sz w:val="16"/>
                <w:szCs w:val="18"/>
                <w:lang w:val="en-GB"/>
              </w:rPr>
            </w:pPr>
            <w:r w:rsidRPr="004746EA">
              <w:rPr>
                <w:sz w:val="16"/>
                <w:szCs w:val="18"/>
                <w:lang w:val="en-GB"/>
              </w:rPr>
              <w:t>600</w:t>
            </w:r>
            <w:r w:rsidR="00172740" w:rsidRPr="004746EA">
              <w:rPr>
                <w:sz w:val="16"/>
                <w:szCs w:val="18"/>
                <w:lang w:val="en-GB"/>
              </w:rPr>
              <w:t xml:space="preserve"> </w:t>
            </w:r>
            <w:r w:rsidRPr="004746EA">
              <w:rPr>
                <w:sz w:val="16"/>
                <w:szCs w:val="18"/>
                <w:lang w:val="en-GB"/>
              </w:rPr>
              <w:t>(slow)</w:t>
            </w:r>
          </w:p>
        </w:tc>
        <w:tc>
          <w:tcPr>
            <w:tcW w:w="1260" w:type="dxa"/>
            <w:shd w:val="clear" w:color="auto" w:fill="FFFFFF"/>
            <w:vAlign w:val="center"/>
          </w:tcPr>
          <w:p w14:paraId="4FD69DB8" w14:textId="69D9CD72"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75 (ultra</w:t>
            </w:r>
            <w:r w:rsidR="00F27AD1" w:rsidRPr="004746EA">
              <w:rPr>
                <w:rFonts w:cs="Arial"/>
                <w:sz w:val="16"/>
                <w:szCs w:val="18"/>
                <w:lang w:val="en-GB"/>
              </w:rPr>
              <w:t>-</w:t>
            </w:r>
            <w:r w:rsidRPr="004746EA">
              <w:rPr>
                <w:rFonts w:cs="Arial"/>
                <w:sz w:val="16"/>
                <w:szCs w:val="18"/>
                <w:lang w:val="en-GB"/>
              </w:rPr>
              <w:t>fast)</w:t>
            </w:r>
          </w:p>
        </w:tc>
        <w:tc>
          <w:tcPr>
            <w:tcW w:w="1250" w:type="dxa"/>
            <w:shd w:val="clear" w:color="auto" w:fill="FFFFFF"/>
            <w:vAlign w:val="center"/>
          </w:tcPr>
          <w:p w14:paraId="776D8C3C" w14:textId="63AB6DF2"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75 (ultra</w:t>
            </w:r>
            <w:r w:rsidR="00F27AD1" w:rsidRPr="004746EA">
              <w:rPr>
                <w:rFonts w:cs="Arial"/>
                <w:sz w:val="16"/>
                <w:szCs w:val="18"/>
                <w:lang w:val="en-GB"/>
              </w:rPr>
              <w:t>-</w:t>
            </w:r>
            <w:r w:rsidRPr="004746EA">
              <w:rPr>
                <w:rFonts w:cs="Arial"/>
                <w:sz w:val="16"/>
                <w:szCs w:val="18"/>
                <w:lang w:val="en-GB"/>
              </w:rPr>
              <w:t>fast)</w:t>
            </w:r>
          </w:p>
        </w:tc>
      </w:tr>
      <w:tr w:rsidR="001C4D26" w:rsidRPr="00B57B36" w14:paraId="55906A85" w14:textId="77777777" w:rsidTr="004746EA">
        <w:trPr>
          <w:trHeight w:val="144"/>
        </w:trPr>
        <w:tc>
          <w:tcPr>
            <w:tcW w:w="3960" w:type="dxa"/>
            <w:shd w:val="clear" w:color="auto" w:fill="FFFFFF"/>
          </w:tcPr>
          <w:p w14:paraId="4C03A771" w14:textId="78C360A8" w:rsidR="001C4D26" w:rsidRPr="004746EA" w:rsidRDefault="001C4D26" w:rsidP="00725AA8">
            <w:pPr>
              <w:pStyle w:val="CETBodytext"/>
              <w:jc w:val="center"/>
              <w:rPr>
                <w:sz w:val="16"/>
                <w:szCs w:val="18"/>
                <w:lang w:val="en-GB"/>
              </w:rPr>
            </w:pPr>
            <w:r w:rsidRPr="004746EA">
              <w:rPr>
                <w:sz w:val="16"/>
                <w:szCs w:val="18"/>
                <w:lang w:val="en-GB"/>
              </w:rPr>
              <w:t>H</w:t>
            </w:r>
            <w:r w:rsidR="00C8285D" w:rsidRPr="004746EA">
              <w:rPr>
                <w:sz w:val="16"/>
                <w:szCs w:val="18"/>
                <w:lang w:val="en-GB"/>
              </w:rPr>
              <w:t>eat Release Rate per Area (HRRPUA)</w:t>
            </w:r>
            <w:r w:rsidRPr="004746EA">
              <w:rPr>
                <w:sz w:val="16"/>
                <w:szCs w:val="18"/>
                <w:lang w:val="en-GB"/>
              </w:rPr>
              <w:t xml:space="preserve"> [</w:t>
            </w:r>
            <w:r w:rsidR="00482A9A" w:rsidRPr="004746EA">
              <w:rPr>
                <w:sz w:val="16"/>
                <w:szCs w:val="18"/>
                <w:lang w:val="en-GB"/>
              </w:rPr>
              <w:t>k</w:t>
            </w:r>
            <w:r w:rsidR="00172740" w:rsidRPr="004746EA">
              <w:rPr>
                <w:sz w:val="16"/>
                <w:szCs w:val="18"/>
                <w:lang w:val="en-GB"/>
              </w:rPr>
              <w:t>W</w:t>
            </w:r>
            <w:r w:rsidRPr="004746EA">
              <w:rPr>
                <w:sz w:val="16"/>
                <w:szCs w:val="18"/>
                <w:lang w:val="en-GB"/>
              </w:rPr>
              <w:t xml:space="preserve"> m</w:t>
            </w:r>
            <w:r w:rsidRPr="004746EA">
              <w:rPr>
                <w:sz w:val="16"/>
                <w:szCs w:val="18"/>
                <w:vertAlign w:val="superscript"/>
                <w:lang w:val="en-GB"/>
              </w:rPr>
              <w:t>-2</w:t>
            </w:r>
            <w:r w:rsidRPr="004746EA">
              <w:rPr>
                <w:sz w:val="16"/>
                <w:szCs w:val="18"/>
                <w:lang w:val="en-GB"/>
              </w:rPr>
              <w:t>]</w:t>
            </w:r>
          </w:p>
        </w:tc>
        <w:tc>
          <w:tcPr>
            <w:tcW w:w="1170" w:type="dxa"/>
            <w:shd w:val="clear" w:color="auto" w:fill="FFFFFF"/>
            <w:vAlign w:val="center"/>
          </w:tcPr>
          <w:p w14:paraId="433B6CEC" w14:textId="77777777" w:rsidR="001C4D26" w:rsidRPr="004746EA" w:rsidRDefault="001C4D26" w:rsidP="006802B3">
            <w:pPr>
              <w:pStyle w:val="CETBodytext"/>
              <w:jc w:val="center"/>
              <w:rPr>
                <w:sz w:val="16"/>
                <w:szCs w:val="18"/>
                <w:lang w:val="en-GB"/>
              </w:rPr>
            </w:pPr>
            <w:r w:rsidRPr="004746EA">
              <w:rPr>
                <w:sz w:val="16"/>
                <w:szCs w:val="18"/>
                <w:lang w:val="en-GB"/>
              </w:rPr>
              <w:t>500</w:t>
            </w:r>
          </w:p>
        </w:tc>
        <w:tc>
          <w:tcPr>
            <w:tcW w:w="1170" w:type="dxa"/>
            <w:shd w:val="clear" w:color="auto" w:fill="FFFFFF"/>
            <w:vAlign w:val="center"/>
          </w:tcPr>
          <w:p w14:paraId="59CE6F87" w14:textId="77777777" w:rsidR="001C4D26" w:rsidRPr="004746EA" w:rsidRDefault="001C4D26" w:rsidP="006802B3">
            <w:pPr>
              <w:pStyle w:val="CETBodytext"/>
              <w:jc w:val="center"/>
              <w:rPr>
                <w:sz w:val="16"/>
                <w:szCs w:val="18"/>
                <w:lang w:val="en-GB"/>
              </w:rPr>
            </w:pPr>
            <w:r w:rsidRPr="004746EA">
              <w:rPr>
                <w:sz w:val="16"/>
                <w:szCs w:val="18"/>
                <w:lang w:val="en-GB"/>
              </w:rPr>
              <w:t>500</w:t>
            </w:r>
          </w:p>
        </w:tc>
        <w:tc>
          <w:tcPr>
            <w:tcW w:w="1260" w:type="dxa"/>
            <w:shd w:val="clear" w:color="auto" w:fill="FFFFFF"/>
            <w:vAlign w:val="center"/>
          </w:tcPr>
          <w:p w14:paraId="5F99670E" w14:textId="77777777"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1000</w:t>
            </w:r>
          </w:p>
        </w:tc>
        <w:tc>
          <w:tcPr>
            <w:tcW w:w="1250" w:type="dxa"/>
            <w:shd w:val="clear" w:color="auto" w:fill="FFFFFF"/>
            <w:vAlign w:val="center"/>
          </w:tcPr>
          <w:p w14:paraId="1B137C33" w14:textId="77777777"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1000</w:t>
            </w:r>
          </w:p>
        </w:tc>
      </w:tr>
      <w:tr w:rsidR="001C4D26" w:rsidRPr="00B57B36" w14:paraId="6CBFE9DB" w14:textId="77777777" w:rsidTr="004746EA">
        <w:trPr>
          <w:trHeight w:val="144"/>
        </w:trPr>
        <w:tc>
          <w:tcPr>
            <w:tcW w:w="3960" w:type="dxa"/>
            <w:shd w:val="clear" w:color="auto" w:fill="FFFFFF"/>
          </w:tcPr>
          <w:p w14:paraId="205360C9" w14:textId="461B0243" w:rsidR="001C4D26" w:rsidRPr="004746EA" w:rsidRDefault="001C4D26" w:rsidP="00725AA8">
            <w:pPr>
              <w:pStyle w:val="CETBodytext"/>
              <w:jc w:val="center"/>
              <w:rPr>
                <w:sz w:val="16"/>
                <w:szCs w:val="18"/>
                <w:lang w:val="en-GB"/>
              </w:rPr>
            </w:pPr>
            <w:r w:rsidRPr="004746EA">
              <w:rPr>
                <w:sz w:val="16"/>
                <w:szCs w:val="18"/>
                <w:lang w:val="en-GB"/>
              </w:rPr>
              <w:t>Position</w:t>
            </w:r>
            <w:r w:rsidR="00172740" w:rsidRPr="004746EA">
              <w:rPr>
                <w:sz w:val="16"/>
                <w:szCs w:val="18"/>
                <w:lang w:val="en-GB"/>
              </w:rPr>
              <w:t>, bay</w:t>
            </w:r>
            <w:r w:rsidR="00725AA8" w:rsidRPr="004746EA">
              <w:rPr>
                <w:sz w:val="16"/>
                <w:szCs w:val="18"/>
                <w:lang w:val="en-GB"/>
              </w:rPr>
              <w:t xml:space="preserve"> [#]</w:t>
            </w:r>
          </w:p>
        </w:tc>
        <w:tc>
          <w:tcPr>
            <w:tcW w:w="1170" w:type="dxa"/>
            <w:shd w:val="clear" w:color="auto" w:fill="FFFFFF"/>
            <w:vAlign w:val="center"/>
          </w:tcPr>
          <w:p w14:paraId="39B4CB26" w14:textId="77777777" w:rsidR="001C4D26" w:rsidRPr="004746EA" w:rsidRDefault="001C4D26" w:rsidP="006802B3">
            <w:pPr>
              <w:pStyle w:val="CETBodytext"/>
              <w:jc w:val="center"/>
              <w:rPr>
                <w:sz w:val="16"/>
                <w:szCs w:val="18"/>
                <w:lang w:val="en-GB"/>
              </w:rPr>
            </w:pPr>
            <w:r w:rsidRPr="004746EA">
              <w:rPr>
                <w:sz w:val="16"/>
                <w:szCs w:val="18"/>
                <w:lang w:val="en-GB"/>
              </w:rPr>
              <w:t>1</w:t>
            </w:r>
          </w:p>
        </w:tc>
        <w:tc>
          <w:tcPr>
            <w:tcW w:w="1170" w:type="dxa"/>
            <w:shd w:val="clear" w:color="auto" w:fill="FFFFFF"/>
            <w:vAlign w:val="center"/>
          </w:tcPr>
          <w:p w14:paraId="67E23942" w14:textId="77777777" w:rsidR="001C4D26" w:rsidRPr="004746EA" w:rsidRDefault="001C4D26" w:rsidP="006802B3">
            <w:pPr>
              <w:pStyle w:val="CETBodytext"/>
              <w:jc w:val="center"/>
              <w:rPr>
                <w:sz w:val="16"/>
                <w:szCs w:val="18"/>
                <w:lang w:val="en-GB"/>
              </w:rPr>
            </w:pPr>
            <w:r w:rsidRPr="004746EA">
              <w:rPr>
                <w:sz w:val="16"/>
                <w:szCs w:val="18"/>
                <w:lang w:val="en-GB"/>
              </w:rPr>
              <w:t>9</w:t>
            </w:r>
          </w:p>
        </w:tc>
        <w:tc>
          <w:tcPr>
            <w:tcW w:w="1260" w:type="dxa"/>
            <w:shd w:val="clear" w:color="auto" w:fill="FFFFFF"/>
            <w:vAlign w:val="center"/>
          </w:tcPr>
          <w:p w14:paraId="6CBB8B9D" w14:textId="77777777"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1</w:t>
            </w:r>
          </w:p>
        </w:tc>
        <w:tc>
          <w:tcPr>
            <w:tcW w:w="1250" w:type="dxa"/>
            <w:shd w:val="clear" w:color="auto" w:fill="FFFFFF"/>
            <w:vAlign w:val="center"/>
          </w:tcPr>
          <w:p w14:paraId="71E802CA" w14:textId="77777777"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9</w:t>
            </w:r>
          </w:p>
        </w:tc>
      </w:tr>
      <w:tr w:rsidR="001C4D26" w:rsidRPr="00B57B36" w14:paraId="7CB04B60" w14:textId="77777777" w:rsidTr="004746EA">
        <w:trPr>
          <w:trHeight w:val="144"/>
        </w:trPr>
        <w:tc>
          <w:tcPr>
            <w:tcW w:w="3960" w:type="dxa"/>
            <w:shd w:val="clear" w:color="auto" w:fill="FFFFFF"/>
          </w:tcPr>
          <w:p w14:paraId="197B54BF" w14:textId="77777777" w:rsidR="001C4D26" w:rsidRPr="004746EA" w:rsidRDefault="001C4D26" w:rsidP="00725AA8">
            <w:pPr>
              <w:pStyle w:val="CETBodytext"/>
              <w:jc w:val="center"/>
              <w:rPr>
                <w:sz w:val="16"/>
                <w:szCs w:val="18"/>
                <w:lang w:val="en-GB"/>
              </w:rPr>
            </w:pPr>
            <w:r w:rsidRPr="004746EA">
              <w:rPr>
                <w:sz w:val="16"/>
                <w:szCs w:val="18"/>
                <w:lang w:val="en-GB"/>
              </w:rPr>
              <w:t xml:space="preserve">Heat of combustion [MJ </w:t>
            </w:r>
            <w:proofErr w:type="gramStart"/>
            <w:r w:rsidRPr="004746EA">
              <w:rPr>
                <w:sz w:val="16"/>
                <w:szCs w:val="18"/>
                <w:lang w:val="en-GB"/>
              </w:rPr>
              <w:t>kg</w:t>
            </w:r>
            <w:r w:rsidRPr="004746EA">
              <w:rPr>
                <w:sz w:val="16"/>
                <w:szCs w:val="18"/>
                <w:vertAlign w:val="superscript"/>
                <w:lang w:val="en-GB"/>
              </w:rPr>
              <w:t>-1</w:t>
            </w:r>
            <w:proofErr w:type="gramEnd"/>
            <w:r w:rsidRPr="004746EA">
              <w:rPr>
                <w:sz w:val="16"/>
                <w:szCs w:val="18"/>
                <w:lang w:val="en-GB"/>
              </w:rPr>
              <w:t>]</w:t>
            </w:r>
          </w:p>
        </w:tc>
        <w:tc>
          <w:tcPr>
            <w:tcW w:w="1170" w:type="dxa"/>
            <w:shd w:val="clear" w:color="auto" w:fill="FFFFFF"/>
            <w:vAlign w:val="center"/>
          </w:tcPr>
          <w:p w14:paraId="2B6EE34D" w14:textId="77777777" w:rsidR="001C4D26" w:rsidRPr="004746EA" w:rsidRDefault="001C4D26" w:rsidP="006802B3">
            <w:pPr>
              <w:pStyle w:val="CETBodytext"/>
              <w:jc w:val="center"/>
              <w:rPr>
                <w:sz w:val="16"/>
                <w:szCs w:val="18"/>
                <w:lang w:val="en-GB"/>
              </w:rPr>
            </w:pPr>
            <w:r w:rsidRPr="004746EA">
              <w:rPr>
                <w:sz w:val="16"/>
                <w:szCs w:val="18"/>
                <w:lang w:val="en-GB"/>
              </w:rPr>
              <w:t>20</w:t>
            </w:r>
          </w:p>
        </w:tc>
        <w:tc>
          <w:tcPr>
            <w:tcW w:w="1170" w:type="dxa"/>
            <w:shd w:val="clear" w:color="auto" w:fill="FFFFFF"/>
            <w:vAlign w:val="center"/>
          </w:tcPr>
          <w:p w14:paraId="5812D87D" w14:textId="77777777" w:rsidR="001C4D26" w:rsidRPr="004746EA" w:rsidRDefault="001C4D26" w:rsidP="006802B3">
            <w:pPr>
              <w:pStyle w:val="CETBodytext"/>
              <w:jc w:val="center"/>
              <w:rPr>
                <w:sz w:val="16"/>
                <w:szCs w:val="18"/>
                <w:lang w:val="en-GB"/>
              </w:rPr>
            </w:pPr>
            <w:r w:rsidRPr="004746EA">
              <w:rPr>
                <w:sz w:val="16"/>
                <w:szCs w:val="18"/>
                <w:lang w:val="en-GB"/>
              </w:rPr>
              <w:t>20</w:t>
            </w:r>
          </w:p>
        </w:tc>
        <w:tc>
          <w:tcPr>
            <w:tcW w:w="1260" w:type="dxa"/>
            <w:shd w:val="clear" w:color="auto" w:fill="FFFFFF"/>
            <w:vAlign w:val="center"/>
          </w:tcPr>
          <w:p w14:paraId="6608133E" w14:textId="77777777"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20</w:t>
            </w:r>
          </w:p>
        </w:tc>
        <w:tc>
          <w:tcPr>
            <w:tcW w:w="1250" w:type="dxa"/>
            <w:shd w:val="clear" w:color="auto" w:fill="FFFFFF"/>
            <w:vAlign w:val="center"/>
          </w:tcPr>
          <w:p w14:paraId="5ED71793" w14:textId="77777777" w:rsidR="001C4D26" w:rsidRPr="004746EA" w:rsidRDefault="001C4D26" w:rsidP="006802B3">
            <w:pPr>
              <w:pStyle w:val="CETBodytext"/>
              <w:ind w:right="-1"/>
              <w:jc w:val="center"/>
              <w:rPr>
                <w:rFonts w:cs="Arial"/>
                <w:sz w:val="16"/>
                <w:szCs w:val="18"/>
                <w:lang w:val="en-GB"/>
              </w:rPr>
            </w:pPr>
            <w:r w:rsidRPr="004746EA">
              <w:rPr>
                <w:rFonts w:cs="Arial"/>
                <w:sz w:val="16"/>
                <w:szCs w:val="18"/>
                <w:lang w:val="en-GB"/>
              </w:rPr>
              <w:t>20</w:t>
            </w:r>
          </w:p>
        </w:tc>
      </w:tr>
      <w:tr w:rsidR="001C4D26" w:rsidRPr="00B57B36" w14:paraId="5C90E980" w14:textId="77777777" w:rsidTr="004746EA">
        <w:trPr>
          <w:trHeight w:val="144"/>
        </w:trPr>
        <w:tc>
          <w:tcPr>
            <w:tcW w:w="3960" w:type="dxa"/>
            <w:shd w:val="clear" w:color="auto" w:fill="FFFFFF"/>
          </w:tcPr>
          <w:p w14:paraId="12488E13" w14:textId="44A0BDCF" w:rsidR="001C4D26" w:rsidRPr="004746EA" w:rsidRDefault="00725AA8" w:rsidP="00725AA8">
            <w:pPr>
              <w:pStyle w:val="CETBodytext"/>
              <w:jc w:val="center"/>
              <w:rPr>
                <w:sz w:val="16"/>
                <w:szCs w:val="18"/>
                <w:lang w:val="en-GB"/>
              </w:rPr>
            </w:pPr>
            <w:r w:rsidRPr="004746EA">
              <w:rPr>
                <w:sz w:val="16"/>
                <w:szCs w:val="18"/>
                <w:lang w:val="en-GB"/>
              </w:rPr>
              <w:t>CO yield (</w:t>
            </w:r>
            <m:oMath>
              <m:sSub>
                <m:sSubPr>
                  <m:ctrlPr>
                    <w:rPr>
                      <w:rFonts w:ascii="Cambria Math" w:hAnsi="Cambria Math"/>
                      <w:i/>
                      <w:sz w:val="16"/>
                      <w:szCs w:val="18"/>
                      <w:lang w:val="en-GB"/>
                    </w:rPr>
                  </m:ctrlPr>
                </m:sSubPr>
                <m:e>
                  <m:r>
                    <w:rPr>
                      <w:rFonts w:ascii="Cambria Math" w:hAnsi="Cambria Math"/>
                      <w:sz w:val="16"/>
                      <w:szCs w:val="18"/>
                      <w:lang w:val="en-GB"/>
                    </w:rPr>
                    <m:t>y</m:t>
                  </m:r>
                </m:e>
                <m:sub>
                  <m:r>
                    <w:rPr>
                      <w:rFonts w:ascii="Cambria Math" w:hAnsi="Cambria Math"/>
                      <w:sz w:val="16"/>
                      <w:szCs w:val="18"/>
                      <w:lang w:val="en-GB"/>
                    </w:rPr>
                    <m:t>CO</m:t>
                  </m:r>
                </m:sub>
              </m:sSub>
            </m:oMath>
            <w:r w:rsidRPr="004746EA">
              <w:rPr>
                <w:sz w:val="16"/>
                <w:szCs w:val="18"/>
                <w:lang w:val="en-GB"/>
              </w:rPr>
              <w:t xml:space="preserve">) </w:t>
            </w:r>
            <w:r w:rsidR="001C4D26" w:rsidRPr="004746EA">
              <w:rPr>
                <w:sz w:val="16"/>
                <w:szCs w:val="18"/>
                <w:lang w:val="en-GB"/>
              </w:rPr>
              <w:t>[kg/kg]</w:t>
            </w:r>
          </w:p>
        </w:tc>
        <w:tc>
          <w:tcPr>
            <w:tcW w:w="1170" w:type="dxa"/>
            <w:shd w:val="clear" w:color="auto" w:fill="FFFFFF"/>
            <w:vAlign w:val="center"/>
          </w:tcPr>
          <w:p w14:paraId="047F2D79" w14:textId="10A6E876" w:rsidR="001C4D26" w:rsidRPr="004746EA" w:rsidRDefault="00725AA8" w:rsidP="006802B3">
            <w:pPr>
              <w:pStyle w:val="CETBodytext"/>
              <w:jc w:val="center"/>
              <w:rPr>
                <w:sz w:val="16"/>
                <w:szCs w:val="18"/>
                <w:lang w:val="en-GB"/>
              </w:rPr>
            </w:pPr>
            <w:r w:rsidRPr="004746EA">
              <w:rPr>
                <w:sz w:val="16"/>
                <w:szCs w:val="18"/>
                <w:lang w:val="en-GB"/>
              </w:rPr>
              <w:t>0.1</w:t>
            </w:r>
          </w:p>
        </w:tc>
        <w:tc>
          <w:tcPr>
            <w:tcW w:w="1170" w:type="dxa"/>
            <w:shd w:val="clear" w:color="auto" w:fill="FFFFFF"/>
            <w:vAlign w:val="center"/>
          </w:tcPr>
          <w:p w14:paraId="1E0021C6" w14:textId="7957D553" w:rsidR="001C4D26" w:rsidRPr="004746EA" w:rsidRDefault="00725AA8" w:rsidP="006802B3">
            <w:pPr>
              <w:pStyle w:val="CETBodytext"/>
              <w:jc w:val="center"/>
              <w:rPr>
                <w:sz w:val="16"/>
                <w:szCs w:val="18"/>
                <w:lang w:val="en-GB"/>
              </w:rPr>
            </w:pPr>
            <w:r w:rsidRPr="004746EA">
              <w:rPr>
                <w:sz w:val="16"/>
                <w:szCs w:val="18"/>
                <w:lang w:val="en-GB"/>
              </w:rPr>
              <w:t>0.1</w:t>
            </w:r>
          </w:p>
        </w:tc>
        <w:tc>
          <w:tcPr>
            <w:tcW w:w="1260" w:type="dxa"/>
            <w:shd w:val="clear" w:color="auto" w:fill="FFFFFF"/>
            <w:vAlign w:val="center"/>
          </w:tcPr>
          <w:p w14:paraId="061C5FDB" w14:textId="2C8555E4" w:rsidR="001C4D26" w:rsidRPr="004746EA" w:rsidRDefault="00725AA8" w:rsidP="006802B3">
            <w:pPr>
              <w:pStyle w:val="CETBodytext"/>
              <w:ind w:right="-1"/>
              <w:jc w:val="center"/>
              <w:rPr>
                <w:rFonts w:cs="Arial"/>
                <w:sz w:val="16"/>
                <w:szCs w:val="18"/>
                <w:lang w:val="en-GB"/>
              </w:rPr>
            </w:pPr>
            <w:r w:rsidRPr="004746EA">
              <w:rPr>
                <w:rFonts w:cs="Arial"/>
                <w:sz w:val="16"/>
                <w:szCs w:val="18"/>
                <w:lang w:val="en-GB"/>
              </w:rPr>
              <w:t>0.1</w:t>
            </w:r>
          </w:p>
        </w:tc>
        <w:tc>
          <w:tcPr>
            <w:tcW w:w="1250" w:type="dxa"/>
            <w:shd w:val="clear" w:color="auto" w:fill="FFFFFF"/>
            <w:vAlign w:val="center"/>
          </w:tcPr>
          <w:p w14:paraId="09960D82" w14:textId="7D05E69C" w:rsidR="001C4D26" w:rsidRPr="004746EA" w:rsidRDefault="00725AA8" w:rsidP="006802B3">
            <w:pPr>
              <w:pStyle w:val="CETBodytext"/>
              <w:ind w:right="-1"/>
              <w:jc w:val="center"/>
              <w:rPr>
                <w:rFonts w:cs="Arial"/>
                <w:sz w:val="16"/>
                <w:szCs w:val="18"/>
                <w:lang w:val="en-GB"/>
              </w:rPr>
            </w:pPr>
            <w:r w:rsidRPr="004746EA">
              <w:rPr>
                <w:rFonts w:cs="Arial"/>
                <w:sz w:val="16"/>
                <w:szCs w:val="18"/>
                <w:lang w:val="en-GB"/>
              </w:rPr>
              <w:t>0.1</w:t>
            </w:r>
          </w:p>
        </w:tc>
      </w:tr>
      <w:tr w:rsidR="001C4D26" w:rsidRPr="00B57B36" w14:paraId="4CB1EC88" w14:textId="77777777" w:rsidTr="004746EA">
        <w:trPr>
          <w:trHeight w:val="144"/>
        </w:trPr>
        <w:tc>
          <w:tcPr>
            <w:tcW w:w="3960" w:type="dxa"/>
            <w:shd w:val="clear" w:color="auto" w:fill="FFFFFF"/>
          </w:tcPr>
          <w:p w14:paraId="3E5AB2F6" w14:textId="3C11FFCD" w:rsidR="001C4D26" w:rsidRPr="004746EA" w:rsidRDefault="00C8285D" w:rsidP="00725AA8">
            <w:pPr>
              <w:pStyle w:val="CETBodytext"/>
              <w:jc w:val="center"/>
              <w:rPr>
                <w:sz w:val="16"/>
                <w:szCs w:val="18"/>
                <w:lang w:val="en-GB"/>
              </w:rPr>
            </w:pPr>
            <w:r w:rsidRPr="004746EA">
              <w:rPr>
                <w:sz w:val="16"/>
                <w:szCs w:val="18"/>
                <w:lang w:val="en-GB"/>
              </w:rPr>
              <w:t>Soot y</w:t>
            </w:r>
            <w:r w:rsidR="00E70AE7" w:rsidRPr="004746EA">
              <w:rPr>
                <w:sz w:val="16"/>
                <w:szCs w:val="18"/>
                <w:lang w:val="en-GB"/>
              </w:rPr>
              <w:t>i</w:t>
            </w:r>
            <w:r w:rsidRPr="004746EA">
              <w:rPr>
                <w:sz w:val="16"/>
                <w:szCs w:val="18"/>
                <w:lang w:val="en-GB"/>
              </w:rPr>
              <w:t>eld (</w:t>
            </w:r>
            <w:proofErr w:type="spellStart"/>
            <w:r w:rsidR="001C4D26" w:rsidRPr="004746EA">
              <w:rPr>
                <w:sz w:val="16"/>
                <w:szCs w:val="18"/>
                <w:lang w:val="en-GB"/>
              </w:rPr>
              <w:t>y</w:t>
            </w:r>
            <w:r w:rsidR="001C4D26" w:rsidRPr="004746EA">
              <w:rPr>
                <w:sz w:val="16"/>
                <w:szCs w:val="18"/>
                <w:vertAlign w:val="subscript"/>
                <w:lang w:val="en-GB"/>
              </w:rPr>
              <w:t>soot</w:t>
            </w:r>
            <w:proofErr w:type="spellEnd"/>
            <w:r w:rsidRPr="004746EA">
              <w:rPr>
                <w:sz w:val="16"/>
                <w:szCs w:val="18"/>
                <w:lang w:val="en-GB"/>
              </w:rPr>
              <w:t>)</w:t>
            </w:r>
            <w:r w:rsidR="00172740" w:rsidRPr="004746EA">
              <w:rPr>
                <w:sz w:val="16"/>
                <w:szCs w:val="18"/>
                <w:lang w:val="en-GB"/>
              </w:rPr>
              <w:t xml:space="preserve"> </w:t>
            </w:r>
            <w:r w:rsidR="001C4D26" w:rsidRPr="004746EA">
              <w:rPr>
                <w:sz w:val="16"/>
                <w:szCs w:val="18"/>
                <w:lang w:val="en-GB"/>
              </w:rPr>
              <w:t>[kg/kg]</w:t>
            </w:r>
          </w:p>
        </w:tc>
        <w:tc>
          <w:tcPr>
            <w:tcW w:w="1170" w:type="dxa"/>
            <w:shd w:val="clear" w:color="auto" w:fill="FFFFFF"/>
            <w:vAlign w:val="center"/>
          </w:tcPr>
          <w:p w14:paraId="38904A94" w14:textId="7B45E26E" w:rsidR="001C4D26" w:rsidRPr="004746EA" w:rsidRDefault="001C4D26" w:rsidP="006802B3">
            <w:pPr>
              <w:pStyle w:val="CETBodytext"/>
              <w:jc w:val="center"/>
              <w:rPr>
                <w:sz w:val="16"/>
                <w:szCs w:val="18"/>
                <w:lang w:val="en-GB"/>
              </w:rPr>
            </w:pPr>
            <w:r w:rsidRPr="004746EA">
              <w:rPr>
                <w:sz w:val="16"/>
                <w:szCs w:val="18"/>
                <w:lang w:val="en-GB"/>
              </w:rPr>
              <w:t>0.1</w:t>
            </w:r>
            <w:r w:rsidR="00725AA8" w:rsidRPr="004746EA">
              <w:rPr>
                <w:sz w:val="16"/>
                <w:szCs w:val="18"/>
                <w:lang w:val="en-GB"/>
              </w:rPr>
              <w:t>8</w:t>
            </w:r>
          </w:p>
        </w:tc>
        <w:tc>
          <w:tcPr>
            <w:tcW w:w="1170" w:type="dxa"/>
            <w:shd w:val="clear" w:color="auto" w:fill="FFFFFF"/>
            <w:vAlign w:val="center"/>
          </w:tcPr>
          <w:p w14:paraId="1289E6FC" w14:textId="7A15344F" w:rsidR="001C4D26" w:rsidRPr="004746EA" w:rsidRDefault="00725AA8" w:rsidP="006802B3">
            <w:pPr>
              <w:pStyle w:val="CETBodytext"/>
              <w:jc w:val="center"/>
              <w:rPr>
                <w:sz w:val="16"/>
                <w:szCs w:val="18"/>
                <w:lang w:val="en-GB"/>
              </w:rPr>
            </w:pPr>
            <w:r w:rsidRPr="004746EA">
              <w:rPr>
                <w:sz w:val="16"/>
                <w:szCs w:val="18"/>
                <w:lang w:val="en-GB"/>
              </w:rPr>
              <w:t>0.18</w:t>
            </w:r>
          </w:p>
        </w:tc>
        <w:tc>
          <w:tcPr>
            <w:tcW w:w="1260" w:type="dxa"/>
            <w:shd w:val="clear" w:color="auto" w:fill="FFFFFF"/>
            <w:vAlign w:val="center"/>
          </w:tcPr>
          <w:p w14:paraId="4F6F1582" w14:textId="28B44F6E" w:rsidR="001C4D26" w:rsidRPr="004746EA" w:rsidRDefault="00725AA8" w:rsidP="006802B3">
            <w:pPr>
              <w:pStyle w:val="CETBodytext"/>
              <w:ind w:right="-1"/>
              <w:jc w:val="center"/>
              <w:rPr>
                <w:rFonts w:cs="Arial"/>
                <w:sz w:val="16"/>
                <w:szCs w:val="18"/>
                <w:lang w:val="en-GB"/>
              </w:rPr>
            </w:pPr>
            <w:r w:rsidRPr="004746EA">
              <w:rPr>
                <w:rFonts w:cs="Arial"/>
                <w:sz w:val="16"/>
                <w:szCs w:val="18"/>
                <w:lang w:val="en-GB"/>
              </w:rPr>
              <w:t>0.18</w:t>
            </w:r>
          </w:p>
        </w:tc>
        <w:tc>
          <w:tcPr>
            <w:tcW w:w="1250" w:type="dxa"/>
            <w:shd w:val="clear" w:color="auto" w:fill="FFFFFF"/>
            <w:vAlign w:val="center"/>
          </w:tcPr>
          <w:p w14:paraId="7398EC66" w14:textId="63017E93" w:rsidR="001C4D26" w:rsidRPr="004746EA" w:rsidRDefault="00725AA8" w:rsidP="006802B3">
            <w:pPr>
              <w:pStyle w:val="CETBodytext"/>
              <w:ind w:right="-1"/>
              <w:jc w:val="center"/>
              <w:rPr>
                <w:rFonts w:cs="Arial"/>
                <w:sz w:val="16"/>
                <w:szCs w:val="18"/>
                <w:lang w:val="en-GB"/>
              </w:rPr>
            </w:pPr>
            <w:r w:rsidRPr="004746EA">
              <w:rPr>
                <w:rFonts w:cs="Arial"/>
                <w:sz w:val="16"/>
                <w:szCs w:val="18"/>
                <w:lang w:val="en-GB"/>
              </w:rPr>
              <w:t>0.18</w:t>
            </w:r>
          </w:p>
        </w:tc>
      </w:tr>
      <w:tr w:rsidR="001C4D26" w:rsidRPr="00B57B36" w14:paraId="406BBBA0" w14:textId="77777777" w:rsidTr="004746EA">
        <w:trPr>
          <w:trHeight w:val="144"/>
        </w:trPr>
        <w:tc>
          <w:tcPr>
            <w:tcW w:w="3960" w:type="dxa"/>
            <w:shd w:val="clear" w:color="auto" w:fill="FFFFFF"/>
          </w:tcPr>
          <w:p w14:paraId="60CBF166" w14:textId="27D9F1ED" w:rsidR="001C4D26" w:rsidRPr="004746EA" w:rsidRDefault="00725AA8" w:rsidP="00725AA8">
            <w:pPr>
              <w:pStyle w:val="CETBodytext"/>
              <w:jc w:val="center"/>
              <w:rPr>
                <w:sz w:val="16"/>
                <w:szCs w:val="18"/>
                <w:lang w:val="en-GB"/>
              </w:rPr>
            </w:pPr>
            <w:r w:rsidRPr="004746EA">
              <w:rPr>
                <w:sz w:val="16"/>
                <w:szCs w:val="18"/>
                <w:lang w:val="en-GB"/>
              </w:rPr>
              <w:t>Hydrogen fraction</w:t>
            </w:r>
            <w:r w:rsidR="00172740" w:rsidRPr="004746EA">
              <w:rPr>
                <w:sz w:val="16"/>
                <w:szCs w:val="18"/>
                <w:lang w:val="en-GB"/>
              </w:rPr>
              <w:t xml:space="preserve"> [-]</w:t>
            </w:r>
          </w:p>
        </w:tc>
        <w:tc>
          <w:tcPr>
            <w:tcW w:w="1170" w:type="dxa"/>
            <w:shd w:val="clear" w:color="auto" w:fill="FFFFFF"/>
            <w:vAlign w:val="center"/>
          </w:tcPr>
          <w:p w14:paraId="0AF8C7A6" w14:textId="056F00EB" w:rsidR="001C4D26" w:rsidRPr="004746EA" w:rsidRDefault="00725AA8" w:rsidP="006802B3">
            <w:pPr>
              <w:pStyle w:val="CETBodytext"/>
              <w:jc w:val="center"/>
              <w:rPr>
                <w:sz w:val="16"/>
                <w:szCs w:val="18"/>
                <w:lang w:val="en-GB"/>
              </w:rPr>
            </w:pPr>
            <w:r w:rsidRPr="004746EA">
              <w:rPr>
                <w:sz w:val="16"/>
                <w:szCs w:val="18"/>
                <w:lang w:val="en-GB"/>
              </w:rPr>
              <w:t>0.10</w:t>
            </w:r>
          </w:p>
        </w:tc>
        <w:tc>
          <w:tcPr>
            <w:tcW w:w="1170" w:type="dxa"/>
            <w:shd w:val="clear" w:color="auto" w:fill="FFFFFF"/>
            <w:vAlign w:val="center"/>
          </w:tcPr>
          <w:p w14:paraId="050FECDF" w14:textId="7DBC7A00" w:rsidR="001C4D26" w:rsidRPr="004746EA" w:rsidRDefault="00725AA8" w:rsidP="006802B3">
            <w:pPr>
              <w:pStyle w:val="CETBodytext"/>
              <w:jc w:val="center"/>
              <w:rPr>
                <w:sz w:val="16"/>
                <w:szCs w:val="18"/>
                <w:lang w:val="en-GB"/>
              </w:rPr>
            </w:pPr>
            <w:r w:rsidRPr="004746EA">
              <w:rPr>
                <w:sz w:val="16"/>
                <w:szCs w:val="18"/>
                <w:lang w:val="en-GB"/>
              </w:rPr>
              <w:t>0.10</w:t>
            </w:r>
          </w:p>
        </w:tc>
        <w:tc>
          <w:tcPr>
            <w:tcW w:w="1260" w:type="dxa"/>
            <w:shd w:val="clear" w:color="auto" w:fill="FFFFFF"/>
            <w:vAlign w:val="center"/>
          </w:tcPr>
          <w:p w14:paraId="4EFED804" w14:textId="62CE5A53" w:rsidR="001C4D26" w:rsidRPr="004746EA" w:rsidRDefault="00725AA8" w:rsidP="006802B3">
            <w:pPr>
              <w:pStyle w:val="CETBodytext"/>
              <w:ind w:right="-1"/>
              <w:jc w:val="center"/>
              <w:rPr>
                <w:rFonts w:cs="Arial"/>
                <w:sz w:val="16"/>
                <w:szCs w:val="18"/>
                <w:lang w:val="en-GB"/>
              </w:rPr>
            </w:pPr>
            <w:r w:rsidRPr="004746EA">
              <w:rPr>
                <w:rFonts w:cs="Arial"/>
                <w:sz w:val="16"/>
                <w:szCs w:val="18"/>
                <w:lang w:val="en-GB"/>
              </w:rPr>
              <w:t>0.10</w:t>
            </w:r>
          </w:p>
        </w:tc>
        <w:tc>
          <w:tcPr>
            <w:tcW w:w="1250" w:type="dxa"/>
            <w:shd w:val="clear" w:color="auto" w:fill="FFFFFF"/>
            <w:vAlign w:val="center"/>
          </w:tcPr>
          <w:p w14:paraId="21B1E35A" w14:textId="4CC9FBE2" w:rsidR="001C4D26" w:rsidRPr="004746EA" w:rsidRDefault="00725AA8" w:rsidP="006802B3">
            <w:pPr>
              <w:pStyle w:val="CETBodytext"/>
              <w:ind w:right="-1"/>
              <w:jc w:val="center"/>
              <w:rPr>
                <w:rFonts w:cs="Arial"/>
                <w:sz w:val="16"/>
                <w:szCs w:val="18"/>
                <w:lang w:val="en-GB"/>
              </w:rPr>
            </w:pPr>
            <w:r w:rsidRPr="004746EA">
              <w:rPr>
                <w:rFonts w:cs="Arial"/>
                <w:sz w:val="16"/>
                <w:szCs w:val="18"/>
                <w:lang w:val="en-GB"/>
              </w:rPr>
              <w:t>0.10</w:t>
            </w:r>
          </w:p>
        </w:tc>
      </w:tr>
      <w:tr w:rsidR="00EA33D1" w:rsidRPr="00B57B36" w14:paraId="6589F2DF" w14:textId="77777777" w:rsidTr="004746EA">
        <w:trPr>
          <w:trHeight w:val="144"/>
        </w:trPr>
        <w:tc>
          <w:tcPr>
            <w:tcW w:w="3960" w:type="dxa"/>
            <w:shd w:val="clear" w:color="auto" w:fill="FFFFFF"/>
          </w:tcPr>
          <w:p w14:paraId="28DDCA80" w14:textId="244ECAA8" w:rsidR="00EA33D1" w:rsidRPr="004746EA" w:rsidRDefault="00EA33D1" w:rsidP="00EA33D1">
            <w:pPr>
              <w:pStyle w:val="CETBodytext"/>
              <w:ind w:right="-1"/>
              <w:jc w:val="center"/>
              <w:rPr>
                <w:sz w:val="16"/>
                <w:szCs w:val="18"/>
                <w:lang w:val="en-GB"/>
              </w:rPr>
            </w:pPr>
            <w:r w:rsidRPr="004746EA">
              <w:rPr>
                <w:sz w:val="16"/>
                <w:szCs w:val="18"/>
                <w:lang w:val="en-GB"/>
              </w:rPr>
              <w:t>Radiative fraction</w:t>
            </w:r>
            <w:r w:rsidR="00172740" w:rsidRPr="004746EA">
              <w:rPr>
                <w:sz w:val="16"/>
                <w:szCs w:val="18"/>
                <w:lang w:val="en-GB"/>
              </w:rPr>
              <w:t xml:space="preserve"> [-]</w:t>
            </w:r>
          </w:p>
        </w:tc>
        <w:tc>
          <w:tcPr>
            <w:tcW w:w="1170" w:type="dxa"/>
            <w:shd w:val="clear" w:color="auto" w:fill="FFFFFF"/>
            <w:vAlign w:val="center"/>
          </w:tcPr>
          <w:p w14:paraId="5FAE543C" w14:textId="1009DAC0" w:rsidR="00EA33D1" w:rsidRPr="004746EA" w:rsidRDefault="00EA33D1" w:rsidP="00EA33D1">
            <w:pPr>
              <w:pStyle w:val="CETBodytext"/>
              <w:ind w:right="-1"/>
              <w:jc w:val="center"/>
              <w:rPr>
                <w:rFonts w:cs="Arial"/>
                <w:sz w:val="16"/>
                <w:szCs w:val="18"/>
                <w:lang w:val="en-GB"/>
              </w:rPr>
            </w:pPr>
            <w:r w:rsidRPr="004746EA">
              <w:rPr>
                <w:rFonts w:cs="Arial"/>
                <w:sz w:val="16"/>
                <w:szCs w:val="18"/>
                <w:lang w:val="en-GB"/>
              </w:rPr>
              <w:t>0.35</w:t>
            </w:r>
          </w:p>
        </w:tc>
        <w:tc>
          <w:tcPr>
            <w:tcW w:w="1170" w:type="dxa"/>
            <w:shd w:val="clear" w:color="auto" w:fill="FFFFFF"/>
            <w:vAlign w:val="center"/>
          </w:tcPr>
          <w:p w14:paraId="3DE2636E" w14:textId="2662CF61" w:rsidR="00EA33D1" w:rsidRPr="004746EA" w:rsidRDefault="00EA33D1" w:rsidP="00EA33D1">
            <w:pPr>
              <w:pStyle w:val="CETBodytext"/>
              <w:ind w:right="-1"/>
              <w:jc w:val="center"/>
              <w:rPr>
                <w:rFonts w:cs="Arial"/>
                <w:sz w:val="16"/>
                <w:szCs w:val="18"/>
                <w:lang w:val="en-GB"/>
              </w:rPr>
            </w:pPr>
            <w:r w:rsidRPr="004746EA">
              <w:rPr>
                <w:rFonts w:cs="Arial"/>
                <w:sz w:val="16"/>
                <w:szCs w:val="18"/>
                <w:lang w:val="en-GB"/>
              </w:rPr>
              <w:t>0.35</w:t>
            </w:r>
          </w:p>
        </w:tc>
        <w:tc>
          <w:tcPr>
            <w:tcW w:w="1260" w:type="dxa"/>
            <w:shd w:val="clear" w:color="auto" w:fill="FFFFFF"/>
            <w:vAlign w:val="center"/>
          </w:tcPr>
          <w:p w14:paraId="310D4070" w14:textId="0A956088" w:rsidR="00EA33D1" w:rsidRPr="004746EA" w:rsidRDefault="00EA33D1" w:rsidP="00EA33D1">
            <w:pPr>
              <w:pStyle w:val="CETBodytext"/>
              <w:ind w:right="-1"/>
              <w:jc w:val="center"/>
              <w:rPr>
                <w:rFonts w:cs="Arial"/>
                <w:sz w:val="16"/>
                <w:szCs w:val="18"/>
                <w:lang w:val="en-GB"/>
              </w:rPr>
            </w:pPr>
            <w:r w:rsidRPr="004746EA">
              <w:rPr>
                <w:rFonts w:cs="Arial"/>
                <w:sz w:val="16"/>
                <w:szCs w:val="18"/>
                <w:lang w:val="en-GB"/>
              </w:rPr>
              <w:t>0.35</w:t>
            </w:r>
          </w:p>
        </w:tc>
        <w:tc>
          <w:tcPr>
            <w:tcW w:w="1250" w:type="dxa"/>
            <w:shd w:val="clear" w:color="auto" w:fill="FFFFFF"/>
            <w:vAlign w:val="center"/>
          </w:tcPr>
          <w:p w14:paraId="646DDB7B" w14:textId="14032E6B" w:rsidR="00EA33D1" w:rsidRPr="004746EA" w:rsidRDefault="00EA33D1" w:rsidP="00EA33D1">
            <w:pPr>
              <w:pStyle w:val="CETBodytext"/>
              <w:ind w:right="-1"/>
              <w:jc w:val="center"/>
              <w:rPr>
                <w:rFonts w:cs="Arial"/>
                <w:sz w:val="16"/>
                <w:szCs w:val="18"/>
                <w:lang w:val="en-GB"/>
              </w:rPr>
            </w:pPr>
            <w:r w:rsidRPr="004746EA">
              <w:rPr>
                <w:rFonts w:cs="Arial"/>
                <w:sz w:val="16"/>
                <w:szCs w:val="18"/>
                <w:lang w:val="en-GB"/>
              </w:rPr>
              <w:t>0.35</w:t>
            </w:r>
          </w:p>
        </w:tc>
      </w:tr>
    </w:tbl>
    <w:p w14:paraId="0B3FA251" w14:textId="683DBF0F" w:rsidR="00BF14B2" w:rsidRPr="007A36B1" w:rsidRDefault="00BF14B2" w:rsidP="00BF14B2">
      <w:pPr>
        <w:pStyle w:val="CETheadingx"/>
        <w:numPr>
          <w:ilvl w:val="2"/>
          <w:numId w:val="23"/>
        </w:numPr>
      </w:pPr>
      <w:r>
        <w:t>Numerical domain</w:t>
      </w:r>
    </w:p>
    <w:p w14:paraId="19D087E0" w14:textId="568D5F31" w:rsidR="00257A86" w:rsidRDefault="00257A86" w:rsidP="00257A86">
      <w:pPr>
        <w:pStyle w:val="CETBodytext"/>
        <w:rPr>
          <w:rFonts w:eastAsia="SimSun" w:hAnsi="Liberation Serif" w:cs="Mangal" w:hint="eastAsia"/>
          <w:kern w:val="3"/>
          <w:lang w:eastAsia="zh-CN" w:bidi="hi-IN"/>
        </w:rPr>
      </w:pPr>
      <w:r>
        <w:rPr>
          <w:rFonts w:eastAsia="SimSun" w:hAnsi="Liberation Serif" w:cs="Mangal"/>
          <w:kern w:val="3"/>
          <w:lang w:eastAsia="zh-CN" w:bidi="hi-IN"/>
        </w:rPr>
        <w:t>T</w:t>
      </w:r>
      <w:r w:rsidRPr="001D619C">
        <w:rPr>
          <w:rFonts w:eastAsia="SimSun" w:hAnsi="Liberation Serif" w:cs="Mangal" w:hint="eastAsia"/>
          <w:kern w:val="3"/>
          <w:lang w:eastAsia="zh-CN" w:bidi="hi-IN"/>
        </w:rPr>
        <w:t xml:space="preserve">he </w:t>
      </w:r>
      <w:r w:rsidRPr="0022054A">
        <w:rPr>
          <w:rFonts w:eastAsia="SimSun" w:hAnsi="Liberation Serif" w:cs="Mangal"/>
          <w:kern w:val="3"/>
          <w:lang w:eastAsia="zh-CN" w:bidi="hi-IN"/>
        </w:rPr>
        <w:t xml:space="preserve">numerical </w:t>
      </w:r>
      <w:r w:rsidRPr="0022054A">
        <w:rPr>
          <w:rFonts w:eastAsia="SimSun" w:hAnsi="Liberation Serif" w:cs="Mangal" w:hint="eastAsia"/>
          <w:kern w:val="3"/>
          <w:lang w:eastAsia="zh-CN" w:bidi="hi-IN"/>
        </w:rPr>
        <w:t xml:space="preserve">domain </w:t>
      </w:r>
      <w:r w:rsidRPr="0022054A">
        <w:rPr>
          <w:rFonts w:eastAsia="SimSun" w:hAnsi="Liberation Serif" w:cs="Mangal"/>
          <w:kern w:val="3"/>
          <w:lang w:eastAsia="zh-CN" w:bidi="hi-IN"/>
        </w:rPr>
        <w:t>was set</w:t>
      </w:r>
      <w:r w:rsidRPr="0022054A">
        <w:rPr>
          <w:rFonts w:eastAsia="SimSun" w:hAnsi="Liberation Serif" w:cs="Mangal" w:hint="eastAsia"/>
          <w:kern w:val="3"/>
          <w:lang w:eastAsia="zh-CN" w:bidi="hi-IN"/>
        </w:rPr>
        <w:t xml:space="preserve"> </w:t>
      </w:r>
      <w:r w:rsidRPr="0022054A">
        <w:rPr>
          <w:rFonts w:eastAsia="SimSun" w:hAnsi="Liberation Serif" w:cs="Mangal"/>
          <w:kern w:val="3"/>
          <w:lang w:eastAsia="zh-CN" w:bidi="hi-IN"/>
        </w:rPr>
        <w:t>to 50</w:t>
      </w:r>
      <w:r w:rsidRPr="0022054A">
        <w:rPr>
          <w:rFonts w:eastAsia="SimSun" w:hAnsi="Liberation Serif" w:cs="Mangal" w:hint="eastAsia"/>
          <w:kern w:val="3"/>
          <w:lang w:eastAsia="zh-CN" w:bidi="hi-IN"/>
        </w:rPr>
        <w:t xml:space="preserve"> m (x-direction</w:t>
      </w:r>
      <w:r w:rsidRPr="0022054A">
        <w:rPr>
          <w:rFonts w:eastAsia="SimSun" w:hAnsi="Liberation Serif" w:cs="Mangal"/>
          <w:kern w:val="3"/>
          <w:lang w:eastAsia="zh-CN" w:bidi="hi-IN"/>
        </w:rPr>
        <w:t>, length</w:t>
      </w:r>
      <w:r w:rsidRPr="0022054A">
        <w:rPr>
          <w:rFonts w:eastAsia="SimSun" w:hAnsi="Liberation Serif" w:cs="Mangal" w:hint="eastAsia"/>
          <w:kern w:val="3"/>
          <w:lang w:eastAsia="zh-CN" w:bidi="hi-IN"/>
        </w:rPr>
        <w:t xml:space="preserve">), </w:t>
      </w:r>
      <w:r w:rsidRPr="0022054A">
        <w:rPr>
          <w:rFonts w:eastAsia="SimSun" w:hAnsi="Liberation Serif" w:cs="Mangal"/>
          <w:kern w:val="3"/>
          <w:lang w:eastAsia="zh-CN" w:bidi="hi-IN"/>
        </w:rPr>
        <w:t>50</w:t>
      </w:r>
      <w:r w:rsidRPr="0022054A">
        <w:rPr>
          <w:rFonts w:eastAsia="SimSun" w:hAnsi="Liberation Serif" w:cs="Mangal" w:hint="eastAsia"/>
          <w:kern w:val="3"/>
          <w:lang w:eastAsia="zh-CN" w:bidi="hi-IN"/>
        </w:rPr>
        <w:t xml:space="preserve"> m (y-direction</w:t>
      </w:r>
      <w:r w:rsidRPr="0022054A">
        <w:rPr>
          <w:rFonts w:eastAsia="SimSun" w:hAnsi="Liberation Serif" w:cs="Mangal"/>
          <w:kern w:val="3"/>
          <w:lang w:eastAsia="zh-CN" w:bidi="hi-IN"/>
        </w:rPr>
        <w:t xml:space="preserve">, </w:t>
      </w:r>
      <w:r w:rsidRPr="0022054A">
        <w:rPr>
          <w:rFonts w:eastAsia="SimSun" w:hAnsi="Liberation Serif" w:cs="Mangal" w:hint="eastAsia"/>
          <w:kern w:val="3"/>
          <w:lang w:eastAsia="zh-CN" w:bidi="hi-IN"/>
        </w:rPr>
        <w:t xml:space="preserve">height), and </w:t>
      </w:r>
      <w:r w:rsidR="00D61D91" w:rsidRPr="0022054A">
        <w:rPr>
          <w:rFonts w:eastAsia="SimSun" w:hAnsi="Liberation Serif" w:cs="Mangal"/>
          <w:kern w:val="3"/>
          <w:lang w:eastAsia="zh-CN" w:bidi="hi-IN"/>
        </w:rPr>
        <w:t>40</w:t>
      </w:r>
      <w:r w:rsidRPr="0022054A">
        <w:rPr>
          <w:rFonts w:eastAsia="SimSun" w:hAnsi="Liberation Serif" w:cs="Mangal" w:hint="eastAsia"/>
          <w:kern w:val="3"/>
          <w:lang w:eastAsia="zh-CN" w:bidi="hi-IN"/>
        </w:rPr>
        <w:t xml:space="preserve"> m (z-direction</w:t>
      </w:r>
      <w:r w:rsidRPr="0022054A">
        <w:rPr>
          <w:rFonts w:eastAsia="SimSun" w:hAnsi="Liberation Serif" w:cs="Mangal"/>
          <w:kern w:val="3"/>
          <w:lang w:eastAsia="zh-CN" w:bidi="hi-IN"/>
        </w:rPr>
        <w:t xml:space="preserve">, </w:t>
      </w:r>
      <w:r w:rsidRPr="0022054A">
        <w:rPr>
          <w:rFonts w:eastAsia="SimSun" w:hAnsi="Liberation Serif" w:cs="Mangal" w:hint="eastAsia"/>
          <w:kern w:val="3"/>
          <w:lang w:eastAsia="zh-CN" w:bidi="hi-IN"/>
        </w:rPr>
        <w:t>wide),</w:t>
      </w:r>
      <w:r w:rsidRPr="0022054A">
        <w:rPr>
          <w:rFonts w:eastAsia="SimSun" w:hAnsi="Liberation Serif" w:cs="Mangal"/>
          <w:kern w:val="3"/>
          <w:lang w:eastAsia="zh-CN" w:bidi="hi-IN"/>
        </w:rPr>
        <w:t xml:space="preserve"> and a</w:t>
      </w:r>
      <w:r w:rsidRPr="0022054A">
        <w:rPr>
          <w:color w:val="000000"/>
        </w:rPr>
        <w:t xml:space="preserve"> structured grid with cubic cells employed. The selection of proper </w:t>
      </w:r>
      <w:r w:rsidR="00E4796C">
        <w:t>cell sizes</w:t>
      </w:r>
      <w:r w:rsidR="00F96249">
        <w:t xml:space="preserve"> (</w:t>
      </w:r>
      <w:r w:rsidR="00F96249" w:rsidRPr="0022054A">
        <w:t>δ</w:t>
      </w:r>
      <w:r w:rsidR="00E4796C">
        <w:t xml:space="preserve">) </w:t>
      </w:r>
      <w:r w:rsidRPr="0022054A">
        <w:t xml:space="preserve">was </w:t>
      </w:r>
      <w:r w:rsidR="00F96249">
        <w:t>mad</w:t>
      </w:r>
      <w:r w:rsidRPr="0022054A">
        <w:t>e under</w:t>
      </w:r>
      <w:r w:rsidRPr="0022054A">
        <w:rPr>
          <w:color w:val="000000"/>
        </w:rPr>
        <w:t xml:space="preserve"> the grid resolution criterion suggested in the literature </w:t>
      </w:r>
      <w:r w:rsidRPr="0022054A">
        <w:rPr>
          <w:rStyle w:val="Rimandonotaapidipagina"/>
          <w:rFonts w:ascii="Times New Roman" w:eastAsia="PMingLiU;新細明體"/>
          <w:bCs/>
          <w:lang w:eastAsia="zh-CN"/>
        </w:rPr>
        <w:fldChar w:fldCharType="begin" w:fldLock="1"/>
      </w:r>
      <w:r w:rsidR="00A674DD">
        <w:rPr>
          <w:rFonts w:eastAsia="PMingLiU;新細明體"/>
          <w:bCs/>
          <w:lang w:eastAsia="zh-CN"/>
        </w:rPr>
        <w:instrText>ADDIN CSL_CITATION {"citationItems":[{"id":"ITEM-1","itemData":{"DOI":"10.6028","ISBN":"0333-7308 (Print)\\r0333-7308 (Linking)","PMID":"16910368","abstract":"There is a rapidly accumulating body of knowledge related to the neurobiology of impulsiveness from multidisciplinary neuropsychological and neuroimaging studies. This paper reviews recent research on impulsiveness in the context of neuropsychological theory and research. It has been emphasized that the controversy regarding the results of neuropsychological studies is related to different aspects of impulsiveness. The term \"impulsivity\" is related to more than one anatomical network among several brain regions. Impaired inhibition control, which has cognitive and behavioral dimensions, has a heterogeneous nature. Analysis of performance suggests that impulsivity includes three cognitive mechanisms: \"prepotent inhibition,\" \"interruptive inhibition\" and \"interference control,' each having separate neurological bases. Based on neuropsychological data it has been stated that both the orbitofrontal cortex, dorsolateral prefrontal cortex and anterior cingulate cortex are functionally disturbed among impulsive individuals. Bringing together knowledge from clinical experience, neuroimaging examination and neuropsychological assessment will lead to better and wider understanding of behavioral symptoms in clinical psychiatric practice.","author":[{"dropping-particle":"","family":"McGrattan","given":"Kevin","non-dropping-particle":"","parse-names":false,"suffix":""},{"dropping-particle":"","family":"Hostikka","given":"Simo","non-dropping-particle":"","parse-names":false,"suffix":""},{"dropping-particle":"","family":"McDermott","given":"Randall","non-dropping-particle":"","parse-names":false,"suffix":""},{"dropping-particle":"","family":"Floyd","given":"Jason","non-dropping-particle":"","parse-names":false,"suffix":""},{"dropping-particle":"","family":"Vanella","given":"Marcos","non-dropping-particle":"","parse-names":false,"suffix":""}],"container-title":"NIST Special Publication 1019 Sixth Edition","id":"ITEM-1","issued":{"date-parts":[["2019"]]},"page":"347","title":"Fire Dynamics Simulator User's Guide","type":"article-journal"},"uris":["http://www.mendeley.com/documents/?uuid=5b428fe3-d5df-4edd-89f0-09b5e3253948","http://www.mendeley.com/documents/?uuid=5689a677-209b-4cce-a1a9-d5fc10844d47"]}],"mendeley":{"formattedCitation":"(McGrattan et al., 2019a)","plainTextFormattedCitation":"(McGrattan et al., 2019a)","previouslyFormattedCitation":"(McGrattan et al., 2019a)"},"properties":{"noteIndex":0},"schema":"https://github.com/citation-style-language/schema/raw/master/csl-citation.json"}</w:instrText>
      </w:r>
      <w:r w:rsidRPr="0022054A">
        <w:rPr>
          <w:rStyle w:val="Rimandonotaapidipagina"/>
          <w:rFonts w:ascii="Times New Roman" w:eastAsia="PMingLiU;新細明體"/>
          <w:bCs/>
          <w:lang w:eastAsia="zh-CN"/>
        </w:rPr>
        <w:fldChar w:fldCharType="separate"/>
      </w:r>
      <w:r w:rsidR="007A36B1" w:rsidRPr="0022054A">
        <w:rPr>
          <w:rFonts w:eastAsia="PMingLiU;新細明體"/>
          <w:bCs/>
          <w:noProof/>
          <w:lang w:eastAsia="zh-CN"/>
        </w:rPr>
        <w:t>(McGrattan et al., 2019a)</w:t>
      </w:r>
      <w:r w:rsidRPr="0022054A">
        <w:rPr>
          <w:rStyle w:val="Rimandonotaapidipagina"/>
          <w:rFonts w:ascii="Times New Roman" w:eastAsia="PMingLiU;新細明體"/>
          <w:bCs/>
          <w:lang w:eastAsia="zh-CN"/>
        </w:rPr>
        <w:fldChar w:fldCharType="end"/>
      </w:r>
      <w:r w:rsidRPr="0022054A">
        <w:rPr>
          <w:rFonts w:eastAsia="PMingLiU;新細明體"/>
          <w:bCs/>
          <w:lang w:eastAsia="zh-CN"/>
        </w:rPr>
        <w:t>. More specifically, the characteristic diameter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22054A">
        <w:rPr>
          <w:rFonts w:eastAsia="PMingLiU;新細明體"/>
          <w:bCs/>
          <w:lang w:eastAsia="zh-CN"/>
        </w:rPr>
        <w:t xml:space="preserve">) to </w:t>
      </w:r>
      <w:r w:rsidRPr="0022054A">
        <w:t>δ</w:t>
      </w:r>
      <w:r w:rsidRPr="0022054A">
        <w:rPr>
          <w:rFonts w:eastAsia="PMingLiU;新細明體"/>
          <w:bCs/>
          <w:lang w:eastAsia="zh-CN"/>
        </w:rPr>
        <w:t xml:space="preserve"> ratio was kept at</w:t>
      </w:r>
      <w:r w:rsidRPr="0022054A">
        <w:t xml:space="preserve"> </w:t>
      </w:r>
      <w:r w:rsidR="00D017D5">
        <w:t>12 and</w:t>
      </w:r>
      <w:r w:rsidR="00172740">
        <w:t xml:space="preserve"> </w:t>
      </w:r>
      <w:r w:rsidR="00D61D91" w:rsidRPr="0022054A">
        <w:t>1</w:t>
      </w:r>
      <w:r w:rsidR="00D017D5">
        <w:t>3 in the cases of slow and ultrafast fires respectively,</w:t>
      </w:r>
      <w:r w:rsidRPr="0022054A">
        <w:t xml:space="preserve"> to guarantee </w:t>
      </w:r>
      <w:r w:rsidR="00D61D91" w:rsidRPr="0022054A">
        <w:t>a medium</w:t>
      </w:r>
      <w:r w:rsidRPr="0022054A">
        <w:t xml:space="preserve"> meshes</w:t>
      </w:r>
      <w:r w:rsidR="00D61D91" w:rsidRPr="0022054A">
        <w:t xml:space="preserve"> and an affordable computational time</w:t>
      </w:r>
      <w:r w:rsidRPr="0022054A">
        <w:t xml:space="preserve">. Indeed, the FDS User Guide </w:t>
      </w:r>
      <w:r w:rsidRPr="0022054A">
        <w:rPr>
          <w:rStyle w:val="Rimandonotaapidipagina"/>
          <w:rFonts w:ascii="Times New Roman"/>
        </w:rPr>
        <w:fldChar w:fldCharType="begin" w:fldLock="1"/>
      </w:r>
      <w:r w:rsidRPr="0022054A">
        <w:instrText>ADDIN CSL_CITATION {"citationItems":[{"id":"ITEM-1","itemData":{"author":[{"dropping-particle":"","family":"United States Nuclear Regulatory Commission","given":"","non-dropping-particle":"","parse-names":false,"suffix":""}],"id":"ITEM-1","issued":{"date-parts":[["2007"]]},"title":"Verification and Validation of Selected Fire Models for Nuclear Power Plant Applications. NUREG 1824","type":"report"},"uris":["http://www.mendeley.com/documents/?uuid=ed696115-2db0-457c-aae6-018aff04c066","http://www.mendeley.com/documents/?uuid=c6fc8c5c-a2e9-4add-8657-6259f1ef4c1d"]}],"mendeley":{"formattedCitation":"(United States Nuclear Regulatory Commission, 2007)","plainTextFormattedCitation":"(United States Nuclear Regulatory Commission, 2007)","previouslyFormattedCitation":"(United States Nuclear Regulatory Commission, 2007)"},"properties":{"noteIndex":0},"schema":"https://github.com/citation-style-language/schema/raw/master/csl-citation.json"}</w:instrText>
      </w:r>
      <w:r w:rsidRPr="0022054A">
        <w:rPr>
          <w:rStyle w:val="Rimandonotaapidipagina"/>
          <w:rFonts w:ascii="Times New Roman"/>
        </w:rPr>
        <w:fldChar w:fldCharType="separate"/>
      </w:r>
      <w:r w:rsidRPr="0022054A">
        <w:rPr>
          <w:noProof/>
        </w:rPr>
        <w:t>(United States Nuclear Regulatory Commission, 2007)</w:t>
      </w:r>
      <w:r w:rsidRPr="0022054A">
        <w:rPr>
          <w:rStyle w:val="Rimandonotaapidipagina"/>
          <w:rFonts w:ascii="Times New Roman"/>
        </w:rPr>
        <w:fldChar w:fldCharType="end"/>
      </w:r>
      <w:r w:rsidRPr="0022054A">
        <w:t xml:space="preserve"> has defined a D</w:t>
      </w:r>
      <w:r w:rsidR="00D017D5">
        <w:t>*</w:t>
      </w:r>
      <w:r w:rsidRPr="0022054A">
        <w:t xml:space="preserve"> δ</w:t>
      </w:r>
      <w:r w:rsidRPr="0022054A">
        <w:rPr>
          <w:vertAlign w:val="superscript"/>
        </w:rPr>
        <w:t>-1</w:t>
      </w:r>
      <w:r w:rsidRPr="0022054A">
        <w:t xml:space="preserve"> below 10 representatives for coarse mesh, between 10 and 16 as per medium mesh, and larger than 16 as per fine mesh.</w:t>
      </w:r>
      <w:r w:rsidR="00F715F4">
        <w:t xml:space="preserve"> </w:t>
      </w:r>
      <w:r w:rsidR="00D017D5">
        <w:t xml:space="preserve">In addition to that, a sensitivity analysis was conducted. More details are </w:t>
      </w:r>
      <w:r w:rsidR="00172740">
        <w:t>discussed</w:t>
      </w:r>
      <w:r w:rsidR="00D017D5">
        <w:t xml:space="preserve"> in </w:t>
      </w:r>
      <w:r w:rsidR="00172740">
        <w:t>the</w:t>
      </w:r>
      <w:r w:rsidR="00D017D5">
        <w:t xml:space="preserve"> chapter</w:t>
      </w:r>
      <w:r w:rsidR="00172740">
        <w:t xml:space="preserve"> of results</w:t>
      </w:r>
      <w:r w:rsidR="00D017D5">
        <w:t>.</w:t>
      </w:r>
    </w:p>
    <w:p w14:paraId="65E9A7FA" w14:textId="68054EB4" w:rsidR="00916FA7" w:rsidRDefault="007A36B1" w:rsidP="00916FA7">
      <w:pPr>
        <w:pStyle w:val="CETheadingx"/>
        <w:numPr>
          <w:ilvl w:val="2"/>
          <w:numId w:val="23"/>
        </w:numPr>
      </w:pPr>
      <w:r>
        <w:t>Alarm system</w:t>
      </w:r>
    </w:p>
    <w:p w14:paraId="6126FA6B" w14:textId="66CFDBC7" w:rsidR="00D61D91" w:rsidRPr="007435DC" w:rsidRDefault="00D61D91" w:rsidP="00D61D91">
      <w:pPr>
        <w:pStyle w:val="CETBodytextItalic"/>
        <w:rPr>
          <w:rFonts w:cs="Arial"/>
          <w:i w:val="0"/>
          <w:szCs w:val="18"/>
        </w:rPr>
      </w:pPr>
      <w:r w:rsidRPr="00CB1EAC">
        <w:rPr>
          <w:rFonts w:cs="Arial"/>
          <w:i w:val="0"/>
          <w:szCs w:val="18"/>
        </w:rPr>
        <w:t xml:space="preserve">The detection alarm system employed is the </w:t>
      </w:r>
      <w:proofErr w:type="spellStart"/>
      <w:r w:rsidR="007D343E">
        <w:rPr>
          <w:rFonts w:cs="Arial"/>
          <w:i w:val="0"/>
          <w:szCs w:val="18"/>
        </w:rPr>
        <w:t>Securisens</w:t>
      </w:r>
      <w:proofErr w:type="spellEnd"/>
      <w:r w:rsidR="007D343E">
        <w:rPr>
          <w:rFonts w:cs="Arial"/>
          <w:i w:val="0"/>
          <w:szCs w:val="18"/>
        </w:rPr>
        <w:t xml:space="preserve"> </w:t>
      </w:r>
      <w:r w:rsidRPr="00CB1EAC">
        <w:rPr>
          <w:rFonts w:cs="Arial"/>
          <w:i w:val="0"/>
          <w:szCs w:val="18"/>
        </w:rPr>
        <w:t xml:space="preserve">ADW developed by </w:t>
      </w:r>
      <w:proofErr w:type="spellStart"/>
      <w:r w:rsidRPr="00CB1EAC">
        <w:rPr>
          <w:rFonts w:cs="Arial"/>
          <w:i w:val="0"/>
          <w:szCs w:val="18"/>
        </w:rPr>
        <w:t>Securiton</w:t>
      </w:r>
      <w:proofErr w:type="spellEnd"/>
      <w:r w:rsidRPr="00CB1EAC">
        <w:rPr>
          <w:rFonts w:cs="Arial"/>
          <w:i w:val="0"/>
          <w:szCs w:val="18"/>
        </w:rPr>
        <w:t xml:space="preserve"> </w:t>
      </w:r>
      <w:r w:rsidRPr="00CB1EAC">
        <w:rPr>
          <w:rFonts w:cs="Arial"/>
          <w:i w:val="0"/>
          <w:szCs w:val="18"/>
        </w:rPr>
        <w:fldChar w:fldCharType="begin" w:fldLock="1"/>
      </w:r>
      <w:r w:rsidR="00CB1EAC" w:rsidRPr="00CB1EAC">
        <w:rPr>
          <w:rFonts w:cs="Arial"/>
          <w:i w:val="0"/>
          <w:szCs w:val="18"/>
        </w:rPr>
        <w:instrText>ADDIN CSL_CITATION {"citationItems":[{"id":"ITEM-1","itemData":{"author":[{"dropping-particle":"","family":"Securiton","given":"","non-dropping-particle":"","parse-names":false,"suffix":""}],"id":"ITEM-1","issued":{"date-parts":[["2021"]]},"page":"1-9","title":"ADW 535 data sheet","type":"article"},"uris":["http://www.mendeley.com/documents/?uuid=acffc7a9-b4a0-4725-9f75-56e3acc7233c"]}],"mendeley":{"formattedCitation":"(Securiton, 2021)","plainTextFormattedCitation":"(Securiton, 2021)","previouslyFormattedCitation":"(Securiton, 2021)"},"properties":{"noteIndex":0},"schema":"https://github.com/citation-style-language/schema/raw/master/csl-citation.json"}</w:instrText>
      </w:r>
      <w:r w:rsidRPr="00CB1EAC">
        <w:rPr>
          <w:rFonts w:cs="Arial"/>
          <w:i w:val="0"/>
          <w:szCs w:val="18"/>
        </w:rPr>
        <w:fldChar w:fldCharType="separate"/>
      </w:r>
      <w:r w:rsidRPr="00CB1EAC">
        <w:rPr>
          <w:rFonts w:cs="Arial"/>
          <w:i w:val="0"/>
          <w:noProof/>
          <w:szCs w:val="18"/>
        </w:rPr>
        <w:t>(Securiton, 2021)</w:t>
      </w:r>
      <w:r w:rsidRPr="00CB1EAC">
        <w:rPr>
          <w:rFonts w:cs="Arial"/>
          <w:i w:val="0"/>
          <w:szCs w:val="18"/>
        </w:rPr>
        <w:fldChar w:fldCharType="end"/>
      </w:r>
      <w:r w:rsidRPr="00CB1EAC">
        <w:rPr>
          <w:rFonts w:cs="Arial"/>
          <w:i w:val="0"/>
          <w:szCs w:val="18"/>
        </w:rPr>
        <w:t>. It is a linear heat detector consisting of a capillary tube filled with air installed in the area to be monitored. A pressure sensor constantly analyzes the pressure inside the tube</w:t>
      </w:r>
      <w:r w:rsidR="00F96249">
        <w:rPr>
          <w:rFonts w:cs="Arial"/>
          <w:i w:val="0"/>
          <w:szCs w:val="18"/>
        </w:rPr>
        <w:t>,</w:t>
      </w:r>
      <w:r w:rsidRPr="00CB1EAC">
        <w:rPr>
          <w:rFonts w:cs="Arial"/>
          <w:i w:val="0"/>
          <w:szCs w:val="18"/>
        </w:rPr>
        <w:t xml:space="preserve"> and the processing electronics compare the detected value with the alarm criteria. This system is EN 54-22 approved</w:t>
      </w:r>
      <w:r w:rsidR="007435DC">
        <w:rPr>
          <w:rFonts w:cs="Arial"/>
          <w:i w:val="0"/>
          <w:szCs w:val="18"/>
        </w:rPr>
        <w:t xml:space="preserve"> </w:t>
      </w:r>
      <w:r w:rsidR="007435DC" w:rsidRPr="00CB1EAC">
        <w:rPr>
          <w:rFonts w:cs="Arial"/>
          <w:i w:val="0"/>
          <w:szCs w:val="18"/>
        </w:rPr>
        <w:fldChar w:fldCharType="begin" w:fldLock="1"/>
      </w:r>
      <w:r w:rsidR="00B42DCB">
        <w:rPr>
          <w:rFonts w:cs="Arial"/>
          <w:i w:val="0"/>
          <w:szCs w:val="18"/>
        </w:rPr>
        <w:instrText>ADDIN CSL_CITATION {"citationItems":[{"id":"ITEM-1","itemData":{"author":[{"dropping-particle":"","family":"BSI","given":"","non-dropping-particle":"","parse-names":false,"suffix":""}],"container-title":"BSI Standards Publication","id":"ITEM-1","issue":"1","issued":{"date-parts":[["2013"]]},"title":"BS EN 54-22:2015+A1:2020 BSI, Fire detection and fire alarm systems.","type":"article"},"uris":["http://www.mendeley.com/documents/?uuid=0adfe157-559d-497d-a49f-f6072eca4a25"]}],"mendeley":{"formattedCitation":"(BSI, 2013)","plainTextFormattedCitation":"(BSI, 2013)","previouslyFormattedCitation":"(BSI, 2013)"},"properties":{"noteIndex":0},"schema":"https://github.com/citation-style-language/schema/raw/master/csl-citation.json"}</w:instrText>
      </w:r>
      <w:r w:rsidR="007435DC" w:rsidRPr="00CB1EAC">
        <w:rPr>
          <w:rFonts w:cs="Arial"/>
          <w:i w:val="0"/>
          <w:szCs w:val="18"/>
        </w:rPr>
        <w:fldChar w:fldCharType="separate"/>
      </w:r>
      <w:r w:rsidR="009625AC" w:rsidRPr="009625AC">
        <w:rPr>
          <w:rFonts w:cs="Arial"/>
          <w:i w:val="0"/>
          <w:noProof/>
          <w:szCs w:val="18"/>
        </w:rPr>
        <w:t>(BSI, 2013)</w:t>
      </w:r>
      <w:r w:rsidR="007435DC" w:rsidRPr="00CB1EAC">
        <w:rPr>
          <w:rFonts w:cs="Arial"/>
          <w:i w:val="0"/>
          <w:szCs w:val="18"/>
        </w:rPr>
        <w:fldChar w:fldCharType="end"/>
      </w:r>
      <w:r w:rsidR="007435DC" w:rsidRPr="00CB1EAC">
        <w:rPr>
          <w:rFonts w:cs="Arial"/>
          <w:i w:val="0"/>
          <w:szCs w:val="18"/>
        </w:rPr>
        <w:t xml:space="preserve"> </w:t>
      </w:r>
      <w:r w:rsidRPr="00CB1EAC">
        <w:rPr>
          <w:rFonts w:cs="Arial"/>
          <w:i w:val="0"/>
          <w:szCs w:val="18"/>
        </w:rPr>
        <w:t xml:space="preserve">and </w:t>
      </w:r>
      <w:r w:rsidR="007435DC">
        <w:rPr>
          <w:rFonts w:cs="Arial"/>
          <w:i w:val="0"/>
          <w:szCs w:val="18"/>
        </w:rPr>
        <w:t xml:space="preserve">is </w:t>
      </w:r>
      <w:r w:rsidRPr="00CB1EAC">
        <w:rPr>
          <w:rFonts w:cs="Arial"/>
          <w:i w:val="0"/>
          <w:szCs w:val="18"/>
        </w:rPr>
        <w:t>typical</w:t>
      </w:r>
      <w:r w:rsidR="007435DC">
        <w:rPr>
          <w:rFonts w:cs="Arial"/>
          <w:i w:val="0"/>
          <w:szCs w:val="18"/>
        </w:rPr>
        <w:t>ly</w:t>
      </w:r>
      <w:r w:rsidRPr="00CB1EAC">
        <w:rPr>
          <w:rFonts w:cs="Arial"/>
          <w:i w:val="0"/>
          <w:szCs w:val="18"/>
        </w:rPr>
        <w:t xml:space="preserve"> </w:t>
      </w:r>
      <w:r w:rsidR="007435DC">
        <w:rPr>
          <w:rFonts w:cs="Arial"/>
          <w:i w:val="0"/>
          <w:szCs w:val="18"/>
        </w:rPr>
        <w:t>installed in</w:t>
      </w:r>
      <w:r w:rsidRPr="00CB1EAC">
        <w:rPr>
          <w:rFonts w:cs="Arial"/>
          <w:i w:val="0"/>
          <w:szCs w:val="18"/>
        </w:rPr>
        <w:t xml:space="preserve"> tunnels, underground garages, food and chemical industry, waste processing plants, high</w:t>
      </w:r>
      <w:r w:rsidR="00F96249">
        <w:rPr>
          <w:rFonts w:cs="Arial"/>
          <w:i w:val="0"/>
          <w:szCs w:val="18"/>
        </w:rPr>
        <w:t>-</w:t>
      </w:r>
      <w:r w:rsidRPr="00CB1EAC">
        <w:rPr>
          <w:rFonts w:cs="Arial"/>
          <w:i w:val="0"/>
          <w:szCs w:val="18"/>
        </w:rPr>
        <w:t>temperature applications, etc. For</w:t>
      </w:r>
      <w:r w:rsidR="00F96249">
        <w:rPr>
          <w:rFonts w:cs="Arial"/>
          <w:i w:val="0"/>
          <w:szCs w:val="18"/>
        </w:rPr>
        <w:t xml:space="preserve"> the</w:t>
      </w:r>
      <w:r w:rsidRPr="00CB1EAC">
        <w:rPr>
          <w:rFonts w:cs="Arial"/>
          <w:i w:val="0"/>
          <w:szCs w:val="18"/>
        </w:rPr>
        <w:t xml:space="preserve"> implementation in the software, it has been assimilated to a set of heat detectors positioned following the reference standard</w:t>
      </w:r>
      <w:r w:rsidR="00CB1EAC" w:rsidRPr="00CB1EAC">
        <w:rPr>
          <w:rFonts w:cs="Arial"/>
          <w:i w:val="0"/>
          <w:szCs w:val="18"/>
        </w:rPr>
        <w:t xml:space="preserve"> </w:t>
      </w:r>
      <w:r w:rsidR="00CB1EAC" w:rsidRPr="00CB1EAC">
        <w:rPr>
          <w:rFonts w:eastAsiaTheme="minorEastAsia" w:cs="Arial"/>
          <w:i w:val="0"/>
          <w:szCs w:val="18"/>
        </w:rPr>
        <w:fldChar w:fldCharType="begin" w:fldLock="1"/>
      </w:r>
      <w:r w:rsidR="009625AC">
        <w:rPr>
          <w:rFonts w:eastAsiaTheme="minorEastAsia" w:cs="Arial"/>
          <w:i w:val="0"/>
          <w:szCs w:val="18"/>
        </w:rPr>
        <w:instrText>ADDIN CSL_CITATION {"citationItems":[{"id":"ITEM-1","itemData":{"author":[{"dropping-particle":"","family":"UNI","given":"","non-dropping-particle":"","parse-names":false,"suffix":""}],"id":"ITEM-1","issued":{"date-parts":[["2013"]]},"title":"UNI 9795:2013, Stemi fissi automatici di rivelazione e di segnalazione allarme d'incendio - Progettazione, installazione ed esercizio.","type":"article"},"uris":["http://www.mendeley.com/documents/?uuid=5b158799-b19a-49ff-a815-f108f8161fe2"]}],"mendeley":{"formattedCitation":"(UNI, 2013)","plainTextFormattedCitation":"(UNI, 2013)","previouslyFormattedCitation":"(UNI, 2013)"},"properties":{"noteIndex":0},"schema":"https://github.com/citation-style-language/schema/raw/master/csl-citation.json"}</w:instrText>
      </w:r>
      <w:r w:rsidR="00CB1EAC" w:rsidRPr="00CB1EAC">
        <w:rPr>
          <w:rFonts w:eastAsiaTheme="minorEastAsia" w:cs="Arial"/>
          <w:i w:val="0"/>
          <w:szCs w:val="18"/>
        </w:rPr>
        <w:fldChar w:fldCharType="separate"/>
      </w:r>
      <w:r w:rsidR="009625AC" w:rsidRPr="009625AC">
        <w:rPr>
          <w:rFonts w:eastAsiaTheme="minorEastAsia" w:cs="Arial"/>
          <w:i w:val="0"/>
          <w:noProof/>
          <w:szCs w:val="18"/>
        </w:rPr>
        <w:t>(UNI, 2013)</w:t>
      </w:r>
      <w:r w:rsidR="00CB1EAC" w:rsidRPr="00CB1EAC">
        <w:rPr>
          <w:rFonts w:eastAsiaTheme="minorEastAsia" w:cs="Arial"/>
          <w:i w:val="0"/>
          <w:szCs w:val="18"/>
        </w:rPr>
        <w:fldChar w:fldCharType="end"/>
      </w:r>
      <w:r w:rsidRPr="00CB1EAC">
        <w:rPr>
          <w:rFonts w:cs="Arial"/>
          <w:i w:val="0"/>
          <w:szCs w:val="18"/>
        </w:rPr>
        <w:t>.</w:t>
      </w:r>
      <w:r w:rsidR="007435DC">
        <w:rPr>
          <w:rFonts w:cs="Arial"/>
          <w:i w:val="0"/>
          <w:szCs w:val="18"/>
        </w:rPr>
        <w:t xml:space="preserve"> </w:t>
      </w:r>
      <w:r w:rsidR="00F96249">
        <w:rPr>
          <w:rFonts w:cs="Arial"/>
          <w:i w:val="0"/>
          <w:szCs w:val="18"/>
        </w:rPr>
        <w:t>Considering</w:t>
      </w:r>
      <w:r w:rsidR="009625AC">
        <w:rPr>
          <w:rFonts w:cs="Arial"/>
          <w:i w:val="0"/>
          <w:szCs w:val="18"/>
        </w:rPr>
        <w:t xml:space="preserve"> the monitoring area of </w:t>
      </w:r>
      <w:r w:rsidR="006D6338">
        <w:rPr>
          <w:rFonts w:cs="Arial"/>
          <w:i w:val="0"/>
          <w:szCs w:val="18"/>
        </w:rPr>
        <w:t>the present</w:t>
      </w:r>
      <w:r w:rsidR="009625AC">
        <w:rPr>
          <w:rFonts w:cs="Arial"/>
          <w:i w:val="0"/>
          <w:szCs w:val="18"/>
        </w:rPr>
        <w:t xml:space="preserve"> work</w:t>
      </w:r>
      <w:r w:rsidR="006D6338">
        <w:rPr>
          <w:rFonts w:cs="Arial"/>
          <w:i w:val="0"/>
          <w:szCs w:val="18"/>
        </w:rPr>
        <w:t>,</w:t>
      </w:r>
      <w:r w:rsidR="009625AC">
        <w:rPr>
          <w:rFonts w:cs="Arial"/>
          <w:i w:val="0"/>
          <w:szCs w:val="18"/>
        </w:rPr>
        <w:t xml:space="preserve"> the </w:t>
      </w:r>
      <w:proofErr w:type="spellStart"/>
      <w:r w:rsidR="009625AC">
        <w:rPr>
          <w:rFonts w:cs="Arial"/>
          <w:i w:val="0"/>
          <w:szCs w:val="18"/>
        </w:rPr>
        <w:t>Securiton</w:t>
      </w:r>
      <w:proofErr w:type="spellEnd"/>
      <w:r w:rsidR="009625AC">
        <w:rPr>
          <w:rFonts w:cs="Arial"/>
          <w:i w:val="0"/>
          <w:szCs w:val="18"/>
        </w:rPr>
        <w:t xml:space="preserve"> software tool </w:t>
      </w:r>
      <w:r w:rsidR="009625AC" w:rsidRPr="009625AC">
        <w:rPr>
          <w:rFonts w:cs="Arial"/>
          <w:i w:val="0"/>
          <w:szCs w:val="18"/>
        </w:rPr>
        <w:t>ADW-</w:t>
      </w:r>
      <w:proofErr w:type="spellStart"/>
      <w:r w:rsidR="009625AC" w:rsidRPr="009625AC">
        <w:rPr>
          <w:rFonts w:cs="Arial"/>
          <w:i w:val="0"/>
          <w:szCs w:val="18"/>
        </w:rPr>
        <w:t>HeatCalc</w:t>
      </w:r>
      <w:proofErr w:type="spellEnd"/>
      <w:r w:rsidR="009625AC" w:rsidRPr="009625AC">
        <w:rPr>
          <w:rFonts w:cs="Arial"/>
          <w:i w:val="0"/>
          <w:szCs w:val="18"/>
        </w:rPr>
        <w:t xml:space="preserve"> </w:t>
      </w:r>
      <w:r w:rsidR="009625AC">
        <w:rPr>
          <w:rFonts w:cs="Arial"/>
          <w:i w:val="0"/>
          <w:szCs w:val="18"/>
        </w:rPr>
        <w:t xml:space="preserve">reports a Class A1 </w:t>
      </w:r>
      <w:r w:rsidR="00E70AE7">
        <w:rPr>
          <w:rFonts w:cs="Arial"/>
          <w:i w:val="0"/>
          <w:szCs w:val="18"/>
        </w:rPr>
        <w:t>behaviour</w:t>
      </w:r>
      <w:r w:rsidR="009625AC">
        <w:rPr>
          <w:rFonts w:cs="Arial"/>
          <w:i w:val="0"/>
          <w:szCs w:val="18"/>
        </w:rPr>
        <w:t xml:space="preserve"> </w:t>
      </w:r>
      <w:r w:rsidR="009625AC">
        <w:rPr>
          <w:rFonts w:cs="Arial"/>
          <w:i w:val="0"/>
          <w:szCs w:val="18"/>
        </w:rPr>
        <w:fldChar w:fldCharType="begin" w:fldLock="1"/>
      </w:r>
      <w:r w:rsidR="00B42DCB">
        <w:rPr>
          <w:rFonts w:cs="Arial"/>
          <w:i w:val="0"/>
          <w:szCs w:val="18"/>
        </w:rPr>
        <w:instrText>ADDIN CSL_CITATION {"citationItems":[{"id":"ITEM-1","itemData":{"author":[{"dropping-particle":"","family":"BSI","given":"","non-dropping-particle":"","parse-names":false,"suffix":""}],"container-title":"BSI Standards Publication","id":"ITEM-1","issue":"1","issued":{"date-parts":[["2013"]]},"title":"BS EN 54-22:2015+A1:2020 BSI, Fire detection and fire alarm systems.","type":"article"},"uris":["http://www.mendeley.com/documents/?uuid=0adfe157-559d-497d-a49f-f6072eca4a25"]}],"mendeley":{"formattedCitation":"(BSI, 2013)","plainTextFormattedCitation":"(BSI, 2013)","previouslyFormattedCitation":"(BSI, 2013)"},"properties":{"noteIndex":0},"schema":"https://github.com/citation-style-language/schema/raw/master/csl-citation.json"}</w:instrText>
      </w:r>
      <w:r w:rsidR="009625AC">
        <w:rPr>
          <w:rFonts w:cs="Arial"/>
          <w:i w:val="0"/>
          <w:szCs w:val="18"/>
        </w:rPr>
        <w:fldChar w:fldCharType="separate"/>
      </w:r>
      <w:r w:rsidR="009625AC" w:rsidRPr="009625AC">
        <w:rPr>
          <w:rFonts w:cs="Arial"/>
          <w:i w:val="0"/>
          <w:noProof/>
          <w:szCs w:val="18"/>
        </w:rPr>
        <w:t>(BSI, 2013)</w:t>
      </w:r>
      <w:r w:rsidR="009625AC">
        <w:rPr>
          <w:rFonts w:cs="Arial"/>
          <w:i w:val="0"/>
          <w:szCs w:val="18"/>
        </w:rPr>
        <w:fldChar w:fldCharType="end"/>
      </w:r>
      <w:r w:rsidR="009625AC">
        <w:rPr>
          <w:rFonts w:cs="Arial"/>
          <w:i w:val="0"/>
          <w:szCs w:val="18"/>
        </w:rPr>
        <w:t>.</w:t>
      </w:r>
      <w:r w:rsidRPr="007435DC">
        <w:rPr>
          <w:rFonts w:cs="Arial"/>
          <w:i w:val="0"/>
          <w:szCs w:val="18"/>
        </w:rPr>
        <w:t xml:space="preserve"> </w:t>
      </w:r>
      <w:r w:rsidR="009625AC">
        <w:rPr>
          <w:rFonts w:cs="Arial"/>
          <w:i w:val="0"/>
          <w:szCs w:val="18"/>
        </w:rPr>
        <w:t xml:space="preserve">For the </w:t>
      </w:r>
      <w:r w:rsidR="00F96249">
        <w:rPr>
          <w:rFonts w:cs="Arial"/>
          <w:i w:val="0"/>
          <w:szCs w:val="18"/>
        </w:rPr>
        <w:t>description of the dynamics of the sensors,</w:t>
      </w:r>
      <w:r w:rsidR="009625AC">
        <w:rPr>
          <w:rFonts w:cs="Arial"/>
          <w:i w:val="0"/>
          <w:szCs w:val="18"/>
        </w:rPr>
        <w:t xml:space="preserve"> it was</w:t>
      </w:r>
      <w:r w:rsidRPr="007435DC">
        <w:rPr>
          <w:rFonts w:cs="Arial"/>
          <w:i w:val="0"/>
          <w:szCs w:val="18"/>
        </w:rPr>
        <w:t xml:space="preserve"> </w:t>
      </w:r>
      <w:r w:rsidR="00F96249">
        <w:rPr>
          <w:rFonts w:cs="Arial"/>
          <w:i w:val="0"/>
          <w:szCs w:val="18"/>
        </w:rPr>
        <w:t>considered</w:t>
      </w:r>
      <w:r w:rsidRPr="007435DC">
        <w:rPr>
          <w:rFonts w:cs="Arial"/>
          <w:i w:val="0"/>
          <w:szCs w:val="18"/>
        </w:rPr>
        <w:t xml:space="preserve"> the following equation</w:t>
      </w:r>
      <w:r w:rsidR="00B4578A">
        <w:rPr>
          <w:rFonts w:cs="Arial"/>
          <w:i w:val="0"/>
          <w:szCs w:val="18"/>
        </w:rPr>
        <w:t xml:space="preserve"> (Equation </w:t>
      </w:r>
      <w:r w:rsidR="00594276">
        <w:rPr>
          <w:rFonts w:cs="Arial"/>
          <w:i w:val="0"/>
          <w:szCs w:val="18"/>
        </w:rPr>
        <w:t>1</w:t>
      </w:r>
      <w:r w:rsidR="00B4578A">
        <w:rPr>
          <w:rFonts w:cs="Arial"/>
          <w:i w:val="0"/>
          <w:szCs w:val="18"/>
        </w:rPr>
        <w:t>)</w:t>
      </w:r>
      <w:r w:rsidRPr="007435DC">
        <w:rPr>
          <w:rFonts w:cs="Arial"/>
          <w:i w:val="0"/>
          <w:szCs w:val="18"/>
        </w:rPr>
        <w:t xml:space="preserve"> </w:t>
      </w:r>
      <w:r w:rsidR="00CB1EAC" w:rsidRPr="007435DC">
        <w:rPr>
          <w:rFonts w:cs="Arial"/>
          <w:i w:val="0"/>
          <w:szCs w:val="18"/>
        </w:rPr>
        <w:fldChar w:fldCharType="begin" w:fldLock="1"/>
      </w:r>
      <w:r w:rsidR="00A674DD">
        <w:rPr>
          <w:rFonts w:cs="Arial"/>
          <w:i w:val="0"/>
          <w:szCs w:val="18"/>
        </w:rPr>
        <w:instrText>ADDIN CSL_CITATION {"citationItems":[{"id":"ITEM-1","itemData":{"DOI":"10.6028","ISBN":"0333-7308 (Print)\\r0333-7308 (Linking)","PMID":"16910368","abstract":"There is a rapidly accumulating body of knowledge related to the neurobiology of impulsiveness from multidisciplinary neuropsychological and neuroimaging studies. This paper reviews recent research on impulsiveness in the context of neuropsychological theory and research. It has been emphasized that the controversy regarding the results of neuropsychological studies is related to different aspects of impulsiveness. The term \"impulsivity\" is related to more than one anatomical network among several brain regions. Impaired inhibition control, which has cognitive and behavioral dimensions, has a heterogeneous nature. Analysis of performance suggests that impulsivity includes three cognitive mechanisms: \"prepotent inhibition,\" \"interruptive inhibition\" and \"interference control,' each having separate neurological bases. Based on neuropsychological data it has been stated that both the orbitofrontal cortex, dorsolateral prefrontal cortex and anterior cingulate cortex are functionally disturbed among impulsive individuals. Bringing together knowledge from clinical experience, neuroimaging examination and neuropsychological assessment will lead to better and wider understanding of behavioral symptoms in clinical psychiatric practice.","author":[{"dropping-particle":"","family":"McGrattan","given":"Kevin","non-dropping-particle":"","parse-names":false,"suffix":""},{"dropping-particle":"","family":"Hostikka","given":"Simo","non-dropping-particle":"","parse-names":false,"suffix":""},{"dropping-particle":"","family":"McDermott","given":"Randall","non-dropping-particle":"","parse-names":false,"suffix":""},{"dropping-particle":"","family":"Floyd","given":"Jason","non-dropping-particle":"","parse-names":false,"suffix":""},{"dropping-particle":"","family":"Vanella","given":"Marcos","non-dropping-particle":"","parse-names":false,"suffix":""}],"container-title":"NIST Special Publication 1019 Sixth Edition","id":"ITEM-1","issued":{"date-parts":[["2019"]]},"page":"347","title":"Fire Dynamics Simulator User's Guide","type":"article-journal"},"uris":["http://www.mendeley.com/documents/?uuid=5b428fe3-d5df-4edd-89f0-09b5e3253948"]}],"mendeley":{"formattedCitation":"(McGrattan et al., 2019a)","plainTextFormattedCitation":"(McGrattan et al., 2019a)","previouslyFormattedCitation":"(McGrattan et al., 2019a)"},"properties":{"noteIndex":0},"schema":"https://github.com/citation-style-language/schema/raw/master/csl-citation.json"}</w:instrText>
      </w:r>
      <w:r w:rsidR="00CB1EAC" w:rsidRPr="007435DC">
        <w:rPr>
          <w:rFonts w:cs="Arial"/>
          <w:i w:val="0"/>
          <w:szCs w:val="18"/>
        </w:rPr>
        <w:fldChar w:fldCharType="separate"/>
      </w:r>
      <w:r w:rsidR="007A36B1" w:rsidRPr="007A36B1">
        <w:rPr>
          <w:rFonts w:cs="Arial"/>
          <w:i w:val="0"/>
          <w:noProof/>
          <w:szCs w:val="18"/>
        </w:rPr>
        <w:t>(McGrattan et al., 2019a)</w:t>
      </w:r>
      <w:r w:rsidR="00CB1EAC" w:rsidRPr="007435DC">
        <w:rPr>
          <w:rFonts w:cs="Arial"/>
          <w:i w:val="0"/>
          <w:szCs w:val="18"/>
        </w:rPr>
        <w:fldChar w:fldCharType="end"/>
      </w:r>
      <w:r w:rsidRPr="007435DC">
        <w:rPr>
          <w:rFonts w:cs="Arial"/>
          <w:i w:val="0"/>
          <w:szCs w:val="18"/>
        </w:rPr>
        <w:t>:</w:t>
      </w:r>
    </w:p>
    <w:p w14:paraId="2E7046D1" w14:textId="14A49840" w:rsidR="007435DC" w:rsidRPr="007435DC" w:rsidRDefault="00CD7CF0" w:rsidP="001D6253">
      <w:pPr>
        <w:pStyle w:val="CETEquation"/>
        <w:tabs>
          <w:tab w:val="clear" w:pos="7100"/>
          <w:tab w:val="left" w:pos="8505"/>
        </w:tabs>
        <w:rPr>
          <w:rFonts w:ascii="Times New Roman" w:eastAsiaTheme="minorEastAsia" w:hAnsi="Times New Roman"/>
        </w:rPr>
      </w:pP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T</m:t>
                </m:r>
              </m:e>
              <m:sub>
                <m:r>
                  <w:rPr>
                    <w:rFonts w:ascii="Cambria Math" w:hAnsi="Cambria Math"/>
                  </w:rPr>
                  <m:t>r</m:t>
                </m:r>
              </m:sub>
            </m:sSub>
          </m:num>
          <m:den>
            <m:r>
              <w:rPr>
                <w:rFonts w:ascii="Cambria Math" w:hAnsi="Cambria Math"/>
              </w:rPr>
              <m:t>dt</m:t>
            </m:r>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u</m:t>
                    </m:r>
                  </m:e>
                </m:d>
              </m:e>
            </m:rad>
          </m:num>
          <m:den>
            <m:r>
              <w:rPr>
                <w:rFonts w:ascii="Cambria Math" w:hAnsi="Cambria Math"/>
              </w:rPr>
              <m:t>RTI</m:t>
            </m:r>
          </m:den>
        </m:f>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d>
      </m:oMath>
      <w:r w:rsidR="007435DC" w:rsidRPr="007435DC">
        <w:tab/>
        <w:t>(</w:t>
      </w:r>
      <w:r w:rsidR="00594276">
        <w:t>1</w:t>
      </w:r>
      <w:r w:rsidR="007435DC" w:rsidRPr="007435DC">
        <w:t>)</w:t>
      </w:r>
    </w:p>
    <w:p w14:paraId="75B11867" w14:textId="1C734000" w:rsidR="000E6B77" w:rsidRDefault="00F16FB4" w:rsidP="00540499">
      <w:pPr>
        <w:pStyle w:val="CETBodytextItalic"/>
        <w:spacing w:after="80"/>
        <w:rPr>
          <w:i w:val="0"/>
        </w:rPr>
      </w:pPr>
      <w:r>
        <w:rPr>
          <w:rFonts w:cs="Arial"/>
          <w:i w:val="0"/>
          <w:szCs w:val="18"/>
          <w:lang w:val="en-US"/>
        </w:rPr>
        <w:t>w</w:t>
      </w:r>
      <w:r w:rsidR="007435DC" w:rsidRPr="007435DC">
        <w:rPr>
          <w:rFonts w:cs="Arial"/>
          <w:i w:val="0"/>
          <w:szCs w:val="18"/>
          <w:lang w:val="en-US"/>
        </w:rPr>
        <w:t xml:space="preserve">here </w:t>
      </w:r>
      <m:oMath>
        <m:sSub>
          <m:sSubPr>
            <m:ctrlPr>
              <w:rPr>
                <w:rFonts w:ascii="Cambria Math" w:hAnsi="Cambria Math" w:cs="Arial"/>
                <w:szCs w:val="18"/>
              </w:rPr>
            </m:ctrlPr>
          </m:sSubPr>
          <m:e>
            <m:r>
              <w:rPr>
                <w:rFonts w:ascii="Cambria Math" w:hAnsi="Cambria Math" w:cs="Arial"/>
                <w:szCs w:val="18"/>
              </w:rPr>
              <m:t>T</m:t>
            </m:r>
          </m:e>
          <m:sub>
            <m:r>
              <w:rPr>
                <w:rFonts w:ascii="Cambria Math" w:hAnsi="Cambria Math" w:cs="Arial"/>
                <w:szCs w:val="18"/>
              </w:rPr>
              <m:t>r</m:t>
            </m:r>
          </m:sub>
        </m:sSub>
      </m:oMath>
      <w:r w:rsidR="007435DC" w:rsidRPr="007435DC">
        <w:rPr>
          <w:rFonts w:eastAsiaTheme="minorEastAsia" w:cs="Arial"/>
          <w:szCs w:val="18"/>
        </w:rPr>
        <w:t xml:space="preserve"> </w:t>
      </w:r>
      <w:r w:rsidR="007435DC" w:rsidRPr="007435DC">
        <w:rPr>
          <w:rFonts w:cs="Arial"/>
          <w:i w:val="0"/>
          <w:szCs w:val="18"/>
          <w:lang w:val="en-US"/>
        </w:rPr>
        <w:t xml:space="preserve">is the detector temperature </w:t>
      </w:r>
      <w:r w:rsidR="007D343E">
        <w:rPr>
          <w:rFonts w:cs="Arial"/>
          <w:i w:val="0"/>
          <w:szCs w:val="18"/>
          <w:lang w:val="en-US"/>
        </w:rPr>
        <w:t>(</w:t>
      </w:r>
      <w:r w:rsidR="007435DC" w:rsidRPr="007435DC">
        <w:rPr>
          <w:rFonts w:cs="Arial"/>
          <w:i w:val="0"/>
          <w:szCs w:val="18"/>
          <w:lang w:val="en-US"/>
        </w:rPr>
        <w:t>°C</w:t>
      </w:r>
      <w:r w:rsidR="007D343E">
        <w:rPr>
          <w:rFonts w:cs="Arial"/>
          <w:i w:val="0"/>
          <w:szCs w:val="18"/>
          <w:lang w:val="en-US"/>
        </w:rPr>
        <w:t>)</w:t>
      </w:r>
      <w:r w:rsidR="007435DC" w:rsidRPr="007435DC">
        <w:rPr>
          <w:rFonts w:cs="Arial"/>
          <w:i w:val="0"/>
          <w:szCs w:val="18"/>
          <w:lang w:val="en-US"/>
        </w:rPr>
        <w:t xml:space="preserve">, </w:t>
      </w:r>
      <w:r w:rsidR="007435DC" w:rsidRPr="006D6338">
        <w:rPr>
          <w:rFonts w:cs="Arial"/>
          <w:iCs/>
          <w:szCs w:val="18"/>
          <w:lang w:val="en-US"/>
        </w:rPr>
        <w:t>u</w:t>
      </w:r>
      <w:r w:rsidR="007435DC" w:rsidRPr="007435DC">
        <w:rPr>
          <w:rFonts w:cs="Arial"/>
          <w:i w:val="0"/>
          <w:szCs w:val="18"/>
          <w:lang w:val="en-US"/>
        </w:rPr>
        <w:t xml:space="preserve"> is the gas velocity </w:t>
      </w:r>
      <w:r w:rsidR="007D343E">
        <w:rPr>
          <w:rFonts w:cs="Arial"/>
          <w:i w:val="0"/>
          <w:szCs w:val="18"/>
          <w:lang w:val="en-US"/>
        </w:rPr>
        <w:t>(</w:t>
      </w:r>
      <w:r w:rsidR="007435DC" w:rsidRPr="007435DC">
        <w:rPr>
          <w:rFonts w:cs="Arial"/>
          <w:i w:val="0"/>
          <w:szCs w:val="18"/>
          <w:lang w:val="en-US"/>
        </w:rPr>
        <w:t>m s</w:t>
      </w:r>
      <w:r w:rsidR="007435DC" w:rsidRPr="007435DC">
        <w:rPr>
          <w:rFonts w:cs="Arial"/>
          <w:i w:val="0"/>
          <w:szCs w:val="18"/>
          <w:vertAlign w:val="superscript"/>
          <w:lang w:val="en-US"/>
        </w:rPr>
        <w:t>-1</w:t>
      </w:r>
      <w:r w:rsidR="007D343E">
        <w:rPr>
          <w:rFonts w:cs="Arial"/>
          <w:i w:val="0"/>
          <w:szCs w:val="18"/>
          <w:lang w:val="en-US"/>
        </w:rPr>
        <w:t xml:space="preserve">) </w:t>
      </w:r>
      <w:r w:rsidR="007435DC" w:rsidRPr="007435DC">
        <w:rPr>
          <w:rFonts w:cs="Arial"/>
          <w:i w:val="0"/>
          <w:szCs w:val="18"/>
          <w:lang w:val="en-US"/>
        </w:rPr>
        <w:t xml:space="preserve">and </w:t>
      </w:r>
      <m:oMath>
        <m:sSub>
          <m:sSubPr>
            <m:ctrlPr>
              <w:rPr>
                <w:rFonts w:ascii="Cambria Math" w:hAnsi="Cambria Math" w:cs="Arial"/>
                <w:szCs w:val="18"/>
              </w:rPr>
            </m:ctrlPr>
          </m:sSubPr>
          <m:e>
            <m:r>
              <w:rPr>
                <w:rFonts w:ascii="Cambria Math" w:hAnsi="Cambria Math" w:cs="Arial"/>
                <w:szCs w:val="18"/>
              </w:rPr>
              <m:t>T</m:t>
            </m:r>
          </m:e>
          <m:sub>
            <m:r>
              <w:rPr>
                <w:rFonts w:ascii="Cambria Math" w:hAnsi="Cambria Math" w:cs="Arial"/>
                <w:szCs w:val="18"/>
              </w:rPr>
              <m:t>g</m:t>
            </m:r>
          </m:sub>
        </m:sSub>
      </m:oMath>
      <w:r w:rsidR="007435DC" w:rsidRPr="007435DC">
        <w:rPr>
          <w:rFonts w:eastAsiaTheme="minorEastAsia" w:cs="Arial"/>
          <w:szCs w:val="18"/>
        </w:rPr>
        <w:t xml:space="preserve"> </w:t>
      </w:r>
      <w:r w:rsidR="007435DC" w:rsidRPr="007435DC">
        <w:rPr>
          <w:rFonts w:cs="Arial"/>
          <w:i w:val="0"/>
          <w:szCs w:val="18"/>
          <w:lang w:val="en-US"/>
        </w:rPr>
        <w:t xml:space="preserve">is the gas temperature </w:t>
      </w:r>
      <w:r w:rsidR="007D343E">
        <w:rPr>
          <w:rFonts w:cs="Arial"/>
          <w:i w:val="0"/>
          <w:szCs w:val="18"/>
          <w:lang w:val="en-US"/>
        </w:rPr>
        <w:t>(</w:t>
      </w:r>
      <w:r w:rsidR="007435DC" w:rsidRPr="007435DC">
        <w:rPr>
          <w:rFonts w:cs="Arial"/>
          <w:i w:val="0"/>
          <w:szCs w:val="18"/>
          <w:lang w:val="en-US"/>
        </w:rPr>
        <w:t>°C</w:t>
      </w:r>
      <w:r w:rsidR="007D343E">
        <w:rPr>
          <w:rFonts w:cs="Arial"/>
          <w:i w:val="0"/>
          <w:szCs w:val="18"/>
          <w:lang w:val="en-US"/>
        </w:rPr>
        <w:t>)</w:t>
      </w:r>
      <w:r w:rsidR="007435DC" w:rsidRPr="007435DC">
        <w:rPr>
          <w:rFonts w:cs="Arial"/>
          <w:i w:val="0"/>
          <w:szCs w:val="18"/>
          <w:lang w:val="en-US"/>
        </w:rPr>
        <w:t>. R</w:t>
      </w:r>
      <w:r>
        <w:rPr>
          <w:rFonts w:cs="Arial"/>
          <w:i w:val="0"/>
          <w:szCs w:val="18"/>
          <w:lang w:val="en-US"/>
        </w:rPr>
        <w:t>TI</w:t>
      </w:r>
      <w:r w:rsidR="007435DC" w:rsidRPr="007435DC">
        <w:rPr>
          <w:rFonts w:cs="Arial"/>
          <w:i w:val="0"/>
          <w:szCs w:val="18"/>
          <w:lang w:val="en-US"/>
        </w:rPr>
        <w:t xml:space="preserve"> or response time index</w:t>
      </w:r>
      <w:r>
        <w:rPr>
          <w:rFonts w:cs="Arial"/>
          <w:i w:val="0"/>
          <w:szCs w:val="18"/>
          <w:lang w:val="en-US"/>
        </w:rPr>
        <w:t xml:space="preserve"> </w:t>
      </w:r>
      <w:r w:rsidR="00E70AE7">
        <w:rPr>
          <w:rFonts w:cs="Arial"/>
          <w:i w:val="0"/>
          <w:szCs w:val="18"/>
          <w:lang w:val="en-US"/>
        </w:rPr>
        <w:t>is</w:t>
      </w:r>
      <w:r w:rsidR="007435DC" w:rsidRPr="007435DC">
        <w:rPr>
          <w:rFonts w:cs="Arial"/>
          <w:i w:val="0"/>
          <w:szCs w:val="18"/>
          <w:lang w:val="en-US"/>
        </w:rPr>
        <w:t xml:space="preserve"> expressed in m</w:t>
      </w:r>
      <w:r w:rsidR="007435DC" w:rsidRPr="00F16FB4">
        <w:rPr>
          <w:rFonts w:cs="Arial"/>
          <w:i w:val="0"/>
          <w:szCs w:val="18"/>
          <w:vertAlign w:val="superscript"/>
          <w:lang w:val="en-US"/>
        </w:rPr>
        <w:t>1/2</w:t>
      </w:r>
      <w:r w:rsidR="007435DC" w:rsidRPr="007435DC">
        <w:rPr>
          <w:rFonts w:cs="Arial"/>
          <w:i w:val="0"/>
          <w:szCs w:val="18"/>
          <w:lang w:val="en-US"/>
        </w:rPr>
        <w:t>s</w:t>
      </w:r>
      <w:r w:rsidR="007435DC" w:rsidRPr="00F16FB4">
        <w:rPr>
          <w:rFonts w:cs="Arial"/>
          <w:i w:val="0"/>
          <w:szCs w:val="18"/>
          <w:vertAlign w:val="superscript"/>
          <w:lang w:val="en-US"/>
        </w:rPr>
        <w:t>1/2</w:t>
      </w:r>
      <w:r w:rsidR="001D6253">
        <w:rPr>
          <w:rFonts w:cs="Arial"/>
          <w:i w:val="0"/>
          <w:szCs w:val="18"/>
          <w:lang w:val="en-US"/>
        </w:rPr>
        <w:t xml:space="preserve"> and </w:t>
      </w:r>
      <w:r w:rsidR="007435DC" w:rsidRPr="007435DC">
        <w:rPr>
          <w:rFonts w:cs="Arial"/>
          <w:i w:val="0"/>
          <w:szCs w:val="18"/>
          <w:lang w:val="en-US"/>
        </w:rPr>
        <w:t xml:space="preserve">represents a measure of the sensitivity of the detection system referred to </w:t>
      </w:r>
      <w:r w:rsidR="006D6338">
        <w:rPr>
          <w:rFonts w:cs="Arial"/>
          <w:i w:val="0"/>
          <w:szCs w:val="18"/>
          <w:lang w:val="en-US"/>
        </w:rPr>
        <w:t xml:space="preserve">as </w:t>
      </w:r>
      <w:r w:rsidR="007435DC" w:rsidRPr="007435DC">
        <w:rPr>
          <w:rFonts w:cs="Arial"/>
          <w:i w:val="0"/>
          <w:szCs w:val="18"/>
          <w:lang w:val="en-US"/>
        </w:rPr>
        <w:t xml:space="preserve">NFPA 72 </w:t>
      </w:r>
      <w:r w:rsidR="007435DC" w:rsidRPr="007435DC">
        <w:rPr>
          <w:rFonts w:eastAsiaTheme="minorEastAsia" w:cs="Arial"/>
          <w:szCs w:val="18"/>
        </w:rPr>
        <w:fldChar w:fldCharType="begin" w:fldLock="1"/>
      </w:r>
      <w:r>
        <w:rPr>
          <w:rFonts w:eastAsiaTheme="minorEastAsia" w:cs="Arial"/>
          <w:szCs w:val="18"/>
        </w:rPr>
        <w:instrText>ADDIN CSL_CITATION {"citationItems":[{"id":"ITEM-1","itemData":{"author":[{"dropping-particle":"","family":"NFPA","given":"","non-dropping-particle":"","parse-names":false,"suffix":""}],"id":"ITEM-1","issued":{"date-parts":[["2019"]]},"title":"NFPA 72, National Fire Alarm and Signaling Code, National Fire Protection Association","type":"article"},"uris":["http://www.mendeley.com/documents/?uuid=b4bdd45e-7743-46c2-948e-d50798053692"]}],"mendeley":{"formattedCitation":"(NFPA, 2019)","plainTextFormattedCitation":"(NFPA, 2019)","previouslyFormattedCitation":"(NFPA, 2019)"},"properties":{"noteIndex":0},"schema":"https://github.com/citation-style-language/schema/raw/master/csl-citation.json"}</w:instrText>
      </w:r>
      <w:r w:rsidR="007435DC" w:rsidRPr="007435DC">
        <w:rPr>
          <w:rFonts w:eastAsiaTheme="minorEastAsia" w:cs="Arial"/>
          <w:szCs w:val="18"/>
        </w:rPr>
        <w:fldChar w:fldCharType="separate"/>
      </w:r>
      <w:r w:rsidR="007435DC" w:rsidRPr="007435DC">
        <w:rPr>
          <w:rFonts w:eastAsiaTheme="minorEastAsia" w:cs="Arial"/>
          <w:i w:val="0"/>
          <w:noProof/>
          <w:szCs w:val="18"/>
        </w:rPr>
        <w:t>(NFPA, 2019)</w:t>
      </w:r>
      <w:r w:rsidR="007435DC" w:rsidRPr="007435DC">
        <w:rPr>
          <w:rFonts w:eastAsiaTheme="minorEastAsia" w:cs="Arial"/>
          <w:szCs w:val="18"/>
        </w:rPr>
        <w:fldChar w:fldCharType="end"/>
      </w:r>
      <w:r w:rsidR="007435DC" w:rsidRPr="007435DC">
        <w:rPr>
          <w:rFonts w:eastAsiaTheme="minorEastAsia" w:cs="Arial"/>
          <w:szCs w:val="18"/>
        </w:rPr>
        <w:t xml:space="preserve">. </w:t>
      </w:r>
      <w:r w:rsidR="007435DC" w:rsidRPr="007435DC">
        <w:rPr>
          <w:rFonts w:cs="Arial"/>
          <w:i w:val="0"/>
          <w:szCs w:val="18"/>
          <w:lang w:val="en-US"/>
        </w:rPr>
        <w:t xml:space="preserve">The lower the RTI, the more sensitive </w:t>
      </w:r>
      <w:r>
        <w:rPr>
          <w:rFonts w:cs="Arial"/>
          <w:i w:val="0"/>
          <w:szCs w:val="18"/>
          <w:lang w:val="en-US"/>
        </w:rPr>
        <w:t xml:space="preserve">is </w:t>
      </w:r>
      <w:r w:rsidR="007435DC" w:rsidRPr="007435DC">
        <w:rPr>
          <w:rFonts w:cs="Arial"/>
          <w:i w:val="0"/>
          <w:szCs w:val="18"/>
          <w:lang w:val="en-US"/>
        </w:rPr>
        <w:t xml:space="preserve">the unit </w:t>
      </w:r>
      <w:r>
        <w:rPr>
          <w:rFonts w:cs="Arial"/>
          <w:i w:val="0"/>
          <w:szCs w:val="18"/>
          <w:lang w:val="en-US"/>
        </w:rPr>
        <w:t xml:space="preserve">in the fire </w:t>
      </w:r>
      <w:r w:rsidR="007435DC" w:rsidRPr="007435DC">
        <w:rPr>
          <w:rFonts w:cs="Arial"/>
          <w:i w:val="0"/>
          <w:szCs w:val="18"/>
          <w:lang w:val="en-US"/>
        </w:rPr>
        <w:t xml:space="preserve">detection </w:t>
      </w:r>
      <w:r>
        <w:rPr>
          <w:rFonts w:cs="Arial"/>
          <w:i w:val="0"/>
          <w:szCs w:val="18"/>
          <w:lang w:val="en-US"/>
        </w:rPr>
        <w:t xml:space="preserve">process </w:t>
      </w:r>
      <w:r w:rsidR="007435DC" w:rsidRPr="007435DC">
        <w:rPr>
          <w:rFonts w:eastAsiaTheme="minorEastAsia" w:cs="Arial"/>
          <w:szCs w:val="18"/>
        </w:rPr>
        <w:fldChar w:fldCharType="begin" w:fldLock="1"/>
      </w:r>
      <w:r>
        <w:rPr>
          <w:rFonts w:eastAsiaTheme="minorEastAsia" w:cs="Arial"/>
          <w:szCs w:val="18"/>
        </w:rPr>
        <w:instrText>ADDIN CSL_CITATION {"citationItems":[{"id":"ITEM-1","itemData":{"abstract":"various oc-cupancies are not discussed in this supplement. The occupancy chapters of the Life Safety Code should be consulted for specific requirements. The additional commentary contained in other chapters of this handbook provides a good explanation of the requirements and the philosophy behind their intent. This supplement provides an introduction to the operation of required devices and systems. Designers, owners, installers, and inspectors will find useful information to assist them in choosing among options not specifically addressed within the Code. For example , a choice might need to be made between using photoelectric or ionization smoke detectors, or information might be required on how to reduce the likelihood of false and nuisance alarms.","author":[{"dropping-particle":"","family":"Schifiliti","given":"R.P.","non-dropping-particle":"","parse-names":false,"suffix":""}],"container-title":"National Fire Protection Association (NFPA)","id":"ITEM-1","issued":{"date-parts":[["2006"]]},"page":"1113-1138","title":", Fire Alarm Systems for Life Safety Code Users, Supplement 2","type":"chapter"},"uris":["http://www.mendeley.com/documents/?uuid=72b84a80-df20-4954-a902-2a18b552a2a4"]}],"mendeley":{"formattedCitation":"(Schifiliti, 2006)","plainTextFormattedCitation":"(Schifiliti, 2006)","previouslyFormattedCitation":"(Schifiliti, 2006)"},"properties":{"noteIndex":0},"schema":"https://github.com/citation-style-language/schema/raw/master/csl-citation.json"}</w:instrText>
      </w:r>
      <w:r w:rsidR="007435DC" w:rsidRPr="007435DC">
        <w:rPr>
          <w:rFonts w:eastAsiaTheme="minorEastAsia" w:cs="Arial"/>
          <w:szCs w:val="18"/>
        </w:rPr>
        <w:fldChar w:fldCharType="separate"/>
      </w:r>
      <w:r w:rsidRPr="00F16FB4">
        <w:rPr>
          <w:rFonts w:eastAsiaTheme="minorEastAsia" w:cs="Arial"/>
          <w:i w:val="0"/>
          <w:noProof/>
          <w:szCs w:val="18"/>
        </w:rPr>
        <w:t>(Schifiliti, 2006)</w:t>
      </w:r>
      <w:r w:rsidR="007435DC" w:rsidRPr="007435DC">
        <w:rPr>
          <w:rFonts w:eastAsiaTheme="minorEastAsia" w:cs="Arial"/>
          <w:szCs w:val="18"/>
        </w:rPr>
        <w:fldChar w:fldCharType="end"/>
      </w:r>
      <w:r w:rsidR="00F96249">
        <w:rPr>
          <w:rFonts w:eastAsiaTheme="minorEastAsia" w:cs="Arial"/>
          <w:szCs w:val="18"/>
        </w:rPr>
        <w:t>,</w:t>
      </w:r>
      <w:r>
        <w:rPr>
          <w:rFonts w:cs="Arial"/>
          <w:i w:val="0"/>
          <w:szCs w:val="18"/>
          <w:lang w:val="en-US"/>
        </w:rPr>
        <w:t xml:space="preserve"> and indeed</w:t>
      </w:r>
      <w:r w:rsidR="00F96249">
        <w:rPr>
          <w:rFonts w:cs="Arial"/>
          <w:i w:val="0"/>
          <w:szCs w:val="18"/>
          <w:lang w:val="en-US"/>
        </w:rPr>
        <w:t>,</w:t>
      </w:r>
      <w:r>
        <w:rPr>
          <w:rFonts w:cs="Arial"/>
          <w:i w:val="0"/>
          <w:szCs w:val="18"/>
          <w:lang w:val="en-US"/>
        </w:rPr>
        <w:t xml:space="preserve"> the</w:t>
      </w:r>
      <w:r w:rsidR="007435DC" w:rsidRPr="007435DC">
        <w:rPr>
          <w:rFonts w:cs="Arial"/>
          <w:i w:val="0"/>
          <w:szCs w:val="18"/>
          <w:lang w:val="en-US"/>
        </w:rPr>
        <w:t xml:space="preserve"> RTI can be used to determine how a device responds to a given fire scenario</w:t>
      </w:r>
      <w:r w:rsidR="007435DC" w:rsidRPr="007435DC">
        <w:rPr>
          <w:rFonts w:eastAsiaTheme="minorEastAsia" w:cs="Arial"/>
          <w:szCs w:val="18"/>
        </w:rPr>
        <w:t xml:space="preserve">. </w:t>
      </w:r>
      <w:r w:rsidR="007435DC" w:rsidRPr="007435DC">
        <w:rPr>
          <w:rFonts w:cs="Arial"/>
          <w:i w:val="0"/>
          <w:szCs w:val="18"/>
          <w:lang w:val="en-US"/>
        </w:rPr>
        <w:t xml:space="preserve">Since the ADW 535 is approved by FM </w:t>
      </w:r>
      <w:proofErr w:type="spellStart"/>
      <w:r w:rsidR="007435DC" w:rsidRPr="007435DC">
        <w:rPr>
          <w:rFonts w:cs="Arial"/>
          <w:i w:val="0"/>
          <w:szCs w:val="18"/>
          <w:lang w:val="en-US"/>
        </w:rPr>
        <w:t>Global's</w:t>
      </w:r>
      <w:proofErr w:type="spellEnd"/>
      <w:r w:rsidR="007435DC" w:rsidRPr="007435DC">
        <w:rPr>
          <w:rFonts w:cs="Arial"/>
          <w:i w:val="0"/>
          <w:szCs w:val="18"/>
          <w:lang w:val="en-US"/>
        </w:rPr>
        <w:t xml:space="preserve"> independent testing laboratory according </w:t>
      </w:r>
      <w:r w:rsidR="007435DC" w:rsidRPr="007435DC">
        <w:rPr>
          <w:rFonts w:cs="Arial"/>
          <w:i w:val="0"/>
          <w:szCs w:val="18"/>
          <w:lang w:val="en-US"/>
        </w:rPr>
        <w:lastRenderedPageBreak/>
        <w:t xml:space="preserve">to FM 3210 </w:t>
      </w:r>
      <w:r w:rsidR="007435DC" w:rsidRPr="007435DC">
        <w:rPr>
          <w:rFonts w:eastAsiaTheme="minorEastAsia" w:cs="Arial"/>
          <w:szCs w:val="18"/>
        </w:rPr>
        <w:fldChar w:fldCharType="begin" w:fldLock="1"/>
      </w:r>
      <w:r w:rsidR="00EE2B22">
        <w:rPr>
          <w:rFonts w:eastAsiaTheme="minorEastAsia" w:cs="Arial"/>
          <w:szCs w:val="18"/>
        </w:rPr>
        <w:instrText>ADDIN CSL_CITATION {"citationItems":[{"id":"ITEM-1","itemData":{"author":[{"dropping-particle":"","family":"NFPA","given":"","non-dropping-particle":"","parse-names":false,"suffix":""}],"id":"ITEM-1","issued":{"date-parts":[["2018"]]},"title":"FM 3210: Heat detectors for automatic fire alarm signaling","type":"article"},"uris":["http://www.mendeley.com/documents/?uuid=082eac44-b308-4f1b-bba3-f6594dfa2a2c"]}],"mendeley":{"formattedCitation":"(NFPA, 2018)","plainTextFormattedCitation":"(NFPA, 2018)","previouslyFormattedCitation":"(NFPA, 2018)"},"properties":{"noteIndex":0},"schema":"https://github.com/citation-style-language/schema/raw/master/csl-citation.json"}</w:instrText>
      </w:r>
      <w:r w:rsidR="007435DC" w:rsidRPr="007435DC">
        <w:rPr>
          <w:rFonts w:eastAsiaTheme="minorEastAsia" w:cs="Arial"/>
          <w:szCs w:val="18"/>
        </w:rPr>
        <w:fldChar w:fldCharType="separate"/>
      </w:r>
      <w:r w:rsidRPr="00F16FB4">
        <w:rPr>
          <w:rFonts w:eastAsiaTheme="minorEastAsia" w:cs="Arial"/>
          <w:i w:val="0"/>
          <w:noProof/>
          <w:szCs w:val="18"/>
        </w:rPr>
        <w:t>(NFPA, 2018)</w:t>
      </w:r>
      <w:r w:rsidR="007435DC" w:rsidRPr="007435DC">
        <w:rPr>
          <w:rFonts w:eastAsiaTheme="minorEastAsia" w:cs="Arial"/>
          <w:szCs w:val="18"/>
        </w:rPr>
        <w:fldChar w:fldCharType="end"/>
      </w:r>
      <w:r w:rsidR="007435DC" w:rsidRPr="007435DC">
        <w:rPr>
          <w:rFonts w:cs="Arial"/>
          <w:i w:val="0"/>
          <w:szCs w:val="18"/>
          <w:lang w:val="en-US"/>
        </w:rPr>
        <w:t xml:space="preserve"> and tested as an open space detector with spacing from </w:t>
      </w:r>
      <w:r>
        <w:rPr>
          <w:rFonts w:cs="Arial"/>
          <w:i w:val="0"/>
          <w:szCs w:val="18"/>
          <w:lang w:val="en-US"/>
        </w:rPr>
        <w:t xml:space="preserve">4.5 m </w:t>
      </w:r>
      <w:r w:rsidR="007435DC" w:rsidRPr="007435DC">
        <w:rPr>
          <w:rFonts w:cs="Arial"/>
          <w:i w:val="0"/>
          <w:szCs w:val="18"/>
          <w:lang w:val="en-US"/>
        </w:rPr>
        <w:t xml:space="preserve">to </w:t>
      </w:r>
      <w:r>
        <w:rPr>
          <w:rFonts w:cs="Arial"/>
          <w:i w:val="0"/>
          <w:szCs w:val="18"/>
          <w:lang w:val="en-US"/>
        </w:rPr>
        <w:t>12 m</w:t>
      </w:r>
      <w:r w:rsidR="007435DC" w:rsidRPr="007435DC">
        <w:rPr>
          <w:rFonts w:cs="Arial"/>
          <w:i w:val="0"/>
          <w:szCs w:val="18"/>
          <w:lang w:val="en-US"/>
        </w:rPr>
        <w:t xml:space="preserve"> </w:t>
      </w:r>
      <w:r w:rsidR="007435DC" w:rsidRPr="007435DC">
        <w:rPr>
          <w:rFonts w:eastAsiaTheme="minorEastAsia" w:cs="Arial"/>
          <w:szCs w:val="18"/>
        </w:rPr>
        <w:fldChar w:fldCharType="begin" w:fldLock="1"/>
      </w:r>
      <w:r>
        <w:rPr>
          <w:rFonts w:eastAsiaTheme="minorEastAsia" w:cs="Arial"/>
          <w:szCs w:val="18"/>
        </w:rPr>
        <w:instrText>ADDIN CSL_CITATION {"citationItems":[{"id":"ITEM-1","itemData":{"author":[{"dropping-particle":"","family":"NFPA","given":"","non-dropping-particle":"","parse-names":false,"suffix":""}],"id":"ITEM-1","issued":{"date-parts":[["2019"]]},"title":"NFPA 72, National Fire Alarm and Signaling Code, National Fire Protection Association","type":"article"},"uris":["http://www.mendeley.com/documents/?uuid=b4bdd45e-7743-46c2-948e-d50798053692"]}],"mendeley":{"formattedCitation":"(NFPA, 2019)","plainTextFormattedCitation":"(NFPA, 2019)","previouslyFormattedCitation":"(NFPA, 2019)"},"properties":{"noteIndex":0},"schema":"https://github.com/citation-style-language/schema/raw/master/csl-citation.json"}</w:instrText>
      </w:r>
      <w:r w:rsidR="007435DC" w:rsidRPr="007435DC">
        <w:rPr>
          <w:rFonts w:eastAsiaTheme="minorEastAsia" w:cs="Arial"/>
          <w:szCs w:val="18"/>
        </w:rPr>
        <w:fldChar w:fldCharType="separate"/>
      </w:r>
      <w:r w:rsidR="007435DC" w:rsidRPr="007435DC">
        <w:rPr>
          <w:rFonts w:eastAsiaTheme="minorEastAsia" w:cs="Arial"/>
          <w:i w:val="0"/>
          <w:noProof/>
          <w:szCs w:val="18"/>
        </w:rPr>
        <w:t>(NFPA, 2019)</w:t>
      </w:r>
      <w:r w:rsidR="007435DC" w:rsidRPr="007435DC">
        <w:rPr>
          <w:rFonts w:eastAsiaTheme="minorEastAsia" w:cs="Arial"/>
          <w:szCs w:val="18"/>
        </w:rPr>
        <w:fldChar w:fldCharType="end"/>
      </w:r>
      <w:r w:rsidR="00F96249">
        <w:rPr>
          <w:rFonts w:eastAsiaTheme="minorEastAsia" w:cs="Arial"/>
          <w:szCs w:val="18"/>
        </w:rPr>
        <w:t>,</w:t>
      </w:r>
      <w:r w:rsidR="007435DC" w:rsidRPr="007435DC">
        <w:rPr>
          <w:rFonts w:cs="Arial"/>
          <w:i w:val="0"/>
          <w:szCs w:val="18"/>
          <w:lang w:val="en-US"/>
        </w:rPr>
        <w:t xml:space="preserve"> it is possible to use the tables in Annex B of FM 3210 </w:t>
      </w:r>
      <w:r w:rsidR="007435DC" w:rsidRPr="007435DC">
        <w:rPr>
          <w:rFonts w:eastAsiaTheme="minorEastAsia" w:cs="Arial"/>
          <w:szCs w:val="18"/>
        </w:rPr>
        <w:fldChar w:fldCharType="begin" w:fldLock="1"/>
      </w:r>
      <w:r w:rsidR="00EE2B22">
        <w:rPr>
          <w:rFonts w:eastAsiaTheme="minorEastAsia" w:cs="Arial"/>
          <w:szCs w:val="18"/>
        </w:rPr>
        <w:instrText>ADDIN CSL_CITATION {"citationItems":[{"id":"ITEM-1","itemData":{"author":[{"dropping-particle":"","family":"NFPA","given":"","non-dropping-particle":"","parse-names":false,"suffix":""}],"id":"ITEM-1","issued":{"date-parts":[["2018"]]},"title":"FM 3210: Heat detectors for automatic fire alarm signaling","type":"article"},"uris":["http://www.mendeley.com/documents/?uuid=082eac44-b308-4f1b-bba3-f6594dfa2a2c"]}],"mendeley":{"formattedCitation":"(NFPA, 2018)","plainTextFormattedCitation":"(NFPA, 2018)","previouslyFormattedCitation":"(NFPA, 2018)"},"properties":{"noteIndex":0},"schema":"https://github.com/citation-style-language/schema/raw/master/csl-citation.json"}</w:instrText>
      </w:r>
      <w:r w:rsidR="007435DC" w:rsidRPr="007435DC">
        <w:rPr>
          <w:rFonts w:eastAsiaTheme="minorEastAsia" w:cs="Arial"/>
          <w:szCs w:val="18"/>
        </w:rPr>
        <w:fldChar w:fldCharType="separate"/>
      </w:r>
      <w:r w:rsidRPr="00F16FB4">
        <w:rPr>
          <w:rFonts w:eastAsiaTheme="minorEastAsia" w:cs="Arial"/>
          <w:i w:val="0"/>
          <w:noProof/>
          <w:szCs w:val="18"/>
        </w:rPr>
        <w:t>(NFPA, 2018)</w:t>
      </w:r>
      <w:r w:rsidR="007435DC" w:rsidRPr="007435DC">
        <w:rPr>
          <w:rFonts w:eastAsiaTheme="minorEastAsia" w:cs="Arial"/>
          <w:szCs w:val="18"/>
        </w:rPr>
        <w:fldChar w:fldCharType="end"/>
      </w:r>
      <w:r w:rsidR="007435DC" w:rsidRPr="007435DC">
        <w:rPr>
          <w:rFonts w:eastAsiaTheme="minorEastAsia" w:cs="Arial"/>
          <w:szCs w:val="18"/>
        </w:rPr>
        <w:t xml:space="preserve"> </w:t>
      </w:r>
      <w:r w:rsidR="007435DC" w:rsidRPr="007435DC">
        <w:rPr>
          <w:rFonts w:cs="Arial"/>
          <w:i w:val="0"/>
          <w:szCs w:val="18"/>
          <w:lang w:val="en-US"/>
        </w:rPr>
        <w:t>as a guide for RTI. Therefore, if the ADW appliance is installed considering a spacing (9 x 9) m</w:t>
      </w:r>
      <w:r w:rsidR="007435DC" w:rsidRPr="00F16FB4">
        <w:rPr>
          <w:rFonts w:cs="Arial"/>
          <w:i w:val="0"/>
          <w:szCs w:val="18"/>
          <w:vertAlign w:val="superscript"/>
          <w:lang w:val="en-US"/>
        </w:rPr>
        <w:t>2</w:t>
      </w:r>
      <w:r w:rsidR="007435DC" w:rsidRPr="007435DC">
        <w:rPr>
          <w:rFonts w:cs="Arial"/>
          <w:i w:val="0"/>
          <w:szCs w:val="18"/>
          <w:lang w:val="en-US"/>
        </w:rPr>
        <w:t xml:space="preserve"> </w:t>
      </w:r>
      <w:r w:rsidRPr="00F16FB4">
        <w:rPr>
          <w:rFonts w:eastAsiaTheme="minorEastAsia" w:cs="Arial"/>
          <w:i w:val="0"/>
          <w:szCs w:val="18"/>
        </w:rPr>
        <w:fldChar w:fldCharType="begin" w:fldLock="1"/>
      </w:r>
      <w:r w:rsidR="009625AC">
        <w:rPr>
          <w:rFonts w:eastAsiaTheme="minorEastAsia" w:cs="Arial"/>
          <w:i w:val="0"/>
          <w:szCs w:val="18"/>
        </w:rPr>
        <w:instrText>ADDIN CSL_CITATION {"citationItems":[{"id":"ITEM-1","itemData":{"author":[{"dropping-particle":"","family":"UNI","given":"","non-dropping-particle":"","parse-names":false,"suffix":""}],"id":"ITEM-1","issued":{"date-parts":[["2013"]]},"title":"UNI 9795:2013, Stemi fissi automatici di rivelazione e di segnalazione allarme d'incendio - Progettazione, installazione ed esercizio.","type":"article"},"uris":["http://www.mendeley.com/documents/?uuid=5b158799-b19a-49ff-a815-f108f8161fe2"]}],"mendeley":{"formattedCitation":"(UNI, 2013)","plainTextFormattedCitation":"(UNI, 2013)","previouslyFormattedCitation":"(UNI, 2013)"},"properties":{"noteIndex":0},"schema":"https://github.com/citation-style-language/schema/raw/master/csl-citation.json"}</w:instrText>
      </w:r>
      <w:r w:rsidRPr="00F16FB4">
        <w:rPr>
          <w:rFonts w:eastAsiaTheme="minorEastAsia" w:cs="Arial"/>
          <w:i w:val="0"/>
          <w:szCs w:val="18"/>
        </w:rPr>
        <w:fldChar w:fldCharType="separate"/>
      </w:r>
      <w:r w:rsidR="009625AC" w:rsidRPr="009625AC">
        <w:rPr>
          <w:rFonts w:eastAsiaTheme="minorEastAsia" w:cs="Arial"/>
          <w:i w:val="0"/>
          <w:noProof/>
          <w:szCs w:val="18"/>
        </w:rPr>
        <w:t>(UNI, 2013)</w:t>
      </w:r>
      <w:r w:rsidRPr="00F16FB4">
        <w:rPr>
          <w:rFonts w:eastAsiaTheme="minorEastAsia" w:cs="Arial"/>
          <w:i w:val="0"/>
          <w:szCs w:val="18"/>
        </w:rPr>
        <w:fldChar w:fldCharType="end"/>
      </w:r>
      <w:r>
        <w:rPr>
          <w:rFonts w:eastAsiaTheme="minorEastAsia" w:cs="Arial"/>
          <w:i w:val="0"/>
          <w:szCs w:val="18"/>
        </w:rPr>
        <w:t xml:space="preserve"> and</w:t>
      </w:r>
      <w:r w:rsidR="007435DC" w:rsidRPr="00F16FB4">
        <w:rPr>
          <w:rFonts w:cs="Arial"/>
          <w:i w:val="0"/>
          <w:szCs w:val="18"/>
          <w:lang w:val="en-US"/>
        </w:rPr>
        <w:t xml:space="preserve"> a temperature</w:t>
      </w:r>
      <w:r w:rsidR="007435DC" w:rsidRPr="007435DC">
        <w:rPr>
          <w:rFonts w:cs="Arial"/>
          <w:i w:val="0"/>
          <w:szCs w:val="18"/>
          <w:lang w:val="en-US"/>
        </w:rPr>
        <w:t xml:space="preserve"> rating</w:t>
      </w:r>
      <w:r w:rsidR="00E62F20">
        <w:rPr>
          <w:rFonts w:cs="Arial"/>
          <w:i w:val="0"/>
          <w:szCs w:val="18"/>
          <w:lang w:val="en-US"/>
        </w:rPr>
        <w:t xml:space="preserve"> (T</w:t>
      </w:r>
      <w:r w:rsidR="00E62F20" w:rsidRPr="00E62F20">
        <w:rPr>
          <w:rFonts w:cs="Arial"/>
          <w:i w:val="0"/>
          <w:szCs w:val="18"/>
          <w:vertAlign w:val="subscript"/>
          <w:lang w:val="en-US"/>
        </w:rPr>
        <w:t>r</w:t>
      </w:r>
      <w:r w:rsidR="00E62F20">
        <w:rPr>
          <w:rFonts w:cs="Arial"/>
          <w:i w:val="0"/>
          <w:szCs w:val="18"/>
          <w:lang w:val="en-US"/>
        </w:rPr>
        <w:t>)</w:t>
      </w:r>
      <w:r w:rsidR="007435DC" w:rsidRPr="007435DC">
        <w:rPr>
          <w:rFonts w:cs="Arial"/>
          <w:i w:val="0"/>
          <w:szCs w:val="18"/>
          <w:lang w:val="en-US"/>
        </w:rPr>
        <w:t xml:space="preserve"> of 71 °C</w:t>
      </w:r>
      <w:r>
        <w:rPr>
          <w:rFonts w:cs="Arial"/>
          <w:i w:val="0"/>
          <w:szCs w:val="18"/>
          <w:lang w:val="en-US"/>
        </w:rPr>
        <w:t>,</w:t>
      </w:r>
      <w:r w:rsidR="007435DC" w:rsidRPr="007435DC">
        <w:rPr>
          <w:rFonts w:cs="Arial"/>
          <w:i w:val="0"/>
          <w:szCs w:val="18"/>
          <w:lang w:val="en-US"/>
        </w:rPr>
        <w:t xml:space="preserve"> it is possible to state that the RTI will be lower than 275</w:t>
      </w:r>
      <w:r w:rsidRPr="00F16FB4">
        <w:rPr>
          <w:rFonts w:cs="Arial"/>
          <w:i w:val="0"/>
          <w:szCs w:val="18"/>
          <w:lang w:val="en-US"/>
        </w:rPr>
        <w:t xml:space="preserve"> </w:t>
      </w:r>
      <w:r w:rsidRPr="007435DC">
        <w:rPr>
          <w:rFonts w:cs="Arial"/>
          <w:i w:val="0"/>
          <w:szCs w:val="18"/>
          <w:lang w:val="en-US"/>
        </w:rPr>
        <w:t>m</w:t>
      </w:r>
      <w:r w:rsidRPr="00F16FB4">
        <w:rPr>
          <w:rFonts w:cs="Arial"/>
          <w:i w:val="0"/>
          <w:szCs w:val="18"/>
          <w:vertAlign w:val="superscript"/>
          <w:lang w:val="en-US"/>
        </w:rPr>
        <w:t>1/2</w:t>
      </w:r>
      <w:r w:rsidRPr="007435DC">
        <w:rPr>
          <w:rFonts w:cs="Arial"/>
          <w:i w:val="0"/>
          <w:szCs w:val="18"/>
          <w:lang w:val="en-US"/>
        </w:rPr>
        <w:t>s</w:t>
      </w:r>
      <w:r w:rsidRPr="00F16FB4">
        <w:rPr>
          <w:rFonts w:cs="Arial"/>
          <w:i w:val="0"/>
          <w:szCs w:val="18"/>
          <w:vertAlign w:val="superscript"/>
          <w:lang w:val="en-US"/>
        </w:rPr>
        <w:t>1/2</w:t>
      </w:r>
      <w:r>
        <w:rPr>
          <w:rFonts w:cs="Arial"/>
          <w:i w:val="0"/>
          <w:szCs w:val="18"/>
          <w:lang w:val="en-US"/>
        </w:rPr>
        <w:t xml:space="preserve">. </w:t>
      </w:r>
      <w:r w:rsidR="006D6338">
        <w:rPr>
          <w:rFonts w:cs="Arial"/>
          <w:i w:val="0"/>
          <w:szCs w:val="18"/>
          <w:lang w:val="en-US"/>
        </w:rPr>
        <w:t>Concerning</w:t>
      </w:r>
      <w:r w:rsidR="007435DC" w:rsidRPr="007435DC">
        <w:rPr>
          <w:rFonts w:cs="Arial"/>
          <w:i w:val="0"/>
          <w:szCs w:val="18"/>
          <w:lang w:val="en-US"/>
        </w:rPr>
        <w:t xml:space="preserve"> the aforementioned temperature rating, to reduce the probability of false alarms, it must be at least 11 ° C higher than the maximum expected ambient temperature </w:t>
      </w:r>
      <w:r w:rsidR="007435DC" w:rsidRPr="007435DC">
        <w:rPr>
          <w:rFonts w:eastAsiaTheme="minorEastAsia" w:cs="Arial"/>
          <w:szCs w:val="18"/>
        </w:rPr>
        <w:fldChar w:fldCharType="begin" w:fldLock="1"/>
      </w:r>
      <w:r>
        <w:rPr>
          <w:rFonts w:eastAsiaTheme="minorEastAsia" w:cs="Arial"/>
          <w:szCs w:val="18"/>
        </w:rPr>
        <w:instrText>ADDIN CSL_CITATION {"citationItems":[{"id":"ITEM-1","itemData":{"abstract":"various oc-cupancies are not discussed in this supplement. The occupancy chapters of the Life Safety Code should be consulted for specific requirements. The additional commentary contained in other chapters of this handbook provides a good explanation of the requirements and the philosophy behind their intent. This supplement provides an introduction to the operation of required devices and systems. Designers, owners, installers, and inspectors will find useful information to assist them in choosing among options not specifically addressed within the Code. For example , a choice might need to be made between using photoelectric or ionization smoke detectors, or information might be required on how to reduce the likelihood of false and nuisance alarms.","author":[{"dropping-particle":"","family":"Schifiliti","given":"R.P.","non-dropping-particle":"","parse-names":false,"suffix":""}],"container-title":"National Fire Protection Association (NFPA)","id":"ITEM-1","issued":{"date-parts":[["2006"]]},"page":"1113-1138","title":", Fire Alarm Systems for Life Safety Code Users, Supplement 2","type":"chapter"},"uris":["http://www.mendeley.com/documents/?uuid=72b84a80-df20-4954-a902-2a18b552a2a4"]}],"mendeley":{"formattedCitation":"(Schifiliti, 2006)","plainTextFormattedCitation":"(Schifiliti, 2006)","previouslyFormattedCitation":"(Schifiliti, 2006)"},"properties":{"noteIndex":0},"schema":"https://github.com/citation-style-language/schema/raw/master/csl-citation.json"}</w:instrText>
      </w:r>
      <w:r w:rsidR="007435DC" w:rsidRPr="007435DC">
        <w:rPr>
          <w:rFonts w:eastAsiaTheme="minorEastAsia" w:cs="Arial"/>
          <w:szCs w:val="18"/>
        </w:rPr>
        <w:fldChar w:fldCharType="separate"/>
      </w:r>
      <w:r w:rsidRPr="00F16FB4">
        <w:rPr>
          <w:rFonts w:eastAsiaTheme="minorEastAsia" w:cs="Arial"/>
          <w:i w:val="0"/>
          <w:noProof/>
          <w:szCs w:val="18"/>
        </w:rPr>
        <w:t>(Schifiliti, 2006)</w:t>
      </w:r>
      <w:r w:rsidR="007435DC" w:rsidRPr="007435DC">
        <w:rPr>
          <w:rFonts w:eastAsiaTheme="minorEastAsia" w:cs="Arial"/>
          <w:szCs w:val="18"/>
        </w:rPr>
        <w:fldChar w:fldCharType="end"/>
      </w:r>
      <w:r w:rsidR="007435DC" w:rsidRPr="007435DC">
        <w:rPr>
          <w:rFonts w:eastAsiaTheme="minorEastAsia" w:cs="Arial"/>
          <w:szCs w:val="18"/>
        </w:rPr>
        <w:t>.</w:t>
      </w:r>
      <w:r w:rsidR="00186BE5">
        <w:rPr>
          <w:rFonts w:eastAsiaTheme="minorEastAsia" w:cs="Arial"/>
          <w:szCs w:val="18"/>
        </w:rPr>
        <w:t xml:space="preserve"> </w:t>
      </w:r>
      <w:r w:rsidR="00186BE5">
        <w:rPr>
          <w:i w:val="0"/>
        </w:rPr>
        <w:t>The</w:t>
      </w:r>
      <w:r w:rsidR="00186BE5" w:rsidRPr="00186BE5">
        <w:rPr>
          <w:i w:val="0"/>
        </w:rPr>
        <w:t xml:space="preserve"> detection system, consisting of a network of detectors, </w:t>
      </w:r>
      <w:r w:rsidR="00186BE5">
        <w:rPr>
          <w:i w:val="0"/>
        </w:rPr>
        <w:t xml:space="preserve">was positioned as </w:t>
      </w:r>
      <w:r w:rsidR="00186BE5" w:rsidRPr="00186BE5">
        <w:rPr>
          <w:i w:val="0"/>
        </w:rPr>
        <w:t xml:space="preserve">shown in Figure </w:t>
      </w:r>
      <w:r w:rsidR="001D6253">
        <w:rPr>
          <w:i w:val="0"/>
        </w:rPr>
        <w:t>2</w:t>
      </w:r>
      <w:r w:rsidR="00186BE5" w:rsidRPr="00186BE5">
        <w:rPr>
          <w:i w:val="0"/>
        </w:rPr>
        <w:t>,</w:t>
      </w:r>
      <w:r w:rsidR="00186BE5">
        <w:rPr>
          <w:i w:val="0"/>
        </w:rPr>
        <w:t xml:space="preserve"> following the abovementioned spacing.</w:t>
      </w:r>
      <w:r w:rsidR="00186BE5" w:rsidRPr="00186BE5">
        <w:rPr>
          <w:i w:val="0"/>
        </w:rPr>
        <w:t xml:space="preserve"> The detectors </w:t>
      </w:r>
      <w:r w:rsidR="00186BE5">
        <w:rPr>
          <w:i w:val="0"/>
        </w:rPr>
        <w:t>were considered</w:t>
      </w:r>
      <w:r w:rsidR="00186BE5" w:rsidRPr="00186BE5">
        <w:rPr>
          <w:i w:val="0"/>
        </w:rPr>
        <w:t xml:space="preserve"> installed </w:t>
      </w:r>
      <w:r w:rsidR="00F96249">
        <w:rPr>
          <w:i w:val="0"/>
        </w:rPr>
        <w:t>0.20 m lower than the ceiling.</w:t>
      </w:r>
    </w:p>
    <w:p w14:paraId="70E49DA9" w14:textId="472F3A78" w:rsidR="00594276" w:rsidRDefault="00CE48EC" w:rsidP="00186BE5">
      <w:pPr>
        <w:pStyle w:val="CETBodytextItalic"/>
        <w:rPr>
          <w:i w:val="0"/>
        </w:rPr>
      </w:pPr>
      <w:r>
        <w:rPr>
          <w:i w:val="0"/>
          <w:noProof/>
        </w:rPr>
        <w:drawing>
          <wp:inline distT="0" distB="0" distL="0" distR="0" wp14:anchorId="7E52F81A" wp14:editId="37019EA9">
            <wp:extent cx="4851102" cy="1398814"/>
            <wp:effectExtent l="0" t="0" r="698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7985" cy="1432517"/>
                    </a:xfrm>
                    <a:prstGeom prst="rect">
                      <a:avLst/>
                    </a:prstGeom>
                    <a:noFill/>
                  </pic:spPr>
                </pic:pic>
              </a:graphicData>
            </a:graphic>
          </wp:inline>
        </w:drawing>
      </w:r>
    </w:p>
    <w:p w14:paraId="559CC5D4" w14:textId="58F83E02" w:rsidR="00186BE5" w:rsidRPr="00B57B36" w:rsidRDefault="00186BE5" w:rsidP="00911182">
      <w:pPr>
        <w:pStyle w:val="CETTabletitle"/>
        <w:spacing w:before="80" w:after="120"/>
      </w:pPr>
      <w:r>
        <w:t>Figure</w:t>
      </w:r>
      <w:r w:rsidRPr="00B57B36">
        <w:t xml:space="preserve"> </w:t>
      </w:r>
      <w:r w:rsidR="006802B3">
        <w:t>2</w:t>
      </w:r>
      <w:r w:rsidRPr="00B57B36">
        <w:t xml:space="preserve">: </w:t>
      </w:r>
      <w:r w:rsidR="006802B3">
        <w:t>Positioning, nomenclature</w:t>
      </w:r>
      <w:r w:rsidR="00F96249">
        <w:t>,</w:t>
      </w:r>
      <w:r w:rsidR="006802B3">
        <w:t xml:space="preserve"> and main parameters of the heat detectors employed.</w:t>
      </w:r>
    </w:p>
    <w:p w14:paraId="588B1533" w14:textId="6393C2DD" w:rsidR="00916FA7" w:rsidRDefault="00916FA7" w:rsidP="00540499">
      <w:pPr>
        <w:pStyle w:val="CETHeading1"/>
        <w:numPr>
          <w:ilvl w:val="1"/>
          <w:numId w:val="23"/>
        </w:numPr>
        <w:tabs>
          <w:tab w:val="right" w:pos="7100"/>
        </w:tabs>
        <w:spacing w:before="160"/>
        <w:jc w:val="both"/>
        <w:rPr>
          <w:lang w:val="en-GB"/>
        </w:rPr>
      </w:pPr>
      <w:r>
        <w:rPr>
          <w:lang w:val="en-GB"/>
        </w:rPr>
        <w:t>Results and discussion</w:t>
      </w:r>
    </w:p>
    <w:p w14:paraId="1CC850FB" w14:textId="76C953AC" w:rsidR="00BF6F1C" w:rsidRDefault="00D017D5" w:rsidP="00916FA7">
      <w:pPr>
        <w:pStyle w:val="CETBodytext"/>
        <w:rPr>
          <w:lang w:val="en-GB"/>
        </w:rPr>
      </w:pPr>
      <w:r>
        <w:rPr>
          <w:lang w:val="en-GB"/>
        </w:rPr>
        <w:t>As previously mentioned</w:t>
      </w:r>
      <w:r w:rsidR="00115CAE">
        <w:rPr>
          <w:lang w:val="en-GB"/>
        </w:rPr>
        <w:t>,</w:t>
      </w:r>
      <w:r>
        <w:rPr>
          <w:lang w:val="en-GB"/>
        </w:rPr>
        <w:t xml:space="preserve"> a sensitivity analysis was conducted. More specifically, it was </w:t>
      </w:r>
      <w:proofErr w:type="spellStart"/>
      <w:r>
        <w:rPr>
          <w:lang w:val="en-GB"/>
        </w:rPr>
        <w:t>analyzed</w:t>
      </w:r>
      <w:proofErr w:type="spellEnd"/>
      <w:r>
        <w:rPr>
          <w:lang w:val="en-GB"/>
        </w:rPr>
        <w:t xml:space="preserve"> the temperature registered by sensor 1_1 in the case of TEST 1</w:t>
      </w:r>
      <w:r w:rsidR="00115CAE">
        <w:rPr>
          <w:lang w:val="en-GB"/>
        </w:rPr>
        <w:t>,</w:t>
      </w:r>
      <w:r>
        <w:rPr>
          <w:lang w:val="en-GB"/>
        </w:rPr>
        <w:t xml:space="preserve"> and the </w:t>
      </w:r>
      <w:r w:rsidR="00BF6F1C">
        <w:rPr>
          <w:lang w:val="en-GB"/>
        </w:rPr>
        <w:t xml:space="preserve">maximum </w:t>
      </w:r>
      <w:r>
        <w:rPr>
          <w:lang w:val="en-GB"/>
        </w:rPr>
        <w:t>percentage variation (</w:t>
      </w:r>
      <m:oMath>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i-fine</m:t>
            </m:r>
          </m:sub>
        </m:sSub>
      </m:oMath>
      <w:r>
        <w:rPr>
          <w:lang w:val="en-GB"/>
        </w:rPr>
        <w:t xml:space="preserve">) between the </w:t>
      </w:r>
      <w:proofErr w:type="spellStart"/>
      <w:r>
        <w:rPr>
          <w:lang w:val="en-GB"/>
        </w:rPr>
        <w:t>analyzed</w:t>
      </w:r>
      <w:proofErr w:type="spellEnd"/>
      <w:r w:rsidR="00115CAE">
        <w:rPr>
          <w:lang w:val="en-GB"/>
        </w:rPr>
        <w:t xml:space="preserve"> (i.e., </w:t>
      </w:r>
      <w:proofErr w:type="spellStart"/>
      <w:r w:rsidR="00115CAE" w:rsidRPr="006D6338">
        <w:rPr>
          <w:i/>
          <w:iCs/>
          <w:lang w:val="en-GB"/>
        </w:rPr>
        <w:t>i</w:t>
      </w:r>
      <w:proofErr w:type="spellEnd"/>
      <w:r w:rsidR="00115CAE">
        <w:rPr>
          <w:lang w:val="en-GB"/>
        </w:rPr>
        <w:t>)</w:t>
      </w:r>
      <w:r>
        <w:rPr>
          <w:lang w:val="en-GB"/>
        </w:rPr>
        <w:t xml:space="preserve"> and the most refined</w:t>
      </w:r>
      <w:r w:rsidR="00BF6F1C">
        <w:rPr>
          <w:lang w:val="en-GB"/>
        </w:rPr>
        <w:t xml:space="preserve"> (i.e.,</w:t>
      </w:r>
      <w:r w:rsidR="00BF6F1C" w:rsidRPr="00BF6F1C">
        <w:t xml:space="preserve"> </w:t>
      </w:r>
      <w:r w:rsidR="00115CAE">
        <w:t>fine</w:t>
      </w:r>
      <w:r w:rsidR="00BF6F1C">
        <w:t>)</w:t>
      </w:r>
      <w:r>
        <w:rPr>
          <w:lang w:val="en-GB"/>
        </w:rPr>
        <w:t xml:space="preserve"> mesh</w:t>
      </w:r>
      <w:r w:rsidR="00115CAE">
        <w:rPr>
          <w:lang w:val="en-GB"/>
        </w:rPr>
        <w:t xml:space="preserve"> considered as monitoring parameter</w:t>
      </w:r>
      <w:r w:rsidR="00BF6F1C">
        <w:rPr>
          <w:lang w:val="en-GB"/>
        </w:rPr>
        <w:t>.</w:t>
      </w:r>
    </w:p>
    <w:p w14:paraId="006A2D7D" w14:textId="4B368F4C" w:rsidR="00D017D5" w:rsidRPr="00B57B36" w:rsidRDefault="00D017D5" w:rsidP="006D6338">
      <w:pPr>
        <w:pStyle w:val="CETTabletitle"/>
        <w:spacing w:before="120"/>
      </w:pPr>
      <w:r w:rsidRPr="00B57B36">
        <w:t xml:space="preserve">Table </w:t>
      </w:r>
      <w:r>
        <w:t>3</w:t>
      </w:r>
      <w:r w:rsidRPr="00B57B36">
        <w:t xml:space="preserve">: </w:t>
      </w:r>
      <w:r w:rsidR="00BF6F1C">
        <w:t>Results of the sensitivity analysis conducted.</w:t>
      </w:r>
    </w:p>
    <w:tbl>
      <w:tblPr>
        <w:tblW w:w="883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30"/>
        <w:gridCol w:w="2253"/>
        <w:gridCol w:w="2184"/>
        <w:gridCol w:w="2268"/>
      </w:tblGrid>
      <w:tr w:rsidR="00BF6F1C" w:rsidRPr="00B57B36" w14:paraId="196B2C3D" w14:textId="77777777" w:rsidTr="00BF6F1C">
        <w:trPr>
          <w:trHeight w:val="277"/>
        </w:trPr>
        <w:tc>
          <w:tcPr>
            <w:tcW w:w="2130" w:type="dxa"/>
            <w:tcBorders>
              <w:top w:val="single" w:sz="12" w:space="0" w:color="008000"/>
              <w:bottom w:val="single" w:sz="6" w:space="0" w:color="008000"/>
            </w:tcBorders>
            <w:shd w:val="clear" w:color="auto" w:fill="FFFFFF"/>
          </w:tcPr>
          <w:p w14:paraId="206A674A" w14:textId="68BD804B" w:rsidR="00BF6F1C" w:rsidRPr="0022054A" w:rsidRDefault="00BF6F1C" w:rsidP="00E53CF5">
            <w:pPr>
              <w:pStyle w:val="CETBodytext"/>
              <w:jc w:val="center"/>
            </w:pPr>
            <w:r>
              <w:t>Mesh type</w:t>
            </w:r>
          </w:p>
        </w:tc>
        <w:tc>
          <w:tcPr>
            <w:tcW w:w="2253" w:type="dxa"/>
            <w:tcBorders>
              <w:top w:val="single" w:sz="12" w:space="0" w:color="008000"/>
              <w:bottom w:val="single" w:sz="6" w:space="0" w:color="008000"/>
            </w:tcBorders>
            <w:shd w:val="clear" w:color="auto" w:fill="FFFFFF"/>
          </w:tcPr>
          <w:p w14:paraId="045FC8CA" w14:textId="5240F100" w:rsidR="00BF6F1C" w:rsidRPr="0078493C" w:rsidRDefault="00BF6F1C" w:rsidP="00E53CF5">
            <w:pPr>
              <w:pStyle w:val="CETBodytext"/>
              <w:jc w:val="center"/>
              <w:rPr>
                <w:lang w:val="en-GB"/>
              </w:rPr>
            </w:pPr>
            <w:r w:rsidRPr="0022054A">
              <w:t>δ</w:t>
            </w:r>
            <w:r>
              <w:rPr>
                <w:lang w:val="en-GB"/>
              </w:rPr>
              <w:t xml:space="preserve"> [m]</w:t>
            </w:r>
          </w:p>
        </w:tc>
        <w:tc>
          <w:tcPr>
            <w:tcW w:w="2184" w:type="dxa"/>
            <w:tcBorders>
              <w:top w:val="single" w:sz="12" w:space="0" w:color="008000"/>
              <w:bottom w:val="single" w:sz="6" w:space="0" w:color="008000"/>
            </w:tcBorders>
            <w:shd w:val="clear" w:color="auto" w:fill="FFFFFF"/>
          </w:tcPr>
          <w:p w14:paraId="69A69F95" w14:textId="60B531A8" w:rsidR="00BF6F1C" w:rsidRPr="00B57B36" w:rsidRDefault="00BF6F1C" w:rsidP="00E53CF5">
            <w:pPr>
              <w:pStyle w:val="CETBodytext"/>
              <w:jc w:val="center"/>
              <w:rPr>
                <w:lang w:val="en-GB"/>
              </w:rPr>
            </w:pPr>
            <w:r w:rsidRPr="0022054A">
              <w:t>D</w:t>
            </w:r>
            <w:r>
              <w:t>*</w:t>
            </w:r>
            <w:r w:rsidRPr="0022054A">
              <w:t xml:space="preserve"> δ</w:t>
            </w:r>
            <w:r w:rsidRPr="0022054A">
              <w:rPr>
                <w:vertAlign w:val="superscript"/>
              </w:rPr>
              <w:t>-1</w:t>
            </w:r>
          </w:p>
        </w:tc>
        <w:tc>
          <w:tcPr>
            <w:tcW w:w="2268" w:type="dxa"/>
            <w:tcBorders>
              <w:top w:val="single" w:sz="12" w:space="0" w:color="008000"/>
              <w:bottom w:val="single" w:sz="6" w:space="0" w:color="008000"/>
            </w:tcBorders>
            <w:shd w:val="clear" w:color="auto" w:fill="FFFFFF"/>
          </w:tcPr>
          <w:p w14:paraId="3845174A" w14:textId="63150917" w:rsidR="00BF6F1C" w:rsidRPr="00B57B36" w:rsidRDefault="00CD7CF0" w:rsidP="00E53CF5">
            <w:pPr>
              <w:pStyle w:val="CETBodytext"/>
              <w:jc w:val="center"/>
              <w:rPr>
                <w:lang w:val="en-GB"/>
              </w:rPr>
            </w:pPr>
            <m:oMath>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i-i</m:t>
                  </m:r>
                </m:sub>
              </m:sSub>
            </m:oMath>
            <w:r w:rsidR="00BF6F1C">
              <w:rPr>
                <w:lang w:val="en-GB"/>
              </w:rPr>
              <w:t xml:space="preserve"> [%]</w:t>
            </w:r>
          </w:p>
        </w:tc>
      </w:tr>
      <w:tr w:rsidR="00BF6F1C" w:rsidRPr="00B57B36" w14:paraId="668D95F9" w14:textId="77777777" w:rsidTr="00AD4433">
        <w:trPr>
          <w:trHeight w:val="174"/>
        </w:trPr>
        <w:tc>
          <w:tcPr>
            <w:tcW w:w="2130" w:type="dxa"/>
            <w:shd w:val="clear" w:color="auto" w:fill="FFFFFF"/>
          </w:tcPr>
          <w:p w14:paraId="7CB7D170" w14:textId="56B2D8DD" w:rsidR="00BF6F1C" w:rsidRPr="004746EA" w:rsidRDefault="00BF6F1C" w:rsidP="00E53CF5">
            <w:pPr>
              <w:pStyle w:val="CETBodytext"/>
              <w:jc w:val="center"/>
              <w:rPr>
                <w:sz w:val="16"/>
                <w:szCs w:val="18"/>
                <w:lang w:val="en-GB"/>
              </w:rPr>
            </w:pPr>
            <w:r w:rsidRPr="004746EA">
              <w:rPr>
                <w:sz w:val="16"/>
                <w:szCs w:val="18"/>
                <w:lang w:val="en-GB"/>
              </w:rPr>
              <w:t>Coarse</w:t>
            </w:r>
          </w:p>
        </w:tc>
        <w:tc>
          <w:tcPr>
            <w:tcW w:w="2253" w:type="dxa"/>
            <w:shd w:val="clear" w:color="auto" w:fill="FFFFFF"/>
          </w:tcPr>
          <w:p w14:paraId="3F8CEE03" w14:textId="03981705" w:rsidR="00BF6F1C" w:rsidRPr="004746EA" w:rsidRDefault="00BF6F1C" w:rsidP="00E53CF5">
            <w:pPr>
              <w:pStyle w:val="CETBodytext"/>
              <w:jc w:val="center"/>
              <w:rPr>
                <w:sz w:val="16"/>
                <w:szCs w:val="18"/>
                <w:lang w:val="en-GB"/>
              </w:rPr>
            </w:pPr>
            <w:r w:rsidRPr="004746EA">
              <w:rPr>
                <w:sz w:val="16"/>
                <w:szCs w:val="18"/>
                <w:lang w:val="en-GB"/>
              </w:rPr>
              <w:t>1.000</w:t>
            </w:r>
          </w:p>
        </w:tc>
        <w:tc>
          <w:tcPr>
            <w:tcW w:w="2184" w:type="dxa"/>
            <w:shd w:val="clear" w:color="auto" w:fill="FFFFFF"/>
          </w:tcPr>
          <w:p w14:paraId="1C93B85E" w14:textId="00AE75E8" w:rsidR="00BF6F1C" w:rsidRPr="004746EA" w:rsidRDefault="00BF6F1C" w:rsidP="00E53CF5">
            <w:pPr>
              <w:pStyle w:val="CETBodytext"/>
              <w:jc w:val="center"/>
              <w:rPr>
                <w:sz w:val="16"/>
                <w:szCs w:val="18"/>
                <w:lang w:val="en-GB"/>
              </w:rPr>
            </w:pPr>
            <w:r w:rsidRPr="004746EA">
              <w:rPr>
                <w:sz w:val="16"/>
                <w:szCs w:val="18"/>
                <w:lang w:val="en-GB"/>
              </w:rPr>
              <w:t>3</w:t>
            </w:r>
          </w:p>
        </w:tc>
        <w:tc>
          <w:tcPr>
            <w:tcW w:w="2268" w:type="dxa"/>
            <w:shd w:val="clear" w:color="auto" w:fill="FFFFFF"/>
          </w:tcPr>
          <w:p w14:paraId="6A14A85E" w14:textId="6C55167A" w:rsidR="00BF6F1C" w:rsidRPr="004746EA" w:rsidRDefault="00BF6F1C" w:rsidP="00E53CF5">
            <w:pPr>
              <w:pStyle w:val="CETBodytext"/>
              <w:jc w:val="center"/>
              <w:rPr>
                <w:sz w:val="16"/>
                <w:szCs w:val="18"/>
                <w:lang w:val="en-GB"/>
              </w:rPr>
            </w:pPr>
            <w:r w:rsidRPr="004746EA">
              <w:rPr>
                <w:sz w:val="16"/>
                <w:szCs w:val="18"/>
                <w:lang w:val="en-GB"/>
              </w:rPr>
              <w:t>19</w:t>
            </w:r>
          </w:p>
        </w:tc>
      </w:tr>
      <w:tr w:rsidR="00BF6F1C" w:rsidRPr="00B57B36" w14:paraId="1F4E2297" w14:textId="77777777" w:rsidTr="00AD4433">
        <w:trPr>
          <w:trHeight w:val="180"/>
        </w:trPr>
        <w:tc>
          <w:tcPr>
            <w:tcW w:w="2130" w:type="dxa"/>
            <w:shd w:val="clear" w:color="auto" w:fill="FFFFFF"/>
          </w:tcPr>
          <w:p w14:paraId="73A73C93" w14:textId="36AC3BE0" w:rsidR="00BF6F1C" w:rsidRPr="004746EA" w:rsidRDefault="00BF6F1C" w:rsidP="00E53CF5">
            <w:pPr>
              <w:pStyle w:val="CETBodytext"/>
              <w:jc w:val="center"/>
              <w:rPr>
                <w:sz w:val="16"/>
                <w:szCs w:val="18"/>
                <w:lang w:val="en-GB"/>
              </w:rPr>
            </w:pPr>
            <w:r w:rsidRPr="004746EA">
              <w:rPr>
                <w:sz w:val="16"/>
                <w:szCs w:val="18"/>
                <w:lang w:val="en-GB"/>
              </w:rPr>
              <w:t>Coarse</w:t>
            </w:r>
          </w:p>
        </w:tc>
        <w:tc>
          <w:tcPr>
            <w:tcW w:w="2253" w:type="dxa"/>
            <w:shd w:val="clear" w:color="auto" w:fill="FFFFFF"/>
          </w:tcPr>
          <w:p w14:paraId="60BF5988" w14:textId="75450394" w:rsidR="00BF6F1C" w:rsidRPr="004746EA" w:rsidRDefault="00BF6F1C" w:rsidP="00E53CF5">
            <w:pPr>
              <w:pStyle w:val="CETBodytext"/>
              <w:jc w:val="center"/>
              <w:rPr>
                <w:sz w:val="16"/>
                <w:szCs w:val="18"/>
                <w:lang w:val="en-GB"/>
              </w:rPr>
            </w:pPr>
            <w:r w:rsidRPr="004746EA">
              <w:rPr>
                <w:sz w:val="16"/>
                <w:szCs w:val="18"/>
                <w:lang w:val="en-GB"/>
              </w:rPr>
              <w:t>0.500</w:t>
            </w:r>
          </w:p>
        </w:tc>
        <w:tc>
          <w:tcPr>
            <w:tcW w:w="2184" w:type="dxa"/>
            <w:shd w:val="clear" w:color="auto" w:fill="FFFFFF"/>
          </w:tcPr>
          <w:p w14:paraId="27DA9BB6" w14:textId="3FEE00C6" w:rsidR="00BF6F1C" w:rsidRPr="004746EA" w:rsidRDefault="00BF6F1C" w:rsidP="00E53CF5">
            <w:pPr>
              <w:pStyle w:val="CETBodytext"/>
              <w:jc w:val="center"/>
              <w:rPr>
                <w:sz w:val="16"/>
                <w:szCs w:val="18"/>
                <w:lang w:val="en-GB"/>
              </w:rPr>
            </w:pPr>
            <w:r w:rsidRPr="004746EA">
              <w:rPr>
                <w:sz w:val="16"/>
                <w:szCs w:val="18"/>
                <w:lang w:val="en-GB"/>
              </w:rPr>
              <w:t>6</w:t>
            </w:r>
          </w:p>
        </w:tc>
        <w:tc>
          <w:tcPr>
            <w:tcW w:w="2268" w:type="dxa"/>
            <w:shd w:val="clear" w:color="auto" w:fill="FFFFFF"/>
          </w:tcPr>
          <w:p w14:paraId="08945EC7" w14:textId="174C30A5" w:rsidR="00BF6F1C" w:rsidRPr="004746EA" w:rsidRDefault="00BF6F1C" w:rsidP="00E53CF5">
            <w:pPr>
              <w:pStyle w:val="CETBodytext"/>
              <w:jc w:val="center"/>
              <w:rPr>
                <w:sz w:val="16"/>
                <w:szCs w:val="18"/>
                <w:lang w:val="en-GB"/>
              </w:rPr>
            </w:pPr>
            <w:r w:rsidRPr="004746EA">
              <w:rPr>
                <w:sz w:val="16"/>
                <w:szCs w:val="18"/>
                <w:lang w:val="en-GB"/>
              </w:rPr>
              <w:t>9</w:t>
            </w:r>
          </w:p>
        </w:tc>
      </w:tr>
      <w:tr w:rsidR="00BF6F1C" w:rsidRPr="00B57B36" w14:paraId="484C739E" w14:textId="77777777" w:rsidTr="00BF6F1C">
        <w:trPr>
          <w:trHeight w:val="12"/>
        </w:trPr>
        <w:tc>
          <w:tcPr>
            <w:tcW w:w="2130" w:type="dxa"/>
            <w:shd w:val="clear" w:color="auto" w:fill="FFFFFF"/>
          </w:tcPr>
          <w:p w14:paraId="3EDAC5CE" w14:textId="4A86E9CD"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Medium</w:t>
            </w:r>
          </w:p>
        </w:tc>
        <w:tc>
          <w:tcPr>
            <w:tcW w:w="2253" w:type="dxa"/>
            <w:shd w:val="clear" w:color="auto" w:fill="FFFFFF"/>
          </w:tcPr>
          <w:p w14:paraId="1391C004" w14:textId="3BA18792"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0.250</w:t>
            </w:r>
          </w:p>
        </w:tc>
        <w:tc>
          <w:tcPr>
            <w:tcW w:w="2184" w:type="dxa"/>
            <w:shd w:val="clear" w:color="auto" w:fill="FFFFFF"/>
          </w:tcPr>
          <w:p w14:paraId="59802607" w14:textId="328064F6"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12</w:t>
            </w:r>
          </w:p>
        </w:tc>
        <w:tc>
          <w:tcPr>
            <w:tcW w:w="2268" w:type="dxa"/>
            <w:shd w:val="clear" w:color="auto" w:fill="FFFFFF"/>
          </w:tcPr>
          <w:p w14:paraId="243FCCD0" w14:textId="6D90748D"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6</w:t>
            </w:r>
          </w:p>
        </w:tc>
      </w:tr>
      <w:tr w:rsidR="00BF6F1C" w:rsidRPr="00B57B36" w14:paraId="729B0541" w14:textId="77777777" w:rsidTr="00BF6F1C">
        <w:trPr>
          <w:trHeight w:val="12"/>
        </w:trPr>
        <w:tc>
          <w:tcPr>
            <w:tcW w:w="2130" w:type="dxa"/>
            <w:shd w:val="clear" w:color="auto" w:fill="FFFFFF"/>
          </w:tcPr>
          <w:p w14:paraId="348C8B05" w14:textId="56AA5B25"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Fine</w:t>
            </w:r>
          </w:p>
        </w:tc>
        <w:tc>
          <w:tcPr>
            <w:tcW w:w="2253" w:type="dxa"/>
            <w:shd w:val="clear" w:color="auto" w:fill="FFFFFF"/>
          </w:tcPr>
          <w:p w14:paraId="00C5122E" w14:textId="1C3190CB"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0.125</w:t>
            </w:r>
          </w:p>
        </w:tc>
        <w:tc>
          <w:tcPr>
            <w:tcW w:w="2184" w:type="dxa"/>
            <w:shd w:val="clear" w:color="auto" w:fill="FFFFFF"/>
          </w:tcPr>
          <w:p w14:paraId="23572F14" w14:textId="15BD1811"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23</w:t>
            </w:r>
          </w:p>
        </w:tc>
        <w:tc>
          <w:tcPr>
            <w:tcW w:w="2268" w:type="dxa"/>
            <w:shd w:val="clear" w:color="auto" w:fill="FFFFFF"/>
          </w:tcPr>
          <w:p w14:paraId="62B5C6DD" w14:textId="6474F1E1" w:rsidR="00BF6F1C" w:rsidRPr="004746EA" w:rsidRDefault="00BF6F1C" w:rsidP="00E53CF5">
            <w:pPr>
              <w:pStyle w:val="CETBodytext"/>
              <w:ind w:right="-1"/>
              <w:jc w:val="center"/>
              <w:rPr>
                <w:rFonts w:cs="Arial"/>
                <w:sz w:val="16"/>
                <w:szCs w:val="18"/>
                <w:lang w:val="en-GB"/>
              </w:rPr>
            </w:pPr>
            <w:r w:rsidRPr="004746EA">
              <w:rPr>
                <w:rFonts w:cs="Arial"/>
                <w:sz w:val="16"/>
                <w:szCs w:val="18"/>
                <w:lang w:val="en-GB"/>
              </w:rPr>
              <w:t>-</w:t>
            </w:r>
          </w:p>
        </w:tc>
      </w:tr>
    </w:tbl>
    <w:p w14:paraId="2858D36E" w14:textId="57627740" w:rsidR="00916FA7" w:rsidRDefault="00BF6F1C" w:rsidP="006D6338">
      <w:pPr>
        <w:pStyle w:val="CETBodytext"/>
        <w:spacing w:before="120"/>
        <w:rPr>
          <w:lang w:val="en-GB"/>
        </w:rPr>
      </w:pPr>
      <w:r>
        <w:rPr>
          <w:lang w:val="en-GB"/>
        </w:rPr>
        <w:t xml:space="preserve">The maximum </w:t>
      </w:r>
      <w:r w:rsidR="00115CAE">
        <w:rPr>
          <w:lang w:val="en-GB"/>
        </w:rPr>
        <w:t xml:space="preserve">percentage </w:t>
      </w:r>
      <w:r>
        <w:rPr>
          <w:lang w:val="en-GB"/>
        </w:rPr>
        <w:t xml:space="preserve">variation equal to 6% registered in the case of medium mesh was retained acceptable for the quantities </w:t>
      </w:r>
      <w:proofErr w:type="spellStart"/>
      <w:r>
        <w:rPr>
          <w:lang w:val="en-GB"/>
        </w:rPr>
        <w:t>analyzed</w:t>
      </w:r>
      <w:proofErr w:type="spellEnd"/>
      <w:r>
        <w:rPr>
          <w:lang w:val="en-GB"/>
        </w:rPr>
        <w:t xml:space="preserve"> in this study</w:t>
      </w:r>
      <w:r w:rsidR="00B0020C">
        <w:rPr>
          <w:lang w:val="en-GB"/>
        </w:rPr>
        <w:t>. F</w:t>
      </w:r>
      <w:r>
        <w:rPr>
          <w:lang w:val="en-GB"/>
        </w:rPr>
        <w:t>or this reason</w:t>
      </w:r>
      <w:r w:rsidR="00115CAE">
        <w:rPr>
          <w:lang w:val="en-GB"/>
        </w:rPr>
        <w:t>,</w:t>
      </w:r>
      <w:r>
        <w:rPr>
          <w:lang w:val="en-GB"/>
        </w:rPr>
        <w:t xml:space="preserve"> a cell size (</w:t>
      </w:r>
      <w:r w:rsidRPr="0022054A">
        <w:t>δ</w:t>
      </w:r>
      <w:r>
        <w:t xml:space="preserve">) equal to 0.250 m </w:t>
      </w:r>
      <w:r w:rsidR="00115CAE">
        <w:t xml:space="preserve">was </w:t>
      </w:r>
      <w:r>
        <w:t>adopted for all the tests.</w:t>
      </w:r>
      <w:r w:rsidR="00B0020C">
        <w:t xml:space="preserve"> </w:t>
      </w:r>
      <w:r w:rsidR="006802B3">
        <w:rPr>
          <w:lang w:val="en-GB"/>
        </w:rPr>
        <w:t xml:space="preserve">In </w:t>
      </w:r>
      <w:r>
        <w:rPr>
          <w:lang w:val="en-GB"/>
        </w:rPr>
        <w:t>the following</w:t>
      </w:r>
      <w:r w:rsidR="00F96249">
        <w:rPr>
          <w:lang w:val="en-GB"/>
        </w:rPr>
        <w:t>,</w:t>
      </w:r>
      <w:r w:rsidR="006802B3">
        <w:rPr>
          <w:lang w:val="en-GB"/>
        </w:rPr>
        <w:t xml:space="preserve"> </w:t>
      </w:r>
      <w:r>
        <w:rPr>
          <w:lang w:val="en-GB"/>
        </w:rPr>
        <w:t>the main results of the simulations described are reported. More specifically,</w:t>
      </w:r>
      <w:r w:rsidR="00115CAE">
        <w:rPr>
          <w:lang w:val="en-GB"/>
        </w:rPr>
        <w:t xml:space="preserve"> </w:t>
      </w:r>
      <w:r w:rsidR="006802B3">
        <w:rPr>
          <w:lang w:val="en-GB"/>
        </w:rPr>
        <w:t>the time at which the fire detection system is alarmed (</w:t>
      </w:r>
      <w:proofErr w:type="spellStart"/>
      <w:r w:rsidR="006802B3" w:rsidRPr="00B0020C">
        <w:rPr>
          <w:i/>
          <w:iCs/>
          <w:lang w:val="en-GB"/>
        </w:rPr>
        <w:t>t</w:t>
      </w:r>
      <w:r w:rsidR="006802B3" w:rsidRPr="00B0020C">
        <w:rPr>
          <w:i/>
          <w:iCs/>
          <w:vertAlign w:val="subscript"/>
          <w:lang w:val="en-GB"/>
        </w:rPr>
        <w:t>alarm</w:t>
      </w:r>
      <w:proofErr w:type="spellEnd"/>
      <w:r w:rsidR="006802B3">
        <w:rPr>
          <w:lang w:val="en-GB"/>
        </w:rPr>
        <w:t xml:space="preserve">) with the respective temperature field and radiative heat fluxes (q) are </w:t>
      </w:r>
      <w:r w:rsidR="00F96249">
        <w:rPr>
          <w:lang w:val="en-GB"/>
        </w:rPr>
        <w:t>described</w:t>
      </w:r>
      <w:r w:rsidR="006802B3">
        <w:rPr>
          <w:lang w:val="en-GB"/>
        </w:rPr>
        <w:t xml:space="preserve">. Moreover, the dependence of the </w:t>
      </w:r>
      <w:proofErr w:type="spellStart"/>
      <w:r w:rsidR="006802B3" w:rsidRPr="00B0020C">
        <w:rPr>
          <w:i/>
          <w:iCs/>
          <w:lang w:val="en-GB"/>
        </w:rPr>
        <w:t>t</w:t>
      </w:r>
      <w:r w:rsidR="006802B3" w:rsidRPr="00B0020C">
        <w:rPr>
          <w:i/>
          <w:iCs/>
          <w:vertAlign w:val="subscript"/>
          <w:lang w:val="en-GB"/>
        </w:rPr>
        <w:t>alarm</w:t>
      </w:r>
      <w:proofErr w:type="spellEnd"/>
      <w:r w:rsidR="006802B3">
        <w:rPr>
          <w:lang w:val="en-GB"/>
        </w:rPr>
        <w:t xml:space="preserve"> on the ceiling height </w:t>
      </w:r>
      <w:r w:rsidR="00F96249">
        <w:rPr>
          <w:lang w:val="en-GB"/>
        </w:rPr>
        <w:t>is</w:t>
      </w:r>
      <w:r w:rsidR="006802B3">
        <w:rPr>
          <w:lang w:val="en-GB"/>
        </w:rPr>
        <w:t xml:space="preserve"> </w:t>
      </w:r>
      <w:proofErr w:type="spellStart"/>
      <w:r w:rsidR="006802B3">
        <w:rPr>
          <w:lang w:val="en-GB"/>
        </w:rPr>
        <w:t>analyzed</w:t>
      </w:r>
      <w:proofErr w:type="spellEnd"/>
      <w:r w:rsidR="006802B3">
        <w:rPr>
          <w:lang w:val="en-GB"/>
        </w:rPr>
        <w:t>.</w:t>
      </w:r>
    </w:p>
    <w:p w14:paraId="73DFADD5" w14:textId="7C6C645C" w:rsidR="00E357AE" w:rsidRDefault="00186BE5" w:rsidP="00E357AE">
      <w:pPr>
        <w:pStyle w:val="CETheadingx"/>
        <w:numPr>
          <w:ilvl w:val="2"/>
          <w:numId w:val="23"/>
        </w:numPr>
      </w:pPr>
      <w:r>
        <w:t>Fire detection efficiency</w:t>
      </w:r>
    </w:p>
    <w:p w14:paraId="1BC7F605" w14:textId="71001F6E" w:rsidR="00E357AE" w:rsidRDefault="00F96249" w:rsidP="00E357AE">
      <w:pPr>
        <w:pStyle w:val="CETBodytext"/>
        <w:rPr>
          <w:lang w:val="en-GB"/>
        </w:rPr>
      </w:pPr>
      <w:r>
        <w:t>Firstly, t</w:t>
      </w:r>
      <w:r w:rsidR="00CC41FF">
        <w:t xml:space="preserve">he </w:t>
      </w:r>
      <w:r w:rsidR="00CC41FF">
        <w:rPr>
          <w:lang w:val="en-GB"/>
        </w:rPr>
        <w:t>time</w:t>
      </w:r>
      <w:r>
        <w:rPr>
          <w:lang w:val="en-GB"/>
        </w:rPr>
        <w:t>s</w:t>
      </w:r>
      <w:r w:rsidR="00CC41FF">
        <w:rPr>
          <w:lang w:val="en-GB"/>
        </w:rPr>
        <w:t xml:space="preserve"> at which the first three sensors in the four simulations were activated </w:t>
      </w:r>
      <w:r>
        <w:rPr>
          <w:lang w:val="en-GB"/>
        </w:rPr>
        <w:t>are</w:t>
      </w:r>
      <w:r w:rsidR="00CC41FF">
        <w:rPr>
          <w:lang w:val="en-GB"/>
        </w:rPr>
        <w:t xml:space="preserve"> reported in Table </w:t>
      </w:r>
      <w:r w:rsidR="002172E4">
        <w:rPr>
          <w:lang w:val="en-GB"/>
        </w:rPr>
        <w:t>3</w:t>
      </w:r>
      <w:r w:rsidR="00CC41FF">
        <w:rPr>
          <w:lang w:val="en-GB"/>
        </w:rPr>
        <w:t>.</w:t>
      </w:r>
    </w:p>
    <w:p w14:paraId="70E4B082" w14:textId="051EE86B" w:rsidR="0078493C" w:rsidRPr="00B57B36" w:rsidRDefault="0078493C" w:rsidP="00AD4433">
      <w:pPr>
        <w:pStyle w:val="CETTabletitle"/>
        <w:spacing w:before="120"/>
      </w:pPr>
      <w:r w:rsidRPr="00B57B36">
        <w:t xml:space="preserve">Table </w:t>
      </w:r>
      <w:r w:rsidR="002172E4">
        <w:t>3</w:t>
      </w:r>
      <w:r w:rsidRPr="00B57B36">
        <w:t xml:space="preserve">: </w:t>
      </w:r>
      <w:r w:rsidR="00156E68">
        <w:t>Time for alarm</w:t>
      </w:r>
      <w:r w:rsidR="006802B3">
        <w:t xml:space="preserve"> (</w:t>
      </w:r>
      <w:proofErr w:type="spellStart"/>
      <w:r w:rsidR="006802B3">
        <w:t>t</w:t>
      </w:r>
      <w:r w:rsidR="006802B3" w:rsidRPr="006802B3">
        <w:rPr>
          <w:vertAlign w:val="subscript"/>
        </w:rPr>
        <w:t>alarm</w:t>
      </w:r>
      <w:proofErr w:type="spellEnd"/>
      <w:r w:rsidR="006802B3">
        <w:t xml:space="preserve">) and </w:t>
      </w:r>
      <w:r w:rsidR="00CC41FF">
        <w:t>number identification of the first three sensors activated.</w:t>
      </w:r>
    </w:p>
    <w:tbl>
      <w:tblPr>
        <w:tblW w:w="879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59"/>
        <w:gridCol w:w="1759"/>
        <w:gridCol w:w="1759"/>
        <w:gridCol w:w="1759"/>
        <w:gridCol w:w="1759"/>
      </w:tblGrid>
      <w:tr w:rsidR="0078493C" w:rsidRPr="00B57B36" w14:paraId="5A3135BD" w14:textId="77777777" w:rsidTr="00BF6F1C">
        <w:trPr>
          <w:trHeight w:val="277"/>
        </w:trPr>
        <w:tc>
          <w:tcPr>
            <w:tcW w:w="1759" w:type="dxa"/>
            <w:tcBorders>
              <w:top w:val="single" w:sz="12" w:space="0" w:color="008000"/>
              <w:bottom w:val="single" w:sz="6" w:space="0" w:color="008000"/>
            </w:tcBorders>
            <w:shd w:val="clear" w:color="auto" w:fill="FFFFFF"/>
          </w:tcPr>
          <w:p w14:paraId="105454E1" w14:textId="5A0DD599" w:rsidR="0078493C" w:rsidRPr="0078493C" w:rsidRDefault="0078493C" w:rsidP="006802B3">
            <w:pPr>
              <w:pStyle w:val="CETBodytext"/>
              <w:jc w:val="center"/>
              <w:rPr>
                <w:lang w:val="en-GB"/>
              </w:rPr>
            </w:pPr>
            <w:proofErr w:type="spellStart"/>
            <w:proofErr w:type="gramStart"/>
            <w:r w:rsidRPr="00156E68">
              <w:rPr>
                <w:i/>
                <w:iCs/>
                <w:lang w:val="en-GB"/>
              </w:rPr>
              <w:t>t</w:t>
            </w:r>
            <w:r w:rsidRPr="00156E68">
              <w:rPr>
                <w:i/>
                <w:iCs/>
                <w:vertAlign w:val="subscript"/>
                <w:lang w:val="en-GB"/>
              </w:rPr>
              <w:t>alarm,i</w:t>
            </w:r>
            <w:proofErr w:type="spellEnd"/>
            <w:proofErr w:type="gramEnd"/>
            <w:r>
              <w:rPr>
                <w:lang w:val="en-GB"/>
              </w:rPr>
              <w:t xml:space="preserve"> (sensor</w:t>
            </w:r>
            <w:r w:rsidR="009D59E9">
              <w:rPr>
                <w:lang w:val="en-GB"/>
              </w:rPr>
              <w:t xml:space="preserve"> </w:t>
            </w:r>
            <w:r w:rsidR="009D59E9">
              <w:t>#</w:t>
            </w:r>
            <w:r>
              <w:rPr>
                <w:lang w:val="en-GB"/>
              </w:rPr>
              <w:t>)</w:t>
            </w:r>
          </w:p>
        </w:tc>
        <w:tc>
          <w:tcPr>
            <w:tcW w:w="1759" w:type="dxa"/>
            <w:tcBorders>
              <w:top w:val="single" w:sz="12" w:space="0" w:color="008000"/>
              <w:bottom w:val="single" w:sz="6" w:space="0" w:color="008000"/>
            </w:tcBorders>
            <w:shd w:val="clear" w:color="auto" w:fill="FFFFFF"/>
          </w:tcPr>
          <w:p w14:paraId="0E48F3B7" w14:textId="771DDB84" w:rsidR="0078493C" w:rsidRPr="00B57B36" w:rsidRDefault="0078493C" w:rsidP="006802B3">
            <w:pPr>
              <w:pStyle w:val="CETBodytext"/>
              <w:jc w:val="center"/>
              <w:rPr>
                <w:lang w:val="en-GB"/>
              </w:rPr>
            </w:pPr>
            <w:r>
              <w:rPr>
                <w:lang w:val="en-GB"/>
              </w:rPr>
              <w:t>TEST1</w:t>
            </w:r>
          </w:p>
        </w:tc>
        <w:tc>
          <w:tcPr>
            <w:tcW w:w="1759" w:type="dxa"/>
            <w:tcBorders>
              <w:top w:val="single" w:sz="12" w:space="0" w:color="008000"/>
              <w:bottom w:val="single" w:sz="6" w:space="0" w:color="008000"/>
            </w:tcBorders>
            <w:shd w:val="clear" w:color="auto" w:fill="FFFFFF"/>
          </w:tcPr>
          <w:p w14:paraId="1FBA5AE5" w14:textId="425CA474" w:rsidR="0078493C" w:rsidRPr="00B57B36" w:rsidRDefault="0078493C" w:rsidP="006802B3">
            <w:pPr>
              <w:pStyle w:val="CETBodytext"/>
              <w:jc w:val="center"/>
              <w:rPr>
                <w:lang w:val="en-GB"/>
              </w:rPr>
            </w:pPr>
            <w:r>
              <w:rPr>
                <w:lang w:val="en-GB"/>
              </w:rPr>
              <w:t>TEST2</w:t>
            </w:r>
          </w:p>
        </w:tc>
        <w:tc>
          <w:tcPr>
            <w:tcW w:w="1759" w:type="dxa"/>
            <w:tcBorders>
              <w:top w:val="single" w:sz="12" w:space="0" w:color="008000"/>
              <w:bottom w:val="single" w:sz="6" w:space="0" w:color="008000"/>
            </w:tcBorders>
            <w:shd w:val="clear" w:color="auto" w:fill="FFFFFF"/>
          </w:tcPr>
          <w:p w14:paraId="4B3DCB7F" w14:textId="4F7B4DF0" w:rsidR="0078493C" w:rsidRPr="00B57B36" w:rsidRDefault="0078493C" w:rsidP="006802B3">
            <w:pPr>
              <w:pStyle w:val="CETBodytext"/>
              <w:ind w:right="-1"/>
              <w:jc w:val="center"/>
              <w:rPr>
                <w:rFonts w:cs="Arial"/>
                <w:szCs w:val="18"/>
                <w:lang w:val="en-GB"/>
              </w:rPr>
            </w:pPr>
            <w:r>
              <w:rPr>
                <w:rFonts w:cs="Arial"/>
                <w:szCs w:val="18"/>
                <w:lang w:val="en-GB"/>
              </w:rPr>
              <w:t>TEST3</w:t>
            </w:r>
          </w:p>
        </w:tc>
        <w:tc>
          <w:tcPr>
            <w:tcW w:w="1759" w:type="dxa"/>
            <w:tcBorders>
              <w:top w:val="single" w:sz="12" w:space="0" w:color="008000"/>
              <w:bottom w:val="single" w:sz="6" w:space="0" w:color="008000"/>
            </w:tcBorders>
            <w:shd w:val="clear" w:color="auto" w:fill="FFFFFF"/>
          </w:tcPr>
          <w:p w14:paraId="1CB4ABD8" w14:textId="1C59F6C5" w:rsidR="0078493C" w:rsidRPr="00B57B36" w:rsidRDefault="0078493C" w:rsidP="006802B3">
            <w:pPr>
              <w:pStyle w:val="CETBodytext"/>
              <w:ind w:right="-1"/>
              <w:jc w:val="center"/>
              <w:rPr>
                <w:rFonts w:cs="Arial"/>
                <w:szCs w:val="18"/>
                <w:lang w:val="en-GB"/>
              </w:rPr>
            </w:pPr>
            <w:r>
              <w:rPr>
                <w:rFonts w:cs="Arial"/>
                <w:szCs w:val="18"/>
                <w:lang w:val="en-GB"/>
              </w:rPr>
              <w:t>TEST4</w:t>
            </w:r>
          </w:p>
        </w:tc>
      </w:tr>
      <w:tr w:rsidR="0078493C" w:rsidRPr="00B57B36" w14:paraId="7D4F79E9" w14:textId="77777777" w:rsidTr="00BF6F1C">
        <w:trPr>
          <w:trHeight w:val="291"/>
        </w:trPr>
        <w:tc>
          <w:tcPr>
            <w:tcW w:w="1759" w:type="dxa"/>
            <w:shd w:val="clear" w:color="auto" w:fill="FFFFFF"/>
          </w:tcPr>
          <w:p w14:paraId="2CE77D4F" w14:textId="3759AC5C" w:rsidR="0078493C" w:rsidRPr="004746EA" w:rsidRDefault="0078493C" w:rsidP="006802B3">
            <w:pPr>
              <w:pStyle w:val="CETBodytext"/>
              <w:jc w:val="center"/>
              <w:rPr>
                <w:i/>
                <w:iCs/>
                <w:sz w:val="16"/>
                <w:szCs w:val="18"/>
                <w:lang w:val="en-GB"/>
              </w:rPr>
            </w:pPr>
            <w:r w:rsidRPr="004746EA">
              <w:rPr>
                <w:i/>
                <w:iCs/>
                <w:sz w:val="16"/>
                <w:szCs w:val="18"/>
                <w:lang w:val="en-GB"/>
              </w:rPr>
              <w:t>t</w:t>
            </w:r>
            <w:r w:rsidRPr="004746EA">
              <w:rPr>
                <w:i/>
                <w:iCs/>
                <w:sz w:val="16"/>
                <w:szCs w:val="18"/>
                <w:vertAlign w:val="subscript"/>
                <w:lang w:val="en-GB"/>
              </w:rPr>
              <w:t>alarm,1</w:t>
            </w:r>
          </w:p>
        </w:tc>
        <w:tc>
          <w:tcPr>
            <w:tcW w:w="1759" w:type="dxa"/>
            <w:shd w:val="clear" w:color="auto" w:fill="FFFFFF"/>
          </w:tcPr>
          <w:p w14:paraId="47BF1DE2" w14:textId="2D381E24" w:rsidR="0078493C" w:rsidRPr="004746EA" w:rsidRDefault="0078493C" w:rsidP="006802B3">
            <w:pPr>
              <w:pStyle w:val="CETBodytext"/>
              <w:jc w:val="center"/>
              <w:rPr>
                <w:sz w:val="16"/>
                <w:szCs w:val="18"/>
                <w:lang w:val="en-GB"/>
              </w:rPr>
            </w:pPr>
            <w:r w:rsidRPr="004746EA">
              <w:rPr>
                <w:sz w:val="16"/>
                <w:szCs w:val="18"/>
              </w:rPr>
              <w:t>174 s (1_1)</w:t>
            </w:r>
          </w:p>
        </w:tc>
        <w:tc>
          <w:tcPr>
            <w:tcW w:w="1759" w:type="dxa"/>
            <w:shd w:val="clear" w:color="auto" w:fill="FFFFFF"/>
          </w:tcPr>
          <w:p w14:paraId="09EA4D4F" w14:textId="5CE91182" w:rsidR="0078493C" w:rsidRPr="004746EA" w:rsidRDefault="0078493C" w:rsidP="006802B3">
            <w:pPr>
              <w:pStyle w:val="CETBodytext"/>
              <w:jc w:val="center"/>
              <w:rPr>
                <w:sz w:val="16"/>
                <w:szCs w:val="18"/>
                <w:lang w:val="en-GB"/>
              </w:rPr>
            </w:pPr>
            <w:r w:rsidRPr="004746EA">
              <w:rPr>
                <w:sz w:val="16"/>
                <w:szCs w:val="18"/>
              </w:rPr>
              <w:t>160 s (7_9)</w:t>
            </w:r>
          </w:p>
        </w:tc>
        <w:tc>
          <w:tcPr>
            <w:tcW w:w="1759" w:type="dxa"/>
            <w:shd w:val="clear" w:color="auto" w:fill="FFFFFF"/>
          </w:tcPr>
          <w:p w14:paraId="7CA479E1" w14:textId="74519E89" w:rsidR="0078493C" w:rsidRPr="004746EA" w:rsidRDefault="0078493C" w:rsidP="006802B3">
            <w:pPr>
              <w:pStyle w:val="CETBodytext"/>
              <w:ind w:right="-1"/>
              <w:jc w:val="center"/>
              <w:rPr>
                <w:rFonts w:cs="Arial"/>
                <w:sz w:val="16"/>
                <w:szCs w:val="18"/>
                <w:lang w:val="en-GB"/>
              </w:rPr>
            </w:pPr>
            <w:r w:rsidRPr="004746EA">
              <w:rPr>
                <w:sz w:val="16"/>
                <w:szCs w:val="18"/>
              </w:rPr>
              <w:t>38 s (1_1)</w:t>
            </w:r>
          </w:p>
        </w:tc>
        <w:tc>
          <w:tcPr>
            <w:tcW w:w="1759" w:type="dxa"/>
            <w:shd w:val="clear" w:color="auto" w:fill="FFFFFF"/>
          </w:tcPr>
          <w:p w14:paraId="4CE4B70E" w14:textId="7A3BE6B3" w:rsidR="0078493C" w:rsidRPr="004746EA" w:rsidRDefault="0078493C" w:rsidP="006802B3">
            <w:pPr>
              <w:pStyle w:val="CETBodytext"/>
              <w:ind w:right="-1"/>
              <w:jc w:val="center"/>
              <w:rPr>
                <w:rFonts w:cs="Arial"/>
                <w:sz w:val="16"/>
                <w:szCs w:val="18"/>
                <w:lang w:val="en-GB"/>
              </w:rPr>
            </w:pPr>
            <w:r w:rsidRPr="004746EA">
              <w:rPr>
                <w:sz w:val="16"/>
                <w:szCs w:val="18"/>
              </w:rPr>
              <w:t>36 s (7_9)</w:t>
            </w:r>
          </w:p>
        </w:tc>
      </w:tr>
      <w:tr w:rsidR="0078493C" w:rsidRPr="00B57B36" w14:paraId="73417D4B" w14:textId="77777777" w:rsidTr="00BF6F1C">
        <w:trPr>
          <w:trHeight w:val="291"/>
        </w:trPr>
        <w:tc>
          <w:tcPr>
            <w:tcW w:w="1759" w:type="dxa"/>
            <w:shd w:val="clear" w:color="auto" w:fill="FFFFFF"/>
          </w:tcPr>
          <w:p w14:paraId="06AB6793" w14:textId="613B2E79" w:rsidR="0078493C" w:rsidRPr="004746EA" w:rsidRDefault="0078493C" w:rsidP="006802B3">
            <w:pPr>
              <w:pStyle w:val="CETBodytext"/>
              <w:jc w:val="center"/>
              <w:rPr>
                <w:i/>
                <w:iCs/>
                <w:sz w:val="16"/>
                <w:szCs w:val="18"/>
                <w:lang w:val="en-GB"/>
              </w:rPr>
            </w:pPr>
            <w:r w:rsidRPr="004746EA">
              <w:rPr>
                <w:i/>
                <w:iCs/>
                <w:sz w:val="16"/>
                <w:szCs w:val="18"/>
                <w:lang w:val="en-GB"/>
              </w:rPr>
              <w:t>t</w:t>
            </w:r>
            <w:r w:rsidRPr="004746EA">
              <w:rPr>
                <w:i/>
                <w:iCs/>
                <w:sz w:val="16"/>
                <w:szCs w:val="18"/>
                <w:vertAlign w:val="subscript"/>
                <w:lang w:val="en-GB"/>
              </w:rPr>
              <w:t>alarm,2</w:t>
            </w:r>
          </w:p>
        </w:tc>
        <w:tc>
          <w:tcPr>
            <w:tcW w:w="1759" w:type="dxa"/>
            <w:shd w:val="clear" w:color="auto" w:fill="FFFFFF"/>
          </w:tcPr>
          <w:p w14:paraId="78B12101" w14:textId="670E67D2" w:rsidR="0078493C" w:rsidRPr="004746EA" w:rsidRDefault="0078493C" w:rsidP="006802B3">
            <w:pPr>
              <w:pStyle w:val="CETBodytext"/>
              <w:jc w:val="center"/>
              <w:rPr>
                <w:sz w:val="16"/>
                <w:szCs w:val="18"/>
                <w:lang w:val="en-GB"/>
              </w:rPr>
            </w:pPr>
            <w:r w:rsidRPr="004746EA">
              <w:rPr>
                <w:sz w:val="16"/>
                <w:szCs w:val="18"/>
              </w:rPr>
              <w:t>188 s (2_1)</w:t>
            </w:r>
          </w:p>
        </w:tc>
        <w:tc>
          <w:tcPr>
            <w:tcW w:w="1759" w:type="dxa"/>
            <w:shd w:val="clear" w:color="auto" w:fill="FFFFFF"/>
          </w:tcPr>
          <w:p w14:paraId="3E4C22D1" w14:textId="2EB1DACD" w:rsidR="0078493C" w:rsidRPr="004746EA" w:rsidRDefault="0078493C" w:rsidP="006802B3">
            <w:pPr>
              <w:pStyle w:val="CETBodytext"/>
              <w:jc w:val="center"/>
              <w:rPr>
                <w:sz w:val="16"/>
                <w:szCs w:val="18"/>
                <w:lang w:val="en-GB"/>
              </w:rPr>
            </w:pPr>
            <w:r w:rsidRPr="004746EA">
              <w:rPr>
                <w:sz w:val="16"/>
                <w:szCs w:val="18"/>
              </w:rPr>
              <w:t>174 s (6_9)</w:t>
            </w:r>
          </w:p>
        </w:tc>
        <w:tc>
          <w:tcPr>
            <w:tcW w:w="1759" w:type="dxa"/>
            <w:shd w:val="clear" w:color="auto" w:fill="FFFFFF"/>
          </w:tcPr>
          <w:p w14:paraId="09E084B8" w14:textId="7823B972" w:rsidR="0078493C" w:rsidRPr="004746EA" w:rsidRDefault="0078493C" w:rsidP="006802B3">
            <w:pPr>
              <w:pStyle w:val="CETBodytext"/>
              <w:ind w:right="-1"/>
              <w:jc w:val="center"/>
              <w:rPr>
                <w:rFonts w:cs="Arial"/>
                <w:sz w:val="16"/>
                <w:szCs w:val="18"/>
                <w:lang w:val="en-GB"/>
              </w:rPr>
            </w:pPr>
            <w:r w:rsidRPr="004746EA">
              <w:rPr>
                <w:sz w:val="16"/>
                <w:szCs w:val="18"/>
              </w:rPr>
              <w:t>40 s (2_1)</w:t>
            </w:r>
          </w:p>
        </w:tc>
        <w:tc>
          <w:tcPr>
            <w:tcW w:w="1759" w:type="dxa"/>
            <w:shd w:val="clear" w:color="auto" w:fill="FFFFFF"/>
          </w:tcPr>
          <w:p w14:paraId="055043B0" w14:textId="0D8E357D" w:rsidR="0078493C" w:rsidRPr="004746EA" w:rsidRDefault="0078493C" w:rsidP="006802B3">
            <w:pPr>
              <w:pStyle w:val="CETBodytext"/>
              <w:ind w:right="-1"/>
              <w:jc w:val="center"/>
              <w:rPr>
                <w:rFonts w:cs="Arial"/>
                <w:sz w:val="16"/>
                <w:szCs w:val="18"/>
                <w:lang w:val="en-GB"/>
              </w:rPr>
            </w:pPr>
            <w:r w:rsidRPr="004746EA">
              <w:rPr>
                <w:sz w:val="16"/>
                <w:szCs w:val="18"/>
              </w:rPr>
              <w:t>38 s (6_9)</w:t>
            </w:r>
          </w:p>
        </w:tc>
      </w:tr>
      <w:tr w:rsidR="0078493C" w:rsidRPr="00B57B36" w14:paraId="55D2D5EF" w14:textId="77777777" w:rsidTr="00BF6F1C">
        <w:trPr>
          <w:trHeight w:val="12"/>
        </w:trPr>
        <w:tc>
          <w:tcPr>
            <w:tcW w:w="1759" w:type="dxa"/>
            <w:shd w:val="clear" w:color="auto" w:fill="FFFFFF"/>
          </w:tcPr>
          <w:p w14:paraId="6D04DA13" w14:textId="6B7A357E" w:rsidR="0078493C" w:rsidRPr="004746EA" w:rsidRDefault="0078493C" w:rsidP="006802B3">
            <w:pPr>
              <w:pStyle w:val="CETBodytext"/>
              <w:ind w:right="-1"/>
              <w:jc w:val="center"/>
              <w:rPr>
                <w:rFonts w:cs="Arial"/>
                <w:i/>
                <w:iCs/>
                <w:sz w:val="16"/>
                <w:szCs w:val="18"/>
                <w:lang w:val="en-GB"/>
              </w:rPr>
            </w:pPr>
            <w:r w:rsidRPr="004746EA">
              <w:rPr>
                <w:i/>
                <w:iCs/>
                <w:sz w:val="16"/>
                <w:szCs w:val="18"/>
                <w:lang w:val="en-GB"/>
              </w:rPr>
              <w:t>t</w:t>
            </w:r>
            <w:r w:rsidRPr="004746EA">
              <w:rPr>
                <w:i/>
                <w:iCs/>
                <w:sz w:val="16"/>
                <w:szCs w:val="18"/>
                <w:vertAlign w:val="subscript"/>
                <w:lang w:val="en-GB"/>
              </w:rPr>
              <w:t>alarm,3</w:t>
            </w:r>
          </w:p>
        </w:tc>
        <w:tc>
          <w:tcPr>
            <w:tcW w:w="1759" w:type="dxa"/>
            <w:shd w:val="clear" w:color="auto" w:fill="FFFFFF"/>
          </w:tcPr>
          <w:p w14:paraId="6E2F039C" w14:textId="23A6C59E" w:rsidR="0078493C" w:rsidRPr="004746EA" w:rsidRDefault="0078493C" w:rsidP="006802B3">
            <w:pPr>
              <w:pStyle w:val="CETBodytext"/>
              <w:ind w:right="-1"/>
              <w:jc w:val="center"/>
              <w:rPr>
                <w:rFonts w:cs="Arial"/>
                <w:sz w:val="16"/>
                <w:szCs w:val="18"/>
                <w:lang w:val="en-GB"/>
              </w:rPr>
            </w:pPr>
            <w:r w:rsidRPr="004746EA">
              <w:rPr>
                <w:sz w:val="16"/>
                <w:szCs w:val="18"/>
              </w:rPr>
              <w:t>206 s (1_2)</w:t>
            </w:r>
          </w:p>
        </w:tc>
        <w:tc>
          <w:tcPr>
            <w:tcW w:w="1759" w:type="dxa"/>
            <w:shd w:val="clear" w:color="auto" w:fill="FFFFFF"/>
          </w:tcPr>
          <w:p w14:paraId="1CAA697E" w14:textId="4FF803A2" w:rsidR="0078493C" w:rsidRPr="004746EA" w:rsidRDefault="0078493C" w:rsidP="006802B3">
            <w:pPr>
              <w:pStyle w:val="CETBodytext"/>
              <w:ind w:right="-1"/>
              <w:jc w:val="center"/>
              <w:rPr>
                <w:rFonts w:cs="Arial"/>
                <w:sz w:val="16"/>
                <w:szCs w:val="18"/>
                <w:lang w:val="en-GB"/>
              </w:rPr>
            </w:pPr>
            <w:r w:rsidRPr="004746EA">
              <w:rPr>
                <w:sz w:val="16"/>
                <w:szCs w:val="18"/>
              </w:rPr>
              <w:t>178 s (8_9)</w:t>
            </w:r>
          </w:p>
        </w:tc>
        <w:tc>
          <w:tcPr>
            <w:tcW w:w="1759" w:type="dxa"/>
            <w:shd w:val="clear" w:color="auto" w:fill="FFFFFF"/>
          </w:tcPr>
          <w:p w14:paraId="509DB6F4" w14:textId="78B03165" w:rsidR="0078493C" w:rsidRPr="004746EA" w:rsidRDefault="0078493C" w:rsidP="006802B3">
            <w:pPr>
              <w:pStyle w:val="CETBodytext"/>
              <w:ind w:right="-1"/>
              <w:jc w:val="center"/>
              <w:rPr>
                <w:rFonts w:cs="Arial"/>
                <w:sz w:val="16"/>
                <w:szCs w:val="18"/>
                <w:lang w:val="en-GB"/>
              </w:rPr>
            </w:pPr>
            <w:r w:rsidRPr="004746EA">
              <w:rPr>
                <w:sz w:val="16"/>
                <w:szCs w:val="18"/>
              </w:rPr>
              <w:t>44 s (1_2)</w:t>
            </w:r>
          </w:p>
        </w:tc>
        <w:tc>
          <w:tcPr>
            <w:tcW w:w="1759" w:type="dxa"/>
            <w:shd w:val="clear" w:color="auto" w:fill="FFFFFF"/>
          </w:tcPr>
          <w:p w14:paraId="4D80809D" w14:textId="1A63DDD7" w:rsidR="0078493C" w:rsidRPr="004746EA" w:rsidRDefault="0078493C" w:rsidP="006802B3">
            <w:pPr>
              <w:pStyle w:val="CETBodytext"/>
              <w:ind w:right="-1"/>
              <w:jc w:val="center"/>
              <w:rPr>
                <w:rFonts w:cs="Arial"/>
                <w:sz w:val="16"/>
                <w:szCs w:val="18"/>
                <w:lang w:val="en-GB"/>
              </w:rPr>
            </w:pPr>
            <w:r w:rsidRPr="004746EA">
              <w:rPr>
                <w:sz w:val="16"/>
                <w:szCs w:val="18"/>
              </w:rPr>
              <w:t>40 s (6_8)</w:t>
            </w:r>
          </w:p>
        </w:tc>
      </w:tr>
    </w:tbl>
    <w:p w14:paraId="0CF0041F" w14:textId="47216120" w:rsidR="008F5896" w:rsidRDefault="00CC41FF" w:rsidP="00AD4433">
      <w:pPr>
        <w:pStyle w:val="CETBodytext"/>
        <w:spacing w:before="120"/>
      </w:pPr>
      <w:r>
        <w:t>Quite obviously</w:t>
      </w:r>
      <w:r w:rsidR="00F96249">
        <w:t>,</w:t>
      </w:r>
      <w:r>
        <w:t xml:space="preserve"> the </w:t>
      </w:r>
      <w:r w:rsidR="00F96249">
        <w:t>more considerable</w:t>
      </w:r>
      <w:r>
        <w:t xml:space="preserve"> time</w:t>
      </w:r>
      <w:r w:rsidR="00F96249">
        <w:t>s</w:t>
      </w:r>
      <w:r>
        <w:t xml:space="preserve"> were obtained for TEST1 (174 s) and TEST2 (160 s)</w:t>
      </w:r>
      <w:r w:rsidR="00F96249">
        <w:t>,</w:t>
      </w:r>
      <w:r>
        <w:t xml:space="preserve"> </w:t>
      </w:r>
      <w:r w:rsidR="00156E68">
        <w:t>with slow-growth fire scenarios.</w:t>
      </w:r>
      <w:r>
        <w:t xml:space="preserve"> On the other hand, for the ultra-fast scenario, the system is activated in less than 40 s. </w:t>
      </w:r>
      <w:r w:rsidR="00156E68">
        <w:t>Considering</w:t>
      </w:r>
      <w:r>
        <w:t xml:space="preserve"> the </w:t>
      </w:r>
      <w:r w:rsidR="007F18B5">
        <w:t>position of the fires, Bay. No. 9 produces lower alarm times, probably due to the larger area. No particular differences were retrieved in the</w:t>
      </w:r>
      <w:r w:rsidR="00F96249">
        <w:t xml:space="preserve"> position of the activated</w:t>
      </w:r>
      <w:r w:rsidR="007F18B5">
        <w:t xml:space="preserve"> sensors. </w:t>
      </w:r>
      <w:r w:rsidR="00F96249">
        <w:t>Indeed</w:t>
      </w:r>
      <w:r w:rsidR="007F18B5">
        <w:t>, only sensor</w:t>
      </w:r>
      <w:r w:rsidR="00F96249">
        <w:t>s</w:t>
      </w:r>
      <w:r w:rsidR="007F18B5">
        <w:t xml:space="preserve"> 8_9 (TEST 2) and 6_8 (TEST 4) </w:t>
      </w:r>
      <w:r w:rsidR="00156E68">
        <w:t>differ</w:t>
      </w:r>
      <w:r w:rsidR="007F18B5">
        <w:t xml:space="preserve"> for </w:t>
      </w:r>
      <w:r w:rsidR="007F18B5" w:rsidRPr="00156E68">
        <w:rPr>
          <w:i/>
          <w:iCs/>
          <w:lang w:val="en-GB"/>
        </w:rPr>
        <w:t>t</w:t>
      </w:r>
      <w:r w:rsidR="007F18B5" w:rsidRPr="00156E68">
        <w:rPr>
          <w:i/>
          <w:iCs/>
          <w:vertAlign w:val="subscript"/>
          <w:lang w:val="en-GB"/>
        </w:rPr>
        <w:t>alarm,3</w:t>
      </w:r>
      <w:r w:rsidR="007F18B5" w:rsidRPr="00156E68">
        <w:rPr>
          <w:i/>
          <w:iCs/>
        </w:rPr>
        <w:t>.</w:t>
      </w:r>
      <w:r w:rsidR="007F18B5">
        <w:t xml:space="preserve"> Nevertheless, for TEST 2</w:t>
      </w:r>
      <w:r w:rsidR="00F96249">
        <w:t>,</w:t>
      </w:r>
      <w:r w:rsidR="007F18B5">
        <w:t xml:space="preserve"> sensor 6_8 is activated </w:t>
      </w:r>
      <w:r w:rsidR="001D6253">
        <w:t xml:space="preserve">only </w:t>
      </w:r>
      <w:r w:rsidR="007F18B5">
        <w:t>10s after sensor 8_9.</w:t>
      </w:r>
      <w:r w:rsidR="008F5896">
        <w:t xml:space="preserve"> </w:t>
      </w:r>
      <w:r w:rsidR="00F96249">
        <w:t>In addition to that, t</w:t>
      </w:r>
      <w:r w:rsidR="008F5896">
        <w:t>he main result that can be retrieved from Table 2 is that based on these simulations</w:t>
      </w:r>
      <w:r w:rsidR="00F96249">
        <w:t>,</w:t>
      </w:r>
      <w:r w:rsidR="008F5896">
        <w:t xml:space="preserve"> the system seems to be effective in </w:t>
      </w:r>
      <w:r w:rsidR="00156E68">
        <w:t>detecting</w:t>
      </w:r>
      <w:r w:rsidR="008F5896">
        <w:t xml:space="preserve"> the fire despite the out of standards ceiling height. Indeed,</w:t>
      </w:r>
      <w:r w:rsidR="007F18B5">
        <w:t xml:space="preserve"> </w:t>
      </w:r>
      <w:r w:rsidR="008F5896" w:rsidRPr="008F5896">
        <w:t xml:space="preserve">to compare </w:t>
      </w:r>
      <w:r w:rsidR="008F5896">
        <w:t xml:space="preserve">the </w:t>
      </w:r>
      <w:r w:rsidR="008F5896" w:rsidRPr="008F5896">
        <w:t>alarm times,</w:t>
      </w:r>
      <w:r w:rsidR="00920D77">
        <w:t xml:space="preserve"> the</w:t>
      </w:r>
      <w:r w:rsidR="008F5896" w:rsidRPr="008F5896">
        <w:t xml:space="preserve"> UNI/TR </w:t>
      </w:r>
      <w:r w:rsidR="008F5896" w:rsidRPr="008F5896">
        <w:rPr>
          <w:rFonts w:cs="Arial"/>
          <w:szCs w:val="18"/>
        </w:rPr>
        <w:t>11694:2017</w:t>
      </w:r>
      <w:r w:rsidR="00920D77">
        <w:rPr>
          <w:rFonts w:cs="Arial"/>
          <w:szCs w:val="18"/>
        </w:rPr>
        <w:t xml:space="preserve"> directive</w:t>
      </w:r>
      <w:r w:rsidR="008F5896" w:rsidRPr="008F5896">
        <w:rPr>
          <w:rFonts w:cs="Arial"/>
          <w:szCs w:val="18"/>
        </w:rPr>
        <w:t xml:space="preserve"> </w:t>
      </w:r>
      <w:r w:rsidR="008F5896" w:rsidRPr="008F5896">
        <w:rPr>
          <w:rFonts w:eastAsiaTheme="minorEastAsia" w:cs="Arial"/>
          <w:szCs w:val="18"/>
        </w:rPr>
        <w:fldChar w:fldCharType="begin" w:fldLock="1"/>
      </w:r>
      <w:r w:rsidR="00920D77">
        <w:rPr>
          <w:rFonts w:eastAsiaTheme="minorEastAsia" w:cs="Arial"/>
          <w:szCs w:val="18"/>
        </w:rPr>
        <w:instrText>ADDIN CSL_CITATION {"citationItems":[{"id":"ITEM-1","itemData":{"author":[{"dropping-particle":"","family":"UNI","given":"","non-dropping-particle":"","parse-names":false,"suffix":""}],"id":"ITEM-1","issued":{"date-parts":[["2017"]]},"title":"UNI/TR 11694:2017, Linea guida per la progettazione, l'installazione, la messa in servizio, la verifica funzionale, l'esercizio e la manutenzione dei sistemi di rivelazione fumo ad aspirazione","type":"article"},"uris":["http://www.mendeley.com/documents/?uuid=da09de06-70f8-4408-a747-d93d0fe5e960"]}],"mendeley":{"formattedCitation":"(UNI, 2017)","plainTextFormattedCitation":"(UNI, 2017)","previouslyFormattedCitation":"(UNI, 2017)"},"properties":{"noteIndex":0},"schema":"https://github.com/citation-style-language/schema/raw/master/csl-citation.json"}</w:instrText>
      </w:r>
      <w:r w:rsidR="008F5896" w:rsidRPr="008F5896">
        <w:rPr>
          <w:rFonts w:eastAsiaTheme="minorEastAsia" w:cs="Arial"/>
          <w:szCs w:val="18"/>
        </w:rPr>
        <w:fldChar w:fldCharType="separate"/>
      </w:r>
      <w:r w:rsidR="008F5896" w:rsidRPr="008F5896">
        <w:rPr>
          <w:rFonts w:eastAsiaTheme="minorEastAsia" w:cs="Arial"/>
          <w:noProof/>
          <w:szCs w:val="18"/>
        </w:rPr>
        <w:t>(UNI, 2017)</w:t>
      </w:r>
      <w:r w:rsidR="008F5896" w:rsidRPr="008F5896">
        <w:rPr>
          <w:rFonts w:eastAsiaTheme="minorEastAsia" w:cs="Arial"/>
          <w:szCs w:val="18"/>
        </w:rPr>
        <w:fldChar w:fldCharType="end"/>
      </w:r>
      <w:r w:rsidR="008F5896" w:rsidRPr="008F5896">
        <w:rPr>
          <w:rFonts w:cs="Arial"/>
          <w:szCs w:val="18"/>
        </w:rPr>
        <w:t xml:space="preserve"> </w:t>
      </w:r>
      <w:r w:rsidR="00920D77">
        <w:rPr>
          <w:rFonts w:cs="Arial"/>
          <w:szCs w:val="18"/>
        </w:rPr>
        <w:t>was</w:t>
      </w:r>
      <w:r w:rsidR="008F5896" w:rsidRPr="008F5896">
        <w:t xml:space="preserve"> taken </w:t>
      </w:r>
      <w:r w:rsidR="008F5896" w:rsidRPr="000823C1">
        <w:t xml:space="preserve">into account. </w:t>
      </w:r>
      <w:r w:rsidR="00920D77" w:rsidRPr="000823C1">
        <w:t>Here, f</w:t>
      </w:r>
      <w:r w:rsidR="008F5896" w:rsidRPr="000823C1">
        <w:t xml:space="preserve">ield tests </w:t>
      </w:r>
      <w:r w:rsidR="00F96249" w:rsidRPr="000823C1">
        <w:t xml:space="preserve">that simulate a fire principle are </w:t>
      </w:r>
      <w:r w:rsidR="000823C1" w:rsidRPr="000823C1">
        <w:t>recommended</w:t>
      </w:r>
      <w:r w:rsidR="00F96249" w:rsidRPr="000823C1">
        <w:t xml:space="preserve"> to verify the correct functioning of ASD systems, recognized as</w:t>
      </w:r>
      <w:r w:rsidR="00920D77" w:rsidRPr="000823C1">
        <w:t xml:space="preserve"> very</w:t>
      </w:r>
      <w:r w:rsidR="008F5896" w:rsidRPr="000823C1">
        <w:t xml:space="preserve"> high sensitivity </w:t>
      </w:r>
      <w:r w:rsidR="00920D77" w:rsidRPr="000823C1">
        <w:rPr>
          <w:rFonts w:eastAsiaTheme="minorEastAsia"/>
        </w:rPr>
        <w:fldChar w:fldCharType="begin" w:fldLock="1"/>
      </w:r>
      <w:r w:rsidR="00B42DCB">
        <w:rPr>
          <w:rFonts w:eastAsiaTheme="minorEastAsia"/>
        </w:rPr>
        <w:instrText>ADDIN CSL_CITATION {"citationItems":[{"id":"ITEM-1","itemData":{"ISBN":"9780580523595","author":[{"dropping-particle":"","family":"BSI","given":"","non-dropping-particle":"","parse-names":false,"suffix":""}],"id":"ITEM-1","issued":{"date-parts":[["2017"]]},"publisher":"BSI Stabdards Publication","title":"BSI 5839-1:2017, Fire detection and fire alarm systems for buildings. BSI Stand. Publ.","type":"article"},"uris":["http://www.mendeley.com/documents/?uuid=46c1fa4d-2af3-4bca-928f-4710205a8115"]}],"mendeley":{"formattedCitation":"(BSI, 2017)","plainTextFormattedCitation":"(BSI, 2017)","previouslyFormattedCitation":"(BSI, 2017)"},"properties":{"noteIndex":0},"schema":"https://github.com/citation-style-language/schema/raw/master/csl-citation.json"}</w:instrText>
      </w:r>
      <w:r w:rsidR="00920D77" w:rsidRPr="000823C1">
        <w:rPr>
          <w:rFonts w:eastAsiaTheme="minorEastAsia"/>
        </w:rPr>
        <w:fldChar w:fldCharType="separate"/>
      </w:r>
      <w:r w:rsidR="00920D77" w:rsidRPr="000823C1">
        <w:rPr>
          <w:rFonts w:eastAsiaTheme="minorEastAsia"/>
          <w:noProof/>
        </w:rPr>
        <w:t>(BSI, 2017)</w:t>
      </w:r>
      <w:r w:rsidR="00920D77" w:rsidRPr="000823C1">
        <w:rPr>
          <w:rFonts w:eastAsiaTheme="minorEastAsia"/>
        </w:rPr>
        <w:fldChar w:fldCharType="end"/>
      </w:r>
      <w:r w:rsidR="00FF3FEC" w:rsidRPr="000823C1">
        <w:rPr>
          <w:rFonts w:eastAsiaTheme="minorEastAsia"/>
        </w:rPr>
        <w:t xml:space="preserve">. </w:t>
      </w:r>
      <w:r w:rsidR="008F5896" w:rsidRPr="000823C1">
        <w:t>For heights greater than 3 m</w:t>
      </w:r>
      <w:r w:rsidR="00F96249" w:rsidRPr="000823C1">
        <w:t>,</w:t>
      </w:r>
      <w:r w:rsidR="008F5896" w:rsidRPr="000823C1">
        <w:t xml:space="preserve"> it is recommended to use smoke </w:t>
      </w:r>
      <w:r w:rsidR="00FF3FEC" w:rsidRPr="000823C1">
        <w:t>tabs</w:t>
      </w:r>
      <w:r w:rsidR="008F5896" w:rsidRPr="000823C1">
        <w:t xml:space="preserve">. In this </w:t>
      </w:r>
      <w:r w:rsidR="008F5896" w:rsidRPr="000823C1">
        <w:lastRenderedPageBreak/>
        <w:t xml:space="preserve">case, the system shall detect a response within 180s </w:t>
      </w:r>
      <w:r w:rsidR="00156E68">
        <w:t>since</w:t>
      </w:r>
      <w:r w:rsidR="008F5896" w:rsidRPr="000823C1">
        <w:t xml:space="preserve"> the burner is switched off. In the simulations performed, this tim</w:t>
      </w:r>
      <w:r w:rsidR="00FF3FEC" w:rsidRPr="000823C1">
        <w:t>e</w:t>
      </w:r>
      <w:r w:rsidR="008F5896" w:rsidRPr="000823C1">
        <w:t xml:space="preserve"> is respected even in the worst case (174s).</w:t>
      </w:r>
    </w:p>
    <w:p w14:paraId="7FDBB24C" w14:textId="5E662EC7" w:rsidR="00186BE5" w:rsidRDefault="00186BE5" w:rsidP="00186BE5">
      <w:pPr>
        <w:pStyle w:val="CETheadingx"/>
        <w:numPr>
          <w:ilvl w:val="2"/>
          <w:numId w:val="23"/>
        </w:numPr>
      </w:pPr>
      <w:r>
        <w:t>Heat fluxes and temperature fields</w:t>
      </w:r>
    </w:p>
    <w:p w14:paraId="418D2A52" w14:textId="7C56FEB6" w:rsidR="00186BE5" w:rsidRDefault="00FF3FEC" w:rsidP="00730DDE">
      <w:pPr>
        <w:pStyle w:val="CETBodytext"/>
        <w:spacing w:after="120"/>
      </w:pPr>
      <w:r>
        <w:t xml:space="preserve">In this section, the temperature field at </w:t>
      </w:r>
      <w:proofErr w:type="spellStart"/>
      <w:r w:rsidRPr="00730DDE">
        <w:rPr>
          <w:i/>
          <w:iCs/>
          <w:lang w:val="en-GB"/>
        </w:rPr>
        <w:t>t</w:t>
      </w:r>
      <w:r w:rsidRPr="00730DDE">
        <w:rPr>
          <w:i/>
          <w:iCs/>
          <w:vertAlign w:val="subscript"/>
          <w:lang w:val="en-GB"/>
        </w:rPr>
        <w:t>alarm</w:t>
      </w:r>
      <w:proofErr w:type="spellEnd"/>
      <w:r>
        <w:t xml:space="preserve"> retrieved in TEST1 </w:t>
      </w:r>
      <w:r w:rsidR="00775695">
        <w:t>is</w:t>
      </w:r>
      <w:r>
        <w:t xml:space="preserve"> reported</w:t>
      </w:r>
      <w:r w:rsidR="002172E4">
        <w:t xml:space="preserve"> (Figure 3). For the sake of brevity, the other tests are not </w:t>
      </w:r>
      <w:r w:rsidR="00F96249">
        <w:t>shown</w:t>
      </w:r>
      <w:r w:rsidR="002172E4">
        <w:t>. On the other hand, the radiative heat fluxes at the alarm time (</w:t>
      </w:r>
      <m:oMath>
        <m:sSub>
          <m:sSubPr>
            <m:ctrlPr>
              <w:rPr>
                <w:rFonts w:ascii="Cambria Math" w:hAnsi="Cambria Math"/>
                <w:i/>
                <w:lang w:val="en-GB"/>
              </w:rPr>
            </m:ctrlPr>
          </m:sSubPr>
          <m:e>
            <m:r>
              <w:rPr>
                <w:rFonts w:ascii="Cambria Math" w:hAnsi="Cambria Math"/>
                <w:lang w:val="en-GB"/>
              </w:rPr>
              <m:t>q</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alarm</m:t>
                </m:r>
              </m:sub>
            </m:sSub>
            <m:r>
              <w:rPr>
                <w:rFonts w:ascii="Cambria Math" w:hAnsi="Cambria Math"/>
                <w:lang w:val="en-GB"/>
              </w:rPr>
              <m:t xml:space="preserve"> </m:t>
            </m:r>
          </m:sub>
        </m:sSub>
      </m:oMath>
      <w:r w:rsidR="002172E4">
        <w:t>) are reported for all the tests (Table 4).</w:t>
      </w:r>
    </w:p>
    <w:p w14:paraId="08D1ED95" w14:textId="59F09468" w:rsidR="00FA4BA5" w:rsidRDefault="00CE48EC" w:rsidP="00E357AE">
      <w:pPr>
        <w:pStyle w:val="CETBodytext"/>
        <w:rPr>
          <w:lang w:val="en-GB"/>
        </w:rPr>
      </w:pPr>
      <w:r>
        <w:rPr>
          <w:noProof/>
          <w:lang w:val="en-GB"/>
        </w:rPr>
        <w:drawing>
          <wp:inline distT="0" distB="0" distL="0" distR="0" wp14:anchorId="0F9CCD67" wp14:editId="0F8A1170">
            <wp:extent cx="3810000" cy="136658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822" t="7599" r="48316"/>
                    <a:stretch/>
                  </pic:blipFill>
                  <pic:spPr bwMode="auto">
                    <a:xfrm>
                      <a:off x="0" y="0"/>
                      <a:ext cx="3900229" cy="1398946"/>
                    </a:xfrm>
                    <a:prstGeom prst="rect">
                      <a:avLst/>
                    </a:prstGeom>
                    <a:noFill/>
                    <a:ln>
                      <a:noFill/>
                    </a:ln>
                    <a:extLst>
                      <a:ext uri="{53640926-AAD7-44D8-BBD7-CCE9431645EC}">
                        <a14:shadowObscured xmlns:a14="http://schemas.microsoft.com/office/drawing/2010/main"/>
                      </a:ext>
                    </a:extLst>
                  </pic:spPr>
                </pic:pic>
              </a:graphicData>
            </a:graphic>
          </wp:inline>
        </w:drawing>
      </w:r>
    </w:p>
    <w:p w14:paraId="7185C92B" w14:textId="307686ED" w:rsidR="0045539C" w:rsidRPr="00B57B36" w:rsidRDefault="0045539C" w:rsidP="00775695">
      <w:pPr>
        <w:pStyle w:val="CETTabletitle"/>
        <w:spacing w:before="0"/>
        <w:jc w:val="both"/>
      </w:pPr>
      <w:r>
        <w:t>Figure</w:t>
      </w:r>
      <w:r w:rsidRPr="00B57B36">
        <w:t xml:space="preserve"> </w:t>
      </w:r>
      <w:r w:rsidR="00FF3FEC">
        <w:t>3</w:t>
      </w:r>
      <w:r w:rsidRPr="00B57B36">
        <w:t xml:space="preserve">: </w:t>
      </w:r>
      <w:r>
        <w:t>Temperature field</w:t>
      </w:r>
      <w:r w:rsidR="00191991">
        <w:t xml:space="preserve"> </w:t>
      </w:r>
      <w:r w:rsidR="00191991">
        <w:rPr>
          <w:lang w:val="en-US"/>
        </w:rPr>
        <w:t>at the alarm times</w:t>
      </w:r>
      <w:r>
        <w:t xml:space="preserve"> in the vertical (a) and c</w:t>
      </w:r>
      <w:r w:rsidRPr="0045539C">
        <w:rPr>
          <w:lang w:val="en-US"/>
        </w:rPr>
        <w:t>ross</w:t>
      </w:r>
      <w:r>
        <w:rPr>
          <w:lang w:val="en-US"/>
        </w:rPr>
        <w:t xml:space="preserve"> at the height of the detection system</w:t>
      </w:r>
      <w:r w:rsidR="00191991">
        <w:rPr>
          <w:lang w:val="en-US"/>
        </w:rPr>
        <w:t xml:space="preserve"> (b)</w:t>
      </w:r>
      <w:r>
        <w:rPr>
          <w:lang w:val="en-US"/>
        </w:rPr>
        <w:t xml:space="preserve"> sections. </w:t>
      </w:r>
    </w:p>
    <w:p w14:paraId="30A43BA5" w14:textId="08529951" w:rsidR="002172E4" w:rsidRPr="002172E4" w:rsidRDefault="002172E4" w:rsidP="000E6B77">
      <w:pPr>
        <w:pStyle w:val="CETTabletitle"/>
        <w:spacing w:before="120"/>
        <w:rPr>
          <w:lang w:val="en-US"/>
        </w:rPr>
      </w:pPr>
      <w:r w:rsidRPr="00B57B36">
        <w:t xml:space="preserve">Table </w:t>
      </w:r>
      <w:r>
        <w:t>4</w:t>
      </w:r>
      <w:r w:rsidRPr="00B57B36">
        <w:t xml:space="preserve">: </w:t>
      </w:r>
      <w:r>
        <w:t>Radiative heat flux at alarm time</w:t>
      </w:r>
      <w:r w:rsidR="009D59E9">
        <w:t xml:space="preserve"> </w:t>
      </w:r>
      <w:r>
        <w:t>(</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t</m:t>
                </m:r>
              </m:e>
              <m:sub>
                <m:r>
                  <w:rPr>
                    <w:rFonts w:ascii="Cambria Math" w:hAnsi="Cambria Math"/>
                  </w:rPr>
                  <m:t>alarm,i</m:t>
                </m:r>
              </m:sub>
            </m:sSub>
          </m:sub>
        </m:sSub>
      </m:oMath>
      <w:r w:rsidRPr="002172E4">
        <w:t>)</w:t>
      </w:r>
      <w:r>
        <w:t xml:space="preserve"> expressed in </w:t>
      </w:r>
      <w:r w:rsidRPr="002172E4">
        <w:t>kW m</w:t>
      </w:r>
      <w:r w:rsidRPr="002172E4">
        <w:rPr>
          <w:vertAlign w:val="superscript"/>
        </w:rPr>
        <w:t>-2</w:t>
      </w:r>
      <w:r>
        <w:t xml:space="preserve"> of the first three sensor</w:t>
      </w:r>
      <w:r w:rsidR="009D59E9">
        <w:t>s</w:t>
      </w:r>
      <w:r>
        <w:t xml:space="preserve"> activated.</w:t>
      </w:r>
    </w:p>
    <w:tbl>
      <w:tblPr>
        <w:tblW w:w="886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50"/>
        <w:gridCol w:w="1530"/>
        <w:gridCol w:w="1620"/>
        <w:gridCol w:w="1692"/>
        <w:gridCol w:w="1773"/>
      </w:tblGrid>
      <w:tr w:rsidR="002172E4" w:rsidRPr="00B57B36" w14:paraId="1B44E674" w14:textId="77777777" w:rsidTr="00AD4433">
        <w:trPr>
          <w:trHeight w:val="244"/>
        </w:trPr>
        <w:tc>
          <w:tcPr>
            <w:tcW w:w="2250" w:type="dxa"/>
            <w:tcBorders>
              <w:top w:val="single" w:sz="12" w:space="0" w:color="008000"/>
              <w:bottom w:val="single" w:sz="6" w:space="0" w:color="008000"/>
            </w:tcBorders>
            <w:shd w:val="clear" w:color="auto" w:fill="FFFFFF"/>
            <w:vAlign w:val="center"/>
          </w:tcPr>
          <w:p w14:paraId="7D19B2E2" w14:textId="6A38B45C" w:rsidR="002172E4" w:rsidRPr="00CB1EAC" w:rsidRDefault="00CD7CF0" w:rsidP="00AD4433">
            <w:pPr>
              <w:pStyle w:val="CETBodytext"/>
              <w:jc w:val="center"/>
            </w:pPr>
            <m:oMath>
              <m:sSub>
                <m:sSubPr>
                  <m:ctrlPr>
                    <w:rPr>
                      <w:rFonts w:ascii="Cambria Math" w:hAnsi="Cambria Math"/>
                      <w:i/>
                      <w:lang w:val="en-GB"/>
                    </w:rPr>
                  </m:ctrlPr>
                </m:sSubPr>
                <m:e>
                  <m:r>
                    <w:rPr>
                      <w:rFonts w:ascii="Cambria Math" w:hAnsi="Cambria Math"/>
                      <w:lang w:val="en-GB"/>
                    </w:rPr>
                    <m:t>q</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alarm</m:t>
                      </m:r>
                      <m:r>
                        <w:rPr>
                          <w:rFonts w:ascii="Cambria Math" w:hAnsi="Cambria Math"/>
                        </w:rPr>
                        <m:t>,</m:t>
                      </m:r>
                      <m:r>
                        <w:rPr>
                          <w:rFonts w:ascii="Cambria Math" w:hAnsi="Cambria Math"/>
                          <w:lang w:val="en-GB"/>
                        </w:rPr>
                        <m:t>i</m:t>
                      </m:r>
                    </m:sub>
                  </m:sSub>
                  <m:r>
                    <w:rPr>
                      <w:rFonts w:ascii="Cambria Math" w:hAnsi="Cambria Math"/>
                      <w:lang w:val="en-GB"/>
                    </w:rPr>
                    <m:t xml:space="preserve"> </m:t>
                  </m:r>
                </m:sub>
              </m:sSub>
            </m:oMath>
            <w:r w:rsidR="002172E4">
              <w:rPr>
                <w:lang w:val="en-GB"/>
              </w:rPr>
              <w:t>[kW m</w:t>
            </w:r>
            <w:r w:rsidR="002172E4" w:rsidRPr="00C61B46">
              <w:rPr>
                <w:vertAlign w:val="superscript"/>
                <w:lang w:val="en-GB"/>
              </w:rPr>
              <w:t>-2</w:t>
            </w:r>
            <w:r w:rsidR="002172E4">
              <w:rPr>
                <w:lang w:val="en-GB"/>
              </w:rPr>
              <w:t>]</w:t>
            </w:r>
            <w:r w:rsidR="00AD4433">
              <w:t xml:space="preserve"> </w:t>
            </w:r>
            <w:r w:rsidR="002172E4" w:rsidRPr="00CB1EAC">
              <w:t>(sensor</w:t>
            </w:r>
            <w:r w:rsidR="002172E4">
              <w:t xml:space="preserve"> #</w:t>
            </w:r>
            <w:r w:rsidR="002172E4" w:rsidRPr="00CB1EAC">
              <w:t>)</w:t>
            </w:r>
          </w:p>
        </w:tc>
        <w:tc>
          <w:tcPr>
            <w:tcW w:w="1530" w:type="dxa"/>
            <w:tcBorders>
              <w:top w:val="single" w:sz="12" w:space="0" w:color="008000"/>
              <w:bottom w:val="single" w:sz="6" w:space="0" w:color="008000"/>
            </w:tcBorders>
            <w:shd w:val="clear" w:color="auto" w:fill="FFFFFF"/>
            <w:vAlign w:val="center"/>
          </w:tcPr>
          <w:p w14:paraId="5DF07B44" w14:textId="77777777" w:rsidR="002172E4" w:rsidRPr="00B57B36" w:rsidRDefault="002172E4" w:rsidP="00AD4433">
            <w:pPr>
              <w:pStyle w:val="CETBodytext"/>
              <w:jc w:val="center"/>
              <w:rPr>
                <w:lang w:val="en-GB"/>
              </w:rPr>
            </w:pPr>
            <w:r>
              <w:rPr>
                <w:lang w:val="en-GB"/>
              </w:rPr>
              <w:t>TEST1</w:t>
            </w:r>
          </w:p>
        </w:tc>
        <w:tc>
          <w:tcPr>
            <w:tcW w:w="1620" w:type="dxa"/>
            <w:tcBorders>
              <w:top w:val="single" w:sz="12" w:space="0" w:color="008000"/>
              <w:bottom w:val="single" w:sz="6" w:space="0" w:color="008000"/>
            </w:tcBorders>
            <w:shd w:val="clear" w:color="auto" w:fill="FFFFFF"/>
            <w:vAlign w:val="center"/>
          </w:tcPr>
          <w:p w14:paraId="6DB5C095" w14:textId="77777777" w:rsidR="002172E4" w:rsidRPr="00B57B36" w:rsidRDefault="002172E4" w:rsidP="00AD4433">
            <w:pPr>
              <w:pStyle w:val="CETBodytext"/>
              <w:jc w:val="center"/>
              <w:rPr>
                <w:lang w:val="en-GB"/>
              </w:rPr>
            </w:pPr>
            <w:r>
              <w:rPr>
                <w:lang w:val="en-GB"/>
              </w:rPr>
              <w:t>TEST2</w:t>
            </w:r>
          </w:p>
        </w:tc>
        <w:tc>
          <w:tcPr>
            <w:tcW w:w="1692" w:type="dxa"/>
            <w:tcBorders>
              <w:top w:val="single" w:sz="12" w:space="0" w:color="008000"/>
              <w:bottom w:val="single" w:sz="6" w:space="0" w:color="008000"/>
            </w:tcBorders>
            <w:shd w:val="clear" w:color="auto" w:fill="FFFFFF"/>
            <w:vAlign w:val="center"/>
          </w:tcPr>
          <w:p w14:paraId="70AA0F02" w14:textId="77777777" w:rsidR="002172E4" w:rsidRPr="00B57B36" w:rsidRDefault="002172E4" w:rsidP="00AD4433">
            <w:pPr>
              <w:pStyle w:val="CETBodytext"/>
              <w:ind w:right="-1"/>
              <w:jc w:val="center"/>
              <w:rPr>
                <w:rFonts w:cs="Arial"/>
                <w:szCs w:val="18"/>
                <w:lang w:val="en-GB"/>
              </w:rPr>
            </w:pPr>
            <w:r>
              <w:rPr>
                <w:rFonts w:cs="Arial"/>
                <w:szCs w:val="18"/>
                <w:lang w:val="en-GB"/>
              </w:rPr>
              <w:t>TEST3</w:t>
            </w:r>
          </w:p>
        </w:tc>
        <w:tc>
          <w:tcPr>
            <w:tcW w:w="1773" w:type="dxa"/>
            <w:tcBorders>
              <w:top w:val="single" w:sz="12" w:space="0" w:color="008000"/>
              <w:bottom w:val="single" w:sz="6" w:space="0" w:color="008000"/>
            </w:tcBorders>
            <w:shd w:val="clear" w:color="auto" w:fill="FFFFFF"/>
            <w:vAlign w:val="center"/>
          </w:tcPr>
          <w:p w14:paraId="470EBBBC" w14:textId="77777777" w:rsidR="002172E4" w:rsidRPr="00B57B36" w:rsidRDefault="002172E4" w:rsidP="00AD4433">
            <w:pPr>
              <w:pStyle w:val="CETBodytext"/>
              <w:ind w:right="-1"/>
              <w:jc w:val="center"/>
              <w:rPr>
                <w:rFonts w:cs="Arial"/>
                <w:szCs w:val="18"/>
                <w:lang w:val="en-GB"/>
              </w:rPr>
            </w:pPr>
            <w:r>
              <w:rPr>
                <w:rFonts w:cs="Arial"/>
                <w:szCs w:val="18"/>
                <w:lang w:val="en-GB"/>
              </w:rPr>
              <w:t>TEST4</w:t>
            </w:r>
          </w:p>
        </w:tc>
      </w:tr>
      <w:tr w:rsidR="002172E4" w:rsidRPr="00B57B36" w14:paraId="60074A63" w14:textId="77777777" w:rsidTr="00AD4433">
        <w:trPr>
          <w:trHeight w:val="256"/>
        </w:trPr>
        <w:tc>
          <w:tcPr>
            <w:tcW w:w="2250" w:type="dxa"/>
            <w:shd w:val="clear" w:color="auto" w:fill="FFFFFF"/>
            <w:vAlign w:val="center"/>
          </w:tcPr>
          <w:p w14:paraId="3D49AABC" w14:textId="77777777" w:rsidR="002172E4" w:rsidRPr="004746EA" w:rsidRDefault="00CD7CF0" w:rsidP="00AD4433">
            <w:pPr>
              <w:pStyle w:val="CETBodytext"/>
              <w:jc w:val="center"/>
              <w:rPr>
                <w:sz w:val="16"/>
                <w:szCs w:val="18"/>
                <w:lang w:val="en-GB"/>
              </w:rPr>
            </w:pPr>
            <m:oMathPara>
              <m:oMathParaPr>
                <m:jc m:val="center"/>
              </m:oMathParaPr>
              <m:oMath>
                <m:sSub>
                  <m:sSubPr>
                    <m:ctrlPr>
                      <w:rPr>
                        <w:rFonts w:ascii="Cambria Math" w:hAnsi="Cambria Math"/>
                        <w:i/>
                        <w:sz w:val="16"/>
                        <w:szCs w:val="18"/>
                        <w:lang w:val="en-GB"/>
                      </w:rPr>
                    </m:ctrlPr>
                  </m:sSubPr>
                  <m:e>
                    <m:r>
                      <w:rPr>
                        <w:rFonts w:ascii="Cambria Math" w:hAnsi="Cambria Math"/>
                        <w:sz w:val="16"/>
                        <w:szCs w:val="18"/>
                        <w:lang w:val="en-GB"/>
                      </w:rPr>
                      <m:t>q</m:t>
                    </m:r>
                  </m:e>
                  <m:sub>
                    <m:sSub>
                      <m:sSubPr>
                        <m:ctrlPr>
                          <w:rPr>
                            <w:rFonts w:ascii="Cambria Math" w:hAnsi="Cambria Math"/>
                            <w:i/>
                            <w:sz w:val="16"/>
                            <w:szCs w:val="18"/>
                            <w:lang w:val="en-GB"/>
                          </w:rPr>
                        </m:ctrlPr>
                      </m:sSubPr>
                      <m:e>
                        <m:r>
                          <w:rPr>
                            <w:rFonts w:ascii="Cambria Math" w:hAnsi="Cambria Math"/>
                            <w:sz w:val="16"/>
                            <w:szCs w:val="18"/>
                            <w:lang w:val="en-GB"/>
                          </w:rPr>
                          <m:t>t</m:t>
                        </m:r>
                      </m:e>
                      <m:sub>
                        <m:r>
                          <w:rPr>
                            <w:rFonts w:ascii="Cambria Math" w:hAnsi="Cambria Math"/>
                            <w:sz w:val="16"/>
                            <w:szCs w:val="18"/>
                            <w:lang w:val="en-GB"/>
                          </w:rPr>
                          <m:t>alarm,1</m:t>
                        </m:r>
                      </m:sub>
                    </m:sSub>
                  </m:sub>
                </m:sSub>
              </m:oMath>
            </m:oMathPara>
          </w:p>
        </w:tc>
        <w:tc>
          <w:tcPr>
            <w:tcW w:w="1530" w:type="dxa"/>
            <w:shd w:val="clear" w:color="auto" w:fill="FFFFFF"/>
            <w:vAlign w:val="center"/>
          </w:tcPr>
          <w:p w14:paraId="4E27C9C9" w14:textId="77777777" w:rsidR="002172E4" w:rsidRPr="004746EA" w:rsidRDefault="002172E4" w:rsidP="00AD4433">
            <w:pPr>
              <w:pStyle w:val="CETBodytext"/>
              <w:jc w:val="center"/>
              <w:rPr>
                <w:sz w:val="16"/>
                <w:szCs w:val="18"/>
                <w:lang w:val="en-GB"/>
              </w:rPr>
            </w:pPr>
            <w:r w:rsidRPr="004746EA">
              <w:rPr>
                <w:sz w:val="16"/>
                <w:szCs w:val="18"/>
              </w:rPr>
              <w:t>8.68 (1_1)</w:t>
            </w:r>
          </w:p>
        </w:tc>
        <w:tc>
          <w:tcPr>
            <w:tcW w:w="1620" w:type="dxa"/>
            <w:shd w:val="clear" w:color="auto" w:fill="FFFFFF"/>
            <w:vAlign w:val="center"/>
          </w:tcPr>
          <w:p w14:paraId="6774F58A" w14:textId="77777777" w:rsidR="002172E4" w:rsidRPr="004746EA" w:rsidRDefault="002172E4" w:rsidP="00AD4433">
            <w:pPr>
              <w:pStyle w:val="CETBodytext"/>
              <w:jc w:val="center"/>
              <w:rPr>
                <w:sz w:val="16"/>
                <w:szCs w:val="18"/>
                <w:lang w:val="en-GB"/>
              </w:rPr>
            </w:pPr>
            <w:r w:rsidRPr="004746EA">
              <w:rPr>
                <w:sz w:val="16"/>
                <w:szCs w:val="18"/>
              </w:rPr>
              <w:t>4.46 (7_9)</w:t>
            </w:r>
          </w:p>
        </w:tc>
        <w:tc>
          <w:tcPr>
            <w:tcW w:w="1692" w:type="dxa"/>
            <w:shd w:val="clear" w:color="auto" w:fill="FFFFFF"/>
            <w:vAlign w:val="center"/>
          </w:tcPr>
          <w:p w14:paraId="0CFCA0F4" w14:textId="77777777" w:rsidR="002172E4" w:rsidRPr="004746EA" w:rsidRDefault="002172E4" w:rsidP="00AD4433">
            <w:pPr>
              <w:pStyle w:val="CETBodytext"/>
              <w:ind w:right="-1"/>
              <w:jc w:val="center"/>
              <w:rPr>
                <w:rFonts w:cs="Arial"/>
                <w:sz w:val="16"/>
                <w:szCs w:val="18"/>
                <w:lang w:val="en-GB"/>
              </w:rPr>
            </w:pPr>
            <w:r w:rsidRPr="004746EA">
              <w:rPr>
                <w:sz w:val="16"/>
                <w:szCs w:val="18"/>
              </w:rPr>
              <w:t>22.30 (1_1)</w:t>
            </w:r>
          </w:p>
        </w:tc>
        <w:tc>
          <w:tcPr>
            <w:tcW w:w="1773" w:type="dxa"/>
            <w:shd w:val="clear" w:color="auto" w:fill="FFFFFF"/>
            <w:vAlign w:val="center"/>
          </w:tcPr>
          <w:p w14:paraId="52B760BE" w14:textId="77777777" w:rsidR="002172E4" w:rsidRPr="004746EA" w:rsidRDefault="002172E4" w:rsidP="00AD4433">
            <w:pPr>
              <w:pStyle w:val="CETBodytext"/>
              <w:ind w:right="-1"/>
              <w:jc w:val="center"/>
              <w:rPr>
                <w:rFonts w:cs="Arial"/>
                <w:sz w:val="16"/>
                <w:szCs w:val="18"/>
                <w:lang w:val="en-GB"/>
              </w:rPr>
            </w:pPr>
            <w:r w:rsidRPr="004746EA">
              <w:rPr>
                <w:sz w:val="16"/>
                <w:szCs w:val="18"/>
              </w:rPr>
              <w:t>17.38 (7_9)</w:t>
            </w:r>
          </w:p>
        </w:tc>
      </w:tr>
      <w:tr w:rsidR="002172E4" w:rsidRPr="00B57B36" w14:paraId="661F4053" w14:textId="77777777" w:rsidTr="00AD4433">
        <w:trPr>
          <w:trHeight w:val="256"/>
        </w:trPr>
        <w:tc>
          <w:tcPr>
            <w:tcW w:w="2250" w:type="dxa"/>
            <w:shd w:val="clear" w:color="auto" w:fill="FFFFFF"/>
            <w:vAlign w:val="center"/>
          </w:tcPr>
          <w:p w14:paraId="12BDB15A" w14:textId="77777777" w:rsidR="002172E4" w:rsidRPr="004746EA" w:rsidRDefault="00CD7CF0" w:rsidP="00AD4433">
            <w:pPr>
              <w:pStyle w:val="CETBodytext"/>
              <w:jc w:val="center"/>
              <w:rPr>
                <w:sz w:val="16"/>
                <w:szCs w:val="18"/>
                <w:lang w:val="en-GB"/>
              </w:rPr>
            </w:pPr>
            <m:oMathPara>
              <m:oMathParaPr>
                <m:jc m:val="center"/>
              </m:oMathParaPr>
              <m:oMath>
                <m:sSub>
                  <m:sSubPr>
                    <m:ctrlPr>
                      <w:rPr>
                        <w:rFonts w:ascii="Cambria Math" w:hAnsi="Cambria Math"/>
                        <w:i/>
                        <w:sz w:val="16"/>
                        <w:szCs w:val="18"/>
                        <w:lang w:val="en-GB"/>
                      </w:rPr>
                    </m:ctrlPr>
                  </m:sSubPr>
                  <m:e>
                    <m:r>
                      <w:rPr>
                        <w:rFonts w:ascii="Cambria Math" w:hAnsi="Cambria Math"/>
                        <w:sz w:val="16"/>
                        <w:szCs w:val="18"/>
                        <w:lang w:val="en-GB"/>
                      </w:rPr>
                      <m:t>q</m:t>
                    </m:r>
                  </m:e>
                  <m:sub>
                    <m:sSub>
                      <m:sSubPr>
                        <m:ctrlPr>
                          <w:rPr>
                            <w:rFonts w:ascii="Cambria Math" w:hAnsi="Cambria Math"/>
                            <w:i/>
                            <w:sz w:val="16"/>
                            <w:szCs w:val="18"/>
                            <w:lang w:val="en-GB"/>
                          </w:rPr>
                        </m:ctrlPr>
                      </m:sSubPr>
                      <m:e>
                        <m:r>
                          <w:rPr>
                            <w:rFonts w:ascii="Cambria Math" w:hAnsi="Cambria Math"/>
                            <w:sz w:val="16"/>
                            <w:szCs w:val="18"/>
                            <w:lang w:val="en-GB"/>
                          </w:rPr>
                          <m:t>t</m:t>
                        </m:r>
                      </m:e>
                      <m:sub>
                        <m:r>
                          <w:rPr>
                            <w:rFonts w:ascii="Cambria Math" w:hAnsi="Cambria Math"/>
                            <w:sz w:val="16"/>
                            <w:szCs w:val="18"/>
                            <w:lang w:val="en-GB"/>
                          </w:rPr>
                          <m:t>alarm,2</m:t>
                        </m:r>
                      </m:sub>
                    </m:sSub>
                  </m:sub>
                </m:sSub>
              </m:oMath>
            </m:oMathPara>
          </w:p>
        </w:tc>
        <w:tc>
          <w:tcPr>
            <w:tcW w:w="1530" w:type="dxa"/>
            <w:shd w:val="clear" w:color="auto" w:fill="FFFFFF"/>
            <w:vAlign w:val="center"/>
          </w:tcPr>
          <w:p w14:paraId="12498711" w14:textId="77777777" w:rsidR="002172E4" w:rsidRPr="004746EA" w:rsidRDefault="002172E4" w:rsidP="00AD4433">
            <w:pPr>
              <w:pStyle w:val="CETBodytext"/>
              <w:jc w:val="center"/>
              <w:rPr>
                <w:sz w:val="16"/>
                <w:szCs w:val="18"/>
                <w:lang w:val="en-GB"/>
              </w:rPr>
            </w:pPr>
            <w:r w:rsidRPr="004746EA">
              <w:rPr>
                <w:sz w:val="16"/>
                <w:szCs w:val="18"/>
              </w:rPr>
              <w:t>2.22 (2_1)</w:t>
            </w:r>
          </w:p>
        </w:tc>
        <w:tc>
          <w:tcPr>
            <w:tcW w:w="1620" w:type="dxa"/>
            <w:shd w:val="clear" w:color="auto" w:fill="FFFFFF"/>
            <w:vAlign w:val="center"/>
          </w:tcPr>
          <w:p w14:paraId="29CF4196" w14:textId="77777777" w:rsidR="002172E4" w:rsidRPr="004746EA" w:rsidRDefault="002172E4" w:rsidP="00AD4433">
            <w:pPr>
              <w:pStyle w:val="CETBodytext"/>
              <w:jc w:val="center"/>
              <w:rPr>
                <w:sz w:val="16"/>
                <w:szCs w:val="18"/>
                <w:lang w:val="en-GB"/>
              </w:rPr>
            </w:pPr>
            <w:r w:rsidRPr="004746EA">
              <w:rPr>
                <w:sz w:val="16"/>
                <w:szCs w:val="18"/>
              </w:rPr>
              <w:t>5.57 (6_9)</w:t>
            </w:r>
          </w:p>
        </w:tc>
        <w:tc>
          <w:tcPr>
            <w:tcW w:w="1692" w:type="dxa"/>
            <w:shd w:val="clear" w:color="auto" w:fill="FFFFFF"/>
            <w:vAlign w:val="center"/>
          </w:tcPr>
          <w:p w14:paraId="0F13E9FE" w14:textId="77777777" w:rsidR="002172E4" w:rsidRPr="004746EA" w:rsidRDefault="002172E4" w:rsidP="00AD4433">
            <w:pPr>
              <w:pStyle w:val="CETBodytext"/>
              <w:ind w:right="-1"/>
              <w:jc w:val="center"/>
              <w:rPr>
                <w:rFonts w:cs="Arial"/>
                <w:sz w:val="16"/>
                <w:szCs w:val="18"/>
                <w:lang w:val="en-GB"/>
              </w:rPr>
            </w:pPr>
            <w:r w:rsidRPr="004746EA">
              <w:rPr>
                <w:sz w:val="16"/>
                <w:szCs w:val="18"/>
              </w:rPr>
              <w:t>11.03 (2_1)</w:t>
            </w:r>
          </w:p>
        </w:tc>
        <w:tc>
          <w:tcPr>
            <w:tcW w:w="1773" w:type="dxa"/>
            <w:shd w:val="clear" w:color="auto" w:fill="FFFFFF"/>
            <w:vAlign w:val="center"/>
          </w:tcPr>
          <w:p w14:paraId="0A04683A" w14:textId="77777777" w:rsidR="002172E4" w:rsidRPr="004746EA" w:rsidRDefault="002172E4" w:rsidP="00AD4433">
            <w:pPr>
              <w:pStyle w:val="CETBodytext"/>
              <w:ind w:right="-1"/>
              <w:jc w:val="center"/>
              <w:rPr>
                <w:rFonts w:cs="Arial"/>
                <w:sz w:val="16"/>
                <w:szCs w:val="18"/>
                <w:lang w:val="en-GB"/>
              </w:rPr>
            </w:pPr>
            <w:r w:rsidRPr="004746EA">
              <w:rPr>
                <w:sz w:val="16"/>
                <w:szCs w:val="18"/>
              </w:rPr>
              <w:t>50.25 (6_9)</w:t>
            </w:r>
          </w:p>
        </w:tc>
      </w:tr>
      <w:tr w:rsidR="002172E4" w:rsidRPr="00B57B36" w14:paraId="1B324AB2" w14:textId="77777777" w:rsidTr="00AD4433">
        <w:trPr>
          <w:trHeight w:val="256"/>
        </w:trPr>
        <w:tc>
          <w:tcPr>
            <w:tcW w:w="2250" w:type="dxa"/>
            <w:shd w:val="clear" w:color="auto" w:fill="FFFFFF"/>
            <w:vAlign w:val="center"/>
          </w:tcPr>
          <w:p w14:paraId="57F3A663" w14:textId="77777777" w:rsidR="002172E4" w:rsidRPr="004746EA" w:rsidRDefault="00CD7CF0" w:rsidP="00AD4433">
            <w:pPr>
              <w:pStyle w:val="CETBodytext"/>
              <w:ind w:right="-1"/>
              <w:jc w:val="center"/>
              <w:rPr>
                <w:rFonts w:cs="Arial"/>
                <w:sz w:val="16"/>
                <w:szCs w:val="18"/>
                <w:lang w:val="en-GB"/>
              </w:rPr>
            </w:pPr>
            <m:oMathPara>
              <m:oMathParaPr>
                <m:jc m:val="center"/>
              </m:oMathParaPr>
              <m:oMath>
                <m:sSub>
                  <m:sSubPr>
                    <m:ctrlPr>
                      <w:rPr>
                        <w:rFonts w:ascii="Cambria Math" w:hAnsi="Cambria Math"/>
                        <w:i/>
                        <w:sz w:val="16"/>
                        <w:szCs w:val="18"/>
                        <w:lang w:val="en-GB"/>
                      </w:rPr>
                    </m:ctrlPr>
                  </m:sSubPr>
                  <m:e>
                    <m:r>
                      <w:rPr>
                        <w:rFonts w:ascii="Cambria Math" w:hAnsi="Cambria Math"/>
                        <w:sz w:val="16"/>
                        <w:szCs w:val="18"/>
                        <w:lang w:val="en-GB"/>
                      </w:rPr>
                      <m:t>q</m:t>
                    </m:r>
                  </m:e>
                  <m:sub>
                    <m:sSub>
                      <m:sSubPr>
                        <m:ctrlPr>
                          <w:rPr>
                            <w:rFonts w:ascii="Cambria Math" w:hAnsi="Cambria Math"/>
                            <w:i/>
                            <w:sz w:val="16"/>
                            <w:szCs w:val="18"/>
                            <w:lang w:val="en-GB"/>
                          </w:rPr>
                        </m:ctrlPr>
                      </m:sSubPr>
                      <m:e>
                        <m:r>
                          <w:rPr>
                            <w:rFonts w:ascii="Cambria Math" w:hAnsi="Cambria Math"/>
                            <w:sz w:val="16"/>
                            <w:szCs w:val="18"/>
                            <w:lang w:val="en-GB"/>
                          </w:rPr>
                          <m:t>t</m:t>
                        </m:r>
                      </m:e>
                      <m:sub>
                        <m:r>
                          <w:rPr>
                            <w:rFonts w:ascii="Cambria Math" w:hAnsi="Cambria Math"/>
                            <w:sz w:val="16"/>
                            <w:szCs w:val="18"/>
                            <w:lang w:val="en-GB"/>
                          </w:rPr>
                          <m:t>alarm,3</m:t>
                        </m:r>
                      </m:sub>
                    </m:sSub>
                  </m:sub>
                </m:sSub>
              </m:oMath>
            </m:oMathPara>
          </w:p>
        </w:tc>
        <w:tc>
          <w:tcPr>
            <w:tcW w:w="1530" w:type="dxa"/>
            <w:shd w:val="clear" w:color="auto" w:fill="FFFFFF"/>
            <w:vAlign w:val="center"/>
          </w:tcPr>
          <w:p w14:paraId="394315EE" w14:textId="77777777" w:rsidR="002172E4" w:rsidRPr="004746EA" w:rsidRDefault="002172E4" w:rsidP="00AD4433">
            <w:pPr>
              <w:pStyle w:val="CETBodytext"/>
              <w:ind w:right="-1"/>
              <w:jc w:val="center"/>
              <w:rPr>
                <w:rFonts w:cs="Arial"/>
                <w:sz w:val="16"/>
                <w:szCs w:val="18"/>
                <w:lang w:val="en-GB"/>
              </w:rPr>
            </w:pPr>
            <w:r w:rsidRPr="004746EA">
              <w:rPr>
                <w:sz w:val="16"/>
                <w:szCs w:val="18"/>
              </w:rPr>
              <w:t>13.50 (1_2)</w:t>
            </w:r>
          </w:p>
        </w:tc>
        <w:tc>
          <w:tcPr>
            <w:tcW w:w="1620" w:type="dxa"/>
            <w:shd w:val="clear" w:color="auto" w:fill="FFFFFF"/>
            <w:vAlign w:val="center"/>
          </w:tcPr>
          <w:p w14:paraId="5DAD2FDD" w14:textId="77777777" w:rsidR="002172E4" w:rsidRPr="004746EA" w:rsidRDefault="002172E4" w:rsidP="00AD4433">
            <w:pPr>
              <w:pStyle w:val="CETBodytext"/>
              <w:ind w:right="-1"/>
              <w:jc w:val="center"/>
              <w:rPr>
                <w:rFonts w:cs="Arial"/>
                <w:sz w:val="16"/>
                <w:szCs w:val="18"/>
                <w:lang w:val="en-GB"/>
              </w:rPr>
            </w:pPr>
            <w:r w:rsidRPr="004746EA">
              <w:rPr>
                <w:sz w:val="16"/>
                <w:szCs w:val="18"/>
              </w:rPr>
              <w:t>0.86 (8_9)</w:t>
            </w:r>
          </w:p>
        </w:tc>
        <w:tc>
          <w:tcPr>
            <w:tcW w:w="1692" w:type="dxa"/>
            <w:shd w:val="clear" w:color="auto" w:fill="FFFFFF"/>
            <w:vAlign w:val="center"/>
          </w:tcPr>
          <w:p w14:paraId="58121A69" w14:textId="77777777" w:rsidR="002172E4" w:rsidRPr="004746EA" w:rsidRDefault="002172E4" w:rsidP="00AD4433">
            <w:pPr>
              <w:pStyle w:val="CETBodytext"/>
              <w:ind w:right="-1"/>
              <w:jc w:val="center"/>
              <w:rPr>
                <w:rFonts w:cs="Arial"/>
                <w:sz w:val="16"/>
                <w:szCs w:val="18"/>
                <w:lang w:val="en-GB"/>
              </w:rPr>
            </w:pPr>
            <w:r w:rsidRPr="004746EA">
              <w:rPr>
                <w:sz w:val="16"/>
                <w:szCs w:val="18"/>
              </w:rPr>
              <w:t>23.71 (1_2)</w:t>
            </w:r>
          </w:p>
        </w:tc>
        <w:tc>
          <w:tcPr>
            <w:tcW w:w="1773" w:type="dxa"/>
            <w:shd w:val="clear" w:color="auto" w:fill="FFFFFF"/>
            <w:vAlign w:val="center"/>
          </w:tcPr>
          <w:p w14:paraId="498C01EA" w14:textId="77777777" w:rsidR="002172E4" w:rsidRPr="004746EA" w:rsidRDefault="002172E4" w:rsidP="00AD4433">
            <w:pPr>
              <w:pStyle w:val="CETBodytext"/>
              <w:ind w:right="-1"/>
              <w:jc w:val="center"/>
              <w:rPr>
                <w:rFonts w:cs="Arial"/>
                <w:sz w:val="16"/>
                <w:szCs w:val="18"/>
                <w:lang w:val="en-GB"/>
              </w:rPr>
            </w:pPr>
            <w:r w:rsidRPr="004746EA">
              <w:rPr>
                <w:sz w:val="16"/>
                <w:szCs w:val="18"/>
              </w:rPr>
              <w:t>16.64 (6_8)</w:t>
            </w:r>
          </w:p>
        </w:tc>
      </w:tr>
    </w:tbl>
    <w:p w14:paraId="1D7B80C7" w14:textId="30B67180" w:rsidR="00FA4BA5" w:rsidRDefault="002172E4" w:rsidP="00F10F26">
      <w:pPr>
        <w:pStyle w:val="CETBodytext"/>
        <w:spacing w:before="120"/>
      </w:pPr>
      <w:r>
        <w:t>The temperature field</w:t>
      </w:r>
      <w:r w:rsidR="00F96249">
        <w:t>s</w:t>
      </w:r>
      <w:r>
        <w:t xml:space="preserve"> obtained in the two tests have a slightly different scale. As a matter of fact, the maximum temperature registered in TEST1 is 170°C</w:t>
      </w:r>
      <w:r w:rsidR="00F96249">
        <w:t>,</w:t>
      </w:r>
      <w:r>
        <w:t xml:space="preserve"> while in TEST4, characterized </w:t>
      </w:r>
      <w:r w:rsidR="00F96249">
        <w:t>by</w:t>
      </w:r>
      <w:r>
        <w:t xml:space="preserve"> ultra-fast fire growth</w:t>
      </w:r>
      <w:r w:rsidR="00F96249">
        <w:t xml:space="preserve"> rate</w:t>
      </w:r>
      <w:r>
        <w:t xml:space="preserve"> and higher HRRPUA, is 570°C.</w:t>
      </w:r>
      <w:r w:rsidR="00F96249">
        <w:t xml:space="preserve"> Moreover, it is possible to observe from the cross</w:t>
      </w:r>
      <w:r w:rsidR="000F34F0">
        <w:t>-</w:t>
      </w:r>
      <w:r w:rsidR="00F96249">
        <w:t xml:space="preserve">sections (Figure 3b and Figure 3d) that the fire developed preferentially in the direction of the boundary walls rather than the central part. This suggests </w:t>
      </w:r>
      <w:r w:rsidR="000F34F0">
        <w:t>putting</w:t>
      </w:r>
      <w:r w:rsidR="00F96249">
        <w:t xml:space="preserve"> a</w:t>
      </w:r>
      <w:r w:rsidR="001D1A20">
        <w:t>n increased</w:t>
      </w:r>
      <w:r w:rsidR="00F96249">
        <w:t xml:space="preserve"> number of devices in this area to </w:t>
      </w:r>
      <w:r w:rsidR="00B07891">
        <w:t>enhance</w:t>
      </w:r>
      <w:r w:rsidR="00F96249">
        <w:t xml:space="preserve"> the performance of the system</w:t>
      </w:r>
      <w:r w:rsidR="00B07891">
        <w:t xml:space="preserve"> with respect to </w:t>
      </w:r>
      <w:r w:rsidR="000F34F0">
        <w:t xml:space="preserve">the </w:t>
      </w:r>
      <w:r w:rsidR="00B07891">
        <w:t>s</w:t>
      </w:r>
      <w:r w:rsidR="008E33C9">
        <w:t>tandard design</w:t>
      </w:r>
      <w:r w:rsidR="00F96249">
        <w:t>.</w:t>
      </w:r>
      <w:r>
        <w:t xml:space="preserve"> A </w:t>
      </w:r>
      <w:r w:rsidR="00F96249">
        <w:t>similar result</w:t>
      </w:r>
      <w:r>
        <w:t xml:space="preserve"> is obtained for the heat fluxes, for </w:t>
      </w:r>
      <w:r w:rsidR="00EB2315">
        <w:t>which a maximum value of 50.25 kW m</w:t>
      </w:r>
      <w:r w:rsidR="00EB2315" w:rsidRPr="00EB2315">
        <w:rPr>
          <w:vertAlign w:val="superscript"/>
        </w:rPr>
        <w:t>-2</w:t>
      </w:r>
      <w:r w:rsidR="00EB2315">
        <w:t xml:space="preserve"> is obtained for TEST4 compared to the maximum value of 13.50 kW m</w:t>
      </w:r>
      <w:r w:rsidR="00EB2315" w:rsidRPr="00EB2315">
        <w:rPr>
          <w:vertAlign w:val="superscript"/>
        </w:rPr>
        <w:t>-2</w:t>
      </w:r>
      <w:r w:rsidR="00EB2315">
        <w:t xml:space="preserve"> of the tests with lower HRRPUA (i.e., TEST1 and TEST2). Th</w:t>
      </w:r>
      <w:r w:rsidR="003D2125">
        <w:t>e</w:t>
      </w:r>
      <w:r w:rsidR="00EB2315">
        <w:t>s</w:t>
      </w:r>
      <w:r w:rsidR="003D2125">
        <w:t>e</w:t>
      </w:r>
      <w:r w:rsidR="00EB2315">
        <w:t xml:space="preserve"> value</w:t>
      </w:r>
      <w:r w:rsidR="006D0A01">
        <w:t>s</w:t>
      </w:r>
      <w:r w:rsidR="00EB2315">
        <w:t xml:space="preserve"> could be </w:t>
      </w:r>
      <w:r w:rsidR="000F34F0">
        <w:t>help</w:t>
      </w:r>
      <w:r w:rsidR="00EB2315">
        <w:t>ful for structural evaluation.</w:t>
      </w:r>
    </w:p>
    <w:p w14:paraId="4843B2B0" w14:textId="70ED3CF4" w:rsidR="00E357AE" w:rsidRDefault="00EA33D1" w:rsidP="00E357AE">
      <w:pPr>
        <w:pStyle w:val="CETheadingx"/>
        <w:numPr>
          <w:ilvl w:val="2"/>
          <w:numId w:val="23"/>
        </w:numPr>
      </w:pPr>
      <w:r>
        <w:t>Alarm time as a function of ceiling heights</w:t>
      </w:r>
    </w:p>
    <w:p w14:paraId="1F600EEC" w14:textId="4E5F7474" w:rsidR="000F32F0" w:rsidRDefault="00EA33D1" w:rsidP="00911182">
      <w:pPr>
        <w:pStyle w:val="CETBodytext"/>
        <w:spacing w:before="120" w:after="120"/>
        <w:rPr>
          <w:lang w:val="en-GB"/>
        </w:rPr>
      </w:pPr>
      <w:r>
        <w:t>In order to explore the possibility to employ the proposed system also at higher ceiling heights, other 3 simulations</w:t>
      </w:r>
      <w:r w:rsidR="003D2125">
        <w:t>,</w:t>
      </w:r>
      <w:r>
        <w:t xml:space="preserve"> with the same </w:t>
      </w:r>
      <w:r w:rsidR="00637283">
        <w:t>features</w:t>
      </w:r>
      <w:r>
        <w:t xml:space="preserve"> of TEST1 (i.e., the one with the slower alarm time)</w:t>
      </w:r>
      <w:r w:rsidR="003D2125">
        <w:t xml:space="preserve">, </w:t>
      </w:r>
      <w:r w:rsidR="00637283">
        <w:t>except for</w:t>
      </w:r>
      <w:r>
        <w:t xml:space="preserve"> the ceiling heights</w:t>
      </w:r>
      <w:r w:rsidR="003D2125">
        <w:t>,</w:t>
      </w:r>
      <w:r>
        <w:t xml:space="preserve"> were conducted. More specifically, the ceiling height</w:t>
      </w:r>
      <w:r w:rsidR="00585664">
        <w:t>s (</w:t>
      </w:r>
      <w:r w:rsidR="00585664" w:rsidRPr="00637283">
        <w:rPr>
          <w:i/>
          <w:iCs/>
        </w:rPr>
        <w:t>h</w:t>
      </w:r>
      <w:r w:rsidR="00585664" w:rsidRPr="00637283">
        <w:rPr>
          <w:i/>
          <w:iCs/>
          <w:vertAlign w:val="subscript"/>
        </w:rPr>
        <w:t>min</w:t>
      </w:r>
      <w:r w:rsidR="00585664">
        <w:t xml:space="preserve"> and </w:t>
      </w:r>
      <w:r w:rsidR="00585664" w:rsidRPr="00637283">
        <w:rPr>
          <w:i/>
          <w:iCs/>
        </w:rPr>
        <w:t>h</w:t>
      </w:r>
      <w:r w:rsidR="00585664" w:rsidRPr="00637283">
        <w:rPr>
          <w:i/>
          <w:iCs/>
          <w:vertAlign w:val="subscript"/>
        </w:rPr>
        <w:t>max</w:t>
      </w:r>
      <w:r w:rsidR="00585664">
        <w:t>)</w:t>
      </w:r>
      <w:r>
        <w:t xml:space="preserve"> w</w:t>
      </w:r>
      <w:r w:rsidR="00585664">
        <w:t>ere</w:t>
      </w:r>
      <w:r>
        <w:t xml:space="preserve"> firstly doubled (20.6 m and 26 m) and then tripled (30.9 m and 39</w:t>
      </w:r>
      <w:r w:rsidR="00637283">
        <w:t xml:space="preserve"> </w:t>
      </w:r>
      <w:r>
        <w:t>m). Moreover, a simulation was conducted at the highe</w:t>
      </w:r>
      <w:r w:rsidR="002571DB">
        <w:t>st</w:t>
      </w:r>
      <w:r>
        <w:t xml:space="preserve"> limit of the</w:t>
      </w:r>
      <w:r w:rsidR="002571DB">
        <w:t xml:space="preserve"> </w:t>
      </w:r>
      <w:r w:rsidR="002571DB" w:rsidRPr="002571DB">
        <w:t>BSI 5839-1:2017</w:t>
      </w:r>
      <w:r w:rsidR="002571DB">
        <w:t xml:space="preserve"> (i.e., 9.0 m)</w:t>
      </w:r>
      <w:r w:rsidR="000F32F0">
        <w:t xml:space="preserve"> </w:t>
      </w:r>
      <w:r w:rsidR="002571DB" w:rsidRPr="00725621">
        <w:rPr>
          <w:szCs w:val="18"/>
        </w:rPr>
        <w:fldChar w:fldCharType="begin" w:fldLock="1"/>
      </w:r>
      <w:r w:rsidR="002571DB">
        <w:rPr>
          <w:szCs w:val="18"/>
        </w:rPr>
        <w:instrText>ADDIN CSL_CITATION {"citationItems":[{"id":"ITEM-1","itemData":{"ISBN":"9780580523595","author":[{"dropping-particle":"","family":"BSI","given":"","non-dropping-particle":"","parse-names":false,"suffix":""}],"id":"ITEM-1","issued":{"date-parts":[["2017"]]},"publisher":"BSI Stabdards Publication","title":"BSI 5839-1:2017, Fire detection and fire alarm systems for buildings. BSI Stand. Publ.","type":"article"},"uris":["http://www.mendeley.com/documents/?uuid=46c1fa4d-2af3-4bca-928f-4710205a8115"]}],"mendeley":{"formattedCitation":"(BSI, 2017)","plainTextFormattedCitation":"(BSI, 2017)","previouslyFormattedCitation":"(BSI, 2017)"},"properties":{"noteIndex":0},"schema":"https://github.com/citation-style-language/schema/raw/master/csl-citation.json"}</w:instrText>
      </w:r>
      <w:r w:rsidR="002571DB" w:rsidRPr="00725621">
        <w:rPr>
          <w:szCs w:val="18"/>
        </w:rPr>
        <w:fldChar w:fldCharType="separate"/>
      </w:r>
      <w:r w:rsidR="002571DB" w:rsidRPr="00725621">
        <w:rPr>
          <w:noProof/>
          <w:szCs w:val="18"/>
        </w:rPr>
        <w:t>(BSI, 2017)</w:t>
      </w:r>
      <w:r w:rsidR="002571DB" w:rsidRPr="00725621">
        <w:rPr>
          <w:szCs w:val="18"/>
        </w:rPr>
        <w:fldChar w:fldCharType="end"/>
      </w:r>
      <w:r w:rsidR="002571DB">
        <w:rPr>
          <w:szCs w:val="18"/>
        </w:rPr>
        <w:t xml:space="preserve"> </w:t>
      </w:r>
      <w:r w:rsidR="002571DB">
        <w:t>(6.1 and 9.0 m)</w:t>
      </w:r>
      <w:r w:rsidR="009625AC">
        <w:t>.</w:t>
      </w:r>
      <w:r w:rsidR="000F32F0">
        <w:t xml:space="preserve"> The </w:t>
      </w:r>
      <w:proofErr w:type="spellStart"/>
      <w:r w:rsidR="000F32F0" w:rsidRPr="00637283">
        <w:rPr>
          <w:i/>
          <w:iCs/>
          <w:lang w:val="en-GB"/>
        </w:rPr>
        <w:t>t</w:t>
      </w:r>
      <w:r w:rsidR="000F32F0" w:rsidRPr="00637283">
        <w:rPr>
          <w:i/>
          <w:iCs/>
          <w:vertAlign w:val="subscript"/>
          <w:lang w:val="en-GB"/>
        </w:rPr>
        <w:t>alarm</w:t>
      </w:r>
      <w:proofErr w:type="spellEnd"/>
      <w:r w:rsidR="000F32F0">
        <w:rPr>
          <w:lang w:val="en-GB"/>
        </w:rPr>
        <w:t xml:space="preserve"> were then plot</w:t>
      </w:r>
      <w:r w:rsidR="00F96249">
        <w:rPr>
          <w:lang w:val="en-GB"/>
        </w:rPr>
        <w:t>ted</w:t>
      </w:r>
      <w:r w:rsidR="000F32F0">
        <w:rPr>
          <w:lang w:val="en-GB"/>
        </w:rPr>
        <w:t xml:space="preserve"> as a function of </w:t>
      </w:r>
      <w:proofErr w:type="spellStart"/>
      <w:r w:rsidR="000F32F0" w:rsidRPr="00637283">
        <w:rPr>
          <w:i/>
          <w:iCs/>
          <w:lang w:val="en-GB"/>
        </w:rPr>
        <w:t>h</w:t>
      </w:r>
      <w:r w:rsidR="00F96249" w:rsidRPr="00637283">
        <w:rPr>
          <w:i/>
          <w:iCs/>
          <w:vertAlign w:val="subscript"/>
          <w:lang w:val="en-GB"/>
        </w:rPr>
        <w:t>min</w:t>
      </w:r>
      <w:proofErr w:type="spellEnd"/>
      <w:r w:rsidR="000F32F0">
        <w:rPr>
          <w:lang w:val="en-GB"/>
        </w:rPr>
        <w:t xml:space="preserve"> (Figur</w:t>
      </w:r>
      <w:r w:rsidR="00585664">
        <w:rPr>
          <w:lang w:val="en-GB"/>
        </w:rPr>
        <w:t>e</w:t>
      </w:r>
      <w:r w:rsidR="000F32F0">
        <w:rPr>
          <w:lang w:val="en-GB"/>
        </w:rPr>
        <w:t xml:space="preserve"> 4a)</w:t>
      </w:r>
      <w:r w:rsidR="00F96249">
        <w:rPr>
          <w:lang w:val="en-GB"/>
        </w:rPr>
        <w:t>,</w:t>
      </w:r>
      <w:r w:rsidR="000F32F0">
        <w:rPr>
          <w:lang w:val="en-GB"/>
        </w:rPr>
        <w:t xml:space="preserve"> and the sensors which were resulted activated at </w:t>
      </w:r>
      <w:r w:rsidR="004505EB">
        <w:rPr>
          <w:lang w:val="en-GB"/>
        </w:rPr>
        <w:t>t</w:t>
      </w:r>
      <w:r w:rsidR="003D2125">
        <w:rPr>
          <w:lang w:val="en-GB"/>
        </w:rPr>
        <w:t>ime</w:t>
      </w:r>
      <w:r w:rsidR="004505EB">
        <w:rPr>
          <w:lang w:val="en-GB"/>
        </w:rPr>
        <w:t xml:space="preserve"> equal to </w:t>
      </w:r>
      <w:r w:rsidR="000F32F0">
        <w:rPr>
          <w:lang w:val="en-GB"/>
        </w:rPr>
        <w:t>400s</w:t>
      </w:r>
      <w:r w:rsidR="004505EB">
        <w:rPr>
          <w:lang w:val="en-GB"/>
        </w:rPr>
        <w:t xml:space="preserve"> (i.e., </w:t>
      </w:r>
      <w:r w:rsidR="00F96249">
        <w:rPr>
          <w:lang w:val="en-GB"/>
        </w:rPr>
        <w:t xml:space="preserve">the </w:t>
      </w:r>
      <w:r w:rsidR="004505EB">
        <w:rPr>
          <w:lang w:val="en-GB"/>
        </w:rPr>
        <w:t xml:space="preserve">time necessary to </w:t>
      </w:r>
      <w:proofErr w:type="gramStart"/>
      <w:r w:rsidR="004505EB">
        <w:rPr>
          <w:lang w:val="en-GB"/>
        </w:rPr>
        <w:t>appreciate also</w:t>
      </w:r>
      <w:proofErr w:type="gramEnd"/>
      <w:r w:rsidR="004505EB">
        <w:rPr>
          <w:lang w:val="en-GB"/>
        </w:rPr>
        <w:t xml:space="preserve"> the results of the highe</w:t>
      </w:r>
      <w:r w:rsidR="00F96249">
        <w:rPr>
          <w:lang w:val="en-GB"/>
        </w:rPr>
        <w:t xml:space="preserve">st ceiling </w:t>
      </w:r>
      <w:r w:rsidR="004505EB">
        <w:rPr>
          <w:lang w:val="en-GB"/>
        </w:rPr>
        <w:t>case)</w:t>
      </w:r>
      <w:r w:rsidR="000F32F0">
        <w:rPr>
          <w:lang w:val="en-GB"/>
        </w:rPr>
        <w:t xml:space="preserve"> </w:t>
      </w:r>
      <w:r w:rsidR="00637283">
        <w:rPr>
          <w:lang w:val="en-GB"/>
        </w:rPr>
        <w:t xml:space="preserve">were </w:t>
      </w:r>
      <w:r w:rsidR="000F32F0">
        <w:rPr>
          <w:lang w:val="en-GB"/>
        </w:rPr>
        <w:t>highlighted in Figure 4b</w:t>
      </w:r>
      <w:r w:rsidR="00F96249">
        <w:rPr>
          <w:lang w:val="en-GB"/>
        </w:rPr>
        <w:t xml:space="preserve">, </w:t>
      </w:r>
      <w:r w:rsidR="000F32F0">
        <w:rPr>
          <w:lang w:val="en-GB"/>
        </w:rPr>
        <w:t>Figure 4c</w:t>
      </w:r>
      <w:r w:rsidR="00F96249">
        <w:rPr>
          <w:lang w:val="en-GB"/>
        </w:rPr>
        <w:t xml:space="preserve">, </w:t>
      </w:r>
      <w:r w:rsidR="000F32F0">
        <w:rPr>
          <w:lang w:val="en-GB"/>
        </w:rPr>
        <w:t>and Figure 4d.</w:t>
      </w:r>
    </w:p>
    <w:p w14:paraId="18ED0006" w14:textId="78B546E5" w:rsidR="00536D71" w:rsidRDefault="0050452E" w:rsidP="00536D71">
      <w:pPr>
        <w:pStyle w:val="CETBodytext"/>
        <w:spacing w:before="80"/>
        <w:rPr>
          <w:rFonts w:asciiTheme="minorHAnsi" w:eastAsiaTheme="minorHAnsi" w:hAnsiTheme="minorHAnsi" w:cstheme="minorBidi"/>
          <w:sz w:val="22"/>
          <w:szCs w:val="22"/>
          <w:lang w:val="it-IT"/>
        </w:rPr>
      </w:pPr>
      <w:r>
        <w:rPr>
          <w:rFonts w:asciiTheme="minorHAnsi" w:eastAsiaTheme="minorHAnsi" w:hAnsiTheme="minorHAnsi" w:cstheme="minorBidi"/>
          <w:sz w:val="22"/>
          <w:szCs w:val="22"/>
          <w:lang w:val="it-IT"/>
        </w:rPr>
        <w:object w:dxaOrig="2925" w:dyaOrig="2250" w14:anchorId="02CD4C19">
          <v:shape id="_x0000_i1039" type="#_x0000_t75" alt="Project Path: C:\Users\carbmat91702\OneDrive - Università degli Studi di Padova\ONEDRIVE\DOTTORATO PADOVA\FSE\HERA\SPR\CISAP\heigth.opju&#10;PE Folder: /heigth/Folder1/&#10;Short Name: Graph1" style="width:149.55pt;height:115.7pt" o:ole="">
            <v:imagedata r:id="rId17" o:title=""/>
          </v:shape>
          <o:OLEObject Type="Embed" ProgID="Origin95.Graph" ShapeID="_x0000_i1039" DrawAspect="Content" ObjectID="_1706965006" r:id="rId18"/>
        </w:object>
      </w:r>
      <w:r w:rsidR="00536D71">
        <w:rPr>
          <w:rFonts w:asciiTheme="minorHAnsi" w:eastAsiaTheme="minorHAnsi" w:hAnsiTheme="minorHAnsi" w:cstheme="minorBidi"/>
          <w:noProof/>
          <w:sz w:val="22"/>
          <w:szCs w:val="22"/>
          <w:lang w:val="it-IT"/>
        </w:rPr>
        <w:drawing>
          <wp:inline distT="0" distB="0" distL="0" distR="0" wp14:anchorId="0209665F" wp14:editId="71789281">
            <wp:extent cx="3639861" cy="147501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6818" cy="1485939"/>
                    </a:xfrm>
                    <a:prstGeom prst="rect">
                      <a:avLst/>
                    </a:prstGeom>
                    <a:noFill/>
                  </pic:spPr>
                </pic:pic>
              </a:graphicData>
            </a:graphic>
          </wp:inline>
        </w:drawing>
      </w:r>
    </w:p>
    <w:p w14:paraId="5726AEB6" w14:textId="77777777" w:rsidR="00536D71" w:rsidRPr="000F32F0" w:rsidRDefault="00536D71" w:rsidP="00536D71">
      <w:pPr>
        <w:pStyle w:val="CETCaption"/>
        <w:spacing w:before="80" w:after="120"/>
      </w:pPr>
      <w:r>
        <w:t>Figure</w:t>
      </w:r>
      <w:r w:rsidRPr="00B57B36">
        <w:t xml:space="preserve"> </w:t>
      </w:r>
      <w:r>
        <w:t>4</w:t>
      </w:r>
      <w:r w:rsidRPr="00B57B36">
        <w:t xml:space="preserve">: </w:t>
      </w:r>
      <w:r>
        <w:t xml:space="preserve">a) </w:t>
      </w:r>
      <w:proofErr w:type="spellStart"/>
      <w:r>
        <w:t>t</w:t>
      </w:r>
      <w:r w:rsidRPr="006802B3">
        <w:rPr>
          <w:vertAlign w:val="subscript"/>
        </w:rPr>
        <w:t>alarm</w:t>
      </w:r>
      <w:proofErr w:type="spellEnd"/>
      <w:r>
        <w:t xml:space="preserve"> as a function of the minimum ceiling height (</w:t>
      </w:r>
      <w:proofErr w:type="spellStart"/>
      <w:r>
        <w:t>h</w:t>
      </w:r>
      <w:r w:rsidRPr="00191991">
        <w:rPr>
          <w:vertAlign w:val="subscript"/>
        </w:rPr>
        <w:t>min</w:t>
      </w:r>
      <w:proofErr w:type="spellEnd"/>
      <w:r>
        <w:t>). Sensors activated in a time of 400 s in the case of TEST1 (b), TEST1 with a 2h</w:t>
      </w:r>
      <w:r w:rsidRPr="00191991">
        <w:rPr>
          <w:vertAlign w:val="subscript"/>
        </w:rPr>
        <w:t>min</w:t>
      </w:r>
      <w:r>
        <w:t xml:space="preserve"> (c) and TEST1 with a 3h</w:t>
      </w:r>
      <w:r w:rsidRPr="00191991">
        <w:rPr>
          <w:vertAlign w:val="subscript"/>
        </w:rPr>
        <w:t>min</w:t>
      </w:r>
      <w:r>
        <w:t xml:space="preserve"> (d).</w:t>
      </w:r>
    </w:p>
    <w:p w14:paraId="27CC4EA5" w14:textId="77777777" w:rsidR="00851958" w:rsidRDefault="00851958" w:rsidP="00851958">
      <w:pPr>
        <w:pStyle w:val="CETBodytext"/>
      </w:pPr>
      <w:r>
        <w:t>As it is possible to see from Figure 4a, the reported trend could be approximated by Equation 2 (R</w:t>
      </w:r>
      <w:r w:rsidRPr="00585664">
        <w:rPr>
          <w:vertAlign w:val="superscript"/>
        </w:rPr>
        <w:t>2</w:t>
      </w:r>
      <w:r>
        <w:rPr>
          <w:vertAlign w:val="superscript"/>
        </w:rPr>
        <w:t xml:space="preserve"> </w:t>
      </w:r>
      <w:r>
        <w:t>= 0.994):</w:t>
      </w:r>
    </w:p>
    <w:p w14:paraId="63F1C969" w14:textId="77777777" w:rsidR="00851958" w:rsidRPr="007435DC" w:rsidRDefault="00851958" w:rsidP="00851958">
      <w:pPr>
        <w:pStyle w:val="CETEquation"/>
        <w:tabs>
          <w:tab w:val="clear" w:pos="7100"/>
          <w:tab w:val="left" w:pos="8505"/>
        </w:tabs>
        <w:rPr>
          <w:rFonts w:ascii="Times New Roman" w:eastAsiaTheme="minorEastAsia" w:hAnsi="Times New Roman"/>
        </w:rPr>
      </w:pPr>
      <m:oMath>
        <m:sSub>
          <m:sSubPr>
            <m:ctrlPr>
              <w:rPr>
                <w:rFonts w:ascii="Cambria Math" w:hAnsi="Cambria Math"/>
                <w:i/>
              </w:rPr>
            </m:ctrlPr>
          </m:sSubPr>
          <m:e>
            <m:r>
              <w:rPr>
                <w:rFonts w:ascii="Cambria Math" w:hAnsi="Cambria Math"/>
              </w:rPr>
              <m:t>t</m:t>
            </m:r>
          </m:e>
          <m:sub>
            <m:r>
              <w:rPr>
                <w:rFonts w:ascii="Cambria Math" w:hAnsi="Cambria Math"/>
              </w:rPr>
              <m:t>alarm</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min</m:t>
                </m:r>
              </m:sub>
            </m:sSub>
          </m:e>
        </m:d>
        <m:r>
          <w:rPr>
            <w:rFonts w:ascii="Cambria Math" w:hAnsi="Cambria Math"/>
          </w:rPr>
          <m:t>=134∙</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min</m:t>
                    </m:r>
                  </m:sub>
                </m:sSub>
              </m:e>
            </m:d>
          </m:e>
        </m:func>
        <m:r>
          <w:rPr>
            <w:rFonts w:ascii="Cambria Math" w:hAnsi="Cambria Math"/>
          </w:rPr>
          <m:t>-145</m:t>
        </m:r>
      </m:oMath>
      <w:r w:rsidRPr="007435DC">
        <w:tab/>
        <w:t>(</w:t>
      </w:r>
      <w:r>
        <w:t>2</w:t>
      </w:r>
      <w:r w:rsidRPr="007435DC">
        <w:t>)</w:t>
      </w:r>
    </w:p>
    <w:p w14:paraId="4DC8A732" w14:textId="77777777" w:rsidR="00851958" w:rsidRPr="0071229D" w:rsidRDefault="00851958" w:rsidP="00851958">
      <w:pPr>
        <w:pStyle w:val="CETBodytext"/>
      </w:pPr>
      <w:r>
        <w:t>Based on the results of these simulations, i</w:t>
      </w:r>
      <w:r w:rsidRPr="008F5896">
        <w:t xml:space="preserve">n order to </w:t>
      </w:r>
      <w:r>
        <w:t>respect the time limit of</w:t>
      </w:r>
      <w:r w:rsidRPr="008F5896">
        <w:t xml:space="preserve"> </w:t>
      </w:r>
      <w:r>
        <w:t xml:space="preserve">the </w:t>
      </w:r>
      <w:r w:rsidRPr="008F5896">
        <w:t xml:space="preserve">UNI/TR </w:t>
      </w:r>
      <w:r w:rsidRPr="008F5896">
        <w:rPr>
          <w:rFonts w:cs="Arial"/>
          <w:szCs w:val="18"/>
        </w:rPr>
        <w:t>11694:2017</w:t>
      </w:r>
      <w:r>
        <w:rPr>
          <w:rFonts w:cs="Arial"/>
          <w:szCs w:val="18"/>
        </w:rPr>
        <w:t xml:space="preserve"> Directive</w:t>
      </w:r>
      <w:r w:rsidRPr="008F5896">
        <w:rPr>
          <w:rFonts w:cs="Arial"/>
          <w:szCs w:val="18"/>
        </w:rPr>
        <w:t xml:space="preserve"> </w:t>
      </w:r>
      <w:r w:rsidRPr="008F5896">
        <w:rPr>
          <w:rFonts w:eastAsiaTheme="minorEastAsia" w:cs="Arial"/>
          <w:szCs w:val="18"/>
        </w:rPr>
        <w:fldChar w:fldCharType="begin" w:fldLock="1"/>
      </w:r>
      <w:r>
        <w:rPr>
          <w:rFonts w:eastAsiaTheme="minorEastAsia" w:cs="Arial"/>
          <w:szCs w:val="18"/>
        </w:rPr>
        <w:instrText>ADDIN CSL_CITATION {"citationItems":[{"id":"ITEM-1","itemData":{"author":[{"dropping-particle":"","family":"UNI","given":"","non-dropping-particle":"","parse-names":false,"suffix":""}],"id":"ITEM-1","issued":{"date-parts":[["2017"]]},"title":"UNI/TR 11694:2017, Linea guida per la progettazione, l'installazione, la messa in servizio, la verifica funzionale, l'esercizio e la manutenzione dei sistemi di rivelazione fumo ad aspirazione","type":"article"},"uris":["http://www.mendeley.com/documents/?uuid=da09de06-70f8-4408-a747-d93d0fe5e960"]}],"mendeley":{"formattedCitation":"(UNI, 2017)","plainTextFormattedCitation":"(UNI, 2017)","previouslyFormattedCitation":"(UNI, 2017)"},"properties":{"noteIndex":0},"schema":"https://github.com/citation-style-language/schema/raw/master/csl-citation.json"}</w:instrText>
      </w:r>
      <w:r w:rsidRPr="008F5896">
        <w:rPr>
          <w:rFonts w:eastAsiaTheme="minorEastAsia" w:cs="Arial"/>
          <w:szCs w:val="18"/>
        </w:rPr>
        <w:fldChar w:fldCharType="separate"/>
      </w:r>
      <w:r w:rsidRPr="008F5896">
        <w:rPr>
          <w:rFonts w:eastAsiaTheme="minorEastAsia" w:cs="Arial"/>
          <w:noProof/>
          <w:szCs w:val="18"/>
        </w:rPr>
        <w:t>(UNI, 2017)</w:t>
      </w:r>
      <w:r w:rsidRPr="008F5896">
        <w:rPr>
          <w:rFonts w:eastAsiaTheme="minorEastAsia" w:cs="Arial"/>
          <w:szCs w:val="18"/>
        </w:rPr>
        <w:fldChar w:fldCharType="end"/>
      </w:r>
      <w:r>
        <w:rPr>
          <w:rFonts w:eastAsiaTheme="minorEastAsia" w:cs="Arial"/>
          <w:szCs w:val="18"/>
        </w:rPr>
        <w:t xml:space="preserve">, a maximum </w:t>
      </w:r>
      <m:oMath>
        <m:sSub>
          <m:sSubPr>
            <m:ctrlPr>
              <w:rPr>
                <w:rFonts w:ascii="Cambria Math" w:hAnsi="Cambria Math"/>
                <w:i/>
                <w:lang w:val="en-GB"/>
              </w:rPr>
            </m:ctrlPr>
          </m:sSubPr>
          <m:e>
            <m:r>
              <w:rPr>
                <w:rFonts w:ascii="Cambria Math" w:hAnsi="Cambria Math"/>
              </w:rPr>
              <m:t>h</m:t>
            </m:r>
          </m:e>
          <m:sub>
            <m:r>
              <w:rPr>
                <w:rFonts w:ascii="Cambria Math" w:hAnsi="Cambria Math"/>
              </w:rPr>
              <m:t>min</m:t>
            </m:r>
          </m:sub>
        </m:sSub>
      </m:oMath>
      <w:r>
        <w:rPr>
          <w:rFonts w:eastAsiaTheme="minorEastAsia" w:cs="Arial"/>
          <w:lang w:val="en-GB"/>
        </w:rPr>
        <w:t xml:space="preserve"> of 11.5 m is allowed. After this value, a delay on the 180 s of about 10 s per m </w:t>
      </w:r>
      <w:proofErr w:type="gramStart"/>
      <w:r>
        <w:rPr>
          <w:rFonts w:eastAsiaTheme="minorEastAsia" w:cs="Arial"/>
          <w:lang w:val="en-GB"/>
        </w:rPr>
        <w:t>has to</w:t>
      </w:r>
      <w:proofErr w:type="gramEnd"/>
      <w:r>
        <w:rPr>
          <w:rFonts w:eastAsiaTheme="minorEastAsia" w:cs="Arial"/>
          <w:lang w:val="en-GB"/>
        </w:rPr>
        <w:t xml:space="preserve"> take into consideration. Furthermore, when the ceiling height is increased, an even smaller number of sensors reveal the fire. Indeed, 400s from the start of fire growth, 83% of sensors are alarmed at </w:t>
      </w:r>
      <w:proofErr w:type="spellStart"/>
      <w:r w:rsidRPr="00637283">
        <w:rPr>
          <w:rFonts w:eastAsiaTheme="minorEastAsia" w:cs="Arial"/>
          <w:i/>
          <w:iCs/>
          <w:lang w:val="en-GB"/>
        </w:rPr>
        <w:t>h</w:t>
      </w:r>
      <w:r w:rsidRPr="00637283">
        <w:rPr>
          <w:rFonts w:eastAsiaTheme="minorEastAsia" w:cs="Arial"/>
          <w:i/>
          <w:iCs/>
          <w:vertAlign w:val="subscript"/>
          <w:lang w:val="en-GB"/>
        </w:rPr>
        <w:t>min</w:t>
      </w:r>
      <w:proofErr w:type="spellEnd"/>
      <w:r>
        <w:rPr>
          <w:rFonts w:eastAsiaTheme="minorEastAsia" w:cs="Arial"/>
          <w:lang w:val="en-GB"/>
        </w:rPr>
        <w:t>, while at 2h</w:t>
      </w:r>
      <w:r w:rsidRPr="0071229D">
        <w:rPr>
          <w:rFonts w:eastAsiaTheme="minorEastAsia" w:cs="Arial"/>
          <w:vertAlign w:val="subscript"/>
          <w:lang w:val="en-GB"/>
        </w:rPr>
        <w:t>min</w:t>
      </w:r>
      <w:r>
        <w:rPr>
          <w:rFonts w:eastAsiaTheme="minorEastAsia" w:cs="Arial"/>
          <w:lang w:val="en-GB"/>
        </w:rPr>
        <w:t xml:space="preserve"> the 26%, and at 3h</w:t>
      </w:r>
      <w:r w:rsidRPr="0071229D">
        <w:rPr>
          <w:rFonts w:eastAsiaTheme="minorEastAsia" w:cs="Arial"/>
          <w:vertAlign w:val="subscript"/>
          <w:lang w:val="en-GB"/>
        </w:rPr>
        <w:t>min</w:t>
      </w:r>
      <w:r>
        <w:rPr>
          <w:rFonts w:eastAsiaTheme="minorEastAsia" w:cs="Arial"/>
          <w:lang w:val="en-GB"/>
        </w:rPr>
        <w:t xml:space="preserve"> only 10% of sensors. This confirms the decrease in efficiency as the height increases.</w:t>
      </w:r>
    </w:p>
    <w:p w14:paraId="0BE75BF6" w14:textId="77777777" w:rsidR="00536D71" w:rsidRDefault="00536D71" w:rsidP="00536D71">
      <w:pPr>
        <w:pStyle w:val="CETHeading1"/>
        <w:numPr>
          <w:ilvl w:val="1"/>
          <w:numId w:val="23"/>
        </w:numPr>
        <w:tabs>
          <w:tab w:val="num" w:pos="360"/>
        </w:tabs>
        <w:spacing w:after="0"/>
        <w:rPr>
          <w:lang w:val="en-GB"/>
        </w:rPr>
      </w:pPr>
      <w:r>
        <w:rPr>
          <w:lang w:val="en-GB"/>
        </w:rPr>
        <w:t>Conclusions</w:t>
      </w:r>
    </w:p>
    <w:p w14:paraId="45BF9833" w14:textId="77777777" w:rsidR="00536D71" w:rsidRDefault="00536D71" w:rsidP="00536D71">
      <w:pPr>
        <w:pStyle w:val="CETAcknowledgementstitle"/>
        <w:spacing w:before="120"/>
        <w:jc w:val="both"/>
        <w:rPr>
          <w:b w:val="0"/>
        </w:rPr>
      </w:pPr>
      <w:r w:rsidRPr="0032482B">
        <w:rPr>
          <w:b w:val="0"/>
        </w:rPr>
        <w:t xml:space="preserve">In this work, a series of CFD simulations were conducted </w:t>
      </w:r>
      <w:r>
        <w:rPr>
          <w:b w:val="0"/>
        </w:rPr>
        <w:t>to assess the performances of heat detectors installed at non-standard elevation values in an industrial building in which a dusty environment does not allow smoke detection-based</w:t>
      </w:r>
      <w:r w:rsidRPr="00637283">
        <w:rPr>
          <w:b w:val="0"/>
        </w:rPr>
        <w:t xml:space="preserve"> </w:t>
      </w:r>
      <w:r>
        <w:rPr>
          <w:b w:val="0"/>
        </w:rPr>
        <w:t>technologies, which are more effective at high-ceiling heights. Based on these simulations, a good response of the system was reported until the height of 11.5 m (height of revelation). However, a relevant decline in the efficacy of the arrangement in terms of response time delay and numbers of alarmed sensors were retrieved beyond this value. In addition, temperature field results suggest considering an increased number of sensors in the perimeter area in the design stage, where the fire seems to propagate preferentially.</w:t>
      </w:r>
    </w:p>
    <w:p w14:paraId="27435D7A" w14:textId="2A2AD2B1" w:rsidR="00916FA7" w:rsidRDefault="00916FA7" w:rsidP="00EF36F6">
      <w:pPr>
        <w:pStyle w:val="CETAcknowledgementstitle"/>
        <w:spacing w:after="0"/>
      </w:pPr>
      <w:r>
        <w:t>Acknowledgments</w:t>
      </w:r>
    </w:p>
    <w:p w14:paraId="021BD8CC" w14:textId="154E0226" w:rsidR="00916FA7" w:rsidRPr="00861DBF" w:rsidRDefault="00861DBF" w:rsidP="00861DBF">
      <w:pPr>
        <w:pStyle w:val="CETBodytext"/>
      </w:pPr>
      <w:r w:rsidRPr="00861DBF">
        <w:t xml:space="preserve">The authors acknowledge the contribution </w:t>
      </w:r>
      <w:r w:rsidR="00BF6F1C">
        <w:t>of</w:t>
      </w:r>
      <w:r>
        <w:t xml:space="preserve"> </w:t>
      </w:r>
      <w:r w:rsidRPr="00861DBF">
        <w:t xml:space="preserve">Mr. </w:t>
      </w:r>
      <w:r>
        <w:t>Dennis Giusti</w:t>
      </w:r>
      <w:r w:rsidR="004D20F8">
        <w:t xml:space="preserve"> </w:t>
      </w:r>
      <w:r w:rsidR="00BF6F1C">
        <w:t>and</w:t>
      </w:r>
      <w:r>
        <w:t xml:space="preserve"> Mr. Marco </w:t>
      </w:r>
      <w:proofErr w:type="spellStart"/>
      <w:r>
        <w:t>Roversi</w:t>
      </w:r>
      <w:proofErr w:type="spellEnd"/>
      <w:r w:rsidR="004D20F8">
        <w:t xml:space="preserve"> (SPR </w:t>
      </w:r>
      <w:proofErr w:type="spellStart"/>
      <w:r w:rsidR="004D20F8">
        <w:t>Tecnologie</w:t>
      </w:r>
      <w:proofErr w:type="spellEnd"/>
      <w:r w:rsidR="004D20F8">
        <w:t>)</w:t>
      </w:r>
      <w:r w:rsidR="00BF6F1C">
        <w:t>.</w:t>
      </w:r>
    </w:p>
    <w:p w14:paraId="47A69D88" w14:textId="77777777" w:rsidR="00916FA7" w:rsidRDefault="00916FA7" w:rsidP="00916FA7">
      <w:pPr>
        <w:pStyle w:val="CETReference"/>
      </w:pPr>
      <w:r>
        <w:t>References</w:t>
      </w:r>
    </w:p>
    <w:p w14:paraId="10D14F07" w14:textId="1033AA93" w:rsidR="00B03E46" w:rsidRPr="0050452E" w:rsidRDefault="00CB1EAC" w:rsidP="002F4091">
      <w:pPr>
        <w:widowControl w:val="0"/>
        <w:autoSpaceDE w:val="0"/>
        <w:autoSpaceDN w:val="0"/>
        <w:adjustRightInd w:val="0"/>
        <w:spacing w:line="240" w:lineRule="auto"/>
        <w:ind w:left="270" w:hanging="270"/>
        <w:rPr>
          <w:rFonts w:cs="Arial"/>
          <w:noProof/>
          <w:szCs w:val="18"/>
        </w:rPr>
      </w:pPr>
      <w:r w:rsidRPr="0050452E">
        <w:rPr>
          <w:szCs w:val="18"/>
        </w:rPr>
        <w:fldChar w:fldCharType="begin" w:fldLock="1"/>
      </w:r>
      <w:r w:rsidRPr="0050452E">
        <w:rPr>
          <w:szCs w:val="18"/>
        </w:rPr>
        <w:instrText xml:space="preserve">ADDIN Mendeley Bibliography CSL_BIBLIOGRAPHY </w:instrText>
      </w:r>
      <w:r w:rsidRPr="0050452E">
        <w:rPr>
          <w:szCs w:val="18"/>
        </w:rPr>
        <w:fldChar w:fldCharType="separate"/>
      </w:r>
      <w:r w:rsidR="00B03E46" w:rsidRPr="0050452E">
        <w:rPr>
          <w:rFonts w:cs="Arial"/>
          <w:noProof/>
          <w:szCs w:val="18"/>
        </w:rPr>
        <w:t>BSI, 2017. BSI 5839-1:2017, Fire detection and fire alarm systems for buildings. BSI Stand. Publ.</w:t>
      </w:r>
    </w:p>
    <w:p w14:paraId="48D17E42"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BSI, 2013. BS EN 54-22:2015+A1:2020 BSI, Fire detection and fire alarm systems. BSI Stand. Publ.</w:t>
      </w:r>
    </w:p>
    <w:p w14:paraId="27E58517"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He, M., Jiang, Y., 2005. Use FDS to Assess Effectiveness of Air Sampling-Type Detector for Large Open Spaces Protection 1–14.</w:t>
      </w:r>
    </w:p>
    <w:p w14:paraId="2B2F9867"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Huang, Y., Wang, E., Bie, Y., 2020. Simulation investigation on the smoke spread process in the large-space building with various height. Case Stud. Therm. Eng. 18, 100594. https://doi.org/10.1016/j.csite.2020.100594</w:t>
      </w:r>
    </w:p>
    <w:p w14:paraId="5BF6611D"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Hurley, M.J., Munguia, A., 2007. Analysis of FDS Thermal Detector Response Prediction Capability, NIST GCR 09-921.</w:t>
      </w:r>
    </w:p>
    <w:p w14:paraId="15F86A22" w14:textId="41913C89"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lang w:val="it-IT"/>
        </w:rPr>
        <w:t xml:space="preserve">McGrattan, K., Hostikka, S., McDermott, R., Floyd, J., Vanella, M., 2019a. </w:t>
      </w:r>
      <w:r w:rsidRPr="0050452E">
        <w:rPr>
          <w:rFonts w:cs="Arial"/>
          <w:noProof/>
          <w:szCs w:val="18"/>
        </w:rPr>
        <w:t>Fire Dynamics Simulator User’s Guide. NIST Spec. Publ. 1019 Sixth Ed. 347.</w:t>
      </w:r>
    </w:p>
    <w:p w14:paraId="760C5099"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McGrattan, K., Hostikka, S., McDermott, R., Floyd, J., Weinschenk, C., Overhold, K., 2019b. Fire dynamics simulator (FDS) validation technical reference guide volume 3 : Validation. NIST Spec. Publ. 1018 3. https://doi.org/10.6028/NIST.SP.1018-1</w:t>
      </w:r>
    </w:p>
    <w:p w14:paraId="517CEAE7" w14:textId="431ED629"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McGrattan, K., Hostikka, S., McDermott, R., Floyd, J., Weinschenk, C., Overhold, K., 2013. Fire Dynamics Simulator, Technical Reference Guide, Volume 2: Verification.</w:t>
      </w:r>
    </w:p>
    <w:p w14:paraId="110AAE80" w14:textId="12A625CE" w:rsidR="00AD1439" w:rsidRPr="0050452E" w:rsidRDefault="00AD1439" w:rsidP="002F4091">
      <w:pPr>
        <w:widowControl w:val="0"/>
        <w:autoSpaceDE w:val="0"/>
        <w:autoSpaceDN w:val="0"/>
        <w:adjustRightInd w:val="0"/>
        <w:spacing w:line="240" w:lineRule="auto"/>
        <w:ind w:left="270" w:hanging="270"/>
        <w:rPr>
          <w:rFonts w:cs="Arial"/>
          <w:noProof/>
          <w:szCs w:val="18"/>
          <w:lang w:val="en-US"/>
        </w:rPr>
      </w:pPr>
      <w:r w:rsidRPr="0050452E">
        <w:rPr>
          <w:rFonts w:cs="Arial"/>
          <w:noProof/>
          <w:szCs w:val="18"/>
          <w:lang w:val="it-IT"/>
        </w:rPr>
        <w:t xml:space="preserve">Vianello, C., Mocellin, P., Maschio, G., 2014. </w:t>
      </w:r>
      <w:r w:rsidRPr="0050452E">
        <w:rPr>
          <w:rFonts w:cs="Arial"/>
          <w:noProof/>
          <w:szCs w:val="18"/>
          <w:lang w:val="en-US"/>
        </w:rPr>
        <w:t xml:space="preserve">Study of formation, sublimation and deposition of dry-ice from carbon capture and storage pipelines. Chemical Engineering Transactions, 36, 613-618. </w:t>
      </w:r>
      <w:r w:rsidR="00F8180D">
        <w:rPr>
          <w:rFonts w:cs="Arial"/>
          <w:noProof/>
          <w:szCs w:val="18"/>
          <w:lang w:val="en-US"/>
        </w:rPr>
        <w:t>https://</w:t>
      </w:r>
      <w:r w:rsidR="00F8180D" w:rsidRPr="00F8180D">
        <w:rPr>
          <w:rFonts w:cs="Arial"/>
          <w:noProof/>
          <w:szCs w:val="18"/>
          <w:lang w:val="en-US"/>
        </w:rPr>
        <w:t>10.3303/CET1436103</w:t>
      </w:r>
    </w:p>
    <w:p w14:paraId="6A6A75FD" w14:textId="6790023D" w:rsidR="00AD1439" w:rsidRPr="0050452E" w:rsidRDefault="00AD1439" w:rsidP="002F4091">
      <w:pPr>
        <w:widowControl w:val="0"/>
        <w:autoSpaceDE w:val="0"/>
        <w:autoSpaceDN w:val="0"/>
        <w:adjustRightInd w:val="0"/>
        <w:spacing w:line="240" w:lineRule="auto"/>
        <w:ind w:left="270" w:hanging="270"/>
        <w:rPr>
          <w:rFonts w:cs="Arial"/>
          <w:noProof/>
          <w:szCs w:val="18"/>
          <w:lang w:val="en-US"/>
        </w:rPr>
      </w:pPr>
      <w:r w:rsidRPr="0050452E">
        <w:rPr>
          <w:rFonts w:cs="Arial"/>
          <w:noProof/>
          <w:szCs w:val="18"/>
          <w:lang w:val="it-IT"/>
        </w:rPr>
        <w:t xml:space="preserve">Mocellin, P., Maschio, G., 2016. </w:t>
      </w:r>
      <w:r w:rsidRPr="0050452E">
        <w:rPr>
          <w:rFonts w:cs="Arial"/>
          <w:noProof/>
          <w:szCs w:val="18"/>
          <w:lang w:val="en-US"/>
        </w:rPr>
        <w:t xml:space="preserve">Numerical modeling of experimental trials involving pressurized release of gaseous CO2. Chemical Engineering Transactions, 53, 349-354. </w:t>
      </w:r>
      <w:r w:rsidR="00F8180D">
        <w:rPr>
          <w:rFonts w:cs="Arial"/>
          <w:noProof/>
          <w:szCs w:val="18"/>
          <w:lang w:val="en-US"/>
        </w:rPr>
        <w:t>https://</w:t>
      </w:r>
      <w:r w:rsidR="00F8180D" w:rsidRPr="00F8180D">
        <w:rPr>
          <w:rFonts w:cs="Arial"/>
          <w:noProof/>
          <w:szCs w:val="18"/>
          <w:lang w:val="en-US"/>
        </w:rPr>
        <w:t>10.3303/CET1653059</w:t>
      </w:r>
    </w:p>
    <w:p w14:paraId="2D3C7079" w14:textId="08B906FE" w:rsidR="002F4091" w:rsidRPr="0050452E" w:rsidRDefault="002F4091" w:rsidP="002F4091">
      <w:pPr>
        <w:widowControl w:val="0"/>
        <w:autoSpaceDE w:val="0"/>
        <w:autoSpaceDN w:val="0"/>
        <w:adjustRightInd w:val="0"/>
        <w:spacing w:line="240" w:lineRule="auto"/>
        <w:ind w:left="270" w:hanging="270"/>
        <w:rPr>
          <w:rFonts w:cs="Arial"/>
          <w:noProof/>
          <w:szCs w:val="18"/>
          <w:lang w:val="en-US"/>
        </w:rPr>
      </w:pPr>
      <w:r w:rsidRPr="0050452E">
        <w:rPr>
          <w:rFonts w:cs="Arial"/>
          <w:noProof/>
          <w:szCs w:val="18"/>
          <w:lang w:val="it-IT"/>
        </w:rPr>
        <w:t xml:space="preserve">Mocellin, P., Vianello, C., Maschio, G., 2021. </w:t>
      </w:r>
      <w:r w:rsidRPr="0050452E">
        <w:rPr>
          <w:rFonts w:cs="Arial"/>
          <w:noProof/>
          <w:szCs w:val="18"/>
          <w:lang w:val="en-US"/>
        </w:rPr>
        <w:t xml:space="preserve">Addressing waste disposal fires in open fields through large eddy simulations. Chemical Engineering Transactions, 86, 529-534. </w:t>
      </w:r>
      <w:r w:rsidR="00F8180D">
        <w:rPr>
          <w:rFonts w:cs="Arial"/>
          <w:noProof/>
          <w:szCs w:val="18"/>
          <w:lang w:val="en-US"/>
        </w:rPr>
        <w:t>https://</w:t>
      </w:r>
      <w:r w:rsidR="00F8180D" w:rsidRPr="000E65F9">
        <w:rPr>
          <w:rFonts w:cs="Arial"/>
          <w:noProof/>
          <w:szCs w:val="18"/>
          <w:lang w:val="en-US"/>
        </w:rPr>
        <w:t>10.3303/CET2186089</w:t>
      </w:r>
    </w:p>
    <w:p w14:paraId="50FED81D"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lang w:val="en-US"/>
        </w:rPr>
        <w:t xml:space="preserve">NFPA, 2019. </w:t>
      </w:r>
      <w:r w:rsidRPr="0050452E">
        <w:rPr>
          <w:rFonts w:cs="Arial"/>
          <w:noProof/>
          <w:szCs w:val="18"/>
        </w:rPr>
        <w:t>NFPA 72, National Fire Alarm and Signaling Code, National Fire Protection Association.</w:t>
      </w:r>
    </w:p>
    <w:p w14:paraId="5BB5AF51"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NFPA, 2018. FM 3210: Heat detectors for automatic fire alarm signaling.</w:t>
      </w:r>
    </w:p>
    <w:p w14:paraId="6413AE02" w14:textId="77777777"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Schifiliti, R.P., 2006. , Fire Alarm Systems for Life Safety Code Users, Supplement 2, in: National Fire Protection Association (NFPA). pp. 1113–1138.</w:t>
      </w:r>
    </w:p>
    <w:p w14:paraId="62077F08" w14:textId="267A2C49" w:rsidR="00B03E46" w:rsidRPr="0050452E" w:rsidRDefault="00B03E46" w:rsidP="002F4091">
      <w:pPr>
        <w:widowControl w:val="0"/>
        <w:autoSpaceDE w:val="0"/>
        <w:autoSpaceDN w:val="0"/>
        <w:adjustRightInd w:val="0"/>
        <w:spacing w:line="240" w:lineRule="auto"/>
        <w:ind w:left="270" w:hanging="270"/>
        <w:rPr>
          <w:rFonts w:cs="Arial"/>
          <w:noProof/>
          <w:szCs w:val="18"/>
        </w:rPr>
      </w:pPr>
      <w:r w:rsidRPr="0050452E">
        <w:rPr>
          <w:rFonts w:cs="Arial"/>
          <w:noProof/>
          <w:szCs w:val="18"/>
        </w:rPr>
        <w:t xml:space="preserve">Securiton, 2021. ADW 535 </w:t>
      </w:r>
      <w:r w:rsidR="00AD4433" w:rsidRPr="0050452E">
        <w:rPr>
          <w:rFonts w:cs="Arial"/>
          <w:noProof/>
          <w:szCs w:val="18"/>
        </w:rPr>
        <w:t>D</w:t>
      </w:r>
      <w:r w:rsidRPr="0050452E">
        <w:rPr>
          <w:rFonts w:cs="Arial"/>
          <w:noProof/>
          <w:szCs w:val="18"/>
        </w:rPr>
        <w:t xml:space="preserve">ata </w:t>
      </w:r>
      <w:r w:rsidR="00AD4433" w:rsidRPr="0050452E">
        <w:rPr>
          <w:rFonts w:cs="Arial"/>
          <w:noProof/>
          <w:szCs w:val="18"/>
        </w:rPr>
        <w:t>S</w:t>
      </w:r>
      <w:r w:rsidRPr="0050452E">
        <w:rPr>
          <w:rFonts w:cs="Arial"/>
          <w:noProof/>
          <w:szCs w:val="18"/>
        </w:rPr>
        <w:t>heet.</w:t>
      </w:r>
    </w:p>
    <w:p w14:paraId="54A13CDB" w14:textId="77777777" w:rsidR="00B03E46" w:rsidRPr="0050452E" w:rsidRDefault="00B03E46" w:rsidP="002F4091">
      <w:pPr>
        <w:widowControl w:val="0"/>
        <w:autoSpaceDE w:val="0"/>
        <w:autoSpaceDN w:val="0"/>
        <w:adjustRightInd w:val="0"/>
        <w:spacing w:line="240" w:lineRule="auto"/>
        <w:ind w:left="270" w:hanging="270"/>
        <w:rPr>
          <w:rFonts w:cs="Arial"/>
          <w:noProof/>
          <w:szCs w:val="18"/>
          <w:lang w:val="it-IT"/>
        </w:rPr>
      </w:pPr>
      <w:r w:rsidRPr="0050452E">
        <w:rPr>
          <w:rFonts w:cs="Arial"/>
          <w:noProof/>
          <w:szCs w:val="18"/>
        </w:rPr>
        <w:t xml:space="preserve">UNI, 2017. </w:t>
      </w:r>
      <w:r w:rsidRPr="0050452E">
        <w:rPr>
          <w:rFonts w:cs="Arial"/>
          <w:noProof/>
          <w:szCs w:val="18"/>
          <w:lang w:val="it-IT"/>
        </w:rPr>
        <w:t>UNI/TR 11694:2017, Linea guida per la progettazione, l’installazione, la messa in servizio, la verifica funzionale, l’esercizio e la manutenzione dei sistemi di rivelazione fumo ad aspirazione.</w:t>
      </w:r>
    </w:p>
    <w:p w14:paraId="48A88D6D" w14:textId="77777777" w:rsidR="00B03E46" w:rsidRPr="0050452E" w:rsidRDefault="00B03E46" w:rsidP="002F4091">
      <w:pPr>
        <w:widowControl w:val="0"/>
        <w:autoSpaceDE w:val="0"/>
        <w:autoSpaceDN w:val="0"/>
        <w:adjustRightInd w:val="0"/>
        <w:spacing w:line="240" w:lineRule="auto"/>
        <w:ind w:left="270" w:hanging="270"/>
        <w:rPr>
          <w:rFonts w:cs="Arial"/>
          <w:noProof/>
          <w:szCs w:val="18"/>
          <w:lang w:val="it-IT"/>
        </w:rPr>
      </w:pPr>
      <w:r w:rsidRPr="0050452E">
        <w:rPr>
          <w:rFonts w:cs="Arial"/>
          <w:noProof/>
          <w:szCs w:val="18"/>
          <w:lang w:val="it-IT"/>
        </w:rPr>
        <w:t>UNI, 2013. UNI 9795:2013, Stemi fissi automatici di rivelazione e di segnalazione allarme d’incendio - Progettazione, installazione ed esercizio.</w:t>
      </w:r>
    </w:p>
    <w:p w14:paraId="05466FB5" w14:textId="3E7F74DA" w:rsidR="00B03E46" w:rsidRPr="0050452E" w:rsidRDefault="00B03E46" w:rsidP="002F4091">
      <w:pPr>
        <w:widowControl w:val="0"/>
        <w:autoSpaceDE w:val="0"/>
        <w:autoSpaceDN w:val="0"/>
        <w:adjustRightInd w:val="0"/>
        <w:spacing w:line="240" w:lineRule="auto"/>
        <w:ind w:left="270" w:hanging="270"/>
        <w:rPr>
          <w:rFonts w:cs="Arial"/>
          <w:noProof/>
          <w:szCs w:val="18"/>
          <w:lang w:val="it-IT"/>
        </w:rPr>
      </w:pPr>
      <w:r w:rsidRPr="0050452E">
        <w:rPr>
          <w:rFonts w:cs="Arial"/>
          <w:noProof/>
          <w:szCs w:val="18"/>
        </w:rPr>
        <w:t xml:space="preserve">United States Nuclear Regulatory Commission, 2007. Verification and Validation of Selected Fire Models for Nuclear Power Plant Applications. </w:t>
      </w:r>
      <w:r w:rsidRPr="0050452E">
        <w:rPr>
          <w:rFonts w:cs="Arial"/>
          <w:noProof/>
          <w:szCs w:val="18"/>
          <w:lang w:val="it-IT"/>
        </w:rPr>
        <w:t>NUREG 1824.</w:t>
      </w:r>
    </w:p>
    <w:p w14:paraId="3AB2A85C" w14:textId="25B4659B" w:rsidR="00BB4F84" w:rsidRPr="0050452E" w:rsidRDefault="00BB4F84" w:rsidP="00BB4F84">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70" w:hanging="270"/>
        <w:rPr>
          <w:rFonts w:cs="Arial"/>
          <w:noProof/>
          <w:szCs w:val="18"/>
          <w:lang w:val="en-US"/>
        </w:rPr>
      </w:pPr>
      <w:r w:rsidRPr="0050452E">
        <w:rPr>
          <w:rFonts w:cs="Arial"/>
          <w:noProof/>
          <w:szCs w:val="18"/>
          <w:lang w:val="it-IT"/>
        </w:rPr>
        <w:t xml:space="preserve">Vianello, C., Mocellin, P., Maschio, G., Bottacin, G., Dattilo, F., 2020. </w:t>
      </w:r>
      <w:r w:rsidRPr="0050452E">
        <w:rPr>
          <w:rFonts w:cs="Arial"/>
          <w:noProof/>
          <w:szCs w:val="18"/>
        </w:rPr>
        <w:t xml:space="preserve">Waste disposal facilities fires: Prevention and management. the veneto region experience. Paper presented at the Proceedings of the 30th European Safety and Reliability Conference and the 15th Probabilistic Safety Assessment and Management Conference, 3995-4000. doi:10.3850/978-981-14-8593-0_3590-cd </w:t>
      </w:r>
    </w:p>
    <w:p w14:paraId="035DBF37" w14:textId="162A4246" w:rsidR="00916FA7" w:rsidRPr="00990EC3" w:rsidRDefault="00B03E46" w:rsidP="002F4091">
      <w:pPr>
        <w:widowControl w:val="0"/>
        <w:autoSpaceDE w:val="0"/>
        <w:autoSpaceDN w:val="0"/>
        <w:adjustRightInd w:val="0"/>
        <w:spacing w:line="240" w:lineRule="auto"/>
        <w:ind w:left="270" w:hanging="270"/>
        <w:rPr>
          <w:sz w:val="20"/>
          <w:lang w:val="it-IT"/>
        </w:rPr>
      </w:pPr>
      <w:r w:rsidRPr="0050452E">
        <w:rPr>
          <w:rFonts w:cs="Arial"/>
          <w:noProof/>
          <w:szCs w:val="18"/>
          <w:lang w:val="it-IT"/>
        </w:rPr>
        <w:t>VVF, 2021. Norme tecniche di prevenzione incendi.</w:t>
      </w:r>
      <w:r w:rsidR="00CB1EAC" w:rsidRPr="0050452E">
        <w:rPr>
          <w:szCs w:val="18"/>
        </w:rPr>
        <w:fldChar w:fldCharType="end"/>
      </w:r>
    </w:p>
    <w:sectPr w:rsidR="00916FA7" w:rsidRPr="00990EC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B51B6" w14:textId="77777777" w:rsidR="00CD7CF0" w:rsidRDefault="00CD7CF0" w:rsidP="004F5E36">
      <w:r>
        <w:separator/>
      </w:r>
    </w:p>
  </w:endnote>
  <w:endnote w:type="continuationSeparator" w:id="0">
    <w:p w14:paraId="5C3750E7" w14:textId="77777777" w:rsidR="00CD7CF0" w:rsidRDefault="00CD7CF0" w:rsidP="004F5E36">
      <w:r>
        <w:continuationSeparator/>
      </w:r>
    </w:p>
  </w:endnote>
  <w:endnote w:type="continuationNotice" w:id="1">
    <w:p w14:paraId="78BD3F09" w14:textId="77777777" w:rsidR="00CD7CF0" w:rsidRDefault="00CD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PMingLiU;新細明體">
    <w:altName w:val="MS Gothic"/>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F1FDF" w14:textId="77777777" w:rsidR="00CD7CF0" w:rsidRDefault="00CD7CF0" w:rsidP="004F5E36">
      <w:r>
        <w:separator/>
      </w:r>
    </w:p>
  </w:footnote>
  <w:footnote w:type="continuationSeparator" w:id="0">
    <w:p w14:paraId="5B35022D" w14:textId="77777777" w:rsidR="00CD7CF0" w:rsidRDefault="00CD7CF0" w:rsidP="004F5E36">
      <w:r>
        <w:continuationSeparator/>
      </w:r>
    </w:p>
  </w:footnote>
  <w:footnote w:type="continuationNotice" w:id="1">
    <w:p w14:paraId="185BFBC8" w14:textId="77777777" w:rsidR="00CD7CF0" w:rsidRDefault="00CD7CF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6D13265"/>
    <w:multiLevelType w:val="hybridMultilevel"/>
    <w:tmpl w:val="F7AAC6D2"/>
    <w:lvl w:ilvl="0" w:tplc="F9C0C032">
      <w:start w:val="1"/>
      <w:numFmt w:val="lowerLetter"/>
      <w:lvlText w:val="%1)"/>
      <w:lvlJc w:val="left"/>
      <w:pPr>
        <w:ind w:left="4290" w:hanging="360"/>
      </w:pPr>
      <w:rPr>
        <w:rFonts w:hint="default"/>
      </w:rPr>
    </w:lvl>
    <w:lvl w:ilvl="1" w:tplc="04100019" w:tentative="1">
      <w:start w:val="1"/>
      <w:numFmt w:val="lowerLetter"/>
      <w:lvlText w:val="%2."/>
      <w:lvlJc w:val="left"/>
      <w:pPr>
        <w:ind w:left="5010" w:hanging="360"/>
      </w:pPr>
    </w:lvl>
    <w:lvl w:ilvl="2" w:tplc="0410001B" w:tentative="1">
      <w:start w:val="1"/>
      <w:numFmt w:val="lowerRoman"/>
      <w:lvlText w:val="%3."/>
      <w:lvlJc w:val="right"/>
      <w:pPr>
        <w:ind w:left="5730" w:hanging="180"/>
      </w:pPr>
    </w:lvl>
    <w:lvl w:ilvl="3" w:tplc="0410000F" w:tentative="1">
      <w:start w:val="1"/>
      <w:numFmt w:val="decimal"/>
      <w:lvlText w:val="%4."/>
      <w:lvlJc w:val="left"/>
      <w:pPr>
        <w:ind w:left="6450" w:hanging="360"/>
      </w:pPr>
    </w:lvl>
    <w:lvl w:ilvl="4" w:tplc="04100019" w:tentative="1">
      <w:start w:val="1"/>
      <w:numFmt w:val="lowerLetter"/>
      <w:lvlText w:val="%5."/>
      <w:lvlJc w:val="left"/>
      <w:pPr>
        <w:ind w:left="7170" w:hanging="360"/>
      </w:pPr>
    </w:lvl>
    <w:lvl w:ilvl="5" w:tplc="0410001B" w:tentative="1">
      <w:start w:val="1"/>
      <w:numFmt w:val="lowerRoman"/>
      <w:lvlText w:val="%6."/>
      <w:lvlJc w:val="right"/>
      <w:pPr>
        <w:ind w:left="7890" w:hanging="180"/>
      </w:pPr>
    </w:lvl>
    <w:lvl w:ilvl="6" w:tplc="0410000F" w:tentative="1">
      <w:start w:val="1"/>
      <w:numFmt w:val="decimal"/>
      <w:lvlText w:val="%7."/>
      <w:lvlJc w:val="left"/>
      <w:pPr>
        <w:ind w:left="8610" w:hanging="360"/>
      </w:pPr>
    </w:lvl>
    <w:lvl w:ilvl="7" w:tplc="04100019" w:tentative="1">
      <w:start w:val="1"/>
      <w:numFmt w:val="lowerLetter"/>
      <w:lvlText w:val="%8."/>
      <w:lvlJc w:val="left"/>
      <w:pPr>
        <w:ind w:left="9330" w:hanging="360"/>
      </w:pPr>
    </w:lvl>
    <w:lvl w:ilvl="8" w:tplc="0410001B" w:tentative="1">
      <w:start w:val="1"/>
      <w:numFmt w:val="lowerRoman"/>
      <w:lvlText w:val="%9."/>
      <w:lvlJc w:val="right"/>
      <w:pPr>
        <w:ind w:left="10050" w:hanging="180"/>
      </w:pPr>
    </w:lvl>
  </w:abstractNum>
  <w:abstractNum w:abstractNumId="11" w15:restartNumberingAfterBreak="0">
    <w:nsid w:val="130B52AB"/>
    <w:multiLevelType w:val="hybridMultilevel"/>
    <w:tmpl w:val="552C0856"/>
    <w:lvl w:ilvl="0" w:tplc="57BEAB4E">
      <w:start w:val="1"/>
      <w:numFmt w:val="lowerLetter"/>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94507C8"/>
    <w:multiLevelType w:val="hybridMultilevel"/>
    <w:tmpl w:val="9C562CBC"/>
    <w:lvl w:ilvl="0" w:tplc="B3823676">
      <w:start w:val="1"/>
      <w:numFmt w:val="lowerLetter"/>
      <w:lvlText w:val="%1)"/>
      <w:lvlJc w:val="left"/>
      <w:pPr>
        <w:ind w:left="2829" w:hanging="705"/>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415DD2"/>
    <w:multiLevelType w:val="hybridMultilevel"/>
    <w:tmpl w:val="2D94D9C4"/>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23"/>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a0FAPMzm+YtAAAA"/>
  </w:docVars>
  <w:rsids>
    <w:rsidRoot w:val="000E414A"/>
    <w:rsid w:val="000027C0"/>
    <w:rsid w:val="000052FB"/>
    <w:rsid w:val="00005DFB"/>
    <w:rsid w:val="000117CB"/>
    <w:rsid w:val="00017507"/>
    <w:rsid w:val="000175AA"/>
    <w:rsid w:val="00020A4C"/>
    <w:rsid w:val="000218A9"/>
    <w:rsid w:val="000218D2"/>
    <w:rsid w:val="00024C72"/>
    <w:rsid w:val="0003148D"/>
    <w:rsid w:val="0003403E"/>
    <w:rsid w:val="0004450E"/>
    <w:rsid w:val="000503B1"/>
    <w:rsid w:val="00051566"/>
    <w:rsid w:val="00055DF1"/>
    <w:rsid w:val="00062A9A"/>
    <w:rsid w:val="00065058"/>
    <w:rsid w:val="00066BD2"/>
    <w:rsid w:val="00066E4E"/>
    <w:rsid w:val="00073147"/>
    <w:rsid w:val="00077D65"/>
    <w:rsid w:val="000800C7"/>
    <w:rsid w:val="000823C1"/>
    <w:rsid w:val="00082B6C"/>
    <w:rsid w:val="00086C39"/>
    <w:rsid w:val="000954F0"/>
    <w:rsid w:val="00097C39"/>
    <w:rsid w:val="000A03B2"/>
    <w:rsid w:val="000C012B"/>
    <w:rsid w:val="000C1EEF"/>
    <w:rsid w:val="000C278B"/>
    <w:rsid w:val="000C3F1C"/>
    <w:rsid w:val="000C6354"/>
    <w:rsid w:val="000C71D5"/>
    <w:rsid w:val="000D0268"/>
    <w:rsid w:val="000D2086"/>
    <w:rsid w:val="000D34BE"/>
    <w:rsid w:val="000E102F"/>
    <w:rsid w:val="000E2D84"/>
    <w:rsid w:val="000E36F1"/>
    <w:rsid w:val="000E3A73"/>
    <w:rsid w:val="000E414A"/>
    <w:rsid w:val="000E6B77"/>
    <w:rsid w:val="000F093C"/>
    <w:rsid w:val="000F32F0"/>
    <w:rsid w:val="000F34F0"/>
    <w:rsid w:val="000F68D5"/>
    <w:rsid w:val="000F787B"/>
    <w:rsid w:val="000F7CE8"/>
    <w:rsid w:val="0011003D"/>
    <w:rsid w:val="00112172"/>
    <w:rsid w:val="00114E38"/>
    <w:rsid w:val="00115CAE"/>
    <w:rsid w:val="0012091F"/>
    <w:rsid w:val="00126BC2"/>
    <w:rsid w:val="001308B6"/>
    <w:rsid w:val="0013121F"/>
    <w:rsid w:val="00131FE6"/>
    <w:rsid w:val="0013263F"/>
    <w:rsid w:val="00132FB8"/>
    <w:rsid w:val="00134DE4"/>
    <w:rsid w:val="0014034D"/>
    <w:rsid w:val="00150E59"/>
    <w:rsid w:val="00152DE3"/>
    <w:rsid w:val="001564A9"/>
    <w:rsid w:val="0015663B"/>
    <w:rsid w:val="00156E68"/>
    <w:rsid w:val="00164AF0"/>
    <w:rsid w:val="00164CF9"/>
    <w:rsid w:val="001667A6"/>
    <w:rsid w:val="00171EDC"/>
    <w:rsid w:val="00172740"/>
    <w:rsid w:val="001742BB"/>
    <w:rsid w:val="00184AD6"/>
    <w:rsid w:val="00186BE5"/>
    <w:rsid w:val="00191991"/>
    <w:rsid w:val="001A07D4"/>
    <w:rsid w:val="001A1294"/>
    <w:rsid w:val="001A4AF7"/>
    <w:rsid w:val="001A6038"/>
    <w:rsid w:val="001B0225"/>
    <w:rsid w:val="001B0349"/>
    <w:rsid w:val="001B4D93"/>
    <w:rsid w:val="001B65C1"/>
    <w:rsid w:val="001B7668"/>
    <w:rsid w:val="001B7723"/>
    <w:rsid w:val="001C2B3E"/>
    <w:rsid w:val="001C4D26"/>
    <w:rsid w:val="001C670D"/>
    <w:rsid w:val="001C684B"/>
    <w:rsid w:val="001D13A8"/>
    <w:rsid w:val="001D1A20"/>
    <w:rsid w:val="001D53FC"/>
    <w:rsid w:val="001D6253"/>
    <w:rsid w:val="001E2BAE"/>
    <w:rsid w:val="001E38D0"/>
    <w:rsid w:val="001E70B0"/>
    <w:rsid w:val="001F1E16"/>
    <w:rsid w:val="001F42A5"/>
    <w:rsid w:val="001F7B9D"/>
    <w:rsid w:val="0020489F"/>
    <w:rsid w:val="002172E4"/>
    <w:rsid w:val="00217BAF"/>
    <w:rsid w:val="0022054A"/>
    <w:rsid w:val="002212F4"/>
    <w:rsid w:val="002224B4"/>
    <w:rsid w:val="00223EA2"/>
    <w:rsid w:val="00225AEB"/>
    <w:rsid w:val="00225EBF"/>
    <w:rsid w:val="00231F21"/>
    <w:rsid w:val="002447EF"/>
    <w:rsid w:val="00251550"/>
    <w:rsid w:val="002571DB"/>
    <w:rsid w:val="00257A86"/>
    <w:rsid w:val="002634B9"/>
    <w:rsid w:val="00263B05"/>
    <w:rsid w:val="002706A0"/>
    <w:rsid w:val="0027221A"/>
    <w:rsid w:val="00272714"/>
    <w:rsid w:val="002749C6"/>
    <w:rsid w:val="00275B61"/>
    <w:rsid w:val="00275D46"/>
    <w:rsid w:val="002771C1"/>
    <w:rsid w:val="00282003"/>
    <w:rsid w:val="00282656"/>
    <w:rsid w:val="00290B77"/>
    <w:rsid w:val="00291FB9"/>
    <w:rsid w:val="00296B83"/>
    <w:rsid w:val="002A518D"/>
    <w:rsid w:val="002A6A5B"/>
    <w:rsid w:val="002B39D4"/>
    <w:rsid w:val="002B78CE"/>
    <w:rsid w:val="002C2FB6"/>
    <w:rsid w:val="002C682C"/>
    <w:rsid w:val="002D5D5B"/>
    <w:rsid w:val="002E01A7"/>
    <w:rsid w:val="002E348B"/>
    <w:rsid w:val="002E783D"/>
    <w:rsid w:val="002F3309"/>
    <w:rsid w:val="002F4091"/>
    <w:rsid w:val="0030043B"/>
    <w:rsid w:val="003009B7"/>
    <w:rsid w:val="00300E56"/>
    <w:rsid w:val="0030469C"/>
    <w:rsid w:val="00305CE3"/>
    <w:rsid w:val="003061AA"/>
    <w:rsid w:val="00321CA6"/>
    <w:rsid w:val="0032482B"/>
    <w:rsid w:val="00334C09"/>
    <w:rsid w:val="003371B1"/>
    <w:rsid w:val="00345045"/>
    <w:rsid w:val="00355C85"/>
    <w:rsid w:val="003723D4"/>
    <w:rsid w:val="00381905"/>
    <w:rsid w:val="00383AF1"/>
    <w:rsid w:val="00384CC8"/>
    <w:rsid w:val="003871FD"/>
    <w:rsid w:val="00387911"/>
    <w:rsid w:val="00387E2F"/>
    <w:rsid w:val="003978CF"/>
    <w:rsid w:val="003A0C8A"/>
    <w:rsid w:val="003A1E30"/>
    <w:rsid w:val="003A7D1C"/>
    <w:rsid w:val="003B304B"/>
    <w:rsid w:val="003B3146"/>
    <w:rsid w:val="003C063B"/>
    <w:rsid w:val="003C738E"/>
    <w:rsid w:val="003D2125"/>
    <w:rsid w:val="003E1344"/>
    <w:rsid w:val="003E3705"/>
    <w:rsid w:val="003F015E"/>
    <w:rsid w:val="00400414"/>
    <w:rsid w:val="004010CF"/>
    <w:rsid w:val="00404EFE"/>
    <w:rsid w:val="00411E53"/>
    <w:rsid w:val="0041446B"/>
    <w:rsid w:val="0041684D"/>
    <w:rsid w:val="004268A4"/>
    <w:rsid w:val="004320A1"/>
    <w:rsid w:val="00437D9F"/>
    <w:rsid w:val="0044329C"/>
    <w:rsid w:val="00445334"/>
    <w:rsid w:val="00447F0B"/>
    <w:rsid w:val="004505EB"/>
    <w:rsid w:val="0045539C"/>
    <w:rsid w:val="004577FE"/>
    <w:rsid w:val="00457B9C"/>
    <w:rsid w:val="004605C4"/>
    <w:rsid w:val="0046164A"/>
    <w:rsid w:val="004628D2"/>
    <w:rsid w:val="00462DCD"/>
    <w:rsid w:val="004648AD"/>
    <w:rsid w:val="00466625"/>
    <w:rsid w:val="004703A9"/>
    <w:rsid w:val="004706EB"/>
    <w:rsid w:val="00470C16"/>
    <w:rsid w:val="004719CE"/>
    <w:rsid w:val="004732B3"/>
    <w:rsid w:val="004746EA"/>
    <w:rsid w:val="00475F2C"/>
    <w:rsid w:val="004760DE"/>
    <w:rsid w:val="004763D7"/>
    <w:rsid w:val="0047724C"/>
    <w:rsid w:val="0047741D"/>
    <w:rsid w:val="0047761A"/>
    <w:rsid w:val="00482A9A"/>
    <w:rsid w:val="0049008E"/>
    <w:rsid w:val="004A004E"/>
    <w:rsid w:val="004A0A4B"/>
    <w:rsid w:val="004A24CF"/>
    <w:rsid w:val="004A7605"/>
    <w:rsid w:val="004A7F4F"/>
    <w:rsid w:val="004B6C7C"/>
    <w:rsid w:val="004C3D1D"/>
    <w:rsid w:val="004C7913"/>
    <w:rsid w:val="004D20F8"/>
    <w:rsid w:val="004D3142"/>
    <w:rsid w:val="004D71CD"/>
    <w:rsid w:val="004E1659"/>
    <w:rsid w:val="004E46F8"/>
    <w:rsid w:val="004E47F1"/>
    <w:rsid w:val="004E4DD6"/>
    <w:rsid w:val="004F5AA4"/>
    <w:rsid w:val="004F5E36"/>
    <w:rsid w:val="004F6CD0"/>
    <w:rsid w:val="004F755C"/>
    <w:rsid w:val="0050452E"/>
    <w:rsid w:val="00507B47"/>
    <w:rsid w:val="00507BEF"/>
    <w:rsid w:val="00507CC9"/>
    <w:rsid w:val="005112D4"/>
    <w:rsid w:val="005119A5"/>
    <w:rsid w:val="00523B92"/>
    <w:rsid w:val="00524802"/>
    <w:rsid w:val="005257D7"/>
    <w:rsid w:val="005278B7"/>
    <w:rsid w:val="00530557"/>
    <w:rsid w:val="00532016"/>
    <w:rsid w:val="00532D41"/>
    <w:rsid w:val="005346C8"/>
    <w:rsid w:val="00536684"/>
    <w:rsid w:val="00536D71"/>
    <w:rsid w:val="00537B94"/>
    <w:rsid w:val="00540499"/>
    <w:rsid w:val="0054062F"/>
    <w:rsid w:val="00540BED"/>
    <w:rsid w:val="00541BC0"/>
    <w:rsid w:val="00543E7D"/>
    <w:rsid w:val="00546077"/>
    <w:rsid w:val="00547A68"/>
    <w:rsid w:val="005531C6"/>
    <w:rsid w:val="005531C9"/>
    <w:rsid w:val="00563EC6"/>
    <w:rsid w:val="0057009D"/>
    <w:rsid w:val="00570C43"/>
    <w:rsid w:val="005740F0"/>
    <w:rsid w:val="00577CFD"/>
    <w:rsid w:val="00585664"/>
    <w:rsid w:val="00585E1F"/>
    <w:rsid w:val="00586171"/>
    <w:rsid w:val="00594276"/>
    <w:rsid w:val="005B0F8B"/>
    <w:rsid w:val="005B2110"/>
    <w:rsid w:val="005B2C25"/>
    <w:rsid w:val="005B61E6"/>
    <w:rsid w:val="005C1464"/>
    <w:rsid w:val="005C77E1"/>
    <w:rsid w:val="005C7C72"/>
    <w:rsid w:val="005D19C4"/>
    <w:rsid w:val="005D63F6"/>
    <w:rsid w:val="005D6A2F"/>
    <w:rsid w:val="005D7C17"/>
    <w:rsid w:val="005E1A82"/>
    <w:rsid w:val="005E2E44"/>
    <w:rsid w:val="005E794C"/>
    <w:rsid w:val="005F0A28"/>
    <w:rsid w:val="005F0E5E"/>
    <w:rsid w:val="005F3A5F"/>
    <w:rsid w:val="005F4AF9"/>
    <w:rsid w:val="00600535"/>
    <w:rsid w:val="00604E0D"/>
    <w:rsid w:val="00605E6D"/>
    <w:rsid w:val="00610CD6"/>
    <w:rsid w:val="006130DB"/>
    <w:rsid w:val="006149F3"/>
    <w:rsid w:val="0061682C"/>
    <w:rsid w:val="00620DEE"/>
    <w:rsid w:val="006215C9"/>
    <w:rsid w:val="00621F92"/>
    <w:rsid w:val="0062280A"/>
    <w:rsid w:val="00625639"/>
    <w:rsid w:val="00626906"/>
    <w:rsid w:val="006271CD"/>
    <w:rsid w:val="00627734"/>
    <w:rsid w:val="0063066D"/>
    <w:rsid w:val="00631B33"/>
    <w:rsid w:val="00634259"/>
    <w:rsid w:val="006356BA"/>
    <w:rsid w:val="00637283"/>
    <w:rsid w:val="00637768"/>
    <w:rsid w:val="0064126F"/>
    <w:rsid w:val="0064184D"/>
    <w:rsid w:val="00641B03"/>
    <w:rsid w:val="006422CC"/>
    <w:rsid w:val="0064377E"/>
    <w:rsid w:val="00652BC1"/>
    <w:rsid w:val="006541F5"/>
    <w:rsid w:val="00656DDB"/>
    <w:rsid w:val="00657890"/>
    <w:rsid w:val="00660E3E"/>
    <w:rsid w:val="00661FB2"/>
    <w:rsid w:val="00662E74"/>
    <w:rsid w:val="00664AE1"/>
    <w:rsid w:val="00671BC9"/>
    <w:rsid w:val="006777E4"/>
    <w:rsid w:val="006802B3"/>
    <w:rsid w:val="00680C23"/>
    <w:rsid w:val="00690011"/>
    <w:rsid w:val="00693766"/>
    <w:rsid w:val="006A10D3"/>
    <w:rsid w:val="006A1276"/>
    <w:rsid w:val="006A3281"/>
    <w:rsid w:val="006A5194"/>
    <w:rsid w:val="006B1271"/>
    <w:rsid w:val="006B17C8"/>
    <w:rsid w:val="006B34F7"/>
    <w:rsid w:val="006B4888"/>
    <w:rsid w:val="006C2515"/>
    <w:rsid w:val="006C2E45"/>
    <w:rsid w:val="006C359C"/>
    <w:rsid w:val="006C5579"/>
    <w:rsid w:val="006D0A01"/>
    <w:rsid w:val="006D6338"/>
    <w:rsid w:val="006E737D"/>
    <w:rsid w:val="006F15CD"/>
    <w:rsid w:val="006F4BDC"/>
    <w:rsid w:val="006F69BB"/>
    <w:rsid w:val="0071229D"/>
    <w:rsid w:val="007132C1"/>
    <w:rsid w:val="00720A24"/>
    <w:rsid w:val="0072182E"/>
    <w:rsid w:val="00725621"/>
    <w:rsid w:val="00725AA8"/>
    <w:rsid w:val="00730DDE"/>
    <w:rsid w:val="00732386"/>
    <w:rsid w:val="00733270"/>
    <w:rsid w:val="0073514D"/>
    <w:rsid w:val="007435DC"/>
    <w:rsid w:val="007447F3"/>
    <w:rsid w:val="00744E5C"/>
    <w:rsid w:val="00753507"/>
    <w:rsid w:val="0075499F"/>
    <w:rsid w:val="007621EC"/>
    <w:rsid w:val="0076467C"/>
    <w:rsid w:val="007661C8"/>
    <w:rsid w:val="0077098D"/>
    <w:rsid w:val="007751AE"/>
    <w:rsid w:val="00775695"/>
    <w:rsid w:val="007773C6"/>
    <w:rsid w:val="0078493C"/>
    <w:rsid w:val="00791FA3"/>
    <w:rsid w:val="007931FA"/>
    <w:rsid w:val="007A36B1"/>
    <w:rsid w:val="007A4861"/>
    <w:rsid w:val="007A7BBA"/>
    <w:rsid w:val="007B0C50"/>
    <w:rsid w:val="007B6F82"/>
    <w:rsid w:val="007C1A43"/>
    <w:rsid w:val="007D1DC9"/>
    <w:rsid w:val="007D343E"/>
    <w:rsid w:val="007E1911"/>
    <w:rsid w:val="007F0272"/>
    <w:rsid w:val="007F18B5"/>
    <w:rsid w:val="007F7A57"/>
    <w:rsid w:val="0080013E"/>
    <w:rsid w:val="00811F02"/>
    <w:rsid w:val="00813288"/>
    <w:rsid w:val="00813396"/>
    <w:rsid w:val="008168FC"/>
    <w:rsid w:val="00816CA5"/>
    <w:rsid w:val="00823DB8"/>
    <w:rsid w:val="00830996"/>
    <w:rsid w:val="008336FE"/>
    <w:rsid w:val="008337E5"/>
    <w:rsid w:val="008345F1"/>
    <w:rsid w:val="008435BE"/>
    <w:rsid w:val="00844C1E"/>
    <w:rsid w:val="00851958"/>
    <w:rsid w:val="008558BC"/>
    <w:rsid w:val="00860FD6"/>
    <w:rsid w:val="00861DBF"/>
    <w:rsid w:val="00865B07"/>
    <w:rsid w:val="008667EA"/>
    <w:rsid w:val="008673D7"/>
    <w:rsid w:val="00872E99"/>
    <w:rsid w:val="0087441A"/>
    <w:rsid w:val="0087637F"/>
    <w:rsid w:val="00884C73"/>
    <w:rsid w:val="008869C6"/>
    <w:rsid w:val="008919D9"/>
    <w:rsid w:val="00892AD5"/>
    <w:rsid w:val="0089505C"/>
    <w:rsid w:val="008A0CB8"/>
    <w:rsid w:val="008A1512"/>
    <w:rsid w:val="008A3763"/>
    <w:rsid w:val="008A5A7E"/>
    <w:rsid w:val="008A75B6"/>
    <w:rsid w:val="008B25A2"/>
    <w:rsid w:val="008B32D8"/>
    <w:rsid w:val="008B51B5"/>
    <w:rsid w:val="008B71F6"/>
    <w:rsid w:val="008D1E4A"/>
    <w:rsid w:val="008D32B9"/>
    <w:rsid w:val="008D433B"/>
    <w:rsid w:val="008D5037"/>
    <w:rsid w:val="008E33C9"/>
    <w:rsid w:val="008E566E"/>
    <w:rsid w:val="008E7F7F"/>
    <w:rsid w:val="008F5896"/>
    <w:rsid w:val="0090161A"/>
    <w:rsid w:val="00901EB6"/>
    <w:rsid w:val="00904C62"/>
    <w:rsid w:val="00905405"/>
    <w:rsid w:val="00905F60"/>
    <w:rsid w:val="00911182"/>
    <w:rsid w:val="00912B98"/>
    <w:rsid w:val="00916FA7"/>
    <w:rsid w:val="00920D77"/>
    <w:rsid w:val="00922BA8"/>
    <w:rsid w:val="00924DAC"/>
    <w:rsid w:val="00927058"/>
    <w:rsid w:val="00931C8A"/>
    <w:rsid w:val="0094154A"/>
    <w:rsid w:val="00942750"/>
    <w:rsid w:val="0094282B"/>
    <w:rsid w:val="009450CE"/>
    <w:rsid w:val="00947179"/>
    <w:rsid w:val="0095164B"/>
    <w:rsid w:val="00954090"/>
    <w:rsid w:val="009573E7"/>
    <w:rsid w:val="009625AC"/>
    <w:rsid w:val="00963E05"/>
    <w:rsid w:val="009640DE"/>
    <w:rsid w:val="00964244"/>
    <w:rsid w:val="00964C6D"/>
    <w:rsid w:val="00965E22"/>
    <w:rsid w:val="009661CA"/>
    <w:rsid w:val="0096636C"/>
    <w:rsid w:val="00967D54"/>
    <w:rsid w:val="0097012F"/>
    <w:rsid w:val="00970C6D"/>
    <w:rsid w:val="00971028"/>
    <w:rsid w:val="009713A1"/>
    <w:rsid w:val="00990EC3"/>
    <w:rsid w:val="00993666"/>
    <w:rsid w:val="00996483"/>
    <w:rsid w:val="00996F5A"/>
    <w:rsid w:val="009B0373"/>
    <w:rsid w:val="009B041A"/>
    <w:rsid w:val="009B295A"/>
    <w:rsid w:val="009C37C3"/>
    <w:rsid w:val="009C7C86"/>
    <w:rsid w:val="009D232D"/>
    <w:rsid w:val="009D2FF7"/>
    <w:rsid w:val="009D30F0"/>
    <w:rsid w:val="009D59E9"/>
    <w:rsid w:val="009D5F64"/>
    <w:rsid w:val="009E1489"/>
    <w:rsid w:val="009E780C"/>
    <w:rsid w:val="009E7884"/>
    <w:rsid w:val="009E788A"/>
    <w:rsid w:val="009F0E08"/>
    <w:rsid w:val="009F357E"/>
    <w:rsid w:val="00A04720"/>
    <w:rsid w:val="00A14614"/>
    <w:rsid w:val="00A16C3D"/>
    <w:rsid w:val="00A1763D"/>
    <w:rsid w:val="00A17CEC"/>
    <w:rsid w:val="00A233AF"/>
    <w:rsid w:val="00A24772"/>
    <w:rsid w:val="00A27EF0"/>
    <w:rsid w:val="00A466D7"/>
    <w:rsid w:val="00A4734A"/>
    <w:rsid w:val="00A50B20"/>
    <w:rsid w:val="00A51390"/>
    <w:rsid w:val="00A60D13"/>
    <w:rsid w:val="00A655D3"/>
    <w:rsid w:val="00A674DD"/>
    <w:rsid w:val="00A71AA6"/>
    <w:rsid w:val="00A72745"/>
    <w:rsid w:val="00A76EFC"/>
    <w:rsid w:val="00A76F69"/>
    <w:rsid w:val="00A91010"/>
    <w:rsid w:val="00A93AC3"/>
    <w:rsid w:val="00A97F29"/>
    <w:rsid w:val="00AA3CF1"/>
    <w:rsid w:val="00AA453E"/>
    <w:rsid w:val="00AA702E"/>
    <w:rsid w:val="00AB0964"/>
    <w:rsid w:val="00AB2C78"/>
    <w:rsid w:val="00AB5011"/>
    <w:rsid w:val="00AB5A42"/>
    <w:rsid w:val="00AC7368"/>
    <w:rsid w:val="00AD1439"/>
    <w:rsid w:val="00AD16B9"/>
    <w:rsid w:val="00AD2177"/>
    <w:rsid w:val="00AD4433"/>
    <w:rsid w:val="00AD7D1D"/>
    <w:rsid w:val="00AE0533"/>
    <w:rsid w:val="00AE377D"/>
    <w:rsid w:val="00B0020C"/>
    <w:rsid w:val="00B02C8A"/>
    <w:rsid w:val="00B03E46"/>
    <w:rsid w:val="00B06A0D"/>
    <w:rsid w:val="00B07891"/>
    <w:rsid w:val="00B115C7"/>
    <w:rsid w:val="00B17FBD"/>
    <w:rsid w:val="00B20137"/>
    <w:rsid w:val="00B22C87"/>
    <w:rsid w:val="00B279B5"/>
    <w:rsid w:val="00B315A6"/>
    <w:rsid w:val="00B31813"/>
    <w:rsid w:val="00B33365"/>
    <w:rsid w:val="00B3495B"/>
    <w:rsid w:val="00B359B4"/>
    <w:rsid w:val="00B42DCB"/>
    <w:rsid w:val="00B43012"/>
    <w:rsid w:val="00B438FF"/>
    <w:rsid w:val="00B4578A"/>
    <w:rsid w:val="00B56E41"/>
    <w:rsid w:val="00B57B36"/>
    <w:rsid w:val="00B65421"/>
    <w:rsid w:val="00B75496"/>
    <w:rsid w:val="00B80C0D"/>
    <w:rsid w:val="00B8686D"/>
    <w:rsid w:val="00B906AB"/>
    <w:rsid w:val="00BA0D69"/>
    <w:rsid w:val="00BA2130"/>
    <w:rsid w:val="00BB1DDC"/>
    <w:rsid w:val="00BB4F84"/>
    <w:rsid w:val="00BC11F1"/>
    <w:rsid w:val="00BC30C9"/>
    <w:rsid w:val="00BC6E4B"/>
    <w:rsid w:val="00BC7857"/>
    <w:rsid w:val="00BD2557"/>
    <w:rsid w:val="00BD42D7"/>
    <w:rsid w:val="00BE3E58"/>
    <w:rsid w:val="00BE7C03"/>
    <w:rsid w:val="00BF14B2"/>
    <w:rsid w:val="00BF6F1C"/>
    <w:rsid w:val="00C01616"/>
    <w:rsid w:val="00C0162B"/>
    <w:rsid w:val="00C018FC"/>
    <w:rsid w:val="00C068ED"/>
    <w:rsid w:val="00C105B1"/>
    <w:rsid w:val="00C172C0"/>
    <w:rsid w:val="00C2130A"/>
    <w:rsid w:val="00C24C29"/>
    <w:rsid w:val="00C27465"/>
    <w:rsid w:val="00C31771"/>
    <w:rsid w:val="00C33860"/>
    <w:rsid w:val="00C345B1"/>
    <w:rsid w:val="00C40142"/>
    <w:rsid w:val="00C41B42"/>
    <w:rsid w:val="00C43A68"/>
    <w:rsid w:val="00C57182"/>
    <w:rsid w:val="00C57863"/>
    <w:rsid w:val="00C61B34"/>
    <w:rsid w:val="00C61B46"/>
    <w:rsid w:val="00C655FD"/>
    <w:rsid w:val="00C73B55"/>
    <w:rsid w:val="00C74217"/>
    <w:rsid w:val="00C75407"/>
    <w:rsid w:val="00C75FF3"/>
    <w:rsid w:val="00C8259B"/>
    <w:rsid w:val="00C82719"/>
    <w:rsid w:val="00C8285D"/>
    <w:rsid w:val="00C850E2"/>
    <w:rsid w:val="00C85C5C"/>
    <w:rsid w:val="00C870A8"/>
    <w:rsid w:val="00C87986"/>
    <w:rsid w:val="00C94434"/>
    <w:rsid w:val="00C94CA5"/>
    <w:rsid w:val="00CA0D75"/>
    <w:rsid w:val="00CA1C95"/>
    <w:rsid w:val="00CA313F"/>
    <w:rsid w:val="00CA5A9C"/>
    <w:rsid w:val="00CB01F5"/>
    <w:rsid w:val="00CB1EAC"/>
    <w:rsid w:val="00CB280B"/>
    <w:rsid w:val="00CB66DF"/>
    <w:rsid w:val="00CB6B04"/>
    <w:rsid w:val="00CC35E2"/>
    <w:rsid w:val="00CC41FF"/>
    <w:rsid w:val="00CC4C20"/>
    <w:rsid w:val="00CC680A"/>
    <w:rsid w:val="00CD00C4"/>
    <w:rsid w:val="00CD046B"/>
    <w:rsid w:val="00CD23C7"/>
    <w:rsid w:val="00CD3517"/>
    <w:rsid w:val="00CD5FE2"/>
    <w:rsid w:val="00CD7382"/>
    <w:rsid w:val="00CD7938"/>
    <w:rsid w:val="00CD7CF0"/>
    <w:rsid w:val="00CE2B6C"/>
    <w:rsid w:val="00CE48EC"/>
    <w:rsid w:val="00CE7C68"/>
    <w:rsid w:val="00CF269B"/>
    <w:rsid w:val="00CF45DE"/>
    <w:rsid w:val="00D017D5"/>
    <w:rsid w:val="00D02B4C"/>
    <w:rsid w:val="00D040C4"/>
    <w:rsid w:val="00D0551A"/>
    <w:rsid w:val="00D12EA7"/>
    <w:rsid w:val="00D12F67"/>
    <w:rsid w:val="00D14F47"/>
    <w:rsid w:val="00D165AF"/>
    <w:rsid w:val="00D222DC"/>
    <w:rsid w:val="00D346C2"/>
    <w:rsid w:val="00D360DC"/>
    <w:rsid w:val="00D43EE3"/>
    <w:rsid w:val="00D50469"/>
    <w:rsid w:val="00D560A1"/>
    <w:rsid w:val="00D579B2"/>
    <w:rsid w:val="00D57C84"/>
    <w:rsid w:val="00D6057D"/>
    <w:rsid w:val="00D61D91"/>
    <w:rsid w:val="00D6498E"/>
    <w:rsid w:val="00D7415A"/>
    <w:rsid w:val="00D77ACD"/>
    <w:rsid w:val="00D836C5"/>
    <w:rsid w:val="00D84576"/>
    <w:rsid w:val="00D86EC1"/>
    <w:rsid w:val="00D92B2A"/>
    <w:rsid w:val="00D933E0"/>
    <w:rsid w:val="00D96B4A"/>
    <w:rsid w:val="00DA1399"/>
    <w:rsid w:val="00DA24C6"/>
    <w:rsid w:val="00DA40E2"/>
    <w:rsid w:val="00DA4D7B"/>
    <w:rsid w:val="00DA5106"/>
    <w:rsid w:val="00DC5840"/>
    <w:rsid w:val="00DC6BF4"/>
    <w:rsid w:val="00DD4F1B"/>
    <w:rsid w:val="00DE096C"/>
    <w:rsid w:val="00DE17BA"/>
    <w:rsid w:val="00DE264A"/>
    <w:rsid w:val="00DE3957"/>
    <w:rsid w:val="00DF3560"/>
    <w:rsid w:val="00DF5072"/>
    <w:rsid w:val="00DF586A"/>
    <w:rsid w:val="00DF5E83"/>
    <w:rsid w:val="00E02D18"/>
    <w:rsid w:val="00E041E7"/>
    <w:rsid w:val="00E07912"/>
    <w:rsid w:val="00E12493"/>
    <w:rsid w:val="00E15ACB"/>
    <w:rsid w:val="00E234D8"/>
    <w:rsid w:val="00E23CA1"/>
    <w:rsid w:val="00E357AE"/>
    <w:rsid w:val="00E409A8"/>
    <w:rsid w:val="00E41555"/>
    <w:rsid w:val="00E4512F"/>
    <w:rsid w:val="00E45862"/>
    <w:rsid w:val="00E477F4"/>
    <w:rsid w:val="00E4796C"/>
    <w:rsid w:val="00E50C12"/>
    <w:rsid w:val="00E53F3C"/>
    <w:rsid w:val="00E62F20"/>
    <w:rsid w:val="00E64053"/>
    <w:rsid w:val="00E65B91"/>
    <w:rsid w:val="00E660BF"/>
    <w:rsid w:val="00E70AE7"/>
    <w:rsid w:val="00E71D55"/>
    <w:rsid w:val="00E7209D"/>
    <w:rsid w:val="00E77223"/>
    <w:rsid w:val="00E8528B"/>
    <w:rsid w:val="00E85B94"/>
    <w:rsid w:val="00E879C7"/>
    <w:rsid w:val="00E9552E"/>
    <w:rsid w:val="00E978D0"/>
    <w:rsid w:val="00EA33D1"/>
    <w:rsid w:val="00EA4613"/>
    <w:rsid w:val="00EA6A45"/>
    <w:rsid w:val="00EA7F91"/>
    <w:rsid w:val="00EB1523"/>
    <w:rsid w:val="00EB2315"/>
    <w:rsid w:val="00EB7531"/>
    <w:rsid w:val="00EC0E49"/>
    <w:rsid w:val="00EC101F"/>
    <w:rsid w:val="00EC6D45"/>
    <w:rsid w:val="00EE0131"/>
    <w:rsid w:val="00EE17B0"/>
    <w:rsid w:val="00EE285F"/>
    <w:rsid w:val="00EE2B22"/>
    <w:rsid w:val="00EE489C"/>
    <w:rsid w:val="00EF06D9"/>
    <w:rsid w:val="00EF36F6"/>
    <w:rsid w:val="00EF425B"/>
    <w:rsid w:val="00EF6261"/>
    <w:rsid w:val="00EF6C39"/>
    <w:rsid w:val="00F035C7"/>
    <w:rsid w:val="00F10F26"/>
    <w:rsid w:val="00F1365F"/>
    <w:rsid w:val="00F16FB4"/>
    <w:rsid w:val="00F2650C"/>
    <w:rsid w:val="00F27AD1"/>
    <w:rsid w:val="00F30C64"/>
    <w:rsid w:val="00F3256F"/>
    <w:rsid w:val="00F32CDB"/>
    <w:rsid w:val="00F46219"/>
    <w:rsid w:val="00F545FF"/>
    <w:rsid w:val="00F56E8C"/>
    <w:rsid w:val="00F6187F"/>
    <w:rsid w:val="00F63A70"/>
    <w:rsid w:val="00F6454E"/>
    <w:rsid w:val="00F66E00"/>
    <w:rsid w:val="00F7094E"/>
    <w:rsid w:val="00F715F4"/>
    <w:rsid w:val="00F74072"/>
    <w:rsid w:val="00F805A7"/>
    <w:rsid w:val="00F8180D"/>
    <w:rsid w:val="00F84AAA"/>
    <w:rsid w:val="00F874D2"/>
    <w:rsid w:val="00F96249"/>
    <w:rsid w:val="00FA20CB"/>
    <w:rsid w:val="00FA21D0"/>
    <w:rsid w:val="00FA4175"/>
    <w:rsid w:val="00FA4BA5"/>
    <w:rsid w:val="00FA5F5F"/>
    <w:rsid w:val="00FB2A8D"/>
    <w:rsid w:val="00FB473A"/>
    <w:rsid w:val="00FB730C"/>
    <w:rsid w:val="00FB7383"/>
    <w:rsid w:val="00FC2695"/>
    <w:rsid w:val="00FC2CB2"/>
    <w:rsid w:val="00FC3161"/>
    <w:rsid w:val="00FC3E03"/>
    <w:rsid w:val="00FC3FC1"/>
    <w:rsid w:val="00FC5312"/>
    <w:rsid w:val="00FD0E5B"/>
    <w:rsid w:val="00FD4985"/>
    <w:rsid w:val="00FD540A"/>
    <w:rsid w:val="00FD61AB"/>
    <w:rsid w:val="00FF3FEC"/>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BC478AC1-7936-4E46-B98D-290BF1CD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94154A"/>
    <w:pPr>
      <w:ind w:left="720"/>
      <w:contextualSpacing/>
    </w:pPr>
  </w:style>
  <w:style w:type="character" w:styleId="Testosegnaposto">
    <w:name w:val="Placeholder Text"/>
    <w:basedOn w:val="Carpredefinitoparagrafo"/>
    <w:uiPriority w:val="99"/>
    <w:semiHidden/>
    <w:rsid w:val="00D0551A"/>
    <w:rPr>
      <w:color w:val="808080"/>
    </w:rPr>
  </w:style>
  <w:style w:type="character" w:styleId="Rimandonotaapidipagina">
    <w:name w:val="footnote reference"/>
    <w:basedOn w:val="Carpredefinitoparagrafo"/>
    <w:uiPriority w:val="99"/>
    <w:semiHidden/>
    <w:unhideWhenUsed/>
    <w:rsid w:val="009F35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5554">
      <w:bodyDiv w:val="1"/>
      <w:marLeft w:val="0"/>
      <w:marRight w:val="0"/>
      <w:marTop w:val="0"/>
      <w:marBottom w:val="0"/>
      <w:divBdr>
        <w:top w:val="none" w:sz="0" w:space="0" w:color="auto"/>
        <w:left w:val="none" w:sz="0" w:space="0" w:color="auto"/>
        <w:bottom w:val="none" w:sz="0" w:space="0" w:color="auto"/>
        <w:right w:val="none" w:sz="0" w:space="0" w:color="auto"/>
      </w:divBdr>
    </w:div>
    <w:div w:id="368074608">
      <w:bodyDiv w:val="1"/>
      <w:marLeft w:val="0"/>
      <w:marRight w:val="0"/>
      <w:marTop w:val="0"/>
      <w:marBottom w:val="0"/>
      <w:divBdr>
        <w:top w:val="none" w:sz="0" w:space="0" w:color="auto"/>
        <w:left w:val="none" w:sz="0" w:space="0" w:color="auto"/>
        <w:bottom w:val="none" w:sz="0" w:space="0" w:color="auto"/>
        <w:right w:val="none" w:sz="0" w:space="0" w:color="auto"/>
      </w:divBdr>
    </w:div>
    <w:div w:id="383988769">
      <w:bodyDiv w:val="1"/>
      <w:marLeft w:val="0"/>
      <w:marRight w:val="0"/>
      <w:marTop w:val="0"/>
      <w:marBottom w:val="0"/>
      <w:divBdr>
        <w:top w:val="none" w:sz="0" w:space="0" w:color="auto"/>
        <w:left w:val="none" w:sz="0" w:space="0" w:color="auto"/>
        <w:bottom w:val="none" w:sz="0" w:space="0" w:color="auto"/>
        <w:right w:val="none" w:sz="0" w:space="0" w:color="auto"/>
      </w:divBdr>
    </w:div>
    <w:div w:id="559099207">
      <w:bodyDiv w:val="1"/>
      <w:marLeft w:val="0"/>
      <w:marRight w:val="0"/>
      <w:marTop w:val="0"/>
      <w:marBottom w:val="0"/>
      <w:divBdr>
        <w:top w:val="none" w:sz="0" w:space="0" w:color="auto"/>
        <w:left w:val="none" w:sz="0" w:space="0" w:color="auto"/>
        <w:bottom w:val="none" w:sz="0" w:space="0" w:color="auto"/>
        <w:right w:val="none" w:sz="0" w:space="0" w:color="auto"/>
      </w:divBdr>
    </w:div>
    <w:div w:id="565187584">
      <w:bodyDiv w:val="1"/>
      <w:marLeft w:val="0"/>
      <w:marRight w:val="0"/>
      <w:marTop w:val="0"/>
      <w:marBottom w:val="0"/>
      <w:divBdr>
        <w:top w:val="none" w:sz="0" w:space="0" w:color="auto"/>
        <w:left w:val="none" w:sz="0" w:space="0" w:color="auto"/>
        <w:bottom w:val="none" w:sz="0" w:space="0" w:color="auto"/>
        <w:right w:val="none" w:sz="0" w:space="0" w:color="auto"/>
      </w:divBdr>
    </w:div>
    <w:div w:id="689260012">
      <w:bodyDiv w:val="1"/>
      <w:marLeft w:val="0"/>
      <w:marRight w:val="0"/>
      <w:marTop w:val="0"/>
      <w:marBottom w:val="0"/>
      <w:divBdr>
        <w:top w:val="none" w:sz="0" w:space="0" w:color="auto"/>
        <w:left w:val="none" w:sz="0" w:space="0" w:color="auto"/>
        <w:bottom w:val="none" w:sz="0" w:space="0" w:color="auto"/>
        <w:right w:val="none" w:sz="0" w:space="0" w:color="auto"/>
      </w:divBdr>
    </w:div>
    <w:div w:id="689991063">
      <w:bodyDiv w:val="1"/>
      <w:marLeft w:val="0"/>
      <w:marRight w:val="0"/>
      <w:marTop w:val="0"/>
      <w:marBottom w:val="0"/>
      <w:divBdr>
        <w:top w:val="none" w:sz="0" w:space="0" w:color="auto"/>
        <w:left w:val="none" w:sz="0" w:space="0" w:color="auto"/>
        <w:bottom w:val="none" w:sz="0" w:space="0" w:color="auto"/>
        <w:right w:val="none" w:sz="0" w:space="0" w:color="auto"/>
      </w:divBdr>
    </w:div>
    <w:div w:id="77956931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3795">
      <w:bodyDiv w:val="1"/>
      <w:marLeft w:val="0"/>
      <w:marRight w:val="0"/>
      <w:marTop w:val="0"/>
      <w:marBottom w:val="0"/>
      <w:divBdr>
        <w:top w:val="none" w:sz="0" w:space="0" w:color="auto"/>
        <w:left w:val="none" w:sz="0" w:space="0" w:color="auto"/>
        <w:bottom w:val="none" w:sz="0" w:space="0" w:color="auto"/>
        <w:right w:val="none" w:sz="0" w:space="0" w:color="auto"/>
      </w:divBdr>
    </w:div>
    <w:div w:id="1109395689">
      <w:bodyDiv w:val="1"/>
      <w:marLeft w:val="0"/>
      <w:marRight w:val="0"/>
      <w:marTop w:val="0"/>
      <w:marBottom w:val="0"/>
      <w:divBdr>
        <w:top w:val="none" w:sz="0" w:space="0" w:color="auto"/>
        <w:left w:val="none" w:sz="0" w:space="0" w:color="auto"/>
        <w:bottom w:val="none" w:sz="0" w:space="0" w:color="auto"/>
        <w:right w:val="none" w:sz="0" w:space="0" w:color="auto"/>
      </w:divBdr>
    </w:div>
    <w:div w:id="1119490401">
      <w:bodyDiv w:val="1"/>
      <w:marLeft w:val="0"/>
      <w:marRight w:val="0"/>
      <w:marTop w:val="0"/>
      <w:marBottom w:val="0"/>
      <w:divBdr>
        <w:top w:val="none" w:sz="0" w:space="0" w:color="auto"/>
        <w:left w:val="none" w:sz="0" w:space="0" w:color="auto"/>
        <w:bottom w:val="none" w:sz="0" w:space="0" w:color="auto"/>
        <w:right w:val="none" w:sz="0" w:space="0" w:color="auto"/>
      </w:divBdr>
    </w:div>
    <w:div w:id="1356494273">
      <w:bodyDiv w:val="1"/>
      <w:marLeft w:val="0"/>
      <w:marRight w:val="0"/>
      <w:marTop w:val="0"/>
      <w:marBottom w:val="0"/>
      <w:divBdr>
        <w:top w:val="none" w:sz="0" w:space="0" w:color="auto"/>
        <w:left w:val="none" w:sz="0" w:space="0" w:color="auto"/>
        <w:bottom w:val="none" w:sz="0" w:space="0" w:color="auto"/>
        <w:right w:val="none" w:sz="0" w:space="0" w:color="auto"/>
      </w:divBdr>
    </w:div>
    <w:div w:id="1444113827">
      <w:bodyDiv w:val="1"/>
      <w:marLeft w:val="0"/>
      <w:marRight w:val="0"/>
      <w:marTop w:val="0"/>
      <w:marBottom w:val="0"/>
      <w:divBdr>
        <w:top w:val="none" w:sz="0" w:space="0" w:color="auto"/>
        <w:left w:val="none" w:sz="0" w:space="0" w:color="auto"/>
        <w:bottom w:val="none" w:sz="0" w:space="0" w:color="auto"/>
        <w:right w:val="none" w:sz="0" w:space="0" w:color="auto"/>
      </w:divBdr>
    </w:div>
    <w:div w:id="1537545080">
      <w:bodyDiv w:val="1"/>
      <w:marLeft w:val="0"/>
      <w:marRight w:val="0"/>
      <w:marTop w:val="0"/>
      <w:marBottom w:val="0"/>
      <w:divBdr>
        <w:top w:val="none" w:sz="0" w:space="0" w:color="auto"/>
        <w:left w:val="none" w:sz="0" w:space="0" w:color="auto"/>
        <w:bottom w:val="none" w:sz="0" w:space="0" w:color="auto"/>
        <w:right w:val="none" w:sz="0" w:space="0" w:color="auto"/>
      </w:divBdr>
    </w:div>
    <w:div w:id="163567218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2458">
      <w:bodyDiv w:val="1"/>
      <w:marLeft w:val="0"/>
      <w:marRight w:val="0"/>
      <w:marTop w:val="0"/>
      <w:marBottom w:val="0"/>
      <w:divBdr>
        <w:top w:val="none" w:sz="0" w:space="0" w:color="auto"/>
        <w:left w:val="none" w:sz="0" w:space="0" w:color="auto"/>
        <w:bottom w:val="none" w:sz="0" w:space="0" w:color="auto"/>
        <w:right w:val="none" w:sz="0" w:space="0" w:color="auto"/>
      </w:divBdr>
    </w:div>
    <w:div w:id="182400675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3D25C92F72D5B478BD2BA312D179A27" ma:contentTypeVersion="13" ma:contentTypeDescription="Creare un nuovo documento." ma:contentTypeScope="" ma:versionID="efc441e966f97a2806c0e223409e0860">
  <xsd:schema xmlns:xsd="http://www.w3.org/2001/XMLSchema" xmlns:xs="http://www.w3.org/2001/XMLSchema" xmlns:p="http://schemas.microsoft.com/office/2006/metadata/properties" xmlns:ns3="2e5e719d-bce3-4d42-9711-6529e305b1fe" xmlns:ns4="88c35c16-e1d2-4989-9aef-9190cf1e2062" targetNamespace="http://schemas.microsoft.com/office/2006/metadata/properties" ma:root="true" ma:fieldsID="9918235ed46dbd3ae1b9eb88a8d4963c" ns3:_="" ns4:_="">
    <xsd:import namespace="2e5e719d-bce3-4d42-9711-6529e305b1fe"/>
    <xsd:import namespace="88c35c16-e1d2-4989-9aef-9190cf1e206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e719d-bce3-4d42-9711-6529e305b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c35c16-e1d2-4989-9aef-9190cf1e2062"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FD15FF-38A6-4A46-AABA-05B4DE1B9E9D}">
  <ds:schemaRefs>
    <ds:schemaRef ds:uri="http://schemas.openxmlformats.org/officeDocument/2006/bibliography"/>
  </ds:schemaRefs>
</ds:datastoreItem>
</file>

<file path=customXml/itemProps2.xml><?xml version="1.0" encoding="utf-8"?>
<ds:datastoreItem xmlns:ds="http://schemas.openxmlformats.org/officeDocument/2006/customXml" ds:itemID="{FAFDF82E-1607-47BD-B0F6-A8DBD98B1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e719d-bce3-4d42-9711-6529e305b1fe"/>
    <ds:schemaRef ds:uri="88c35c16-e1d2-4989-9aef-9190cf1e2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F1C9C-2A17-4A77-AFB3-77A5D9C15E3A}">
  <ds:schemaRefs>
    <ds:schemaRef ds:uri="http://schemas.microsoft.com/sharepoint/v3/contenttype/forms"/>
  </ds:schemaRefs>
</ds:datastoreItem>
</file>

<file path=customXml/itemProps4.xml><?xml version="1.0" encoding="utf-8"?>
<ds:datastoreItem xmlns:ds="http://schemas.openxmlformats.org/officeDocument/2006/customXml" ds:itemID="{CAE01F2A-0869-4482-961A-243B3519E1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7977</Words>
  <Characters>45475</Characters>
  <Application>Microsoft Office Word</Application>
  <DocSecurity>0</DocSecurity>
  <Lines>378</Lines>
  <Paragraphs>106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Mocellin Paolo</cp:lastModifiedBy>
  <cp:revision>2</cp:revision>
  <cp:lastPrinted>2022-02-21T10:51:00Z</cp:lastPrinted>
  <dcterms:created xsi:type="dcterms:W3CDTF">2022-02-21T15:10:00Z</dcterms:created>
  <dcterms:modified xsi:type="dcterms:W3CDTF">2022-02-21T15:10:00Z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http://csl.mendeley.com/styles/448197871/elsevier-with-titles-3</vt:lpwstr>
  </property>
  <property fmtid="{D5CDD505-2E9C-101B-9397-08002B2CF9AE}" pid="15" name="Mendeley Recent Style Name 5_1">
    <vt:lpwstr>Elsevier (numeric, with titles) - Gianmaria Pio, Master degree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https://csl.mendeley.com/styles/448197871/IEEEGP</vt:lpwstr>
  </property>
  <property fmtid="{D5CDD505-2E9C-101B-9397-08002B2CF9AE}" pid="19" name="Mendeley Recent Style Name 7_1">
    <vt:lpwstr>IEEE - Gianmaria Pio, Master degree</vt:lpwstr>
  </property>
  <property fmtid="{D5CDD505-2E9C-101B-9397-08002B2CF9AE}" pid="20" name="Mendeley Recent Style Id 8_1">
    <vt:lpwstr>http://www.zotero.org/styles/journal-of-loss-prevention-in-the-process-industries</vt:lpwstr>
  </property>
  <property fmtid="{D5CDD505-2E9C-101B-9397-08002B2CF9AE}" pid="21" name="Mendeley Recent Style Name 8_1">
    <vt:lpwstr>Journal of Loss Prevention in the Process Industries</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748d3932-8da0-39f1-bf88-b31af14acd62</vt:lpwstr>
  </property>
  <property fmtid="{D5CDD505-2E9C-101B-9397-08002B2CF9AE}" pid="26" name="Mendeley Citation Style_1">
    <vt:lpwstr>http://www.zotero.org/styles/journal-of-loss-prevention-in-the-process-industries</vt:lpwstr>
  </property>
  <property fmtid="{D5CDD505-2E9C-101B-9397-08002B2CF9AE}" pid="27" name="ContentTypeId">
    <vt:lpwstr>0x010100E3D25C92F72D5B478BD2BA312D179A27</vt:lpwstr>
  </property>
</Properties>
</file>