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35062E"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35062E" w:rsidRDefault="000A03B2" w:rsidP="00BF5B86">
            <w:pPr>
              <w:tabs>
                <w:tab w:val="left" w:pos="-108"/>
              </w:tabs>
              <w:ind w:left="-108"/>
              <w:rPr>
                <w:rFonts w:cs="Arial"/>
                <w:b/>
                <w:bCs/>
                <w:i/>
                <w:iCs/>
                <w:color w:val="000066"/>
                <w:sz w:val="12"/>
                <w:szCs w:val="12"/>
                <w:lang w:eastAsia="it-IT"/>
              </w:rPr>
            </w:pPr>
            <w:bookmarkStart w:id="0" w:name="_Hlk158823754"/>
            <w:bookmarkEnd w:id="0"/>
            <w:r w:rsidRPr="0035062E">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35062E">
              <w:rPr>
                <w:rFonts w:ascii="AdvP6960" w:hAnsi="AdvP6960" w:cs="AdvP6960"/>
                <w:color w:val="241F20"/>
                <w:szCs w:val="18"/>
                <w:lang w:eastAsia="it-IT"/>
              </w:rPr>
              <w:t xml:space="preserve"> </w:t>
            </w:r>
            <w:r w:rsidRPr="0035062E">
              <w:rPr>
                <w:rFonts w:cs="Arial"/>
                <w:b/>
                <w:bCs/>
                <w:i/>
                <w:iCs/>
                <w:color w:val="000066"/>
                <w:sz w:val="24"/>
                <w:szCs w:val="24"/>
                <w:lang w:eastAsia="it-IT"/>
              </w:rPr>
              <w:t>CHEMICAL ENGINEERING</w:t>
            </w:r>
            <w:r w:rsidRPr="0035062E">
              <w:rPr>
                <w:rFonts w:cs="Arial"/>
                <w:b/>
                <w:bCs/>
                <w:i/>
                <w:iCs/>
                <w:color w:val="0033FF"/>
                <w:sz w:val="24"/>
                <w:szCs w:val="24"/>
                <w:lang w:eastAsia="it-IT"/>
              </w:rPr>
              <w:t xml:space="preserve"> </w:t>
            </w:r>
            <w:r w:rsidRPr="0035062E">
              <w:rPr>
                <w:rFonts w:cs="Arial"/>
                <w:b/>
                <w:bCs/>
                <w:i/>
                <w:iCs/>
                <w:color w:val="666666"/>
                <w:sz w:val="24"/>
                <w:szCs w:val="24"/>
                <w:lang w:eastAsia="it-IT"/>
              </w:rPr>
              <w:t>TRANSACTIONS</w:t>
            </w:r>
            <w:r w:rsidRPr="0035062E">
              <w:rPr>
                <w:color w:val="333333"/>
                <w:sz w:val="24"/>
                <w:szCs w:val="24"/>
                <w:lang w:eastAsia="it-IT"/>
              </w:rPr>
              <w:t xml:space="preserve"> </w:t>
            </w:r>
            <w:r w:rsidRPr="0035062E">
              <w:rPr>
                <w:rFonts w:cs="Arial"/>
                <w:b/>
                <w:bCs/>
                <w:i/>
                <w:iCs/>
                <w:color w:val="000066"/>
                <w:sz w:val="27"/>
                <w:szCs w:val="27"/>
                <w:lang w:eastAsia="it-IT"/>
              </w:rPr>
              <w:br/>
            </w:r>
          </w:p>
          <w:p w14:paraId="4B780582" w14:textId="38BD1662" w:rsidR="000A03B2" w:rsidRPr="0035062E" w:rsidRDefault="00A76EFC" w:rsidP="00B57E6F">
            <w:pPr>
              <w:tabs>
                <w:tab w:val="left" w:pos="-108"/>
              </w:tabs>
              <w:ind w:left="-108"/>
              <w:rPr>
                <w:rFonts w:cs="Arial"/>
                <w:b/>
                <w:bCs/>
                <w:i/>
                <w:iCs/>
                <w:color w:val="000066"/>
                <w:sz w:val="22"/>
                <w:szCs w:val="22"/>
                <w:lang w:eastAsia="it-IT"/>
              </w:rPr>
            </w:pPr>
            <w:r w:rsidRPr="0035062E">
              <w:rPr>
                <w:rFonts w:cs="Arial"/>
                <w:b/>
                <w:bCs/>
                <w:i/>
                <w:iCs/>
                <w:color w:val="000066"/>
                <w:sz w:val="22"/>
                <w:szCs w:val="22"/>
                <w:lang w:eastAsia="it-IT"/>
              </w:rPr>
              <w:t xml:space="preserve">VOL. </w:t>
            </w:r>
            <w:r w:rsidR="00825DD9" w:rsidRPr="0035062E">
              <w:rPr>
                <w:rFonts w:cs="Arial"/>
                <w:b/>
                <w:bCs/>
                <w:i/>
                <w:iCs/>
                <w:color w:val="000066"/>
                <w:sz w:val="22"/>
                <w:szCs w:val="22"/>
                <w:lang w:eastAsia="it-IT"/>
              </w:rPr>
              <w:t>xxx</w:t>
            </w:r>
            <w:r w:rsidR="007B48F9" w:rsidRPr="0035062E">
              <w:rPr>
                <w:rFonts w:cs="Arial"/>
                <w:b/>
                <w:bCs/>
                <w:i/>
                <w:iCs/>
                <w:color w:val="000066"/>
                <w:sz w:val="22"/>
                <w:szCs w:val="22"/>
                <w:lang w:eastAsia="it-IT"/>
              </w:rPr>
              <w:t>,</w:t>
            </w:r>
            <w:r w:rsidR="00FA5F5F" w:rsidRPr="0035062E">
              <w:rPr>
                <w:rFonts w:cs="Arial"/>
                <w:b/>
                <w:bCs/>
                <w:i/>
                <w:iCs/>
                <w:color w:val="000066"/>
                <w:sz w:val="22"/>
                <w:szCs w:val="22"/>
                <w:lang w:eastAsia="it-IT"/>
              </w:rPr>
              <w:t xml:space="preserve"> 20</w:t>
            </w:r>
            <w:r w:rsidR="00DF5072" w:rsidRPr="0035062E">
              <w:rPr>
                <w:rFonts w:cs="Arial"/>
                <w:b/>
                <w:bCs/>
                <w:i/>
                <w:iCs/>
                <w:color w:val="000066"/>
                <w:sz w:val="22"/>
                <w:szCs w:val="22"/>
                <w:lang w:eastAsia="it-IT"/>
              </w:rPr>
              <w:t>2</w:t>
            </w:r>
            <w:r w:rsidR="00825DD9" w:rsidRPr="0035062E">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35062E" w:rsidRDefault="000A03B2" w:rsidP="00BF5B86">
            <w:pPr>
              <w:spacing w:line="140" w:lineRule="atLeast"/>
              <w:rPr>
                <w:rFonts w:cs="Arial"/>
                <w:sz w:val="14"/>
                <w:szCs w:val="14"/>
              </w:rPr>
            </w:pPr>
            <w:r w:rsidRPr="0035062E">
              <w:rPr>
                <w:rFonts w:cs="Arial"/>
                <w:sz w:val="14"/>
                <w:szCs w:val="14"/>
              </w:rPr>
              <w:t>A publication of</w:t>
            </w:r>
          </w:p>
          <w:p w14:paraId="599E5441" w14:textId="77777777" w:rsidR="000A03B2" w:rsidRPr="0035062E" w:rsidRDefault="000A03B2" w:rsidP="00BF5B86">
            <w:r w:rsidRPr="0035062E">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35062E" w14:paraId="380FA3CD" w14:textId="77777777" w:rsidTr="00DE264A">
        <w:trPr>
          <w:trHeight w:val="567"/>
          <w:jc w:val="center"/>
        </w:trPr>
        <w:tc>
          <w:tcPr>
            <w:tcW w:w="6946" w:type="dxa"/>
            <w:vMerge/>
            <w:tcBorders>
              <w:right w:val="single" w:sz="4" w:space="0" w:color="auto"/>
            </w:tcBorders>
          </w:tcPr>
          <w:p w14:paraId="39E5E4C1" w14:textId="77777777" w:rsidR="000A03B2" w:rsidRPr="0035062E"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35062E" w:rsidRDefault="000A03B2" w:rsidP="00BF5B86">
            <w:pPr>
              <w:spacing w:line="140" w:lineRule="atLeast"/>
              <w:rPr>
                <w:rFonts w:cs="Arial"/>
                <w:sz w:val="14"/>
                <w:szCs w:val="14"/>
              </w:rPr>
            </w:pPr>
            <w:r w:rsidRPr="0035062E">
              <w:rPr>
                <w:rFonts w:cs="Arial"/>
                <w:sz w:val="14"/>
                <w:szCs w:val="14"/>
              </w:rPr>
              <w:t>The Italian Association</w:t>
            </w:r>
          </w:p>
          <w:p w14:paraId="7522B1D2" w14:textId="77777777" w:rsidR="000A03B2" w:rsidRPr="0035062E" w:rsidRDefault="000A03B2" w:rsidP="00BF5B86">
            <w:pPr>
              <w:spacing w:line="140" w:lineRule="atLeast"/>
              <w:rPr>
                <w:rFonts w:cs="Arial"/>
                <w:sz w:val="14"/>
                <w:szCs w:val="14"/>
              </w:rPr>
            </w:pPr>
            <w:r w:rsidRPr="0035062E">
              <w:rPr>
                <w:rFonts w:cs="Arial"/>
                <w:sz w:val="14"/>
                <w:szCs w:val="14"/>
              </w:rPr>
              <w:t>of Chemical Engineering</w:t>
            </w:r>
          </w:p>
          <w:p w14:paraId="4F0CC5DE" w14:textId="47FDB2FC" w:rsidR="000A03B2" w:rsidRPr="0035062E" w:rsidRDefault="000D0268" w:rsidP="00BF5B86">
            <w:pPr>
              <w:spacing w:line="140" w:lineRule="atLeast"/>
              <w:rPr>
                <w:rFonts w:cs="Arial"/>
                <w:sz w:val="13"/>
                <w:szCs w:val="13"/>
              </w:rPr>
            </w:pPr>
            <w:r w:rsidRPr="0035062E">
              <w:rPr>
                <w:rFonts w:cs="Arial"/>
                <w:sz w:val="13"/>
                <w:szCs w:val="13"/>
              </w:rPr>
              <w:t>Online at www.cetjournal.it</w:t>
            </w:r>
          </w:p>
        </w:tc>
      </w:tr>
      <w:tr w:rsidR="000A03B2" w:rsidRPr="0035062E" w14:paraId="2D1B7169" w14:textId="77777777" w:rsidTr="00DE264A">
        <w:trPr>
          <w:trHeight w:val="68"/>
          <w:jc w:val="center"/>
        </w:trPr>
        <w:tc>
          <w:tcPr>
            <w:tcW w:w="8789" w:type="dxa"/>
            <w:gridSpan w:val="2"/>
          </w:tcPr>
          <w:p w14:paraId="4B0BB442" w14:textId="4EADF2C2" w:rsidR="00300E56" w:rsidRPr="00862155" w:rsidRDefault="00300E56" w:rsidP="00B57E6F">
            <w:pPr>
              <w:ind w:left="-107"/>
              <w:outlineLvl w:val="2"/>
              <w:rPr>
                <w:rFonts w:ascii="Tahoma" w:hAnsi="Tahoma" w:cs="Tahoma"/>
                <w:bCs/>
                <w:color w:val="000000"/>
                <w:sz w:val="14"/>
                <w:szCs w:val="14"/>
                <w:lang w:val="it-IT" w:eastAsia="it-IT"/>
              </w:rPr>
            </w:pPr>
            <w:r w:rsidRPr="00862155">
              <w:rPr>
                <w:rFonts w:ascii="Tahoma" w:hAnsi="Tahoma" w:cs="Tahoma"/>
                <w:iCs/>
                <w:color w:val="333333"/>
                <w:sz w:val="14"/>
                <w:szCs w:val="14"/>
                <w:lang w:val="it-IT" w:eastAsia="it-IT"/>
              </w:rPr>
              <w:t>Guest Editors:</w:t>
            </w:r>
            <w:r w:rsidR="00904C62" w:rsidRPr="00862155">
              <w:rPr>
                <w:rFonts w:ascii="Tahoma" w:hAnsi="Tahoma" w:cs="Tahoma"/>
                <w:iCs/>
                <w:color w:val="333333"/>
                <w:sz w:val="14"/>
                <w:szCs w:val="14"/>
                <w:lang w:val="it-IT" w:eastAsia="it-IT"/>
              </w:rPr>
              <w:t xml:space="preserve"> </w:t>
            </w:r>
            <w:r w:rsidR="00B57E6F" w:rsidRPr="00862155">
              <w:rPr>
                <w:rFonts w:ascii="Tahoma" w:hAnsi="Tahoma" w:cs="Tahoma"/>
                <w:color w:val="000000"/>
                <w:sz w:val="14"/>
                <w:szCs w:val="14"/>
                <w:shd w:val="clear" w:color="auto" w:fill="FFFFFF"/>
                <w:lang w:val="it-IT"/>
              </w:rPr>
              <w:t xml:space="preserve">Valerio Cozzani, </w:t>
            </w:r>
            <w:r w:rsidR="001331DF" w:rsidRPr="00862155">
              <w:rPr>
                <w:rFonts w:ascii="Tahoma" w:hAnsi="Tahoma" w:cs="Tahoma"/>
                <w:color w:val="000000"/>
                <w:sz w:val="14"/>
                <w:szCs w:val="14"/>
                <w:shd w:val="clear" w:color="auto" w:fill="FFFFFF"/>
                <w:lang w:val="it-IT"/>
              </w:rPr>
              <w:t>Bruno Fabiano</w:t>
            </w:r>
            <w:r w:rsidR="00B57E6F" w:rsidRPr="00862155">
              <w:rPr>
                <w:rFonts w:ascii="Tahoma" w:hAnsi="Tahoma" w:cs="Tahoma"/>
                <w:color w:val="000000"/>
                <w:sz w:val="14"/>
                <w:szCs w:val="14"/>
                <w:shd w:val="clear" w:color="auto" w:fill="FFFFFF"/>
                <w:lang w:val="it-IT"/>
              </w:rPr>
              <w:t xml:space="preserve">, </w:t>
            </w:r>
            <w:proofErr w:type="spellStart"/>
            <w:r w:rsidR="00B57E6F" w:rsidRPr="00862155">
              <w:rPr>
                <w:rFonts w:ascii="Tahoma" w:hAnsi="Tahoma" w:cs="Tahoma"/>
                <w:bCs/>
                <w:color w:val="000000"/>
                <w:sz w:val="14"/>
                <w:szCs w:val="14"/>
                <w:lang w:val="it-IT" w:eastAsia="it-IT"/>
              </w:rPr>
              <w:t>Genserik</w:t>
            </w:r>
            <w:proofErr w:type="spellEnd"/>
            <w:r w:rsidR="00B57E6F" w:rsidRPr="00862155">
              <w:rPr>
                <w:rFonts w:ascii="Tahoma" w:hAnsi="Tahoma" w:cs="Tahoma"/>
                <w:bCs/>
                <w:color w:val="000000"/>
                <w:sz w:val="14"/>
                <w:szCs w:val="14"/>
                <w:lang w:val="it-IT" w:eastAsia="it-IT"/>
              </w:rPr>
              <w:t xml:space="preserve"> </w:t>
            </w:r>
            <w:proofErr w:type="spellStart"/>
            <w:r w:rsidR="00B57E6F" w:rsidRPr="00862155">
              <w:rPr>
                <w:rFonts w:ascii="Tahoma" w:hAnsi="Tahoma" w:cs="Tahoma"/>
                <w:bCs/>
                <w:color w:val="000000"/>
                <w:sz w:val="14"/>
                <w:szCs w:val="14"/>
                <w:lang w:val="it-IT" w:eastAsia="it-IT"/>
              </w:rPr>
              <w:t>Reniers</w:t>
            </w:r>
            <w:proofErr w:type="spellEnd"/>
          </w:p>
          <w:p w14:paraId="1B0F1814" w14:textId="7E8B8C7E" w:rsidR="000A03B2" w:rsidRPr="0035062E" w:rsidRDefault="00FA5F5F" w:rsidP="00BF5B86">
            <w:pPr>
              <w:tabs>
                <w:tab w:val="left" w:pos="-108"/>
              </w:tabs>
              <w:spacing w:line="140" w:lineRule="atLeast"/>
              <w:ind w:left="-107"/>
            </w:pPr>
            <w:r w:rsidRPr="0035062E">
              <w:rPr>
                <w:rFonts w:ascii="Tahoma" w:hAnsi="Tahoma" w:cs="Tahoma"/>
                <w:iCs/>
                <w:color w:val="333333"/>
                <w:sz w:val="14"/>
                <w:szCs w:val="14"/>
                <w:lang w:eastAsia="it-IT"/>
              </w:rPr>
              <w:t>Copyright © 20</w:t>
            </w:r>
            <w:r w:rsidR="00DF5072" w:rsidRPr="0035062E">
              <w:rPr>
                <w:rFonts w:ascii="Tahoma" w:hAnsi="Tahoma" w:cs="Tahoma"/>
                <w:iCs/>
                <w:color w:val="333333"/>
                <w:sz w:val="14"/>
                <w:szCs w:val="14"/>
                <w:lang w:eastAsia="it-IT"/>
              </w:rPr>
              <w:t>2</w:t>
            </w:r>
            <w:r w:rsidR="00825DD9" w:rsidRPr="0035062E">
              <w:rPr>
                <w:rFonts w:ascii="Tahoma" w:hAnsi="Tahoma" w:cs="Tahoma"/>
                <w:iCs/>
                <w:color w:val="333333"/>
                <w:sz w:val="14"/>
                <w:szCs w:val="14"/>
                <w:lang w:eastAsia="it-IT"/>
              </w:rPr>
              <w:t>4</w:t>
            </w:r>
            <w:r w:rsidR="00904C62" w:rsidRPr="0035062E">
              <w:rPr>
                <w:rFonts w:ascii="Tahoma" w:hAnsi="Tahoma" w:cs="Tahoma"/>
                <w:iCs/>
                <w:color w:val="333333"/>
                <w:sz w:val="14"/>
                <w:szCs w:val="14"/>
                <w:lang w:eastAsia="it-IT"/>
              </w:rPr>
              <w:t xml:space="preserve">, AIDIC </w:t>
            </w:r>
            <w:proofErr w:type="spellStart"/>
            <w:r w:rsidR="00904C62" w:rsidRPr="0035062E">
              <w:rPr>
                <w:rFonts w:ascii="Tahoma" w:hAnsi="Tahoma" w:cs="Tahoma"/>
                <w:iCs/>
                <w:color w:val="333333"/>
                <w:sz w:val="14"/>
                <w:szCs w:val="14"/>
                <w:lang w:eastAsia="it-IT"/>
              </w:rPr>
              <w:t>Servizi</w:t>
            </w:r>
            <w:proofErr w:type="spellEnd"/>
            <w:r w:rsidR="00904C62" w:rsidRPr="0035062E">
              <w:rPr>
                <w:rFonts w:ascii="Tahoma" w:hAnsi="Tahoma" w:cs="Tahoma"/>
                <w:iCs/>
                <w:color w:val="333333"/>
                <w:sz w:val="14"/>
                <w:szCs w:val="14"/>
                <w:lang w:eastAsia="it-IT"/>
              </w:rPr>
              <w:t xml:space="preserve"> </w:t>
            </w:r>
            <w:proofErr w:type="spellStart"/>
            <w:r w:rsidR="00904C62" w:rsidRPr="0035062E">
              <w:rPr>
                <w:rFonts w:ascii="Tahoma" w:hAnsi="Tahoma" w:cs="Tahoma"/>
                <w:iCs/>
                <w:color w:val="333333"/>
                <w:sz w:val="14"/>
                <w:szCs w:val="14"/>
                <w:lang w:eastAsia="it-IT"/>
              </w:rPr>
              <w:t>S.r.l</w:t>
            </w:r>
            <w:proofErr w:type="spellEnd"/>
            <w:r w:rsidR="00904C62" w:rsidRPr="0035062E">
              <w:rPr>
                <w:rFonts w:ascii="Tahoma" w:hAnsi="Tahoma" w:cs="Tahoma"/>
                <w:iCs/>
                <w:color w:val="333333"/>
                <w:sz w:val="14"/>
                <w:szCs w:val="14"/>
                <w:lang w:eastAsia="it-IT"/>
              </w:rPr>
              <w:t>.</w:t>
            </w:r>
            <w:r w:rsidR="00300E56" w:rsidRPr="0035062E">
              <w:rPr>
                <w:rFonts w:ascii="Tahoma" w:hAnsi="Tahoma" w:cs="Tahoma"/>
                <w:iCs/>
                <w:color w:val="333333"/>
                <w:sz w:val="14"/>
                <w:szCs w:val="14"/>
                <w:lang w:eastAsia="it-IT"/>
              </w:rPr>
              <w:br/>
            </w:r>
            <w:r w:rsidR="00300E56" w:rsidRPr="0035062E">
              <w:rPr>
                <w:rFonts w:ascii="Tahoma" w:hAnsi="Tahoma" w:cs="Tahoma"/>
                <w:b/>
                <w:iCs/>
                <w:color w:val="000000"/>
                <w:sz w:val="14"/>
                <w:szCs w:val="14"/>
                <w:lang w:eastAsia="it-IT"/>
              </w:rPr>
              <w:t>ISBN</w:t>
            </w:r>
            <w:r w:rsidR="00300E56" w:rsidRPr="0035062E">
              <w:rPr>
                <w:rFonts w:ascii="Tahoma" w:hAnsi="Tahoma" w:cs="Tahoma"/>
                <w:iCs/>
                <w:color w:val="000000"/>
                <w:sz w:val="14"/>
                <w:szCs w:val="14"/>
                <w:lang w:eastAsia="it-IT"/>
              </w:rPr>
              <w:t xml:space="preserve"> </w:t>
            </w:r>
            <w:r w:rsidR="00825DD9" w:rsidRPr="0035062E">
              <w:rPr>
                <w:rFonts w:ascii="Tahoma" w:hAnsi="Tahoma" w:cs="Tahoma"/>
                <w:sz w:val="14"/>
                <w:szCs w:val="14"/>
                <w:lang w:eastAsia="it-IT"/>
              </w:rPr>
              <w:t>979-12-81206-11-3</w:t>
            </w:r>
            <w:r w:rsidR="007B48F9" w:rsidRPr="0035062E">
              <w:rPr>
                <w:rFonts w:ascii="Tahoma" w:hAnsi="Tahoma" w:cs="Tahoma"/>
                <w:iCs/>
                <w:color w:val="333333"/>
                <w:sz w:val="14"/>
                <w:szCs w:val="14"/>
                <w:lang w:eastAsia="it-IT"/>
              </w:rPr>
              <w:t>;</w:t>
            </w:r>
            <w:r w:rsidR="00300E56" w:rsidRPr="0035062E">
              <w:rPr>
                <w:rFonts w:ascii="Tahoma" w:hAnsi="Tahoma" w:cs="Tahoma"/>
                <w:iCs/>
                <w:color w:val="333333"/>
                <w:sz w:val="14"/>
                <w:szCs w:val="14"/>
                <w:lang w:eastAsia="it-IT"/>
              </w:rPr>
              <w:t xml:space="preserve"> </w:t>
            </w:r>
            <w:r w:rsidR="00300E56" w:rsidRPr="0035062E">
              <w:rPr>
                <w:rFonts w:ascii="Tahoma" w:hAnsi="Tahoma" w:cs="Tahoma"/>
                <w:b/>
                <w:iCs/>
                <w:color w:val="333333"/>
                <w:sz w:val="14"/>
                <w:szCs w:val="14"/>
                <w:lang w:eastAsia="it-IT"/>
              </w:rPr>
              <w:t>ISSN</w:t>
            </w:r>
            <w:r w:rsidR="00300E56" w:rsidRPr="0035062E">
              <w:rPr>
                <w:rFonts w:ascii="Tahoma" w:hAnsi="Tahoma" w:cs="Tahoma"/>
                <w:iCs/>
                <w:color w:val="333333"/>
                <w:sz w:val="14"/>
                <w:szCs w:val="14"/>
                <w:lang w:eastAsia="it-IT"/>
              </w:rPr>
              <w:t xml:space="preserve"> 2283-9216</w:t>
            </w:r>
          </w:p>
        </w:tc>
      </w:tr>
    </w:tbl>
    <w:p w14:paraId="10DAA130" w14:textId="77777777" w:rsidR="000A03B2" w:rsidRPr="0035062E" w:rsidRDefault="000A03B2" w:rsidP="000A03B2">
      <w:pPr>
        <w:pStyle w:val="CETAuthors"/>
        <w:sectPr w:rsidR="000A03B2" w:rsidRPr="0035062E" w:rsidSect="00CD5FE2">
          <w:type w:val="continuous"/>
          <w:pgSz w:w="11906" w:h="16838" w:code="9"/>
          <w:pgMar w:top="1701" w:right="1418" w:bottom="1701" w:left="1701" w:header="1701" w:footer="0" w:gutter="0"/>
          <w:cols w:space="708"/>
          <w:titlePg/>
          <w:docGrid w:linePitch="360"/>
        </w:sectPr>
      </w:pPr>
    </w:p>
    <w:p w14:paraId="2E667253" w14:textId="5ADCF429" w:rsidR="00E978D0" w:rsidRPr="0035062E" w:rsidRDefault="004948A1" w:rsidP="00BF5B86">
      <w:pPr>
        <w:pStyle w:val="CETTitle"/>
        <w:jc w:val="both"/>
        <w:rPr>
          <w:highlight w:val="yellow"/>
        </w:rPr>
      </w:pPr>
      <w:r w:rsidRPr="0035062E">
        <w:t xml:space="preserve">Beyond </w:t>
      </w:r>
      <w:proofErr w:type="spellStart"/>
      <w:r w:rsidRPr="0035062E">
        <w:t>HazOp</w:t>
      </w:r>
      <w:proofErr w:type="spellEnd"/>
      <w:r w:rsidRPr="0035062E">
        <w:t>: Modelling of HILP (High Intensity Low Probability) scenarios in hydrogen production and storage plants</w:t>
      </w:r>
    </w:p>
    <w:p w14:paraId="0488FED2" w14:textId="7F50CE27" w:rsidR="00B57E6F" w:rsidRPr="007851D5" w:rsidRDefault="004948A1" w:rsidP="00B57E6F">
      <w:pPr>
        <w:pStyle w:val="CETAuthors"/>
        <w:rPr>
          <w:highlight w:val="yellow"/>
          <w:lang w:val="it-IT"/>
        </w:rPr>
      </w:pPr>
      <w:r w:rsidRPr="007851D5">
        <w:rPr>
          <w:lang w:val="it-IT"/>
        </w:rPr>
        <w:t>Leonardo Michele Carluccio</w:t>
      </w:r>
      <w:r w:rsidR="0009699A" w:rsidRPr="007851D5">
        <w:rPr>
          <w:vertAlign w:val="superscript"/>
          <w:lang w:val="it-IT"/>
        </w:rPr>
        <w:t>*</w:t>
      </w:r>
      <w:r w:rsidRPr="007851D5">
        <w:rPr>
          <w:lang w:val="it-IT"/>
        </w:rPr>
        <w:t xml:space="preserve">, </w:t>
      </w:r>
      <w:r w:rsidR="00CE5A15" w:rsidRPr="007851D5">
        <w:rPr>
          <w:lang w:val="it-IT"/>
        </w:rPr>
        <w:t xml:space="preserve">Andrea Gritti , </w:t>
      </w:r>
      <w:r w:rsidRPr="007851D5">
        <w:rPr>
          <w:lang w:val="it-IT"/>
        </w:rPr>
        <w:t>Lorenzo Pellegrini</w:t>
      </w:r>
    </w:p>
    <w:p w14:paraId="17995691" w14:textId="0CD90C48" w:rsidR="0009699A" w:rsidRPr="007851D5" w:rsidRDefault="0009699A" w:rsidP="00BF5B86">
      <w:pPr>
        <w:pStyle w:val="CETAddress"/>
        <w:jc w:val="both"/>
        <w:rPr>
          <w:lang w:val="it-IT"/>
        </w:rPr>
      </w:pPr>
      <w:r w:rsidRPr="007851D5">
        <w:rPr>
          <w:lang w:val="it-IT"/>
        </w:rPr>
        <w:t>DEKRA Italia S.r.l., Via Fratelli Gracchi, 27, 20092 Cinisello Balsamo (MI) - Italia</w:t>
      </w:r>
    </w:p>
    <w:p w14:paraId="73F1267A" w14:textId="20B60B93" w:rsidR="00B57E6F" w:rsidRPr="0035062E" w:rsidRDefault="0009699A" w:rsidP="00BF5B86">
      <w:pPr>
        <w:pStyle w:val="CETAddress"/>
        <w:jc w:val="both"/>
        <w:rPr>
          <w:highlight w:val="yellow"/>
        </w:rPr>
      </w:pPr>
      <w:r w:rsidRPr="0035062E">
        <w:t>*leonardomichele.carluccio@dekra.com</w:t>
      </w:r>
    </w:p>
    <w:p w14:paraId="06BD6E85" w14:textId="77777777" w:rsidR="00EB47A3" w:rsidRPr="0035062E" w:rsidRDefault="00EB47A3" w:rsidP="00375C63">
      <w:pPr>
        <w:pStyle w:val="CETListbullets"/>
        <w:rPr>
          <w:highlight w:val="darkGray"/>
        </w:rPr>
      </w:pPr>
    </w:p>
    <w:p w14:paraId="45413143" w14:textId="787F8892" w:rsidR="00EB47A3" w:rsidRPr="0035062E" w:rsidRDefault="00EB47A3" w:rsidP="001B4DEF">
      <w:pPr>
        <w:pStyle w:val="CETBodytext"/>
        <w:rPr>
          <w:lang w:val="en-GB"/>
        </w:rPr>
      </w:pPr>
      <w:r w:rsidRPr="0035062E">
        <w:rPr>
          <w:lang w:val="en-GB"/>
        </w:rPr>
        <w:t>Hydrogen, as a versatile and sustainable energy carrier, plays a pivotal role in the global transition towards a low-carbon economy. However, the safe and efficient operation of hydrogen production plants is paramount to exploiting the full potential of this clean energy source.</w:t>
      </w:r>
    </w:p>
    <w:p w14:paraId="710B9E4B" w14:textId="77777777" w:rsidR="00EB47A3" w:rsidRPr="0035062E" w:rsidRDefault="00EB47A3" w:rsidP="001B4DEF">
      <w:pPr>
        <w:pStyle w:val="CETBodytext"/>
        <w:rPr>
          <w:lang w:val="en-GB"/>
        </w:rPr>
      </w:pPr>
      <w:r w:rsidRPr="0035062E">
        <w:rPr>
          <w:lang w:val="en-GB"/>
        </w:rPr>
        <w:t xml:space="preserve">This scientific article investigates typical HILP (High Intensity Low Probability) scenarios that can occur in hydrogen production plants and storage. The assessment is based on a </w:t>
      </w:r>
      <w:proofErr w:type="spellStart"/>
      <w:r w:rsidRPr="0035062E">
        <w:rPr>
          <w:lang w:val="en-GB"/>
        </w:rPr>
        <w:t>HazOp</w:t>
      </w:r>
      <w:proofErr w:type="spellEnd"/>
      <w:r w:rsidRPr="0035062E">
        <w:rPr>
          <w:lang w:val="en-GB"/>
        </w:rPr>
        <w:t xml:space="preserve"> (Hazard and Operability) study on a representative electrolysis unit.</w:t>
      </w:r>
    </w:p>
    <w:p w14:paraId="65C4A3F9" w14:textId="77777777" w:rsidR="00EB47A3" w:rsidRPr="0035062E" w:rsidRDefault="00EB47A3" w:rsidP="001B4DEF">
      <w:pPr>
        <w:pStyle w:val="CETBodytext"/>
        <w:rPr>
          <w:lang w:val="en-GB"/>
        </w:rPr>
      </w:pPr>
      <w:r w:rsidRPr="0035062E">
        <w:rPr>
          <w:lang w:val="en-GB"/>
        </w:rPr>
        <w:t>The study has been conducted through a multidisciplinary approach, integrating knowledge from chemical engineering, process safety and risk analysis, focusing on consequence modelling, to understand root causes, potential impacts and mitigation strategies. Through the analysis of plant design and operation parameters, the article identifies common vulnerabilities in hydrogen production processes. The main accident scenarios explored include equipment failures and leaks, each with the potential to compromise plant safety and disrupt production.</w:t>
      </w:r>
    </w:p>
    <w:p w14:paraId="43D363B2" w14:textId="77777777" w:rsidR="00EB47A3" w:rsidRPr="0035062E" w:rsidRDefault="00EB47A3" w:rsidP="001B4DEF">
      <w:pPr>
        <w:pStyle w:val="CETBodytext"/>
        <w:rPr>
          <w:lang w:val="en-GB"/>
        </w:rPr>
      </w:pPr>
      <w:r w:rsidRPr="0035062E">
        <w:rPr>
          <w:lang w:val="en-GB"/>
        </w:rPr>
        <w:t>Furthermore, the article analyses the dynamic interaction between technological progress and safety protocols in shaping the risk landscape of hydrogen production and storage facilities. The insights from this analysis help to propose possible risk management strategies, emphasising the importance of proactive safety measures, early detection systems and effective emergency response plans.</w:t>
      </w:r>
    </w:p>
    <w:p w14:paraId="2EAF7B1F" w14:textId="1FA46E25" w:rsidR="00EB47A3" w:rsidRPr="0035062E" w:rsidRDefault="00EB47A3" w:rsidP="001B4DEF">
      <w:pPr>
        <w:pStyle w:val="CETBodytext"/>
        <w:rPr>
          <w:lang w:val="en-GB"/>
        </w:rPr>
      </w:pPr>
      <w:r w:rsidRPr="0035062E">
        <w:rPr>
          <w:lang w:val="en-GB"/>
        </w:rPr>
        <w:t>By elucidating the typical incident scenarios in hydrogen production plants, this article seeks to enhance industry awareness, facilitate knowledge sharing, and drive continuous improvement in the design, operation, and maintenance of hydrogen facilities. The findings presented herein offer valuable insights for engineers, researchers, and policymakers working towards the widespread adoption of hydrogen as a clean and sustainable energy solution.</w:t>
      </w:r>
    </w:p>
    <w:p w14:paraId="771CEFF7" w14:textId="4966BD17" w:rsidR="0054691C" w:rsidRPr="0035062E" w:rsidRDefault="00600535" w:rsidP="00BF5B86">
      <w:pPr>
        <w:pStyle w:val="CETHeading1"/>
        <w:jc w:val="both"/>
        <w:rPr>
          <w:lang w:val="en-GB"/>
        </w:rPr>
      </w:pPr>
      <w:r w:rsidRPr="0035062E">
        <w:rPr>
          <w:lang w:val="en-GB"/>
        </w:rPr>
        <w:t>Introduction</w:t>
      </w:r>
    </w:p>
    <w:p w14:paraId="65FF54A2" w14:textId="5CA6CD00" w:rsidR="00E20B21" w:rsidRPr="0035062E" w:rsidRDefault="00E20B21" w:rsidP="001B4DEF">
      <w:pPr>
        <w:pStyle w:val="CETBodytext"/>
        <w:rPr>
          <w:lang w:val="en-GB"/>
        </w:rPr>
      </w:pPr>
      <w:r w:rsidRPr="0035062E">
        <w:rPr>
          <w:lang w:val="en-GB"/>
        </w:rPr>
        <w:t>Industrial hydrogen production represents a promising energy solution, offering a pathway towards decarbonization across various sectors. However, realizing the potential of hydrogen necessitates a comprehensive understanding of its unique physical characteristics and the implementation of robust safety measures throughout production and storage processes. Unlike conventional fuels and gases, hydrogen possesses distinctive properties requiring specialized safety protocols to effectively mitigate potential hazards.</w:t>
      </w:r>
    </w:p>
    <w:p w14:paraId="09E30323" w14:textId="6B28858E" w:rsidR="00506F27" w:rsidRPr="0035062E" w:rsidRDefault="00E20B21" w:rsidP="001B4DEF">
      <w:pPr>
        <w:pStyle w:val="CETBodytext"/>
        <w:rPr>
          <w:lang w:val="en-GB"/>
        </w:rPr>
      </w:pPr>
      <w:r w:rsidRPr="0035062E">
        <w:rPr>
          <w:lang w:val="en-GB"/>
        </w:rPr>
        <w:t xml:space="preserve">Hydrogen, being the lightest and most flammable gas, presents challenges in handling and containment. Its low ignition energy and wide flammability range make it highly </w:t>
      </w:r>
      <w:r w:rsidR="00E84C19">
        <w:rPr>
          <w:lang w:val="en-GB"/>
        </w:rPr>
        <w:t>sensitive</w:t>
      </w:r>
      <w:r w:rsidRPr="0035062E">
        <w:rPr>
          <w:lang w:val="en-GB"/>
        </w:rPr>
        <w:t xml:space="preserve"> to ignition, potentially leading to catastrophic consequences if not diligently managed. Additionally, hydrogen's high diffusivity enables rapid dispersal in the event of a leak, posing risks of ignition or asphyxiation in enclosed spaces. These inherent characteristics underscore the critical importance of adopting rigorous safety measures tailored to hydrogen's unique properties in industrial environments.</w:t>
      </w:r>
    </w:p>
    <w:p w14:paraId="28C4723C" w14:textId="6DC2ED51" w:rsidR="00E20B21" w:rsidRPr="0035062E" w:rsidRDefault="00E20B21" w:rsidP="00BF5B86">
      <w:pPr>
        <w:pStyle w:val="CETheadingx"/>
        <w:jc w:val="both"/>
        <w:rPr>
          <w:lang w:val="en-GB"/>
        </w:rPr>
      </w:pPr>
      <w:r w:rsidRPr="0035062E">
        <w:rPr>
          <w:lang w:val="en-GB"/>
        </w:rPr>
        <w:lastRenderedPageBreak/>
        <w:t xml:space="preserve">Ignition </w:t>
      </w:r>
      <w:r w:rsidR="00852366">
        <w:rPr>
          <w:lang w:val="en-GB"/>
        </w:rPr>
        <w:t>E</w:t>
      </w:r>
      <w:r w:rsidRPr="0035062E">
        <w:rPr>
          <w:lang w:val="en-GB"/>
        </w:rPr>
        <w:t>nergy</w:t>
      </w:r>
      <w:r w:rsidR="00F70EFA">
        <w:rPr>
          <w:lang w:val="en-GB"/>
        </w:rPr>
        <w:t xml:space="preserve"> and Flammability Range</w:t>
      </w:r>
    </w:p>
    <w:p w14:paraId="378F1F17" w14:textId="11DD6897" w:rsidR="00E53357" w:rsidRPr="0035062E" w:rsidRDefault="00E53357" w:rsidP="00E20B21">
      <w:pPr>
        <w:pStyle w:val="CETBodytext"/>
        <w:rPr>
          <w:lang w:val="en-GB"/>
        </w:rPr>
      </w:pPr>
      <w:r w:rsidRPr="0035062E">
        <w:rPr>
          <w:lang w:val="en-GB"/>
        </w:rPr>
        <w:t xml:space="preserve">The ignition energy of hydrogen typically ranges from 0.02 to 0.06 </w:t>
      </w:r>
      <w:proofErr w:type="spellStart"/>
      <w:r w:rsidRPr="0035062E">
        <w:rPr>
          <w:lang w:val="en-GB"/>
        </w:rPr>
        <w:t>mJ</w:t>
      </w:r>
      <w:proofErr w:type="spellEnd"/>
      <w:r w:rsidR="003A6F7E">
        <w:rPr>
          <w:lang w:val="en-GB"/>
        </w:rPr>
        <w:t xml:space="preserve"> </w:t>
      </w:r>
      <w:r w:rsidR="005D07D5">
        <w:rPr>
          <w:lang w:val="en-GB"/>
        </w:rPr>
        <w:t>(</w:t>
      </w:r>
      <w:r w:rsidR="003A6F7E" w:rsidRPr="0035062E">
        <w:rPr>
          <w:lang w:val="en-GB"/>
        </w:rPr>
        <w:t>h2tools.org, 2024</w:t>
      </w:r>
      <w:r w:rsidR="008B6189">
        <w:rPr>
          <w:lang w:val="en-GB"/>
        </w:rPr>
        <w:t>)</w:t>
      </w:r>
      <w:r w:rsidRPr="0035062E">
        <w:rPr>
          <w:lang w:val="en-GB"/>
        </w:rPr>
        <w:t xml:space="preserve">, depending on factors such as temperature, pressure, and mixture composition. Its low ignition energy makes hydrogen highly susceptible to ignition, even at relatively low energy inputs. Methane, the primary component of natural gas, has a higher ignition energy compared to hydrogen. The ignition energy of methane ranges from 0.3 to 0.7 </w:t>
      </w:r>
      <w:proofErr w:type="spellStart"/>
      <w:r w:rsidRPr="0035062E">
        <w:rPr>
          <w:lang w:val="en-GB"/>
        </w:rPr>
        <w:t>mJ</w:t>
      </w:r>
      <w:proofErr w:type="spellEnd"/>
      <w:r w:rsidRPr="0035062E">
        <w:rPr>
          <w:lang w:val="en-GB"/>
        </w:rPr>
        <w:t xml:space="preserve"> under standard conditions, approximately an order of magnitude larger than that of Hydrogen under similar conditions</w:t>
      </w:r>
      <w:r w:rsidR="00AD5385" w:rsidRPr="0035062E">
        <w:rPr>
          <w:lang w:val="en-GB"/>
        </w:rPr>
        <w:t xml:space="preserve">, as shown in </w:t>
      </w:r>
      <w:r w:rsidR="00AD5385" w:rsidRPr="0035062E">
        <w:rPr>
          <w:lang w:val="en-GB"/>
        </w:rPr>
        <w:fldChar w:fldCharType="begin"/>
      </w:r>
      <w:r w:rsidR="00AD5385" w:rsidRPr="0035062E">
        <w:rPr>
          <w:lang w:val="en-GB"/>
        </w:rPr>
        <w:instrText xml:space="preserve"> REF _Ref158734976 \h </w:instrText>
      </w:r>
      <w:r w:rsidR="00AD5385" w:rsidRPr="0035062E">
        <w:rPr>
          <w:lang w:val="en-GB"/>
        </w:rPr>
      </w:r>
      <w:r w:rsidR="00AD5385" w:rsidRPr="0035062E">
        <w:rPr>
          <w:lang w:val="en-GB"/>
        </w:rPr>
        <w:fldChar w:fldCharType="separate"/>
      </w:r>
      <w:r w:rsidR="00B97CA0" w:rsidRPr="0035062E">
        <w:t xml:space="preserve">Table </w:t>
      </w:r>
      <w:r w:rsidR="00B97CA0">
        <w:rPr>
          <w:noProof/>
        </w:rPr>
        <w:t>1</w:t>
      </w:r>
      <w:r w:rsidR="00AD5385" w:rsidRPr="0035062E">
        <w:rPr>
          <w:lang w:val="en-GB"/>
        </w:rPr>
        <w:fldChar w:fldCharType="end"/>
      </w:r>
      <w:r w:rsidRPr="0035062E">
        <w:rPr>
          <w:lang w:val="en-GB"/>
        </w:rPr>
        <w:t>.</w:t>
      </w:r>
    </w:p>
    <w:p w14:paraId="71A2ABAD" w14:textId="5BC40143" w:rsidR="003A6F7E" w:rsidRPr="0035062E" w:rsidRDefault="003A6F7E" w:rsidP="003A6F7E">
      <w:pPr>
        <w:pStyle w:val="CETTabletitle"/>
        <w:jc w:val="both"/>
      </w:pPr>
      <w:bookmarkStart w:id="1" w:name="_Ref158734976"/>
      <w:r w:rsidRPr="0035062E">
        <w:t xml:space="preserve">Table </w:t>
      </w:r>
      <w:r w:rsidRPr="0035062E">
        <w:fldChar w:fldCharType="begin"/>
      </w:r>
      <w:r w:rsidRPr="0035062E">
        <w:instrText xml:space="preserve"> SEQ Table \* ARABIC </w:instrText>
      </w:r>
      <w:r w:rsidRPr="0035062E">
        <w:fldChar w:fldCharType="separate"/>
      </w:r>
      <w:r w:rsidR="00B97CA0">
        <w:rPr>
          <w:noProof/>
        </w:rPr>
        <w:t>1</w:t>
      </w:r>
      <w:r w:rsidRPr="0035062E">
        <w:fldChar w:fldCharType="end"/>
      </w:r>
      <w:bookmarkEnd w:id="1"/>
      <w:r w:rsidRPr="0035062E">
        <w:t>: Ignition and combustion properties for air mixtures at 25 °C and 101</w:t>
      </w:r>
      <w:r w:rsidR="0006151B">
        <w:t>.</w:t>
      </w:r>
      <w:r w:rsidRPr="0035062E">
        <w:t xml:space="preserve">3 kPa for Hydrogen and Methane </w:t>
      </w:r>
      <w:r w:rsidR="005D07D5">
        <w:t>(</w:t>
      </w:r>
      <w:r w:rsidRPr="0035062E">
        <w:t>ISO/TR 15916:2015</w:t>
      </w:r>
      <w:r w:rsidR="008B6189">
        <w: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2126"/>
        <w:gridCol w:w="2125"/>
        <w:gridCol w:w="1561"/>
        <w:gridCol w:w="1415"/>
      </w:tblGrid>
      <w:tr w:rsidR="003A6F7E" w:rsidRPr="0035062E" w14:paraId="5F1AA3FC" w14:textId="77777777" w:rsidTr="00AC0786">
        <w:tc>
          <w:tcPr>
            <w:tcW w:w="888" w:type="pct"/>
            <w:tcBorders>
              <w:top w:val="single" w:sz="12" w:space="0" w:color="008000"/>
              <w:bottom w:val="single" w:sz="6" w:space="0" w:color="008000"/>
            </w:tcBorders>
            <w:shd w:val="clear" w:color="auto" w:fill="FFFFFF"/>
          </w:tcPr>
          <w:p w14:paraId="08A0F92C" w14:textId="77777777" w:rsidR="003A6F7E" w:rsidRPr="0035062E" w:rsidRDefault="003A6F7E" w:rsidP="00AC0786">
            <w:pPr>
              <w:pStyle w:val="CETBodytext"/>
              <w:jc w:val="left"/>
              <w:rPr>
                <w:lang w:val="en-GB"/>
              </w:rPr>
            </w:pPr>
            <w:r w:rsidRPr="0035062E">
              <w:rPr>
                <w:lang w:val="en-GB"/>
              </w:rPr>
              <w:t>Fuel</w:t>
            </w:r>
          </w:p>
        </w:tc>
        <w:tc>
          <w:tcPr>
            <w:tcW w:w="1210" w:type="pct"/>
            <w:tcBorders>
              <w:top w:val="single" w:sz="12" w:space="0" w:color="008000"/>
              <w:bottom w:val="single" w:sz="6" w:space="0" w:color="008000"/>
            </w:tcBorders>
            <w:shd w:val="clear" w:color="auto" w:fill="FFFFFF"/>
            <w:vAlign w:val="center"/>
          </w:tcPr>
          <w:p w14:paraId="2283C110" w14:textId="77777777" w:rsidR="003A6F7E" w:rsidRPr="0035062E" w:rsidRDefault="003A6F7E" w:rsidP="00AC0786">
            <w:pPr>
              <w:pStyle w:val="CETBodytext"/>
              <w:jc w:val="left"/>
              <w:rPr>
                <w:lang w:val="en-GB"/>
              </w:rPr>
            </w:pPr>
            <w:r w:rsidRPr="0035062E">
              <w:rPr>
                <w:lang w:val="en-GB"/>
              </w:rPr>
              <w:t>Lower flammability limit (% vol. fraction)</w:t>
            </w:r>
          </w:p>
        </w:tc>
        <w:tc>
          <w:tcPr>
            <w:tcW w:w="1209" w:type="pct"/>
            <w:tcBorders>
              <w:top w:val="single" w:sz="12" w:space="0" w:color="008000"/>
              <w:bottom w:val="single" w:sz="6" w:space="0" w:color="008000"/>
            </w:tcBorders>
            <w:shd w:val="clear" w:color="auto" w:fill="FFFFFF"/>
            <w:vAlign w:val="center"/>
          </w:tcPr>
          <w:p w14:paraId="33923F81" w14:textId="77777777" w:rsidR="003A6F7E" w:rsidRPr="0035062E" w:rsidRDefault="003A6F7E" w:rsidP="00AC0786">
            <w:pPr>
              <w:pStyle w:val="CETBodytext"/>
              <w:jc w:val="left"/>
              <w:rPr>
                <w:lang w:val="en-GB"/>
              </w:rPr>
            </w:pPr>
            <w:r w:rsidRPr="0035062E">
              <w:rPr>
                <w:lang w:val="en-GB"/>
              </w:rPr>
              <w:t>Upper flammability limit</w:t>
            </w:r>
            <w:r w:rsidRPr="0035062E">
              <w:rPr>
                <w:lang w:val="en-GB"/>
              </w:rPr>
              <w:br/>
              <w:t>(% vol. fraction)</w:t>
            </w:r>
          </w:p>
        </w:tc>
        <w:tc>
          <w:tcPr>
            <w:tcW w:w="888" w:type="pct"/>
            <w:tcBorders>
              <w:top w:val="single" w:sz="12" w:space="0" w:color="008000"/>
              <w:bottom w:val="single" w:sz="6" w:space="0" w:color="008000"/>
            </w:tcBorders>
            <w:shd w:val="clear" w:color="auto" w:fill="FFFFFF"/>
            <w:vAlign w:val="center"/>
          </w:tcPr>
          <w:p w14:paraId="0C9B16A7" w14:textId="77777777" w:rsidR="003A6F7E" w:rsidRPr="0035062E" w:rsidRDefault="003A6F7E" w:rsidP="00AC0786">
            <w:pPr>
              <w:pStyle w:val="CETBodytext"/>
              <w:ind w:right="-1"/>
              <w:jc w:val="left"/>
              <w:rPr>
                <w:rFonts w:cs="Arial"/>
                <w:szCs w:val="18"/>
                <w:lang w:val="en-GB"/>
              </w:rPr>
            </w:pPr>
            <w:r w:rsidRPr="0035062E">
              <w:rPr>
                <w:lang w:val="en-GB"/>
              </w:rPr>
              <w:t>Minimum ignition energy (</w:t>
            </w:r>
            <w:proofErr w:type="spellStart"/>
            <w:r w:rsidRPr="0035062E">
              <w:rPr>
                <w:lang w:val="en-GB"/>
              </w:rPr>
              <w:t>mJ</w:t>
            </w:r>
            <w:proofErr w:type="spellEnd"/>
            <w:r w:rsidRPr="0035062E">
              <w:rPr>
                <w:lang w:val="en-GB"/>
              </w:rPr>
              <w:t>)</w:t>
            </w:r>
          </w:p>
        </w:tc>
        <w:tc>
          <w:tcPr>
            <w:tcW w:w="805" w:type="pct"/>
            <w:tcBorders>
              <w:top w:val="single" w:sz="12" w:space="0" w:color="008000"/>
              <w:bottom w:val="single" w:sz="6" w:space="0" w:color="008000"/>
            </w:tcBorders>
            <w:shd w:val="clear" w:color="auto" w:fill="FFFFFF"/>
            <w:vAlign w:val="center"/>
          </w:tcPr>
          <w:p w14:paraId="34C0AF87" w14:textId="77777777" w:rsidR="003A6F7E" w:rsidRPr="0035062E" w:rsidRDefault="003A6F7E" w:rsidP="00AC0786">
            <w:pPr>
              <w:pStyle w:val="CETBodytext"/>
              <w:ind w:right="-1"/>
              <w:jc w:val="left"/>
              <w:rPr>
                <w:lang w:val="en-GB"/>
              </w:rPr>
            </w:pPr>
            <w:r w:rsidRPr="0035062E">
              <w:rPr>
                <w:lang w:val="en-GB"/>
              </w:rPr>
              <w:t>Laminar burning velocity (m/s)</w:t>
            </w:r>
          </w:p>
        </w:tc>
      </w:tr>
      <w:tr w:rsidR="003A6F7E" w:rsidRPr="0035062E" w14:paraId="6E080548" w14:textId="77777777" w:rsidTr="00AC0786">
        <w:tc>
          <w:tcPr>
            <w:tcW w:w="888" w:type="pct"/>
            <w:shd w:val="clear" w:color="auto" w:fill="FFFFFF"/>
          </w:tcPr>
          <w:p w14:paraId="1C11E180" w14:textId="77777777" w:rsidR="003A6F7E" w:rsidRPr="0035062E" w:rsidRDefault="003A6F7E" w:rsidP="00AC0786">
            <w:pPr>
              <w:pStyle w:val="CETBodytext"/>
              <w:jc w:val="left"/>
              <w:rPr>
                <w:vertAlign w:val="subscript"/>
                <w:lang w:val="en-GB"/>
              </w:rPr>
            </w:pPr>
            <w:r w:rsidRPr="0035062E">
              <w:rPr>
                <w:lang w:val="en-GB"/>
              </w:rPr>
              <w:t>Hydrogen H</w:t>
            </w:r>
            <w:r w:rsidRPr="0035062E">
              <w:rPr>
                <w:vertAlign w:val="subscript"/>
                <w:lang w:val="en-GB"/>
              </w:rPr>
              <w:t>2</w:t>
            </w:r>
          </w:p>
        </w:tc>
        <w:tc>
          <w:tcPr>
            <w:tcW w:w="1210" w:type="pct"/>
            <w:shd w:val="clear" w:color="auto" w:fill="FFFFFF"/>
            <w:vAlign w:val="center"/>
          </w:tcPr>
          <w:p w14:paraId="7504B500" w14:textId="77777777" w:rsidR="003A6F7E" w:rsidRPr="0035062E" w:rsidRDefault="003A6F7E" w:rsidP="00AC0786">
            <w:pPr>
              <w:pStyle w:val="CETBodytext"/>
              <w:jc w:val="left"/>
              <w:rPr>
                <w:lang w:val="en-GB"/>
              </w:rPr>
            </w:pPr>
            <w:r w:rsidRPr="0035062E">
              <w:rPr>
                <w:lang w:val="en-GB"/>
              </w:rPr>
              <w:t>4</w:t>
            </w:r>
          </w:p>
        </w:tc>
        <w:tc>
          <w:tcPr>
            <w:tcW w:w="1209" w:type="pct"/>
            <w:shd w:val="clear" w:color="auto" w:fill="FFFFFF"/>
            <w:vAlign w:val="center"/>
          </w:tcPr>
          <w:p w14:paraId="50A0C878" w14:textId="77777777" w:rsidR="003A6F7E" w:rsidRPr="0035062E" w:rsidRDefault="003A6F7E" w:rsidP="00AC0786">
            <w:pPr>
              <w:pStyle w:val="CETBodytext"/>
              <w:jc w:val="left"/>
              <w:rPr>
                <w:lang w:val="en-GB"/>
              </w:rPr>
            </w:pPr>
            <w:r w:rsidRPr="0035062E">
              <w:rPr>
                <w:lang w:val="en-GB"/>
              </w:rPr>
              <w:t>77</w:t>
            </w:r>
          </w:p>
        </w:tc>
        <w:tc>
          <w:tcPr>
            <w:tcW w:w="888" w:type="pct"/>
            <w:shd w:val="clear" w:color="auto" w:fill="FFFFFF"/>
            <w:vAlign w:val="center"/>
          </w:tcPr>
          <w:p w14:paraId="43378D05" w14:textId="44F0978C" w:rsidR="003A6F7E" w:rsidRPr="0035062E" w:rsidRDefault="003A6F7E" w:rsidP="00AC0786">
            <w:pPr>
              <w:pStyle w:val="CETBodytext"/>
              <w:ind w:right="-1"/>
              <w:jc w:val="left"/>
              <w:rPr>
                <w:rFonts w:cs="Arial"/>
                <w:szCs w:val="18"/>
                <w:lang w:val="en-GB"/>
              </w:rPr>
            </w:pPr>
            <w:r w:rsidRPr="0035062E">
              <w:rPr>
                <w:lang w:val="en-GB"/>
              </w:rPr>
              <w:t>0</w:t>
            </w:r>
            <w:r w:rsidR="0006151B">
              <w:rPr>
                <w:lang w:val="en-GB"/>
              </w:rPr>
              <w:t>.</w:t>
            </w:r>
            <w:r w:rsidRPr="0035062E">
              <w:rPr>
                <w:lang w:val="en-GB"/>
              </w:rPr>
              <w:t>017</w:t>
            </w:r>
          </w:p>
        </w:tc>
        <w:tc>
          <w:tcPr>
            <w:tcW w:w="805" w:type="pct"/>
            <w:shd w:val="clear" w:color="auto" w:fill="FFFFFF"/>
            <w:vAlign w:val="center"/>
          </w:tcPr>
          <w:p w14:paraId="4529C219" w14:textId="0632692E" w:rsidR="003A6F7E" w:rsidRPr="0035062E" w:rsidRDefault="003A6F7E" w:rsidP="00AC0786">
            <w:pPr>
              <w:pStyle w:val="CETBodytext"/>
              <w:ind w:right="-1"/>
              <w:jc w:val="left"/>
              <w:rPr>
                <w:lang w:val="en-GB"/>
              </w:rPr>
            </w:pPr>
            <w:r w:rsidRPr="0035062E">
              <w:rPr>
                <w:lang w:val="en-GB"/>
              </w:rPr>
              <w:t>2</w:t>
            </w:r>
            <w:r w:rsidR="0006151B">
              <w:rPr>
                <w:lang w:val="en-GB"/>
              </w:rPr>
              <w:t>.</w:t>
            </w:r>
            <w:r w:rsidRPr="0035062E">
              <w:rPr>
                <w:lang w:val="en-GB"/>
              </w:rPr>
              <w:t>70</w:t>
            </w:r>
          </w:p>
        </w:tc>
      </w:tr>
      <w:tr w:rsidR="003A6F7E" w:rsidRPr="0035062E" w14:paraId="5DD8052E" w14:textId="77777777" w:rsidTr="00AC0786">
        <w:tc>
          <w:tcPr>
            <w:tcW w:w="888" w:type="pct"/>
            <w:shd w:val="clear" w:color="auto" w:fill="FFFFFF"/>
          </w:tcPr>
          <w:p w14:paraId="44BF90F2" w14:textId="77777777" w:rsidR="003A6F7E" w:rsidRPr="0035062E" w:rsidRDefault="003A6F7E" w:rsidP="00AC0786">
            <w:pPr>
              <w:pStyle w:val="CETBodytext"/>
              <w:jc w:val="left"/>
              <w:rPr>
                <w:vertAlign w:val="subscript"/>
                <w:lang w:val="en-GB"/>
              </w:rPr>
            </w:pPr>
            <w:r w:rsidRPr="0035062E">
              <w:rPr>
                <w:lang w:val="en-GB"/>
              </w:rPr>
              <w:t>Methane CH</w:t>
            </w:r>
            <w:r w:rsidRPr="0035062E">
              <w:rPr>
                <w:vertAlign w:val="subscript"/>
                <w:lang w:val="en-GB"/>
              </w:rPr>
              <w:t>4</w:t>
            </w:r>
          </w:p>
        </w:tc>
        <w:tc>
          <w:tcPr>
            <w:tcW w:w="1210" w:type="pct"/>
            <w:shd w:val="clear" w:color="auto" w:fill="FFFFFF"/>
            <w:vAlign w:val="center"/>
          </w:tcPr>
          <w:p w14:paraId="04285C13" w14:textId="4B4317F0" w:rsidR="003A6F7E" w:rsidRPr="0035062E" w:rsidRDefault="003A6F7E" w:rsidP="00AC0786">
            <w:pPr>
              <w:pStyle w:val="CETBodytext"/>
              <w:jc w:val="left"/>
              <w:rPr>
                <w:lang w:val="en-GB"/>
              </w:rPr>
            </w:pPr>
            <w:r w:rsidRPr="0035062E">
              <w:rPr>
                <w:lang w:val="en-GB"/>
              </w:rPr>
              <w:t>5</w:t>
            </w:r>
            <w:r w:rsidR="0006151B">
              <w:rPr>
                <w:lang w:val="en-GB"/>
              </w:rPr>
              <w:t>.</w:t>
            </w:r>
            <w:r w:rsidRPr="0035062E">
              <w:rPr>
                <w:lang w:val="en-GB"/>
              </w:rPr>
              <w:t>3</w:t>
            </w:r>
          </w:p>
        </w:tc>
        <w:tc>
          <w:tcPr>
            <w:tcW w:w="1209" w:type="pct"/>
            <w:shd w:val="clear" w:color="auto" w:fill="FFFFFF"/>
            <w:vAlign w:val="center"/>
          </w:tcPr>
          <w:p w14:paraId="1B60F54F" w14:textId="77777777" w:rsidR="003A6F7E" w:rsidRPr="0035062E" w:rsidRDefault="003A6F7E" w:rsidP="00AC0786">
            <w:pPr>
              <w:pStyle w:val="CETBodytext"/>
              <w:jc w:val="left"/>
              <w:rPr>
                <w:lang w:val="en-GB"/>
              </w:rPr>
            </w:pPr>
            <w:r w:rsidRPr="0035062E">
              <w:rPr>
                <w:lang w:val="en-GB"/>
              </w:rPr>
              <w:t>17</w:t>
            </w:r>
          </w:p>
        </w:tc>
        <w:tc>
          <w:tcPr>
            <w:tcW w:w="888" w:type="pct"/>
            <w:shd w:val="clear" w:color="auto" w:fill="FFFFFF"/>
            <w:vAlign w:val="center"/>
          </w:tcPr>
          <w:p w14:paraId="71AF9836" w14:textId="63D86861" w:rsidR="003A6F7E" w:rsidRPr="0035062E" w:rsidRDefault="003A6F7E" w:rsidP="00AC0786">
            <w:pPr>
              <w:pStyle w:val="CETBodytext"/>
              <w:ind w:right="-1"/>
              <w:jc w:val="left"/>
              <w:rPr>
                <w:rFonts w:cs="Arial"/>
                <w:szCs w:val="18"/>
                <w:lang w:val="en-GB"/>
              </w:rPr>
            </w:pPr>
            <w:r w:rsidRPr="0035062E">
              <w:rPr>
                <w:lang w:val="en-GB"/>
              </w:rPr>
              <w:t>0</w:t>
            </w:r>
            <w:r w:rsidR="0006151B">
              <w:rPr>
                <w:lang w:val="en-GB"/>
              </w:rPr>
              <w:t>.</w:t>
            </w:r>
            <w:r w:rsidRPr="0035062E">
              <w:rPr>
                <w:lang w:val="en-GB"/>
              </w:rPr>
              <w:t>271</w:t>
            </w:r>
          </w:p>
        </w:tc>
        <w:tc>
          <w:tcPr>
            <w:tcW w:w="805" w:type="pct"/>
            <w:shd w:val="clear" w:color="auto" w:fill="FFFFFF"/>
            <w:vAlign w:val="center"/>
          </w:tcPr>
          <w:p w14:paraId="786F3884" w14:textId="447A1C04" w:rsidR="003A6F7E" w:rsidRPr="0035062E" w:rsidRDefault="003A6F7E" w:rsidP="00AC0786">
            <w:pPr>
              <w:pStyle w:val="CETBodytext"/>
              <w:ind w:right="-1"/>
              <w:jc w:val="left"/>
              <w:rPr>
                <w:lang w:val="en-GB"/>
              </w:rPr>
            </w:pPr>
            <w:r w:rsidRPr="0035062E">
              <w:rPr>
                <w:lang w:val="en-GB"/>
              </w:rPr>
              <w:t>0</w:t>
            </w:r>
            <w:r w:rsidR="0006151B">
              <w:rPr>
                <w:lang w:val="en-GB"/>
              </w:rPr>
              <w:t>.</w:t>
            </w:r>
            <w:r w:rsidRPr="0035062E">
              <w:rPr>
                <w:lang w:val="en-GB"/>
              </w:rPr>
              <w:t>37</w:t>
            </w:r>
          </w:p>
        </w:tc>
      </w:tr>
    </w:tbl>
    <w:p w14:paraId="5FB7F8F0" w14:textId="77777777" w:rsidR="00F70EFA" w:rsidRDefault="00F70EFA" w:rsidP="00F70EFA">
      <w:pPr>
        <w:pStyle w:val="CETBodytext"/>
        <w:rPr>
          <w:lang w:val="en-GB"/>
        </w:rPr>
      </w:pPr>
    </w:p>
    <w:p w14:paraId="115E7C3B" w14:textId="46414632" w:rsidR="00F70EFA" w:rsidRDefault="00F70EFA" w:rsidP="00F70EFA">
      <w:pPr>
        <w:pStyle w:val="CETBodytext"/>
        <w:rPr>
          <w:lang w:val="en-GB"/>
        </w:rPr>
      </w:pPr>
    </w:p>
    <w:p w14:paraId="13A016AC" w14:textId="22C2E746" w:rsidR="00F70EFA" w:rsidRPr="0035062E" w:rsidRDefault="00F70EFA" w:rsidP="00F70EFA">
      <w:pPr>
        <w:pStyle w:val="CETBodytext"/>
        <w:rPr>
          <w:lang w:val="en-GB"/>
        </w:rPr>
      </w:pPr>
      <w:r w:rsidRPr="0035062E">
        <w:rPr>
          <w:lang w:val="en-GB"/>
        </w:rPr>
        <w:t xml:space="preserve">Hydrogen possesses the NFPA 704's highest rating of 4 on the flammability scale </w:t>
      </w:r>
      <w:r w:rsidR="005D07D5">
        <w:rPr>
          <w:lang w:val="en-GB"/>
        </w:rPr>
        <w:t>(</w:t>
      </w:r>
      <w:r w:rsidRPr="0035062E">
        <w:rPr>
          <w:lang w:val="en-GB"/>
        </w:rPr>
        <w:t>NFPA 704</w:t>
      </w:r>
      <w:r w:rsidR="008B6189">
        <w:rPr>
          <w:lang w:val="en-GB"/>
        </w:rPr>
        <w:t>)</w:t>
      </w:r>
      <w:r w:rsidRPr="0035062E">
        <w:rPr>
          <w:lang w:val="en-GB"/>
        </w:rPr>
        <w:t xml:space="preserve"> because its flammability range is between 4% and 75% in air, as shown in </w:t>
      </w:r>
      <w:r w:rsidRPr="0035062E">
        <w:rPr>
          <w:lang w:val="en-GB"/>
        </w:rPr>
        <w:fldChar w:fldCharType="begin"/>
      </w:r>
      <w:r w:rsidRPr="0035062E">
        <w:rPr>
          <w:lang w:val="en-GB"/>
        </w:rPr>
        <w:instrText xml:space="preserve"> REF _Ref158734976 \h </w:instrText>
      </w:r>
      <w:r w:rsidRPr="0035062E">
        <w:rPr>
          <w:lang w:val="en-GB"/>
        </w:rPr>
      </w:r>
      <w:r w:rsidRPr="0035062E">
        <w:rPr>
          <w:lang w:val="en-GB"/>
        </w:rPr>
        <w:fldChar w:fldCharType="separate"/>
      </w:r>
      <w:r w:rsidR="00B97CA0" w:rsidRPr="0035062E">
        <w:t xml:space="preserve">Table </w:t>
      </w:r>
      <w:r w:rsidR="00B97CA0">
        <w:rPr>
          <w:noProof/>
        </w:rPr>
        <w:t>1</w:t>
      </w:r>
      <w:r w:rsidRPr="0035062E">
        <w:rPr>
          <w:lang w:val="en-GB"/>
        </w:rPr>
        <w:fldChar w:fldCharType="end"/>
      </w:r>
      <w:r w:rsidRPr="0035062E">
        <w:rPr>
          <w:lang w:val="en-GB"/>
        </w:rPr>
        <w:t>.</w:t>
      </w:r>
    </w:p>
    <w:p w14:paraId="02F57757" w14:textId="2BB2F613" w:rsidR="0009098A" w:rsidRPr="0035062E" w:rsidRDefault="00E20B21" w:rsidP="00BF5B86">
      <w:pPr>
        <w:pStyle w:val="CETheadingx"/>
        <w:jc w:val="both"/>
        <w:rPr>
          <w:lang w:val="en-GB"/>
        </w:rPr>
      </w:pPr>
      <w:r w:rsidRPr="0035062E">
        <w:rPr>
          <w:lang w:val="en-GB"/>
        </w:rPr>
        <w:t>Diffusivity</w:t>
      </w:r>
      <w:r w:rsidR="00DC6710" w:rsidRPr="0035062E">
        <w:rPr>
          <w:lang w:val="en-GB"/>
        </w:rPr>
        <w:t xml:space="preserve"> </w:t>
      </w:r>
    </w:p>
    <w:p w14:paraId="14C3DBBE" w14:textId="6A064C06" w:rsidR="00862155" w:rsidRDefault="0009098A" w:rsidP="00862155">
      <w:pPr>
        <w:pStyle w:val="CETBodytext"/>
        <w:rPr>
          <w:lang w:val="en-GB"/>
        </w:rPr>
      </w:pPr>
      <w:r w:rsidRPr="0035062E">
        <w:rPr>
          <w:lang w:val="en-GB"/>
        </w:rPr>
        <w:t xml:space="preserve">Hydrogen possesses a rapid diffusivity, approximately 3.8 times faster than natural gas. </w:t>
      </w:r>
      <w:r w:rsidR="00B97CA0" w:rsidRPr="00B97CA0">
        <w:rPr>
          <w:lang w:val="en-GB"/>
        </w:rPr>
        <w:t>This means that when hydrogen is released, it quickly disperses until its concentration falls below flammable levels.</w:t>
      </w:r>
      <w:r w:rsidRPr="0035062E">
        <w:rPr>
          <w:lang w:val="en-GB"/>
        </w:rPr>
        <w:t xml:space="preserve"> Compared to helium, hydrogen rises twice as fast, and six times faster than natural gas, with speeds reaching nearly 45 mph (20m/s)</w:t>
      </w:r>
      <w:r w:rsidR="00660302" w:rsidRPr="0035062E">
        <w:rPr>
          <w:lang w:val="en-GB"/>
        </w:rPr>
        <w:t xml:space="preserve"> </w:t>
      </w:r>
      <w:r w:rsidR="005D07D5">
        <w:rPr>
          <w:lang w:val="en-GB"/>
        </w:rPr>
        <w:t>(</w:t>
      </w:r>
      <w:r w:rsidR="00CC1CD3" w:rsidRPr="00470F7C">
        <w:rPr>
          <w:lang w:val="en-GB"/>
        </w:rPr>
        <w:t>eere.energy.gov</w:t>
      </w:r>
      <w:r w:rsidR="00470F7C" w:rsidRPr="00470F7C">
        <w:rPr>
          <w:lang w:val="en-GB"/>
        </w:rPr>
        <w:t>, 2024</w:t>
      </w:r>
      <w:r w:rsidR="008B6189">
        <w:rPr>
          <w:lang w:val="en-GB"/>
        </w:rPr>
        <w:t>)</w:t>
      </w:r>
      <w:r w:rsidRPr="00470F7C">
        <w:rPr>
          <w:lang w:val="en-GB"/>
        </w:rPr>
        <w:t>.</w:t>
      </w:r>
      <w:r w:rsidR="00470F7C">
        <w:rPr>
          <w:lang w:val="en-GB"/>
        </w:rPr>
        <w:t xml:space="preserve"> </w:t>
      </w:r>
      <w:r w:rsidR="00052739" w:rsidRPr="0035062E">
        <w:rPr>
          <w:lang w:val="en-GB"/>
        </w:rPr>
        <w:t xml:space="preserve">Moreover, hydrogen released into the atmosphere quickly disperses through turbulent convection, drift, and buoyancy, thereby reducing the duration of the hazard. However, it's important to note that this rapid dispersion also facilitates the formation of gas mixtures within the extensive flammability and </w:t>
      </w:r>
      <w:r w:rsidR="00660302" w:rsidRPr="0035062E">
        <w:rPr>
          <w:lang w:val="en-GB"/>
        </w:rPr>
        <w:t>deniability</w:t>
      </w:r>
      <w:r w:rsidR="00052739" w:rsidRPr="0035062E">
        <w:rPr>
          <w:lang w:val="en-GB"/>
        </w:rPr>
        <w:t xml:space="preserve"> limits.</w:t>
      </w:r>
      <w:r w:rsidR="009D7A56">
        <w:rPr>
          <w:lang w:val="en-GB"/>
        </w:rPr>
        <w:t xml:space="preserve"> </w:t>
      </w:r>
      <w:r w:rsidR="00862155" w:rsidRPr="00862155">
        <w:rPr>
          <w:lang w:val="en-GB"/>
        </w:rPr>
        <w:t xml:space="preserve">Hydrogen, as the lightest element, follows basic principles of physics and tends not to linger near leaks or individuals in open spaces unless confined. This means that for hydrogen to present a fire hazard, it must be contained. </w:t>
      </w:r>
      <w:r w:rsidR="00862155">
        <w:rPr>
          <w:lang w:val="en-GB"/>
        </w:rPr>
        <w:t>I</w:t>
      </w:r>
      <w:r w:rsidR="00862155" w:rsidRPr="00862155">
        <w:rPr>
          <w:lang w:val="en-GB"/>
        </w:rPr>
        <w:t xml:space="preserve">ndustries </w:t>
      </w:r>
      <w:r w:rsidR="00862155">
        <w:rPr>
          <w:lang w:val="en-GB"/>
        </w:rPr>
        <w:t xml:space="preserve">must </w:t>
      </w:r>
      <w:r w:rsidR="00862155" w:rsidRPr="00862155">
        <w:rPr>
          <w:lang w:val="en-GB"/>
        </w:rPr>
        <w:t>consider this factor when designing structures for hydrogen utilization, ensuring that the designs promote the upward and outward dispersion of hydrogen, thus reducing the likelihood of ignition.</w:t>
      </w:r>
    </w:p>
    <w:p w14:paraId="736A2655" w14:textId="1A0B3620" w:rsidR="006E4DE3" w:rsidRPr="0035062E" w:rsidRDefault="006E4DE3" w:rsidP="006E4DE3">
      <w:pPr>
        <w:pStyle w:val="CETheadingx"/>
        <w:jc w:val="both"/>
        <w:rPr>
          <w:lang w:val="en-GB"/>
        </w:rPr>
      </w:pPr>
      <w:r w:rsidRPr="0035062E">
        <w:rPr>
          <w:lang w:val="en-GB"/>
        </w:rPr>
        <w:t xml:space="preserve">Explosion, </w:t>
      </w:r>
      <w:r w:rsidR="008E253C" w:rsidRPr="0035062E">
        <w:rPr>
          <w:lang w:val="en-GB"/>
        </w:rPr>
        <w:t>deflagration</w:t>
      </w:r>
      <w:r w:rsidRPr="0035062E">
        <w:rPr>
          <w:lang w:val="en-GB"/>
        </w:rPr>
        <w:t xml:space="preserve"> and detonation</w:t>
      </w:r>
    </w:p>
    <w:p w14:paraId="4CCB9482" w14:textId="6CF3D84E" w:rsidR="00933289" w:rsidRPr="0035062E" w:rsidRDefault="003C5CD5" w:rsidP="003C5CD5">
      <w:pPr>
        <w:pStyle w:val="CETBodytext"/>
        <w:rPr>
          <w:lang w:val="en-GB"/>
        </w:rPr>
      </w:pPr>
      <w:r w:rsidRPr="0035062E">
        <w:rPr>
          <w:lang w:val="en-GB"/>
        </w:rPr>
        <w:t>An explosion can manifest in two primary forms: deflagration or detonation. Under certain conditions, if the deflagration proceeds rapidly, it has the potential to generate a blast wave akin to that produced by a detonation.</w:t>
      </w:r>
    </w:p>
    <w:p w14:paraId="365A8873" w14:textId="0E8E088E" w:rsidR="006E4DE3" w:rsidRDefault="00933289" w:rsidP="0009098A">
      <w:pPr>
        <w:pStyle w:val="CETBodytext"/>
        <w:rPr>
          <w:lang w:val="en-GB"/>
        </w:rPr>
      </w:pPr>
      <w:r w:rsidRPr="0035062E">
        <w:rPr>
          <w:lang w:val="en-GB"/>
        </w:rPr>
        <w:t>The process known as deflagration is characterized by the subsonic propagation of a flame into regions of unburnt mixtures, driven by intricate chemical reactions and heat and mass-transfer mechanisms. Essential prerequisites for this phenomenon include maintaining the concentration, pressure, and temperature of the unburnt medium within the flammability limits. In a stationary mixture in the open with no confinement, the flame will propagate with laminar or “smooth flow” at a burning velocity into the unburnt mixture in the order of 2 m/s to 3 m/s (which is about 10 times faster than for hydrocarbon flames). For hydrogen-air mixtures, the visible propagation velocity can be higher than the burning velocity.</w:t>
      </w:r>
      <w:r w:rsidR="009D7A56">
        <w:rPr>
          <w:lang w:val="en-GB"/>
        </w:rPr>
        <w:t xml:space="preserve"> </w:t>
      </w:r>
      <w:r w:rsidRPr="0035062E">
        <w:rPr>
          <w:lang w:val="en-GB"/>
        </w:rPr>
        <w:t>This can be caused by the expansion of hot combustion products behind the flame adding a convection velocity to the flame propagation velocity</w:t>
      </w:r>
      <w:r w:rsidR="003C5CD5" w:rsidRPr="0035062E">
        <w:rPr>
          <w:lang w:val="en-GB"/>
        </w:rPr>
        <w:t xml:space="preserve">. Detonation of hydrogen-air mixtures can produce pressures as much as 20 times the initial pressure (for very short durations even more) and with reflection, pressures 50 times the initial pressure </w:t>
      </w:r>
      <w:r w:rsidR="005D07D5">
        <w:rPr>
          <w:lang w:val="en-GB"/>
        </w:rPr>
        <w:t>(</w:t>
      </w:r>
      <w:r w:rsidRPr="0035062E">
        <w:rPr>
          <w:lang w:val="en-GB"/>
        </w:rPr>
        <w:t>ISO/TR 15916:2015</w:t>
      </w:r>
      <w:r w:rsidR="008B6189">
        <w:rPr>
          <w:lang w:val="en-GB"/>
        </w:rPr>
        <w:t>)</w:t>
      </w:r>
      <w:r w:rsidR="003A58E5" w:rsidRPr="0035062E">
        <w:rPr>
          <w:lang w:val="en-GB"/>
        </w:rPr>
        <w:t>.</w:t>
      </w:r>
    </w:p>
    <w:p w14:paraId="6B6A5C05" w14:textId="6953794B" w:rsidR="00D43E9D" w:rsidRPr="0035062E" w:rsidRDefault="00D43E9D" w:rsidP="0009098A">
      <w:pPr>
        <w:pStyle w:val="CETBodytext"/>
        <w:rPr>
          <w:lang w:val="en-GB"/>
        </w:rPr>
      </w:pPr>
      <w:r>
        <w:t>Confinement significantly impacts the behavior of both deflagration and detonation. When an explosion occurs in a confined space, the pressure and temperature can rapidly increase due to the limited volume available for the expanding gases. This can lead to an acceleration of the deflagration process, potentially transitioning it to detonation. The confinement can also enhance the destructive power of the explosion by amplifying the pressure waves and increasing the overall energy release.</w:t>
      </w:r>
    </w:p>
    <w:p w14:paraId="715640A1" w14:textId="7B621B45" w:rsidR="00641778" w:rsidRPr="0035062E" w:rsidRDefault="00641778" w:rsidP="00BF5B86">
      <w:pPr>
        <w:pStyle w:val="CETHeading1"/>
        <w:jc w:val="both"/>
        <w:rPr>
          <w:lang w:val="en-GB"/>
        </w:rPr>
      </w:pPr>
      <w:r w:rsidRPr="0035062E">
        <w:rPr>
          <w:lang w:val="en-GB"/>
        </w:rPr>
        <w:t>HILP hydrogen scenarios</w:t>
      </w:r>
    </w:p>
    <w:p w14:paraId="538BF9CF" w14:textId="6BE08DA7" w:rsidR="00717660" w:rsidRPr="0035062E" w:rsidRDefault="00CD240E" w:rsidP="0015527E">
      <w:pPr>
        <w:pStyle w:val="CETBodytext"/>
        <w:rPr>
          <w:lang w:val="en-GB"/>
        </w:rPr>
      </w:pPr>
      <w:r w:rsidRPr="0035062E">
        <w:rPr>
          <w:lang w:val="en-GB"/>
        </w:rPr>
        <w:t>In recent decades, with the ever-increasing strategic importance of hydrogen as an energy source and carrier, the safe handling of this element has become of crucial importance.</w:t>
      </w:r>
      <w:r w:rsidR="00A02684">
        <w:rPr>
          <w:lang w:val="en-GB"/>
        </w:rPr>
        <w:t xml:space="preserve"> </w:t>
      </w:r>
      <w:r w:rsidRPr="0035062E">
        <w:rPr>
          <w:lang w:val="en-GB"/>
        </w:rPr>
        <w:t xml:space="preserve">In addition to technical and theoretical research, one of the most productive approaches employed by industries to enhance safety strategies for a particular technology involves the historical examination of its past applications. For instance, within the petrochemical sector, it is customary to draw insights from previous accidents to devise mitigation and </w:t>
      </w:r>
      <w:r w:rsidRPr="0035062E">
        <w:rPr>
          <w:lang w:val="en-GB"/>
        </w:rPr>
        <w:lastRenderedPageBreak/>
        <w:t>prevention measures aimed at preventing recurrences and enhancing overall plant safety.</w:t>
      </w:r>
      <w:r w:rsidR="00A02684">
        <w:rPr>
          <w:lang w:val="en-GB"/>
        </w:rPr>
        <w:t xml:space="preserve"> </w:t>
      </w:r>
      <w:r w:rsidRPr="0035062E">
        <w:rPr>
          <w:lang w:val="en-GB"/>
        </w:rPr>
        <w:t xml:space="preserve">Hence, it becomes crucial to gather and organize all accessible data concerning hydrogen-related accident scenarios throughout its supply chains, extending to its end uses. </w:t>
      </w:r>
      <w:r w:rsidR="0015527E" w:rsidRPr="0015527E">
        <w:rPr>
          <w:lang w:val="en-GB"/>
        </w:rPr>
        <w:t>This comprehensive approach aims to improve understanding of hydrogen-related dynamics, aiding in the development of effective safety protocols. Additionally, it informs the creation of industry standards and regulations.</w:t>
      </w:r>
      <w:r w:rsidR="00A02684">
        <w:rPr>
          <w:lang w:val="en-GB"/>
        </w:rPr>
        <w:t xml:space="preserve"> </w:t>
      </w:r>
      <w:r w:rsidR="00717660" w:rsidRPr="0035062E">
        <w:rPr>
          <w:lang w:val="en-GB"/>
        </w:rPr>
        <w:t xml:space="preserve">There are many articles and databases in the literature that collect and analyse hydrogen-related accidents, starting with the study published in 1978 by the US Department of </w:t>
      </w:r>
      <w:r w:rsidR="00717660" w:rsidRPr="00D878C9">
        <w:rPr>
          <w:lang w:val="en-GB"/>
        </w:rPr>
        <w:t>Energy</w:t>
      </w:r>
      <w:r w:rsidR="00B735B2" w:rsidRPr="00D878C9">
        <w:rPr>
          <w:lang w:val="en-GB"/>
        </w:rPr>
        <w:t xml:space="preserve"> </w:t>
      </w:r>
      <w:r w:rsidR="005D07D5">
        <w:rPr>
          <w:lang w:val="en-GB"/>
        </w:rPr>
        <w:t>(</w:t>
      </w:r>
      <w:proofErr w:type="spellStart"/>
      <w:r w:rsidR="00F146B9" w:rsidRPr="00D878C9">
        <w:rPr>
          <w:lang w:val="en-GB"/>
        </w:rPr>
        <w:t>Zaloh</w:t>
      </w:r>
      <w:proofErr w:type="spellEnd"/>
      <w:r w:rsidR="00F146B9" w:rsidRPr="00D878C9">
        <w:rPr>
          <w:lang w:val="en-GB"/>
        </w:rPr>
        <w:t xml:space="preserve"> et al., 2015</w:t>
      </w:r>
      <w:r w:rsidR="008B6189">
        <w:rPr>
          <w:lang w:val="en-GB"/>
        </w:rPr>
        <w:t>)</w:t>
      </w:r>
      <w:r w:rsidR="00717660" w:rsidRPr="00D878C9">
        <w:rPr>
          <w:lang w:val="en-GB"/>
        </w:rPr>
        <w:t xml:space="preserve">, containing a review of </w:t>
      </w:r>
      <w:r w:rsidR="00B735B2" w:rsidRPr="00D878C9">
        <w:rPr>
          <w:lang w:val="en-GB"/>
        </w:rPr>
        <w:t>around</w:t>
      </w:r>
      <w:r w:rsidR="00717660" w:rsidRPr="00D878C9">
        <w:rPr>
          <w:lang w:val="en-GB"/>
        </w:rPr>
        <w:t xml:space="preserve"> 400 hydrogen-related accidents that occurred between 1965 and 1977, up to more recent projects such as the HIAD 2.</w:t>
      </w:r>
      <w:r w:rsidR="00DB2698" w:rsidRPr="00D878C9">
        <w:rPr>
          <w:lang w:val="en-GB"/>
        </w:rPr>
        <w:t>1</w:t>
      </w:r>
      <w:r w:rsidR="00717660" w:rsidRPr="00D878C9">
        <w:rPr>
          <w:lang w:val="en-GB"/>
        </w:rPr>
        <w:t xml:space="preserve"> database (European Hydrogen Incident and Accident Database) </w:t>
      </w:r>
      <w:r w:rsidR="005D07D5">
        <w:rPr>
          <w:lang w:val="en-GB"/>
        </w:rPr>
        <w:t>(</w:t>
      </w:r>
      <w:proofErr w:type="spellStart"/>
      <w:r w:rsidR="00B735B2" w:rsidRPr="00D878C9">
        <w:rPr>
          <w:lang w:val="en-GB"/>
        </w:rPr>
        <w:t>Melideo</w:t>
      </w:r>
      <w:proofErr w:type="spellEnd"/>
      <w:r w:rsidR="00B735B2" w:rsidRPr="00D878C9">
        <w:rPr>
          <w:lang w:val="en-GB"/>
        </w:rPr>
        <w:t xml:space="preserve"> </w:t>
      </w:r>
      <w:r w:rsidR="00D878C9" w:rsidRPr="00D878C9">
        <w:rPr>
          <w:lang w:val="en-GB"/>
        </w:rPr>
        <w:t>et al., 2017</w:t>
      </w:r>
      <w:r w:rsidR="008B6189">
        <w:rPr>
          <w:lang w:val="en-GB"/>
        </w:rPr>
        <w:t>)</w:t>
      </w:r>
      <w:r w:rsidR="00B735B2" w:rsidRPr="00D878C9">
        <w:rPr>
          <w:lang w:val="en-GB"/>
        </w:rPr>
        <w:t xml:space="preserve"> </w:t>
      </w:r>
      <w:r w:rsidR="00717660" w:rsidRPr="00D878C9">
        <w:rPr>
          <w:lang w:val="en-GB"/>
        </w:rPr>
        <w:t>funded by the European Commission (</w:t>
      </w:r>
      <w:proofErr w:type="spellStart"/>
      <w:r w:rsidR="00717660" w:rsidRPr="00D878C9">
        <w:rPr>
          <w:lang w:val="en-GB"/>
        </w:rPr>
        <w:t>HySafe</w:t>
      </w:r>
      <w:proofErr w:type="spellEnd"/>
      <w:r w:rsidR="00717660" w:rsidRPr="00D878C9">
        <w:rPr>
          <w:lang w:val="en-GB"/>
        </w:rPr>
        <w:t>) and developed by the JRC</w:t>
      </w:r>
      <w:r w:rsidR="00E00C18" w:rsidRPr="00D878C9">
        <w:rPr>
          <w:lang w:val="en-GB"/>
        </w:rPr>
        <w:t>.</w:t>
      </w:r>
      <w:r w:rsidR="00861C52" w:rsidRPr="00D878C9">
        <w:rPr>
          <w:lang w:val="en-GB"/>
        </w:rPr>
        <w:t xml:space="preserve"> </w:t>
      </w:r>
      <w:r w:rsidR="00717660" w:rsidRPr="00D878C9">
        <w:rPr>
          <w:lang w:val="en-GB"/>
        </w:rPr>
        <w:t>Precisely</w:t>
      </w:r>
      <w:r w:rsidR="00717660" w:rsidRPr="0035062E">
        <w:rPr>
          <w:lang w:val="en-GB"/>
        </w:rPr>
        <w:t xml:space="preserve"> through an analysis of the case studies in the HIAD 2.</w:t>
      </w:r>
      <w:r w:rsidR="00DB2698" w:rsidRPr="0035062E">
        <w:rPr>
          <w:lang w:val="en-GB"/>
        </w:rPr>
        <w:t>1</w:t>
      </w:r>
      <w:r w:rsidR="00717660" w:rsidRPr="0035062E">
        <w:rPr>
          <w:lang w:val="en-GB"/>
        </w:rPr>
        <w:t xml:space="preserve"> database it was possible to define the statistical hierarchy of occurrence of possible accident events. As can be seen from the graph i</w:t>
      </w:r>
      <w:r w:rsidR="001B4DEF" w:rsidRPr="0035062E">
        <w:rPr>
          <w:lang w:val="en-GB"/>
        </w:rPr>
        <w:t xml:space="preserve">n </w:t>
      </w:r>
      <w:r w:rsidR="001B4DEF" w:rsidRPr="0035062E">
        <w:rPr>
          <w:lang w:val="en-GB"/>
        </w:rPr>
        <w:fldChar w:fldCharType="begin"/>
      </w:r>
      <w:r w:rsidR="001B4DEF" w:rsidRPr="0035062E">
        <w:rPr>
          <w:lang w:val="en-GB"/>
        </w:rPr>
        <w:instrText xml:space="preserve"> REF _Ref158727853 \h </w:instrText>
      </w:r>
      <w:r w:rsidR="005D07D5">
        <w:rPr>
          <w:lang w:val="en-GB"/>
        </w:rPr>
        <w:instrText xml:space="preserve"> \* MERGEFORMAT </w:instrText>
      </w:r>
      <w:r w:rsidR="001B4DEF" w:rsidRPr="0035062E">
        <w:rPr>
          <w:lang w:val="en-GB"/>
        </w:rPr>
      </w:r>
      <w:r w:rsidR="001B4DEF" w:rsidRPr="0035062E">
        <w:rPr>
          <w:lang w:val="en-GB"/>
        </w:rPr>
        <w:fldChar w:fldCharType="separate"/>
      </w:r>
      <w:r w:rsidR="00B97CA0" w:rsidRPr="00B97CA0">
        <w:t>Figure 1</w:t>
      </w:r>
      <w:r w:rsidR="001B4DEF" w:rsidRPr="0035062E">
        <w:rPr>
          <w:lang w:val="en-GB"/>
        </w:rPr>
        <w:fldChar w:fldCharType="end"/>
      </w:r>
      <w:r w:rsidR="00717660" w:rsidRPr="0035062E">
        <w:rPr>
          <w:lang w:val="en-GB"/>
        </w:rPr>
        <w:t>, the tendency of hydrogen to ignition is confirmed.</w:t>
      </w:r>
    </w:p>
    <w:p w14:paraId="42FA495A" w14:textId="0356F797" w:rsidR="007201B9" w:rsidRDefault="00861C52" w:rsidP="005D07D5">
      <w:pPr>
        <w:pStyle w:val="CETBodytext"/>
        <w:rPr>
          <w:lang w:val="en-GB"/>
        </w:rPr>
      </w:pPr>
      <w:r w:rsidRPr="0035062E">
        <w:rPr>
          <w:lang w:val="en-GB"/>
        </w:rPr>
        <w:t>In the following paragraphs, building on this statistical evidence and supplementing it with a representative case study, characteristic modelling for accident scenarios involving hydrogen production and storage will be presented.</w:t>
      </w:r>
    </w:p>
    <w:p w14:paraId="5490C474" w14:textId="77777777" w:rsidR="00862155" w:rsidRPr="0035062E" w:rsidRDefault="00862155" w:rsidP="00862155">
      <w:pPr>
        <w:pStyle w:val="Default"/>
        <w:jc w:val="both"/>
        <w:rPr>
          <w:rFonts w:eastAsia="Times New Roman" w:cs="Times New Roman"/>
          <w:color w:val="auto"/>
          <w:sz w:val="18"/>
          <w:szCs w:val="20"/>
          <w:lang w:val="en-GB"/>
        </w:rPr>
      </w:pPr>
    </w:p>
    <w:p w14:paraId="1BE993E6" w14:textId="22622357" w:rsidR="007201B9" w:rsidRPr="0035062E" w:rsidRDefault="00335984" w:rsidP="007201B9">
      <w:pPr>
        <w:pStyle w:val="Default"/>
        <w:keepNext/>
        <w:jc w:val="both"/>
        <w:rPr>
          <w:lang w:val="en-GB"/>
        </w:rPr>
      </w:pPr>
      <w:r>
        <w:rPr>
          <w:noProof/>
        </w:rPr>
        <w:drawing>
          <wp:inline distT="0" distB="0" distL="0" distR="0" wp14:anchorId="29F27FEC" wp14:editId="7A2BAA7D">
            <wp:extent cx="2455388" cy="2377440"/>
            <wp:effectExtent l="0" t="0" r="2540" b="3810"/>
            <wp:docPr id="2" name="Immagine 1" descr="Immagine che contiene testo, cerchio, compact disk,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testo, cerchio, compact disk, schermata&#10;&#10;Descrizione generata automaticamente"/>
                    <pic:cNvPicPr>
                      <a:picLocks noChangeAspect="1"/>
                    </pic:cNvPicPr>
                  </pic:nvPicPr>
                  <pic:blipFill>
                    <a:blip r:embed="rId13"/>
                    <a:stretch>
                      <a:fillRect/>
                    </a:stretch>
                  </pic:blipFill>
                  <pic:spPr>
                    <a:xfrm>
                      <a:off x="0" y="0"/>
                      <a:ext cx="2464643" cy="2386401"/>
                    </a:xfrm>
                    <a:prstGeom prst="rect">
                      <a:avLst/>
                    </a:prstGeom>
                  </pic:spPr>
                </pic:pic>
              </a:graphicData>
            </a:graphic>
          </wp:inline>
        </w:drawing>
      </w:r>
    </w:p>
    <w:p w14:paraId="6ADBA24A" w14:textId="7E8690F9" w:rsidR="007201B9" w:rsidRPr="00861C52" w:rsidRDefault="007201B9" w:rsidP="00861C52">
      <w:pPr>
        <w:pStyle w:val="Didascalia"/>
        <w:spacing w:before="240"/>
        <w:rPr>
          <w:rStyle w:val="CETCaptionCarattere"/>
          <w:b w:val="0"/>
          <w:bCs w:val="0"/>
          <w:color w:val="auto"/>
        </w:rPr>
      </w:pPr>
      <w:bookmarkStart w:id="2" w:name="_Ref158727853"/>
      <w:r w:rsidRPr="00861C52">
        <w:rPr>
          <w:rStyle w:val="CETCaptionCarattere"/>
          <w:b w:val="0"/>
          <w:bCs w:val="0"/>
          <w:color w:val="auto"/>
        </w:rPr>
        <w:t xml:space="preserve">Figure </w:t>
      </w:r>
      <w:r w:rsidRPr="00861C52">
        <w:rPr>
          <w:rStyle w:val="CETCaptionCarattere"/>
          <w:b w:val="0"/>
          <w:bCs w:val="0"/>
          <w:color w:val="auto"/>
        </w:rPr>
        <w:fldChar w:fldCharType="begin"/>
      </w:r>
      <w:r w:rsidRPr="00861C52">
        <w:rPr>
          <w:rStyle w:val="CETCaptionCarattere"/>
          <w:b w:val="0"/>
          <w:bCs w:val="0"/>
          <w:color w:val="auto"/>
        </w:rPr>
        <w:instrText xml:space="preserve"> SEQ Figure \* ARABIC </w:instrText>
      </w:r>
      <w:r w:rsidRPr="00861C52">
        <w:rPr>
          <w:rStyle w:val="CETCaptionCarattere"/>
          <w:b w:val="0"/>
          <w:bCs w:val="0"/>
          <w:color w:val="auto"/>
        </w:rPr>
        <w:fldChar w:fldCharType="separate"/>
      </w:r>
      <w:r w:rsidR="00B97CA0">
        <w:rPr>
          <w:rStyle w:val="CETCaptionCarattere"/>
          <w:b w:val="0"/>
          <w:bCs w:val="0"/>
          <w:noProof/>
          <w:color w:val="auto"/>
        </w:rPr>
        <w:t>1</w:t>
      </w:r>
      <w:r w:rsidRPr="00861C52">
        <w:rPr>
          <w:rStyle w:val="CETCaptionCarattere"/>
          <w:b w:val="0"/>
          <w:bCs w:val="0"/>
          <w:color w:val="auto"/>
        </w:rPr>
        <w:fldChar w:fldCharType="end"/>
      </w:r>
      <w:bookmarkEnd w:id="2"/>
      <w:r w:rsidRPr="00861C52">
        <w:rPr>
          <w:rStyle w:val="CETCaptionCarattere"/>
          <w:b w:val="0"/>
          <w:bCs w:val="0"/>
          <w:color w:val="auto"/>
        </w:rPr>
        <w:t xml:space="preserve"> - Accident frequencies for hydrogen scenarios extrapolated from the HIAD 2.0 </w:t>
      </w:r>
      <w:r w:rsidR="00EF2DAC" w:rsidRPr="00861C52">
        <w:rPr>
          <w:rStyle w:val="CETCaptionCarattere"/>
          <w:b w:val="0"/>
          <w:bCs w:val="0"/>
          <w:color w:val="auto"/>
        </w:rPr>
        <w:t>database.</w:t>
      </w:r>
    </w:p>
    <w:p w14:paraId="05F4462A" w14:textId="3F7657B1" w:rsidR="00341B4D" w:rsidRPr="0035062E" w:rsidRDefault="00340E09" w:rsidP="00340E09">
      <w:pPr>
        <w:pStyle w:val="CETheadingx"/>
        <w:rPr>
          <w:lang w:val="en-GB"/>
        </w:rPr>
      </w:pPr>
      <w:r w:rsidRPr="0035062E">
        <w:rPr>
          <w:lang w:val="en-GB"/>
        </w:rPr>
        <w:t>Case Study</w:t>
      </w:r>
    </w:p>
    <w:p w14:paraId="64AFC49E" w14:textId="08DAD4C8" w:rsidR="009370E0" w:rsidRPr="0035062E" w:rsidRDefault="009370E0" w:rsidP="00375C63">
      <w:pPr>
        <w:pStyle w:val="CETBodytext"/>
        <w:rPr>
          <w:lang w:val="en-GB"/>
        </w:rPr>
      </w:pPr>
      <w:r w:rsidRPr="0035062E">
        <w:rPr>
          <w:lang w:val="en-GB"/>
        </w:rPr>
        <w:t xml:space="preserve">From the panorama described in the previous paragraph, the need emerged to find a case study that was representative of the industrial realities </w:t>
      </w:r>
      <w:r w:rsidR="00857FA7" w:rsidRPr="0035062E">
        <w:rPr>
          <w:lang w:val="en-GB"/>
        </w:rPr>
        <w:t xml:space="preserve">concerned by </w:t>
      </w:r>
      <w:r w:rsidRPr="0035062E">
        <w:rPr>
          <w:lang w:val="en-GB"/>
        </w:rPr>
        <w:t>the use of hydrogen in terms of the processes involved and accident scenarios. Of all the processes, certainly that of hydrogen production through electrolysis using electricity from renewable sources is current and relevant in the modern scenario, committed to the ecological transition and decarbonisation, and equally relevant in terms of the processes and physical variables employed.</w:t>
      </w:r>
    </w:p>
    <w:p w14:paraId="6328BA96" w14:textId="4E21A4E4" w:rsidR="009370E0" w:rsidRPr="0035062E" w:rsidRDefault="009370E0" w:rsidP="009370E0">
      <w:pPr>
        <w:pStyle w:val="CETBodytext"/>
        <w:rPr>
          <w:lang w:val="en-GB"/>
        </w:rPr>
      </w:pPr>
      <w:r w:rsidRPr="0035062E">
        <w:rPr>
          <w:lang w:val="en-GB"/>
        </w:rPr>
        <w:t>Furthermore, in order to provide a valid comparison for future accident modelling, which will become necessary with the increasing use of electrolysis-based technologies, this case study was selected because of the accident scenarios that emerged during its analysis, namely</w:t>
      </w:r>
      <w:r w:rsidR="00857FA7" w:rsidRPr="0035062E">
        <w:rPr>
          <w:lang w:val="en-GB"/>
        </w:rPr>
        <w:t>:</w:t>
      </w:r>
    </w:p>
    <w:p w14:paraId="6006C8BD" w14:textId="741E55B5" w:rsidR="009370E0" w:rsidRPr="0035062E" w:rsidRDefault="009370E0" w:rsidP="009370E0">
      <w:pPr>
        <w:pStyle w:val="CETBodytext"/>
        <w:numPr>
          <w:ilvl w:val="0"/>
          <w:numId w:val="27"/>
        </w:numPr>
        <w:rPr>
          <w:lang w:val="en-GB"/>
        </w:rPr>
      </w:pPr>
      <w:r w:rsidRPr="0035062E">
        <w:rPr>
          <w:lang w:val="en-GB"/>
        </w:rPr>
        <w:t>Internal equipment explosion due to the formation of an explosive mixture inside the equipment</w:t>
      </w:r>
      <w:r w:rsidR="00EC35D2">
        <w:rPr>
          <w:lang w:val="en-GB"/>
        </w:rPr>
        <w:t>;</w:t>
      </w:r>
    </w:p>
    <w:p w14:paraId="683476BB" w14:textId="69DF1E17" w:rsidR="009370E0" w:rsidRPr="0035062E" w:rsidRDefault="009370E0" w:rsidP="009370E0">
      <w:pPr>
        <w:pStyle w:val="CETBodytext"/>
        <w:numPr>
          <w:ilvl w:val="0"/>
          <w:numId w:val="27"/>
        </w:numPr>
        <w:rPr>
          <w:lang w:val="en-GB"/>
        </w:rPr>
      </w:pPr>
      <w:r w:rsidRPr="0035062E">
        <w:rPr>
          <w:lang w:val="en-GB"/>
        </w:rPr>
        <w:t>Explosion caused by a hydrogen release from the equipment</w:t>
      </w:r>
      <w:r w:rsidR="00EC35D2">
        <w:rPr>
          <w:lang w:val="en-GB"/>
        </w:rPr>
        <w:t>.</w:t>
      </w:r>
    </w:p>
    <w:p w14:paraId="3FBBC3B1" w14:textId="285EB9AC" w:rsidR="009370E0" w:rsidRPr="0035062E" w:rsidRDefault="009370E0" w:rsidP="009370E0">
      <w:pPr>
        <w:pStyle w:val="CETBodytext"/>
        <w:rPr>
          <w:lang w:val="en-GB"/>
        </w:rPr>
      </w:pPr>
      <w:r w:rsidRPr="0035062E">
        <w:rPr>
          <w:lang w:val="en-GB"/>
        </w:rPr>
        <w:t xml:space="preserve">In order to be as representative as possible, it was decided to adopt the contents of the TNO Purple Book </w:t>
      </w:r>
      <w:r w:rsidR="005D07D5">
        <w:rPr>
          <w:lang w:val="en-GB"/>
        </w:rPr>
        <w:t>(</w:t>
      </w:r>
      <w:r w:rsidR="005D07D5" w:rsidRPr="005D07D5">
        <w:rPr>
          <w:lang w:val="en-GB"/>
        </w:rPr>
        <w:t>TNO “Purple Book”</w:t>
      </w:r>
      <w:r w:rsidRPr="005D07D5">
        <w:rPr>
          <w:lang w:val="en-GB"/>
        </w:rPr>
        <w:t>, 2005</w:t>
      </w:r>
      <w:r w:rsidR="008B6189">
        <w:rPr>
          <w:lang w:val="en-GB"/>
        </w:rPr>
        <w:t>)</w:t>
      </w:r>
      <w:r w:rsidRPr="0035062E">
        <w:rPr>
          <w:lang w:val="en-GB"/>
        </w:rPr>
        <w:t xml:space="preserve"> and to consider the following for the three cases listed above</w:t>
      </w:r>
      <w:r w:rsidR="00857FA7" w:rsidRPr="0035062E">
        <w:rPr>
          <w:lang w:val="en-GB"/>
        </w:rPr>
        <w:t>:</w:t>
      </w:r>
    </w:p>
    <w:p w14:paraId="214F3C63" w14:textId="106DB687" w:rsidR="009370E0" w:rsidRPr="0035062E" w:rsidRDefault="009370E0" w:rsidP="00857FA7">
      <w:pPr>
        <w:pStyle w:val="CETBodytext"/>
        <w:numPr>
          <w:ilvl w:val="0"/>
          <w:numId w:val="28"/>
        </w:numPr>
        <w:rPr>
          <w:lang w:val="en-GB"/>
        </w:rPr>
      </w:pPr>
      <w:r w:rsidRPr="0035062E">
        <w:rPr>
          <w:lang w:val="en-GB"/>
        </w:rPr>
        <w:t>Partial rupture of the</w:t>
      </w:r>
      <w:r w:rsidR="00EC35D2">
        <w:rPr>
          <w:lang w:val="en-GB"/>
        </w:rPr>
        <w:t xml:space="preserve"> bigger pipeline connected to the</w:t>
      </w:r>
      <w:r w:rsidRPr="0035062E">
        <w:rPr>
          <w:lang w:val="en-GB"/>
        </w:rPr>
        <w:t xml:space="preserve"> equipment considered</w:t>
      </w:r>
      <w:r w:rsidR="00A23008">
        <w:rPr>
          <w:lang w:val="en-GB"/>
        </w:rPr>
        <w:t>, in this case the storage tank of the system was considered</w:t>
      </w:r>
      <w:r w:rsidRPr="0035062E">
        <w:rPr>
          <w:lang w:val="en-GB"/>
        </w:rPr>
        <w:t xml:space="preserve"> </w:t>
      </w:r>
      <w:r w:rsidR="00EC35D2">
        <w:rPr>
          <w:lang w:val="en-GB"/>
        </w:rPr>
        <w:t>(</w:t>
      </w:r>
      <w:r w:rsidRPr="0035062E">
        <w:rPr>
          <w:lang w:val="en-GB"/>
        </w:rPr>
        <w:t>leak with an effective diameter of 10% of the nominal diameter)</w:t>
      </w:r>
      <w:r w:rsidR="007851D5">
        <w:rPr>
          <w:lang w:val="en-GB"/>
        </w:rPr>
        <w:t>;</w:t>
      </w:r>
    </w:p>
    <w:p w14:paraId="77CC68B2" w14:textId="16276A01" w:rsidR="009370E0" w:rsidRPr="0035062E" w:rsidRDefault="009370E0" w:rsidP="00857FA7">
      <w:pPr>
        <w:pStyle w:val="CETBodytext"/>
        <w:numPr>
          <w:ilvl w:val="0"/>
          <w:numId w:val="28"/>
        </w:numPr>
        <w:rPr>
          <w:lang w:val="en-GB"/>
        </w:rPr>
      </w:pPr>
      <w:r w:rsidRPr="0035062E">
        <w:rPr>
          <w:lang w:val="en-GB"/>
        </w:rPr>
        <w:t xml:space="preserve">Total rupture of the </w:t>
      </w:r>
      <w:r w:rsidR="00EC35D2">
        <w:rPr>
          <w:lang w:val="en-GB"/>
        </w:rPr>
        <w:t xml:space="preserve">bigger pipeline connected to the </w:t>
      </w:r>
      <w:r w:rsidRPr="0035062E">
        <w:rPr>
          <w:lang w:val="en-GB"/>
        </w:rPr>
        <w:t>equipment considered</w:t>
      </w:r>
      <w:r w:rsidR="00EC35D2">
        <w:rPr>
          <w:lang w:val="en-GB"/>
        </w:rPr>
        <w:t>;</w:t>
      </w:r>
    </w:p>
    <w:p w14:paraId="74498827" w14:textId="12A72DE5" w:rsidR="009370E0" w:rsidRPr="0035062E" w:rsidRDefault="009370E0" w:rsidP="00857FA7">
      <w:pPr>
        <w:pStyle w:val="CETBodytext"/>
        <w:numPr>
          <w:ilvl w:val="0"/>
          <w:numId w:val="28"/>
        </w:numPr>
        <w:rPr>
          <w:lang w:val="en-GB"/>
        </w:rPr>
      </w:pPr>
      <w:r w:rsidRPr="0035062E">
        <w:rPr>
          <w:lang w:val="en-GB"/>
        </w:rPr>
        <w:t>Catastrophic rupture of the equipment considered.</w:t>
      </w:r>
    </w:p>
    <w:p w14:paraId="751EEAD3" w14:textId="1A4B758D" w:rsidR="00577452" w:rsidRPr="0035062E" w:rsidRDefault="00577452" w:rsidP="00577452">
      <w:pPr>
        <w:pStyle w:val="CETheadingx"/>
        <w:jc w:val="both"/>
        <w:rPr>
          <w:lang w:val="en-GB"/>
        </w:rPr>
      </w:pPr>
      <w:r w:rsidRPr="0035062E">
        <w:rPr>
          <w:lang w:val="en-GB"/>
        </w:rPr>
        <w:t>Consequence modelling</w:t>
      </w:r>
      <w:r w:rsidR="00660302" w:rsidRPr="0035062E">
        <w:rPr>
          <w:lang w:val="en-GB"/>
        </w:rPr>
        <w:t>:</w:t>
      </w:r>
      <w:r w:rsidRPr="0035062E">
        <w:rPr>
          <w:lang w:val="en-GB"/>
        </w:rPr>
        <w:t xml:space="preserve"> parameters </w:t>
      </w:r>
    </w:p>
    <w:p w14:paraId="39D6277B" w14:textId="581E2DA1" w:rsidR="002713A7" w:rsidRPr="0035062E" w:rsidRDefault="00257D2A" w:rsidP="00257D2A">
      <w:pPr>
        <w:pStyle w:val="Default"/>
        <w:jc w:val="both"/>
        <w:rPr>
          <w:rFonts w:eastAsia="Times New Roman" w:cs="Times New Roman"/>
          <w:color w:val="auto"/>
          <w:sz w:val="18"/>
          <w:szCs w:val="20"/>
          <w:lang w:val="en-GB"/>
        </w:rPr>
      </w:pPr>
      <w:r w:rsidRPr="0035062E">
        <w:rPr>
          <w:rFonts w:eastAsia="Times New Roman" w:cs="Times New Roman"/>
          <w:color w:val="auto"/>
          <w:sz w:val="18"/>
          <w:szCs w:val="20"/>
          <w:lang w:val="en-GB"/>
        </w:rPr>
        <w:t>The parameters employed for the simulations conducted in this study are designed to encompass a broad spectrum of potential scenarios</w:t>
      </w:r>
      <w:r w:rsidRPr="00D13680">
        <w:rPr>
          <w:rFonts w:eastAsia="Times New Roman" w:cs="Times New Roman"/>
          <w:color w:val="auto"/>
          <w:sz w:val="18"/>
          <w:szCs w:val="20"/>
          <w:lang w:val="en-GB"/>
        </w:rPr>
        <w:t xml:space="preserve">. All scenarios were simulated </w:t>
      </w:r>
      <w:r w:rsidR="006906AB" w:rsidRPr="00D13680">
        <w:rPr>
          <w:rFonts w:eastAsia="Times New Roman" w:cs="Times New Roman"/>
          <w:color w:val="auto"/>
          <w:sz w:val="18"/>
          <w:szCs w:val="20"/>
          <w:lang w:val="en-GB"/>
        </w:rPr>
        <w:t>at</w:t>
      </w:r>
      <w:r w:rsidRPr="00D13680">
        <w:rPr>
          <w:rFonts w:eastAsia="Times New Roman" w:cs="Times New Roman"/>
          <w:color w:val="auto"/>
          <w:sz w:val="18"/>
          <w:szCs w:val="20"/>
          <w:lang w:val="en-GB"/>
        </w:rPr>
        <w:t xml:space="preserve"> a pressure of 30 bar and a temperature of 90°C, representing typical operating conditions for </w:t>
      </w:r>
      <w:r w:rsidR="006906AB" w:rsidRPr="00D13680">
        <w:rPr>
          <w:rFonts w:eastAsia="Times New Roman" w:cs="Times New Roman"/>
          <w:color w:val="auto"/>
          <w:sz w:val="18"/>
          <w:szCs w:val="20"/>
          <w:lang w:val="en-GB"/>
        </w:rPr>
        <w:t>electrolysers</w:t>
      </w:r>
      <w:r w:rsidR="002549EC">
        <w:rPr>
          <w:rFonts w:eastAsia="Times New Roman" w:cs="Times New Roman"/>
          <w:color w:val="auto"/>
          <w:sz w:val="18"/>
          <w:szCs w:val="20"/>
          <w:lang w:val="en-GB"/>
        </w:rPr>
        <w:t xml:space="preserve"> processes</w:t>
      </w:r>
      <w:r w:rsidRPr="0035062E">
        <w:rPr>
          <w:rFonts w:eastAsia="Times New Roman" w:cs="Times New Roman"/>
          <w:color w:val="auto"/>
          <w:sz w:val="18"/>
          <w:szCs w:val="20"/>
          <w:lang w:val="en-GB"/>
        </w:rPr>
        <w:t xml:space="preserve"> </w:t>
      </w:r>
      <w:r w:rsidR="005D07D5">
        <w:rPr>
          <w:rFonts w:eastAsia="Times New Roman" w:cs="Times New Roman"/>
          <w:color w:val="auto"/>
          <w:sz w:val="18"/>
          <w:szCs w:val="20"/>
          <w:lang w:val="en-GB"/>
        </w:rPr>
        <w:t>(</w:t>
      </w:r>
      <w:proofErr w:type="spellStart"/>
      <w:r w:rsidR="005D07D5" w:rsidRPr="005D07D5">
        <w:rPr>
          <w:rFonts w:eastAsia="Times New Roman" w:cs="Times New Roman"/>
          <w:color w:val="auto"/>
          <w:sz w:val="18"/>
          <w:szCs w:val="20"/>
          <w:lang w:val="en-GB"/>
        </w:rPr>
        <w:t>Pozio</w:t>
      </w:r>
      <w:proofErr w:type="spellEnd"/>
      <w:r w:rsidR="005D07D5">
        <w:rPr>
          <w:rFonts w:eastAsia="Times New Roman" w:cs="Times New Roman"/>
          <w:color w:val="auto"/>
          <w:sz w:val="18"/>
          <w:szCs w:val="20"/>
          <w:lang w:val="en-GB"/>
        </w:rPr>
        <w:t xml:space="preserve"> et al</w:t>
      </w:r>
      <w:r w:rsidR="005D07D5" w:rsidRPr="005D07D5">
        <w:rPr>
          <w:rFonts w:eastAsia="Times New Roman" w:cs="Times New Roman"/>
          <w:color w:val="auto"/>
          <w:sz w:val="18"/>
          <w:szCs w:val="20"/>
          <w:lang w:val="en-GB"/>
        </w:rPr>
        <w:t xml:space="preserve">., </w:t>
      </w:r>
      <w:r w:rsidRPr="005D07D5">
        <w:rPr>
          <w:rFonts w:eastAsia="Times New Roman" w:cs="Times New Roman"/>
          <w:color w:val="auto"/>
          <w:sz w:val="18"/>
          <w:szCs w:val="20"/>
          <w:lang w:val="en-GB"/>
        </w:rPr>
        <w:t>2021</w:t>
      </w:r>
      <w:r w:rsidR="008B6189">
        <w:rPr>
          <w:rFonts w:eastAsia="Times New Roman" w:cs="Times New Roman"/>
          <w:color w:val="auto"/>
          <w:sz w:val="18"/>
          <w:szCs w:val="20"/>
          <w:lang w:val="en-GB"/>
        </w:rPr>
        <w:t>)</w:t>
      </w:r>
      <w:r w:rsidR="00A23008">
        <w:rPr>
          <w:rFonts w:eastAsia="Times New Roman" w:cs="Times New Roman"/>
          <w:color w:val="auto"/>
          <w:sz w:val="18"/>
          <w:szCs w:val="20"/>
          <w:lang w:val="en-GB"/>
        </w:rPr>
        <w:t>, the mass inventory utilized in the simulations was 50m</w:t>
      </w:r>
      <w:r w:rsidR="00A23008">
        <w:rPr>
          <w:rFonts w:eastAsia="Times New Roman" w:cs="Times New Roman"/>
          <w:color w:val="auto"/>
          <w:sz w:val="18"/>
          <w:szCs w:val="20"/>
          <w:vertAlign w:val="superscript"/>
          <w:lang w:val="en-GB"/>
        </w:rPr>
        <w:t>3</w:t>
      </w:r>
      <w:r w:rsidR="00A23008">
        <w:rPr>
          <w:rFonts w:eastAsia="Times New Roman" w:cs="Times New Roman"/>
          <w:color w:val="auto"/>
          <w:sz w:val="18"/>
          <w:szCs w:val="20"/>
          <w:lang w:val="en-GB"/>
        </w:rPr>
        <w:t xml:space="preserve"> of hydrogen</w:t>
      </w:r>
      <w:r w:rsidRPr="0035062E">
        <w:rPr>
          <w:rFonts w:eastAsia="Times New Roman" w:cs="Times New Roman"/>
          <w:color w:val="auto"/>
          <w:sz w:val="18"/>
          <w:szCs w:val="20"/>
          <w:lang w:val="en-GB"/>
        </w:rPr>
        <w:t xml:space="preserve">. </w:t>
      </w:r>
      <w:r w:rsidR="00C563DF" w:rsidRPr="0035062E">
        <w:rPr>
          <w:rFonts w:eastAsia="Times New Roman" w:cs="Times New Roman"/>
          <w:color w:val="auto"/>
          <w:sz w:val="18"/>
          <w:szCs w:val="20"/>
          <w:lang w:val="en-GB"/>
        </w:rPr>
        <w:t xml:space="preserve">Furthermore, simulations were performed at different </w:t>
      </w:r>
      <w:r w:rsidR="006906AB">
        <w:rPr>
          <w:rFonts w:eastAsia="Times New Roman" w:cs="Times New Roman"/>
          <w:color w:val="auto"/>
          <w:sz w:val="18"/>
          <w:szCs w:val="20"/>
          <w:lang w:val="en-GB"/>
        </w:rPr>
        <w:t>operating</w:t>
      </w:r>
      <w:r w:rsidR="00C563DF" w:rsidRPr="0035062E">
        <w:rPr>
          <w:rFonts w:eastAsia="Times New Roman" w:cs="Times New Roman"/>
          <w:color w:val="auto"/>
          <w:sz w:val="18"/>
          <w:szCs w:val="20"/>
          <w:lang w:val="en-GB"/>
        </w:rPr>
        <w:t xml:space="preserve"> </w:t>
      </w:r>
      <w:r w:rsidR="00C563DF" w:rsidRPr="0035062E">
        <w:rPr>
          <w:rFonts w:eastAsia="Times New Roman" w:cs="Times New Roman"/>
          <w:color w:val="auto"/>
          <w:sz w:val="18"/>
          <w:szCs w:val="20"/>
          <w:lang w:val="en-GB"/>
        </w:rPr>
        <w:lastRenderedPageBreak/>
        <w:t xml:space="preserve">pressures and temperatures. However, the selected conditions </w:t>
      </w:r>
      <w:r w:rsidR="00396ECE" w:rsidRPr="0035062E">
        <w:rPr>
          <w:rFonts w:eastAsia="Times New Roman" w:cs="Times New Roman"/>
          <w:color w:val="auto"/>
          <w:sz w:val="18"/>
          <w:szCs w:val="20"/>
          <w:lang w:val="en-GB"/>
        </w:rPr>
        <w:t>represent</w:t>
      </w:r>
      <w:r w:rsidR="00C563DF" w:rsidRPr="0035062E">
        <w:rPr>
          <w:rFonts w:eastAsia="Times New Roman" w:cs="Times New Roman"/>
          <w:color w:val="auto"/>
          <w:sz w:val="18"/>
          <w:szCs w:val="20"/>
          <w:lang w:val="en-GB"/>
        </w:rPr>
        <w:t xml:space="preserve"> the most adverse scenario, thus warranting their application in the case study. </w:t>
      </w:r>
      <w:r w:rsidR="002713A7" w:rsidRPr="0035062E">
        <w:rPr>
          <w:rFonts w:eastAsia="Times New Roman" w:cs="Times New Roman"/>
          <w:color w:val="auto"/>
          <w:sz w:val="18"/>
          <w:szCs w:val="20"/>
          <w:lang w:val="en-GB"/>
        </w:rPr>
        <w:t>As reported in the next table, t</w:t>
      </w:r>
      <w:r w:rsidRPr="0035062E">
        <w:rPr>
          <w:rFonts w:eastAsia="Times New Roman" w:cs="Times New Roman"/>
          <w:color w:val="auto"/>
          <w:sz w:val="18"/>
          <w:szCs w:val="20"/>
          <w:lang w:val="en-GB"/>
        </w:rPr>
        <w:t>he weather conditions considered are atmospheric class 2F</w:t>
      </w:r>
      <w:r w:rsidR="002713A7" w:rsidRPr="0035062E">
        <w:rPr>
          <w:rFonts w:eastAsia="Times New Roman" w:cs="Times New Roman"/>
          <w:color w:val="auto"/>
          <w:sz w:val="18"/>
          <w:szCs w:val="20"/>
          <w:lang w:val="en-GB"/>
        </w:rPr>
        <w:t xml:space="preserve"> and 5D.</w:t>
      </w:r>
    </w:p>
    <w:p w14:paraId="5911A5D5" w14:textId="21B3E33C" w:rsidR="002713A7" w:rsidRPr="0035062E" w:rsidRDefault="002713A7" w:rsidP="002713A7">
      <w:pPr>
        <w:pStyle w:val="CETTabletitle"/>
      </w:pPr>
      <w:bookmarkStart w:id="3" w:name="_Ref158302125"/>
      <w:r w:rsidRPr="0035062E">
        <w:t xml:space="preserve">Table </w:t>
      </w:r>
      <w:r w:rsidRPr="0035062E">
        <w:fldChar w:fldCharType="begin"/>
      </w:r>
      <w:r w:rsidRPr="0035062E">
        <w:instrText xml:space="preserve"> SEQ Table \* ARABIC </w:instrText>
      </w:r>
      <w:r w:rsidRPr="0035062E">
        <w:fldChar w:fldCharType="separate"/>
      </w:r>
      <w:r w:rsidR="00B97CA0">
        <w:rPr>
          <w:noProof/>
        </w:rPr>
        <w:t>2</w:t>
      </w:r>
      <w:r w:rsidRPr="0035062E">
        <w:fldChar w:fldCharType="end"/>
      </w:r>
      <w:bookmarkEnd w:id="3"/>
      <w:r w:rsidRPr="0035062E">
        <w:t>: Weather conditions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36"/>
        <w:gridCol w:w="2385"/>
        <w:gridCol w:w="2385"/>
        <w:gridCol w:w="2381"/>
      </w:tblGrid>
      <w:tr w:rsidR="002713A7" w:rsidRPr="0035062E" w14:paraId="09F0D367" w14:textId="77777777" w:rsidTr="0035062E">
        <w:tc>
          <w:tcPr>
            <w:tcW w:w="931" w:type="pct"/>
            <w:tcBorders>
              <w:top w:val="single" w:sz="12" w:space="0" w:color="008000"/>
              <w:bottom w:val="single" w:sz="6" w:space="0" w:color="008000"/>
            </w:tcBorders>
            <w:shd w:val="clear" w:color="auto" w:fill="FFFFFF"/>
          </w:tcPr>
          <w:p w14:paraId="1513B52C" w14:textId="77777777" w:rsidR="002713A7" w:rsidRPr="0035062E" w:rsidRDefault="002713A7" w:rsidP="00C301BF">
            <w:pPr>
              <w:pStyle w:val="CETBodytext"/>
              <w:jc w:val="left"/>
              <w:rPr>
                <w:lang w:val="en-GB"/>
              </w:rPr>
            </w:pPr>
          </w:p>
        </w:tc>
        <w:tc>
          <w:tcPr>
            <w:tcW w:w="1357" w:type="pct"/>
            <w:tcBorders>
              <w:top w:val="single" w:sz="12" w:space="0" w:color="008000"/>
              <w:bottom w:val="single" w:sz="6" w:space="0" w:color="008000"/>
            </w:tcBorders>
            <w:shd w:val="clear" w:color="auto" w:fill="FFFFFF"/>
            <w:vAlign w:val="center"/>
          </w:tcPr>
          <w:p w14:paraId="301A15D4" w14:textId="6D3A4615" w:rsidR="002713A7" w:rsidRPr="0035062E" w:rsidRDefault="002713A7" w:rsidP="0035062E">
            <w:pPr>
              <w:pStyle w:val="CETBodytext"/>
              <w:jc w:val="left"/>
              <w:rPr>
                <w:lang w:val="en-GB"/>
              </w:rPr>
            </w:pPr>
            <w:r w:rsidRPr="0035062E">
              <w:rPr>
                <w:lang w:val="en-GB"/>
              </w:rPr>
              <w:t>Wind velocity (m/s)</w:t>
            </w:r>
          </w:p>
        </w:tc>
        <w:tc>
          <w:tcPr>
            <w:tcW w:w="1357" w:type="pct"/>
            <w:tcBorders>
              <w:top w:val="single" w:sz="12" w:space="0" w:color="008000"/>
              <w:bottom w:val="single" w:sz="6" w:space="0" w:color="008000"/>
            </w:tcBorders>
            <w:shd w:val="clear" w:color="auto" w:fill="FFFFFF"/>
            <w:vAlign w:val="center"/>
          </w:tcPr>
          <w:p w14:paraId="73C42C5F" w14:textId="2D819E12" w:rsidR="002713A7" w:rsidRPr="0035062E" w:rsidRDefault="002713A7" w:rsidP="0035062E">
            <w:pPr>
              <w:pStyle w:val="CETBodytext"/>
              <w:jc w:val="left"/>
              <w:rPr>
                <w:lang w:val="en-GB"/>
              </w:rPr>
            </w:pPr>
            <w:proofErr w:type="spellStart"/>
            <w:r w:rsidRPr="0035062E">
              <w:rPr>
                <w:lang w:val="en-GB"/>
              </w:rPr>
              <w:t>Pasquill</w:t>
            </w:r>
            <w:proofErr w:type="spellEnd"/>
            <w:r w:rsidRPr="0035062E">
              <w:rPr>
                <w:lang w:val="en-GB"/>
              </w:rPr>
              <w:t xml:space="preserve"> stability classes</w:t>
            </w:r>
          </w:p>
        </w:tc>
        <w:tc>
          <w:tcPr>
            <w:tcW w:w="1355" w:type="pct"/>
            <w:tcBorders>
              <w:top w:val="single" w:sz="12" w:space="0" w:color="008000"/>
              <w:bottom w:val="single" w:sz="6" w:space="0" w:color="008000"/>
            </w:tcBorders>
            <w:shd w:val="clear" w:color="auto" w:fill="FFFFFF"/>
            <w:vAlign w:val="center"/>
          </w:tcPr>
          <w:p w14:paraId="47E727DB" w14:textId="6EFE9077" w:rsidR="002713A7" w:rsidRPr="0035062E" w:rsidRDefault="002713A7" w:rsidP="0035062E">
            <w:pPr>
              <w:pStyle w:val="CETBodytext"/>
              <w:ind w:right="-1"/>
              <w:jc w:val="left"/>
              <w:rPr>
                <w:rFonts w:cs="Arial"/>
                <w:szCs w:val="18"/>
                <w:lang w:val="en-GB"/>
              </w:rPr>
            </w:pPr>
            <w:r w:rsidRPr="0035062E">
              <w:rPr>
                <w:lang w:val="en-GB"/>
              </w:rPr>
              <w:t>Description</w:t>
            </w:r>
          </w:p>
        </w:tc>
      </w:tr>
      <w:tr w:rsidR="002713A7" w:rsidRPr="0035062E" w14:paraId="2C654F12" w14:textId="77777777" w:rsidTr="0035062E">
        <w:tc>
          <w:tcPr>
            <w:tcW w:w="931" w:type="pct"/>
            <w:shd w:val="clear" w:color="auto" w:fill="FFFFFF"/>
          </w:tcPr>
          <w:p w14:paraId="76EADDE6" w14:textId="7268684D" w:rsidR="002713A7" w:rsidRPr="0035062E" w:rsidRDefault="002713A7" w:rsidP="00C301BF">
            <w:pPr>
              <w:pStyle w:val="CETBodytext"/>
              <w:jc w:val="left"/>
              <w:rPr>
                <w:lang w:val="en-GB"/>
              </w:rPr>
            </w:pPr>
            <w:r w:rsidRPr="0035062E">
              <w:rPr>
                <w:lang w:val="en-GB"/>
              </w:rPr>
              <w:t>2F</w:t>
            </w:r>
          </w:p>
        </w:tc>
        <w:tc>
          <w:tcPr>
            <w:tcW w:w="1357" w:type="pct"/>
            <w:shd w:val="clear" w:color="auto" w:fill="FFFFFF"/>
            <w:vAlign w:val="center"/>
          </w:tcPr>
          <w:p w14:paraId="2B4FA556" w14:textId="7CA86E9A" w:rsidR="002713A7" w:rsidRPr="0035062E" w:rsidRDefault="002713A7" w:rsidP="0035062E">
            <w:pPr>
              <w:pStyle w:val="CETBodytext"/>
              <w:jc w:val="left"/>
              <w:rPr>
                <w:lang w:val="en-GB"/>
              </w:rPr>
            </w:pPr>
            <w:r w:rsidRPr="0035062E">
              <w:rPr>
                <w:lang w:val="en-GB"/>
              </w:rPr>
              <w:t>2</w:t>
            </w:r>
          </w:p>
        </w:tc>
        <w:tc>
          <w:tcPr>
            <w:tcW w:w="1357" w:type="pct"/>
            <w:shd w:val="clear" w:color="auto" w:fill="FFFFFF"/>
            <w:vAlign w:val="center"/>
          </w:tcPr>
          <w:p w14:paraId="2986938F" w14:textId="7CF882D1" w:rsidR="002713A7" w:rsidRPr="0035062E" w:rsidRDefault="002713A7" w:rsidP="0035062E">
            <w:pPr>
              <w:pStyle w:val="CETBodytext"/>
              <w:jc w:val="left"/>
              <w:rPr>
                <w:lang w:val="en-GB"/>
              </w:rPr>
            </w:pPr>
            <w:r w:rsidRPr="0035062E">
              <w:rPr>
                <w:lang w:val="en-GB"/>
              </w:rPr>
              <w:t>F</w:t>
            </w:r>
          </w:p>
        </w:tc>
        <w:tc>
          <w:tcPr>
            <w:tcW w:w="1355" w:type="pct"/>
            <w:shd w:val="clear" w:color="auto" w:fill="FFFFFF"/>
            <w:vAlign w:val="center"/>
          </w:tcPr>
          <w:p w14:paraId="2AD79B15" w14:textId="550DDC4A" w:rsidR="002713A7" w:rsidRPr="0035062E" w:rsidRDefault="0035062E" w:rsidP="0035062E">
            <w:pPr>
              <w:pStyle w:val="CETBodytext"/>
              <w:ind w:right="-1"/>
              <w:jc w:val="left"/>
              <w:rPr>
                <w:rFonts w:cs="Arial"/>
                <w:szCs w:val="18"/>
                <w:lang w:val="en-GB"/>
              </w:rPr>
            </w:pPr>
            <w:r w:rsidRPr="0035062E">
              <w:rPr>
                <w:lang w:val="en-GB"/>
              </w:rPr>
              <w:t>M</w:t>
            </w:r>
            <w:r w:rsidR="002713A7" w:rsidRPr="0035062E">
              <w:rPr>
                <w:lang w:val="en-GB"/>
              </w:rPr>
              <w:t>oderately stable conditions</w:t>
            </w:r>
          </w:p>
        </w:tc>
      </w:tr>
      <w:tr w:rsidR="002713A7" w:rsidRPr="0035062E" w14:paraId="6D87D159" w14:textId="77777777" w:rsidTr="0035062E">
        <w:tc>
          <w:tcPr>
            <w:tcW w:w="931" w:type="pct"/>
            <w:shd w:val="clear" w:color="auto" w:fill="FFFFFF"/>
          </w:tcPr>
          <w:p w14:paraId="4597223B" w14:textId="03EF2AB3" w:rsidR="002713A7" w:rsidRPr="0035062E" w:rsidRDefault="002713A7" w:rsidP="00C301BF">
            <w:pPr>
              <w:pStyle w:val="CETBodytext"/>
              <w:jc w:val="left"/>
              <w:rPr>
                <w:lang w:val="en-GB"/>
              </w:rPr>
            </w:pPr>
            <w:r w:rsidRPr="0035062E">
              <w:rPr>
                <w:lang w:val="en-GB"/>
              </w:rPr>
              <w:t>5D</w:t>
            </w:r>
          </w:p>
        </w:tc>
        <w:tc>
          <w:tcPr>
            <w:tcW w:w="1357" w:type="pct"/>
            <w:shd w:val="clear" w:color="auto" w:fill="FFFFFF"/>
            <w:vAlign w:val="center"/>
          </w:tcPr>
          <w:p w14:paraId="52091038" w14:textId="6F9F7D46" w:rsidR="002713A7" w:rsidRPr="0035062E" w:rsidRDefault="002713A7" w:rsidP="0035062E">
            <w:pPr>
              <w:pStyle w:val="CETBodytext"/>
              <w:jc w:val="left"/>
              <w:rPr>
                <w:lang w:val="en-GB"/>
              </w:rPr>
            </w:pPr>
            <w:r w:rsidRPr="0035062E">
              <w:rPr>
                <w:lang w:val="en-GB"/>
              </w:rPr>
              <w:t>5</w:t>
            </w:r>
          </w:p>
        </w:tc>
        <w:tc>
          <w:tcPr>
            <w:tcW w:w="1357" w:type="pct"/>
            <w:shd w:val="clear" w:color="auto" w:fill="FFFFFF"/>
            <w:vAlign w:val="center"/>
          </w:tcPr>
          <w:p w14:paraId="40C00591" w14:textId="16F8C93F" w:rsidR="002713A7" w:rsidRPr="0035062E" w:rsidRDefault="002713A7" w:rsidP="0035062E">
            <w:pPr>
              <w:pStyle w:val="CETBodytext"/>
              <w:jc w:val="left"/>
              <w:rPr>
                <w:lang w:val="en-GB"/>
              </w:rPr>
            </w:pPr>
            <w:r w:rsidRPr="0035062E">
              <w:rPr>
                <w:lang w:val="en-GB"/>
              </w:rPr>
              <w:t>D</w:t>
            </w:r>
          </w:p>
        </w:tc>
        <w:tc>
          <w:tcPr>
            <w:tcW w:w="1355" w:type="pct"/>
            <w:shd w:val="clear" w:color="auto" w:fill="FFFFFF"/>
            <w:vAlign w:val="center"/>
          </w:tcPr>
          <w:p w14:paraId="21A2619F" w14:textId="555A2518" w:rsidR="002713A7" w:rsidRPr="0035062E" w:rsidRDefault="0035062E" w:rsidP="0035062E">
            <w:pPr>
              <w:pStyle w:val="CETBodytext"/>
              <w:ind w:right="-1"/>
              <w:jc w:val="left"/>
              <w:rPr>
                <w:rFonts w:cs="Arial"/>
                <w:szCs w:val="18"/>
                <w:lang w:val="en-GB"/>
              </w:rPr>
            </w:pPr>
            <w:r w:rsidRPr="0035062E">
              <w:rPr>
                <w:lang w:val="en-GB"/>
              </w:rPr>
              <w:t>Ne</w:t>
            </w:r>
            <w:r w:rsidR="002713A7" w:rsidRPr="0035062E">
              <w:rPr>
                <w:lang w:val="en-GB"/>
              </w:rPr>
              <w:t>utral conditions</w:t>
            </w:r>
          </w:p>
        </w:tc>
      </w:tr>
    </w:tbl>
    <w:p w14:paraId="308686C3" w14:textId="77777777" w:rsidR="006906AB" w:rsidRDefault="006906AB" w:rsidP="00257D2A">
      <w:pPr>
        <w:pStyle w:val="Default"/>
        <w:jc w:val="both"/>
        <w:rPr>
          <w:rFonts w:eastAsia="Times New Roman" w:cs="Times New Roman"/>
          <w:color w:val="auto"/>
          <w:sz w:val="18"/>
          <w:szCs w:val="20"/>
          <w:lang w:val="en-GB"/>
        </w:rPr>
      </w:pPr>
    </w:p>
    <w:p w14:paraId="5667C0CD" w14:textId="631819DA" w:rsidR="00D36DB1" w:rsidRPr="0035062E" w:rsidRDefault="00257D2A" w:rsidP="00257D2A">
      <w:pPr>
        <w:pStyle w:val="Default"/>
        <w:jc w:val="both"/>
        <w:rPr>
          <w:rFonts w:eastAsia="Times New Roman" w:cs="Times New Roman"/>
          <w:color w:val="auto"/>
          <w:sz w:val="18"/>
          <w:szCs w:val="20"/>
          <w:lang w:val="en-GB"/>
        </w:rPr>
      </w:pPr>
      <w:r w:rsidRPr="0035062E">
        <w:rPr>
          <w:rFonts w:eastAsia="Times New Roman" w:cs="Times New Roman"/>
          <w:color w:val="auto"/>
          <w:sz w:val="18"/>
          <w:szCs w:val="20"/>
          <w:lang w:val="en-GB"/>
        </w:rPr>
        <w:t xml:space="preserve">The consequences of each scenario were </w:t>
      </w:r>
      <w:r w:rsidR="002713A7" w:rsidRPr="0035062E">
        <w:rPr>
          <w:rFonts w:eastAsia="Times New Roman" w:cs="Times New Roman"/>
          <w:color w:val="auto"/>
          <w:sz w:val="18"/>
          <w:szCs w:val="20"/>
          <w:lang w:val="en-GB"/>
        </w:rPr>
        <w:t>modelled</w:t>
      </w:r>
      <w:r w:rsidRPr="0035062E">
        <w:rPr>
          <w:rFonts w:eastAsia="Times New Roman" w:cs="Times New Roman"/>
          <w:color w:val="auto"/>
          <w:sz w:val="18"/>
          <w:szCs w:val="20"/>
          <w:lang w:val="en-GB"/>
        </w:rPr>
        <w:t xml:space="preserve"> with a reference height of 1.5 m, commensurate with human scale.</w:t>
      </w:r>
      <w:r w:rsidR="006906AB">
        <w:rPr>
          <w:rFonts w:eastAsia="Times New Roman" w:cs="Times New Roman"/>
          <w:color w:val="auto"/>
          <w:sz w:val="18"/>
          <w:szCs w:val="20"/>
          <w:lang w:val="en-GB"/>
        </w:rPr>
        <w:t xml:space="preserve"> </w:t>
      </w:r>
      <w:r w:rsidR="00396ECE" w:rsidRPr="0035062E">
        <w:rPr>
          <w:rFonts w:eastAsia="Times New Roman" w:cs="Times New Roman"/>
          <w:color w:val="auto"/>
          <w:sz w:val="18"/>
          <w:szCs w:val="20"/>
          <w:lang w:val="en-GB"/>
        </w:rPr>
        <w:t>The horizontal outflow direction was selected to represent the case with the most significant effects, as it reflects the prevailing flow conditions.</w:t>
      </w:r>
      <w:r w:rsidR="00D667C0" w:rsidRPr="0035062E">
        <w:rPr>
          <w:rFonts w:eastAsia="Times New Roman" w:cs="Times New Roman"/>
          <w:color w:val="auto"/>
          <w:sz w:val="18"/>
          <w:szCs w:val="20"/>
          <w:lang w:val="en-GB"/>
        </w:rPr>
        <w:t xml:space="preserve"> The software employed for consequence modelling is DNV PHAST 7.2 (Process Hazard Analysis Software Tool).</w:t>
      </w:r>
    </w:p>
    <w:p w14:paraId="4AD1B4AD" w14:textId="69759323" w:rsidR="00660302" w:rsidRPr="0035062E" w:rsidRDefault="00660302" w:rsidP="009F221F">
      <w:pPr>
        <w:pStyle w:val="CETheadingx"/>
        <w:jc w:val="both"/>
        <w:rPr>
          <w:lang w:val="en-GB"/>
        </w:rPr>
      </w:pPr>
      <w:bookmarkStart w:id="4" w:name="_Ref158823714"/>
      <w:r w:rsidRPr="0035062E">
        <w:rPr>
          <w:lang w:val="en-GB"/>
        </w:rPr>
        <w:t>Consequence modelling: Partial bore and Full bore rupture</w:t>
      </w:r>
      <w:bookmarkEnd w:id="4"/>
    </w:p>
    <w:p w14:paraId="218A0045" w14:textId="6A1FD210" w:rsidR="008A3E03" w:rsidRPr="0035062E" w:rsidRDefault="00A54A13" w:rsidP="00A54A13">
      <w:pPr>
        <w:pStyle w:val="CETBodytext"/>
        <w:rPr>
          <w:lang w:val="en-GB"/>
        </w:rPr>
      </w:pPr>
      <w:r w:rsidRPr="0035062E">
        <w:rPr>
          <w:lang w:val="en-GB"/>
        </w:rPr>
        <w:t>The comparative analysis of diffusivity, assessed under conditions equivalent to half of the Lower Flammable Limit (</w:t>
      </w:r>
      <w:r w:rsidRPr="00916F4A">
        <w:rPr>
          <w:lang w:val="en-GB"/>
        </w:rPr>
        <w:t>LFL), between hydrogen and methane reveals a clear predominance of hydrogen diffusion</w:t>
      </w:r>
      <w:r w:rsidR="00F27923" w:rsidRPr="00916F4A">
        <w:rPr>
          <w:lang w:val="en-GB"/>
        </w:rPr>
        <w:t xml:space="preserve">, as shown in </w:t>
      </w:r>
      <w:r w:rsidR="00F27923" w:rsidRPr="00916F4A">
        <w:rPr>
          <w:lang w:val="en-GB"/>
        </w:rPr>
        <w:fldChar w:fldCharType="begin"/>
      </w:r>
      <w:r w:rsidR="00F27923" w:rsidRPr="00916F4A">
        <w:rPr>
          <w:lang w:val="en-GB"/>
        </w:rPr>
        <w:instrText xml:space="preserve"> REF _Ref158726162 \h </w:instrText>
      </w:r>
      <w:r w:rsidR="00916F4A" w:rsidRPr="00916F4A">
        <w:rPr>
          <w:lang w:val="en-GB"/>
        </w:rPr>
        <w:instrText xml:space="preserve"> \* MERGEFORMAT </w:instrText>
      </w:r>
      <w:r w:rsidR="00F27923" w:rsidRPr="00916F4A">
        <w:rPr>
          <w:lang w:val="en-GB"/>
        </w:rPr>
      </w:r>
      <w:r w:rsidR="00F27923" w:rsidRPr="00916F4A">
        <w:rPr>
          <w:lang w:val="en-GB"/>
        </w:rPr>
        <w:fldChar w:fldCharType="separate"/>
      </w:r>
      <w:r w:rsidR="00B97CA0" w:rsidRPr="00916F4A">
        <w:rPr>
          <w:rStyle w:val="CETCaptionCarattere"/>
        </w:rPr>
        <w:t xml:space="preserve">Figure </w:t>
      </w:r>
      <w:r w:rsidR="00B97CA0" w:rsidRPr="00916F4A">
        <w:rPr>
          <w:rStyle w:val="CETCaptionCarattere"/>
          <w:noProof/>
        </w:rPr>
        <w:t>2</w:t>
      </w:r>
      <w:r w:rsidR="00F27923" w:rsidRPr="00916F4A">
        <w:rPr>
          <w:lang w:val="en-GB"/>
        </w:rPr>
        <w:fldChar w:fldCharType="end"/>
      </w:r>
      <w:r w:rsidRPr="00916F4A">
        <w:rPr>
          <w:lang w:val="en-GB"/>
        </w:rPr>
        <w:t>, highlighting</w:t>
      </w:r>
      <w:r w:rsidRPr="0035062E">
        <w:rPr>
          <w:lang w:val="en-GB"/>
        </w:rPr>
        <w:t xml:space="preserve"> a potentially increased risk of dispersion and consequent implications for industrial safety. Given hydrogen's propensity for rapid propagation, the probability of hazardous concentrations, potentially leading to explosive scenarios, escalates notably within confined environments. Furthermore, the higher diffusivity of hydrogen within the flammability range increases the probability of encountering an ignition source.</w:t>
      </w:r>
    </w:p>
    <w:p w14:paraId="2ED76B34" w14:textId="7AECD646" w:rsidR="00D36DB1" w:rsidRDefault="00397605" w:rsidP="00D36DB1">
      <w:pPr>
        <w:pStyle w:val="CETBodytext"/>
        <w:rPr>
          <w:lang w:val="en-GB"/>
        </w:rPr>
      </w:pPr>
      <w:r w:rsidRPr="0035062E">
        <w:rPr>
          <w:lang w:val="en-GB"/>
        </w:rPr>
        <w:t>Comparing the data derived from diverse modelling approaches, it is evident that the hydrogen exhibits a greater diffusive trend, even in the full bore modelling scenario. Conversely, analysing the Jet fire scenario reveals a fundamentally comparable irradiation generated by both gases; indeed, it is noteworthy that in the case of a full bore rupture-generated jet fire, methane exhibits greater irradiation. This behaviour stems from the fact that the heat transfer and emissivity of a hydrogen flame are lower compared to a methane flame, due to the reduced concentration of radiative species such as soot, CO</w:t>
      </w:r>
      <w:r w:rsidRPr="007C1EB7">
        <w:rPr>
          <w:vertAlign w:val="subscript"/>
          <w:lang w:val="en-GB"/>
        </w:rPr>
        <w:t>2</w:t>
      </w:r>
      <w:r w:rsidRPr="0035062E">
        <w:rPr>
          <w:lang w:val="en-GB"/>
        </w:rPr>
        <w:t>, and hydrocarbon radicals.</w:t>
      </w:r>
      <w:r w:rsidR="00D36DB1" w:rsidRPr="0035062E">
        <w:rPr>
          <w:lang w:val="en-GB"/>
        </w:rPr>
        <w:t xml:space="preserve"> In </w:t>
      </w:r>
      <w:r w:rsidR="007C1EB7">
        <w:rPr>
          <w:lang w:val="en-GB"/>
        </w:rPr>
        <w:fldChar w:fldCharType="begin"/>
      </w:r>
      <w:r w:rsidR="007C1EB7">
        <w:rPr>
          <w:lang w:val="en-GB"/>
        </w:rPr>
        <w:instrText xml:space="preserve"> REF _Ref158824239 \h </w:instrText>
      </w:r>
      <w:r w:rsidR="007C1EB7">
        <w:rPr>
          <w:lang w:val="en-GB"/>
        </w:rPr>
      </w:r>
      <w:r w:rsidR="007C1EB7">
        <w:rPr>
          <w:lang w:val="en-GB"/>
        </w:rPr>
        <w:fldChar w:fldCharType="separate"/>
      </w:r>
      <w:r w:rsidR="00B97CA0" w:rsidRPr="0035062E">
        <w:t xml:space="preserve">Table </w:t>
      </w:r>
      <w:r w:rsidR="00B97CA0">
        <w:rPr>
          <w:noProof/>
        </w:rPr>
        <w:t>3</w:t>
      </w:r>
      <w:r w:rsidR="007C1EB7">
        <w:rPr>
          <w:lang w:val="en-GB"/>
        </w:rPr>
        <w:fldChar w:fldCharType="end"/>
      </w:r>
      <w:r w:rsidR="007C1EB7">
        <w:rPr>
          <w:lang w:val="en-GB"/>
        </w:rPr>
        <w:t xml:space="preserve"> is</w:t>
      </w:r>
      <w:r w:rsidR="00D36DB1" w:rsidRPr="0035062E">
        <w:rPr>
          <w:lang w:val="en-GB"/>
        </w:rPr>
        <w:t xml:space="preserve"> reported the </w:t>
      </w:r>
      <w:r w:rsidR="007C1EB7">
        <w:rPr>
          <w:lang w:val="en-GB"/>
        </w:rPr>
        <w:t>results</w:t>
      </w:r>
      <w:r w:rsidR="00D36DB1" w:rsidRPr="0035062E">
        <w:rPr>
          <w:lang w:val="en-GB"/>
        </w:rPr>
        <w:t xml:space="preserve"> obtain</w:t>
      </w:r>
      <w:r w:rsidR="007C1EB7">
        <w:rPr>
          <w:lang w:val="en-GB"/>
        </w:rPr>
        <w:t>ed</w:t>
      </w:r>
      <w:r w:rsidR="00D36DB1" w:rsidRPr="0035062E">
        <w:rPr>
          <w:lang w:val="en-GB"/>
        </w:rPr>
        <w:t xml:space="preserve"> from the consequence modelling.</w:t>
      </w:r>
    </w:p>
    <w:p w14:paraId="4898AE88" w14:textId="77777777" w:rsidR="007C1EB7" w:rsidRDefault="007C1EB7" w:rsidP="00D36DB1">
      <w:pPr>
        <w:pStyle w:val="CETBodytext"/>
        <w:rPr>
          <w:lang w:val="en-GB"/>
        </w:rPr>
      </w:pPr>
    </w:p>
    <w:p w14:paraId="78B3DB95" w14:textId="77777777" w:rsidR="007C1EB7" w:rsidRPr="0035062E" w:rsidRDefault="007C1EB7" w:rsidP="007C1EB7">
      <w:pPr>
        <w:pStyle w:val="CETBodytext"/>
        <w:keepNext/>
        <w:rPr>
          <w:lang w:val="en-GB"/>
        </w:rPr>
      </w:pPr>
      <w:r w:rsidRPr="0035062E">
        <w:rPr>
          <w:noProof/>
          <w:lang w:val="en-GB"/>
        </w:rPr>
        <w:drawing>
          <wp:inline distT="0" distB="0" distL="0" distR="0" wp14:anchorId="5D74DEB9" wp14:editId="3BC9E684">
            <wp:extent cx="5011964" cy="1872000"/>
            <wp:effectExtent l="0" t="0" r="0" b="0"/>
            <wp:docPr id="25586043" name="Immagine 1" descr="Immagine che contiene linea, Diagramma, diagramma, pend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6043" name="Immagine 1" descr="Immagine che contiene linea, Diagramma, diagramma, pendio&#10;&#10;Descrizione generata automaticamente"/>
                    <pic:cNvPicPr/>
                  </pic:nvPicPr>
                  <pic:blipFill>
                    <a:blip r:embed="rId14"/>
                    <a:stretch>
                      <a:fillRect/>
                    </a:stretch>
                  </pic:blipFill>
                  <pic:spPr>
                    <a:xfrm>
                      <a:off x="0" y="0"/>
                      <a:ext cx="5011964" cy="1872000"/>
                    </a:xfrm>
                    <a:prstGeom prst="rect">
                      <a:avLst/>
                    </a:prstGeom>
                  </pic:spPr>
                </pic:pic>
              </a:graphicData>
            </a:graphic>
          </wp:inline>
        </w:drawing>
      </w:r>
    </w:p>
    <w:p w14:paraId="1A80D3D8" w14:textId="0485803E" w:rsidR="007C1EB7" w:rsidRPr="007C1EB7" w:rsidRDefault="007C1EB7" w:rsidP="007C1EB7">
      <w:pPr>
        <w:pStyle w:val="Didascalia"/>
        <w:spacing w:before="240"/>
        <w:rPr>
          <w:b w:val="0"/>
          <w:bCs w:val="0"/>
          <w:i/>
          <w:color w:val="auto"/>
          <w:szCs w:val="20"/>
        </w:rPr>
      </w:pPr>
      <w:bookmarkStart w:id="5" w:name="_Ref158726162"/>
      <w:r w:rsidRPr="00353CE6">
        <w:rPr>
          <w:rStyle w:val="CETCaptionCarattere"/>
          <w:b w:val="0"/>
          <w:bCs w:val="0"/>
          <w:color w:val="auto"/>
        </w:rPr>
        <w:t xml:space="preserve">Figure </w:t>
      </w:r>
      <w:r w:rsidRPr="00353CE6">
        <w:rPr>
          <w:rStyle w:val="CETCaptionCarattere"/>
          <w:b w:val="0"/>
          <w:bCs w:val="0"/>
          <w:color w:val="auto"/>
        </w:rPr>
        <w:fldChar w:fldCharType="begin"/>
      </w:r>
      <w:r w:rsidRPr="00353CE6">
        <w:rPr>
          <w:rStyle w:val="CETCaptionCarattere"/>
          <w:b w:val="0"/>
          <w:bCs w:val="0"/>
          <w:color w:val="auto"/>
        </w:rPr>
        <w:instrText xml:space="preserve"> SEQ Figure \* ARABIC </w:instrText>
      </w:r>
      <w:r w:rsidRPr="00353CE6">
        <w:rPr>
          <w:rStyle w:val="CETCaptionCarattere"/>
          <w:b w:val="0"/>
          <w:bCs w:val="0"/>
          <w:color w:val="auto"/>
        </w:rPr>
        <w:fldChar w:fldCharType="separate"/>
      </w:r>
      <w:r w:rsidR="00B97CA0">
        <w:rPr>
          <w:rStyle w:val="CETCaptionCarattere"/>
          <w:b w:val="0"/>
          <w:bCs w:val="0"/>
          <w:noProof/>
          <w:color w:val="auto"/>
        </w:rPr>
        <w:t>2</w:t>
      </w:r>
      <w:r w:rsidRPr="00353CE6">
        <w:rPr>
          <w:rStyle w:val="CETCaptionCarattere"/>
          <w:b w:val="0"/>
          <w:bCs w:val="0"/>
          <w:color w:val="auto"/>
        </w:rPr>
        <w:fldChar w:fldCharType="end"/>
      </w:r>
      <w:bookmarkEnd w:id="5"/>
      <w:r w:rsidRPr="00353CE6">
        <w:rPr>
          <w:rStyle w:val="CETCaptionCarattere"/>
          <w:b w:val="0"/>
          <w:bCs w:val="0"/>
          <w:color w:val="auto"/>
        </w:rPr>
        <w:t xml:space="preserve">: Hydrogen vs Methane </w:t>
      </w:r>
      <w:r w:rsidR="00916F4A">
        <w:rPr>
          <w:rStyle w:val="CETCaptionCarattere"/>
          <w:b w:val="0"/>
          <w:bCs w:val="0"/>
          <w:color w:val="auto"/>
        </w:rPr>
        <w:t>concentration</w:t>
      </w:r>
      <w:r w:rsidRPr="00353CE6">
        <w:rPr>
          <w:rStyle w:val="CETCaptionCarattere"/>
          <w:b w:val="0"/>
          <w:bCs w:val="0"/>
          <w:color w:val="auto"/>
        </w:rPr>
        <w:t xml:space="preserve"> from a 5 mm leak </w:t>
      </w:r>
    </w:p>
    <w:p w14:paraId="0FD25742" w14:textId="4D3FF453" w:rsidR="00D36DB1" w:rsidRPr="0035062E" w:rsidRDefault="00D36DB1" w:rsidP="00D36DB1">
      <w:pPr>
        <w:pStyle w:val="CETTabletitle"/>
      </w:pPr>
      <w:bookmarkStart w:id="6" w:name="_Ref158824239"/>
      <w:r w:rsidRPr="0035062E">
        <w:t xml:space="preserve">Table </w:t>
      </w:r>
      <w:r w:rsidRPr="0035062E">
        <w:fldChar w:fldCharType="begin"/>
      </w:r>
      <w:r w:rsidRPr="0035062E">
        <w:instrText xml:space="preserve"> SEQ Table \* ARABIC </w:instrText>
      </w:r>
      <w:r w:rsidRPr="0035062E">
        <w:fldChar w:fldCharType="separate"/>
      </w:r>
      <w:r w:rsidR="00B97CA0">
        <w:rPr>
          <w:noProof/>
        </w:rPr>
        <w:t>3</w:t>
      </w:r>
      <w:r w:rsidRPr="0035062E">
        <w:fldChar w:fldCharType="end"/>
      </w:r>
      <w:bookmarkEnd w:id="6"/>
      <w:r w:rsidRPr="0035062E">
        <w:t>: Hydrogen vs Methane Jet fire scenario</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18"/>
        <w:gridCol w:w="2001"/>
        <w:gridCol w:w="1134"/>
        <w:gridCol w:w="1279"/>
        <w:gridCol w:w="1085"/>
        <w:gridCol w:w="1085"/>
        <w:gridCol w:w="1085"/>
      </w:tblGrid>
      <w:tr w:rsidR="002B110F" w:rsidRPr="0035062E" w14:paraId="1AEAFD04" w14:textId="2BA009DD" w:rsidTr="0006151B">
        <w:tc>
          <w:tcPr>
            <w:tcW w:w="3119" w:type="dxa"/>
            <w:gridSpan w:val="2"/>
            <w:tcBorders>
              <w:top w:val="single" w:sz="12" w:space="0" w:color="008000"/>
              <w:bottom w:val="single" w:sz="6" w:space="0" w:color="008000"/>
            </w:tcBorders>
            <w:shd w:val="clear" w:color="auto" w:fill="FFFFFF"/>
            <w:vAlign w:val="center"/>
          </w:tcPr>
          <w:p w14:paraId="465F3885" w14:textId="4ED6926F" w:rsidR="002B110F" w:rsidRPr="0035062E" w:rsidRDefault="002B110F" w:rsidP="0035062E">
            <w:pPr>
              <w:pStyle w:val="CETBodytext"/>
              <w:jc w:val="left"/>
              <w:rPr>
                <w:lang w:val="en-GB"/>
              </w:rPr>
            </w:pPr>
            <w:r w:rsidRPr="0035062E">
              <w:rPr>
                <w:lang w:val="en-GB"/>
              </w:rPr>
              <w:t>Scenario</w:t>
            </w:r>
          </w:p>
        </w:tc>
        <w:tc>
          <w:tcPr>
            <w:tcW w:w="1134" w:type="dxa"/>
            <w:tcBorders>
              <w:top w:val="single" w:sz="12" w:space="0" w:color="008000"/>
              <w:bottom w:val="single" w:sz="6" w:space="0" w:color="008000"/>
            </w:tcBorders>
            <w:shd w:val="clear" w:color="auto" w:fill="FFFFFF"/>
            <w:vAlign w:val="center"/>
          </w:tcPr>
          <w:p w14:paraId="4E081E48" w14:textId="12306C8D" w:rsidR="002B110F" w:rsidRPr="0035062E" w:rsidRDefault="002B110F" w:rsidP="0035062E">
            <w:pPr>
              <w:pStyle w:val="CETBodytext"/>
              <w:ind w:right="-1"/>
              <w:jc w:val="left"/>
              <w:rPr>
                <w:rFonts w:cs="Arial"/>
                <w:szCs w:val="18"/>
                <w:lang w:val="en-GB"/>
              </w:rPr>
            </w:pPr>
            <w:r w:rsidRPr="0035062E">
              <w:rPr>
                <w:rFonts w:cs="Arial"/>
                <w:szCs w:val="18"/>
                <w:lang w:val="en-GB"/>
              </w:rPr>
              <w:t>Weather conditions</w:t>
            </w:r>
          </w:p>
        </w:tc>
        <w:tc>
          <w:tcPr>
            <w:tcW w:w="4534" w:type="dxa"/>
            <w:gridSpan w:val="4"/>
            <w:tcBorders>
              <w:top w:val="single" w:sz="12" w:space="0" w:color="008000"/>
              <w:bottom w:val="single" w:sz="6" w:space="0" w:color="008000"/>
            </w:tcBorders>
            <w:shd w:val="clear" w:color="auto" w:fill="FFFFFF"/>
            <w:vAlign w:val="center"/>
          </w:tcPr>
          <w:p w14:paraId="35A73303" w14:textId="7C832943" w:rsidR="002B110F" w:rsidRPr="0035062E" w:rsidRDefault="00F50FA3" w:rsidP="0035062E">
            <w:pPr>
              <w:pStyle w:val="CETBodytext"/>
              <w:ind w:right="-1"/>
              <w:jc w:val="left"/>
              <w:rPr>
                <w:rFonts w:cs="Arial"/>
                <w:szCs w:val="18"/>
                <w:lang w:val="en-GB"/>
              </w:rPr>
            </w:pPr>
            <w:r w:rsidRPr="0035062E">
              <w:rPr>
                <w:rFonts w:cs="Arial"/>
                <w:szCs w:val="18"/>
                <w:lang w:val="en-GB"/>
              </w:rPr>
              <w:t>Damage</w:t>
            </w:r>
            <w:r w:rsidR="002B110F" w:rsidRPr="0035062E">
              <w:rPr>
                <w:rFonts w:cs="Arial"/>
                <w:szCs w:val="18"/>
                <w:lang w:val="en-GB"/>
              </w:rPr>
              <w:t xml:space="preserve"> distances</w:t>
            </w:r>
            <w:r w:rsidRPr="0035062E">
              <w:rPr>
                <w:rFonts w:cs="Arial"/>
                <w:szCs w:val="18"/>
                <w:lang w:val="en-GB"/>
              </w:rPr>
              <w:t xml:space="preserve"> (m)</w:t>
            </w:r>
          </w:p>
        </w:tc>
      </w:tr>
      <w:tr w:rsidR="00EC56B2" w:rsidRPr="0035062E" w14:paraId="137EC82F" w14:textId="77777777" w:rsidTr="0006151B">
        <w:tc>
          <w:tcPr>
            <w:tcW w:w="3119" w:type="dxa"/>
            <w:gridSpan w:val="2"/>
            <w:tcBorders>
              <w:top w:val="single" w:sz="12" w:space="0" w:color="008000"/>
              <w:bottom w:val="single" w:sz="6" w:space="0" w:color="008000"/>
            </w:tcBorders>
            <w:shd w:val="clear" w:color="auto" w:fill="FFFFFF"/>
            <w:vAlign w:val="center"/>
          </w:tcPr>
          <w:p w14:paraId="1F7F69EC" w14:textId="77777777" w:rsidR="00EC56B2" w:rsidRPr="0035062E" w:rsidRDefault="00EC56B2" w:rsidP="0035062E">
            <w:pPr>
              <w:pStyle w:val="CETBodytext"/>
              <w:jc w:val="left"/>
              <w:rPr>
                <w:lang w:val="en-GB"/>
              </w:rPr>
            </w:pPr>
          </w:p>
        </w:tc>
        <w:tc>
          <w:tcPr>
            <w:tcW w:w="1134" w:type="dxa"/>
            <w:tcBorders>
              <w:top w:val="single" w:sz="12" w:space="0" w:color="008000"/>
              <w:bottom w:val="single" w:sz="6" w:space="0" w:color="008000"/>
            </w:tcBorders>
            <w:shd w:val="clear" w:color="auto" w:fill="FFFFFF"/>
            <w:vAlign w:val="center"/>
          </w:tcPr>
          <w:p w14:paraId="760F4365" w14:textId="77777777" w:rsidR="00EC56B2" w:rsidRPr="0035062E" w:rsidRDefault="00EC56B2" w:rsidP="0035062E">
            <w:pPr>
              <w:pStyle w:val="CETBodytext"/>
              <w:ind w:right="-1"/>
              <w:jc w:val="left"/>
              <w:rPr>
                <w:rFonts w:cs="Arial"/>
                <w:szCs w:val="18"/>
                <w:lang w:val="en-GB"/>
              </w:rPr>
            </w:pPr>
          </w:p>
        </w:tc>
        <w:tc>
          <w:tcPr>
            <w:tcW w:w="1279" w:type="dxa"/>
            <w:tcBorders>
              <w:top w:val="single" w:sz="12" w:space="0" w:color="008000"/>
              <w:bottom w:val="single" w:sz="6" w:space="0" w:color="008000"/>
            </w:tcBorders>
            <w:shd w:val="clear" w:color="auto" w:fill="FFFFFF"/>
            <w:vAlign w:val="center"/>
          </w:tcPr>
          <w:p w14:paraId="13A008C2" w14:textId="46FD34F3" w:rsidR="00EC56B2" w:rsidRPr="0035062E" w:rsidRDefault="00F50FA3" w:rsidP="0035062E">
            <w:pPr>
              <w:pStyle w:val="CETBodytext"/>
              <w:ind w:right="-1"/>
              <w:jc w:val="left"/>
              <w:rPr>
                <w:rFonts w:cs="Arial"/>
                <w:szCs w:val="18"/>
                <w:lang w:val="en-GB"/>
              </w:rPr>
            </w:pPr>
            <w:r w:rsidRPr="0035062E">
              <w:rPr>
                <w:rFonts w:cs="Arial"/>
                <w:szCs w:val="18"/>
                <w:lang w:val="en-GB"/>
              </w:rPr>
              <w:t>12</w:t>
            </w:r>
            <w:r w:rsidR="0006151B">
              <w:rPr>
                <w:rFonts w:cs="Arial"/>
                <w:szCs w:val="18"/>
                <w:lang w:val="en-GB"/>
              </w:rPr>
              <w:t>.</w:t>
            </w:r>
            <w:r w:rsidRPr="0035062E">
              <w:rPr>
                <w:rFonts w:cs="Arial"/>
                <w:szCs w:val="18"/>
                <w:lang w:val="en-GB"/>
              </w:rPr>
              <w:t>5 (kW/m</w:t>
            </w:r>
            <w:r w:rsidRPr="0035062E">
              <w:rPr>
                <w:rFonts w:cs="Arial"/>
                <w:szCs w:val="18"/>
                <w:vertAlign w:val="superscript"/>
                <w:lang w:val="en-GB"/>
              </w:rPr>
              <w:t>2</w:t>
            </w:r>
            <w:r w:rsidRPr="0035062E">
              <w:rPr>
                <w:rFonts w:cs="Arial"/>
                <w:szCs w:val="18"/>
                <w:lang w:val="en-GB"/>
              </w:rPr>
              <w:t>)</w:t>
            </w:r>
            <w:r w:rsidR="007313C6" w:rsidRPr="0035062E">
              <w:rPr>
                <w:rFonts w:cs="Arial"/>
                <w:szCs w:val="18"/>
                <w:lang w:val="en-GB"/>
              </w:rPr>
              <w:t xml:space="preserve"> </w:t>
            </w:r>
          </w:p>
        </w:tc>
        <w:tc>
          <w:tcPr>
            <w:tcW w:w="1085" w:type="dxa"/>
            <w:tcBorders>
              <w:top w:val="single" w:sz="12" w:space="0" w:color="008000"/>
              <w:bottom w:val="single" w:sz="6" w:space="0" w:color="008000"/>
            </w:tcBorders>
            <w:shd w:val="clear" w:color="auto" w:fill="FFFFFF"/>
            <w:vAlign w:val="center"/>
          </w:tcPr>
          <w:p w14:paraId="7D7CB717" w14:textId="1299E1BA" w:rsidR="00EC56B2" w:rsidRPr="0035062E" w:rsidRDefault="00F50FA3" w:rsidP="0035062E">
            <w:pPr>
              <w:pStyle w:val="CETBodytext"/>
              <w:ind w:right="-1"/>
              <w:jc w:val="left"/>
              <w:rPr>
                <w:rFonts w:cs="Arial"/>
                <w:szCs w:val="18"/>
                <w:lang w:val="en-GB"/>
              </w:rPr>
            </w:pPr>
            <w:r w:rsidRPr="0035062E">
              <w:rPr>
                <w:rFonts w:cs="Arial"/>
                <w:szCs w:val="18"/>
                <w:lang w:val="en-GB"/>
              </w:rPr>
              <w:t>7 (kW/m</w:t>
            </w:r>
            <w:r w:rsidRPr="0035062E">
              <w:rPr>
                <w:rFonts w:cs="Arial"/>
                <w:szCs w:val="18"/>
                <w:vertAlign w:val="superscript"/>
                <w:lang w:val="en-GB"/>
              </w:rPr>
              <w:t>2</w:t>
            </w:r>
            <w:r w:rsidRPr="0035062E">
              <w:rPr>
                <w:rFonts w:cs="Arial"/>
                <w:szCs w:val="18"/>
                <w:lang w:val="en-GB"/>
              </w:rPr>
              <w:t>)</w:t>
            </w:r>
          </w:p>
        </w:tc>
        <w:tc>
          <w:tcPr>
            <w:tcW w:w="1085" w:type="dxa"/>
            <w:tcBorders>
              <w:top w:val="single" w:sz="12" w:space="0" w:color="008000"/>
              <w:bottom w:val="single" w:sz="6" w:space="0" w:color="008000"/>
            </w:tcBorders>
            <w:shd w:val="clear" w:color="auto" w:fill="FFFFFF"/>
            <w:vAlign w:val="center"/>
          </w:tcPr>
          <w:p w14:paraId="3488EB89" w14:textId="3FA1BECA" w:rsidR="00EC56B2" w:rsidRPr="0035062E" w:rsidRDefault="00F50FA3" w:rsidP="0035062E">
            <w:pPr>
              <w:pStyle w:val="CETBodytext"/>
              <w:ind w:right="-1"/>
              <w:jc w:val="left"/>
              <w:rPr>
                <w:rFonts w:cs="Arial"/>
                <w:szCs w:val="18"/>
                <w:lang w:val="en-GB"/>
              </w:rPr>
            </w:pPr>
            <w:r w:rsidRPr="0035062E">
              <w:rPr>
                <w:rFonts w:cs="Arial"/>
                <w:szCs w:val="18"/>
                <w:lang w:val="en-GB"/>
              </w:rPr>
              <w:t>5 (kW/m</w:t>
            </w:r>
            <w:r w:rsidRPr="0035062E">
              <w:rPr>
                <w:rFonts w:cs="Arial"/>
                <w:szCs w:val="18"/>
                <w:vertAlign w:val="superscript"/>
                <w:lang w:val="en-GB"/>
              </w:rPr>
              <w:t>2</w:t>
            </w:r>
            <w:r w:rsidRPr="0035062E">
              <w:rPr>
                <w:rFonts w:cs="Arial"/>
                <w:szCs w:val="18"/>
                <w:lang w:val="en-GB"/>
              </w:rPr>
              <w:t>)</w:t>
            </w:r>
          </w:p>
        </w:tc>
        <w:tc>
          <w:tcPr>
            <w:tcW w:w="1085" w:type="dxa"/>
            <w:tcBorders>
              <w:top w:val="single" w:sz="12" w:space="0" w:color="008000"/>
              <w:bottom w:val="single" w:sz="6" w:space="0" w:color="008000"/>
            </w:tcBorders>
            <w:shd w:val="clear" w:color="auto" w:fill="FFFFFF"/>
            <w:vAlign w:val="center"/>
          </w:tcPr>
          <w:p w14:paraId="42997087" w14:textId="6339A752" w:rsidR="00EC56B2" w:rsidRPr="0035062E" w:rsidRDefault="00F50FA3" w:rsidP="0035062E">
            <w:pPr>
              <w:pStyle w:val="CETBodytext"/>
              <w:ind w:right="-1"/>
              <w:jc w:val="left"/>
              <w:rPr>
                <w:rFonts w:cs="Arial"/>
                <w:szCs w:val="18"/>
                <w:lang w:val="en-GB"/>
              </w:rPr>
            </w:pPr>
            <w:r w:rsidRPr="0035062E">
              <w:rPr>
                <w:rFonts w:cs="Arial"/>
                <w:szCs w:val="18"/>
                <w:lang w:val="en-GB"/>
              </w:rPr>
              <w:t>3 (kW/m</w:t>
            </w:r>
            <w:r w:rsidRPr="0035062E">
              <w:rPr>
                <w:rFonts w:cs="Arial"/>
                <w:szCs w:val="18"/>
                <w:vertAlign w:val="superscript"/>
                <w:lang w:val="en-GB"/>
              </w:rPr>
              <w:t>2</w:t>
            </w:r>
            <w:r w:rsidRPr="0035062E">
              <w:rPr>
                <w:rFonts w:cs="Arial"/>
                <w:szCs w:val="18"/>
                <w:lang w:val="en-GB"/>
              </w:rPr>
              <w:t>)</w:t>
            </w:r>
          </w:p>
        </w:tc>
      </w:tr>
      <w:tr w:rsidR="00D36DB1" w:rsidRPr="0035062E" w14:paraId="011E4CB7" w14:textId="6CC51E48" w:rsidTr="0006151B">
        <w:tc>
          <w:tcPr>
            <w:tcW w:w="1118" w:type="dxa"/>
            <w:vMerge w:val="restart"/>
            <w:shd w:val="clear" w:color="auto" w:fill="FFFFFF"/>
            <w:vAlign w:val="center"/>
          </w:tcPr>
          <w:p w14:paraId="43F94750" w14:textId="77777777" w:rsidR="00D36DB1" w:rsidRPr="0035062E" w:rsidRDefault="00D36DB1" w:rsidP="0035062E">
            <w:pPr>
              <w:pStyle w:val="CETBodytext"/>
              <w:jc w:val="left"/>
              <w:rPr>
                <w:lang w:val="en-GB"/>
              </w:rPr>
            </w:pPr>
            <w:r w:rsidRPr="0035062E">
              <w:rPr>
                <w:lang w:val="en-GB"/>
              </w:rPr>
              <w:t>Hydrogen</w:t>
            </w:r>
          </w:p>
        </w:tc>
        <w:tc>
          <w:tcPr>
            <w:tcW w:w="2001" w:type="dxa"/>
            <w:vMerge w:val="restart"/>
            <w:shd w:val="clear" w:color="auto" w:fill="FFFFFF"/>
            <w:vAlign w:val="center"/>
          </w:tcPr>
          <w:p w14:paraId="03B29161" w14:textId="6B769020" w:rsidR="00D36DB1" w:rsidRPr="0035062E" w:rsidRDefault="00D36DB1" w:rsidP="0035062E">
            <w:pPr>
              <w:pStyle w:val="CETBodytext"/>
              <w:jc w:val="left"/>
              <w:rPr>
                <w:lang w:val="en-GB"/>
              </w:rPr>
            </w:pPr>
            <w:r w:rsidRPr="0035062E">
              <w:rPr>
                <w:lang w:val="en-GB"/>
              </w:rPr>
              <w:t>Partial bore (5 mm)</w:t>
            </w:r>
          </w:p>
        </w:tc>
        <w:tc>
          <w:tcPr>
            <w:tcW w:w="1134" w:type="dxa"/>
            <w:shd w:val="clear" w:color="auto" w:fill="FFFFFF"/>
            <w:vAlign w:val="center"/>
          </w:tcPr>
          <w:p w14:paraId="747FE84A" w14:textId="1DDC33EB" w:rsidR="00D36DB1" w:rsidRPr="0035062E" w:rsidRDefault="00D36DB1" w:rsidP="0035062E">
            <w:pPr>
              <w:pStyle w:val="CETBodytext"/>
              <w:ind w:right="-1"/>
              <w:jc w:val="left"/>
              <w:rPr>
                <w:rFonts w:cs="Arial"/>
                <w:szCs w:val="18"/>
                <w:lang w:val="en-GB"/>
              </w:rPr>
            </w:pPr>
            <w:r w:rsidRPr="0035062E">
              <w:rPr>
                <w:rFonts w:cs="Arial"/>
                <w:szCs w:val="18"/>
                <w:lang w:val="en-GB"/>
              </w:rPr>
              <w:t>2F</w:t>
            </w:r>
          </w:p>
        </w:tc>
        <w:tc>
          <w:tcPr>
            <w:tcW w:w="1279" w:type="dxa"/>
            <w:shd w:val="clear" w:color="auto" w:fill="FFFFFF"/>
            <w:vAlign w:val="center"/>
          </w:tcPr>
          <w:p w14:paraId="69FF459B" w14:textId="45466CCD" w:rsidR="00D36DB1" w:rsidRPr="0035062E" w:rsidRDefault="00D36DB1" w:rsidP="0035062E">
            <w:pPr>
              <w:pStyle w:val="CETBodytext"/>
              <w:ind w:right="-1"/>
              <w:jc w:val="left"/>
              <w:rPr>
                <w:rFonts w:cs="Arial"/>
                <w:szCs w:val="18"/>
                <w:lang w:val="en-GB"/>
              </w:rPr>
            </w:pPr>
            <w:r w:rsidRPr="0035062E">
              <w:rPr>
                <w:rFonts w:cs="Arial"/>
                <w:szCs w:val="18"/>
                <w:lang w:val="en-GB"/>
              </w:rPr>
              <w:t>3</w:t>
            </w:r>
            <w:r w:rsidR="0006151B">
              <w:rPr>
                <w:rFonts w:cs="Arial"/>
                <w:szCs w:val="18"/>
                <w:lang w:val="en-GB"/>
              </w:rPr>
              <w:t>.</w:t>
            </w:r>
            <w:r w:rsidRPr="0035062E">
              <w:rPr>
                <w:rFonts w:cs="Arial"/>
                <w:szCs w:val="18"/>
                <w:lang w:val="en-GB"/>
              </w:rPr>
              <w:t>85</w:t>
            </w:r>
          </w:p>
        </w:tc>
        <w:tc>
          <w:tcPr>
            <w:tcW w:w="1085" w:type="dxa"/>
            <w:shd w:val="clear" w:color="auto" w:fill="FFFFFF"/>
            <w:vAlign w:val="center"/>
          </w:tcPr>
          <w:p w14:paraId="292BDED4" w14:textId="47D01796" w:rsidR="00D36DB1" w:rsidRPr="0035062E" w:rsidRDefault="00D36DB1" w:rsidP="0035062E">
            <w:pPr>
              <w:pStyle w:val="CETBodytext"/>
              <w:ind w:right="-1"/>
              <w:jc w:val="left"/>
              <w:rPr>
                <w:rFonts w:cs="Arial"/>
                <w:szCs w:val="18"/>
                <w:lang w:val="en-GB"/>
              </w:rPr>
            </w:pPr>
            <w:r w:rsidRPr="0035062E">
              <w:rPr>
                <w:rFonts w:cs="Arial"/>
                <w:szCs w:val="18"/>
                <w:lang w:val="en-GB"/>
              </w:rPr>
              <w:t>4</w:t>
            </w:r>
            <w:r w:rsidR="0006151B">
              <w:rPr>
                <w:rFonts w:cs="Arial"/>
                <w:szCs w:val="18"/>
                <w:lang w:val="en-GB"/>
              </w:rPr>
              <w:t>.</w:t>
            </w:r>
            <w:r w:rsidRPr="0035062E">
              <w:rPr>
                <w:rFonts w:cs="Arial"/>
                <w:szCs w:val="18"/>
                <w:lang w:val="en-GB"/>
              </w:rPr>
              <w:t>12</w:t>
            </w:r>
          </w:p>
        </w:tc>
        <w:tc>
          <w:tcPr>
            <w:tcW w:w="1085" w:type="dxa"/>
            <w:shd w:val="clear" w:color="auto" w:fill="FFFFFF"/>
            <w:vAlign w:val="center"/>
          </w:tcPr>
          <w:p w14:paraId="787B253E" w14:textId="2197C29D" w:rsidR="00D36DB1" w:rsidRPr="0035062E" w:rsidRDefault="00D36DB1" w:rsidP="0035062E">
            <w:pPr>
              <w:pStyle w:val="CETBodytext"/>
              <w:ind w:right="-1"/>
              <w:jc w:val="left"/>
              <w:rPr>
                <w:rFonts w:cs="Arial"/>
                <w:szCs w:val="18"/>
                <w:lang w:val="en-GB"/>
              </w:rPr>
            </w:pPr>
            <w:r w:rsidRPr="0035062E">
              <w:rPr>
                <w:rFonts w:cs="Arial"/>
                <w:szCs w:val="18"/>
                <w:lang w:val="en-GB"/>
              </w:rPr>
              <w:t>4</w:t>
            </w:r>
            <w:r w:rsidR="0006151B">
              <w:rPr>
                <w:rFonts w:cs="Arial"/>
                <w:szCs w:val="18"/>
                <w:lang w:val="en-GB"/>
              </w:rPr>
              <w:t>.</w:t>
            </w:r>
            <w:r w:rsidRPr="0035062E">
              <w:rPr>
                <w:rFonts w:cs="Arial"/>
                <w:szCs w:val="18"/>
                <w:lang w:val="en-GB"/>
              </w:rPr>
              <w:t>38</w:t>
            </w:r>
          </w:p>
        </w:tc>
        <w:tc>
          <w:tcPr>
            <w:tcW w:w="1085" w:type="dxa"/>
            <w:shd w:val="clear" w:color="auto" w:fill="FFFFFF"/>
            <w:vAlign w:val="center"/>
          </w:tcPr>
          <w:p w14:paraId="6127B142" w14:textId="65E769E3" w:rsidR="00D36DB1" w:rsidRPr="0035062E" w:rsidRDefault="00D36DB1" w:rsidP="0035062E">
            <w:pPr>
              <w:pStyle w:val="CETBodytext"/>
              <w:ind w:right="-1"/>
              <w:jc w:val="left"/>
              <w:rPr>
                <w:rFonts w:cs="Arial"/>
                <w:szCs w:val="18"/>
                <w:lang w:val="en-GB"/>
              </w:rPr>
            </w:pPr>
            <w:r w:rsidRPr="0035062E">
              <w:rPr>
                <w:rFonts w:cs="Arial"/>
                <w:szCs w:val="18"/>
                <w:lang w:val="en-GB"/>
              </w:rPr>
              <w:t>4</w:t>
            </w:r>
            <w:r w:rsidR="0006151B">
              <w:rPr>
                <w:rFonts w:cs="Arial"/>
                <w:szCs w:val="18"/>
                <w:lang w:val="en-GB"/>
              </w:rPr>
              <w:t>.</w:t>
            </w:r>
            <w:r w:rsidRPr="0035062E">
              <w:rPr>
                <w:rFonts w:cs="Arial"/>
                <w:szCs w:val="18"/>
                <w:lang w:val="en-GB"/>
              </w:rPr>
              <w:t>69</w:t>
            </w:r>
          </w:p>
        </w:tc>
      </w:tr>
      <w:tr w:rsidR="00D36DB1" w:rsidRPr="0035062E" w14:paraId="28E197EE" w14:textId="77777777" w:rsidTr="0006151B">
        <w:tc>
          <w:tcPr>
            <w:tcW w:w="1118" w:type="dxa"/>
            <w:vMerge/>
            <w:shd w:val="clear" w:color="auto" w:fill="FFFFFF"/>
            <w:vAlign w:val="center"/>
          </w:tcPr>
          <w:p w14:paraId="2D9E0AE8" w14:textId="77777777" w:rsidR="00D36DB1" w:rsidRPr="0035062E" w:rsidRDefault="00D36DB1" w:rsidP="0035062E">
            <w:pPr>
              <w:pStyle w:val="CETBodytext"/>
              <w:jc w:val="left"/>
              <w:rPr>
                <w:lang w:val="en-GB"/>
              </w:rPr>
            </w:pPr>
          </w:p>
        </w:tc>
        <w:tc>
          <w:tcPr>
            <w:tcW w:w="2001" w:type="dxa"/>
            <w:vMerge/>
            <w:shd w:val="clear" w:color="auto" w:fill="FFFFFF"/>
            <w:vAlign w:val="center"/>
          </w:tcPr>
          <w:p w14:paraId="7EC5D3E6" w14:textId="77777777" w:rsidR="00D36DB1" w:rsidRPr="0035062E" w:rsidRDefault="00D36DB1" w:rsidP="0035062E">
            <w:pPr>
              <w:pStyle w:val="CETBodytext"/>
              <w:jc w:val="left"/>
              <w:rPr>
                <w:lang w:val="en-GB"/>
              </w:rPr>
            </w:pPr>
          </w:p>
        </w:tc>
        <w:tc>
          <w:tcPr>
            <w:tcW w:w="1134" w:type="dxa"/>
            <w:shd w:val="clear" w:color="auto" w:fill="FFFFFF"/>
            <w:vAlign w:val="center"/>
          </w:tcPr>
          <w:p w14:paraId="065F20B5" w14:textId="2B1E2983" w:rsidR="00D36DB1" w:rsidRPr="0035062E" w:rsidRDefault="00D36DB1" w:rsidP="0035062E">
            <w:pPr>
              <w:pStyle w:val="CETBodytext"/>
              <w:ind w:right="-1"/>
              <w:jc w:val="left"/>
              <w:rPr>
                <w:rFonts w:cs="Arial"/>
                <w:szCs w:val="18"/>
                <w:lang w:val="en-GB"/>
              </w:rPr>
            </w:pPr>
            <w:r w:rsidRPr="0035062E">
              <w:rPr>
                <w:rFonts w:cs="Arial"/>
                <w:szCs w:val="18"/>
                <w:lang w:val="en-GB"/>
              </w:rPr>
              <w:t>5D</w:t>
            </w:r>
          </w:p>
        </w:tc>
        <w:tc>
          <w:tcPr>
            <w:tcW w:w="1279" w:type="dxa"/>
            <w:shd w:val="clear" w:color="auto" w:fill="FFFFFF"/>
            <w:vAlign w:val="center"/>
          </w:tcPr>
          <w:p w14:paraId="0A7686DD" w14:textId="68DBD682" w:rsidR="00D36DB1" w:rsidRPr="0035062E" w:rsidRDefault="00D36DB1" w:rsidP="0035062E">
            <w:pPr>
              <w:pStyle w:val="CETBodytext"/>
              <w:ind w:right="-1"/>
              <w:jc w:val="left"/>
              <w:rPr>
                <w:rFonts w:cs="Arial"/>
                <w:szCs w:val="18"/>
                <w:lang w:val="en-GB"/>
              </w:rPr>
            </w:pPr>
            <w:r w:rsidRPr="0035062E">
              <w:rPr>
                <w:rFonts w:cs="Arial"/>
                <w:szCs w:val="18"/>
                <w:lang w:val="en-GB"/>
              </w:rPr>
              <w:t>4</w:t>
            </w:r>
            <w:r w:rsidR="0006151B">
              <w:rPr>
                <w:rFonts w:cs="Arial"/>
                <w:szCs w:val="18"/>
                <w:lang w:val="en-GB"/>
              </w:rPr>
              <w:t>.</w:t>
            </w:r>
            <w:r w:rsidRPr="0035062E">
              <w:rPr>
                <w:rFonts w:cs="Arial"/>
                <w:szCs w:val="18"/>
                <w:lang w:val="en-GB"/>
              </w:rPr>
              <w:t>31</w:t>
            </w:r>
          </w:p>
        </w:tc>
        <w:tc>
          <w:tcPr>
            <w:tcW w:w="1085" w:type="dxa"/>
            <w:shd w:val="clear" w:color="auto" w:fill="FFFFFF"/>
            <w:vAlign w:val="center"/>
          </w:tcPr>
          <w:p w14:paraId="00208E3A" w14:textId="5FD2D7EC" w:rsidR="00D36DB1" w:rsidRPr="0035062E" w:rsidRDefault="00D36DB1" w:rsidP="0035062E">
            <w:pPr>
              <w:pStyle w:val="CETBodytext"/>
              <w:ind w:right="-1"/>
              <w:jc w:val="left"/>
              <w:rPr>
                <w:rFonts w:cs="Arial"/>
                <w:szCs w:val="18"/>
                <w:lang w:val="en-GB"/>
              </w:rPr>
            </w:pPr>
            <w:r w:rsidRPr="0035062E">
              <w:rPr>
                <w:rFonts w:cs="Arial"/>
                <w:szCs w:val="18"/>
                <w:lang w:val="en-GB"/>
              </w:rPr>
              <w:t>4</w:t>
            </w:r>
            <w:r w:rsidR="0006151B">
              <w:rPr>
                <w:rFonts w:cs="Arial"/>
                <w:szCs w:val="18"/>
                <w:lang w:val="en-GB"/>
              </w:rPr>
              <w:t>.</w:t>
            </w:r>
            <w:r w:rsidRPr="0035062E">
              <w:rPr>
                <w:rFonts w:cs="Arial"/>
                <w:szCs w:val="18"/>
                <w:lang w:val="en-GB"/>
              </w:rPr>
              <w:t>55</w:t>
            </w:r>
          </w:p>
        </w:tc>
        <w:tc>
          <w:tcPr>
            <w:tcW w:w="1085" w:type="dxa"/>
            <w:shd w:val="clear" w:color="auto" w:fill="FFFFFF"/>
            <w:vAlign w:val="center"/>
          </w:tcPr>
          <w:p w14:paraId="7BFCF48C" w14:textId="786F0F13" w:rsidR="00D36DB1" w:rsidRPr="0035062E" w:rsidRDefault="00D36DB1" w:rsidP="0035062E">
            <w:pPr>
              <w:pStyle w:val="CETBodytext"/>
              <w:ind w:right="-1"/>
              <w:jc w:val="left"/>
              <w:rPr>
                <w:rFonts w:cs="Arial"/>
                <w:szCs w:val="18"/>
                <w:lang w:val="en-GB"/>
              </w:rPr>
            </w:pPr>
            <w:r w:rsidRPr="0035062E">
              <w:rPr>
                <w:rFonts w:cs="Arial"/>
                <w:szCs w:val="18"/>
                <w:lang w:val="en-GB"/>
              </w:rPr>
              <w:t>4</w:t>
            </w:r>
            <w:r w:rsidR="0006151B">
              <w:rPr>
                <w:rFonts w:cs="Arial"/>
                <w:szCs w:val="18"/>
                <w:lang w:val="en-GB"/>
              </w:rPr>
              <w:t>.</w:t>
            </w:r>
            <w:r w:rsidRPr="0035062E">
              <w:rPr>
                <w:rFonts w:cs="Arial"/>
                <w:szCs w:val="18"/>
                <w:lang w:val="en-GB"/>
              </w:rPr>
              <w:t>67</w:t>
            </w:r>
          </w:p>
        </w:tc>
        <w:tc>
          <w:tcPr>
            <w:tcW w:w="1085" w:type="dxa"/>
            <w:shd w:val="clear" w:color="auto" w:fill="FFFFFF"/>
            <w:vAlign w:val="center"/>
          </w:tcPr>
          <w:p w14:paraId="323EA8E1" w14:textId="256B94EE" w:rsidR="00D36DB1" w:rsidRPr="0035062E" w:rsidRDefault="00D36DB1" w:rsidP="0035062E">
            <w:pPr>
              <w:pStyle w:val="CETBodytext"/>
              <w:ind w:right="-1"/>
              <w:jc w:val="left"/>
              <w:rPr>
                <w:rFonts w:cs="Arial"/>
                <w:szCs w:val="18"/>
                <w:lang w:val="en-GB"/>
              </w:rPr>
            </w:pPr>
            <w:r w:rsidRPr="0035062E">
              <w:rPr>
                <w:rFonts w:cs="Arial"/>
                <w:szCs w:val="18"/>
                <w:lang w:val="en-GB"/>
              </w:rPr>
              <w:t>4</w:t>
            </w:r>
            <w:r w:rsidR="0006151B">
              <w:rPr>
                <w:rFonts w:cs="Arial"/>
                <w:szCs w:val="18"/>
                <w:lang w:val="en-GB"/>
              </w:rPr>
              <w:t>.</w:t>
            </w:r>
            <w:r w:rsidRPr="0035062E">
              <w:rPr>
                <w:rFonts w:cs="Arial"/>
                <w:szCs w:val="18"/>
                <w:lang w:val="en-GB"/>
              </w:rPr>
              <w:t>88</w:t>
            </w:r>
          </w:p>
        </w:tc>
      </w:tr>
      <w:tr w:rsidR="00D36DB1" w:rsidRPr="0035062E" w14:paraId="68722A25" w14:textId="7F69B9B8" w:rsidTr="0006151B">
        <w:tc>
          <w:tcPr>
            <w:tcW w:w="1118" w:type="dxa"/>
            <w:vMerge/>
            <w:shd w:val="clear" w:color="auto" w:fill="FFFFFF"/>
            <w:vAlign w:val="center"/>
          </w:tcPr>
          <w:p w14:paraId="0271B032" w14:textId="77777777" w:rsidR="00D36DB1" w:rsidRPr="0035062E" w:rsidRDefault="00D36DB1" w:rsidP="0035062E">
            <w:pPr>
              <w:pStyle w:val="CETBodytext"/>
              <w:ind w:right="-1"/>
              <w:jc w:val="left"/>
              <w:rPr>
                <w:rFonts w:cs="Arial"/>
                <w:szCs w:val="18"/>
                <w:lang w:val="en-GB"/>
              </w:rPr>
            </w:pPr>
          </w:p>
        </w:tc>
        <w:tc>
          <w:tcPr>
            <w:tcW w:w="2001" w:type="dxa"/>
            <w:vMerge w:val="restart"/>
            <w:shd w:val="clear" w:color="auto" w:fill="FFFFFF"/>
            <w:vAlign w:val="center"/>
          </w:tcPr>
          <w:p w14:paraId="1C811BE8" w14:textId="6D83C3D5" w:rsidR="00D36DB1" w:rsidRPr="0035062E" w:rsidRDefault="00D36DB1" w:rsidP="0035062E">
            <w:pPr>
              <w:pStyle w:val="CETBodytext"/>
              <w:ind w:right="-1"/>
              <w:jc w:val="left"/>
              <w:rPr>
                <w:rFonts w:cs="Arial"/>
                <w:szCs w:val="18"/>
                <w:lang w:val="en-GB"/>
              </w:rPr>
            </w:pPr>
            <w:r w:rsidRPr="0035062E">
              <w:rPr>
                <w:rFonts w:cs="Arial"/>
                <w:szCs w:val="18"/>
                <w:lang w:val="en-GB"/>
              </w:rPr>
              <w:t>Full bore (50 mm)</w:t>
            </w:r>
          </w:p>
        </w:tc>
        <w:tc>
          <w:tcPr>
            <w:tcW w:w="1134" w:type="dxa"/>
            <w:shd w:val="clear" w:color="auto" w:fill="FFFFFF"/>
            <w:vAlign w:val="center"/>
          </w:tcPr>
          <w:p w14:paraId="201844BC" w14:textId="29A19F65" w:rsidR="00D36DB1" w:rsidRPr="0035062E" w:rsidRDefault="00D36DB1" w:rsidP="0035062E">
            <w:pPr>
              <w:pStyle w:val="CETBodytext"/>
              <w:ind w:right="-1"/>
              <w:jc w:val="left"/>
              <w:rPr>
                <w:rFonts w:cs="Arial"/>
                <w:szCs w:val="18"/>
                <w:lang w:val="en-GB"/>
              </w:rPr>
            </w:pPr>
            <w:r w:rsidRPr="0035062E">
              <w:rPr>
                <w:rFonts w:cs="Arial"/>
                <w:szCs w:val="18"/>
                <w:lang w:val="en-GB"/>
              </w:rPr>
              <w:t>2F</w:t>
            </w:r>
          </w:p>
        </w:tc>
        <w:tc>
          <w:tcPr>
            <w:tcW w:w="1279" w:type="dxa"/>
            <w:shd w:val="clear" w:color="auto" w:fill="FFFFFF"/>
            <w:vAlign w:val="center"/>
          </w:tcPr>
          <w:p w14:paraId="5E11B5A4" w14:textId="472ECE33" w:rsidR="00D36DB1" w:rsidRPr="0035062E" w:rsidRDefault="00D36DB1" w:rsidP="0035062E">
            <w:pPr>
              <w:pStyle w:val="CETBodytext"/>
              <w:ind w:right="-1"/>
              <w:jc w:val="left"/>
              <w:rPr>
                <w:rFonts w:cs="Arial"/>
                <w:szCs w:val="18"/>
                <w:lang w:val="en-GB"/>
              </w:rPr>
            </w:pPr>
            <w:r w:rsidRPr="0035062E">
              <w:rPr>
                <w:rFonts w:cs="Arial"/>
                <w:szCs w:val="18"/>
                <w:lang w:val="en-GB"/>
              </w:rPr>
              <w:t>35</w:t>
            </w:r>
          </w:p>
        </w:tc>
        <w:tc>
          <w:tcPr>
            <w:tcW w:w="1085" w:type="dxa"/>
            <w:shd w:val="clear" w:color="auto" w:fill="FFFFFF"/>
            <w:vAlign w:val="center"/>
          </w:tcPr>
          <w:p w14:paraId="736D6D8E" w14:textId="1BF2D8FC" w:rsidR="00D36DB1" w:rsidRPr="0035062E" w:rsidRDefault="00D36DB1" w:rsidP="0035062E">
            <w:pPr>
              <w:pStyle w:val="CETBodytext"/>
              <w:ind w:right="-1"/>
              <w:jc w:val="left"/>
              <w:rPr>
                <w:rFonts w:cs="Arial"/>
                <w:szCs w:val="18"/>
                <w:lang w:val="en-GB"/>
              </w:rPr>
            </w:pPr>
            <w:r w:rsidRPr="0035062E">
              <w:rPr>
                <w:rFonts w:cs="Arial"/>
                <w:szCs w:val="18"/>
                <w:lang w:val="en-GB"/>
              </w:rPr>
              <w:t>40</w:t>
            </w:r>
          </w:p>
        </w:tc>
        <w:tc>
          <w:tcPr>
            <w:tcW w:w="1085" w:type="dxa"/>
            <w:shd w:val="clear" w:color="auto" w:fill="FFFFFF"/>
            <w:vAlign w:val="center"/>
          </w:tcPr>
          <w:p w14:paraId="2F24FAD1" w14:textId="3D508F39" w:rsidR="00D36DB1" w:rsidRPr="0035062E" w:rsidRDefault="00D36DB1" w:rsidP="0035062E">
            <w:pPr>
              <w:pStyle w:val="CETBodytext"/>
              <w:ind w:right="-1"/>
              <w:jc w:val="left"/>
              <w:rPr>
                <w:rFonts w:cs="Arial"/>
                <w:szCs w:val="18"/>
                <w:lang w:val="en-GB"/>
              </w:rPr>
            </w:pPr>
            <w:r w:rsidRPr="0035062E">
              <w:rPr>
                <w:rFonts w:cs="Arial"/>
                <w:szCs w:val="18"/>
                <w:lang w:val="en-GB"/>
              </w:rPr>
              <w:t>43</w:t>
            </w:r>
          </w:p>
        </w:tc>
        <w:tc>
          <w:tcPr>
            <w:tcW w:w="1085" w:type="dxa"/>
            <w:shd w:val="clear" w:color="auto" w:fill="FFFFFF"/>
            <w:vAlign w:val="center"/>
          </w:tcPr>
          <w:p w14:paraId="1606B684" w14:textId="610830CA" w:rsidR="00D36DB1" w:rsidRPr="0035062E" w:rsidRDefault="00D36DB1" w:rsidP="0035062E">
            <w:pPr>
              <w:pStyle w:val="CETBodytext"/>
              <w:ind w:right="-1"/>
              <w:jc w:val="left"/>
              <w:rPr>
                <w:rFonts w:cs="Arial"/>
                <w:szCs w:val="18"/>
                <w:lang w:val="en-GB"/>
              </w:rPr>
            </w:pPr>
            <w:r w:rsidRPr="0035062E">
              <w:rPr>
                <w:rFonts w:cs="Arial"/>
                <w:szCs w:val="18"/>
                <w:lang w:val="en-GB"/>
              </w:rPr>
              <w:t>50</w:t>
            </w:r>
          </w:p>
        </w:tc>
      </w:tr>
      <w:tr w:rsidR="00D36DB1" w:rsidRPr="0035062E" w14:paraId="071FD1B7" w14:textId="77777777" w:rsidTr="0006151B">
        <w:tc>
          <w:tcPr>
            <w:tcW w:w="1118" w:type="dxa"/>
            <w:vMerge/>
            <w:shd w:val="clear" w:color="auto" w:fill="FFFFFF"/>
            <w:vAlign w:val="center"/>
          </w:tcPr>
          <w:p w14:paraId="0269A28C" w14:textId="77777777" w:rsidR="00D36DB1" w:rsidRPr="0035062E" w:rsidRDefault="00D36DB1" w:rsidP="0035062E">
            <w:pPr>
              <w:pStyle w:val="CETBodytext"/>
              <w:ind w:right="-1"/>
              <w:jc w:val="left"/>
              <w:rPr>
                <w:rFonts w:cs="Arial"/>
                <w:szCs w:val="18"/>
                <w:lang w:val="en-GB"/>
              </w:rPr>
            </w:pPr>
          </w:p>
        </w:tc>
        <w:tc>
          <w:tcPr>
            <w:tcW w:w="2001" w:type="dxa"/>
            <w:vMerge/>
            <w:shd w:val="clear" w:color="auto" w:fill="FFFFFF"/>
            <w:vAlign w:val="center"/>
          </w:tcPr>
          <w:p w14:paraId="362CD77C" w14:textId="77777777" w:rsidR="00D36DB1" w:rsidRPr="0035062E" w:rsidRDefault="00D36DB1" w:rsidP="0035062E">
            <w:pPr>
              <w:pStyle w:val="CETBodytext"/>
              <w:ind w:right="-1"/>
              <w:jc w:val="left"/>
              <w:rPr>
                <w:rFonts w:cs="Arial"/>
                <w:szCs w:val="18"/>
                <w:lang w:val="en-GB"/>
              </w:rPr>
            </w:pPr>
          </w:p>
        </w:tc>
        <w:tc>
          <w:tcPr>
            <w:tcW w:w="1134" w:type="dxa"/>
            <w:shd w:val="clear" w:color="auto" w:fill="FFFFFF"/>
            <w:vAlign w:val="center"/>
          </w:tcPr>
          <w:p w14:paraId="71538CCE" w14:textId="3CE02E64" w:rsidR="00D36DB1" w:rsidRPr="0035062E" w:rsidRDefault="00D36DB1" w:rsidP="0035062E">
            <w:pPr>
              <w:pStyle w:val="CETBodytext"/>
              <w:ind w:right="-1"/>
              <w:jc w:val="left"/>
              <w:rPr>
                <w:rFonts w:cs="Arial"/>
                <w:szCs w:val="18"/>
                <w:lang w:val="en-GB"/>
              </w:rPr>
            </w:pPr>
            <w:r w:rsidRPr="0035062E">
              <w:rPr>
                <w:rFonts w:cs="Arial"/>
                <w:szCs w:val="18"/>
                <w:lang w:val="en-GB"/>
              </w:rPr>
              <w:t>5D</w:t>
            </w:r>
          </w:p>
        </w:tc>
        <w:tc>
          <w:tcPr>
            <w:tcW w:w="1279" w:type="dxa"/>
            <w:shd w:val="clear" w:color="auto" w:fill="FFFFFF"/>
            <w:vAlign w:val="center"/>
          </w:tcPr>
          <w:p w14:paraId="2D4DB618" w14:textId="590ED94D" w:rsidR="00D36DB1" w:rsidRPr="0035062E" w:rsidRDefault="00D36DB1" w:rsidP="0035062E">
            <w:pPr>
              <w:pStyle w:val="CETBodytext"/>
              <w:ind w:right="-1"/>
              <w:jc w:val="left"/>
              <w:rPr>
                <w:rFonts w:cs="Arial"/>
                <w:szCs w:val="18"/>
                <w:lang w:val="en-GB"/>
              </w:rPr>
            </w:pPr>
            <w:r w:rsidRPr="0035062E">
              <w:rPr>
                <w:rFonts w:cs="Arial"/>
                <w:szCs w:val="18"/>
                <w:lang w:val="en-GB"/>
              </w:rPr>
              <w:t>37</w:t>
            </w:r>
          </w:p>
        </w:tc>
        <w:tc>
          <w:tcPr>
            <w:tcW w:w="1085" w:type="dxa"/>
            <w:shd w:val="clear" w:color="auto" w:fill="FFFFFF"/>
            <w:vAlign w:val="center"/>
          </w:tcPr>
          <w:p w14:paraId="194F88EB" w14:textId="6E78C6F3" w:rsidR="00D36DB1" w:rsidRPr="0035062E" w:rsidRDefault="00D36DB1" w:rsidP="0035062E">
            <w:pPr>
              <w:pStyle w:val="CETBodytext"/>
              <w:ind w:right="-1"/>
              <w:jc w:val="left"/>
              <w:rPr>
                <w:rFonts w:cs="Arial"/>
                <w:szCs w:val="18"/>
                <w:lang w:val="en-GB"/>
              </w:rPr>
            </w:pPr>
            <w:r w:rsidRPr="0035062E">
              <w:rPr>
                <w:rFonts w:cs="Arial"/>
                <w:szCs w:val="18"/>
                <w:lang w:val="en-GB"/>
              </w:rPr>
              <w:t>41</w:t>
            </w:r>
          </w:p>
        </w:tc>
        <w:tc>
          <w:tcPr>
            <w:tcW w:w="1085" w:type="dxa"/>
            <w:shd w:val="clear" w:color="auto" w:fill="FFFFFF"/>
            <w:vAlign w:val="center"/>
          </w:tcPr>
          <w:p w14:paraId="1B445CD1" w14:textId="40D98EF5" w:rsidR="00D36DB1" w:rsidRPr="0035062E" w:rsidRDefault="00D36DB1" w:rsidP="0035062E">
            <w:pPr>
              <w:pStyle w:val="CETBodytext"/>
              <w:ind w:right="-1"/>
              <w:jc w:val="left"/>
              <w:rPr>
                <w:rFonts w:cs="Arial"/>
                <w:szCs w:val="18"/>
                <w:lang w:val="en-GB"/>
              </w:rPr>
            </w:pPr>
            <w:r w:rsidRPr="0035062E">
              <w:rPr>
                <w:rFonts w:cs="Arial"/>
                <w:szCs w:val="18"/>
                <w:lang w:val="en-GB"/>
              </w:rPr>
              <w:t>43</w:t>
            </w:r>
          </w:p>
        </w:tc>
        <w:tc>
          <w:tcPr>
            <w:tcW w:w="1085" w:type="dxa"/>
            <w:shd w:val="clear" w:color="auto" w:fill="FFFFFF"/>
            <w:vAlign w:val="center"/>
          </w:tcPr>
          <w:p w14:paraId="28A96F4E" w14:textId="42CEC42A" w:rsidR="00D36DB1" w:rsidRPr="0035062E" w:rsidRDefault="00D36DB1" w:rsidP="0035062E">
            <w:pPr>
              <w:pStyle w:val="CETBodytext"/>
              <w:ind w:right="-1"/>
              <w:jc w:val="left"/>
              <w:rPr>
                <w:rFonts w:cs="Arial"/>
                <w:szCs w:val="18"/>
                <w:lang w:val="en-GB"/>
              </w:rPr>
            </w:pPr>
            <w:r w:rsidRPr="0035062E">
              <w:rPr>
                <w:rFonts w:cs="Arial"/>
                <w:szCs w:val="18"/>
                <w:lang w:val="en-GB"/>
              </w:rPr>
              <w:t>48</w:t>
            </w:r>
          </w:p>
        </w:tc>
      </w:tr>
      <w:tr w:rsidR="00D36DB1" w:rsidRPr="0035062E" w14:paraId="60854F04" w14:textId="77777777" w:rsidTr="0006151B">
        <w:tc>
          <w:tcPr>
            <w:tcW w:w="1118" w:type="dxa"/>
            <w:vMerge w:val="restart"/>
            <w:shd w:val="clear" w:color="auto" w:fill="FFFFFF"/>
            <w:vAlign w:val="center"/>
          </w:tcPr>
          <w:p w14:paraId="65A8135B" w14:textId="618B48F7" w:rsidR="00D36DB1" w:rsidRPr="0035062E" w:rsidRDefault="00D36DB1" w:rsidP="0035062E">
            <w:pPr>
              <w:pStyle w:val="CETBodytext"/>
              <w:ind w:right="-1"/>
              <w:jc w:val="left"/>
              <w:rPr>
                <w:rFonts w:cs="Arial"/>
                <w:szCs w:val="18"/>
                <w:lang w:val="en-GB"/>
              </w:rPr>
            </w:pPr>
            <w:r w:rsidRPr="0035062E">
              <w:rPr>
                <w:lang w:val="en-GB"/>
              </w:rPr>
              <w:t>Methane</w:t>
            </w:r>
          </w:p>
        </w:tc>
        <w:tc>
          <w:tcPr>
            <w:tcW w:w="2001" w:type="dxa"/>
            <w:vMerge w:val="restart"/>
            <w:shd w:val="clear" w:color="auto" w:fill="FFFFFF"/>
            <w:vAlign w:val="center"/>
          </w:tcPr>
          <w:p w14:paraId="76B2BA88" w14:textId="0D6D8DD9" w:rsidR="00D36DB1" w:rsidRPr="0035062E" w:rsidRDefault="00D36DB1" w:rsidP="0035062E">
            <w:pPr>
              <w:pStyle w:val="CETBodytext"/>
              <w:ind w:right="-1"/>
              <w:jc w:val="left"/>
              <w:rPr>
                <w:rFonts w:cs="Arial"/>
                <w:szCs w:val="18"/>
                <w:lang w:val="en-GB"/>
              </w:rPr>
            </w:pPr>
            <w:r w:rsidRPr="0035062E">
              <w:rPr>
                <w:lang w:val="en-GB"/>
              </w:rPr>
              <w:t>Partial bore (5 mm)</w:t>
            </w:r>
          </w:p>
        </w:tc>
        <w:tc>
          <w:tcPr>
            <w:tcW w:w="1134" w:type="dxa"/>
            <w:shd w:val="clear" w:color="auto" w:fill="FFFFFF"/>
            <w:vAlign w:val="center"/>
          </w:tcPr>
          <w:p w14:paraId="41AAFDCD" w14:textId="7673DE05" w:rsidR="00D36DB1" w:rsidRPr="0035062E" w:rsidRDefault="00D36DB1" w:rsidP="0035062E">
            <w:pPr>
              <w:pStyle w:val="CETBodytext"/>
              <w:ind w:right="-1"/>
              <w:jc w:val="left"/>
              <w:rPr>
                <w:rFonts w:cs="Arial"/>
                <w:szCs w:val="18"/>
                <w:lang w:val="en-GB"/>
              </w:rPr>
            </w:pPr>
            <w:r w:rsidRPr="0035062E">
              <w:rPr>
                <w:rFonts w:cs="Arial"/>
                <w:szCs w:val="18"/>
                <w:lang w:val="en-GB"/>
              </w:rPr>
              <w:t>2F</w:t>
            </w:r>
          </w:p>
        </w:tc>
        <w:tc>
          <w:tcPr>
            <w:tcW w:w="1279" w:type="dxa"/>
            <w:shd w:val="clear" w:color="auto" w:fill="FFFFFF"/>
            <w:vAlign w:val="center"/>
          </w:tcPr>
          <w:p w14:paraId="57D767D4" w14:textId="0F023978" w:rsidR="00D36DB1" w:rsidRPr="0035062E" w:rsidRDefault="00D36DB1" w:rsidP="0035062E">
            <w:pPr>
              <w:pStyle w:val="CETBodytext"/>
              <w:ind w:right="-1"/>
              <w:jc w:val="left"/>
              <w:rPr>
                <w:rFonts w:cs="Arial"/>
                <w:szCs w:val="18"/>
                <w:lang w:val="en-GB"/>
              </w:rPr>
            </w:pPr>
            <w:r w:rsidRPr="0035062E">
              <w:rPr>
                <w:rFonts w:cs="Arial"/>
                <w:szCs w:val="18"/>
                <w:lang w:val="en-GB"/>
              </w:rPr>
              <w:t>3</w:t>
            </w:r>
            <w:r w:rsidR="0006151B">
              <w:rPr>
                <w:rFonts w:cs="Arial"/>
                <w:szCs w:val="18"/>
                <w:lang w:val="en-GB"/>
              </w:rPr>
              <w:t>.</w:t>
            </w:r>
            <w:r w:rsidRPr="0035062E">
              <w:rPr>
                <w:rFonts w:cs="Arial"/>
                <w:szCs w:val="18"/>
                <w:lang w:val="en-GB"/>
              </w:rPr>
              <w:t>98</w:t>
            </w:r>
          </w:p>
        </w:tc>
        <w:tc>
          <w:tcPr>
            <w:tcW w:w="1085" w:type="dxa"/>
            <w:shd w:val="clear" w:color="auto" w:fill="FFFFFF"/>
            <w:vAlign w:val="center"/>
          </w:tcPr>
          <w:p w14:paraId="7DB71F5B" w14:textId="7560DD2E" w:rsidR="00D36DB1" w:rsidRPr="0035062E" w:rsidRDefault="00D36DB1" w:rsidP="0035062E">
            <w:pPr>
              <w:pStyle w:val="CETBodytext"/>
              <w:ind w:right="-1"/>
              <w:jc w:val="left"/>
              <w:rPr>
                <w:rFonts w:cs="Arial"/>
                <w:szCs w:val="18"/>
                <w:lang w:val="en-GB"/>
              </w:rPr>
            </w:pPr>
            <w:r w:rsidRPr="0035062E">
              <w:rPr>
                <w:rFonts w:cs="Arial"/>
                <w:szCs w:val="18"/>
                <w:lang w:val="en-GB"/>
              </w:rPr>
              <w:t>4</w:t>
            </w:r>
            <w:r w:rsidR="0006151B">
              <w:rPr>
                <w:rFonts w:cs="Arial"/>
                <w:szCs w:val="18"/>
                <w:lang w:val="en-GB"/>
              </w:rPr>
              <w:t>.</w:t>
            </w:r>
            <w:r w:rsidRPr="0035062E">
              <w:rPr>
                <w:rFonts w:cs="Arial"/>
                <w:szCs w:val="18"/>
                <w:lang w:val="en-GB"/>
              </w:rPr>
              <w:t>27</w:t>
            </w:r>
          </w:p>
        </w:tc>
        <w:tc>
          <w:tcPr>
            <w:tcW w:w="1085" w:type="dxa"/>
            <w:shd w:val="clear" w:color="auto" w:fill="FFFFFF"/>
            <w:vAlign w:val="center"/>
          </w:tcPr>
          <w:p w14:paraId="753AE31C" w14:textId="073D65C5" w:rsidR="00D36DB1" w:rsidRPr="0035062E" w:rsidRDefault="00D36DB1" w:rsidP="0035062E">
            <w:pPr>
              <w:pStyle w:val="CETBodytext"/>
              <w:ind w:right="-1"/>
              <w:jc w:val="left"/>
              <w:rPr>
                <w:rFonts w:cs="Arial"/>
                <w:szCs w:val="18"/>
                <w:lang w:val="en-GB"/>
              </w:rPr>
            </w:pPr>
            <w:r w:rsidRPr="0035062E">
              <w:rPr>
                <w:rFonts w:cs="Arial"/>
                <w:szCs w:val="18"/>
                <w:lang w:val="en-GB"/>
              </w:rPr>
              <w:t>4</w:t>
            </w:r>
            <w:r w:rsidR="0006151B">
              <w:rPr>
                <w:rFonts w:cs="Arial"/>
                <w:szCs w:val="18"/>
                <w:lang w:val="en-GB"/>
              </w:rPr>
              <w:t>.</w:t>
            </w:r>
            <w:r w:rsidRPr="0035062E">
              <w:rPr>
                <w:rFonts w:cs="Arial"/>
                <w:szCs w:val="18"/>
                <w:lang w:val="en-GB"/>
              </w:rPr>
              <w:t>40</w:t>
            </w:r>
          </w:p>
        </w:tc>
        <w:tc>
          <w:tcPr>
            <w:tcW w:w="1085" w:type="dxa"/>
            <w:shd w:val="clear" w:color="auto" w:fill="FFFFFF"/>
            <w:vAlign w:val="center"/>
          </w:tcPr>
          <w:p w14:paraId="6F27AF84" w14:textId="63688490" w:rsidR="00D36DB1" w:rsidRPr="0035062E" w:rsidRDefault="00D36DB1" w:rsidP="0035062E">
            <w:pPr>
              <w:pStyle w:val="CETBodytext"/>
              <w:ind w:right="-1"/>
              <w:jc w:val="left"/>
              <w:rPr>
                <w:rFonts w:cs="Arial"/>
                <w:szCs w:val="18"/>
                <w:lang w:val="en-GB"/>
              </w:rPr>
            </w:pPr>
            <w:r w:rsidRPr="0035062E">
              <w:rPr>
                <w:rFonts w:cs="Arial"/>
                <w:szCs w:val="18"/>
                <w:lang w:val="en-GB"/>
              </w:rPr>
              <w:t>4</w:t>
            </w:r>
            <w:r w:rsidR="0006151B">
              <w:rPr>
                <w:rFonts w:cs="Arial"/>
                <w:szCs w:val="18"/>
                <w:lang w:val="en-GB"/>
              </w:rPr>
              <w:t>.</w:t>
            </w:r>
            <w:r w:rsidRPr="0035062E">
              <w:rPr>
                <w:rFonts w:cs="Arial"/>
                <w:szCs w:val="18"/>
                <w:lang w:val="en-GB"/>
              </w:rPr>
              <w:t>62</w:t>
            </w:r>
          </w:p>
        </w:tc>
      </w:tr>
      <w:tr w:rsidR="00D36DB1" w:rsidRPr="0035062E" w14:paraId="4CD40560" w14:textId="77777777" w:rsidTr="0006151B">
        <w:tc>
          <w:tcPr>
            <w:tcW w:w="1118" w:type="dxa"/>
            <w:vMerge/>
            <w:shd w:val="clear" w:color="auto" w:fill="FFFFFF"/>
            <w:vAlign w:val="center"/>
          </w:tcPr>
          <w:p w14:paraId="37863075" w14:textId="77777777" w:rsidR="00D36DB1" w:rsidRPr="0035062E" w:rsidRDefault="00D36DB1" w:rsidP="0035062E">
            <w:pPr>
              <w:pStyle w:val="CETBodytext"/>
              <w:ind w:right="-1"/>
              <w:jc w:val="left"/>
              <w:rPr>
                <w:lang w:val="en-GB"/>
              </w:rPr>
            </w:pPr>
          </w:p>
        </w:tc>
        <w:tc>
          <w:tcPr>
            <w:tcW w:w="2001" w:type="dxa"/>
            <w:vMerge/>
            <w:shd w:val="clear" w:color="auto" w:fill="FFFFFF"/>
            <w:vAlign w:val="center"/>
          </w:tcPr>
          <w:p w14:paraId="701C9B6A" w14:textId="77777777" w:rsidR="00D36DB1" w:rsidRPr="0035062E" w:rsidRDefault="00D36DB1" w:rsidP="0035062E">
            <w:pPr>
              <w:pStyle w:val="CETBodytext"/>
              <w:ind w:right="-1"/>
              <w:jc w:val="left"/>
              <w:rPr>
                <w:lang w:val="en-GB"/>
              </w:rPr>
            </w:pPr>
          </w:p>
        </w:tc>
        <w:tc>
          <w:tcPr>
            <w:tcW w:w="1134" w:type="dxa"/>
            <w:shd w:val="clear" w:color="auto" w:fill="FFFFFF"/>
            <w:vAlign w:val="center"/>
          </w:tcPr>
          <w:p w14:paraId="1483354F" w14:textId="6E9772A7" w:rsidR="00D36DB1" w:rsidRPr="0035062E" w:rsidRDefault="00D36DB1" w:rsidP="0035062E">
            <w:pPr>
              <w:pStyle w:val="CETBodytext"/>
              <w:ind w:right="-1"/>
              <w:jc w:val="left"/>
              <w:rPr>
                <w:rFonts w:cs="Arial"/>
                <w:szCs w:val="18"/>
                <w:lang w:val="en-GB"/>
              </w:rPr>
            </w:pPr>
            <w:r w:rsidRPr="0035062E">
              <w:rPr>
                <w:rFonts w:cs="Arial"/>
                <w:szCs w:val="18"/>
                <w:lang w:val="en-GB"/>
              </w:rPr>
              <w:t>5D</w:t>
            </w:r>
          </w:p>
        </w:tc>
        <w:tc>
          <w:tcPr>
            <w:tcW w:w="1279" w:type="dxa"/>
            <w:shd w:val="clear" w:color="auto" w:fill="FFFFFF"/>
            <w:vAlign w:val="center"/>
          </w:tcPr>
          <w:p w14:paraId="08A0DEA9" w14:textId="7A1674C6" w:rsidR="00D36DB1" w:rsidRPr="0035062E" w:rsidRDefault="00D36DB1" w:rsidP="0035062E">
            <w:pPr>
              <w:pStyle w:val="CETBodytext"/>
              <w:ind w:right="-1"/>
              <w:jc w:val="left"/>
              <w:rPr>
                <w:rFonts w:cs="Arial"/>
                <w:szCs w:val="18"/>
                <w:lang w:val="en-GB"/>
              </w:rPr>
            </w:pPr>
            <w:r w:rsidRPr="0035062E">
              <w:rPr>
                <w:rFonts w:cs="Arial"/>
                <w:szCs w:val="18"/>
                <w:lang w:val="en-GB"/>
              </w:rPr>
              <w:t>3</w:t>
            </w:r>
            <w:r w:rsidR="0006151B">
              <w:rPr>
                <w:rFonts w:cs="Arial"/>
                <w:szCs w:val="18"/>
                <w:lang w:val="en-GB"/>
              </w:rPr>
              <w:t>.</w:t>
            </w:r>
            <w:r w:rsidRPr="0035062E">
              <w:rPr>
                <w:rFonts w:cs="Arial"/>
                <w:szCs w:val="18"/>
                <w:lang w:val="en-GB"/>
              </w:rPr>
              <w:t>96</w:t>
            </w:r>
          </w:p>
        </w:tc>
        <w:tc>
          <w:tcPr>
            <w:tcW w:w="1085" w:type="dxa"/>
            <w:shd w:val="clear" w:color="auto" w:fill="FFFFFF"/>
            <w:vAlign w:val="center"/>
          </w:tcPr>
          <w:p w14:paraId="1E8AAD66" w14:textId="71AC7C07" w:rsidR="00D36DB1" w:rsidRPr="0035062E" w:rsidRDefault="00D36DB1" w:rsidP="0035062E">
            <w:pPr>
              <w:pStyle w:val="CETBodytext"/>
              <w:ind w:right="-1"/>
              <w:jc w:val="left"/>
              <w:rPr>
                <w:rFonts w:cs="Arial"/>
                <w:szCs w:val="18"/>
                <w:lang w:val="en-GB"/>
              </w:rPr>
            </w:pPr>
            <w:r w:rsidRPr="0035062E">
              <w:rPr>
                <w:rFonts w:cs="Arial"/>
                <w:szCs w:val="18"/>
                <w:lang w:val="en-GB"/>
              </w:rPr>
              <w:t>4</w:t>
            </w:r>
            <w:r w:rsidR="0006151B">
              <w:rPr>
                <w:rFonts w:cs="Arial"/>
                <w:szCs w:val="18"/>
                <w:lang w:val="en-GB"/>
              </w:rPr>
              <w:t>.</w:t>
            </w:r>
            <w:r w:rsidRPr="0035062E">
              <w:rPr>
                <w:rFonts w:cs="Arial"/>
                <w:szCs w:val="18"/>
                <w:lang w:val="en-GB"/>
              </w:rPr>
              <w:t>18</w:t>
            </w:r>
          </w:p>
        </w:tc>
        <w:tc>
          <w:tcPr>
            <w:tcW w:w="1085" w:type="dxa"/>
            <w:shd w:val="clear" w:color="auto" w:fill="FFFFFF"/>
            <w:vAlign w:val="center"/>
          </w:tcPr>
          <w:p w14:paraId="492AD7C7" w14:textId="1CBD0CDE" w:rsidR="00D36DB1" w:rsidRPr="0035062E" w:rsidRDefault="00D36DB1" w:rsidP="0035062E">
            <w:pPr>
              <w:pStyle w:val="CETBodytext"/>
              <w:ind w:right="-1"/>
              <w:jc w:val="left"/>
              <w:rPr>
                <w:rFonts w:cs="Arial"/>
                <w:szCs w:val="18"/>
                <w:lang w:val="en-GB"/>
              </w:rPr>
            </w:pPr>
            <w:r w:rsidRPr="0035062E">
              <w:rPr>
                <w:rFonts w:cs="Arial"/>
                <w:szCs w:val="18"/>
                <w:lang w:val="en-GB"/>
              </w:rPr>
              <w:t>4</w:t>
            </w:r>
            <w:r w:rsidR="0006151B">
              <w:rPr>
                <w:rFonts w:cs="Arial"/>
                <w:szCs w:val="18"/>
                <w:lang w:val="en-GB"/>
              </w:rPr>
              <w:t>.</w:t>
            </w:r>
            <w:r w:rsidRPr="0035062E">
              <w:rPr>
                <w:rFonts w:cs="Arial"/>
                <w:szCs w:val="18"/>
                <w:lang w:val="en-GB"/>
              </w:rPr>
              <w:t>29</w:t>
            </w:r>
          </w:p>
        </w:tc>
        <w:tc>
          <w:tcPr>
            <w:tcW w:w="1085" w:type="dxa"/>
            <w:shd w:val="clear" w:color="auto" w:fill="FFFFFF"/>
            <w:vAlign w:val="center"/>
          </w:tcPr>
          <w:p w14:paraId="0BA4D034" w14:textId="4AAD8751" w:rsidR="00D36DB1" w:rsidRPr="0035062E" w:rsidRDefault="00D36DB1" w:rsidP="0035062E">
            <w:pPr>
              <w:pStyle w:val="CETBodytext"/>
              <w:ind w:right="-1"/>
              <w:jc w:val="left"/>
              <w:rPr>
                <w:rFonts w:cs="Arial"/>
                <w:szCs w:val="18"/>
                <w:lang w:val="en-GB"/>
              </w:rPr>
            </w:pPr>
            <w:r w:rsidRPr="0035062E">
              <w:rPr>
                <w:rFonts w:cs="Arial"/>
                <w:szCs w:val="18"/>
                <w:lang w:val="en-GB"/>
              </w:rPr>
              <w:t>4</w:t>
            </w:r>
            <w:r w:rsidR="0006151B">
              <w:rPr>
                <w:rFonts w:cs="Arial"/>
                <w:szCs w:val="18"/>
                <w:lang w:val="en-GB"/>
              </w:rPr>
              <w:t>.</w:t>
            </w:r>
            <w:r w:rsidRPr="0035062E">
              <w:rPr>
                <w:rFonts w:cs="Arial"/>
                <w:szCs w:val="18"/>
                <w:lang w:val="en-GB"/>
              </w:rPr>
              <w:t>47</w:t>
            </w:r>
          </w:p>
        </w:tc>
      </w:tr>
      <w:tr w:rsidR="00D36DB1" w:rsidRPr="0035062E" w14:paraId="46BDBB28" w14:textId="77777777" w:rsidTr="0006151B">
        <w:tc>
          <w:tcPr>
            <w:tcW w:w="1118" w:type="dxa"/>
            <w:vMerge/>
            <w:shd w:val="clear" w:color="auto" w:fill="FFFFFF"/>
            <w:vAlign w:val="center"/>
          </w:tcPr>
          <w:p w14:paraId="155917FE" w14:textId="77777777" w:rsidR="00D36DB1" w:rsidRPr="0035062E" w:rsidRDefault="00D36DB1" w:rsidP="0035062E">
            <w:pPr>
              <w:pStyle w:val="CETBodytext"/>
              <w:ind w:right="-1"/>
              <w:jc w:val="left"/>
              <w:rPr>
                <w:rFonts w:cs="Arial"/>
                <w:szCs w:val="18"/>
                <w:lang w:val="en-GB"/>
              </w:rPr>
            </w:pPr>
          </w:p>
        </w:tc>
        <w:tc>
          <w:tcPr>
            <w:tcW w:w="2001" w:type="dxa"/>
            <w:vMerge w:val="restart"/>
            <w:shd w:val="clear" w:color="auto" w:fill="FFFFFF"/>
            <w:vAlign w:val="center"/>
          </w:tcPr>
          <w:p w14:paraId="379FDBBE" w14:textId="4C735458" w:rsidR="00D36DB1" w:rsidRPr="0035062E" w:rsidRDefault="00D36DB1" w:rsidP="0035062E">
            <w:pPr>
              <w:pStyle w:val="CETBodytext"/>
              <w:ind w:right="-1"/>
              <w:jc w:val="left"/>
              <w:rPr>
                <w:rFonts w:cs="Arial"/>
                <w:szCs w:val="18"/>
                <w:lang w:val="en-GB"/>
              </w:rPr>
            </w:pPr>
            <w:r w:rsidRPr="0035062E">
              <w:rPr>
                <w:rFonts w:cs="Arial"/>
                <w:szCs w:val="18"/>
                <w:lang w:val="en-GB"/>
              </w:rPr>
              <w:t>Full bore (50 mm)</w:t>
            </w:r>
          </w:p>
        </w:tc>
        <w:tc>
          <w:tcPr>
            <w:tcW w:w="1134" w:type="dxa"/>
            <w:shd w:val="clear" w:color="auto" w:fill="FFFFFF"/>
            <w:vAlign w:val="center"/>
          </w:tcPr>
          <w:p w14:paraId="0ABDD235" w14:textId="4FAFC447" w:rsidR="00D36DB1" w:rsidRPr="0035062E" w:rsidRDefault="00D36DB1" w:rsidP="0035062E">
            <w:pPr>
              <w:pStyle w:val="CETBodytext"/>
              <w:ind w:right="-1"/>
              <w:jc w:val="left"/>
              <w:rPr>
                <w:rFonts w:cs="Arial"/>
                <w:szCs w:val="18"/>
                <w:lang w:val="en-GB"/>
              </w:rPr>
            </w:pPr>
            <w:r w:rsidRPr="0035062E">
              <w:rPr>
                <w:rFonts w:cs="Arial"/>
                <w:szCs w:val="18"/>
                <w:lang w:val="en-GB"/>
              </w:rPr>
              <w:t>2F</w:t>
            </w:r>
          </w:p>
        </w:tc>
        <w:tc>
          <w:tcPr>
            <w:tcW w:w="1279" w:type="dxa"/>
            <w:shd w:val="clear" w:color="auto" w:fill="FFFFFF"/>
            <w:vAlign w:val="center"/>
          </w:tcPr>
          <w:p w14:paraId="2F35E7FD" w14:textId="1A744B40" w:rsidR="00D36DB1" w:rsidRPr="0035062E" w:rsidRDefault="00D36DB1" w:rsidP="0035062E">
            <w:pPr>
              <w:pStyle w:val="CETBodytext"/>
              <w:ind w:right="-1"/>
              <w:jc w:val="left"/>
              <w:rPr>
                <w:rFonts w:cs="Arial"/>
                <w:szCs w:val="18"/>
                <w:lang w:val="en-GB"/>
              </w:rPr>
            </w:pPr>
            <w:r w:rsidRPr="0035062E">
              <w:rPr>
                <w:rFonts w:cs="Arial"/>
                <w:szCs w:val="18"/>
                <w:lang w:val="en-GB"/>
              </w:rPr>
              <w:t>40</w:t>
            </w:r>
          </w:p>
        </w:tc>
        <w:tc>
          <w:tcPr>
            <w:tcW w:w="1085" w:type="dxa"/>
            <w:shd w:val="clear" w:color="auto" w:fill="FFFFFF"/>
            <w:vAlign w:val="center"/>
          </w:tcPr>
          <w:p w14:paraId="4211993F" w14:textId="08BE3634" w:rsidR="00D36DB1" w:rsidRPr="0035062E" w:rsidRDefault="00D36DB1" w:rsidP="0035062E">
            <w:pPr>
              <w:pStyle w:val="CETBodytext"/>
              <w:ind w:right="-1"/>
              <w:jc w:val="left"/>
              <w:rPr>
                <w:rFonts w:cs="Arial"/>
                <w:szCs w:val="18"/>
                <w:lang w:val="en-GB"/>
              </w:rPr>
            </w:pPr>
            <w:r w:rsidRPr="0035062E">
              <w:rPr>
                <w:rFonts w:cs="Arial"/>
                <w:szCs w:val="18"/>
                <w:lang w:val="en-GB"/>
              </w:rPr>
              <w:t>45</w:t>
            </w:r>
          </w:p>
        </w:tc>
        <w:tc>
          <w:tcPr>
            <w:tcW w:w="1085" w:type="dxa"/>
            <w:shd w:val="clear" w:color="auto" w:fill="FFFFFF"/>
            <w:vAlign w:val="center"/>
          </w:tcPr>
          <w:p w14:paraId="3830D28A" w14:textId="2B236861" w:rsidR="00D36DB1" w:rsidRPr="0035062E" w:rsidRDefault="00D36DB1" w:rsidP="0035062E">
            <w:pPr>
              <w:pStyle w:val="CETBodytext"/>
              <w:ind w:right="-1"/>
              <w:jc w:val="left"/>
              <w:rPr>
                <w:rFonts w:cs="Arial"/>
                <w:szCs w:val="18"/>
                <w:lang w:val="en-GB"/>
              </w:rPr>
            </w:pPr>
            <w:r w:rsidRPr="0035062E">
              <w:rPr>
                <w:rFonts w:cs="Arial"/>
                <w:szCs w:val="18"/>
                <w:lang w:val="en-GB"/>
              </w:rPr>
              <w:t>49</w:t>
            </w:r>
          </w:p>
        </w:tc>
        <w:tc>
          <w:tcPr>
            <w:tcW w:w="1085" w:type="dxa"/>
            <w:shd w:val="clear" w:color="auto" w:fill="FFFFFF"/>
            <w:vAlign w:val="center"/>
          </w:tcPr>
          <w:p w14:paraId="4409CB01" w14:textId="4D98130D" w:rsidR="00D36DB1" w:rsidRPr="0035062E" w:rsidRDefault="00D36DB1" w:rsidP="0035062E">
            <w:pPr>
              <w:pStyle w:val="CETBodytext"/>
              <w:ind w:right="-1"/>
              <w:jc w:val="left"/>
              <w:rPr>
                <w:rFonts w:cs="Arial"/>
                <w:szCs w:val="18"/>
                <w:lang w:val="en-GB"/>
              </w:rPr>
            </w:pPr>
            <w:r w:rsidRPr="0035062E">
              <w:rPr>
                <w:rFonts w:cs="Arial"/>
                <w:szCs w:val="18"/>
                <w:lang w:val="en-GB"/>
              </w:rPr>
              <w:t>55</w:t>
            </w:r>
          </w:p>
        </w:tc>
      </w:tr>
      <w:tr w:rsidR="00D36DB1" w:rsidRPr="0035062E" w14:paraId="10CF8142" w14:textId="77777777" w:rsidTr="0006151B">
        <w:tc>
          <w:tcPr>
            <w:tcW w:w="1118" w:type="dxa"/>
            <w:vMerge/>
            <w:shd w:val="clear" w:color="auto" w:fill="FFFFFF"/>
            <w:vAlign w:val="center"/>
          </w:tcPr>
          <w:p w14:paraId="18C80FAF" w14:textId="77777777" w:rsidR="00D36DB1" w:rsidRPr="0035062E" w:rsidRDefault="00D36DB1" w:rsidP="0035062E">
            <w:pPr>
              <w:pStyle w:val="CETBodytext"/>
              <w:ind w:right="-1"/>
              <w:jc w:val="left"/>
              <w:rPr>
                <w:rFonts w:cs="Arial"/>
                <w:szCs w:val="18"/>
                <w:lang w:val="en-GB"/>
              </w:rPr>
            </w:pPr>
          </w:p>
        </w:tc>
        <w:tc>
          <w:tcPr>
            <w:tcW w:w="2001" w:type="dxa"/>
            <w:vMerge/>
            <w:shd w:val="clear" w:color="auto" w:fill="FFFFFF"/>
            <w:vAlign w:val="center"/>
          </w:tcPr>
          <w:p w14:paraId="1828C8AA" w14:textId="77777777" w:rsidR="00D36DB1" w:rsidRPr="0035062E" w:rsidRDefault="00D36DB1" w:rsidP="0035062E">
            <w:pPr>
              <w:pStyle w:val="CETBodytext"/>
              <w:ind w:right="-1"/>
              <w:jc w:val="left"/>
              <w:rPr>
                <w:rFonts w:cs="Arial"/>
                <w:szCs w:val="18"/>
                <w:lang w:val="en-GB"/>
              </w:rPr>
            </w:pPr>
          </w:p>
        </w:tc>
        <w:tc>
          <w:tcPr>
            <w:tcW w:w="1134" w:type="dxa"/>
            <w:shd w:val="clear" w:color="auto" w:fill="FFFFFF"/>
            <w:vAlign w:val="center"/>
          </w:tcPr>
          <w:p w14:paraId="6FA6E9B0" w14:textId="2C8F3460" w:rsidR="00D36DB1" w:rsidRPr="0035062E" w:rsidRDefault="00D36DB1" w:rsidP="0035062E">
            <w:pPr>
              <w:pStyle w:val="CETBodytext"/>
              <w:ind w:right="-1"/>
              <w:jc w:val="left"/>
              <w:rPr>
                <w:rFonts w:cs="Arial"/>
                <w:szCs w:val="18"/>
                <w:lang w:val="en-GB"/>
              </w:rPr>
            </w:pPr>
            <w:r w:rsidRPr="0035062E">
              <w:rPr>
                <w:rFonts w:cs="Arial"/>
                <w:szCs w:val="18"/>
                <w:lang w:val="en-GB"/>
              </w:rPr>
              <w:t>5D</w:t>
            </w:r>
          </w:p>
        </w:tc>
        <w:tc>
          <w:tcPr>
            <w:tcW w:w="1279" w:type="dxa"/>
            <w:shd w:val="clear" w:color="auto" w:fill="FFFFFF"/>
            <w:vAlign w:val="center"/>
          </w:tcPr>
          <w:p w14:paraId="715FED29" w14:textId="7A778DD8" w:rsidR="00D36DB1" w:rsidRPr="0035062E" w:rsidRDefault="00D36DB1" w:rsidP="0035062E">
            <w:pPr>
              <w:pStyle w:val="CETBodytext"/>
              <w:ind w:right="-1"/>
              <w:jc w:val="left"/>
              <w:rPr>
                <w:rFonts w:cs="Arial"/>
                <w:szCs w:val="18"/>
                <w:lang w:val="en-GB"/>
              </w:rPr>
            </w:pPr>
            <w:r w:rsidRPr="0035062E">
              <w:rPr>
                <w:rFonts w:cs="Arial"/>
                <w:szCs w:val="18"/>
                <w:lang w:val="en-GB"/>
              </w:rPr>
              <w:t>41</w:t>
            </w:r>
          </w:p>
        </w:tc>
        <w:tc>
          <w:tcPr>
            <w:tcW w:w="1085" w:type="dxa"/>
            <w:shd w:val="clear" w:color="auto" w:fill="FFFFFF"/>
            <w:vAlign w:val="center"/>
          </w:tcPr>
          <w:p w14:paraId="081A3137" w14:textId="644EABE4" w:rsidR="00D36DB1" w:rsidRPr="0035062E" w:rsidRDefault="00D36DB1" w:rsidP="0035062E">
            <w:pPr>
              <w:pStyle w:val="CETBodytext"/>
              <w:ind w:right="-1"/>
              <w:jc w:val="left"/>
              <w:rPr>
                <w:rFonts w:cs="Arial"/>
                <w:szCs w:val="18"/>
                <w:lang w:val="en-GB"/>
              </w:rPr>
            </w:pPr>
            <w:r w:rsidRPr="0035062E">
              <w:rPr>
                <w:rFonts w:cs="Arial"/>
                <w:szCs w:val="18"/>
                <w:lang w:val="en-GB"/>
              </w:rPr>
              <w:t>46</w:t>
            </w:r>
          </w:p>
        </w:tc>
        <w:tc>
          <w:tcPr>
            <w:tcW w:w="1085" w:type="dxa"/>
            <w:shd w:val="clear" w:color="auto" w:fill="FFFFFF"/>
            <w:vAlign w:val="center"/>
          </w:tcPr>
          <w:p w14:paraId="6FDEAD12" w14:textId="6F70ACBB" w:rsidR="00D36DB1" w:rsidRPr="0035062E" w:rsidRDefault="00D36DB1" w:rsidP="0035062E">
            <w:pPr>
              <w:pStyle w:val="CETBodytext"/>
              <w:ind w:right="-1"/>
              <w:jc w:val="left"/>
              <w:rPr>
                <w:rFonts w:cs="Arial"/>
                <w:szCs w:val="18"/>
                <w:lang w:val="en-GB"/>
              </w:rPr>
            </w:pPr>
            <w:r w:rsidRPr="0035062E">
              <w:rPr>
                <w:rFonts w:cs="Arial"/>
                <w:szCs w:val="18"/>
                <w:lang w:val="en-GB"/>
              </w:rPr>
              <w:t>49</w:t>
            </w:r>
          </w:p>
        </w:tc>
        <w:tc>
          <w:tcPr>
            <w:tcW w:w="1085" w:type="dxa"/>
            <w:shd w:val="clear" w:color="auto" w:fill="FFFFFF"/>
            <w:vAlign w:val="center"/>
          </w:tcPr>
          <w:p w14:paraId="4CA27E2E" w14:textId="3361F729" w:rsidR="00D36DB1" w:rsidRPr="0035062E" w:rsidRDefault="00D36DB1" w:rsidP="0035062E">
            <w:pPr>
              <w:pStyle w:val="CETBodytext"/>
              <w:ind w:right="-1"/>
              <w:jc w:val="left"/>
              <w:rPr>
                <w:rFonts w:cs="Arial"/>
                <w:szCs w:val="18"/>
                <w:lang w:val="en-GB"/>
              </w:rPr>
            </w:pPr>
            <w:r w:rsidRPr="0035062E">
              <w:rPr>
                <w:rFonts w:cs="Arial"/>
                <w:szCs w:val="18"/>
                <w:lang w:val="en-GB"/>
              </w:rPr>
              <w:t>54</w:t>
            </w:r>
          </w:p>
        </w:tc>
      </w:tr>
    </w:tbl>
    <w:p w14:paraId="560521B6" w14:textId="77777777" w:rsidR="00CC6287" w:rsidRPr="0035062E" w:rsidRDefault="00CC6287" w:rsidP="00397605"/>
    <w:p w14:paraId="3FCF4121" w14:textId="77777777" w:rsidR="00DE4DAA" w:rsidRPr="0035062E" w:rsidRDefault="00465C7C" w:rsidP="00DE4DAA">
      <w:pPr>
        <w:pStyle w:val="CETBodytext"/>
        <w:rPr>
          <w:lang w:val="en-GB"/>
        </w:rPr>
      </w:pPr>
      <w:r w:rsidRPr="0035062E">
        <w:rPr>
          <w:lang w:val="en-GB"/>
        </w:rPr>
        <w:lastRenderedPageBreak/>
        <w:t>The explosion scenario, particularly focusing on delayed detonation, is solely observed in full bore modelling due to the large quantities of gas released and their dispersion in the atmosphere; indeed, in partial rupture modelling</w:t>
      </w:r>
      <w:r w:rsidR="00DE4DAA" w:rsidRPr="0035062E">
        <w:rPr>
          <w:lang w:val="en-GB"/>
        </w:rPr>
        <w:t xml:space="preserve">, the requisite concentrations essential for initiating and sustaining explosive combustion are </w:t>
      </w:r>
      <w:r w:rsidRPr="0035062E">
        <w:rPr>
          <w:lang w:val="en-GB"/>
        </w:rPr>
        <w:t>not reached.</w:t>
      </w:r>
      <w:r w:rsidR="00DE4DAA" w:rsidRPr="0035062E">
        <w:rPr>
          <w:lang w:val="en-GB"/>
        </w:rPr>
        <w:t xml:space="preserve"> In the following table are reported the data obtain from the consequence modelling.</w:t>
      </w:r>
    </w:p>
    <w:p w14:paraId="629FA744" w14:textId="08719577" w:rsidR="00DE4DAA" w:rsidRPr="0035062E" w:rsidRDefault="00DE4DAA" w:rsidP="00DE4DAA">
      <w:pPr>
        <w:pStyle w:val="CETTabletitle"/>
      </w:pPr>
      <w:r w:rsidRPr="0035062E">
        <w:t xml:space="preserve">Table </w:t>
      </w:r>
      <w:r w:rsidRPr="0035062E">
        <w:fldChar w:fldCharType="begin"/>
      </w:r>
      <w:r w:rsidRPr="0035062E">
        <w:instrText xml:space="preserve"> SEQ Table \* ARABIC </w:instrText>
      </w:r>
      <w:r w:rsidRPr="0035062E">
        <w:fldChar w:fldCharType="separate"/>
      </w:r>
      <w:r w:rsidR="00B97CA0">
        <w:rPr>
          <w:noProof/>
        </w:rPr>
        <w:t>4</w:t>
      </w:r>
      <w:r w:rsidRPr="0035062E">
        <w:fldChar w:fldCharType="end"/>
      </w:r>
      <w:r w:rsidRPr="0035062E">
        <w:t xml:space="preserve">: Hydrogen vs Methane </w:t>
      </w:r>
      <w:r w:rsidR="001F0847">
        <w:t>delayed</w:t>
      </w:r>
      <w:r w:rsidRPr="0035062E">
        <w:t xml:space="preserve"> explosion scenario</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18"/>
        <w:gridCol w:w="2001"/>
        <w:gridCol w:w="1328"/>
        <w:gridCol w:w="1085"/>
        <w:gridCol w:w="1085"/>
        <w:gridCol w:w="1085"/>
        <w:gridCol w:w="1085"/>
      </w:tblGrid>
      <w:tr w:rsidR="00DE4DAA" w:rsidRPr="0035062E" w14:paraId="7E7B22A6" w14:textId="77777777" w:rsidTr="0035062E">
        <w:tc>
          <w:tcPr>
            <w:tcW w:w="3119" w:type="dxa"/>
            <w:gridSpan w:val="2"/>
            <w:tcBorders>
              <w:top w:val="single" w:sz="12" w:space="0" w:color="008000"/>
              <w:bottom w:val="single" w:sz="6" w:space="0" w:color="008000"/>
            </w:tcBorders>
            <w:shd w:val="clear" w:color="auto" w:fill="FFFFFF"/>
            <w:vAlign w:val="center"/>
          </w:tcPr>
          <w:p w14:paraId="21E0D457" w14:textId="77777777" w:rsidR="00DE4DAA" w:rsidRPr="0035062E" w:rsidRDefault="00DE4DAA" w:rsidP="0035062E">
            <w:pPr>
              <w:pStyle w:val="CETBodytext"/>
              <w:jc w:val="left"/>
              <w:rPr>
                <w:lang w:val="en-GB"/>
              </w:rPr>
            </w:pPr>
            <w:r w:rsidRPr="0035062E">
              <w:rPr>
                <w:lang w:val="en-GB"/>
              </w:rPr>
              <w:t>Scenario</w:t>
            </w:r>
          </w:p>
        </w:tc>
        <w:tc>
          <w:tcPr>
            <w:tcW w:w="1328" w:type="dxa"/>
            <w:tcBorders>
              <w:top w:val="single" w:sz="12" w:space="0" w:color="008000"/>
              <w:bottom w:val="single" w:sz="6" w:space="0" w:color="008000"/>
            </w:tcBorders>
            <w:shd w:val="clear" w:color="auto" w:fill="FFFFFF"/>
            <w:vAlign w:val="center"/>
          </w:tcPr>
          <w:p w14:paraId="493ED204" w14:textId="77777777" w:rsidR="00DE4DAA" w:rsidRPr="0035062E" w:rsidRDefault="00DE4DAA" w:rsidP="0035062E">
            <w:pPr>
              <w:pStyle w:val="CETBodytext"/>
              <w:ind w:right="-1"/>
              <w:jc w:val="left"/>
              <w:rPr>
                <w:rFonts w:cs="Arial"/>
                <w:szCs w:val="18"/>
                <w:lang w:val="en-GB"/>
              </w:rPr>
            </w:pPr>
            <w:r w:rsidRPr="0035062E">
              <w:rPr>
                <w:rFonts w:cs="Arial"/>
                <w:szCs w:val="18"/>
                <w:lang w:val="en-GB"/>
              </w:rPr>
              <w:t>Weather conditions</w:t>
            </w:r>
          </w:p>
        </w:tc>
        <w:tc>
          <w:tcPr>
            <w:tcW w:w="4340" w:type="dxa"/>
            <w:gridSpan w:val="4"/>
            <w:tcBorders>
              <w:top w:val="single" w:sz="12" w:space="0" w:color="008000"/>
              <w:bottom w:val="single" w:sz="6" w:space="0" w:color="008000"/>
            </w:tcBorders>
            <w:shd w:val="clear" w:color="auto" w:fill="FFFFFF"/>
            <w:vAlign w:val="center"/>
          </w:tcPr>
          <w:p w14:paraId="0A0BB714" w14:textId="53E52F9F" w:rsidR="00DE4DAA" w:rsidRPr="0035062E" w:rsidRDefault="00DE4DAA" w:rsidP="0035062E">
            <w:pPr>
              <w:pStyle w:val="CETBodytext"/>
              <w:ind w:right="-1"/>
              <w:jc w:val="left"/>
              <w:rPr>
                <w:rFonts w:cs="Arial"/>
                <w:szCs w:val="18"/>
                <w:lang w:val="en-GB"/>
              </w:rPr>
            </w:pPr>
            <w:r w:rsidRPr="0035062E">
              <w:rPr>
                <w:rFonts w:cs="Arial"/>
                <w:szCs w:val="18"/>
                <w:lang w:val="en-GB"/>
              </w:rPr>
              <w:t>Damage distances</w:t>
            </w:r>
            <w:r w:rsidR="0035062E" w:rsidRPr="0035062E">
              <w:rPr>
                <w:rFonts w:cs="Arial"/>
                <w:szCs w:val="18"/>
                <w:lang w:val="en-GB"/>
              </w:rPr>
              <w:br/>
            </w:r>
            <w:r w:rsidR="00205807" w:rsidRPr="0035062E">
              <w:rPr>
                <w:rFonts w:cs="Arial"/>
                <w:szCs w:val="18"/>
                <w:lang w:val="en-GB"/>
              </w:rPr>
              <w:t xml:space="preserve">Maximum </w:t>
            </w:r>
            <w:r w:rsidR="0035062E" w:rsidRPr="0035062E">
              <w:rPr>
                <w:rFonts w:cs="Arial"/>
                <w:szCs w:val="18"/>
                <w:lang w:val="en-GB"/>
              </w:rPr>
              <w:t>overpressure diameter</w:t>
            </w:r>
            <w:r w:rsidR="00205807" w:rsidRPr="0035062E">
              <w:rPr>
                <w:rFonts w:cs="Arial"/>
                <w:szCs w:val="18"/>
                <w:lang w:val="en-GB"/>
              </w:rPr>
              <w:t xml:space="preserve"> (m)</w:t>
            </w:r>
          </w:p>
        </w:tc>
      </w:tr>
      <w:tr w:rsidR="00DE4DAA" w:rsidRPr="0035062E" w14:paraId="35E51D43" w14:textId="77777777" w:rsidTr="0035062E">
        <w:tc>
          <w:tcPr>
            <w:tcW w:w="3119" w:type="dxa"/>
            <w:gridSpan w:val="2"/>
            <w:tcBorders>
              <w:top w:val="single" w:sz="12" w:space="0" w:color="008000"/>
              <w:bottom w:val="single" w:sz="6" w:space="0" w:color="008000"/>
            </w:tcBorders>
            <w:shd w:val="clear" w:color="auto" w:fill="FFFFFF"/>
            <w:vAlign w:val="center"/>
          </w:tcPr>
          <w:p w14:paraId="54ED36D6" w14:textId="77777777" w:rsidR="00DE4DAA" w:rsidRPr="0035062E" w:rsidRDefault="00DE4DAA" w:rsidP="0035062E">
            <w:pPr>
              <w:pStyle w:val="CETBodytext"/>
              <w:jc w:val="left"/>
              <w:rPr>
                <w:lang w:val="en-GB"/>
              </w:rPr>
            </w:pPr>
          </w:p>
        </w:tc>
        <w:tc>
          <w:tcPr>
            <w:tcW w:w="1328" w:type="dxa"/>
            <w:tcBorders>
              <w:top w:val="single" w:sz="12" w:space="0" w:color="008000"/>
              <w:bottom w:val="single" w:sz="6" w:space="0" w:color="008000"/>
            </w:tcBorders>
            <w:shd w:val="clear" w:color="auto" w:fill="FFFFFF"/>
            <w:vAlign w:val="center"/>
          </w:tcPr>
          <w:p w14:paraId="2B5D8563" w14:textId="77777777" w:rsidR="00DE4DAA" w:rsidRPr="0035062E" w:rsidRDefault="00DE4DAA" w:rsidP="0035062E">
            <w:pPr>
              <w:pStyle w:val="CETBodytext"/>
              <w:ind w:right="-1"/>
              <w:jc w:val="left"/>
              <w:rPr>
                <w:rFonts w:cs="Arial"/>
                <w:szCs w:val="18"/>
                <w:lang w:val="en-GB"/>
              </w:rPr>
            </w:pPr>
          </w:p>
        </w:tc>
        <w:tc>
          <w:tcPr>
            <w:tcW w:w="1085" w:type="dxa"/>
            <w:tcBorders>
              <w:top w:val="single" w:sz="12" w:space="0" w:color="008000"/>
              <w:bottom w:val="single" w:sz="6" w:space="0" w:color="008000"/>
            </w:tcBorders>
            <w:shd w:val="clear" w:color="auto" w:fill="FFFFFF"/>
            <w:vAlign w:val="center"/>
          </w:tcPr>
          <w:p w14:paraId="3DD2F20B" w14:textId="503E3836" w:rsidR="00DE4DAA" w:rsidRPr="0035062E" w:rsidRDefault="00205807" w:rsidP="0035062E">
            <w:pPr>
              <w:pStyle w:val="CETBodytext"/>
              <w:ind w:right="-1"/>
              <w:jc w:val="left"/>
              <w:rPr>
                <w:rFonts w:cs="Arial"/>
                <w:szCs w:val="18"/>
                <w:lang w:val="en-GB"/>
              </w:rPr>
            </w:pPr>
            <w:r w:rsidRPr="0035062E">
              <w:rPr>
                <w:rFonts w:cs="Arial"/>
                <w:szCs w:val="18"/>
                <w:lang w:val="en-GB"/>
              </w:rPr>
              <w:t>0</w:t>
            </w:r>
            <w:r w:rsidR="0006151B">
              <w:rPr>
                <w:rFonts w:cs="Arial"/>
                <w:szCs w:val="18"/>
                <w:lang w:val="en-GB"/>
              </w:rPr>
              <w:t>.</w:t>
            </w:r>
            <w:r w:rsidRPr="0035062E">
              <w:rPr>
                <w:rFonts w:cs="Arial"/>
                <w:szCs w:val="18"/>
                <w:lang w:val="en-GB"/>
              </w:rPr>
              <w:t>3</w:t>
            </w:r>
            <w:r w:rsidR="00DE4DAA" w:rsidRPr="0035062E">
              <w:rPr>
                <w:rFonts w:cs="Arial"/>
                <w:szCs w:val="18"/>
                <w:lang w:val="en-GB"/>
              </w:rPr>
              <w:t xml:space="preserve"> (</w:t>
            </w:r>
            <w:r w:rsidRPr="0035062E">
              <w:rPr>
                <w:rFonts w:cs="Arial"/>
                <w:szCs w:val="18"/>
                <w:lang w:val="en-GB"/>
              </w:rPr>
              <w:t>bar</w:t>
            </w:r>
            <w:r w:rsidR="00DE4DAA" w:rsidRPr="0035062E">
              <w:rPr>
                <w:rFonts w:cs="Arial"/>
                <w:szCs w:val="18"/>
                <w:lang w:val="en-GB"/>
              </w:rPr>
              <w:t xml:space="preserve">) </w:t>
            </w:r>
          </w:p>
        </w:tc>
        <w:tc>
          <w:tcPr>
            <w:tcW w:w="1085" w:type="dxa"/>
            <w:tcBorders>
              <w:top w:val="single" w:sz="12" w:space="0" w:color="008000"/>
              <w:bottom w:val="single" w:sz="6" w:space="0" w:color="008000"/>
            </w:tcBorders>
            <w:shd w:val="clear" w:color="auto" w:fill="FFFFFF"/>
            <w:vAlign w:val="center"/>
          </w:tcPr>
          <w:p w14:paraId="609C69FC" w14:textId="4B2C4542" w:rsidR="00DE4DAA" w:rsidRPr="0035062E" w:rsidRDefault="00205807" w:rsidP="0035062E">
            <w:pPr>
              <w:pStyle w:val="CETBodytext"/>
              <w:ind w:right="-1"/>
              <w:jc w:val="left"/>
              <w:rPr>
                <w:rFonts w:cs="Arial"/>
                <w:szCs w:val="18"/>
                <w:lang w:val="en-GB"/>
              </w:rPr>
            </w:pPr>
            <w:r w:rsidRPr="0035062E">
              <w:rPr>
                <w:rFonts w:cs="Arial"/>
                <w:szCs w:val="18"/>
                <w:lang w:val="en-GB"/>
              </w:rPr>
              <w:t>0</w:t>
            </w:r>
            <w:r w:rsidR="0006151B">
              <w:rPr>
                <w:rFonts w:cs="Arial"/>
                <w:szCs w:val="18"/>
                <w:lang w:val="en-GB"/>
              </w:rPr>
              <w:t>.</w:t>
            </w:r>
            <w:r w:rsidRPr="0035062E">
              <w:rPr>
                <w:rFonts w:cs="Arial"/>
                <w:szCs w:val="18"/>
                <w:lang w:val="en-GB"/>
              </w:rPr>
              <w:t>14</w:t>
            </w:r>
            <w:r w:rsidR="00DE4DAA" w:rsidRPr="0035062E">
              <w:rPr>
                <w:rFonts w:cs="Arial"/>
                <w:szCs w:val="18"/>
                <w:lang w:val="en-GB"/>
              </w:rPr>
              <w:t xml:space="preserve"> (</w:t>
            </w:r>
            <w:r w:rsidRPr="0035062E">
              <w:rPr>
                <w:rFonts w:cs="Arial"/>
                <w:szCs w:val="18"/>
                <w:lang w:val="en-GB"/>
              </w:rPr>
              <w:t>bar</w:t>
            </w:r>
            <w:r w:rsidR="00DE4DAA" w:rsidRPr="0035062E">
              <w:rPr>
                <w:rFonts w:cs="Arial"/>
                <w:szCs w:val="18"/>
                <w:lang w:val="en-GB"/>
              </w:rPr>
              <w:t>)</w:t>
            </w:r>
          </w:p>
        </w:tc>
        <w:tc>
          <w:tcPr>
            <w:tcW w:w="1085" w:type="dxa"/>
            <w:tcBorders>
              <w:top w:val="single" w:sz="12" w:space="0" w:color="008000"/>
              <w:bottom w:val="single" w:sz="6" w:space="0" w:color="008000"/>
            </w:tcBorders>
            <w:shd w:val="clear" w:color="auto" w:fill="FFFFFF"/>
            <w:vAlign w:val="center"/>
          </w:tcPr>
          <w:p w14:paraId="6B9AC827" w14:textId="006F8DC7" w:rsidR="00DE4DAA" w:rsidRPr="0035062E" w:rsidRDefault="00205807" w:rsidP="0035062E">
            <w:pPr>
              <w:pStyle w:val="CETBodytext"/>
              <w:ind w:right="-1"/>
              <w:jc w:val="left"/>
              <w:rPr>
                <w:rFonts w:cs="Arial"/>
                <w:szCs w:val="18"/>
                <w:lang w:val="en-GB"/>
              </w:rPr>
            </w:pPr>
            <w:r w:rsidRPr="0035062E">
              <w:rPr>
                <w:rFonts w:cs="Arial"/>
                <w:szCs w:val="18"/>
                <w:lang w:val="en-GB"/>
              </w:rPr>
              <w:t>0</w:t>
            </w:r>
            <w:r w:rsidR="0006151B">
              <w:rPr>
                <w:rFonts w:cs="Arial"/>
                <w:szCs w:val="18"/>
                <w:lang w:val="en-GB"/>
              </w:rPr>
              <w:t>.</w:t>
            </w:r>
            <w:r w:rsidRPr="0035062E">
              <w:rPr>
                <w:rFonts w:cs="Arial"/>
                <w:szCs w:val="18"/>
                <w:lang w:val="en-GB"/>
              </w:rPr>
              <w:t>07</w:t>
            </w:r>
            <w:r w:rsidR="00DE4DAA" w:rsidRPr="0035062E">
              <w:rPr>
                <w:rFonts w:cs="Arial"/>
                <w:szCs w:val="18"/>
                <w:lang w:val="en-GB"/>
              </w:rPr>
              <w:t xml:space="preserve"> (</w:t>
            </w:r>
            <w:r w:rsidRPr="0035062E">
              <w:rPr>
                <w:rFonts w:cs="Arial"/>
                <w:szCs w:val="18"/>
                <w:lang w:val="en-GB"/>
              </w:rPr>
              <w:t>bar</w:t>
            </w:r>
            <w:r w:rsidR="00DE4DAA" w:rsidRPr="0035062E">
              <w:rPr>
                <w:rFonts w:cs="Arial"/>
                <w:szCs w:val="18"/>
                <w:lang w:val="en-GB"/>
              </w:rPr>
              <w:t>)</w:t>
            </w:r>
          </w:p>
        </w:tc>
        <w:tc>
          <w:tcPr>
            <w:tcW w:w="1085" w:type="dxa"/>
            <w:tcBorders>
              <w:top w:val="single" w:sz="12" w:space="0" w:color="008000"/>
              <w:bottom w:val="single" w:sz="6" w:space="0" w:color="008000"/>
            </w:tcBorders>
            <w:shd w:val="clear" w:color="auto" w:fill="FFFFFF"/>
            <w:vAlign w:val="center"/>
          </w:tcPr>
          <w:p w14:paraId="2BFD77AE" w14:textId="2D996DCB" w:rsidR="00DE4DAA" w:rsidRPr="0035062E" w:rsidRDefault="00205807" w:rsidP="0035062E">
            <w:pPr>
              <w:pStyle w:val="CETBodytext"/>
              <w:ind w:right="-1"/>
              <w:jc w:val="left"/>
              <w:rPr>
                <w:rFonts w:cs="Arial"/>
                <w:szCs w:val="18"/>
                <w:lang w:val="en-GB"/>
              </w:rPr>
            </w:pPr>
            <w:r w:rsidRPr="0035062E">
              <w:rPr>
                <w:rFonts w:cs="Arial"/>
                <w:szCs w:val="18"/>
                <w:lang w:val="en-GB"/>
              </w:rPr>
              <w:t>0</w:t>
            </w:r>
            <w:r w:rsidR="0006151B">
              <w:rPr>
                <w:rFonts w:cs="Arial"/>
                <w:szCs w:val="18"/>
                <w:lang w:val="en-GB"/>
              </w:rPr>
              <w:t>.</w:t>
            </w:r>
            <w:r w:rsidRPr="0035062E">
              <w:rPr>
                <w:rFonts w:cs="Arial"/>
                <w:szCs w:val="18"/>
                <w:lang w:val="en-GB"/>
              </w:rPr>
              <w:t>0</w:t>
            </w:r>
            <w:r w:rsidR="00DE4DAA" w:rsidRPr="0035062E">
              <w:rPr>
                <w:rFonts w:cs="Arial"/>
                <w:szCs w:val="18"/>
                <w:lang w:val="en-GB"/>
              </w:rPr>
              <w:t>3 (</w:t>
            </w:r>
            <w:r w:rsidRPr="0035062E">
              <w:rPr>
                <w:rFonts w:cs="Arial"/>
                <w:szCs w:val="18"/>
                <w:lang w:val="en-GB"/>
              </w:rPr>
              <w:t>bar</w:t>
            </w:r>
            <w:r w:rsidR="00DE4DAA" w:rsidRPr="0035062E">
              <w:rPr>
                <w:rFonts w:cs="Arial"/>
                <w:szCs w:val="18"/>
                <w:lang w:val="en-GB"/>
              </w:rPr>
              <w:t>)</w:t>
            </w:r>
          </w:p>
        </w:tc>
      </w:tr>
      <w:tr w:rsidR="00DE4DAA" w:rsidRPr="0035062E" w14:paraId="7837A9B6" w14:textId="77777777" w:rsidTr="0035062E">
        <w:tc>
          <w:tcPr>
            <w:tcW w:w="1118" w:type="dxa"/>
            <w:vMerge w:val="restart"/>
            <w:shd w:val="clear" w:color="auto" w:fill="FFFFFF"/>
            <w:vAlign w:val="center"/>
          </w:tcPr>
          <w:p w14:paraId="31A05F05" w14:textId="77777777" w:rsidR="00DE4DAA" w:rsidRPr="0035062E" w:rsidRDefault="00DE4DAA" w:rsidP="0035062E">
            <w:pPr>
              <w:pStyle w:val="CETBodytext"/>
              <w:jc w:val="left"/>
              <w:rPr>
                <w:lang w:val="en-GB"/>
              </w:rPr>
            </w:pPr>
            <w:r w:rsidRPr="0035062E">
              <w:rPr>
                <w:lang w:val="en-GB"/>
              </w:rPr>
              <w:t>Hydrogen</w:t>
            </w:r>
          </w:p>
        </w:tc>
        <w:tc>
          <w:tcPr>
            <w:tcW w:w="2001" w:type="dxa"/>
            <w:vMerge w:val="restart"/>
            <w:shd w:val="clear" w:color="auto" w:fill="FFFFFF"/>
            <w:vAlign w:val="center"/>
          </w:tcPr>
          <w:p w14:paraId="706A07D3" w14:textId="3A85156A" w:rsidR="00DE4DAA" w:rsidRPr="0035062E" w:rsidRDefault="00DE4DAA" w:rsidP="0035062E">
            <w:pPr>
              <w:pStyle w:val="CETBodytext"/>
              <w:jc w:val="left"/>
              <w:rPr>
                <w:lang w:val="en-GB"/>
              </w:rPr>
            </w:pPr>
            <w:r w:rsidRPr="0035062E">
              <w:rPr>
                <w:rFonts w:cs="Arial"/>
                <w:szCs w:val="18"/>
                <w:lang w:val="en-GB"/>
              </w:rPr>
              <w:t>Full bore (50 mm)</w:t>
            </w:r>
          </w:p>
        </w:tc>
        <w:tc>
          <w:tcPr>
            <w:tcW w:w="1328" w:type="dxa"/>
            <w:shd w:val="clear" w:color="auto" w:fill="FFFFFF"/>
            <w:vAlign w:val="center"/>
          </w:tcPr>
          <w:p w14:paraId="2EBB0EA8" w14:textId="77777777" w:rsidR="00DE4DAA" w:rsidRPr="0035062E" w:rsidRDefault="00DE4DAA" w:rsidP="0035062E">
            <w:pPr>
              <w:pStyle w:val="CETBodytext"/>
              <w:ind w:right="-1"/>
              <w:jc w:val="left"/>
              <w:rPr>
                <w:rFonts w:cs="Arial"/>
                <w:szCs w:val="18"/>
                <w:lang w:val="en-GB"/>
              </w:rPr>
            </w:pPr>
            <w:r w:rsidRPr="0035062E">
              <w:rPr>
                <w:rFonts w:cs="Arial"/>
                <w:szCs w:val="18"/>
                <w:lang w:val="en-GB"/>
              </w:rPr>
              <w:t>2F</w:t>
            </w:r>
          </w:p>
        </w:tc>
        <w:tc>
          <w:tcPr>
            <w:tcW w:w="1085" w:type="dxa"/>
            <w:shd w:val="clear" w:color="auto" w:fill="FFFFFF"/>
            <w:vAlign w:val="center"/>
          </w:tcPr>
          <w:p w14:paraId="592E172D" w14:textId="257D4438" w:rsidR="00DE4DAA" w:rsidRPr="0035062E" w:rsidRDefault="00205807" w:rsidP="0035062E">
            <w:pPr>
              <w:pStyle w:val="CETBodytext"/>
              <w:ind w:right="-1"/>
              <w:jc w:val="left"/>
              <w:rPr>
                <w:rFonts w:cs="Arial"/>
                <w:szCs w:val="18"/>
                <w:lang w:val="en-GB"/>
              </w:rPr>
            </w:pPr>
            <w:r w:rsidRPr="0035062E">
              <w:rPr>
                <w:rFonts w:cs="Arial"/>
                <w:szCs w:val="18"/>
                <w:lang w:val="en-GB"/>
              </w:rPr>
              <w:t>29</w:t>
            </w:r>
          </w:p>
        </w:tc>
        <w:tc>
          <w:tcPr>
            <w:tcW w:w="1085" w:type="dxa"/>
            <w:shd w:val="clear" w:color="auto" w:fill="FFFFFF"/>
            <w:vAlign w:val="center"/>
          </w:tcPr>
          <w:p w14:paraId="583BF283" w14:textId="4D4157E8" w:rsidR="00DE4DAA" w:rsidRPr="0035062E" w:rsidRDefault="00205807" w:rsidP="0035062E">
            <w:pPr>
              <w:pStyle w:val="CETBodytext"/>
              <w:ind w:right="-1"/>
              <w:jc w:val="left"/>
              <w:rPr>
                <w:rFonts w:cs="Arial"/>
                <w:szCs w:val="18"/>
                <w:lang w:val="en-GB"/>
              </w:rPr>
            </w:pPr>
            <w:r w:rsidRPr="0035062E">
              <w:rPr>
                <w:rFonts w:cs="Arial"/>
                <w:szCs w:val="18"/>
                <w:lang w:val="en-GB"/>
              </w:rPr>
              <w:t>48</w:t>
            </w:r>
          </w:p>
        </w:tc>
        <w:tc>
          <w:tcPr>
            <w:tcW w:w="1085" w:type="dxa"/>
            <w:shd w:val="clear" w:color="auto" w:fill="FFFFFF"/>
            <w:vAlign w:val="center"/>
          </w:tcPr>
          <w:p w14:paraId="0ED36B47" w14:textId="48E88ED4" w:rsidR="00DE4DAA" w:rsidRPr="0035062E" w:rsidRDefault="00205807" w:rsidP="0035062E">
            <w:pPr>
              <w:pStyle w:val="CETBodytext"/>
              <w:ind w:right="-1"/>
              <w:jc w:val="left"/>
              <w:rPr>
                <w:rFonts w:cs="Arial"/>
                <w:szCs w:val="18"/>
                <w:lang w:val="en-GB"/>
              </w:rPr>
            </w:pPr>
            <w:r w:rsidRPr="0035062E">
              <w:rPr>
                <w:rFonts w:cs="Arial"/>
                <w:szCs w:val="18"/>
                <w:lang w:val="en-GB"/>
              </w:rPr>
              <w:t>84</w:t>
            </w:r>
          </w:p>
        </w:tc>
        <w:tc>
          <w:tcPr>
            <w:tcW w:w="1085" w:type="dxa"/>
            <w:shd w:val="clear" w:color="auto" w:fill="FFFFFF"/>
            <w:vAlign w:val="center"/>
          </w:tcPr>
          <w:p w14:paraId="5FC7348B" w14:textId="57849E9C" w:rsidR="00DE4DAA" w:rsidRPr="0035062E" w:rsidRDefault="00205807" w:rsidP="0035062E">
            <w:pPr>
              <w:pStyle w:val="CETBodytext"/>
              <w:ind w:right="-1"/>
              <w:jc w:val="left"/>
              <w:rPr>
                <w:rFonts w:cs="Arial"/>
                <w:szCs w:val="18"/>
                <w:lang w:val="en-GB"/>
              </w:rPr>
            </w:pPr>
            <w:r w:rsidRPr="0035062E">
              <w:rPr>
                <w:rFonts w:cs="Arial"/>
                <w:szCs w:val="18"/>
                <w:lang w:val="en-GB"/>
              </w:rPr>
              <w:t>178</w:t>
            </w:r>
          </w:p>
        </w:tc>
      </w:tr>
      <w:tr w:rsidR="00DE4DAA" w:rsidRPr="0035062E" w14:paraId="52421BFD" w14:textId="77777777" w:rsidTr="0035062E">
        <w:tc>
          <w:tcPr>
            <w:tcW w:w="1118" w:type="dxa"/>
            <w:vMerge/>
            <w:shd w:val="clear" w:color="auto" w:fill="FFFFFF"/>
            <w:vAlign w:val="center"/>
          </w:tcPr>
          <w:p w14:paraId="0A769691" w14:textId="77777777" w:rsidR="00DE4DAA" w:rsidRPr="0035062E" w:rsidRDefault="00DE4DAA" w:rsidP="0035062E">
            <w:pPr>
              <w:pStyle w:val="CETBodytext"/>
              <w:jc w:val="left"/>
              <w:rPr>
                <w:lang w:val="en-GB"/>
              </w:rPr>
            </w:pPr>
          </w:p>
        </w:tc>
        <w:tc>
          <w:tcPr>
            <w:tcW w:w="2001" w:type="dxa"/>
            <w:vMerge/>
            <w:shd w:val="clear" w:color="auto" w:fill="FFFFFF"/>
            <w:vAlign w:val="center"/>
          </w:tcPr>
          <w:p w14:paraId="027AFE70" w14:textId="77777777" w:rsidR="00DE4DAA" w:rsidRPr="0035062E" w:rsidRDefault="00DE4DAA" w:rsidP="0035062E">
            <w:pPr>
              <w:pStyle w:val="CETBodytext"/>
              <w:jc w:val="left"/>
              <w:rPr>
                <w:lang w:val="en-GB"/>
              </w:rPr>
            </w:pPr>
          </w:p>
        </w:tc>
        <w:tc>
          <w:tcPr>
            <w:tcW w:w="1328" w:type="dxa"/>
            <w:shd w:val="clear" w:color="auto" w:fill="FFFFFF"/>
            <w:vAlign w:val="center"/>
          </w:tcPr>
          <w:p w14:paraId="437FC649" w14:textId="77777777" w:rsidR="00DE4DAA" w:rsidRPr="0035062E" w:rsidRDefault="00DE4DAA" w:rsidP="0035062E">
            <w:pPr>
              <w:pStyle w:val="CETBodytext"/>
              <w:ind w:right="-1"/>
              <w:jc w:val="left"/>
              <w:rPr>
                <w:rFonts w:cs="Arial"/>
                <w:szCs w:val="18"/>
                <w:lang w:val="en-GB"/>
              </w:rPr>
            </w:pPr>
            <w:r w:rsidRPr="0035062E">
              <w:rPr>
                <w:rFonts w:cs="Arial"/>
                <w:szCs w:val="18"/>
                <w:lang w:val="en-GB"/>
              </w:rPr>
              <w:t>5D</w:t>
            </w:r>
          </w:p>
        </w:tc>
        <w:tc>
          <w:tcPr>
            <w:tcW w:w="1085" w:type="dxa"/>
            <w:shd w:val="clear" w:color="auto" w:fill="FFFFFF"/>
            <w:vAlign w:val="center"/>
          </w:tcPr>
          <w:p w14:paraId="17E6AFD2" w14:textId="5FD24C9C" w:rsidR="00DE4DAA" w:rsidRPr="0035062E" w:rsidRDefault="00205807" w:rsidP="0035062E">
            <w:pPr>
              <w:pStyle w:val="CETBodytext"/>
              <w:ind w:right="-1"/>
              <w:jc w:val="left"/>
              <w:rPr>
                <w:rFonts w:cs="Arial"/>
                <w:szCs w:val="18"/>
                <w:lang w:val="en-GB"/>
              </w:rPr>
            </w:pPr>
            <w:r w:rsidRPr="0035062E">
              <w:rPr>
                <w:rFonts w:cs="Arial"/>
                <w:szCs w:val="18"/>
                <w:lang w:val="en-GB"/>
              </w:rPr>
              <w:t>24</w:t>
            </w:r>
          </w:p>
        </w:tc>
        <w:tc>
          <w:tcPr>
            <w:tcW w:w="1085" w:type="dxa"/>
            <w:shd w:val="clear" w:color="auto" w:fill="FFFFFF"/>
            <w:vAlign w:val="center"/>
          </w:tcPr>
          <w:p w14:paraId="07F3D8D8" w14:textId="102B8313" w:rsidR="00DE4DAA" w:rsidRPr="0035062E" w:rsidRDefault="00205807" w:rsidP="0035062E">
            <w:pPr>
              <w:pStyle w:val="CETBodytext"/>
              <w:ind w:right="-1"/>
              <w:jc w:val="left"/>
              <w:rPr>
                <w:rFonts w:cs="Arial"/>
                <w:szCs w:val="18"/>
                <w:lang w:val="en-GB"/>
              </w:rPr>
            </w:pPr>
            <w:r w:rsidRPr="0035062E">
              <w:rPr>
                <w:rFonts w:cs="Arial"/>
                <w:szCs w:val="18"/>
                <w:lang w:val="en-GB"/>
              </w:rPr>
              <w:t>41</w:t>
            </w:r>
          </w:p>
        </w:tc>
        <w:tc>
          <w:tcPr>
            <w:tcW w:w="1085" w:type="dxa"/>
            <w:shd w:val="clear" w:color="auto" w:fill="FFFFFF"/>
            <w:vAlign w:val="center"/>
          </w:tcPr>
          <w:p w14:paraId="30D289DF" w14:textId="07A738C5" w:rsidR="00DE4DAA" w:rsidRPr="0035062E" w:rsidRDefault="00205807" w:rsidP="0035062E">
            <w:pPr>
              <w:pStyle w:val="CETBodytext"/>
              <w:ind w:right="-1"/>
              <w:jc w:val="left"/>
              <w:rPr>
                <w:rFonts w:cs="Arial"/>
                <w:szCs w:val="18"/>
                <w:lang w:val="en-GB"/>
              </w:rPr>
            </w:pPr>
            <w:r w:rsidRPr="0035062E">
              <w:rPr>
                <w:rFonts w:cs="Arial"/>
                <w:szCs w:val="18"/>
                <w:lang w:val="en-GB"/>
              </w:rPr>
              <w:t>71</w:t>
            </w:r>
          </w:p>
        </w:tc>
        <w:tc>
          <w:tcPr>
            <w:tcW w:w="1085" w:type="dxa"/>
            <w:shd w:val="clear" w:color="auto" w:fill="FFFFFF"/>
            <w:vAlign w:val="center"/>
          </w:tcPr>
          <w:p w14:paraId="17FFFAB8" w14:textId="1441D3F1" w:rsidR="00DE4DAA" w:rsidRPr="0035062E" w:rsidRDefault="00205807" w:rsidP="0035062E">
            <w:pPr>
              <w:pStyle w:val="CETBodytext"/>
              <w:ind w:right="-1"/>
              <w:jc w:val="left"/>
              <w:rPr>
                <w:rFonts w:cs="Arial"/>
                <w:szCs w:val="18"/>
                <w:lang w:val="en-GB"/>
              </w:rPr>
            </w:pPr>
            <w:r w:rsidRPr="0035062E">
              <w:rPr>
                <w:rFonts w:cs="Arial"/>
                <w:szCs w:val="18"/>
                <w:lang w:val="en-GB"/>
              </w:rPr>
              <w:t>151</w:t>
            </w:r>
          </w:p>
        </w:tc>
      </w:tr>
      <w:tr w:rsidR="00DE4DAA" w:rsidRPr="0035062E" w14:paraId="18979C75" w14:textId="77777777" w:rsidTr="0035062E">
        <w:tc>
          <w:tcPr>
            <w:tcW w:w="1118" w:type="dxa"/>
            <w:vMerge w:val="restart"/>
            <w:shd w:val="clear" w:color="auto" w:fill="FFFFFF"/>
            <w:vAlign w:val="center"/>
          </w:tcPr>
          <w:p w14:paraId="5581D42B" w14:textId="77777777" w:rsidR="00DE4DAA" w:rsidRPr="0035062E" w:rsidRDefault="00DE4DAA" w:rsidP="0035062E">
            <w:pPr>
              <w:pStyle w:val="CETBodytext"/>
              <w:ind w:right="-1"/>
              <w:jc w:val="left"/>
              <w:rPr>
                <w:rFonts w:cs="Arial"/>
                <w:szCs w:val="18"/>
                <w:lang w:val="en-GB"/>
              </w:rPr>
            </w:pPr>
            <w:r w:rsidRPr="0035062E">
              <w:rPr>
                <w:lang w:val="en-GB"/>
              </w:rPr>
              <w:t>Methane</w:t>
            </w:r>
          </w:p>
        </w:tc>
        <w:tc>
          <w:tcPr>
            <w:tcW w:w="2001" w:type="dxa"/>
            <w:vMerge w:val="restart"/>
            <w:shd w:val="clear" w:color="auto" w:fill="FFFFFF"/>
            <w:vAlign w:val="center"/>
          </w:tcPr>
          <w:p w14:paraId="70B55454" w14:textId="15711C84" w:rsidR="00DE4DAA" w:rsidRPr="0035062E" w:rsidRDefault="00DE4DAA" w:rsidP="0035062E">
            <w:pPr>
              <w:pStyle w:val="CETBodytext"/>
              <w:ind w:right="-1"/>
              <w:jc w:val="left"/>
              <w:rPr>
                <w:rFonts w:cs="Arial"/>
                <w:szCs w:val="18"/>
                <w:lang w:val="en-GB"/>
              </w:rPr>
            </w:pPr>
            <w:r w:rsidRPr="0035062E">
              <w:rPr>
                <w:rFonts w:cs="Arial"/>
                <w:szCs w:val="18"/>
                <w:lang w:val="en-GB"/>
              </w:rPr>
              <w:t>Full bore (50 mm)</w:t>
            </w:r>
          </w:p>
        </w:tc>
        <w:tc>
          <w:tcPr>
            <w:tcW w:w="1328" w:type="dxa"/>
            <w:shd w:val="clear" w:color="auto" w:fill="FFFFFF"/>
            <w:vAlign w:val="center"/>
          </w:tcPr>
          <w:p w14:paraId="77710B21" w14:textId="77777777" w:rsidR="00DE4DAA" w:rsidRPr="0035062E" w:rsidRDefault="00DE4DAA" w:rsidP="0035062E">
            <w:pPr>
              <w:pStyle w:val="CETBodytext"/>
              <w:ind w:right="-1"/>
              <w:jc w:val="left"/>
              <w:rPr>
                <w:rFonts w:cs="Arial"/>
                <w:szCs w:val="18"/>
                <w:lang w:val="en-GB"/>
              </w:rPr>
            </w:pPr>
            <w:r w:rsidRPr="0035062E">
              <w:rPr>
                <w:rFonts w:cs="Arial"/>
                <w:szCs w:val="18"/>
                <w:lang w:val="en-GB"/>
              </w:rPr>
              <w:t>2F</w:t>
            </w:r>
          </w:p>
        </w:tc>
        <w:tc>
          <w:tcPr>
            <w:tcW w:w="1085" w:type="dxa"/>
            <w:shd w:val="clear" w:color="auto" w:fill="FFFFFF"/>
            <w:vAlign w:val="center"/>
          </w:tcPr>
          <w:p w14:paraId="46C4F17D" w14:textId="45EBF1C0" w:rsidR="00DE4DAA" w:rsidRPr="0035062E" w:rsidRDefault="00F27923" w:rsidP="0035062E">
            <w:pPr>
              <w:pStyle w:val="CETBodytext"/>
              <w:ind w:right="-1"/>
              <w:jc w:val="left"/>
              <w:rPr>
                <w:rFonts w:cs="Arial"/>
                <w:szCs w:val="18"/>
                <w:lang w:val="en-GB"/>
              </w:rPr>
            </w:pPr>
            <w:r w:rsidRPr="0035062E">
              <w:rPr>
                <w:rFonts w:cs="Arial"/>
                <w:szCs w:val="18"/>
                <w:lang w:val="en-GB"/>
              </w:rPr>
              <w:t>15</w:t>
            </w:r>
          </w:p>
        </w:tc>
        <w:tc>
          <w:tcPr>
            <w:tcW w:w="1085" w:type="dxa"/>
            <w:shd w:val="clear" w:color="auto" w:fill="FFFFFF"/>
            <w:vAlign w:val="center"/>
          </w:tcPr>
          <w:p w14:paraId="0C713609" w14:textId="7D0F77CB" w:rsidR="00DE4DAA" w:rsidRPr="0035062E" w:rsidRDefault="00F27923" w:rsidP="0035062E">
            <w:pPr>
              <w:pStyle w:val="CETBodytext"/>
              <w:ind w:right="-1"/>
              <w:jc w:val="left"/>
              <w:rPr>
                <w:rFonts w:cs="Arial"/>
                <w:szCs w:val="18"/>
                <w:lang w:val="en-GB"/>
              </w:rPr>
            </w:pPr>
            <w:r w:rsidRPr="0035062E">
              <w:rPr>
                <w:rFonts w:cs="Arial"/>
                <w:szCs w:val="18"/>
                <w:lang w:val="en-GB"/>
              </w:rPr>
              <w:t>25</w:t>
            </w:r>
          </w:p>
        </w:tc>
        <w:tc>
          <w:tcPr>
            <w:tcW w:w="1085" w:type="dxa"/>
            <w:shd w:val="clear" w:color="auto" w:fill="FFFFFF"/>
            <w:vAlign w:val="center"/>
          </w:tcPr>
          <w:p w14:paraId="6E32A0C7" w14:textId="5C640D6F" w:rsidR="00DE4DAA" w:rsidRPr="0035062E" w:rsidRDefault="00F27923" w:rsidP="0035062E">
            <w:pPr>
              <w:pStyle w:val="CETBodytext"/>
              <w:ind w:right="-1"/>
              <w:jc w:val="left"/>
              <w:rPr>
                <w:rFonts w:cs="Arial"/>
                <w:szCs w:val="18"/>
                <w:lang w:val="en-GB"/>
              </w:rPr>
            </w:pPr>
            <w:r w:rsidRPr="0035062E">
              <w:rPr>
                <w:rFonts w:cs="Arial"/>
                <w:szCs w:val="18"/>
                <w:lang w:val="en-GB"/>
              </w:rPr>
              <w:t>44</w:t>
            </w:r>
          </w:p>
        </w:tc>
        <w:tc>
          <w:tcPr>
            <w:tcW w:w="1085" w:type="dxa"/>
            <w:shd w:val="clear" w:color="auto" w:fill="FFFFFF"/>
            <w:vAlign w:val="center"/>
          </w:tcPr>
          <w:p w14:paraId="274EE443" w14:textId="5FC5A184" w:rsidR="00DE4DAA" w:rsidRPr="0035062E" w:rsidRDefault="00F27923" w:rsidP="0035062E">
            <w:pPr>
              <w:pStyle w:val="CETBodytext"/>
              <w:ind w:right="-1"/>
              <w:jc w:val="left"/>
              <w:rPr>
                <w:rFonts w:cs="Arial"/>
                <w:szCs w:val="18"/>
                <w:lang w:val="en-GB"/>
              </w:rPr>
            </w:pPr>
            <w:r w:rsidRPr="0035062E">
              <w:rPr>
                <w:rFonts w:cs="Arial"/>
                <w:szCs w:val="18"/>
                <w:lang w:val="en-GB"/>
              </w:rPr>
              <w:t>93</w:t>
            </w:r>
          </w:p>
        </w:tc>
      </w:tr>
      <w:tr w:rsidR="00DE4DAA" w:rsidRPr="0035062E" w14:paraId="4C964828" w14:textId="77777777" w:rsidTr="0035062E">
        <w:tc>
          <w:tcPr>
            <w:tcW w:w="1118" w:type="dxa"/>
            <w:vMerge/>
            <w:shd w:val="clear" w:color="auto" w:fill="FFFFFF"/>
            <w:vAlign w:val="center"/>
          </w:tcPr>
          <w:p w14:paraId="0B59FE3D" w14:textId="77777777" w:rsidR="00DE4DAA" w:rsidRPr="0035062E" w:rsidRDefault="00DE4DAA" w:rsidP="0035062E">
            <w:pPr>
              <w:pStyle w:val="CETBodytext"/>
              <w:ind w:right="-1"/>
              <w:jc w:val="left"/>
              <w:rPr>
                <w:lang w:val="en-GB"/>
              </w:rPr>
            </w:pPr>
          </w:p>
        </w:tc>
        <w:tc>
          <w:tcPr>
            <w:tcW w:w="2001" w:type="dxa"/>
            <w:vMerge/>
            <w:shd w:val="clear" w:color="auto" w:fill="FFFFFF"/>
            <w:vAlign w:val="center"/>
          </w:tcPr>
          <w:p w14:paraId="167B1373" w14:textId="77777777" w:rsidR="00DE4DAA" w:rsidRPr="0035062E" w:rsidRDefault="00DE4DAA" w:rsidP="0035062E">
            <w:pPr>
              <w:pStyle w:val="CETBodytext"/>
              <w:ind w:right="-1"/>
              <w:jc w:val="left"/>
              <w:rPr>
                <w:lang w:val="en-GB"/>
              </w:rPr>
            </w:pPr>
          </w:p>
        </w:tc>
        <w:tc>
          <w:tcPr>
            <w:tcW w:w="1328" w:type="dxa"/>
            <w:shd w:val="clear" w:color="auto" w:fill="FFFFFF"/>
            <w:vAlign w:val="center"/>
          </w:tcPr>
          <w:p w14:paraId="0AA5D97B" w14:textId="77777777" w:rsidR="00DE4DAA" w:rsidRPr="0035062E" w:rsidRDefault="00DE4DAA" w:rsidP="0035062E">
            <w:pPr>
              <w:pStyle w:val="CETBodytext"/>
              <w:ind w:right="-1"/>
              <w:jc w:val="left"/>
              <w:rPr>
                <w:rFonts w:cs="Arial"/>
                <w:szCs w:val="18"/>
                <w:lang w:val="en-GB"/>
              </w:rPr>
            </w:pPr>
            <w:r w:rsidRPr="0035062E">
              <w:rPr>
                <w:rFonts w:cs="Arial"/>
                <w:szCs w:val="18"/>
                <w:lang w:val="en-GB"/>
              </w:rPr>
              <w:t>5D</w:t>
            </w:r>
          </w:p>
        </w:tc>
        <w:tc>
          <w:tcPr>
            <w:tcW w:w="1085" w:type="dxa"/>
            <w:shd w:val="clear" w:color="auto" w:fill="FFFFFF"/>
            <w:vAlign w:val="center"/>
          </w:tcPr>
          <w:p w14:paraId="1794E7BA" w14:textId="3D6D2108" w:rsidR="00DE4DAA" w:rsidRPr="0035062E" w:rsidRDefault="00F27923" w:rsidP="0035062E">
            <w:pPr>
              <w:pStyle w:val="CETBodytext"/>
              <w:ind w:right="-1"/>
              <w:jc w:val="left"/>
              <w:rPr>
                <w:rFonts w:cs="Arial"/>
                <w:szCs w:val="18"/>
                <w:lang w:val="en-GB"/>
              </w:rPr>
            </w:pPr>
            <w:r w:rsidRPr="0035062E">
              <w:rPr>
                <w:rFonts w:cs="Arial"/>
                <w:szCs w:val="18"/>
                <w:lang w:val="en-GB"/>
              </w:rPr>
              <w:t>13</w:t>
            </w:r>
          </w:p>
        </w:tc>
        <w:tc>
          <w:tcPr>
            <w:tcW w:w="1085" w:type="dxa"/>
            <w:shd w:val="clear" w:color="auto" w:fill="FFFFFF"/>
            <w:vAlign w:val="center"/>
          </w:tcPr>
          <w:p w14:paraId="468A8C35" w14:textId="2B9ACC9B" w:rsidR="00DE4DAA" w:rsidRPr="0035062E" w:rsidRDefault="00F27923" w:rsidP="0035062E">
            <w:pPr>
              <w:pStyle w:val="CETBodytext"/>
              <w:ind w:right="-1"/>
              <w:jc w:val="left"/>
              <w:rPr>
                <w:rFonts w:cs="Arial"/>
                <w:szCs w:val="18"/>
                <w:lang w:val="en-GB"/>
              </w:rPr>
            </w:pPr>
            <w:r w:rsidRPr="0035062E">
              <w:rPr>
                <w:rFonts w:cs="Arial"/>
                <w:szCs w:val="18"/>
                <w:lang w:val="en-GB"/>
              </w:rPr>
              <w:t>22</w:t>
            </w:r>
          </w:p>
        </w:tc>
        <w:tc>
          <w:tcPr>
            <w:tcW w:w="1085" w:type="dxa"/>
            <w:shd w:val="clear" w:color="auto" w:fill="FFFFFF"/>
            <w:vAlign w:val="center"/>
          </w:tcPr>
          <w:p w14:paraId="4C31AB97" w14:textId="2BE40602" w:rsidR="00DE4DAA" w:rsidRPr="0035062E" w:rsidRDefault="00F27923" w:rsidP="0035062E">
            <w:pPr>
              <w:pStyle w:val="CETBodytext"/>
              <w:ind w:right="-1"/>
              <w:jc w:val="left"/>
              <w:rPr>
                <w:rFonts w:cs="Arial"/>
                <w:szCs w:val="18"/>
                <w:lang w:val="en-GB"/>
              </w:rPr>
            </w:pPr>
            <w:r w:rsidRPr="0035062E">
              <w:rPr>
                <w:rFonts w:cs="Arial"/>
                <w:szCs w:val="18"/>
                <w:lang w:val="en-GB"/>
              </w:rPr>
              <w:t>39</w:t>
            </w:r>
          </w:p>
        </w:tc>
        <w:tc>
          <w:tcPr>
            <w:tcW w:w="1085" w:type="dxa"/>
            <w:shd w:val="clear" w:color="auto" w:fill="FFFFFF"/>
            <w:vAlign w:val="center"/>
          </w:tcPr>
          <w:p w14:paraId="28908DA2" w14:textId="7FE3DED1" w:rsidR="00DE4DAA" w:rsidRPr="0035062E" w:rsidRDefault="00F27923" w:rsidP="0035062E">
            <w:pPr>
              <w:pStyle w:val="CETBodytext"/>
              <w:ind w:right="-1"/>
              <w:jc w:val="left"/>
              <w:rPr>
                <w:rFonts w:cs="Arial"/>
                <w:szCs w:val="18"/>
                <w:lang w:val="en-GB"/>
              </w:rPr>
            </w:pPr>
            <w:r w:rsidRPr="0035062E">
              <w:rPr>
                <w:rFonts w:cs="Arial"/>
                <w:szCs w:val="18"/>
                <w:lang w:val="en-GB"/>
              </w:rPr>
              <w:t>82</w:t>
            </w:r>
          </w:p>
        </w:tc>
      </w:tr>
    </w:tbl>
    <w:p w14:paraId="0BD417BF" w14:textId="77777777" w:rsidR="00DE4DAA" w:rsidRPr="0035062E" w:rsidRDefault="00DE4DAA" w:rsidP="00DE4DAA">
      <w:pPr>
        <w:pStyle w:val="CETBodytext"/>
        <w:rPr>
          <w:lang w:val="en-GB"/>
        </w:rPr>
      </w:pPr>
    </w:p>
    <w:p w14:paraId="43A2C501" w14:textId="087F9913" w:rsidR="00F31DCE" w:rsidRDefault="00F31DCE" w:rsidP="00F31DCE">
      <w:pPr>
        <w:pStyle w:val="CETBodytext"/>
        <w:rPr>
          <w:lang w:val="en-GB"/>
        </w:rPr>
      </w:pPr>
      <w:r w:rsidRPr="0035062E">
        <w:rPr>
          <w:lang w:val="en-GB"/>
        </w:rPr>
        <w:t xml:space="preserve">The data listed in the table and depicted </w:t>
      </w:r>
      <w:r w:rsidR="00F27923" w:rsidRPr="0035062E">
        <w:rPr>
          <w:lang w:val="en-GB"/>
        </w:rPr>
        <w:t xml:space="preserve">in </w:t>
      </w:r>
      <w:r w:rsidR="00F27923" w:rsidRPr="001F0847">
        <w:rPr>
          <w:lang w:val="en-GB"/>
        </w:rPr>
        <w:fldChar w:fldCharType="begin"/>
      </w:r>
      <w:r w:rsidR="00F27923" w:rsidRPr="001F0847">
        <w:rPr>
          <w:lang w:val="en-GB"/>
        </w:rPr>
        <w:instrText xml:space="preserve"> REF _Ref158726456 \h </w:instrText>
      </w:r>
      <w:r w:rsidR="001F0847" w:rsidRPr="001F0847">
        <w:rPr>
          <w:lang w:val="en-GB"/>
        </w:rPr>
        <w:instrText xml:space="preserve"> \* MERGEFORMAT </w:instrText>
      </w:r>
      <w:r w:rsidR="00F27923" w:rsidRPr="001F0847">
        <w:rPr>
          <w:lang w:val="en-GB"/>
        </w:rPr>
      </w:r>
      <w:r w:rsidR="00F27923" w:rsidRPr="001F0847">
        <w:rPr>
          <w:lang w:val="en-GB"/>
        </w:rPr>
        <w:fldChar w:fldCharType="separate"/>
      </w:r>
      <w:r w:rsidR="00B97CA0" w:rsidRPr="001F0847">
        <w:rPr>
          <w:rStyle w:val="CETCaptionCarattere"/>
        </w:rPr>
        <w:t xml:space="preserve">Figure </w:t>
      </w:r>
      <w:r w:rsidR="00B97CA0" w:rsidRPr="001F0847">
        <w:rPr>
          <w:rStyle w:val="CETCaptionCarattere"/>
          <w:noProof/>
        </w:rPr>
        <w:t>3</w:t>
      </w:r>
      <w:r w:rsidR="00F27923" w:rsidRPr="001F0847">
        <w:rPr>
          <w:lang w:val="en-GB"/>
        </w:rPr>
        <w:fldChar w:fldCharType="end"/>
      </w:r>
      <w:r w:rsidR="00F27923" w:rsidRPr="001F0847">
        <w:rPr>
          <w:lang w:val="en-GB"/>
        </w:rPr>
        <w:t>,</w:t>
      </w:r>
      <w:r w:rsidR="00F27923" w:rsidRPr="0035062E">
        <w:rPr>
          <w:lang w:val="en-GB"/>
        </w:rPr>
        <w:t xml:space="preserve"> </w:t>
      </w:r>
      <w:r w:rsidRPr="0035062E">
        <w:rPr>
          <w:lang w:val="en-GB"/>
        </w:rPr>
        <w:t xml:space="preserve">once again demonstrate the fundamental role played by hydrogen diffusivity. In the case of delayed detonation, the difference in </w:t>
      </w:r>
      <w:r w:rsidR="00BD0092" w:rsidRPr="0035062E">
        <w:rPr>
          <w:lang w:val="en-GB"/>
        </w:rPr>
        <w:t>behaviour</w:t>
      </w:r>
      <w:r w:rsidRPr="0035062E">
        <w:rPr>
          <w:lang w:val="en-GB"/>
        </w:rPr>
        <w:t xml:space="preserve"> between the two gases under examination is profound; hydrogen, diffusing rapidly, tends to gradually create a large mass of gas within the explosivity range over time, consequently resulting in explosions with significantly larger damage distances compared to methane. These effects will affect structures even far away from the blast site.</w:t>
      </w:r>
    </w:p>
    <w:p w14:paraId="45CCC565" w14:textId="7423D002" w:rsidR="00E038F0" w:rsidRPr="0035062E" w:rsidRDefault="00E038F0" w:rsidP="00F31DCE">
      <w:pPr>
        <w:pStyle w:val="CETBodytext"/>
        <w:rPr>
          <w:lang w:val="en-GB"/>
        </w:rPr>
      </w:pPr>
      <w:r w:rsidRPr="00E038F0">
        <w:rPr>
          <w:lang w:val="en-GB"/>
        </w:rPr>
        <w:t>It is worth specifying that when we refer to delayed detonation in this article, we are necessarily referring to a scenario in which confinement is present to prevent total dispersion of the gas.</w:t>
      </w:r>
    </w:p>
    <w:p w14:paraId="4640C556" w14:textId="77777777" w:rsidR="001B4DEF" w:rsidRPr="0035062E" w:rsidRDefault="001B4DEF" w:rsidP="00F31DCE">
      <w:pPr>
        <w:pStyle w:val="CETBodytext"/>
        <w:rPr>
          <w:lang w:val="en-GB"/>
        </w:rPr>
      </w:pPr>
    </w:p>
    <w:p w14:paraId="4D704B9C" w14:textId="77777777" w:rsidR="00F27923" w:rsidRPr="0035062E" w:rsidRDefault="00205807" w:rsidP="00F27923">
      <w:pPr>
        <w:pStyle w:val="CETBodytext"/>
        <w:keepNext/>
        <w:rPr>
          <w:lang w:val="en-GB"/>
        </w:rPr>
      </w:pPr>
      <w:r w:rsidRPr="0035062E">
        <w:rPr>
          <w:noProof/>
          <w:lang w:val="en-GB"/>
        </w:rPr>
        <w:drawing>
          <wp:inline distT="0" distB="0" distL="0" distR="0" wp14:anchorId="48429DB7" wp14:editId="03AE58B2">
            <wp:extent cx="4380630" cy="1872000"/>
            <wp:effectExtent l="0" t="0" r="1270" b="0"/>
            <wp:docPr id="1452513806" name="Immagine 1" descr="Immagine che contiene linea, testo, diagramm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13806" name="Immagine 1" descr="Immagine che contiene linea, testo, diagramma, Diagramma&#10;&#10;Descrizione generata automaticamente"/>
                    <pic:cNvPicPr/>
                  </pic:nvPicPr>
                  <pic:blipFill rotWithShape="1">
                    <a:blip r:embed="rId15"/>
                    <a:srcRect/>
                    <a:stretch/>
                  </pic:blipFill>
                  <pic:spPr bwMode="auto">
                    <a:xfrm>
                      <a:off x="0" y="0"/>
                      <a:ext cx="4380630" cy="1872000"/>
                    </a:xfrm>
                    <a:prstGeom prst="rect">
                      <a:avLst/>
                    </a:prstGeom>
                    <a:ln>
                      <a:noFill/>
                    </a:ln>
                    <a:extLst>
                      <a:ext uri="{53640926-AAD7-44D8-BBD7-CCE9431645EC}">
                        <a14:shadowObscured xmlns:a14="http://schemas.microsoft.com/office/drawing/2010/main"/>
                      </a:ext>
                    </a:extLst>
                  </pic:spPr>
                </pic:pic>
              </a:graphicData>
            </a:graphic>
          </wp:inline>
        </w:drawing>
      </w:r>
    </w:p>
    <w:p w14:paraId="5843CC8B" w14:textId="6A0E8433" w:rsidR="00205807" w:rsidRPr="00353CE6" w:rsidRDefault="00F27923" w:rsidP="00353CE6">
      <w:pPr>
        <w:pStyle w:val="Didascalia"/>
        <w:spacing w:before="240"/>
        <w:rPr>
          <w:rStyle w:val="CETCaptionCarattere"/>
          <w:b w:val="0"/>
          <w:bCs w:val="0"/>
          <w:color w:val="auto"/>
        </w:rPr>
      </w:pPr>
      <w:bookmarkStart w:id="7" w:name="_Ref158726456"/>
      <w:r w:rsidRPr="00353CE6">
        <w:rPr>
          <w:rStyle w:val="CETCaptionCarattere"/>
          <w:b w:val="0"/>
          <w:bCs w:val="0"/>
          <w:color w:val="auto"/>
        </w:rPr>
        <w:t xml:space="preserve">Figure </w:t>
      </w:r>
      <w:r w:rsidRPr="00353CE6">
        <w:rPr>
          <w:rStyle w:val="CETCaptionCarattere"/>
          <w:b w:val="0"/>
          <w:bCs w:val="0"/>
          <w:color w:val="auto"/>
        </w:rPr>
        <w:fldChar w:fldCharType="begin"/>
      </w:r>
      <w:r w:rsidRPr="00353CE6">
        <w:rPr>
          <w:rStyle w:val="CETCaptionCarattere"/>
          <w:b w:val="0"/>
          <w:bCs w:val="0"/>
          <w:color w:val="auto"/>
        </w:rPr>
        <w:instrText xml:space="preserve"> SEQ Figure \* ARABIC </w:instrText>
      </w:r>
      <w:r w:rsidRPr="00353CE6">
        <w:rPr>
          <w:rStyle w:val="CETCaptionCarattere"/>
          <w:b w:val="0"/>
          <w:bCs w:val="0"/>
          <w:color w:val="auto"/>
        </w:rPr>
        <w:fldChar w:fldCharType="separate"/>
      </w:r>
      <w:r w:rsidR="00B97CA0">
        <w:rPr>
          <w:rStyle w:val="CETCaptionCarattere"/>
          <w:b w:val="0"/>
          <w:bCs w:val="0"/>
          <w:noProof/>
          <w:color w:val="auto"/>
        </w:rPr>
        <w:t>3</w:t>
      </w:r>
      <w:r w:rsidRPr="00353CE6">
        <w:rPr>
          <w:rStyle w:val="CETCaptionCarattere"/>
          <w:b w:val="0"/>
          <w:bCs w:val="0"/>
          <w:color w:val="auto"/>
        </w:rPr>
        <w:fldChar w:fldCharType="end"/>
      </w:r>
      <w:bookmarkEnd w:id="7"/>
      <w:r w:rsidRPr="00353CE6">
        <w:rPr>
          <w:rStyle w:val="CETCaptionCarattere"/>
          <w:b w:val="0"/>
          <w:bCs w:val="0"/>
          <w:color w:val="auto"/>
        </w:rPr>
        <w:t>: Hydrogen vs Methane late explosion scenario from a 50 mm leak</w:t>
      </w:r>
    </w:p>
    <w:p w14:paraId="022CE703" w14:textId="77777777" w:rsidR="001134E4" w:rsidRDefault="001134E4" w:rsidP="00B976B4"/>
    <w:p w14:paraId="0455D07B" w14:textId="670358DB" w:rsidR="001134E4" w:rsidRDefault="001134E4" w:rsidP="001134E4">
      <w:r w:rsidRPr="001134E4">
        <w:t>A further case study was modelled</w:t>
      </w:r>
      <w:r>
        <w:t xml:space="preserve">, as shown in </w:t>
      </w:r>
      <w:r>
        <w:fldChar w:fldCharType="begin"/>
      </w:r>
      <w:r>
        <w:instrText xml:space="preserve"> REF _Ref158888547 \h </w:instrText>
      </w:r>
      <w:r w:rsidR="00F146B9">
        <w:instrText xml:space="preserve"> \* MERGEFORMAT </w:instrText>
      </w:r>
      <w:r>
        <w:fldChar w:fldCharType="separate"/>
      </w:r>
      <w:r w:rsidR="00B97CA0" w:rsidRPr="00B97CA0">
        <w:t>Figure 4</w:t>
      </w:r>
      <w:r>
        <w:fldChar w:fldCharType="end"/>
      </w:r>
      <w:r w:rsidRPr="009310CA">
        <w:t xml:space="preserve">, </w:t>
      </w:r>
      <w:r>
        <w:t xml:space="preserve">analysing </w:t>
      </w:r>
      <w:r w:rsidRPr="009310CA">
        <w:t>a flash fire</w:t>
      </w:r>
      <w:r>
        <w:t xml:space="preserve"> scenario</w:t>
      </w:r>
      <w:r w:rsidRPr="009310CA">
        <w:t xml:space="preserve">, which represents the incident event with the highest probability of occurrence given the properties of hydrogen. From the comparison between the two gases, hydrogen and methane, small differences in damage distances emerge, primarily due to the greater diffusivity of hydrogen. These differences tend to disappear when analysing the explosion as the incidental event, as the dynamics of the explosion are not affected by the diffusive differences of the two gases. In conclusion, from the conducted modelling, it emerges that hydrogen, as a substance, exhibits wider damage distances compared to methane only in the case of </w:t>
      </w:r>
      <w:r w:rsidR="008C1279" w:rsidRPr="008C1279">
        <w:t xml:space="preserve">significant </w:t>
      </w:r>
      <w:r w:rsidRPr="009310CA">
        <w:t>quantities</w:t>
      </w:r>
      <w:r w:rsidR="00E82E82">
        <w:t xml:space="preserve"> released</w:t>
      </w:r>
      <w:r w:rsidR="00DC52E8">
        <w:t>,</w:t>
      </w:r>
      <w:r w:rsidR="00DC52E8" w:rsidRPr="00DC52E8">
        <w:t xml:space="preserve"> </w:t>
      </w:r>
      <w:r w:rsidR="00DC52E8">
        <w:t>specific to the conditions of the system under consideration</w:t>
      </w:r>
      <w:r w:rsidRPr="009310CA">
        <w:t>. In the case of small unconfined leaks, the comparison with methane tends to methane in terms of hazardousness.</w:t>
      </w:r>
    </w:p>
    <w:p w14:paraId="43FF9449" w14:textId="77777777" w:rsidR="00375BD8" w:rsidRPr="009310CA" w:rsidRDefault="00375BD8" w:rsidP="001134E4"/>
    <w:p w14:paraId="3E7B45D0" w14:textId="77777777" w:rsidR="00576A4C" w:rsidRDefault="00B976B4" w:rsidP="00576A4C">
      <w:pPr>
        <w:keepNext/>
      </w:pPr>
      <w:r>
        <w:rPr>
          <w:noProof/>
        </w:rPr>
        <w:lastRenderedPageBreak/>
        <w:drawing>
          <wp:inline distT="0" distB="0" distL="0" distR="0" wp14:anchorId="59673AC1" wp14:editId="7F39C849">
            <wp:extent cx="4608639" cy="1872000"/>
            <wp:effectExtent l="0" t="0" r="1905" b="0"/>
            <wp:docPr id="365758839" name="Immagine 1" descr="Immagine che contiene linea, diagramma, cerchi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758839" name="Immagine 1" descr="Immagine che contiene linea, diagramma, cerchio, testo&#10;&#10;Descrizione generata automaticamente"/>
                    <pic:cNvPicPr/>
                  </pic:nvPicPr>
                  <pic:blipFill rotWithShape="1">
                    <a:blip r:embed="rId16"/>
                    <a:srcRect b="3299"/>
                    <a:stretch/>
                  </pic:blipFill>
                  <pic:spPr bwMode="auto">
                    <a:xfrm>
                      <a:off x="0" y="0"/>
                      <a:ext cx="4608639" cy="1872000"/>
                    </a:xfrm>
                    <a:prstGeom prst="rect">
                      <a:avLst/>
                    </a:prstGeom>
                    <a:ln>
                      <a:noFill/>
                    </a:ln>
                    <a:extLst>
                      <a:ext uri="{53640926-AAD7-44D8-BBD7-CCE9431645EC}">
                        <a14:shadowObscured xmlns:a14="http://schemas.microsoft.com/office/drawing/2010/main"/>
                      </a:ext>
                    </a:extLst>
                  </pic:spPr>
                </pic:pic>
              </a:graphicData>
            </a:graphic>
          </wp:inline>
        </w:drawing>
      </w:r>
    </w:p>
    <w:p w14:paraId="17BCB77B" w14:textId="7F4C5E11" w:rsidR="00B976B4" w:rsidRPr="00576A4C" w:rsidRDefault="00576A4C" w:rsidP="00576A4C">
      <w:pPr>
        <w:pStyle w:val="Didascalia"/>
        <w:spacing w:before="240"/>
        <w:rPr>
          <w:rStyle w:val="CETCaptionCarattere"/>
          <w:b w:val="0"/>
          <w:bCs w:val="0"/>
          <w:color w:val="auto"/>
        </w:rPr>
      </w:pPr>
      <w:bookmarkStart w:id="8" w:name="_Ref158888547"/>
      <w:r w:rsidRPr="00576A4C">
        <w:rPr>
          <w:rStyle w:val="CETCaptionCarattere"/>
          <w:b w:val="0"/>
          <w:bCs w:val="0"/>
          <w:color w:val="auto"/>
        </w:rPr>
        <w:t xml:space="preserve">Figure </w:t>
      </w:r>
      <w:r w:rsidRPr="00576A4C">
        <w:rPr>
          <w:rStyle w:val="CETCaptionCarattere"/>
          <w:b w:val="0"/>
          <w:bCs w:val="0"/>
          <w:color w:val="auto"/>
        </w:rPr>
        <w:fldChar w:fldCharType="begin"/>
      </w:r>
      <w:r w:rsidRPr="00576A4C">
        <w:rPr>
          <w:rStyle w:val="CETCaptionCarattere"/>
          <w:b w:val="0"/>
          <w:bCs w:val="0"/>
          <w:color w:val="auto"/>
        </w:rPr>
        <w:instrText xml:space="preserve"> SEQ Figure \* ARABIC </w:instrText>
      </w:r>
      <w:r w:rsidRPr="00576A4C">
        <w:rPr>
          <w:rStyle w:val="CETCaptionCarattere"/>
          <w:b w:val="0"/>
          <w:bCs w:val="0"/>
          <w:color w:val="auto"/>
        </w:rPr>
        <w:fldChar w:fldCharType="separate"/>
      </w:r>
      <w:r w:rsidR="00B97CA0">
        <w:rPr>
          <w:rStyle w:val="CETCaptionCarattere"/>
          <w:b w:val="0"/>
          <w:bCs w:val="0"/>
          <w:noProof/>
          <w:color w:val="auto"/>
        </w:rPr>
        <w:t>4</w:t>
      </w:r>
      <w:r w:rsidRPr="00576A4C">
        <w:rPr>
          <w:rStyle w:val="CETCaptionCarattere"/>
          <w:b w:val="0"/>
          <w:bCs w:val="0"/>
          <w:color w:val="auto"/>
        </w:rPr>
        <w:fldChar w:fldCharType="end"/>
      </w:r>
      <w:bookmarkEnd w:id="8"/>
      <w:r w:rsidRPr="00576A4C">
        <w:rPr>
          <w:rStyle w:val="CETCaptionCarattere"/>
          <w:b w:val="0"/>
          <w:bCs w:val="0"/>
          <w:color w:val="auto"/>
        </w:rPr>
        <w:t>:</w:t>
      </w:r>
      <w:r>
        <w:rPr>
          <w:rStyle w:val="CETCaptionCarattere"/>
          <w:b w:val="0"/>
          <w:bCs w:val="0"/>
          <w:color w:val="auto"/>
        </w:rPr>
        <w:t xml:space="preserve"> Hydrogen vs Methane Flash fire after a catastrophic rupture</w:t>
      </w:r>
    </w:p>
    <w:p w14:paraId="079B064D" w14:textId="09D391B6" w:rsidR="00F31DCE" w:rsidRPr="0035062E" w:rsidRDefault="001B4DEF" w:rsidP="001B4DEF">
      <w:pPr>
        <w:pStyle w:val="CETHeading1"/>
        <w:rPr>
          <w:lang w:val="en-GB"/>
        </w:rPr>
      </w:pPr>
      <w:r w:rsidRPr="0035062E">
        <w:rPr>
          <w:lang w:val="en-GB"/>
        </w:rPr>
        <w:t>Conclusion</w:t>
      </w:r>
      <w:r w:rsidR="005A4065">
        <w:rPr>
          <w:lang w:val="en-GB"/>
        </w:rPr>
        <w:t>s</w:t>
      </w:r>
    </w:p>
    <w:p w14:paraId="610F76AD" w14:textId="297C0191" w:rsidR="007A0184" w:rsidRPr="007A0184" w:rsidRDefault="007A0184" w:rsidP="007A0184">
      <w:pPr>
        <w:pStyle w:val="CETBodytext"/>
        <w:rPr>
          <w:lang w:val="en-GB"/>
        </w:rPr>
      </w:pPr>
      <w:r w:rsidRPr="007A0184">
        <w:rPr>
          <w:lang w:val="en-GB"/>
        </w:rPr>
        <w:t>In the initial phase of risk management, recognizing and understanding potential hazards is crucial. To support this understanding, potential accident scenarios for hydrogen-producing electrolysers were studied using consequence modelling analysis with the DNV PHAST 7.2 program. This study relied on the professional experience of the authors, though results may vary with different programs and assumptions. Thus, further accident modelling by the technical-scientific community is recommended to improve model accuracy and understanding of hydrogen-related accident phenomena.</w:t>
      </w:r>
    </w:p>
    <w:p w14:paraId="6624601A" w14:textId="44D4B9FE" w:rsidR="007A0184" w:rsidRPr="007A0184" w:rsidRDefault="007A0184" w:rsidP="007A0184">
      <w:pPr>
        <w:pStyle w:val="CETBodytext"/>
        <w:rPr>
          <w:lang w:val="en-GB"/>
        </w:rPr>
      </w:pPr>
      <w:r w:rsidRPr="007A0184">
        <w:rPr>
          <w:lang w:val="en-GB"/>
        </w:rPr>
        <w:t>Key conclusions from this study include the identification of jet fires and explosions as primary risks, underscoring the need for rigorous technical and organizational safeguards. Given hydrogen's wide flammability range, establishing inerting routines for equipment prior to startup and maintenance is imperative, supported by robust protocols and gas detection mechanisms for early hazard detection and swift safety measure implementation.</w:t>
      </w:r>
    </w:p>
    <w:p w14:paraId="1EC4CDD8" w14:textId="5E925105" w:rsidR="007A0184" w:rsidRPr="007A0184" w:rsidRDefault="007A0184" w:rsidP="007A0184">
      <w:pPr>
        <w:pStyle w:val="CETBodytext"/>
        <w:rPr>
          <w:lang w:val="en-GB"/>
        </w:rPr>
      </w:pPr>
      <w:r w:rsidRPr="007A0184">
        <w:rPr>
          <w:lang w:val="en-GB"/>
        </w:rPr>
        <w:t>Ensuring the safe use of hydrogen requires prioritizing designs and procedures to mitigate potential accidents, including thorough hazard identification, inherently safe design principles, reducing flanged joints, careful material selection, and strategic facility placement based on risk assessments.</w:t>
      </w:r>
    </w:p>
    <w:p w14:paraId="120576D0" w14:textId="61CE549B" w:rsidR="007A0184" w:rsidRPr="007A0184" w:rsidRDefault="007A0184" w:rsidP="007A0184">
      <w:pPr>
        <w:pStyle w:val="CETBodytext"/>
        <w:rPr>
          <w:lang w:val="en-GB"/>
        </w:rPr>
      </w:pPr>
      <w:r w:rsidRPr="007A0184">
        <w:rPr>
          <w:lang w:val="en-GB"/>
        </w:rPr>
        <w:t>Material selection for hydrogen systems must consider both metallic and non-metallic options, addressing factors such as temperature impacts, hydrogen embrittlement, permeability, and compatibility with dissimilar metals. Integrating cautionary alerts for abnormal conditions and failures, along with safety instrumented systems, is essential for preventing hazards and ensuring timely personnel response.</w:t>
      </w:r>
    </w:p>
    <w:p w14:paraId="6C0170EC" w14:textId="4F495FED" w:rsidR="00B866C6" w:rsidRPr="0035062E" w:rsidRDefault="007A0184" w:rsidP="007A0184">
      <w:pPr>
        <w:pStyle w:val="CETBodytext"/>
        <w:rPr>
          <w:lang w:val="en-GB"/>
        </w:rPr>
      </w:pPr>
      <w:r w:rsidRPr="007A0184">
        <w:rPr>
          <w:lang w:val="en-GB"/>
        </w:rPr>
        <w:t>Effective ventilation systems in indoor settings are crucial for diluting hydrogen leaks below the lower flammability limit. Managing ignition sources stringently, using ATEX-rated electrical and mechanical apparatuses, and implementing fire and gas detection systems with automatic blocking capabilities are also necessary to comprehensively mitigate hydrogen release consequences</w:t>
      </w:r>
      <w:r w:rsidR="00B866C6" w:rsidRPr="0035062E">
        <w:rPr>
          <w:lang w:val="en-GB"/>
        </w:rPr>
        <w:t>.</w:t>
      </w:r>
    </w:p>
    <w:p w14:paraId="797CDC7E" w14:textId="77777777" w:rsidR="00FA273E" w:rsidRPr="00753CA0" w:rsidRDefault="00FA273E" w:rsidP="00FA273E">
      <w:pPr>
        <w:pStyle w:val="CETReference"/>
      </w:pPr>
      <w:r w:rsidRPr="00753CA0">
        <w:t>References</w:t>
      </w:r>
    </w:p>
    <w:p w14:paraId="23994F71" w14:textId="7A6B9816" w:rsidR="008B6189" w:rsidRDefault="008B6189" w:rsidP="008B6189">
      <w:pPr>
        <w:pStyle w:val="CETReferencetext"/>
      </w:pPr>
      <w:proofErr w:type="spellStart"/>
      <w:r w:rsidRPr="0035062E">
        <w:t>Gallandat</w:t>
      </w:r>
      <w:proofErr w:type="spellEnd"/>
      <w:r>
        <w:t xml:space="preserve"> N.</w:t>
      </w:r>
      <w:r w:rsidRPr="0035062E">
        <w:t>, Romanowicz</w:t>
      </w:r>
      <w:r>
        <w:t xml:space="preserve"> K.</w:t>
      </w:r>
      <w:r w:rsidRPr="0035062E">
        <w:t xml:space="preserve">, </w:t>
      </w:r>
      <w:proofErr w:type="spellStart"/>
      <w:r w:rsidRPr="0035062E">
        <w:t>Zuttel</w:t>
      </w:r>
      <w:proofErr w:type="spellEnd"/>
      <w:r>
        <w:t xml:space="preserve"> A.</w:t>
      </w:r>
      <w:r w:rsidRPr="0035062E">
        <w:t xml:space="preserve">, 2017, An Analytical Model for the Electrolyser Performance Derived from Materials </w:t>
      </w:r>
      <w:r>
        <w:t>Parameters</w:t>
      </w:r>
    </w:p>
    <w:p w14:paraId="7BC029AB" w14:textId="77777777" w:rsidR="008B6189" w:rsidRDefault="008B6189" w:rsidP="008B6189">
      <w:pPr>
        <w:pStyle w:val="CETBodytext"/>
        <w:ind w:left="284" w:hanging="284"/>
        <w:rPr>
          <w:lang w:val="en-GB"/>
        </w:rPr>
      </w:pPr>
      <w:r w:rsidRPr="00470F7C">
        <w:rPr>
          <w:rFonts w:cs="Arial"/>
          <w:color w:val="000000"/>
          <w:shd w:val="clear" w:color="auto" w:fill="FFFFFF"/>
          <w:lang w:val="en-GB"/>
        </w:rPr>
        <w:t xml:space="preserve">Hydrogen and fuel cells, </w:t>
      </w:r>
      <w:r>
        <w:rPr>
          <w:rFonts w:cs="Arial"/>
          <w:color w:val="000000"/>
          <w:shd w:val="clear" w:color="auto" w:fill="FFFFFF"/>
          <w:lang w:val="en-GB"/>
        </w:rPr>
        <w:t xml:space="preserve">2024, </w:t>
      </w:r>
      <w:r w:rsidRPr="00470F7C">
        <w:rPr>
          <w:rFonts w:cs="Arial"/>
          <w:color w:val="000000"/>
          <w:shd w:val="clear" w:color="auto" w:fill="FFFFFF"/>
          <w:lang w:val="en-GB"/>
        </w:rPr>
        <w:t>www1.eere.energy.gov/hydrogenandfuelcells/pdfs/h2_safety_fsheet.pdf</w:t>
      </w:r>
      <w:r>
        <w:rPr>
          <w:lang w:val="en-GB"/>
        </w:rPr>
        <w:t>, (last access 15.2.2024).</w:t>
      </w:r>
    </w:p>
    <w:p w14:paraId="51FE81A4" w14:textId="77777777" w:rsidR="00FA273E" w:rsidRPr="0035062E" w:rsidRDefault="00FA273E" w:rsidP="00FA273E">
      <w:pPr>
        <w:pStyle w:val="CETReferencetext"/>
      </w:pPr>
      <w:r w:rsidRPr="0035062E">
        <w:t>Hydrogen Tools, 2022, www.h2tools.org (last access 12.02.2024).</w:t>
      </w:r>
    </w:p>
    <w:p w14:paraId="61431566" w14:textId="77777777" w:rsidR="008B6189" w:rsidRDefault="008B6189" w:rsidP="008B6189">
      <w:pPr>
        <w:pStyle w:val="CETReferencetext"/>
      </w:pPr>
      <w:r w:rsidRPr="0035062E">
        <w:t>ISO/TR 15916</w:t>
      </w:r>
      <w:r>
        <w:t xml:space="preserve">, </w:t>
      </w:r>
      <w:r w:rsidRPr="0035062E">
        <w:t>2015</w:t>
      </w:r>
      <w:r>
        <w:t>, Basic considerations for the safety of hydrogen system.</w:t>
      </w:r>
    </w:p>
    <w:p w14:paraId="2C15BD61" w14:textId="3A14BA94" w:rsidR="008B6189" w:rsidRDefault="008B6189" w:rsidP="008B6189">
      <w:pPr>
        <w:pStyle w:val="CETBodytext"/>
        <w:ind w:left="284" w:hanging="284"/>
        <w:rPr>
          <w:rFonts w:cs="Arial"/>
          <w:color w:val="000000"/>
          <w:shd w:val="clear" w:color="auto" w:fill="FFFFFF"/>
        </w:rPr>
      </w:pPr>
      <w:proofErr w:type="spellStart"/>
      <w:r>
        <w:rPr>
          <w:rFonts w:cs="Arial"/>
          <w:color w:val="000000"/>
          <w:shd w:val="clear" w:color="auto" w:fill="FFFFFF"/>
        </w:rPr>
        <w:t>Melideo</w:t>
      </w:r>
      <w:proofErr w:type="spellEnd"/>
      <w:r>
        <w:rPr>
          <w:rFonts w:cs="Arial"/>
          <w:color w:val="000000"/>
          <w:shd w:val="clear" w:color="auto" w:fill="FFFFFF"/>
        </w:rPr>
        <w:t xml:space="preserve">, D., Weidner </w:t>
      </w:r>
      <w:proofErr w:type="spellStart"/>
      <w:r>
        <w:rPr>
          <w:rFonts w:cs="Arial"/>
          <w:color w:val="000000"/>
          <w:shd w:val="clear" w:color="auto" w:fill="FFFFFF"/>
        </w:rPr>
        <w:t>Ronnefeld</w:t>
      </w:r>
      <w:proofErr w:type="spellEnd"/>
      <w:r>
        <w:rPr>
          <w:rFonts w:cs="Arial"/>
          <w:color w:val="000000"/>
          <w:shd w:val="clear" w:color="auto" w:fill="FFFFFF"/>
        </w:rPr>
        <w:t xml:space="preserve">, E., Dolci, F. and Moretto, P., HIAD - Hydrogen Incident and Accident Database, In: 53rd </w:t>
      </w:r>
      <w:proofErr w:type="spellStart"/>
      <w:r>
        <w:rPr>
          <w:rFonts w:cs="Arial"/>
          <w:color w:val="000000"/>
          <w:shd w:val="clear" w:color="auto" w:fill="FFFFFF"/>
        </w:rPr>
        <w:t>ESReDA</w:t>
      </w:r>
      <w:proofErr w:type="spellEnd"/>
      <w:r>
        <w:rPr>
          <w:rFonts w:cs="Arial"/>
          <w:color w:val="000000"/>
          <w:shd w:val="clear" w:color="auto" w:fill="FFFFFF"/>
        </w:rPr>
        <w:t xml:space="preserve"> Seminar, 14-15 November 2017, </w:t>
      </w:r>
      <w:proofErr w:type="spellStart"/>
      <w:r>
        <w:rPr>
          <w:rFonts w:cs="Arial"/>
          <w:color w:val="000000"/>
          <w:shd w:val="clear" w:color="auto" w:fill="FFFFFF"/>
        </w:rPr>
        <w:t>Ispra</w:t>
      </w:r>
      <w:proofErr w:type="spellEnd"/>
      <w:r>
        <w:rPr>
          <w:rFonts w:cs="Arial"/>
          <w:color w:val="000000"/>
          <w:shd w:val="clear" w:color="auto" w:fill="FFFFFF"/>
        </w:rPr>
        <w:t xml:space="preserve">, 53rd </w:t>
      </w:r>
      <w:proofErr w:type="spellStart"/>
      <w:r>
        <w:rPr>
          <w:rFonts w:cs="Arial"/>
          <w:color w:val="000000"/>
          <w:shd w:val="clear" w:color="auto" w:fill="FFFFFF"/>
        </w:rPr>
        <w:t>ESReDA</w:t>
      </w:r>
      <w:proofErr w:type="spellEnd"/>
      <w:r>
        <w:rPr>
          <w:rFonts w:cs="Arial"/>
          <w:color w:val="000000"/>
          <w:shd w:val="clear" w:color="auto" w:fill="FFFFFF"/>
        </w:rPr>
        <w:t xml:space="preserve"> Seminar, 2017, p. 326-336, JRC108666.</w:t>
      </w:r>
    </w:p>
    <w:p w14:paraId="4A5ACD22" w14:textId="264512D8" w:rsidR="008B6189" w:rsidRPr="008B6189" w:rsidRDefault="008B6189" w:rsidP="008B6189">
      <w:pPr>
        <w:pStyle w:val="CETReferencetext"/>
      </w:pPr>
      <w:r w:rsidRPr="0035062E">
        <w:t>National Fire Protection Association, 2017, NFPA 704, Standard System for the Identification of the Hazards of Materials for Emergency Response</w:t>
      </w:r>
    </w:p>
    <w:p w14:paraId="0B30254B" w14:textId="77777777" w:rsidR="00FA273E" w:rsidRPr="0035062E" w:rsidRDefault="00FA273E" w:rsidP="00FA273E">
      <w:pPr>
        <w:pStyle w:val="CETReferencetext"/>
      </w:pPr>
      <w:bookmarkStart w:id="9" w:name="_Hlk158893453"/>
      <w:proofErr w:type="spellStart"/>
      <w:r w:rsidRPr="0035062E">
        <w:t>Pozio</w:t>
      </w:r>
      <w:proofErr w:type="spellEnd"/>
      <w:r w:rsidRPr="0035062E">
        <w:t xml:space="preserve"> A., Bozza F., </w:t>
      </w:r>
      <w:proofErr w:type="spellStart"/>
      <w:r w:rsidRPr="0035062E">
        <w:t>Nigliaccio</w:t>
      </w:r>
      <w:proofErr w:type="spellEnd"/>
      <w:r w:rsidRPr="0035062E">
        <w:t xml:space="preserve"> G., Platter M., Monteleone </w:t>
      </w:r>
      <w:r>
        <w:t>G.</w:t>
      </w:r>
      <w:r w:rsidRPr="0035062E">
        <w:t>, 2021, Development perspectives on low-temperature electrolysis</w:t>
      </w:r>
    </w:p>
    <w:p w14:paraId="12F5F391" w14:textId="77777777" w:rsidR="008B6189" w:rsidRPr="00470F7C" w:rsidRDefault="008B6189" w:rsidP="008B6189">
      <w:pPr>
        <w:pStyle w:val="CETBodytext"/>
        <w:ind w:left="284" w:hanging="284"/>
        <w:jc w:val="left"/>
        <w:rPr>
          <w:lang w:val="en-GB"/>
        </w:rPr>
      </w:pPr>
      <w:bookmarkStart w:id="10" w:name="_Hlk158893402"/>
      <w:r>
        <w:t xml:space="preserve">TNO “Purple Book” </w:t>
      </w:r>
      <w:bookmarkEnd w:id="10"/>
      <w:r>
        <w:t>Guidelines for Quantitative Risk Assessment, CPR 18E, Committee for the Prevention of Disasters, 1999.</w:t>
      </w:r>
    </w:p>
    <w:bookmarkEnd w:id="9"/>
    <w:p w14:paraId="13599442" w14:textId="3DB1D29C" w:rsidR="00CF2207" w:rsidRPr="0035062E" w:rsidRDefault="00F146B9" w:rsidP="00C16D8E">
      <w:pPr>
        <w:pStyle w:val="CETBodytext"/>
        <w:ind w:left="284" w:hanging="284"/>
        <w:rPr>
          <w:lang w:val="en-GB"/>
        </w:rPr>
      </w:pPr>
      <w:proofErr w:type="spellStart"/>
      <w:r w:rsidRPr="00F146B9">
        <w:rPr>
          <w:lang w:val="en-GB"/>
        </w:rPr>
        <w:t>Zalosh</w:t>
      </w:r>
      <w:proofErr w:type="spellEnd"/>
      <w:r w:rsidRPr="00F146B9">
        <w:rPr>
          <w:lang w:val="en-GB"/>
        </w:rPr>
        <w:t>, Robert G., and Short, Thomas P.. Compilation and Analysis of Hydrogen Accident Reports. Final Technical Report. United States: N. p., 1978. Web. doi:10.2172/12138523.</w:t>
      </w:r>
    </w:p>
    <w:sectPr w:rsidR="00CF2207" w:rsidRPr="0035062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E9748" w14:textId="77777777" w:rsidR="00106B28" w:rsidRDefault="00106B28" w:rsidP="004F5E36">
      <w:r>
        <w:separator/>
      </w:r>
    </w:p>
  </w:endnote>
  <w:endnote w:type="continuationSeparator" w:id="0">
    <w:p w14:paraId="4BDEA2AF" w14:textId="77777777" w:rsidR="00106B28" w:rsidRDefault="00106B28" w:rsidP="004F5E36">
      <w:r>
        <w:continuationSeparator/>
      </w:r>
    </w:p>
  </w:endnote>
  <w:endnote w:type="continuationNotice" w:id="1">
    <w:p w14:paraId="155F0C77" w14:textId="77777777" w:rsidR="00A04546" w:rsidRDefault="00A045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E1C1F" w14:textId="77777777" w:rsidR="00106B28" w:rsidRDefault="00106B28" w:rsidP="004F5E36">
      <w:r>
        <w:separator/>
      </w:r>
    </w:p>
  </w:footnote>
  <w:footnote w:type="continuationSeparator" w:id="0">
    <w:p w14:paraId="6E44ABB2" w14:textId="77777777" w:rsidR="00106B28" w:rsidRDefault="00106B28" w:rsidP="004F5E36">
      <w:r>
        <w:continuationSeparator/>
      </w:r>
    </w:p>
  </w:footnote>
  <w:footnote w:type="continuationNotice" w:id="1">
    <w:p w14:paraId="35DEA5B1" w14:textId="77777777" w:rsidR="00A04546" w:rsidRDefault="00A0454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30D15A9"/>
    <w:multiLevelType w:val="hybridMultilevel"/>
    <w:tmpl w:val="3CA61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316BB2"/>
    <w:multiLevelType w:val="hybridMultilevel"/>
    <w:tmpl w:val="E98075DA"/>
    <w:lvl w:ilvl="0" w:tplc="0B983C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07583B"/>
    <w:multiLevelType w:val="hybridMultilevel"/>
    <w:tmpl w:val="3CFC2416"/>
    <w:lvl w:ilvl="0" w:tplc="0B983C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CC034DD"/>
    <w:multiLevelType w:val="hybridMultilevel"/>
    <w:tmpl w:val="6AF254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2A165073"/>
    <w:multiLevelType w:val="hybridMultilevel"/>
    <w:tmpl w:val="1564D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883175F"/>
    <w:multiLevelType w:val="hybridMultilevel"/>
    <w:tmpl w:val="3F9A7DF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0305860">
    <w:abstractNumId w:val="14"/>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23"/>
  </w:num>
  <w:num w:numId="13" w16cid:durableId="1573659240">
    <w:abstractNumId w:val="17"/>
  </w:num>
  <w:num w:numId="14" w16cid:durableId="2092192635">
    <w:abstractNumId w:val="24"/>
  </w:num>
  <w:num w:numId="15" w16cid:durableId="1115637783">
    <w:abstractNumId w:val="26"/>
  </w:num>
  <w:num w:numId="16" w16cid:durableId="635987207">
    <w:abstractNumId w:val="25"/>
  </w:num>
  <w:num w:numId="17" w16cid:durableId="1476411020">
    <w:abstractNumId w:val="16"/>
  </w:num>
  <w:num w:numId="18" w16cid:durableId="2106877164">
    <w:abstractNumId w:val="17"/>
    <w:lvlOverride w:ilvl="0">
      <w:startOverride w:val="1"/>
    </w:lvlOverride>
  </w:num>
  <w:num w:numId="19" w16cid:durableId="1650403514">
    <w:abstractNumId w:val="22"/>
  </w:num>
  <w:num w:numId="20" w16cid:durableId="536504040">
    <w:abstractNumId w:val="21"/>
  </w:num>
  <w:num w:numId="21" w16cid:durableId="518815501">
    <w:abstractNumId w:val="19"/>
  </w:num>
  <w:num w:numId="22" w16cid:durableId="299530822">
    <w:abstractNumId w:val="18"/>
  </w:num>
  <w:num w:numId="23" w16cid:durableId="25065300">
    <w:abstractNumId w:val="15"/>
  </w:num>
  <w:num w:numId="24" w16cid:durableId="636300521">
    <w:abstractNumId w:val="13"/>
  </w:num>
  <w:num w:numId="25" w16cid:durableId="907618279">
    <w:abstractNumId w:val="11"/>
  </w:num>
  <w:num w:numId="26" w16cid:durableId="1921713559">
    <w:abstractNumId w:val="12"/>
  </w:num>
  <w:num w:numId="27" w16cid:durableId="1589918961">
    <w:abstractNumId w:val="20"/>
  </w:num>
  <w:num w:numId="28" w16cid:durableId="10472167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7E35"/>
    <w:rsid w:val="000117CB"/>
    <w:rsid w:val="0003148D"/>
    <w:rsid w:val="00031EEC"/>
    <w:rsid w:val="000421BC"/>
    <w:rsid w:val="00042623"/>
    <w:rsid w:val="00046FCB"/>
    <w:rsid w:val="00047D34"/>
    <w:rsid w:val="00051566"/>
    <w:rsid w:val="00052656"/>
    <w:rsid w:val="00052739"/>
    <w:rsid w:val="00052F35"/>
    <w:rsid w:val="0006151B"/>
    <w:rsid w:val="00062A9A"/>
    <w:rsid w:val="00065058"/>
    <w:rsid w:val="000656EA"/>
    <w:rsid w:val="00086C39"/>
    <w:rsid w:val="0009098A"/>
    <w:rsid w:val="0009699A"/>
    <w:rsid w:val="000A03B2"/>
    <w:rsid w:val="000A03E7"/>
    <w:rsid w:val="000B180B"/>
    <w:rsid w:val="000C2E9C"/>
    <w:rsid w:val="000C35D3"/>
    <w:rsid w:val="000C5A5D"/>
    <w:rsid w:val="000C64DB"/>
    <w:rsid w:val="000D0268"/>
    <w:rsid w:val="000D34BE"/>
    <w:rsid w:val="000D679D"/>
    <w:rsid w:val="000E102F"/>
    <w:rsid w:val="000E36F1"/>
    <w:rsid w:val="000E3A73"/>
    <w:rsid w:val="000E414A"/>
    <w:rsid w:val="000F093C"/>
    <w:rsid w:val="000F787B"/>
    <w:rsid w:val="0010522B"/>
    <w:rsid w:val="00106B28"/>
    <w:rsid w:val="001134E4"/>
    <w:rsid w:val="0012091F"/>
    <w:rsid w:val="0012601D"/>
    <w:rsid w:val="00126BC2"/>
    <w:rsid w:val="001308B6"/>
    <w:rsid w:val="0013121F"/>
    <w:rsid w:val="00131FE6"/>
    <w:rsid w:val="0013263F"/>
    <w:rsid w:val="001331DF"/>
    <w:rsid w:val="00134DE4"/>
    <w:rsid w:val="0014034D"/>
    <w:rsid w:val="0014343B"/>
    <w:rsid w:val="00144D16"/>
    <w:rsid w:val="00147680"/>
    <w:rsid w:val="00147AF2"/>
    <w:rsid w:val="001504AC"/>
    <w:rsid w:val="00150E59"/>
    <w:rsid w:val="00152DE3"/>
    <w:rsid w:val="00154224"/>
    <w:rsid w:val="0015527E"/>
    <w:rsid w:val="00164CF9"/>
    <w:rsid w:val="001667A6"/>
    <w:rsid w:val="00184AD6"/>
    <w:rsid w:val="001A4AF7"/>
    <w:rsid w:val="001B0349"/>
    <w:rsid w:val="001B1E93"/>
    <w:rsid w:val="001B4DEF"/>
    <w:rsid w:val="001B65C1"/>
    <w:rsid w:val="001C684B"/>
    <w:rsid w:val="001D0CFB"/>
    <w:rsid w:val="001D53FC"/>
    <w:rsid w:val="001D631C"/>
    <w:rsid w:val="001F0847"/>
    <w:rsid w:val="001F3925"/>
    <w:rsid w:val="001F42A5"/>
    <w:rsid w:val="001F7B9D"/>
    <w:rsid w:val="00201C93"/>
    <w:rsid w:val="00205807"/>
    <w:rsid w:val="002224B4"/>
    <w:rsid w:val="00233679"/>
    <w:rsid w:val="002447EF"/>
    <w:rsid w:val="00245BC7"/>
    <w:rsid w:val="00251550"/>
    <w:rsid w:val="00251BB8"/>
    <w:rsid w:val="002549EC"/>
    <w:rsid w:val="00257D2A"/>
    <w:rsid w:val="00263B05"/>
    <w:rsid w:val="002713A7"/>
    <w:rsid w:val="0027221A"/>
    <w:rsid w:val="00275B61"/>
    <w:rsid w:val="00280FAF"/>
    <w:rsid w:val="00282656"/>
    <w:rsid w:val="0028592C"/>
    <w:rsid w:val="00296B83"/>
    <w:rsid w:val="002A019C"/>
    <w:rsid w:val="002B110F"/>
    <w:rsid w:val="002B4015"/>
    <w:rsid w:val="002B78CE"/>
    <w:rsid w:val="002B7E8D"/>
    <w:rsid w:val="002C2FB6"/>
    <w:rsid w:val="002E265E"/>
    <w:rsid w:val="002E5FA7"/>
    <w:rsid w:val="002F3309"/>
    <w:rsid w:val="002F7651"/>
    <w:rsid w:val="003008CE"/>
    <w:rsid w:val="003009B7"/>
    <w:rsid w:val="00300E56"/>
    <w:rsid w:val="00302849"/>
    <w:rsid w:val="0030469C"/>
    <w:rsid w:val="00321CA6"/>
    <w:rsid w:val="003235B9"/>
    <w:rsid w:val="00323763"/>
    <w:rsid w:val="00332A4E"/>
    <w:rsid w:val="00334C09"/>
    <w:rsid w:val="003358A2"/>
    <w:rsid w:val="00335984"/>
    <w:rsid w:val="00340774"/>
    <w:rsid w:val="00340E09"/>
    <w:rsid w:val="003413AF"/>
    <w:rsid w:val="00341B4D"/>
    <w:rsid w:val="0035062E"/>
    <w:rsid w:val="00353CE6"/>
    <w:rsid w:val="00364A33"/>
    <w:rsid w:val="003723D4"/>
    <w:rsid w:val="00375BD8"/>
    <w:rsid w:val="00375C63"/>
    <w:rsid w:val="00381905"/>
    <w:rsid w:val="00384CC8"/>
    <w:rsid w:val="003871FD"/>
    <w:rsid w:val="00396ECE"/>
    <w:rsid w:val="00397605"/>
    <w:rsid w:val="003A1E30"/>
    <w:rsid w:val="003A2829"/>
    <w:rsid w:val="003A58E5"/>
    <w:rsid w:val="003A64DA"/>
    <w:rsid w:val="003A6F7E"/>
    <w:rsid w:val="003A7D1C"/>
    <w:rsid w:val="003B304B"/>
    <w:rsid w:val="003B3146"/>
    <w:rsid w:val="003C5CD5"/>
    <w:rsid w:val="003D393F"/>
    <w:rsid w:val="003D5DEE"/>
    <w:rsid w:val="003F015E"/>
    <w:rsid w:val="003F6147"/>
    <w:rsid w:val="00400414"/>
    <w:rsid w:val="0041446B"/>
    <w:rsid w:val="00434723"/>
    <w:rsid w:val="004415BB"/>
    <w:rsid w:val="0044329C"/>
    <w:rsid w:val="00453E24"/>
    <w:rsid w:val="00457456"/>
    <w:rsid w:val="004577FE"/>
    <w:rsid w:val="00457B9C"/>
    <w:rsid w:val="0046097B"/>
    <w:rsid w:val="0046164A"/>
    <w:rsid w:val="004628D2"/>
    <w:rsid w:val="00462DCD"/>
    <w:rsid w:val="004648AD"/>
    <w:rsid w:val="00465C7C"/>
    <w:rsid w:val="004703A9"/>
    <w:rsid w:val="00470F7C"/>
    <w:rsid w:val="00474771"/>
    <w:rsid w:val="004760DE"/>
    <w:rsid w:val="004763D7"/>
    <w:rsid w:val="00491BBD"/>
    <w:rsid w:val="00493AE2"/>
    <w:rsid w:val="004948A1"/>
    <w:rsid w:val="004A004E"/>
    <w:rsid w:val="004A24CF"/>
    <w:rsid w:val="004A28E5"/>
    <w:rsid w:val="004B5867"/>
    <w:rsid w:val="004B7174"/>
    <w:rsid w:val="004C3D1D"/>
    <w:rsid w:val="004C7913"/>
    <w:rsid w:val="004E4DD6"/>
    <w:rsid w:val="004F5E36"/>
    <w:rsid w:val="00506F27"/>
    <w:rsid w:val="00507B47"/>
    <w:rsid w:val="00507BEF"/>
    <w:rsid w:val="00507CC9"/>
    <w:rsid w:val="005119A5"/>
    <w:rsid w:val="005146B1"/>
    <w:rsid w:val="005149F5"/>
    <w:rsid w:val="00515A36"/>
    <w:rsid w:val="00516428"/>
    <w:rsid w:val="005278B7"/>
    <w:rsid w:val="00530C3D"/>
    <w:rsid w:val="00532016"/>
    <w:rsid w:val="005346C8"/>
    <w:rsid w:val="00543E7D"/>
    <w:rsid w:val="0054691C"/>
    <w:rsid w:val="00547A68"/>
    <w:rsid w:val="005531C9"/>
    <w:rsid w:val="00561A36"/>
    <w:rsid w:val="00570C43"/>
    <w:rsid w:val="00575379"/>
    <w:rsid w:val="00576A4C"/>
    <w:rsid w:val="00577452"/>
    <w:rsid w:val="00583F42"/>
    <w:rsid w:val="00587766"/>
    <w:rsid w:val="00592CA9"/>
    <w:rsid w:val="005A4065"/>
    <w:rsid w:val="005B2110"/>
    <w:rsid w:val="005B61E6"/>
    <w:rsid w:val="005C77E1"/>
    <w:rsid w:val="005D07D5"/>
    <w:rsid w:val="005D668A"/>
    <w:rsid w:val="005D6A2F"/>
    <w:rsid w:val="005E1A82"/>
    <w:rsid w:val="005E794C"/>
    <w:rsid w:val="005F0A28"/>
    <w:rsid w:val="005F0E5E"/>
    <w:rsid w:val="005F11D3"/>
    <w:rsid w:val="005F4661"/>
    <w:rsid w:val="00600535"/>
    <w:rsid w:val="0060749B"/>
    <w:rsid w:val="00610CD6"/>
    <w:rsid w:val="00620DEE"/>
    <w:rsid w:val="00621F92"/>
    <w:rsid w:val="0062280A"/>
    <w:rsid w:val="00625639"/>
    <w:rsid w:val="00631B33"/>
    <w:rsid w:val="00641778"/>
    <w:rsid w:val="0064184D"/>
    <w:rsid w:val="006422CC"/>
    <w:rsid w:val="00660302"/>
    <w:rsid w:val="00660E3E"/>
    <w:rsid w:val="00662E74"/>
    <w:rsid w:val="00665323"/>
    <w:rsid w:val="00680C23"/>
    <w:rsid w:val="006866B4"/>
    <w:rsid w:val="006906AB"/>
    <w:rsid w:val="00693724"/>
    <w:rsid w:val="00693766"/>
    <w:rsid w:val="006A3281"/>
    <w:rsid w:val="006B483B"/>
    <w:rsid w:val="006B4888"/>
    <w:rsid w:val="006C2E45"/>
    <w:rsid w:val="006C359C"/>
    <w:rsid w:val="006C5579"/>
    <w:rsid w:val="006D1B33"/>
    <w:rsid w:val="006D6E8B"/>
    <w:rsid w:val="006E3DAC"/>
    <w:rsid w:val="006E4DE3"/>
    <w:rsid w:val="006E538D"/>
    <w:rsid w:val="006E737D"/>
    <w:rsid w:val="006F1EC0"/>
    <w:rsid w:val="00703C13"/>
    <w:rsid w:val="00713973"/>
    <w:rsid w:val="00717660"/>
    <w:rsid w:val="007201B9"/>
    <w:rsid w:val="00720A24"/>
    <w:rsid w:val="007223FF"/>
    <w:rsid w:val="007313C6"/>
    <w:rsid w:val="00732386"/>
    <w:rsid w:val="0073514D"/>
    <w:rsid w:val="00735B66"/>
    <w:rsid w:val="00743A64"/>
    <w:rsid w:val="007447F3"/>
    <w:rsid w:val="0075499F"/>
    <w:rsid w:val="0075623B"/>
    <w:rsid w:val="007600A9"/>
    <w:rsid w:val="007661C8"/>
    <w:rsid w:val="0077098D"/>
    <w:rsid w:val="00771D69"/>
    <w:rsid w:val="007851D5"/>
    <w:rsid w:val="0078592B"/>
    <w:rsid w:val="007931FA"/>
    <w:rsid w:val="007A0184"/>
    <w:rsid w:val="007A38E3"/>
    <w:rsid w:val="007A4861"/>
    <w:rsid w:val="007A587A"/>
    <w:rsid w:val="007A7BBA"/>
    <w:rsid w:val="007B0C50"/>
    <w:rsid w:val="007B1243"/>
    <w:rsid w:val="007B1C34"/>
    <w:rsid w:val="007B48F9"/>
    <w:rsid w:val="007C1A43"/>
    <w:rsid w:val="007C1EB7"/>
    <w:rsid w:val="007C54A4"/>
    <w:rsid w:val="007D11A4"/>
    <w:rsid w:val="007E2D98"/>
    <w:rsid w:val="007E65B3"/>
    <w:rsid w:val="0080013E"/>
    <w:rsid w:val="00804433"/>
    <w:rsid w:val="008057CF"/>
    <w:rsid w:val="00813288"/>
    <w:rsid w:val="00814DC1"/>
    <w:rsid w:val="008168FC"/>
    <w:rsid w:val="00825DD9"/>
    <w:rsid w:val="00830996"/>
    <w:rsid w:val="008332B1"/>
    <w:rsid w:val="008345F1"/>
    <w:rsid w:val="008404E3"/>
    <w:rsid w:val="00852366"/>
    <w:rsid w:val="00857FA7"/>
    <w:rsid w:val="00861C52"/>
    <w:rsid w:val="00862155"/>
    <w:rsid w:val="00865B07"/>
    <w:rsid w:val="008667EA"/>
    <w:rsid w:val="00866DCB"/>
    <w:rsid w:val="0087637F"/>
    <w:rsid w:val="00892AD5"/>
    <w:rsid w:val="008A1512"/>
    <w:rsid w:val="008A3E03"/>
    <w:rsid w:val="008B613C"/>
    <w:rsid w:val="008B6189"/>
    <w:rsid w:val="008C1279"/>
    <w:rsid w:val="008D32B9"/>
    <w:rsid w:val="008D433B"/>
    <w:rsid w:val="008D660F"/>
    <w:rsid w:val="008D7292"/>
    <w:rsid w:val="008E253C"/>
    <w:rsid w:val="008E566E"/>
    <w:rsid w:val="0090161A"/>
    <w:rsid w:val="00901EB6"/>
    <w:rsid w:val="00904C62"/>
    <w:rsid w:val="00916F4A"/>
    <w:rsid w:val="00922BA8"/>
    <w:rsid w:val="00924DAC"/>
    <w:rsid w:val="00927058"/>
    <w:rsid w:val="009310CA"/>
    <w:rsid w:val="00933289"/>
    <w:rsid w:val="009370E0"/>
    <w:rsid w:val="00942750"/>
    <w:rsid w:val="009450CE"/>
    <w:rsid w:val="00945D45"/>
    <w:rsid w:val="00947179"/>
    <w:rsid w:val="0095164B"/>
    <w:rsid w:val="00954090"/>
    <w:rsid w:val="009573E7"/>
    <w:rsid w:val="00963E05"/>
    <w:rsid w:val="00967843"/>
    <w:rsid w:val="00967D54"/>
    <w:rsid w:val="00971028"/>
    <w:rsid w:val="00981E99"/>
    <w:rsid w:val="009849CC"/>
    <w:rsid w:val="00993B84"/>
    <w:rsid w:val="00996351"/>
    <w:rsid w:val="00996483"/>
    <w:rsid w:val="00996F5A"/>
    <w:rsid w:val="009B041A"/>
    <w:rsid w:val="009B1065"/>
    <w:rsid w:val="009B4F8E"/>
    <w:rsid w:val="009C37C3"/>
    <w:rsid w:val="009C7C86"/>
    <w:rsid w:val="009D2FF7"/>
    <w:rsid w:val="009D7A56"/>
    <w:rsid w:val="009E509B"/>
    <w:rsid w:val="009E7884"/>
    <w:rsid w:val="009E788A"/>
    <w:rsid w:val="009F0E08"/>
    <w:rsid w:val="009F6533"/>
    <w:rsid w:val="00A02684"/>
    <w:rsid w:val="00A037F7"/>
    <w:rsid w:val="00A04546"/>
    <w:rsid w:val="00A069FF"/>
    <w:rsid w:val="00A1763D"/>
    <w:rsid w:val="00A17CEC"/>
    <w:rsid w:val="00A23008"/>
    <w:rsid w:val="00A27EF0"/>
    <w:rsid w:val="00A42361"/>
    <w:rsid w:val="00A50B20"/>
    <w:rsid w:val="00A51390"/>
    <w:rsid w:val="00A54A13"/>
    <w:rsid w:val="00A60D13"/>
    <w:rsid w:val="00A65F5B"/>
    <w:rsid w:val="00A72745"/>
    <w:rsid w:val="00A76EFC"/>
    <w:rsid w:val="00A91010"/>
    <w:rsid w:val="00A97F29"/>
    <w:rsid w:val="00AA0983"/>
    <w:rsid w:val="00AA702E"/>
    <w:rsid w:val="00AB0964"/>
    <w:rsid w:val="00AB0F21"/>
    <w:rsid w:val="00AB4BDE"/>
    <w:rsid w:val="00AB5011"/>
    <w:rsid w:val="00AC616D"/>
    <w:rsid w:val="00AC7368"/>
    <w:rsid w:val="00AD16B9"/>
    <w:rsid w:val="00AD5385"/>
    <w:rsid w:val="00AE377D"/>
    <w:rsid w:val="00AE7A25"/>
    <w:rsid w:val="00AF01DB"/>
    <w:rsid w:val="00AF0EBA"/>
    <w:rsid w:val="00B02C8A"/>
    <w:rsid w:val="00B17FBD"/>
    <w:rsid w:val="00B20084"/>
    <w:rsid w:val="00B24619"/>
    <w:rsid w:val="00B25638"/>
    <w:rsid w:val="00B315A6"/>
    <w:rsid w:val="00B31813"/>
    <w:rsid w:val="00B31E9E"/>
    <w:rsid w:val="00B330AF"/>
    <w:rsid w:val="00B33365"/>
    <w:rsid w:val="00B57B36"/>
    <w:rsid w:val="00B57E6F"/>
    <w:rsid w:val="00B62D37"/>
    <w:rsid w:val="00B735B2"/>
    <w:rsid w:val="00B866C6"/>
    <w:rsid w:val="00B8686D"/>
    <w:rsid w:val="00B93F69"/>
    <w:rsid w:val="00B976B4"/>
    <w:rsid w:val="00B97CA0"/>
    <w:rsid w:val="00BB1DDC"/>
    <w:rsid w:val="00BB47BD"/>
    <w:rsid w:val="00BC30C9"/>
    <w:rsid w:val="00BD0092"/>
    <w:rsid w:val="00BD077D"/>
    <w:rsid w:val="00BD6650"/>
    <w:rsid w:val="00BE11E1"/>
    <w:rsid w:val="00BE266B"/>
    <w:rsid w:val="00BE3E58"/>
    <w:rsid w:val="00BF5B86"/>
    <w:rsid w:val="00C01616"/>
    <w:rsid w:val="00C0162B"/>
    <w:rsid w:val="00C02EC7"/>
    <w:rsid w:val="00C068ED"/>
    <w:rsid w:val="00C16D8E"/>
    <w:rsid w:val="00C22E0C"/>
    <w:rsid w:val="00C345B1"/>
    <w:rsid w:val="00C36687"/>
    <w:rsid w:val="00C40142"/>
    <w:rsid w:val="00C40AC7"/>
    <w:rsid w:val="00C52C3C"/>
    <w:rsid w:val="00C563DF"/>
    <w:rsid w:val="00C57182"/>
    <w:rsid w:val="00C57863"/>
    <w:rsid w:val="00C654D4"/>
    <w:rsid w:val="00C655FD"/>
    <w:rsid w:val="00C75407"/>
    <w:rsid w:val="00C870A8"/>
    <w:rsid w:val="00C8766A"/>
    <w:rsid w:val="00C94434"/>
    <w:rsid w:val="00CA0D75"/>
    <w:rsid w:val="00CA1C95"/>
    <w:rsid w:val="00CA5A9C"/>
    <w:rsid w:val="00CB3627"/>
    <w:rsid w:val="00CC1CD3"/>
    <w:rsid w:val="00CC4C20"/>
    <w:rsid w:val="00CC6287"/>
    <w:rsid w:val="00CD240E"/>
    <w:rsid w:val="00CD2AB3"/>
    <w:rsid w:val="00CD3517"/>
    <w:rsid w:val="00CD5FE2"/>
    <w:rsid w:val="00CE5A15"/>
    <w:rsid w:val="00CE7C68"/>
    <w:rsid w:val="00CF2207"/>
    <w:rsid w:val="00D02B4C"/>
    <w:rsid w:val="00D040C4"/>
    <w:rsid w:val="00D13680"/>
    <w:rsid w:val="00D15165"/>
    <w:rsid w:val="00D25E42"/>
    <w:rsid w:val="00D353C2"/>
    <w:rsid w:val="00D36DB1"/>
    <w:rsid w:val="00D37477"/>
    <w:rsid w:val="00D43E9D"/>
    <w:rsid w:val="00D46B7E"/>
    <w:rsid w:val="00D57C84"/>
    <w:rsid w:val="00D6057D"/>
    <w:rsid w:val="00D664CE"/>
    <w:rsid w:val="00D667C0"/>
    <w:rsid w:val="00D80C2D"/>
    <w:rsid w:val="00D811A7"/>
    <w:rsid w:val="00D82225"/>
    <w:rsid w:val="00D836C5"/>
    <w:rsid w:val="00D84576"/>
    <w:rsid w:val="00D878C9"/>
    <w:rsid w:val="00D91CD9"/>
    <w:rsid w:val="00D930E8"/>
    <w:rsid w:val="00DA1399"/>
    <w:rsid w:val="00DA24C6"/>
    <w:rsid w:val="00DA4D7B"/>
    <w:rsid w:val="00DA7D3D"/>
    <w:rsid w:val="00DB01E5"/>
    <w:rsid w:val="00DB2698"/>
    <w:rsid w:val="00DB577C"/>
    <w:rsid w:val="00DB6125"/>
    <w:rsid w:val="00DC52E8"/>
    <w:rsid w:val="00DC6710"/>
    <w:rsid w:val="00DE264A"/>
    <w:rsid w:val="00DE4DAA"/>
    <w:rsid w:val="00DF1D06"/>
    <w:rsid w:val="00DF5072"/>
    <w:rsid w:val="00E00C18"/>
    <w:rsid w:val="00E02D18"/>
    <w:rsid w:val="00E038F0"/>
    <w:rsid w:val="00E041E7"/>
    <w:rsid w:val="00E202BF"/>
    <w:rsid w:val="00E20B21"/>
    <w:rsid w:val="00E23CA1"/>
    <w:rsid w:val="00E409A8"/>
    <w:rsid w:val="00E44285"/>
    <w:rsid w:val="00E50C12"/>
    <w:rsid w:val="00E52A9D"/>
    <w:rsid w:val="00E53357"/>
    <w:rsid w:val="00E56F57"/>
    <w:rsid w:val="00E57657"/>
    <w:rsid w:val="00E65B91"/>
    <w:rsid w:val="00E66046"/>
    <w:rsid w:val="00E7209D"/>
    <w:rsid w:val="00E72EAD"/>
    <w:rsid w:val="00E77223"/>
    <w:rsid w:val="00E82E82"/>
    <w:rsid w:val="00E8470D"/>
    <w:rsid w:val="00E84C19"/>
    <w:rsid w:val="00E8528B"/>
    <w:rsid w:val="00E85B94"/>
    <w:rsid w:val="00E978D0"/>
    <w:rsid w:val="00EA2220"/>
    <w:rsid w:val="00EA4613"/>
    <w:rsid w:val="00EA7CFE"/>
    <w:rsid w:val="00EA7F91"/>
    <w:rsid w:val="00EB1523"/>
    <w:rsid w:val="00EB47A3"/>
    <w:rsid w:val="00EC0E49"/>
    <w:rsid w:val="00EC101F"/>
    <w:rsid w:val="00EC1D9F"/>
    <w:rsid w:val="00EC35D2"/>
    <w:rsid w:val="00EC56B2"/>
    <w:rsid w:val="00EC70F3"/>
    <w:rsid w:val="00ED1AC8"/>
    <w:rsid w:val="00EE0131"/>
    <w:rsid w:val="00EE17B0"/>
    <w:rsid w:val="00EF06D9"/>
    <w:rsid w:val="00EF2DAC"/>
    <w:rsid w:val="00F136C7"/>
    <w:rsid w:val="00F146B9"/>
    <w:rsid w:val="00F2163F"/>
    <w:rsid w:val="00F27923"/>
    <w:rsid w:val="00F30A4C"/>
    <w:rsid w:val="00F30C64"/>
    <w:rsid w:val="00F31DCE"/>
    <w:rsid w:val="00F32BA2"/>
    <w:rsid w:val="00F32CDB"/>
    <w:rsid w:val="00F379F1"/>
    <w:rsid w:val="00F50FA3"/>
    <w:rsid w:val="00F565FE"/>
    <w:rsid w:val="00F56862"/>
    <w:rsid w:val="00F63A70"/>
    <w:rsid w:val="00F656CD"/>
    <w:rsid w:val="00F70EFA"/>
    <w:rsid w:val="00F7534E"/>
    <w:rsid w:val="00FA1101"/>
    <w:rsid w:val="00FA21D0"/>
    <w:rsid w:val="00FA273E"/>
    <w:rsid w:val="00FA5F5F"/>
    <w:rsid w:val="00FB730C"/>
    <w:rsid w:val="00FC16A9"/>
    <w:rsid w:val="00FC2695"/>
    <w:rsid w:val="00FC3E03"/>
    <w:rsid w:val="00FC3FC1"/>
    <w:rsid w:val="00FC5F29"/>
    <w:rsid w:val="00FD5BDC"/>
    <w:rsid w:val="00FF59C9"/>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customStyle="1" w:styleId="Default">
    <w:name w:val="Default"/>
    <w:rsid w:val="0054691C"/>
    <w:pPr>
      <w:autoSpaceDE w:val="0"/>
      <w:autoSpaceDN w:val="0"/>
      <w:adjustRightInd w:val="0"/>
      <w:spacing w:after="0" w:line="240" w:lineRule="auto"/>
    </w:pPr>
    <w:rPr>
      <w:rFonts w:ascii="Arial" w:hAnsi="Arial" w:cs="Arial"/>
      <w:color w:val="000000"/>
      <w:sz w:val="24"/>
      <w:szCs w:val="24"/>
    </w:rPr>
  </w:style>
  <w:style w:type="character" w:customStyle="1" w:styleId="ls9">
    <w:name w:val="ls9"/>
    <w:basedOn w:val="Carpredefinitoparagrafo"/>
    <w:rsid w:val="00341B4D"/>
  </w:style>
  <w:style w:type="character" w:customStyle="1" w:styleId="fs3">
    <w:name w:val="fs3"/>
    <w:basedOn w:val="Carpredefinitoparagrafo"/>
    <w:rsid w:val="00341B4D"/>
  </w:style>
  <w:style w:type="character" w:customStyle="1" w:styleId="ls12">
    <w:name w:val="ls12"/>
    <w:basedOn w:val="Carpredefinitoparagrafo"/>
    <w:rsid w:val="00341B4D"/>
  </w:style>
  <w:style w:type="character" w:customStyle="1" w:styleId="ls13">
    <w:name w:val="ls13"/>
    <w:basedOn w:val="Carpredefinitoparagrafo"/>
    <w:rsid w:val="00341B4D"/>
  </w:style>
  <w:style w:type="character" w:styleId="Menzionenonrisolta">
    <w:name w:val="Unresolved Mention"/>
    <w:basedOn w:val="Carpredefinitoparagrafo"/>
    <w:uiPriority w:val="99"/>
    <w:semiHidden/>
    <w:unhideWhenUsed/>
    <w:rsid w:val="00302849"/>
    <w:rPr>
      <w:color w:val="605E5C"/>
      <w:shd w:val="clear" w:color="auto" w:fill="E1DFDD"/>
    </w:rPr>
  </w:style>
  <w:style w:type="character" w:customStyle="1" w:styleId="ui-provider">
    <w:name w:val="ui-provider"/>
    <w:basedOn w:val="Carpredefinitoparagrafo"/>
    <w:rsid w:val="00ED1AC8"/>
  </w:style>
  <w:style w:type="table" w:styleId="Tabellasemplice-2">
    <w:name w:val="Plain Table 2"/>
    <w:basedOn w:val="Tabellanormale"/>
    <w:uiPriority w:val="42"/>
    <w:rsid w:val="003976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6586">
      <w:bodyDiv w:val="1"/>
      <w:marLeft w:val="0"/>
      <w:marRight w:val="0"/>
      <w:marTop w:val="0"/>
      <w:marBottom w:val="0"/>
      <w:divBdr>
        <w:top w:val="none" w:sz="0" w:space="0" w:color="auto"/>
        <w:left w:val="none" w:sz="0" w:space="0" w:color="auto"/>
        <w:bottom w:val="none" w:sz="0" w:space="0" w:color="auto"/>
        <w:right w:val="none" w:sz="0" w:space="0" w:color="auto"/>
      </w:divBdr>
    </w:div>
    <w:div w:id="676689443">
      <w:bodyDiv w:val="1"/>
      <w:marLeft w:val="0"/>
      <w:marRight w:val="0"/>
      <w:marTop w:val="0"/>
      <w:marBottom w:val="0"/>
      <w:divBdr>
        <w:top w:val="none" w:sz="0" w:space="0" w:color="auto"/>
        <w:left w:val="none" w:sz="0" w:space="0" w:color="auto"/>
        <w:bottom w:val="none" w:sz="0" w:space="0" w:color="auto"/>
        <w:right w:val="none" w:sz="0" w:space="0" w:color="auto"/>
      </w:divBdr>
      <w:divsChild>
        <w:div w:id="1090198037">
          <w:marLeft w:val="0"/>
          <w:marRight w:val="0"/>
          <w:marTop w:val="0"/>
          <w:marBottom w:val="0"/>
          <w:divBdr>
            <w:top w:val="none" w:sz="0" w:space="0" w:color="auto"/>
            <w:left w:val="none" w:sz="0" w:space="0" w:color="auto"/>
            <w:bottom w:val="none" w:sz="0" w:space="0" w:color="auto"/>
            <w:right w:val="none" w:sz="0" w:space="0" w:color="auto"/>
          </w:divBdr>
        </w:div>
      </w:divsChild>
    </w:div>
    <w:div w:id="74391441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369382">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3877">
      <w:bodyDiv w:val="1"/>
      <w:marLeft w:val="0"/>
      <w:marRight w:val="0"/>
      <w:marTop w:val="0"/>
      <w:marBottom w:val="0"/>
      <w:divBdr>
        <w:top w:val="none" w:sz="0" w:space="0" w:color="auto"/>
        <w:left w:val="none" w:sz="0" w:space="0" w:color="auto"/>
        <w:bottom w:val="none" w:sz="0" w:space="0" w:color="auto"/>
        <w:right w:val="none" w:sz="0" w:space="0" w:color="auto"/>
      </w:divBdr>
    </w:div>
    <w:div w:id="119592218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76331395">
      <w:bodyDiv w:val="1"/>
      <w:marLeft w:val="0"/>
      <w:marRight w:val="0"/>
      <w:marTop w:val="0"/>
      <w:marBottom w:val="0"/>
      <w:divBdr>
        <w:top w:val="none" w:sz="0" w:space="0" w:color="auto"/>
        <w:left w:val="none" w:sz="0" w:space="0" w:color="auto"/>
        <w:bottom w:val="none" w:sz="0" w:space="0" w:color="auto"/>
        <w:right w:val="none" w:sz="0" w:space="0" w:color="auto"/>
      </w:divBdr>
    </w:div>
    <w:div w:id="1480078297">
      <w:bodyDiv w:val="1"/>
      <w:marLeft w:val="0"/>
      <w:marRight w:val="0"/>
      <w:marTop w:val="0"/>
      <w:marBottom w:val="0"/>
      <w:divBdr>
        <w:top w:val="none" w:sz="0" w:space="0" w:color="auto"/>
        <w:left w:val="none" w:sz="0" w:space="0" w:color="auto"/>
        <w:bottom w:val="none" w:sz="0" w:space="0" w:color="auto"/>
        <w:right w:val="none" w:sz="0" w:space="0" w:color="auto"/>
      </w:divBdr>
      <w:divsChild>
        <w:div w:id="2012752371">
          <w:marLeft w:val="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3507796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feadc5-bc09-44b2-928a-ec994b8f3855">
      <Terms xmlns="http://schemas.microsoft.com/office/infopath/2007/PartnerControls"/>
    </lcf76f155ced4ddcb4097134ff3c332f>
    <TaxCatchAll xmlns="de85019f-04e1-4f7c-919e-2a63045bd3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AE600FCDD2BB4F8FEE825292886E9E" ma:contentTypeVersion="18" ma:contentTypeDescription="Create a new document." ma:contentTypeScope="" ma:versionID="8980d1c31d0e2ea2adc53ca9c5555af0">
  <xsd:schema xmlns:xsd="http://www.w3.org/2001/XMLSchema" xmlns:xs="http://www.w3.org/2001/XMLSchema" xmlns:p="http://schemas.microsoft.com/office/2006/metadata/properties" xmlns:ns2="9db0b9aa-fbd6-4224-8087-b47519e56762" xmlns:ns3="edfeadc5-bc09-44b2-928a-ec994b8f3855" xmlns:ns4="de85019f-04e1-4f7c-919e-2a63045bd3a6" targetNamespace="http://schemas.microsoft.com/office/2006/metadata/properties" ma:root="true" ma:fieldsID="9b16d4914119ace1994f27ce25656aca" ns2:_="" ns3:_="" ns4:_="">
    <xsd:import namespace="9db0b9aa-fbd6-4224-8087-b47519e56762"/>
    <xsd:import namespace="edfeadc5-bc09-44b2-928a-ec994b8f3855"/>
    <xsd:import namespace="de85019f-04e1-4f7c-919e-2a63045bd3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0b9aa-fbd6-4224-8087-b47519e56762"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feadc5-bc09-44b2-928a-ec994b8f385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3bf995-fbfa-44ea-8187-e0b9c3bf97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85019f-04e1-4f7c-919e-2a63045bd3a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e759327-60d1-4fd5-af6a-4bc822362c85}" ma:internalName="TaxCatchAll" ma:showField="CatchAllData" ma:web="23dce217-bda3-4327-bfeb-444b3b4738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3641D-1E59-40CE-9257-A89BEBD747F2}">
  <ds:schemaRefs>
    <ds:schemaRef ds:uri="edfeadc5-bc09-44b2-928a-ec994b8f3855"/>
    <ds:schemaRef ds:uri="9db0b9aa-fbd6-4224-8087-b47519e56762"/>
    <ds:schemaRef ds:uri="http://purl.org/dc/dcmitype/"/>
    <ds:schemaRef ds:uri="de85019f-04e1-4f7c-919e-2a63045bd3a6"/>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D8EAD116-2984-4206-8097-DBFBCB99D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0b9aa-fbd6-4224-8087-b47519e56762"/>
    <ds:schemaRef ds:uri="edfeadc5-bc09-44b2-928a-ec994b8f3855"/>
    <ds:schemaRef ds:uri="de85019f-04e1-4f7c-919e-2a63045b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A06E70-88FA-4D34-BD4B-CD4E9F74512C}">
  <ds:schemaRefs>
    <ds:schemaRef ds:uri="http://schemas.microsoft.com/sharepoint/v3/contenttype/forms"/>
  </ds:schemaRefs>
</ds:datastoreItem>
</file>

<file path=customXml/itemProps4.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3113</Words>
  <Characters>17747</Characters>
  <Application>Microsoft Office Word</Application>
  <DocSecurity>0</DocSecurity>
  <Lines>147</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LORENZO PELLEGRINI</cp:lastModifiedBy>
  <cp:revision>11</cp:revision>
  <cp:lastPrinted>2024-07-05T14:27:00Z</cp:lastPrinted>
  <dcterms:created xsi:type="dcterms:W3CDTF">2024-04-29T10:52:00Z</dcterms:created>
  <dcterms:modified xsi:type="dcterms:W3CDTF">2024-07-10T09:14:00Z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0x0101002EAE600FCDD2BB4F8FEE825292886E9E</vt:lpwstr>
  </property>
  <property fmtid="{D5CDD505-2E9C-101B-9397-08002B2CF9AE}" pid="5" name="MediaServiceImageTags">
    <vt:lpwstr/>
  </property>
</Properties>
</file>