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proofErr w:type="spellStart"/>
            <w:r w:rsidR="00B57E6F" w:rsidRPr="00825DD9">
              <w:rPr>
                <w:rFonts w:ascii="Tahoma" w:hAnsi="Tahoma" w:cs="Tahoma"/>
                <w:bCs/>
                <w:color w:val="000000"/>
                <w:sz w:val="14"/>
                <w:szCs w:val="14"/>
                <w:lang w:val="it-IT" w:eastAsia="it-IT"/>
              </w:rPr>
              <w:t>Genserik</w:t>
            </w:r>
            <w:proofErr w:type="spellEnd"/>
            <w:r w:rsidR="00B57E6F" w:rsidRPr="00825DD9">
              <w:rPr>
                <w:rFonts w:ascii="Tahoma" w:hAnsi="Tahoma" w:cs="Tahoma"/>
                <w:bCs/>
                <w:color w:val="000000"/>
                <w:sz w:val="14"/>
                <w:szCs w:val="14"/>
                <w:lang w:val="it-IT" w:eastAsia="it-IT"/>
              </w:rPr>
              <w:t xml:space="preserve"> </w:t>
            </w:r>
            <w:proofErr w:type="spellStart"/>
            <w:r w:rsidR="00B57E6F" w:rsidRPr="00825DD9">
              <w:rPr>
                <w:rFonts w:ascii="Tahoma" w:hAnsi="Tahoma" w:cs="Tahoma"/>
                <w:bCs/>
                <w:color w:val="000000"/>
                <w:sz w:val="14"/>
                <w:szCs w:val="14"/>
                <w:lang w:val="it-IT" w:eastAsia="it-IT"/>
              </w:rPr>
              <w:t>Reniers</w:t>
            </w:r>
            <w:proofErr w:type="spellEnd"/>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3160D3">
          <w:type w:val="continuous"/>
          <w:pgSz w:w="11906" w:h="16838" w:code="9"/>
          <w:pgMar w:top="1701" w:right="1418" w:bottom="1701" w:left="1701" w:header="1701" w:footer="0" w:gutter="0"/>
          <w:cols w:space="708"/>
          <w:titlePg/>
          <w:docGrid w:linePitch="360"/>
        </w:sectPr>
      </w:pPr>
    </w:p>
    <w:p w14:paraId="207EA56A" w14:textId="28BAB3DD" w:rsidR="00CA45F5" w:rsidRPr="00CA45F5" w:rsidRDefault="00FC6A0C" w:rsidP="002D0BF1">
      <w:pPr>
        <w:pStyle w:val="CETAuthors"/>
        <w:spacing w:before="480"/>
        <w:jc w:val="center"/>
        <w:rPr>
          <w:rFonts w:cs="Arial"/>
          <w:noProof w:val="0"/>
          <w:sz w:val="32"/>
        </w:rPr>
      </w:pPr>
      <w:r w:rsidRPr="00FC6A0C">
        <w:rPr>
          <w:rFonts w:cs="Arial"/>
          <w:noProof w:val="0"/>
          <w:sz w:val="32"/>
        </w:rPr>
        <w:t>Concept Risk Analysis of a Full-Electric Passenger Catamaran Ferry Equipped with Hydrogen-Fuelled PEM Fuel Cell and Battery Systems</w:t>
      </w:r>
      <w:r w:rsidR="00647AAC" w:rsidRPr="00CA45F5">
        <w:rPr>
          <w:rFonts w:cs="Arial"/>
          <w:noProof w:val="0"/>
          <w:sz w:val="32"/>
        </w:rPr>
        <w:t>.</w:t>
      </w:r>
    </w:p>
    <w:p w14:paraId="0488FED2" w14:textId="71FB84A4" w:rsidR="00B57E6F" w:rsidRPr="00EF28B6" w:rsidRDefault="00CA45F5" w:rsidP="00B57E6F">
      <w:pPr>
        <w:pStyle w:val="CETAuthors"/>
        <w:rPr>
          <w:lang w:val="it-IT"/>
        </w:rPr>
      </w:pPr>
      <w:r w:rsidRPr="00CA45F5">
        <w:rPr>
          <w:lang w:val="it-IT"/>
        </w:rPr>
        <w:t>Tommaso Coppola</w:t>
      </w:r>
      <w:r w:rsidR="00B57E6F" w:rsidRPr="00CA45F5">
        <w:rPr>
          <w:lang w:val="it-IT"/>
        </w:rPr>
        <w:t xml:space="preserve">, </w:t>
      </w:r>
      <w:r w:rsidRPr="00CA45F5">
        <w:rPr>
          <w:lang w:val="it-IT"/>
        </w:rPr>
        <w:t>Luca Micoli</w:t>
      </w:r>
      <w:r w:rsidR="00B57E6F" w:rsidRPr="00CA45F5">
        <w:rPr>
          <w:lang w:val="it-IT"/>
        </w:rPr>
        <w:t xml:space="preserve">, </w:t>
      </w:r>
      <w:r w:rsidRPr="00CA45F5">
        <w:rPr>
          <w:lang w:val="it-IT"/>
        </w:rPr>
        <w:t>Roberta Russo</w:t>
      </w:r>
      <w:r w:rsidR="00EF28B6">
        <w:rPr>
          <w:vertAlign w:val="superscript"/>
          <w:lang w:val="it-IT"/>
        </w:rPr>
        <w:t>*</w:t>
      </w:r>
      <w:r w:rsidR="00604DB7">
        <w:rPr>
          <w:lang w:val="it-IT"/>
        </w:rPr>
        <w:t>,</w:t>
      </w:r>
      <w:r w:rsidRPr="00CA45F5">
        <w:rPr>
          <w:lang w:val="it-IT"/>
        </w:rPr>
        <w:t xml:space="preserve"> Vincenzo Sorrentino</w:t>
      </w:r>
    </w:p>
    <w:p w14:paraId="6B2D21B3" w14:textId="591C7C9D" w:rsidR="00B57E6F" w:rsidRPr="00B57B36" w:rsidRDefault="00EF28B6" w:rsidP="00B57E6F">
      <w:pPr>
        <w:pStyle w:val="CETAddress"/>
      </w:pPr>
      <w:r>
        <w:t>University of Naples Federico II</w:t>
      </w:r>
      <w:r w:rsidR="00C523B4">
        <w:t>,</w:t>
      </w:r>
      <w:r>
        <w:t xml:space="preserve"> Department of Industrial Enginneering</w:t>
      </w:r>
      <w:r w:rsidR="00A34D79">
        <w:t>,</w:t>
      </w:r>
      <w:r>
        <w:t xml:space="preserve"> Via Claudio 21 80125 Naples (Italy)</w:t>
      </w:r>
    </w:p>
    <w:p w14:paraId="73F1267A" w14:textId="3E01213F" w:rsidR="00B57E6F" w:rsidRPr="00B57B36" w:rsidRDefault="00EF28B6" w:rsidP="00B57E6F">
      <w:pPr>
        <w:pStyle w:val="CETemail"/>
      </w:pPr>
      <w:r>
        <w:t>roberta.russo5</w:t>
      </w:r>
      <w:r w:rsidR="00B57E6F" w:rsidRPr="00B57B36">
        <w:t>@</w:t>
      </w:r>
      <w:r>
        <w:t>unina.it</w:t>
      </w:r>
    </w:p>
    <w:p w14:paraId="2023AD9B" w14:textId="716072B8" w:rsidR="00320279" w:rsidRPr="00320279" w:rsidRDefault="00F17764" w:rsidP="00503A98">
      <w:pPr>
        <w:pStyle w:val="CETBodytext"/>
        <w:rPr>
          <w:lang w:val="en-GB"/>
        </w:rPr>
      </w:pPr>
      <w:r w:rsidRPr="00F17764">
        <w:rPr>
          <w:lang w:val="en-GB"/>
        </w:rPr>
        <w:t xml:space="preserve">The work considers a zero-emission high-speed catamaran ferry equipped with a hybrid powertrain, based on a full-electric propulsion system, and its preliminary risk analysis. Globally, there is major attention on full-electric vessels to comply with the IMO regulations related to ship emissions and energy efficiency improvement, and the assessment of possible risks due to the installation of green technologies. This study aims to </w:t>
      </w:r>
      <w:proofErr w:type="spellStart"/>
      <w:r w:rsidRPr="00F17764">
        <w:rPr>
          <w:lang w:val="en-GB"/>
        </w:rPr>
        <w:t>analyze</w:t>
      </w:r>
      <w:proofErr w:type="spellEnd"/>
      <w:r w:rsidRPr="00F17764">
        <w:rPr>
          <w:lang w:val="en-GB"/>
        </w:rPr>
        <w:t xml:space="preserve"> the risk assessment for the implementation of an onboard fuel cell power generating system integrated with the propulsion plant and the energy storage to evaluate its arrangements with particular attention to the preliminary identification of hazardous areas. The passenger craft is 30 m in length and 10 m wide, and it is intended to operate on the Amalfi coast, carrying 220 passengers at a cruise speed of 20 knots. The power system consists of a proton-exchange membrane fuel cell (PEMFC) system, with a nominal power of 1600 kWe, a battery pack with a capacity of 400 kWh, a </w:t>
      </w:r>
      <w:r w:rsidR="008A5AA8" w:rsidRPr="00F17764">
        <w:rPr>
          <w:lang w:val="en-GB"/>
        </w:rPr>
        <w:t>750-kW</w:t>
      </w:r>
      <w:r w:rsidRPr="00F17764">
        <w:rPr>
          <w:lang w:val="en-GB"/>
        </w:rPr>
        <w:t xml:space="preserve"> electric motor, and their relative balance of the plant (</w:t>
      </w:r>
      <w:proofErr w:type="spellStart"/>
      <w:r w:rsidRPr="00F17764">
        <w:rPr>
          <w:lang w:val="en-GB"/>
        </w:rPr>
        <w:t>BoP</w:t>
      </w:r>
      <w:proofErr w:type="spellEnd"/>
      <w:r w:rsidRPr="00F17764">
        <w:rPr>
          <w:lang w:val="en-GB"/>
        </w:rPr>
        <w:t xml:space="preserve">) subsystems. The PEM is </w:t>
      </w:r>
      <w:r w:rsidR="00B71D11" w:rsidRPr="00F17764">
        <w:rPr>
          <w:lang w:val="en-GB"/>
        </w:rPr>
        <w:t>fuelled</w:t>
      </w:r>
      <w:r w:rsidRPr="00F17764">
        <w:rPr>
          <w:lang w:val="en-GB"/>
        </w:rPr>
        <w:t xml:space="preserve"> by pure hydrogen stored in type IV cylinder vessels at 700 bars</w:t>
      </w:r>
      <w:r w:rsidR="00320279" w:rsidRPr="00320279">
        <w:rPr>
          <w:lang w:val="en-GB"/>
        </w:rPr>
        <w:t>.</w:t>
      </w:r>
    </w:p>
    <w:p w14:paraId="476B2F2E" w14:textId="77777777" w:rsidR="00600535" w:rsidRPr="00B57B36" w:rsidRDefault="00600535" w:rsidP="001556B4">
      <w:pPr>
        <w:pStyle w:val="CETHeading1"/>
        <w:rPr>
          <w:lang w:val="en-GB"/>
        </w:rPr>
      </w:pPr>
      <w:r w:rsidRPr="00B57B36">
        <w:rPr>
          <w:lang w:val="en-GB"/>
        </w:rPr>
        <w:t>Introduction</w:t>
      </w:r>
    </w:p>
    <w:p w14:paraId="7DA45984" w14:textId="0D291F70" w:rsidR="00EB5B57" w:rsidRDefault="00777612" w:rsidP="00EB5B57">
      <w:pPr>
        <w:pStyle w:val="CETBodytext"/>
      </w:pPr>
      <w:r w:rsidRPr="00777612">
        <w:rPr>
          <w:lang w:val="en-GB"/>
        </w:rPr>
        <w:t>In recent years, the transportation industry has been shifting towards more sustainable and eco-friendly solutions, and the passenger ferry sector is no exception. One of the most promising developments in this field is the rise of full-electric passenger ferries</w:t>
      </w:r>
      <w:r w:rsidR="00DA0836">
        <w:rPr>
          <w:lang w:val="en-GB"/>
        </w:rPr>
        <w:t xml:space="preserve">, </w:t>
      </w:r>
      <w:r w:rsidR="00985B3C" w:rsidRPr="007414C9">
        <w:t>which promises not only speed and efficiency but also sustainability</w:t>
      </w:r>
      <w:r w:rsidR="00985B3C">
        <w:t xml:space="preserve">, </w:t>
      </w:r>
      <w:r w:rsidR="002A6132">
        <w:t>(</w:t>
      </w:r>
      <w:r w:rsidR="00DA0836">
        <w:t xml:space="preserve">Padolecchia </w:t>
      </w:r>
      <w:r w:rsidR="00B06713">
        <w:t xml:space="preserve">D. </w:t>
      </w:r>
      <w:r w:rsidR="00DA0836">
        <w:t>et al</w:t>
      </w:r>
      <w:r w:rsidR="00B06713">
        <w:t xml:space="preserve"> and</w:t>
      </w:r>
      <w:r w:rsidR="00DA0836">
        <w:t xml:space="preserve"> Coppola </w:t>
      </w:r>
      <w:r w:rsidR="00B06713">
        <w:t xml:space="preserve">T. </w:t>
      </w:r>
      <w:r w:rsidR="00DA0836">
        <w:t>et al</w:t>
      </w:r>
      <w:r w:rsidR="006B1D5D">
        <w:t>, 2023</w:t>
      </w:r>
      <w:r w:rsidR="00E769F0">
        <w:t>)</w:t>
      </w:r>
      <w:r w:rsidRPr="00777612">
        <w:rPr>
          <w:lang w:val="en-GB"/>
        </w:rPr>
        <w:t>. However, the implementation of battery systems for electric ferries also comes with its own set of advantages and limitations</w:t>
      </w:r>
      <w:r w:rsidR="006B1D5D">
        <w:rPr>
          <w:lang w:val="en-GB"/>
        </w:rPr>
        <w:t xml:space="preserve">, </w:t>
      </w:r>
      <w:r w:rsidR="002A6132">
        <w:rPr>
          <w:lang w:val="en-GB"/>
        </w:rPr>
        <w:t>(</w:t>
      </w:r>
      <w:r w:rsidR="006B1D5D">
        <w:t>Captain Joe Burgard Red and Joe Pratt, 2017</w:t>
      </w:r>
      <w:r w:rsidR="007560A0">
        <w:t>)</w:t>
      </w:r>
      <w:r w:rsidR="006B1D5D">
        <w:t xml:space="preserve">. </w:t>
      </w:r>
      <w:r w:rsidRPr="00777612">
        <w:rPr>
          <w:lang w:val="en-GB"/>
        </w:rPr>
        <w:t xml:space="preserve">To explore alternative solutions, hydrogen </w:t>
      </w:r>
      <w:r w:rsidR="0092328A">
        <w:rPr>
          <w:lang w:val="en-GB"/>
        </w:rPr>
        <w:t>F</w:t>
      </w:r>
      <w:r w:rsidRPr="00777612">
        <w:rPr>
          <w:lang w:val="en-GB"/>
        </w:rPr>
        <w:t xml:space="preserve">uel </w:t>
      </w:r>
      <w:r w:rsidR="0092328A">
        <w:rPr>
          <w:lang w:val="en-GB"/>
        </w:rPr>
        <w:t>C</w:t>
      </w:r>
      <w:r w:rsidRPr="00777612">
        <w:rPr>
          <w:lang w:val="en-GB"/>
        </w:rPr>
        <w:t>ell</w:t>
      </w:r>
      <w:r w:rsidR="0092328A">
        <w:rPr>
          <w:lang w:val="en-GB"/>
        </w:rPr>
        <w:t xml:space="preserve"> (FC)</w:t>
      </w:r>
      <w:r w:rsidRPr="00777612">
        <w:rPr>
          <w:lang w:val="en-GB"/>
        </w:rPr>
        <w:t xml:space="preserve"> technology has emerged as a potential game-changer for marine transportation</w:t>
      </w:r>
      <w:r w:rsidR="008B45EA">
        <w:rPr>
          <w:lang w:val="en-GB"/>
        </w:rPr>
        <w:t>,</w:t>
      </w:r>
      <w:r w:rsidR="008B45EA" w:rsidRPr="008B45EA">
        <w:t xml:space="preserve"> </w:t>
      </w:r>
      <w:r w:rsidR="002A6132">
        <w:t>(</w:t>
      </w:r>
      <w:proofErr w:type="spellStart"/>
      <w:r w:rsidR="008B45EA" w:rsidRPr="008B45EA">
        <w:t>Ansaloni</w:t>
      </w:r>
      <w:proofErr w:type="spellEnd"/>
      <w:r w:rsidR="008B45EA" w:rsidRPr="008B45EA">
        <w:t xml:space="preserve"> G. M. M</w:t>
      </w:r>
      <w:r w:rsidR="008B45EA">
        <w:t xml:space="preserve"> et al.,2022</w:t>
      </w:r>
      <w:r w:rsidR="007560A0">
        <w:t>)</w:t>
      </w:r>
      <w:r w:rsidRPr="00777612">
        <w:rPr>
          <w:lang w:val="en-GB"/>
        </w:rPr>
        <w:t xml:space="preserve">. </w:t>
      </w:r>
      <w:r w:rsidR="00985B3C" w:rsidRPr="007414C9">
        <w:t>However, as with any new technology, there are risks involved, and a comprehensive risk analysis is essential to ensure safe and effective operations</w:t>
      </w:r>
      <w:r w:rsidR="00985B3C">
        <w:t xml:space="preserve">. </w:t>
      </w:r>
      <w:r w:rsidR="00985B3C" w:rsidRPr="00985B3C">
        <w:t>This analysis encompasses various aspects, including the vessel's design and construction, operational considerations, and potential environmental impacts.</w:t>
      </w:r>
      <w:r w:rsidR="00985B3C">
        <w:t xml:space="preserve"> In terms of design and construction, it is crucial to evaluate the structural integrity and stability </w:t>
      </w:r>
      <w:r w:rsidR="00985B3C" w:rsidRPr="00AE36E1">
        <w:t xml:space="preserve">of zero-emissions </w:t>
      </w:r>
      <w:r w:rsidR="00AE36E1" w:rsidRPr="00AE36E1">
        <w:t>ships</w:t>
      </w:r>
      <w:r w:rsidR="00985B3C" w:rsidRPr="00AE36E1">
        <w:t>.</w:t>
      </w:r>
      <w:r w:rsidR="00985B3C">
        <w:t xml:space="preserve"> These vessels typically incorporate innovative materials and propulsion systems, which may introduce new risks that need to be thoroughly assessed. Additionally, the integration of battery systems and electric propulsion requires careful consideration of fire safety measures and emergency response protocols. Operational considerations are equally important in mitigating risks associated with zero-emissions catamarans. The crew's training and experience in handling advanced technologies should be evaluated to ensure they are adequately prepared for any potential challenges. Furthermore, contingency plans must be developed to address power outages or other system failures that could impact the vessel's performance.</w:t>
      </w:r>
      <w:r w:rsidR="00EB5B57">
        <w:t xml:space="preserve"> </w:t>
      </w:r>
      <w:r w:rsidR="00EB5B57" w:rsidRPr="00EB5B57">
        <w:t>Another key aspect of risk analysis involves</w:t>
      </w:r>
      <w:r w:rsidR="00EB5B57">
        <w:t xml:space="preserve"> the </w:t>
      </w:r>
      <w:r w:rsidR="00D07D7D">
        <w:t>International Maritime Organization (</w:t>
      </w:r>
      <w:r w:rsidR="00EB5B57" w:rsidRPr="00EB5B57">
        <w:t>IMO</w:t>
      </w:r>
      <w:r w:rsidR="00D07D7D">
        <w:t>)</w:t>
      </w:r>
      <w:r w:rsidR="00EB5B57" w:rsidRPr="00EB5B57">
        <w:t xml:space="preserve"> Regulations and their Implications for Ship Emissions</w:t>
      </w:r>
      <w:r w:rsidR="00EB5B57">
        <w:t xml:space="preserve">. </w:t>
      </w:r>
      <w:r w:rsidR="00944A58" w:rsidRPr="00944A58">
        <w:t xml:space="preserve">IMO plays a crucial role in shaping regulations that govern ship emissions. As concerns about the environmental impact of maritime transportation continue to grow, it becomes imperative to comprehend the implications of these regulations set by IMO, including MSC.1/Circ. 1455, MSC.1/Circ. 1647, and MSC. 391(95). The IMO's focus on reducing </w:t>
      </w:r>
      <w:r w:rsidR="00944A58" w:rsidRPr="00944A58">
        <w:lastRenderedPageBreak/>
        <w:t>greenhouse gas (GHG) emissions has resulted in the development of various measures aimed at controlling pollution from ships. One such measure is the Energy Efficiency Design Index (EEDI), which sets standards for new ships to ensure they meet specific energy efficiency requirements. Additionally, the IMO has implemented the Ship Energy Efficiency Management Plan (SEEMP), which encourages ship operators to adopt energy-efficient practices and improve their overall environmental performance. Compliance with these regulations not only helps reduce harmful emissions but also brings economic benefits to shipowners. Ships that meet or exceed the IMO's emission standards can enjoy reduced fuel consumption and lower operational costs. Moreover, adherence to these regulations enhances a company's reputation and demonstrates its commitment to sustainability, which can attract environmentally conscious customers and investors.</w:t>
      </w:r>
    </w:p>
    <w:p w14:paraId="5399093A" w14:textId="5E01B0D4" w:rsidR="00985B3C" w:rsidRPr="00985B3C" w:rsidRDefault="009C4D86" w:rsidP="00EB5B57">
      <w:pPr>
        <w:pStyle w:val="CETBodytext"/>
      </w:pPr>
      <w:r w:rsidRPr="009C4D86">
        <w:t>However, understanding and implementing IMO regulations is not without its challenges. Shipowners must navigate a complex regulatory landscape and invest in technologies and practices that align with the latest emission standards. Retrofitting existing vessels or building new zero-emissions ships can require substantial investments, posing financial risks for companies. Moreover, ensuring compliance with evolving regulations requires ongoing monitoring and data reporting, adding administrative burdens to ship operators</w:t>
      </w:r>
      <w:r w:rsidR="00D25558">
        <w:t xml:space="preserve"> </w:t>
      </w:r>
      <w:r w:rsidR="00F8382E">
        <w:t>(</w:t>
      </w:r>
      <w:r w:rsidR="00D25558" w:rsidRPr="000E2D1C">
        <w:t xml:space="preserve">Maciej Tarkowski and Krystian </w:t>
      </w:r>
      <w:proofErr w:type="spellStart"/>
      <w:r w:rsidR="00D25558" w:rsidRPr="000E2D1C">
        <w:t>Puzdrakiewicz</w:t>
      </w:r>
      <w:proofErr w:type="spellEnd"/>
      <w:r w:rsidR="00D25558">
        <w:t>; 2021</w:t>
      </w:r>
      <w:r w:rsidR="00F8382E">
        <w:t>)</w:t>
      </w:r>
      <w:r w:rsidR="00EB5B57">
        <w:t>.</w:t>
      </w:r>
    </w:p>
    <w:p w14:paraId="26281D1B" w14:textId="29E7382D" w:rsidR="002B6D8A" w:rsidRDefault="00746D68" w:rsidP="001556B4">
      <w:pPr>
        <w:pStyle w:val="CETHeading1"/>
        <w:tabs>
          <w:tab w:val="num" w:pos="360"/>
        </w:tabs>
        <w:rPr>
          <w:lang w:val="en-GB"/>
        </w:rPr>
      </w:pPr>
      <w:r w:rsidRPr="00746D68">
        <w:rPr>
          <w:lang w:val="en-GB"/>
        </w:rPr>
        <w:t xml:space="preserve">Advancements in </w:t>
      </w:r>
      <w:r w:rsidR="00D95F04">
        <w:rPr>
          <w:lang w:val="en-GB"/>
        </w:rPr>
        <w:t>e</w:t>
      </w:r>
      <w:r w:rsidRPr="00746D68">
        <w:rPr>
          <w:lang w:val="en-GB"/>
        </w:rPr>
        <w:t>lectric-</w:t>
      </w:r>
      <w:r w:rsidR="00D95F04">
        <w:rPr>
          <w:lang w:val="en-GB"/>
        </w:rPr>
        <w:t>p</w:t>
      </w:r>
      <w:r w:rsidRPr="00746D68">
        <w:rPr>
          <w:lang w:val="en-GB"/>
        </w:rPr>
        <w:t xml:space="preserve">owered </w:t>
      </w:r>
      <w:r w:rsidR="00E036D1">
        <w:rPr>
          <w:lang w:val="en-GB"/>
        </w:rPr>
        <w:t>passenger</w:t>
      </w:r>
      <w:r w:rsidRPr="00746D68">
        <w:rPr>
          <w:lang w:val="en-GB"/>
        </w:rPr>
        <w:t xml:space="preserve"> </w:t>
      </w:r>
      <w:r w:rsidR="00D95F04">
        <w:rPr>
          <w:lang w:val="en-GB"/>
        </w:rPr>
        <w:t>f</w:t>
      </w:r>
      <w:r w:rsidRPr="00746D68">
        <w:rPr>
          <w:lang w:val="en-GB"/>
        </w:rPr>
        <w:t>erries</w:t>
      </w:r>
    </w:p>
    <w:p w14:paraId="7897E417" w14:textId="092D508A" w:rsidR="00042BDC" w:rsidRDefault="00052D92" w:rsidP="00052D92">
      <w:pPr>
        <w:pStyle w:val="CETBodytext"/>
        <w:rPr>
          <w:lang w:val="en-GB"/>
        </w:rPr>
      </w:pPr>
      <w:r>
        <w:t>The recent surge in full-electric passenger ferries marks a notable transition towards more sustainable and environmentally friendly transportation options</w:t>
      </w:r>
      <w:r w:rsidR="00253ED9">
        <w:t xml:space="preserve"> </w:t>
      </w:r>
      <w:r w:rsidR="00253ED9" w:rsidRPr="00253ED9">
        <w:t>Cícero S. Postiglione</w:t>
      </w:r>
      <w:r w:rsidR="00253ED9">
        <w:t xml:space="preserve"> et al</w:t>
      </w:r>
      <w:r>
        <w:t>. These vessels employ cutting-edge electric propulsion systems and battery technologies, substantially reducing emissions and noise pollution compared to traditional diesel-powered ships</w:t>
      </w:r>
      <w:r w:rsidR="003D0871">
        <w:t xml:space="preserve">. </w:t>
      </w:r>
      <w:r w:rsidR="005C1703">
        <w:t>Moreover</w:t>
      </w:r>
      <w:r w:rsidR="003D0871">
        <w:t xml:space="preserve">, the adoption of full-electric technology has the potential to revolutionize the ferry industry by reducing operational costs and increasing efficiency. </w:t>
      </w:r>
      <w:r w:rsidR="0004406D" w:rsidRPr="0004406D">
        <w:t>As the global focus sharpens on sustainability and clean energy, the ascent of full-electric passenger catamaran ferries emerges as a promising trend in transportation</w:t>
      </w:r>
      <w:r w:rsidR="003D0871">
        <w:t>.</w:t>
      </w:r>
      <w:r w:rsidR="003D0871" w:rsidRPr="002B6D8A">
        <w:rPr>
          <w:lang w:val="en-GB"/>
        </w:rPr>
        <w:t xml:space="preserve"> </w:t>
      </w:r>
      <w:r w:rsidR="00336622" w:rsidRPr="00336622">
        <w:rPr>
          <w:lang w:val="en-GB"/>
        </w:rPr>
        <w:t>Furthermore,</w:t>
      </w:r>
      <w:r w:rsidR="00336622">
        <w:rPr>
          <w:lang w:val="en-GB"/>
        </w:rPr>
        <w:t xml:space="preserve"> </w:t>
      </w:r>
      <w:r w:rsidR="002B6D8A" w:rsidRPr="002B6D8A">
        <w:rPr>
          <w:lang w:val="en-GB"/>
        </w:rPr>
        <w:t xml:space="preserve">these ferries require less maintenance and have lower operating costs due to the absence of complex mechanical systems </w:t>
      </w:r>
      <w:r w:rsidR="00D31112" w:rsidRPr="00D31112">
        <w:rPr>
          <w:lang w:val="en-GB"/>
        </w:rPr>
        <w:t>inherent</w:t>
      </w:r>
      <w:r w:rsidR="002B6D8A" w:rsidRPr="002B6D8A">
        <w:rPr>
          <w:lang w:val="en-GB"/>
        </w:rPr>
        <w:t xml:space="preserve"> in conventional engines. </w:t>
      </w:r>
    </w:p>
    <w:p w14:paraId="5BFACC27" w14:textId="691B1E4D" w:rsidR="00574E09" w:rsidRDefault="00042BDC" w:rsidP="00052D92">
      <w:pPr>
        <w:pStyle w:val="CETBodytext"/>
        <w:rPr>
          <w:lang w:val="en-GB"/>
        </w:rPr>
      </w:pPr>
      <w:r>
        <w:rPr>
          <w:lang w:val="en-GB"/>
        </w:rPr>
        <w:t>S</w:t>
      </w:r>
      <w:r w:rsidR="002B6D8A" w:rsidRPr="002B6D8A">
        <w:rPr>
          <w:lang w:val="en-GB"/>
        </w:rPr>
        <w:t>everal countries have already introduced electric</w:t>
      </w:r>
      <w:r w:rsidR="00C04088">
        <w:rPr>
          <w:lang w:val="en-GB"/>
        </w:rPr>
        <w:t xml:space="preserve"> vessels</w:t>
      </w:r>
      <w:r w:rsidR="002B6D8A" w:rsidRPr="002B6D8A">
        <w:rPr>
          <w:lang w:val="en-GB"/>
        </w:rPr>
        <w:t xml:space="preserve"> in</w:t>
      </w:r>
      <w:r w:rsidR="00FF5D75">
        <w:rPr>
          <w:lang w:val="en-GB"/>
        </w:rPr>
        <w:t xml:space="preserve"> </w:t>
      </w:r>
      <w:r w:rsidR="002B6D8A" w:rsidRPr="002B6D8A">
        <w:rPr>
          <w:lang w:val="en-GB"/>
        </w:rPr>
        <w:t xml:space="preserve">their public transportation systems. For instance, Norway </w:t>
      </w:r>
      <w:r w:rsidR="007E51FA" w:rsidRPr="007E51FA">
        <w:rPr>
          <w:lang w:val="en-GB"/>
        </w:rPr>
        <w:t>pioneered the world's first all-electric ferry</w:t>
      </w:r>
      <w:r w:rsidR="007E51FA">
        <w:rPr>
          <w:lang w:val="en-GB"/>
        </w:rPr>
        <w:t xml:space="preserve">, </w:t>
      </w:r>
      <w:r w:rsidR="005A14ED">
        <w:rPr>
          <w:lang w:val="en-GB"/>
        </w:rPr>
        <w:t>(</w:t>
      </w:r>
      <w:r w:rsidR="007E51FA">
        <w:rPr>
          <w:lang w:val="en-GB"/>
        </w:rPr>
        <w:t>Ampere,</w:t>
      </w:r>
      <w:r w:rsidR="002B6D8A" w:rsidRPr="002B6D8A">
        <w:rPr>
          <w:lang w:val="en-GB"/>
        </w:rPr>
        <w:t xml:space="preserve"> 2015</w:t>
      </w:r>
      <w:r w:rsidR="005A14ED">
        <w:rPr>
          <w:lang w:val="en-GB"/>
        </w:rPr>
        <w:t>)</w:t>
      </w:r>
      <w:r w:rsidR="002B6D8A" w:rsidRPr="002B6D8A">
        <w:rPr>
          <w:lang w:val="en-GB"/>
        </w:rPr>
        <w:t xml:space="preserve">, followed by Denmark, Finland, and Canada. </w:t>
      </w:r>
      <w:r w:rsidR="00E40B31" w:rsidRPr="00E40B31">
        <w:rPr>
          <w:lang w:val="en-GB"/>
        </w:rPr>
        <w:t>The battery-powered vessel, with a capacity of 120 cars and 360 passengers</w:t>
      </w:r>
      <w:r w:rsidR="00332F60">
        <w:rPr>
          <w:lang w:val="en-GB"/>
        </w:rPr>
        <w:t>,</w:t>
      </w:r>
      <w:r w:rsidR="00E40B31" w:rsidRPr="00E40B31">
        <w:rPr>
          <w:lang w:val="en-GB"/>
        </w:rPr>
        <w:t xml:space="preserve"> opera</w:t>
      </w:r>
      <w:r w:rsidR="00332F60">
        <w:rPr>
          <w:lang w:val="en-GB"/>
        </w:rPr>
        <w:t>tes</w:t>
      </w:r>
      <w:r w:rsidR="00E40B31" w:rsidRPr="00E40B31">
        <w:rPr>
          <w:lang w:val="en-GB"/>
        </w:rPr>
        <w:t xml:space="preserve"> at </w:t>
      </w:r>
      <w:r w:rsidR="00574E09" w:rsidRPr="00574E09">
        <w:rPr>
          <w:lang w:val="en-GB"/>
        </w:rPr>
        <w:t>approximately 10 knots and runs 365 days a year</w:t>
      </w:r>
      <w:r w:rsidR="00E40B31" w:rsidRPr="00E40B31">
        <w:rPr>
          <w:lang w:val="en-GB"/>
        </w:rPr>
        <w:t>.</w:t>
      </w:r>
      <w:r w:rsidR="00E40B31">
        <w:rPr>
          <w:lang w:val="en-GB"/>
        </w:rPr>
        <w:t xml:space="preserve"> </w:t>
      </w:r>
    </w:p>
    <w:p w14:paraId="54978E4E" w14:textId="08F9AEE5" w:rsidR="00D50B43" w:rsidRDefault="00216953" w:rsidP="00052D92">
      <w:pPr>
        <w:pStyle w:val="CETBodytext"/>
        <w:rPr>
          <w:lang w:val="en-GB"/>
        </w:rPr>
      </w:pPr>
      <w:r w:rsidRPr="00216953">
        <w:rPr>
          <w:lang w:val="en-GB"/>
        </w:rPr>
        <w:t>The growing appeal of full-electric passenger ferries stems from the dual advantages they offer, environmentally and economically</w:t>
      </w:r>
      <w:r w:rsidR="00B13C5E">
        <w:rPr>
          <w:lang w:val="en-GB"/>
        </w:rPr>
        <w:t xml:space="preserve"> </w:t>
      </w:r>
      <w:r w:rsidR="000F7A0C">
        <w:rPr>
          <w:lang w:val="en-GB"/>
        </w:rPr>
        <w:t>(</w:t>
      </w:r>
      <w:r w:rsidR="00B13C5E">
        <w:t>Masih M. R. et al., 2023</w:t>
      </w:r>
      <w:r w:rsidR="000F7A0C">
        <w:t>)</w:t>
      </w:r>
      <w:r w:rsidR="00B13C5E">
        <w:rPr>
          <w:lang w:val="en-GB"/>
        </w:rPr>
        <w:t>.</w:t>
      </w:r>
      <w:r w:rsidRPr="00216953">
        <w:rPr>
          <w:lang w:val="en-GB"/>
        </w:rPr>
        <w:t xml:space="preserve"> Advancements in battery technology enable these vessels to traverse longer distances without compromising speed or capacity. Additionally, electric </w:t>
      </w:r>
      <w:r w:rsidR="00D50B43">
        <w:rPr>
          <w:lang w:val="en-GB"/>
        </w:rPr>
        <w:t>vessels</w:t>
      </w:r>
      <w:r w:rsidRPr="00216953">
        <w:rPr>
          <w:lang w:val="en-GB"/>
        </w:rPr>
        <w:t xml:space="preserve"> deliver a quieter and smoother ride for passengers, enhancing their comfort and enjoyment. Battery systems have emerged as a preferred power source for electric ferries due to their efficiency, reliability, and minimal maintenance requirements. Notably, one of their primary benefits is their silent operation, reducing noise pollution in coastal areas and presenting an environmentally friendly alternative for ferry transportation</w:t>
      </w:r>
      <w:r w:rsidR="00561566">
        <w:rPr>
          <w:lang w:val="en-GB"/>
        </w:rPr>
        <w:t xml:space="preserve"> </w:t>
      </w:r>
      <w:r w:rsidR="00542917">
        <w:rPr>
          <w:lang w:val="en-GB"/>
        </w:rPr>
        <w:t>(</w:t>
      </w:r>
      <w:r w:rsidR="00561566" w:rsidRPr="00561566">
        <w:rPr>
          <w:lang w:val="en-GB"/>
        </w:rPr>
        <w:t>Cícero S.</w:t>
      </w:r>
      <w:r w:rsidR="00561566">
        <w:rPr>
          <w:lang w:val="en-GB"/>
        </w:rPr>
        <w:t xml:space="preserve"> et al, 2012</w:t>
      </w:r>
      <w:r w:rsidR="00542917">
        <w:rPr>
          <w:lang w:val="en-GB"/>
        </w:rPr>
        <w:t>)</w:t>
      </w:r>
      <w:r w:rsidRPr="00216953">
        <w:rPr>
          <w:lang w:val="en-GB"/>
        </w:rPr>
        <w:t>.</w:t>
      </w:r>
      <w:r>
        <w:rPr>
          <w:lang w:val="en-GB"/>
        </w:rPr>
        <w:t xml:space="preserve"> </w:t>
      </w:r>
    </w:p>
    <w:p w14:paraId="27AEC532" w14:textId="41691936" w:rsidR="009D37CF" w:rsidRDefault="007F12B5" w:rsidP="00052D92">
      <w:pPr>
        <w:pStyle w:val="CETBodytext"/>
        <w:rPr>
          <w:lang w:val="en-GB"/>
        </w:rPr>
      </w:pPr>
      <w:r w:rsidRPr="007F12B5">
        <w:rPr>
          <w:lang w:val="en-GB"/>
        </w:rPr>
        <w:t>However, battery systems do have limitations. Their restricted range poses a challenge for ferries covering long distances. To address this, operators must install larger battery banks or recharge batteries during operation, potentially increasing costs and reducing efficiency. Moreover, the weight of battery systems can affect the overall performance and stability of the ferry. Additionally, the production and disposal of batteries entail environmental impacts that must be factored in when assessing the sustainability of battery-powered ferries</w:t>
      </w:r>
      <w:r w:rsidR="008D2C7B" w:rsidRPr="008D2C7B">
        <w:rPr>
          <w:lang w:val="en-GB"/>
        </w:rPr>
        <w:t xml:space="preserve">. </w:t>
      </w:r>
    </w:p>
    <w:p w14:paraId="132168FB" w14:textId="4AC2A132" w:rsidR="008D2C7B" w:rsidRDefault="008D2C7B" w:rsidP="00A77E86">
      <w:pPr>
        <w:pStyle w:val="CETheadingx"/>
      </w:pPr>
      <w:r w:rsidRPr="008D2C7B">
        <w:t>Exploring the potential of hydrogen fuel cell technology for ferries</w:t>
      </w:r>
    </w:p>
    <w:p w14:paraId="71626753" w14:textId="7ED0AFE6" w:rsidR="007F7640" w:rsidRDefault="007F7640" w:rsidP="008D2C7B">
      <w:pPr>
        <w:pStyle w:val="CETBodytext"/>
        <w:rPr>
          <w:lang w:val="en-GB"/>
        </w:rPr>
      </w:pPr>
      <w:r w:rsidRPr="007F7640">
        <w:rPr>
          <w:lang w:val="en-GB"/>
        </w:rPr>
        <w:t xml:space="preserve">Hydrogen </w:t>
      </w:r>
      <w:r w:rsidR="00591550">
        <w:rPr>
          <w:lang w:val="en-GB"/>
        </w:rPr>
        <w:t>(H</w:t>
      </w:r>
      <w:r w:rsidR="00591550" w:rsidRPr="00591550">
        <w:rPr>
          <w:vertAlign w:val="subscript"/>
          <w:lang w:val="en-GB"/>
        </w:rPr>
        <w:t>2</w:t>
      </w:r>
      <w:r w:rsidR="00591550">
        <w:rPr>
          <w:lang w:val="en-GB"/>
        </w:rPr>
        <w:t>) FC</w:t>
      </w:r>
      <w:r w:rsidRPr="007F7640">
        <w:rPr>
          <w:lang w:val="en-GB"/>
        </w:rPr>
        <w:t xml:space="preserve"> </w:t>
      </w:r>
      <w:r w:rsidR="00591550" w:rsidRPr="00591550">
        <w:rPr>
          <w:lang w:val="en-GB"/>
        </w:rPr>
        <w:t xml:space="preserve">technology holds the potential to revolutionize the ferry industry. With the increasing demand for sustainable and eco-friendly transport options, ferries powered by FCs have emerged as a promising solution. A </w:t>
      </w:r>
      <w:r w:rsidR="00591550">
        <w:rPr>
          <w:lang w:val="en-GB"/>
        </w:rPr>
        <w:t>H</w:t>
      </w:r>
      <w:r w:rsidR="00591550" w:rsidRPr="00591550">
        <w:rPr>
          <w:vertAlign w:val="subscript"/>
          <w:lang w:val="en-GB"/>
        </w:rPr>
        <w:t>2</w:t>
      </w:r>
      <w:r w:rsidR="00591550" w:rsidRPr="00591550">
        <w:rPr>
          <w:lang w:val="en-GB"/>
        </w:rPr>
        <w:t>-fuelled FC</w:t>
      </w:r>
      <w:r w:rsidR="00591550">
        <w:rPr>
          <w:lang w:val="en-GB"/>
        </w:rPr>
        <w:t xml:space="preserve"> (</w:t>
      </w:r>
      <w:r w:rsidR="00591550" w:rsidRPr="008D2C7B">
        <w:rPr>
          <w:lang w:val="en-GB"/>
        </w:rPr>
        <w:t>H</w:t>
      </w:r>
      <w:r w:rsidR="00591550" w:rsidRPr="00591550">
        <w:rPr>
          <w:vertAlign w:val="subscript"/>
          <w:lang w:val="en-GB"/>
        </w:rPr>
        <w:t>2</w:t>
      </w:r>
      <w:r w:rsidR="00591550">
        <w:rPr>
          <w:lang w:val="en-GB"/>
        </w:rPr>
        <w:t>-FC)</w:t>
      </w:r>
      <w:r w:rsidR="00591550" w:rsidRPr="00591550">
        <w:rPr>
          <w:lang w:val="en-GB"/>
        </w:rPr>
        <w:t>, such as the Polymer Electrolyte Membrane FC (PEM), generates electricity by combining hydrogen and oxygen, producing only water and heat as by-products. This technology offers numerous advantages, including zero emissions, high efficiency, and low noise levels</w:t>
      </w:r>
      <w:r w:rsidR="00591550">
        <w:rPr>
          <w:lang w:val="en-GB"/>
        </w:rPr>
        <w:t xml:space="preserve"> </w:t>
      </w:r>
      <w:r w:rsidR="0085381D">
        <w:rPr>
          <w:lang w:val="en-GB"/>
        </w:rPr>
        <w:t>(</w:t>
      </w:r>
      <w:r w:rsidR="002813A9" w:rsidRPr="00243AD4">
        <w:t>Truong, HVA</w:t>
      </w:r>
      <w:r w:rsidR="002813A9">
        <w:t>. et al. 2020</w:t>
      </w:r>
      <w:r w:rsidR="0085381D">
        <w:t>)</w:t>
      </w:r>
      <w:r w:rsidR="002813A9">
        <w:t xml:space="preserve">. </w:t>
      </w:r>
      <w:r w:rsidR="00591550" w:rsidRPr="00591550">
        <w:rPr>
          <w:lang w:val="en-GB"/>
        </w:rPr>
        <w:t>Furthermore, FC-powered ferries have the potential to provide a reliable and cost-effective alternative to diesel-powered vessels, thereby reducing their carbon footprint and operating costs. In fact, several initiatives are already underway, with some companies developing hydrogen-powered passenger ferries. Thus, exploring the potential of hydrogen FC technology for ferries is crucial in achieving a sustainable future for the maritime industry.</w:t>
      </w:r>
    </w:p>
    <w:p w14:paraId="28B4E3BA" w14:textId="3E454E46" w:rsidR="00591550" w:rsidRDefault="008D2C7B" w:rsidP="008D2C7B">
      <w:pPr>
        <w:pStyle w:val="CETBodytext"/>
        <w:rPr>
          <w:lang w:val="en-GB"/>
        </w:rPr>
      </w:pPr>
      <w:r w:rsidRPr="008D2C7B">
        <w:rPr>
          <w:lang w:val="en-GB"/>
        </w:rPr>
        <w:t xml:space="preserve">Exploring the potential of </w:t>
      </w:r>
      <w:r w:rsidR="00591550" w:rsidRPr="008D2C7B">
        <w:rPr>
          <w:lang w:val="en-GB"/>
        </w:rPr>
        <w:t>H</w:t>
      </w:r>
      <w:r w:rsidR="00591550" w:rsidRPr="00591550">
        <w:rPr>
          <w:vertAlign w:val="subscript"/>
          <w:lang w:val="en-GB"/>
        </w:rPr>
        <w:t>2</w:t>
      </w:r>
      <w:r w:rsidR="00591550">
        <w:rPr>
          <w:lang w:val="en-GB"/>
        </w:rPr>
        <w:t>-FC</w:t>
      </w:r>
      <w:r w:rsidRPr="008D2C7B">
        <w:rPr>
          <w:lang w:val="en-GB"/>
        </w:rPr>
        <w:t xml:space="preserve"> </w:t>
      </w:r>
      <w:r w:rsidR="00591550" w:rsidRPr="00591550">
        <w:rPr>
          <w:lang w:val="en-GB"/>
        </w:rPr>
        <w:t xml:space="preserve">technology for ferries holds great promise in the pursuit of sustainable and eco-friendly transportation solutions. </w:t>
      </w:r>
      <w:r w:rsidR="00591550" w:rsidRPr="008D2C7B">
        <w:rPr>
          <w:lang w:val="en-GB"/>
        </w:rPr>
        <w:t>H</w:t>
      </w:r>
      <w:r w:rsidR="00591550" w:rsidRPr="00591550">
        <w:rPr>
          <w:vertAlign w:val="subscript"/>
          <w:lang w:val="en-GB"/>
        </w:rPr>
        <w:t>2</w:t>
      </w:r>
      <w:r w:rsidR="00591550">
        <w:rPr>
          <w:lang w:val="en-GB"/>
        </w:rPr>
        <w:t>-</w:t>
      </w:r>
      <w:r w:rsidR="00591550" w:rsidRPr="00591550">
        <w:rPr>
          <w:lang w:val="en-GB"/>
        </w:rPr>
        <w:t xml:space="preserve">FCs have garnered attention as a viable alternative to traditional battery systems in the marine industry due to their ability to generate electricity without emitting harmful pollutants. In the context of passenger ferries, </w:t>
      </w:r>
      <w:r w:rsidR="00591550" w:rsidRPr="008D2C7B">
        <w:rPr>
          <w:lang w:val="en-GB"/>
        </w:rPr>
        <w:t>H</w:t>
      </w:r>
      <w:r w:rsidR="00591550" w:rsidRPr="00591550">
        <w:rPr>
          <w:vertAlign w:val="subscript"/>
          <w:lang w:val="en-GB"/>
        </w:rPr>
        <w:t>2</w:t>
      </w:r>
      <w:r w:rsidR="00591550">
        <w:rPr>
          <w:lang w:val="en-GB"/>
        </w:rPr>
        <w:t>-</w:t>
      </w:r>
      <w:r w:rsidR="00591550" w:rsidRPr="00591550">
        <w:rPr>
          <w:lang w:val="en-GB"/>
        </w:rPr>
        <w:t xml:space="preserve">FCs offer several advantages. Firstly, they provide a longer range compared to batteries, allowing for extended journeys without the need for frequent recharging. Additionally, </w:t>
      </w:r>
      <w:r w:rsidR="00591550" w:rsidRPr="008D2C7B">
        <w:rPr>
          <w:lang w:val="en-GB"/>
        </w:rPr>
        <w:t>H</w:t>
      </w:r>
      <w:r w:rsidR="00591550" w:rsidRPr="00591550">
        <w:rPr>
          <w:vertAlign w:val="subscript"/>
          <w:lang w:val="en-GB"/>
        </w:rPr>
        <w:t>2</w:t>
      </w:r>
      <w:r w:rsidR="00591550">
        <w:rPr>
          <w:lang w:val="en-GB"/>
        </w:rPr>
        <w:t>-</w:t>
      </w:r>
      <w:r w:rsidR="00591550" w:rsidRPr="00591550">
        <w:rPr>
          <w:lang w:val="en-GB"/>
        </w:rPr>
        <w:t xml:space="preserve">FCs can </w:t>
      </w:r>
      <w:r w:rsidR="00591550" w:rsidRPr="00591550">
        <w:rPr>
          <w:lang w:val="en-GB"/>
        </w:rPr>
        <w:lastRenderedPageBreak/>
        <w:t xml:space="preserve">be refuelled relatively quickly, reducing </w:t>
      </w:r>
      <w:r w:rsidR="002813A9" w:rsidRPr="00591550">
        <w:rPr>
          <w:lang w:val="en-GB"/>
        </w:rPr>
        <w:t>downtime,</w:t>
      </w:r>
      <w:r w:rsidR="00591550" w:rsidRPr="00591550">
        <w:rPr>
          <w:lang w:val="en-GB"/>
        </w:rPr>
        <w:t xml:space="preserve"> and improving operational efficiency. Moreover, the use of </w:t>
      </w:r>
      <w:r w:rsidR="00591550" w:rsidRPr="008D2C7B">
        <w:rPr>
          <w:lang w:val="en-GB"/>
        </w:rPr>
        <w:t>H</w:t>
      </w:r>
      <w:r w:rsidR="00591550" w:rsidRPr="00591550">
        <w:rPr>
          <w:vertAlign w:val="subscript"/>
          <w:lang w:val="en-GB"/>
        </w:rPr>
        <w:t>2</w:t>
      </w:r>
      <w:r w:rsidR="00591550" w:rsidRPr="00591550">
        <w:rPr>
          <w:lang w:val="en-GB"/>
        </w:rPr>
        <w:t xml:space="preserve"> as a fuel source eliminates concerns over battery weight and limited capacity, enabling the design of lighter and more spacious ferries</w:t>
      </w:r>
      <w:r w:rsidRPr="008D2C7B">
        <w:rPr>
          <w:lang w:val="en-GB"/>
        </w:rPr>
        <w:t xml:space="preserve">. </w:t>
      </w:r>
    </w:p>
    <w:p w14:paraId="5FE22D1C" w14:textId="553B1717" w:rsidR="008D2C7B" w:rsidRDefault="00591550" w:rsidP="008D2C7B">
      <w:pPr>
        <w:pStyle w:val="CETBodytext"/>
      </w:pPr>
      <w:r w:rsidRPr="00591550">
        <w:rPr>
          <w:lang w:val="en-GB"/>
        </w:rPr>
        <w:t xml:space="preserve">However, there are challenges that need to be addressed before widespread implementation of </w:t>
      </w:r>
      <w:r w:rsidRPr="008D2C7B">
        <w:rPr>
          <w:lang w:val="en-GB"/>
        </w:rPr>
        <w:t>H</w:t>
      </w:r>
      <w:r w:rsidRPr="00591550">
        <w:rPr>
          <w:vertAlign w:val="subscript"/>
          <w:lang w:val="en-GB"/>
        </w:rPr>
        <w:t>2</w:t>
      </w:r>
      <w:r>
        <w:rPr>
          <w:lang w:val="en-GB"/>
        </w:rPr>
        <w:t>-</w:t>
      </w:r>
      <w:r w:rsidRPr="00591550">
        <w:rPr>
          <w:lang w:val="en-GB"/>
        </w:rPr>
        <w:t xml:space="preserve">FC technology on passenger ferries can be achieved. These include the availability and infrastructure for </w:t>
      </w:r>
      <w:r w:rsidRPr="008D2C7B">
        <w:rPr>
          <w:lang w:val="en-GB"/>
        </w:rPr>
        <w:t>H</w:t>
      </w:r>
      <w:r w:rsidRPr="00591550">
        <w:rPr>
          <w:vertAlign w:val="subscript"/>
          <w:lang w:val="en-GB"/>
        </w:rPr>
        <w:t>2</w:t>
      </w:r>
      <w:r w:rsidRPr="00591550">
        <w:rPr>
          <w:lang w:val="en-GB"/>
        </w:rPr>
        <w:t xml:space="preserve"> production and distribution, as well as ensuring the safety of onboard storage and handling of hydrogen gas. Despite these challenges, ongoing </w:t>
      </w:r>
      <w:r w:rsidR="002813A9" w:rsidRPr="00591550">
        <w:rPr>
          <w:lang w:val="en-GB"/>
        </w:rPr>
        <w:t>research,</w:t>
      </w:r>
      <w:r w:rsidRPr="00591550">
        <w:rPr>
          <w:lang w:val="en-GB"/>
        </w:rPr>
        <w:t xml:space="preserve"> and development efforts in the field of</w:t>
      </w:r>
      <w:r>
        <w:rPr>
          <w:lang w:val="en-GB"/>
        </w:rPr>
        <w:t xml:space="preserve"> </w:t>
      </w:r>
      <w:r w:rsidRPr="008D2C7B">
        <w:rPr>
          <w:lang w:val="en-GB"/>
        </w:rPr>
        <w:t>H</w:t>
      </w:r>
      <w:r w:rsidRPr="00591550">
        <w:rPr>
          <w:vertAlign w:val="subscript"/>
          <w:lang w:val="en-GB"/>
        </w:rPr>
        <w:t>2</w:t>
      </w:r>
      <w:r>
        <w:rPr>
          <w:lang w:val="en-GB"/>
        </w:rPr>
        <w:t>-</w:t>
      </w:r>
      <w:r w:rsidRPr="00591550">
        <w:rPr>
          <w:lang w:val="en-GB"/>
        </w:rPr>
        <w:t xml:space="preserve">FC technology are paving the way for its potential application in passenger ferry transportation. As advancements continue, it is hoped that </w:t>
      </w:r>
      <w:r w:rsidRPr="008D2C7B">
        <w:rPr>
          <w:lang w:val="en-GB"/>
        </w:rPr>
        <w:t>H</w:t>
      </w:r>
      <w:r w:rsidRPr="00591550">
        <w:rPr>
          <w:vertAlign w:val="subscript"/>
          <w:lang w:val="en-GB"/>
        </w:rPr>
        <w:t>2</w:t>
      </w:r>
      <w:r>
        <w:rPr>
          <w:lang w:val="en-GB"/>
        </w:rPr>
        <w:t>-</w:t>
      </w:r>
      <w:r w:rsidRPr="00591550">
        <w:rPr>
          <w:lang w:val="en-GB"/>
        </w:rPr>
        <w:t xml:space="preserve">powered ferries will significantly contribute to reducing </w:t>
      </w:r>
      <w:r>
        <w:rPr>
          <w:lang w:val="en-GB"/>
        </w:rPr>
        <w:t>GHG</w:t>
      </w:r>
      <w:r w:rsidRPr="00591550">
        <w:rPr>
          <w:lang w:val="en-GB"/>
        </w:rPr>
        <w:t xml:space="preserve"> and creating a more sustainable future for marine transportation</w:t>
      </w:r>
      <w:r w:rsidR="0010621E" w:rsidRPr="0010621E">
        <w:t xml:space="preserve"> </w:t>
      </w:r>
      <w:r w:rsidR="00EF381B">
        <w:t>(</w:t>
      </w:r>
      <w:r w:rsidR="0010621E">
        <w:t>Lagemann B. et al, 2021</w:t>
      </w:r>
      <w:r w:rsidR="00EF381B">
        <w:t>)</w:t>
      </w:r>
      <w:r w:rsidR="0010621E">
        <w:t>.</w:t>
      </w:r>
    </w:p>
    <w:p w14:paraId="5EBD5B43" w14:textId="227618FA" w:rsidR="00901414" w:rsidRDefault="00901414" w:rsidP="00901414">
      <w:pPr>
        <w:pStyle w:val="CETBodytext"/>
        <w:rPr>
          <w:lang w:val="en-GB"/>
        </w:rPr>
      </w:pPr>
      <w:r w:rsidRPr="003A3091">
        <w:rPr>
          <w:lang w:val="en-GB"/>
        </w:rPr>
        <w:t xml:space="preserve">PEM technology holds promise for marine transportation, particularly passenger ferries. </w:t>
      </w:r>
      <w:r>
        <w:rPr>
          <w:lang w:val="en-GB"/>
        </w:rPr>
        <w:t xml:space="preserve">A PEM </w:t>
      </w:r>
      <w:r w:rsidRPr="003A3091">
        <w:rPr>
          <w:lang w:val="en-GB"/>
        </w:rPr>
        <w:t>Operat</w:t>
      </w:r>
      <w:r>
        <w:rPr>
          <w:lang w:val="en-GB"/>
        </w:rPr>
        <w:t>es</w:t>
      </w:r>
      <w:r w:rsidRPr="003A3091">
        <w:rPr>
          <w:lang w:val="en-GB"/>
        </w:rPr>
        <w:t xml:space="preserve"> </w:t>
      </w:r>
      <w:r>
        <w:rPr>
          <w:lang w:val="en-GB"/>
        </w:rPr>
        <w:t>at the average temperature of 80 °C and</w:t>
      </w:r>
      <w:r w:rsidRPr="003A3091">
        <w:rPr>
          <w:lang w:val="en-GB"/>
        </w:rPr>
        <w:t xml:space="preserve"> convert</w:t>
      </w:r>
      <w:r>
        <w:rPr>
          <w:lang w:val="en-GB"/>
        </w:rPr>
        <w:t>s</w:t>
      </w:r>
      <w:r w:rsidRPr="003A3091">
        <w:rPr>
          <w:lang w:val="en-GB"/>
        </w:rPr>
        <w:t xml:space="preserve"> the chemical energy stored in </w:t>
      </w:r>
      <w:r w:rsidRPr="008D2C7B">
        <w:rPr>
          <w:lang w:val="en-GB"/>
        </w:rPr>
        <w:t>H</w:t>
      </w:r>
      <w:r w:rsidRPr="00591550">
        <w:rPr>
          <w:vertAlign w:val="subscript"/>
          <w:lang w:val="en-GB"/>
        </w:rPr>
        <w:t>2</w:t>
      </w:r>
      <w:r w:rsidRPr="003A3091">
        <w:rPr>
          <w:lang w:val="en-GB"/>
        </w:rPr>
        <w:t xml:space="preserve"> </w:t>
      </w:r>
      <w:r>
        <w:rPr>
          <w:lang w:val="en-GB"/>
        </w:rPr>
        <w:t xml:space="preserve">directly </w:t>
      </w:r>
      <w:r w:rsidRPr="003A3091">
        <w:rPr>
          <w:lang w:val="en-GB"/>
        </w:rPr>
        <w:t>into electricity through an electrochemical reaction</w:t>
      </w:r>
      <w:r w:rsidRPr="00FC076E">
        <w:rPr>
          <w:lang w:val="en-GB"/>
        </w:rPr>
        <w:t>.</w:t>
      </w:r>
      <w:r>
        <w:rPr>
          <w:lang w:val="en-GB"/>
        </w:rPr>
        <w:t xml:space="preserve"> </w:t>
      </w:r>
      <w:r w:rsidRPr="00F43B89">
        <w:rPr>
          <w:lang w:val="en-GB"/>
        </w:rPr>
        <w:t>The utilization of PEM</w:t>
      </w:r>
      <w:r w:rsidR="00256D3E">
        <w:rPr>
          <w:lang w:val="en-GB"/>
        </w:rPr>
        <w:t xml:space="preserve"> systems</w:t>
      </w:r>
      <w:r w:rsidRPr="00F43B89">
        <w:rPr>
          <w:lang w:val="en-GB"/>
        </w:rPr>
        <w:t xml:space="preserve"> offers several advantages. Firstly, they exhibit high energy efficiency (up to 65%) compared to traditional marine Internal Combustion Engines (ICEs), resulting in reduced fuel consumption. Secondly, they operate silently and emit no harmful exhaust gases and GHG emissions, contributing to improved air quality in coastal areas. Additionally, PEMs boast a compact and lightweight design, with high power density (up to 2.5 kW/L), rendering them suitable for integration into vessels of various sizes and types</w:t>
      </w:r>
      <w:r>
        <w:rPr>
          <w:lang w:val="en-GB"/>
        </w:rPr>
        <w:t xml:space="preserve"> </w:t>
      </w:r>
      <w:r w:rsidR="00E65F6E">
        <w:rPr>
          <w:lang w:val="en-GB"/>
        </w:rPr>
        <w:t>(</w:t>
      </w:r>
      <w:r w:rsidR="00BB3E6B">
        <w:rPr>
          <w:lang w:val="en-GB"/>
        </w:rPr>
        <w:t>Wang Z., et al, 2024</w:t>
      </w:r>
      <w:r w:rsidR="00E65F6E">
        <w:rPr>
          <w:lang w:val="en-GB"/>
        </w:rPr>
        <w:t>)</w:t>
      </w:r>
      <w:r>
        <w:rPr>
          <w:lang w:val="en-GB"/>
        </w:rPr>
        <w:t>.</w:t>
      </w:r>
    </w:p>
    <w:p w14:paraId="1B138069" w14:textId="32D5D00E" w:rsidR="008D2C7B" w:rsidRPr="003021DB" w:rsidRDefault="001E0D7B" w:rsidP="003021DB">
      <w:pPr>
        <w:pStyle w:val="CETHeading1"/>
      </w:pPr>
      <w:r w:rsidRPr="003021DB">
        <w:t>The</w:t>
      </w:r>
      <w:r w:rsidR="00A34EE3" w:rsidRPr="003021DB">
        <w:t xml:space="preserve"> case </w:t>
      </w:r>
      <w:r w:rsidR="00525B90" w:rsidRPr="003021DB">
        <w:t>stud</w:t>
      </w:r>
      <w:r w:rsidR="00843990">
        <w:t>y: high speed catamaran ferry</w:t>
      </w:r>
    </w:p>
    <w:p w14:paraId="654E93A0" w14:textId="1F60061C" w:rsidR="007D2A96" w:rsidRDefault="00F55422" w:rsidP="003B5E8F">
      <w:pPr>
        <w:pStyle w:val="CETBodytext"/>
      </w:pPr>
      <w:r>
        <w:t xml:space="preserve">The proposed passenger vessel has been designed to operate along the picturesque Amalfi Coast, offering a daily round trip on the Salerno-Capri route with scheduled stops at the ports of Vietri, </w:t>
      </w:r>
      <w:proofErr w:type="spellStart"/>
      <w:r>
        <w:t>Maiori</w:t>
      </w:r>
      <w:proofErr w:type="spellEnd"/>
      <w:r>
        <w:t>, Amalfi, and Positano. Boasting a capacity to accommodate 220 passengers and a cruising speed of 20 knots, this vessel will cater to both commuters and tourists during the summer season.</w:t>
      </w:r>
      <w:r w:rsidR="003B5E8F">
        <w:t xml:space="preserve"> </w:t>
      </w:r>
      <w:r w:rsidR="00F56184">
        <w:t>Main</w:t>
      </w:r>
      <w:r w:rsidR="007D2A96" w:rsidRPr="0063760E">
        <w:t xml:space="preserve"> </w:t>
      </w:r>
      <w:bookmarkStart w:id="0" w:name="_Hlk158633401"/>
      <w:r w:rsidR="007D2A96" w:rsidRPr="0063760E">
        <w:t xml:space="preserve">specifics of the power plant system components </w:t>
      </w:r>
      <w:bookmarkEnd w:id="0"/>
      <w:r w:rsidR="007D2A96" w:rsidRPr="0063760E">
        <w:t>are listed in Table 1:</w:t>
      </w:r>
    </w:p>
    <w:p w14:paraId="128257D1" w14:textId="1B07EC73" w:rsidR="007D2A96" w:rsidRDefault="007D2A96" w:rsidP="00345EE7">
      <w:pPr>
        <w:pStyle w:val="CETTabletitle"/>
        <w:jc w:val="center"/>
        <w:rPr>
          <w:rFonts w:eastAsia="Calibri"/>
          <w:lang w:val="en-US"/>
        </w:rPr>
      </w:pPr>
      <w:r>
        <w:rPr>
          <w:rFonts w:eastAsia="Calibri"/>
          <w:lang w:val="en-US"/>
        </w:rPr>
        <w:t>Table 1</w:t>
      </w:r>
      <w:r w:rsidR="00EE6D29">
        <w:rPr>
          <w:rFonts w:eastAsia="Calibri"/>
          <w:lang w:val="en-US"/>
        </w:rPr>
        <w:t>:</w:t>
      </w:r>
      <w:r w:rsidRPr="0012006B">
        <w:t xml:space="preserve"> </w:t>
      </w:r>
      <w:r>
        <w:rPr>
          <w:rFonts w:eastAsia="Calibri"/>
          <w:lang w:val="en-US"/>
        </w:rPr>
        <w:t>Main S</w:t>
      </w:r>
      <w:r w:rsidRPr="0012006B">
        <w:rPr>
          <w:rFonts w:eastAsia="Calibri"/>
          <w:lang w:val="en-US"/>
        </w:rPr>
        <w:t>pecifics of the power plant system</w:t>
      </w:r>
      <w:r>
        <w:rPr>
          <w:rFonts w:eastAsia="Calibri"/>
          <w:lang w:val="en-US"/>
        </w:rPr>
        <w:t>’s</w:t>
      </w:r>
      <w:r w:rsidRPr="0012006B">
        <w:rPr>
          <w:rFonts w:eastAsia="Calibri"/>
          <w:lang w:val="en-US"/>
        </w:rPr>
        <w:t xml:space="preserve"> component</w:t>
      </w:r>
      <w:r>
        <w:rPr>
          <w:rFonts w:eastAsia="Calibri"/>
          <w:lang w:val="en-US"/>
        </w:rPr>
        <w:t>s</w:t>
      </w:r>
    </w:p>
    <w:tbl>
      <w:tblPr>
        <w:tblW w:w="8647" w:type="dxa"/>
        <w:tblBorders>
          <w:top w:val="single" w:sz="12" w:space="0" w:color="008000"/>
          <w:bottom w:val="single" w:sz="12" w:space="0" w:color="008000"/>
        </w:tblBorders>
        <w:tblLayout w:type="fixed"/>
        <w:tblCellMar>
          <w:left w:w="0" w:type="dxa"/>
          <w:right w:w="0" w:type="dxa"/>
        </w:tblCellMar>
        <w:tblLook w:val="00A0" w:firstRow="1" w:lastRow="0" w:firstColumn="1" w:lastColumn="0" w:noHBand="0" w:noVBand="0"/>
      </w:tblPr>
      <w:tblGrid>
        <w:gridCol w:w="2977"/>
        <w:gridCol w:w="1276"/>
        <w:gridCol w:w="2835"/>
        <w:gridCol w:w="1559"/>
      </w:tblGrid>
      <w:tr w:rsidR="00284F5D" w:rsidRPr="00747BDE" w14:paraId="648AC5E9" w14:textId="77777777" w:rsidTr="005C610F">
        <w:tc>
          <w:tcPr>
            <w:tcW w:w="8647" w:type="dxa"/>
            <w:gridSpan w:val="4"/>
            <w:tcBorders>
              <w:top w:val="single" w:sz="12" w:space="0" w:color="008000"/>
              <w:bottom w:val="single" w:sz="6" w:space="0" w:color="008000"/>
            </w:tcBorders>
            <w:shd w:val="clear" w:color="auto" w:fill="FFFFFF"/>
          </w:tcPr>
          <w:p w14:paraId="4501341F" w14:textId="70767D42" w:rsidR="005425C1" w:rsidRPr="00747BDE" w:rsidRDefault="005425C1" w:rsidP="00703FF0">
            <w:pPr>
              <w:rPr>
                <w:rFonts w:cs="Arial"/>
                <w:szCs w:val="18"/>
              </w:rPr>
            </w:pPr>
            <w:r>
              <w:t xml:space="preserve">Fuel cell </w:t>
            </w:r>
            <w:r w:rsidR="00E357B1">
              <w:t xml:space="preserve">system </w:t>
            </w:r>
            <w:r w:rsidR="0072192F">
              <w:t>(Ballard.com, 2023)</w:t>
            </w:r>
          </w:p>
        </w:tc>
      </w:tr>
      <w:tr w:rsidR="005425C1" w:rsidRPr="00747BDE" w14:paraId="283F5487" w14:textId="77777777" w:rsidTr="005C610F">
        <w:tc>
          <w:tcPr>
            <w:tcW w:w="2977" w:type="dxa"/>
            <w:tcBorders>
              <w:bottom w:val="nil"/>
            </w:tcBorders>
            <w:shd w:val="clear" w:color="auto" w:fill="FFFFFF"/>
          </w:tcPr>
          <w:p w14:paraId="2D22AF65" w14:textId="28642610" w:rsidR="005425C1" w:rsidRPr="00747BDE" w:rsidRDefault="001065BD" w:rsidP="00703FF0">
            <w:pPr>
              <w:rPr>
                <w:rFonts w:cs="Arial"/>
                <w:szCs w:val="18"/>
              </w:rPr>
            </w:pPr>
            <w:r>
              <w:t>Rated power (kW)</w:t>
            </w:r>
          </w:p>
        </w:tc>
        <w:tc>
          <w:tcPr>
            <w:tcW w:w="1276" w:type="dxa"/>
            <w:tcBorders>
              <w:bottom w:val="nil"/>
            </w:tcBorders>
            <w:shd w:val="clear" w:color="auto" w:fill="FFFFFF"/>
          </w:tcPr>
          <w:p w14:paraId="26AF9214" w14:textId="7613036E" w:rsidR="005425C1" w:rsidRPr="00747BDE" w:rsidRDefault="00886AED" w:rsidP="00703FF0">
            <w:pPr>
              <w:rPr>
                <w:rFonts w:cs="Arial"/>
                <w:szCs w:val="18"/>
              </w:rPr>
            </w:pPr>
            <w:r>
              <w:rPr>
                <w:rFonts w:cs="Arial"/>
                <w:szCs w:val="18"/>
              </w:rPr>
              <w:t>200</w:t>
            </w:r>
          </w:p>
        </w:tc>
        <w:tc>
          <w:tcPr>
            <w:tcW w:w="2835" w:type="dxa"/>
            <w:tcBorders>
              <w:bottom w:val="nil"/>
            </w:tcBorders>
            <w:shd w:val="clear" w:color="auto" w:fill="FFFFFF"/>
          </w:tcPr>
          <w:p w14:paraId="3883E1AF" w14:textId="73B19F54" w:rsidR="005425C1" w:rsidRPr="00747BDE" w:rsidRDefault="006653D1" w:rsidP="00703FF0">
            <w:pPr>
              <w:rPr>
                <w:rFonts w:cs="Arial"/>
                <w:szCs w:val="18"/>
              </w:rPr>
            </w:pPr>
            <w:r>
              <w:rPr>
                <w:rFonts w:cs="Arial"/>
                <w:szCs w:val="18"/>
              </w:rPr>
              <w:t>Weight (kg)</w:t>
            </w:r>
          </w:p>
        </w:tc>
        <w:tc>
          <w:tcPr>
            <w:tcW w:w="1559" w:type="dxa"/>
            <w:tcBorders>
              <w:bottom w:val="nil"/>
            </w:tcBorders>
            <w:shd w:val="clear" w:color="auto" w:fill="FFFFFF"/>
          </w:tcPr>
          <w:p w14:paraId="756FB55D" w14:textId="1A99DADA" w:rsidR="005425C1" w:rsidRPr="00747BDE" w:rsidRDefault="006653D1" w:rsidP="00703FF0">
            <w:pPr>
              <w:rPr>
                <w:rFonts w:cs="Arial"/>
                <w:szCs w:val="18"/>
              </w:rPr>
            </w:pPr>
            <w:r>
              <w:rPr>
                <w:rFonts w:cs="Arial"/>
                <w:szCs w:val="18"/>
              </w:rPr>
              <w:t>1000</w:t>
            </w:r>
          </w:p>
        </w:tc>
      </w:tr>
      <w:tr w:rsidR="002D3E4B" w:rsidRPr="00747BDE" w14:paraId="4369119D" w14:textId="77777777" w:rsidTr="005C610F">
        <w:tc>
          <w:tcPr>
            <w:tcW w:w="2977" w:type="dxa"/>
            <w:tcBorders>
              <w:top w:val="nil"/>
              <w:bottom w:val="nil"/>
            </w:tcBorders>
            <w:shd w:val="clear" w:color="auto" w:fill="FFFFFF"/>
          </w:tcPr>
          <w:p w14:paraId="209A76F1" w14:textId="27B6CE64" w:rsidR="002D3E4B" w:rsidRPr="00747BDE" w:rsidRDefault="000E0651" w:rsidP="00703FF0">
            <w:pPr>
              <w:rPr>
                <w:rFonts w:cs="Arial"/>
                <w:szCs w:val="18"/>
              </w:rPr>
            </w:pPr>
            <w:r>
              <w:rPr>
                <w:rFonts w:cs="Arial"/>
                <w:szCs w:val="18"/>
              </w:rPr>
              <w:t>Minimum power (kW)</w:t>
            </w:r>
          </w:p>
        </w:tc>
        <w:tc>
          <w:tcPr>
            <w:tcW w:w="1276" w:type="dxa"/>
            <w:tcBorders>
              <w:top w:val="nil"/>
              <w:bottom w:val="nil"/>
            </w:tcBorders>
            <w:shd w:val="clear" w:color="auto" w:fill="FFFFFF"/>
          </w:tcPr>
          <w:p w14:paraId="60D1C25B" w14:textId="6719DE46" w:rsidR="002D3E4B" w:rsidRPr="00747BDE" w:rsidRDefault="000E0651" w:rsidP="00703FF0">
            <w:pPr>
              <w:rPr>
                <w:rFonts w:cs="Arial"/>
                <w:szCs w:val="18"/>
              </w:rPr>
            </w:pPr>
            <w:r>
              <w:rPr>
                <w:rFonts w:cs="Arial"/>
                <w:szCs w:val="18"/>
              </w:rPr>
              <w:t>55</w:t>
            </w:r>
          </w:p>
        </w:tc>
        <w:tc>
          <w:tcPr>
            <w:tcW w:w="2835" w:type="dxa"/>
            <w:tcBorders>
              <w:top w:val="nil"/>
              <w:bottom w:val="nil"/>
            </w:tcBorders>
            <w:shd w:val="clear" w:color="auto" w:fill="FFFFFF"/>
          </w:tcPr>
          <w:p w14:paraId="6A1A0FD9" w14:textId="70D62C27" w:rsidR="002D3E4B" w:rsidRPr="00747BDE" w:rsidRDefault="002D2C83" w:rsidP="00703FF0">
            <w:pPr>
              <w:rPr>
                <w:rFonts w:cs="Arial"/>
                <w:szCs w:val="18"/>
              </w:rPr>
            </w:pPr>
            <w:r>
              <w:rPr>
                <w:rFonts w:cs="Arial"/>
                <w:szCs w:val="18"/>
              </w:rPr>
              <w:t xml:space="preserve">Dimensions </w:t>
            </w:r>
            <w:r w:rsidR="00774F70">
              <w:rPr>
                <w:rFonts w:cs="Arial"/>
                <w:szCs w:val="18"/>
              </w:rPr>
              <w:t>L x W x H (mm)</w:t>
            </w:r>
          </w:p>
        </w:tc>
        <w:tc>
          <w:tcPr>
            <w:tcW w:w="1559" w:type="dxa"/>
            <w:tcBorders>
              <w:top w:val="nil"/>
              <w:bottom w:val="nil"/>
            </w:tcBorders>
            <w:shd w:val="clear" w:color="auto" w:fill="FFFFFF"/>
          </w:tcPr>
          <w:p w14:paraId="04DEDC2A" w14:textId="77777777" w:rsidR="002D3E4B" w:rsidRPr="00747BDE" w:rsidRDefault="00774F70" w:rsidP="00703FF0">
            <w:pPr>
              <w:rPr>
                <w:rFonts w:cs="Arial"/>
                <w:szCs w:val="18"/>
              </w:rPr>
            </w:pPr>
            <w:r>
              <w:rPr>
                <w:rFonts w:cs="Arial"/>
                <w:szCs w:val="18"/>
              </w:rPr>
              <w:t>1209</w:t>
            </w:r>
            <w:r w:rsidR="00575331">
              <w:rPr>
                <w:rFonts w:cs="Arial"/>
                <w:szCs w:val="18"/>
              </w:rPr>
              <w:t xml:space="preserve"> </w:t>
            </w:r>
            <w:r>
              <w:rPr>
                <w:rFonts w:cs="Arial"/>
                <w:szCs w:val="18"/>
              </w:rPr>
              <w:t>x</w:t>
            </w:r>
            <w:r w:rsidR="00575331">
              <w:rPr>
                <w:rFonts w:cs="Arial"/>
                <w:szCs w:val="18"/>
              </w:rPr>
              <w:t xml:space="preserve"> </w:t>
            </w:r>
            <w:r>
              <w:rPr>
                <w:rFonts w:cs="Arial"/>
                <w:szCs w:val="18"/>
              </w:rPr>
              <w:t>747</w:t>
            </w:r>
            <w:r w:rsidR="00575331">
              <w:rPr>
                <w:rFonts w:cs="Arial"/>
                <w:szCs w:val="18"/>
              </w:rPr>
              <w:t xml:space="preserve"> </w:t>
            </w:r>
            <w:r>
              <w:rPr>
                <w:rFonts w:cs="Arial"/>
                <w:szCs w:val="18"/>
              </w:rPr>
              <w:t>x</w:t>
            </w:r>
            <w:r w:rsidR="00575331">
              <w:rPr>
                <w:rFonts w:cs="Arial"/>
                <w:szCs w:val="18"/>
              </w:rPr>
              <w:t xml:space="preserve"> </w:t>
            </w:r>
            <w:r>
              <w:rPr>
                <w:rFonts w:cs="Arial"/>
                <w:szCs w:val="18"/>
              </w:rPr>
              <w:t>219</w:t>
            </w:r>
            <w:r w:rsidR="00575331">
              <w:rPr>
                <w:rFonts w:cs="Arial"/>
                <w:szCs w:val="18"/>
              </w:rPr>
              <w:t>5</w:t>
            </w:r>
          </w:p>
        </w:tc>
      </w:tr>
      <w:tr w:rsidR="00DB10FA" w:rsidRPr="00747BDE" w14:paraId="22E9BE70" w14:textId="77777777" w:rsidTr="005C610F">
        <w:tc>
          <w:tcPr>
            <w:tcW w:w="2977" w:type="dxa"/>
            <w:tcBorders>
              <w:top w:val="nil"/>
              <w:bottom w:val="single" w:sz="4" w:space="0" w:color="auto"/>
            </w:tcBorders>
            <w:shd w:val="clear" w:color="auto" w:fill="FFFFFF"/>
          </w:tcPr>
          <w:p w14:paraId="6DA097DD" w14:textId="2C5873E7" w:rsidR="00DB10FA" w:rsidRDefault="001C7F37" w:rsidP="00703FF0">
            <w:pPr>
              <w:rPr>
                <w:rFonts w:cs="Arial"/>
                <w:szCs w:val="18"/>
              </w:rPr>
            </w:pPr>
            <w:r>
              <w:rPr>
                <w:rFonts w:cs="Arial"/>
                <w:szCs w:val="18"/>
              </w:rPr>
              <w:t xml:space="preserve">Peak fuel </w:t>
            </w:r>
            <w:r w:rsidR="00703FF0">
              <w:rPr>
                <w:rFonts w:cs="Arial"/>
                <w:szCs w:val="18"/>
              </w:rPr>
              <w:t>e</w:t>
            </w:r>
            <w:r>
              <w:rPr>
                <w:rFonts w:cs="Arial"/>
                <w:szCs w:val="18"/>
              </w:rPr>
              <w:t>fficiency</w:t>
            </w:r>
            <w:r w:rsidR="00BF2475">
              <w:rPr>
                <w:rFonts w:cs="Arial"/>
                <w:szCs w:val="18"/>
              </w:rPr>
              <w:t xml:space="preserve"> (</w:t>
            </w:r>
            <w:r w:rsidR="00403E9E">
              <w:rPr>
                <w:rFonts w:cs="Arial"/>
                <w:szCs w:val="18"/>
              </w:rPr>
              <w:t>%)</w:t>
            </w:r>
          </w:p>
        </w:tc>
        <w:tc>
          <w:tcPr>
            <w:tcW w:w="1276" w:type="dxa"/>
            <w:tcBorders>
              <w:top w:val="nil"/>
              <w:bottom w:val="single" w:sz="4" w:space="0" w:color="auto"/>
            </w:tcBorders>
            <w:shd w:val="clear" w:color="auto" w:fill="FFFFFF"/>
          </w:tcPr>
          <w:p w14:paraId="44EEDEBD" w14:textId="32304B16" w:rsidR="00DB10FA" w:rsidRDefault="00AF4730" w:rsidP="00703FF0">
            <w:pPr>
              <w:rPr>
                <w:rFonts w:cs="Arial"/>
                <w:szCs w:val="18"/>
              </w:rPr>
            </w:pPr>
            <w:r>
              <w:rPr>
                <w:rFonts w:cs="Arial"/>
                <w:szCs w:val="18"/>
              </w:rPr>
              <w:t>53.5</w:t>
            </w:r>
          </w:p>
        </w:tc>
        <w:tc>
          <w:tcPr>
            <w:tcW w:w="2835" w:type="dxa"/>
            <w:tcBorders>
              <w:top w:val="nil"/>
              <w:bottom w:val="single" w:sz="4" w:space="0" w:color="auto"/>
            </w:tcBorders>
            <w:shd w:val="clear" w:color="auto" w:fill="FFFFFF"/>
          </w:tcPr>
          <w:p w14:paraId="1AE3D067" w14:textId="77777777" w:rsidR="00DB10FA" w:rsidRDefault="00DB10FA" w:rsidP="00703FF0">
            <w:pPr>
              <w:rPr>
                <w:rFonts w:cs="Arial"/>
                <w:szCs w:val="18"/>
              </w:rPr>
            </w:pPr>
          </w:p>
        </w:tc>
        <w:tc>
          <w:tcPr>
            <w:tcW w:w="1559" w:type="dxa"/>
            <w:tcBorders>
              <w:top w:val="nil"/>
              <w:bottom w:val="single" w:sz="4" w:space="0" w:color="auto"/>
            </w:tcBorders>
            <w:shd w:val="clear" w:color="auto" w:fill="FFFFFF"/>
          </w:tcPr>
          <w:p w14:paraId="30BECDCB" w14:textId="77777777" w:rsidR="00DB10FA" w:rsidRDefault="00DB10FA" w:rsidP="00703FF0">
            <w:pPr>
              <w:rPr>
                <w:rFonts w:cs="Arial"/>
                <w:szCs w:val="18"/>
              </w:rPr>
            </w:pPr>
          </w:p>
        </w:tc>
      </w:tr>
      <w:tr w:rsidR="007C700A" w:rsidRPr="006A5F52" w14:paraId="04D9EDBA" w14:textId="77777777" w:rsidTr="005C610F">
        <w:tc>
          <w:tcPr>
            <w:tcW w:w="8647" w:type="dxa"/>
            <w:gridSpan w:val="4"/>
            <w:tcBorders>
              <w:top w:val="single" w:sz="4" w:space="0" w:color="auto"/>
              <w:bottom w:val="single" w:sz="4" w:space="0" w:color="auto"/>
            </w:tcBorders>
            <w:shd w:val="clear" w:color="auto" w:fill="FFFFFF"/>
          </w:tcPr>
          <w:p w14:paraId="3940C532" w14:textId="2CC61424" w:rsidR="007C700A" w:rsidRPr="0072192F" w:rsidRDefault="007C700A" w:rsidP="00703FF0">
            <w:pPr>
              <w:rPr>
                <w:rFonts w:cs="Arial"/>
                <w:szCs w:val="18"/>
                <w:lang w:val="it-IT"/>
              </w:rPr>
            </w:pPr>
            <w:proofErr w:type="spellStart"/>
            <w:r w:rsidRPr="0072192F">
              <w:rPr>
                <w:rFonts w:cs="Arial"/>
                <w:szCs w:val="18"/>
                <w:lang w:val="it-IT"/>
              </w:rPr>
              <w:t>Hydrogen</w:t>
            </w:r>
            <w:proofErr w:type="spellEnd"/>
            <w:r w:rsidRPr="0072192F">
              <w:rPr>
                <w:rFonts w:cs="Arial"/>
                <w:szCs w:val="18"/>
                <w:lang w:val="it-IT"/>
              </w:rPr>
              <w:t xml:space="preserve"> Storage Vessel</w:t>
            </w:r>
            <w:r w:rsidR="00176C6A" w:rsidRPr="0072192F">
              <w:rPr>
                <w:rFonts w:cs="Arial"/>
                <w:szCs w:val="18"/>
                <w:lang w:val="it-IT"/>
              </w:rPr>
              <w:t xml:space="preserve"> </w:t>
            </w:r>
            <w:r w:rsidR="0072192F" w:rsidRPr="0072192F">
              <w:rPr>
                <w:rFonts w:cs="Arial"/>
                <w:szCs w:val="18"/>
                <w:lang w:val="it-IT"/>
              </w:rPr>
              <w:t>(</w:t>
            </w:r>
            <w:r w:rsidR="0072192F">
              <w:rPr>
                <w:rFonts w:cs="Arial"/>
                <w:szCs w:val="18"/>
                <w:lang w:val="it-IT"/>
              </w:rPr>
              <w:t>P</w:t>
            </w:r>
            <w:r w:rsidR="0072192F" w:rsidRPr="0072192F">
              <w:rPr>
                <w:rFonts w:cs="Arial"/>
                <w:szCs w:val="18"/>
                <w:lang w:val="it-IT"/>
              </w:rPr>
              <w:t>lasticomnium.com</w:t>
            </w:r>
            <w:r w:rsidR="0072192F">
              <w:rPr>
                <w:rFonts w:cs="Arial"/>
                <w:szCs w:val="18"/>
                <w:lang w:val="it-IT"/>
              </w:rPr>
              <w:t>, 2023)</w:t>
            </w:r>
          </w:p>
        </w:tc>
      </w:tr>
      <w:tr w:rsidR="006526EC" w:rsidRPr="00747BDE" w14:paraId="3EC0041E" w14:textId="77777777" w:rsidTr="005C610F">
        <w:tc>
          <w:tcPr>
            <w:tcW w:w="2977" w:type="dxa"/>
            <w:tcBorders>
              <w:top w:val="single" w:sz="4" w:space="0" w:color="auto"/>
              <w:bottom w:val="nil"/>
            </w:tcBorders>
            <w:shd w:val="clear" w:color="auto" w:fill="FFFFFF"/>
          </w:tcPr>
          <w:p w14:paraId="530DDE09" w14:textId="2BE462DC" w:rsidR="006526EC" w:rsidRDefault="00EA4F8A" w:rsidP="00703FF0">
            <w:pPr>
              <w:rPr>
                <w:rFonts w:cs="Arial"/>
                <w:szCs w:val="18"/>
              </w:rPr>
            </w:pPr>
            <w:r>
              <w:rPr>
                <w:rFonts w:cs="Arial"/>
                <w:szCs w:val="18"/>
              </w:rPr>
              <w:t>Vessel type</w:t>
            </w:r>
          </w:p>
        </w:tc>
        <w:tc>
          <w:tcPr>
            <w:tcW w:w="1276" w:type="dxa"/>
            <w:tcBorders>
              <w:top w:val="single" w:sz="4" w:space="0" w:color="auto"/>
              <w:bottom w:val="nil"/>
            </w:tcBorders>
            <w:shd w:val="clear" w:color="auto" w:fill="FFFFFF"/>
          </w:tcPr>
          <w:p w14:paraId="560BE313" w14:textId="0C822F9F" w:rsidR="006526EC" w:rsidRDefault="00DA12E4" w:rsidP="00703FF0">
            <w:pPr>
              <w:rPr>
                <w:rFonts w:cs="Arial"/>
                <w:szCs w:val="18"/>
              </w:rPr>
            </w:pPr>
            <w:r>
              <w:rPr>
                <w:rFonts w:cs="Arial"/>
                <w:szCs w:val="18"/>
              </w:rPr>
              <w:t>IV</w:t>
            </w:r>
          </w:p>
        </w:tc>
        <w:tc>
          <w:tcPr>
            <w:tcW w:w="2835" w:type="dxa"/>
            <w:tcBorders>
              <w:top w:val="single" w:sz="4" w:space="0" w:color="auto"/>
              <w:bottom w:val="nil"/>
            </w:tcBorders>
            <w:shd w:val="clear" w:color="auto" w:fill="FFFFFF"/>
          </w:tcPr>
          <w:p w14:paraId="211327A5" w14:textId="677B21C8" w:rsidR="006526EC" w:rsidRDefault="0007278D" w:rsidP="00703FF0">
            <w:pPr>
              <w:rPr>
                <w:rFonts w:cs="Arial"/>
                <w:szCs w:val="18"/>
              </w:rPr>
            </w:pPr>
            <w:r>
              <w:rPr>
                <w:rFonts w:cs="Arial"/>
                <w:szCs w:val="18"/>
              </w:rPr>
              <w:t>W</w:t>
            </w:r>
            <w:r w:rsidR="007958CB">
              <w:rPr>
                <w:rFonts w:cs="Arial"/>
                <w:szCs w:val="18"/>
              </w:rPr>
              <w:t>eight(kg)</w:t>
            </w:r>
          </w:p>
        </w:tc>
        <w:tc>
          <w:tcPr>
            <w:tcW w:w="1559" w:type="dxa"/>
            <w:tcBorders>
              <w:top w:val="single" w:sz="4" w:space="0" w:color="auto"/>
              <w:bottom w:val="nil"/>
            </w:tcBorders>
            <w:shd w:val="clear" w:color="auto" w:fill="FFFFFF"/>
          </w:tcPr>
          <w:p w14:paraId="76E4B350" w14:textId="0B311B44" w:rsidR="006526EC" w:rsidRDefault="00D14A5A" w:rsidP="00703FF0">
            <w:pPr>
              <w:rPr>
                <w:rFonts w:cs="Arial"/>
                <w:szCs w:val="18"/>
              </w:rPr>
            </w:pPr>
            <w:r>
              <w:rPr>
                <w:rFonts w:cs="Arial"/>
                <w:szCs w:val="18"/>
              </w:rPr>
              <w:t>400</w:t>
            </w:r>
          </w:p>
        </w:tc>
      </w:tr>
      <w:tr w:rsidR="006526EC" w:rsidRPr="00EA7FE3" w14:paraId="2AFA16BA" w14:textId="77777777" w:rsidTr="005C610F">
        <w:tc>
          <w:tcPr>
            <w:tcW w:w="2977" w:type="dxa"/>
            <w:tcBorders>
              <w:top w:val="nil"/>
              <w:bottom w:val="nil"/>
            </w:tcBorders>
            <w:shd w:val="clear" w:color="auto" w:fill="FFFFFF"/>
          </w:tcPr>
          <w:p w14:paraId="184E2984" w14:textId="09E2E851" w:rsidR="006526EC" w:rsidRDefault="003C557E" w:rsidP="00703FF0">
            <w:pPr>
              <w:rPr>
                <w:rFonts w:cs="Arial"/>
                <w:szCs w:val="18"/>
              </w:rPr>
            </w:pPr>
            <w:r>
              <w:rPr>
                <w:rFonts w:cs="Arial"/>
                <w:szCs w:val="18"/>
              </w:rPr>
              <w:t>Operating pressure (bar)</w:t>
            </w:r>
          </w:p>
        </w:tc>
        <w:tc>
          <w:tcPr>
            <w:tcW w:w="1276" w:type="dxa"/>
            <w:tcBorders>
              <w:top w:val="nil"/>
              <w:bottom w:val="nil"/>
            </w:tcBorders>
            <w:shd w:val="clear" w:color="auto" w:fill="FFFFFF"/>
          </w:tcPr>
          <w:p w14:paraId="099B757D" w14:textId="1A2E4AE9" w:rsidR="006526EC" w:rsidRDefault="003C557E" w:rsidP="00703FF0">
            <w:pPr>
              <w:rPr>
                <w:rFonts w:cs="Arial"/>
                <w:szCs w:val="18"/>
              </w:rPr>
            </w:pPr>
            <w:r>
              <w:rPr>
                <w:rFonts w:cs="Arial"/>
                <w:szCs w:val="18"/>
              </w:rPr>
              <w:t>700</w:t>
            </w:r>
          </w:p>
        </w:tc>
        <w:tc>
          <w:tcPr>
            <w:tcW w:w="2835" w:type="dxa"/>
            <w:tcBorders>
              <w:top w:val="nil"/>
              <w:bottom w:val="nil"/>
            </w:tcBorders>
            <w:shd w:val="clear" w:color="auto" w:fill="FFFFFF"/>
          </w:tcPr>
          <w:p w14:paraId="2BF6E94B" w14:textId="6B4927AE" w:rsidR="006526EC" w:rsidRPr="00284F5D" w:rsidRDefault="003C557E" w:rsidP="00703FF0">
            <w:pPr>
              <w:rPr>
                <w:rFonts w:cs="Arial"/>
                <w:szCs w:val="18"/>
                <w:lang w:val="it-IT"/>
              </w:rPr>
            </w:pPr>
            <w:r w:rsidRPr="00E908EE">
              <w:rPr>
                <w:rFonts w:cs="Arial"/>
                <w:szCs w:val="18"/>
                <w:lang w:val="it-IT"/>
              </w:rPr>
              <w:t>Dimensions</w:t>
            </w:r>
            <w:r w:rsidR="0065185E">
              <w:rPr>
                <w:rFonts w:cs="Arial"/>
                <w:szCs w:val="18"/>
                <w:lang w:val="it-IT"/>
              </w:rPr>
              <w:t>, cylinder</w:t>
            </w:r>
            <w:r w:rsidRPr="00E908EE">
              <w:rPr>
                <w:rFonts w:cs="Arial"/>
                <w:szCs w:val="18"/>
                <w:lang w:val="it-IT"/>
              </w:rPr>
              <w:t xml:space="preserve"> L x </w:t>
            </w:r>
            <w:r w:rsidR="00E908EE" w:rsidRPr="00E908EE">
              <w:rPr>
                <w:rFonts w:cs="Arial"/>
                <w:szCs w:val="18"/>
                <w:lang w:val="it-IT"/>
              </w:rPr>
              <w:t>D</w:t>
            </w:r>
            <w:r w:rsidRPr="00E908EE">
              <w:rPr>
                <w:rFonts w:cs="Arial"/>
                <w:szCs w:val="18"/>
                <w:lang w:val="it-IT"/>
              </w:rPr>
              <w:t xml:space="preserve"> (mm)</w:t>
            </w:r>
          </w:p>
        </w:tc>
        <w:tc>
          <w:tcPr>
            <w:tcW w:w="1559" w:type="dxa"/>
            <w:tcBorders>
              <w:top w:val="nil"/>
              <w:bottom w:val="nil"/>
            </w:tcBorders>
            <w:shd w:val="clear" w:color="auto" w:fill="FFFFFF"/>
          </w:tcPr>
          <w:p w14:paraId="3A60B485" w14:textId="0F3045A7" w:rsidR="006526EC" w:rsidRPr="00E908EE" w:rsidRDefault="00406B17" w:rsidP="00703FF0">
            <w:pPr>
              <w:rPr>
                <w:rFonts w:cs="Arial"/>
                <w:szCs w:val="18"/>
                <w:lang w:val="it-IT"/>
              </w:rPr>
            </w:pPr>
            <w:r>
              <w:rPr>
                <w:rFonts w:cs="Arial"/>
                <w:szCs w:val="18"/>
                <w:lang w:val="it-IT"/>
              </w:rPr>
              <w:t>2700 x 750</w:t>
            </w:r>
          </w:p>
        </w:tc>
      </w:tr>
      <w:tr w:rsidR="00406B17" w:rsidRPr="00E908EE" w14:paraId="42544161" w14:textId="77777777" w:rsidTr="005C610F">
        <w:tc>
          <w:tcPr>
            <w:tcW w:w="2977" w:type="dxa"/>
            <w:tcBorders>
              <w:top w:val="nil"/>
              <w:bottom w:val="single" w:sz="4" w:space="0" w:color="auto"/>
            </w:tcBorders>
            <w:shd w:val="clear" w:color="auto" w:fill="FFFFFF"/>
          </w:tcPr>
          <w:p w14:paraId="4492FE33" w14:textId="6F1BDF8D" w:rsidR="00406B17" w:rsidRDefault="00406B17" w:rsidP="00703FF0">
            <w:pPr>
              <w:rPr>
                <w:rFonts w:cs="Arial"/>
                <w:szCs w:val="18"/>
              </w:rPr>
            </w:pPr>
            <w:r>
              <w:rPr>
                <w:rFonts w:cs="Arial"/>
                <w:szCs w:val="18"/>
              </w:rPr>
              <w:t xml:space="preserve">Material </w:t>
            </w:r>
          </w:p>
        </w:tc>
        <w:tc>
          <w:tcPr>
            <w:tcW w:w="1276" w:type="dxa"/>
            <w:tcBorders>
              <w:top w:val="nil"/>
              <w:bottom w:val="single" w:sz="4" w:space="0" w:color="auto"/>
            </w:tcBorders>
            <w:shd w:val="clear" w:color="auto" w:fill="FFFFFF"/>
          </w:tcPr>
          <w:p w14:paraId="562EB29B" w14:textId="556E73D1" w:rsidR="00406B17" w:rsidRDefault="006E64F8" w:rsidP="00703FF0">
            <w:pPr>
              <w:rPr>
                <w:rFonts w:cs="Arial"/>
                <w:szCs w:val="18"/>
              </w:rPr>
            </w:pPr>
            <w:r>
              <w:rPr>
                <w:rFonts w:cs="Arial"/>
                <w:szCs w:val="18"/>
              </w:rPr>
              <w:t>Carbon fibre</w:t>
            </w:r>
          </w:p>
        </w:tc>
        <w:tc>
          <w:tcPr>
            <w:tcW w:w="2835" w:type="dxa"/>
            <w:tcBorders>
              <w:top w:val="nil"/>
              <w:bottom w:val="single" w:sz="4" w:space="0" w:color="auto"/>
            </w:tcBorders>
            <w:shd w:val="clear" w:color="auto" w:fill="FFFFFF"/>
          </w:tcPr>
          <w:p w14:paraId="5886DA78" w14:textId="6CD018C6" w:rsidR="00406B17" w:rsidRPr="00E908EE" w:rsidRDefault="00D25AA0" w:rsidP="00703FF0">
            <w:pPr>
              <w:rPr>
                <w:rFonts w:cs="Arial"/>
                <w:szCs w:val="18"/>
                <w:lang w:val="it-IT"/>
              </w:rPr>
            </w:pPr>
            <w:r>
              <w:rPr>
                <w:rFonts w:cs="Arial"/>
                <w:szCs w:val="18"/>
                <w:lang w:val="it-IT"/>
              </w:rPr>
              <w:t>H</w:t>
            </w:r>
            <w:r w:rsidRPr="00E357B1">
              <w:rPr>
                <w:rFonts w:cs="Arial"/>
                <w:szCs w:val="18"/>
                <w:vertAlign w:val="subscript"/>
                <w:lang w:val="it-IT"/>
              </w:rPr>
              <w:t>2</w:t>
            </w:r>
            <w:r w:rsidR="00973E4E">
              <w:rPr>
                <w:rFonts w:cs="Arial"/>
                <w:szCs w:val="18"/>
                <w:lang w:val="it-IT"/>
              </w:rPr>
              <w:t xml:space="preserve"> </w:t>
            </w:r>
            <w:r w:rsidR="00703FF0">
              <w:rPr>
                <w:rFonts w:cs="Arial"/>
                <w:szCs w:val="18"/>
                <w:lang w:val="it-IT"/>
              </w:rPr>
              <w:t>c</w:t>
            </w:r>
            <w:r w:rsidR="004969F9">
              <w:rPr>
                <w:rFonts w:cs="Arial"/>
                <w:szCs w:val="18"/>
                <w:lang w:val="it-IT"/>
              </w:rPr>
              <w:t>apacity</w:t>
            </w:r>
            <w:r w:rsidR="00973E4E">
              <w:rPr>
                <w:rFonts w:cs="Arial"/>
                <w:szCs w:val="18"/>
                <w:lang w:val="it-IT"/>
              </w:rPr>
              <w:t xml:space="preserve"> (kg)</w:t>
            </w:r>
            <w:r w:rsidR="004969F9">
              <w:rPr>
                <w:rFonts w:cs="Arial"/>
                <w:szCs w:val="18"/>
                <w:lang w:val="it-IT"/>
              </w:rPr>
              <w:t xml:space="preserve"> </w:t>
            </w:r>
          </w:p>
        </w:tc>
        <w:tc>
          <w:tcPr>
            <w:tcW w:w="1559" w:type="dxa"/>
            <w:tcBorders>
              <w:top w:val="nil"/>
              <w:bottom w:val="single" w:sz="4" w:space="0" w:color="auto"/>
            </w:tcBorders>
            <w:shd w:val="clear" w:color="auto" w:fill="FFFFFF"/>
          </w:tcPr>
          <w:p w14:paraId="48781897" w14:textId="7FDA3065" w:rsidR="00406B17" w:rsidRDefault="00973E4E" w:rsidP="00703FF0">
            <w:pPr>
              <w:rPr>
                <w:rFonts w:cs="Arial"/>
                <w:szCs w:val="18"/>
                <w:lang w:val="it-IT"/>
              </w:rPr>
            </w:pPr>
            <w:r>
              <w:rPr>
                <w:rFonts w:cs="Arial"/>
                <w:szCs w:val="18"/>
                <w:lang w:val="it-IT"/>
              </w:rPr>
              <w:t>3</w:t>
            </w:r>
            <w:r w:rsidR="00EA7A2F">
              <w:rPr>
                <w:rFonts w:cs="Arial"/>
                <w:szCs w:val="18"/>
                <w:lang w:val="it-IT"/>
              </w:rPr>
              <w:t>5</w:t>
            </w:r>
          </w:p>
        </w:tc>
      </w:tr>
      <w:tr w:rsidR="004618C4" w:rsidRPr="002E08EA" w14:paraId="79D51026" w14:textId="77777777" w:rsidTr="005C610F">
        <w:tc>
          <w:tcPr>
            <w:tcW w:w="8647" w:type="dxa"/>
            <w:gridSpan w:val="4"/>
            <w:tcBorders>
              <w:top w:val="nil"/>
              <w:bottom w:val="single" w:sz="4" w:space="0" w:color="auto"/>
            </w:tcBorders>
            <w:shd w:val="clear" w:color="auto" w:fill="FFFFFF"/>
          </w:tcPr>
          <w:p w14:paraId="1FAE3933" w14:textId="33803DAA" w:rsidR="004618C4" w:rsidRPr="002E08EA" w:rsidRDefault="004618C4" w:rsidP="00703FF0">
            <w:pPr>
              <w:rPr>
                <w:rFonts w:cs="Arial"/>
                <w:szCs w:val="18"/>
                <w:lang w:val="en-US"/>
              </w:rPr>
            </w:pPr>
            <w:r w:rsidRPr="002E08EA">
              <w:rPr>
                <w:rFonts w:cs="Arial"/>
                <w:szCs w:val="18"/>
                <w:lang w:val="en-US"/>
              </w:rPr>
              <w:t>Energy Storage System</w:t>
            </w:r>
            <w:r w:rsidR="002E08EA">
              <w:rPr>
                <w:rFonts w:cs="Arial"/>
                <w:szCs w:val="18"/>
                <w:lang w:val="en-US"/>
              </w:rPr>
              <w:t xml:space="preserve"> </w:t>
            </w:r>
            <w:r w:rsidR="0072192F">
              <w:rPr>
                <w:rFonts w:cs="Arial"/>
                <w:szCs w:val="18"/>
                <w:lang w:val="en-US"/>
              </w:rPr>
              <w:t>(Corvusenergy.com, 2023)</w:t>
            </w:r>
          </w:p>
        </w:tc>
      </w:tr>
      <w:tr w:rsidR="00973E4E" w:rsidRPr="00E908EE" w14:paraId="5504F18A" w14:textId="77777777" w:rsidTr="005C610F">
        <w:tc>
          <w:tcPr>
            <w:tcW w:w="2977" w:type="dxa"/>
            <w:tcBorders>
              <w:top w:val="single" w:sz="4" w:space="0" w:color="auto"/>
              <w:bottom w:val="nil"/>
            </w:tcBorders>
            <w:shd w:val="clear" w:color="auto" w:fill="FFFFFF"/>
          </w:tcPr>
          <w:p w14:paraId="68D74BD1" w14:textId="27E1450B" w:rsidR="00973E4E" w:rsidRDefault="00F547DD" w:rsidP="00703FF0">
            <w:pPr>
              <w:rPr>
                <w:rFonts w:cs="Arial"/>
                <w:szCs w:val="18"/>
              </w:rPr>
            </w:pPr>
            <w:r>
              <w:rPr>
                <w:rFonts w:cs="Arial"/>
                <w:szCs w:val="18"/>
              </w:rPr>
              <w:t>Type:</w:t>
            </w:r>
          </w:p>
        </w:tc>
        <w:tc>
          <w:tcPr>
            <w:tcW w:w="1276" w:type="dxa"/>
            <w:tcBorders>
              <w:top w:val="single" w:sz="4" w:space="0" w:color="auto"/>
              <w:bottom w:val="nil"/>
            </w:tcBorders>
            <w:shd w:val="clear" w:color="auto" w:fill="FFFFFF"/>
          </w:tcPr>
          <w:p w14:paraId="26848E48" w14:textId="6CE80387" w:rsidR="00973E4E" w:rsidRDefault="00F547DD" w:rsidP="00703FF0">
            <w:pPr>
              <w:rPr>
                <w:rFonts w:cs="Arial"/>
                <w:szCs w:val="18"/>
              </w:rPr>
            </w:pPr>
            <w:r>
              <w:rPr>
                <w:rFonts w:cs="Arial"/>
                <w:szCs w:val="18"/>
              </w:rPr>
              <w:t>Li-ion</w:t>
            </w:r>
            <w:r w:rsidR="004E4789">
              <w:rPr>
                <w:rFonts w:cs="Arial"/>
                <w:szCs w:val="18"/>
              </w:rPr>
              <w:t xml:space="preserve"> based</w:t>
            </w:r>
          </w:p>
        </w:tc>
        <w:tc>
          <w:tcPr>
            <w:tcW w:w="2835" w:type="dxa"/>
            <w:tcBorders>
              <w:top w:val="single" w:sz="4" w:space="0" w:color="auto"/>
              <w:bottom w:val="nil"/>
            </w:tcBorders>
            <w:shd w:val="clear" w:color="auto" w:fill="FFFFFF"/>
          </w:tcPr>
          <w:p w14:paraId="46533593" w14:textId="0173B697" w:rsidR="00973E4E" w:rsidRDefault="00DF2C6A" w:rsidP="00703FF0">
            <w:pPr>
              <w:rPr>
                <w:rFonts w:cs="Arial"/>
                <w:szCs w:val="18"/>
                <w:lang w:val="it-IT"/>
              </w:rPr>
            </w:pPr>
            <w:r>
              <w:rPr>
                <w:rFonts w:cs="Arial"/>
                <w:szCs w:val="18"/>
                <w:lang w:val="it-IT"/>
              </w:rPr>
              <w:t>Capacity</w:t>
            </w:r>
            <w:r w:rsidR="00AB7FE9">
              <w:rPr>
                <w:rFonts w:cs="Arial"/>
                <w:szCs w:val="18"/>
                <w:lang w:val="it-IT"/>
              </w:rPr>
              <w:t xml:space="preserve"> (kWh)</w:t>
            </w:r>
          </w:p>
        </w:tc>
        <w:tc>
          <w:tcPr>
            <w:tcW w:w="1559" w:type="dxa"/>
            <w:tcBorders>
              <w:top w:val="single" w:sz="4" w:space="0" w:color="auto"/>
              <w:bottom w:val="nil"/>
            </w:tcBorders>
            <w:shd w:val="clear" w:color="auto" w:fill="FFFFFF"/>
          </w:tcPr>
          <w:p w14:paraId="013B24F1" w14:textId="4309C2CB" w:rsidR="00973E4E" w:rsidRDefault="00F31612" w:rsidP="00703FF0">
            <w:pPr>
              <w:rPr>
                <w:rFonts w:cs="Arial"/>
                <w:szCs w:val="18"/>
                <w:lang w:val="it-IT"/>
              </w:rPr>
            </w:pPr>
            <w:r>
              <w:rPr>
                <w:rFonts w:cs="Arial"/>
                <w:szCs w:val="18"/>
                <w:lang w:val="it-IT"/>
              </w:rPr>
              <w:t>199</w:t>
            </w:r>
          </w:p>
        </w:tc>
      </w:tr>
      <w:tr w:rsidR="00F47022" w:rsidRPr="002B22D3" w14:paraId="25B290A9" w14:textId="77777777" w:rsidTr="005C610F">
        <w:tc>
          <w:tcPr>
            <w:tcW w:w="2977" w:type="dxa"/>
            <w:tcBorders>
              <w:top w:val="nil"/>
              <w:bottom w:val="single" w:sz="12" w:space="0" w:color="008000"/>
            </w:tcBorders>
            <w:shd w:val="clear" w:color="auto" w:fill="FFFFFF"/>
          </w:tcPr>
          <w:p w14:paraId="68216C6C" w14:textId="0B1CE0AC" w:rsidR="00F47022" w:rsidRDefault="00F57393" w:rsidP="00703FF0">
            <w:pPr>
              <w:rPr>
                <w:rFonts w:cs="Arial"/>
                <w:szCs w:val="18"/>
              </w:rPr>
            </w:pPr>
            <w:r>
              <w:rPr>
                <w:rFonts w:cs="Arial"/>
                <w:szCs w:val="18"/>
              </w:rPr>
              <w:t>G</w:t>
            </w:r>
            <w:r w:rsidR="00F027E0">
              <w:rPr>
                <w:rFonts w:cs="Arial"/>
                <w:szCs w:val="18"/>
              </w:rPr>
              <w:t>ravime</w:t>
            </w:r>
            <w:r w:rsidR="001C784A">
              <w:rPr>
                <w:rFonts w:cs="Arial"/>
                <w:szCs w:val="18"/>
              </w:rPr>
              <w:t xml:space="preserve">tric </w:t>
            </w:r>
            <w:r w:rsidR="00707D9D">
              <w:rPr>
                <w:rFonts w:cs="Arial"/>
                <w:szCs w:val="18"/>
              </w:rPr>
              <w:t>d</w:t>
            </w:r>
            <w:r w:rsidR="001C784A">
              <w:rPr>
                <w:rFonts w:cs="Arial"/>
                <w:szCs w:val="18"/>
              </w:rPr>
              <w:t>ensity (</w:t>
            </w:r>
            <w:r w:rsidR="004C3EDE">
              <w:rPr>
                <w:rFonts w:cs="Arial"/>
                <w:szCs w:val="18"/>
              </w:rPr>
              <w:t>kg/</w:t>
            </w:r>
            <w:proofErr w:type="spellStart"/>
            <w:r w:rsidR="004C3EDE">
              <w:rPr>
                <w:rFonts w:cs="Arial"/>
                <w:szCs w:val="18"/>
              </w:rPr>
              <w:t>Wh</w:t>
            </w:r>
            <w:proofErr w:type="spellEnd"/>
            <w:r w:rsidR="004C3EDE">
              <w:rPr>
                <w:rFonts w:cs="Arial"/>
                <w:szCs w:val="18"/>
              </w:rPr>
              <w:t>)</w:t>
            </w:r>
          </w:p>
        </w:tc>
        <w:tc>
          <w:tcPr>
            <w:tcW w:w="1276" w:type="dxa"/>
            <w:tcBorders>
              <w:top w:val="nil"/>
              <w:bottom w:val="single" w:sz="12" w:space="0" w:color="008000"/>
            </w:tcBorders>
            <w:shd w:val="clear" w:color="auto" w:fill="FFFFFF"/>
          </w:tcPr>
          <w:p w14:paraId="65495242" w14:textId="151C8671" w:rsidR="00F47022" w:rsidRDefault="00D05DFB" w:rsidP="00703FF0">
            <w:pPr>
              <w:rPr>
                <w:rFonts w:cs="Arial"/>
                <w:szCs w:val="18"/>
              </w:rPr>
            </w:pPr>
            <w:r>
              <w:rPr>
                <w:rFonts w:cs="Arial"/>
                <w:szCs w:val="18"/>
              </w:rPr>
              <w:t>5.96</w:t>
            </w:r>
          </w:p>
        </w:tc>
        <w:tc>
          <w:tcPr>
            <w:tcW w:w="2835" w:type="dxa"/>
            <w:tcBorders>
              <w:top w:val="nil"/>
              <w:bottom w:val="single" w:sz="12" w:space="0" w:color="008000"/>
            </w:tcBorders>
            <w:shd w:val="clear" w:color="auto" w:fill="FFFFFF"/>
          </w:tcPr>
          <w:p w14:paraId="48E5A4D0" w14:textId="048CF7E9" w:rsidR="00F47022" w:rsidRDefault="00176C6A" w:rsidP="00703FF0">
            <w:pPr>
              <w:rPr>
                <w:rFonts w:cs="Arial"/>
                <w:szCs w:val="18"/>
              </w:rPr>
            </w:pPr>
            <w:r>
              <w:rPr>
                <w:rFonts w:cs="Arial"/>
                <w:szCs w:val="18"/>
              </w:rPr>
              <w:t>W</w:t>
            </w:r>
            <w:r w:rsidR="006B39E7">
              <w:rPr>
                <w:rFonts w:cs="Arial"/>
                <w:szCs w:val="18"/>
              </w:rPr>
              <w:t>eight (</w:t>
            </w:r>
            <w:r w:rsidR="00E80D96">
              <w:rPr>
                <w:rFonts w:cs="Arial"/>
                <w:szCs w:val="18"/>
              </w:rPr>
              <w:t>kg)</w:t>
            </w:r>
          </w:p>
        </w:tc>
        <w:tc>
          <w:tcPr>
            <w:tcW w:w="1559" w:type="dxa"/>
            <w:tcBorders>
              <w:top w:val="nil"/>
              <w:bottom w:val="single" w:sz="12" w:space="0" w:color="008000"/>
            </w:tcBorders>
            <w:shd w:val="clear" w:color="auto" w:fill="FFFFFF"/>
          </w:tcPr>
          <w:p w14:paraId="2CF09C8D" w14:textId="12E05321" w:rsidR="00F47022" w:rsidRDefault="00E80D96" w:rsidP="00703FF0">
            <w:pPr>
              <w:rPr>
                <w:rFonts w:cs="Arial"/>
                <w:szCs w:val="18"/>
              </w:rPr>
            </w:pPr>
            <w:r>
              <w:rPr>
                <w:rFonts w:cs="Arial"/>
                <w:szCs w:val="18"/>
              </w:rPr>
              <w:t>1183</w:t>
            </w:r>
          </w:p>
        </w:tc>
      </w:tr>
    </w:tbl>
    <w:p w14:paraId="5AD68D60" w14:textId="77777777" w:rsidR="006A5F52" w:rsidRDefault="006A5F52" w:rsidP="00167A0C">
      <w:pPr>
        <w:pStyle w:val="CETBodytext"/>
      </w:pPr>
    </w:p>
    <w:p w14:paraId="6B223310" w14:textId="59EFAD41" w:rsidR="003021DB" w:rsidRDefault="00243AD4" w:rsidP="00167A0C">
      <w:pPr>
        <w:pStyle w:val="CETBodytext"/>
      </w:pPr>
      <w:r>
        <w:t xml:space="preserve">The propulsion system is an innovative all-electric design that incorporates a </w:t>
      </w:r>
      <w:r w:rsidR="00365B8F">
        <w:t>H</w:t>
      </w:r>
      <w:r w:rsidR="00365B8F" w:rsidRPr="00365B8F">
        <w:rPr>
          <w:vertAlign w:val="subscript"/>
        </w:rPr>
        <w:t>2</w:t>
      </w:r>
      <w:r w:rsidR="00365B8F">
        <w:t>-</w:t>
      </w:r>
      <w:r>
        <w:t>FC system, coupled with electric propulsion motors located in each demi-hull, a</w:t>
      </w:r>
      <w:r w:rsidR="007074DE">
        <w:t xml:space="preserve">n energy storage system </w:t>
      </w:r>
      <w:r>
        <w:t>(</w:t>
      </w:r>
      <w:r w:rsidR="007074DE">
        <w:t>ESS</w:t>
      </w:r>
      <w:r>
        <w:t>)</w:t>
      </w:r>
      <w:r w:rsidR="007D2A96">
        <w:t xml:space="preserve"> based on Li-ion battery packs</w:t>
      </w:r>
      <w:r>
        <w:t xml:space="preserve">, and a power management system (PMS). The </w:t>
      </w:r>
      <w:r w:rsidR="00247F5F">
        <w:t>ESS</w:t>
      </w:r>
      <w:r>
        <w:t xml:space="preserve"> is specifically configured to provide additional energy during acceleration and maneuvering phases, allowing for optimized performance in the face of transient changes in load demand </w:t>
      </w:r>
      <w:r w:rsidR="00C916B3" w:rsidRPr="00243AD4">
        <w:t>Truong, HVA</w:t>
      </w:r>
      <w:r w:rsidR="00C916B3">
        <w:t xml:space="preserve"> et al, 2020. </w:t>
      </w:r>
      <w:r>
        <w:t xml:space="preserve">The design also facilitates excess power from the PEM being stored in the </w:t>
      </w:r>
      <w:r w:rsidR="00247F5F">
        <w:t>ESS</w:t>
      </w:r>
      <w:r>
        <w:t xml:space="preserve"> during times of low demand, to be subsequently released and utilized when required during a rapid load increase. In line with regulations, the </w:t>
      </w:r>
      <w:r w:rsidR="00247F5F">
        <w:t>ESS</w:t>
      </w:r>
      <w:r>
        <w:t xml:space="preserve"> capacity has been calculated to ensure a safe return to port in the event of FC failure</w:t>
      </w:r>
      <w:r w:rsidR="003021DB">
        <w:t>.</w:t>
      </w:r>
      <w:r w:rsidR="00F55422">
        <w:t xml:space="preserve"> </w:t>
      </w:r>
      <w:r w:rsidR="007D2A96">
        <w:t xml:space="preserve">The block diagram of the proposed power plant is shown in Figure </w:t>
      </w:r>
      <w:r w:rsidR="009C3724">
        <w:t>1</w:t>
      </w:r>
      <w:r w:rsidR="007D2A96">
        <w:t>.</w:t>
      </w:r>
    </w:p>
    <w:p w14:paraId="721B2E64" w14:textId="77777777" w:rsidR="00014C9E" w:rsidRDefault="00014C9E" w:rsidP="00167A0C">
      <w:pPr>
        <w:pStyle w:val="CETBodytext"/>
      </w:pPr>
    </w:p>
    <w:p w14:paraId="175126AB" w14:textId="0A9F0D75" w:rsidR="00F55422" w:rsidRDefault="00F55422" w:rsidP="00BB3E6B">
      <w:pPr>
        <w:pStyle w:val="CETBodytext"/>
        <w:spacing w:before="240" w:after="240"/>
      </w:pPr>
      <w:r>
        <w:rPr>
          <w:noProof/>
        </w:rPr>
        <w:lastRenderedPageBreak/>
        <w:drawing>
          <wp:inline distT="0" distB="0" distL="0" distR="0" wp14:anchorId="3E9BE8E9" wp14:editId="4CADD63E">
            <wp:extent cx="4467225" cy="1480215"/>
            <wp:effectExtent l="0" t="0" r="0" b="5715"/>
            <wp:docPr id="590785761" name="Immagine 1"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85761" name="Immagine 1" descr="Immagine che contiene testo, schermata, diagramma, Carattere&#10;&#10;Descrizione generata automaticamente"/>
                    <pic:cNvPicPr/>
                  </pic:nvPicPr>
                  <pic:blipFill rotWithShape="1">
                    <a:blip r:embed="rId10"/>
                    <a:srcRect t="6411"/>
                    <a:stretch/>
                  </pic:blipFill>
                  <pic:spPr bwMode="auto">
                    <a:xfrm>
                      <a:off x="0" y="0"/>
                      <a:ext cx="4534427" cy="1502482"/>
                    </a:xfrm>
                    <a:prstGeom prst="rect">
                      <a:avLst/>
                    </a:prstGeom>
                    <a:ln>
                      <a:noFill/>
                    </a:ln>
                    <a:extLst>
                      <a:ext uri="{53640926-AAD7-44D8-BBD7-CCE9431645EC}">
                        <a14:shadowObscured xmlns:a14="http://schemas.microsoft.com/office/drawing/2010/main"/>
                      </a:ext>
                    </a:extLst>
                  </pic:spPr>
                </pic:pic>
              </a:graphicData>
            </a:graphic>
          </wp:inline>
        </w:drawing>
      </w:r>
    </w:p>
    <w:p w14:paraId="7669F261" w14:textId="5D677924" w:rsidR="00F55422" w:rsidRPr="00BB3E6B" w:rsidRDefault="00F55422" w:rsidP="00BB3E6B">
      <w:pPr>
        <w:pStyle w:val="CETCaption"/>
      </w:pPr>
      <w:r w:rsidRPr="00BB3E6B">
        <w:t xml:space="preserve">Figure </w:t>
      </w:r>
      <w:r w:rsidR="009C3724" w:rsidRPr="00BB3E6B">
        <w:t>1</w:t>
      </w:r>
      <w:r w:rsidR="001C5FC1" w:rsidRPr="00BB3E6B">
        <w:t>:</w:t>
      </w:r>
      <w:r w:rsidRPr="00BB3E6B">
        <w:t xml:space="preserve"> Block diagram of the full-electric power plant</w:t>
      </w:r>
    </w:p>
    <w:p w14:paraId="32867F0A" w14:textId="4D817A9C" w:rsidR="00F10D01" w:rsidRDefault="00541F45" w:rsidP="00F56184">
      <w:pPr>
        <w:tabs>
          <w:tab w:val="clear" w:pos="7100"/>
        </w:tabs>
        <w:spacing w:line="240" w:lineRule="auto"/>
        <w:rPr>
          <w:lang w:val="en-US"/>
        </w:rPr>
      </w:pPr>
      <w:r w:rsidRPr="00541F45">
        <w:rPr>
          <w:lang w:val="en-US"/>
        </w:rPr>
        <w:t>According to the expected catamaran performances, the resulting power system will consist of 8 x PEMs (1600 kW), 2 x BPs (400 kWh), and 10 x H</w:t>
      </w:r>
      <w:r w:rsidRPr="00541F45">
        <w:rPr>
          <w:vertAlign w:val="subscript"/>
          <w:lang w:val="en-US"/>
        </w:rPr>
        <w:t>2</w:t>
      </w:r>
      <w:r w:rsidRPr="00541F45">
        <w:rPr>
          <w:lang w:val="en-US"/>
        </w:rPr>
        <w:t xml:space="preserve"> tanks (3</w:t>
      </w:r>
      <w:r w:rsidR="00EA7A2F">
        <w:rPr>
          <w:lang w:val="en-US"/>
        </w:rPr>
        <w:t>5</w:t>
      </w:r>
      <w:r w:rsidRPr="00541F45">
        <w:rPr>
          <w:lang w:val="en-US"/>
        </w:rPr>
        <w:t>2 kg of H</w:t>
      </w:r>
      <w:r w:rsidRPr="00541F45">
        <w:rPr>
          <w:vertAlign w:val="subscript"/>
          <w:lang w:val="en-US"/>
        </w:rPr>
        <w:t>2</w:t>
      </w:r>
      <w:r w:rsidRPr="00541F45">
        <w:rPr>
          <w:lang w:val="en-US"/>
        </w:rPr>
        <w:t>).</w:t>
      </w:r>
      <w:r w:rsidR="00463A13">
        <w:rPr>
          <w:lang w:val="en-US"/>
        </w:rPr>
        <w:t xml:space="preserve"> </w:t>
      </w:r>
      <w:r w:rsidR="00034D15" w:rsidRPr="00034D15">
        <w:rPr>
          <w:lang w:val="en-US"/>
        </w:rPr>
        <w:t>An average H</w:t>
      </w:r>
      <w:r w:rsidR="00034D15" w:rsidRPr="00034D15">
        <w:rPr>
          <w:vertAlign w:val="subscript"/>
          <w:lang w:val="en-US"/>
        </w:rPr>
        <w:t>2</w:t>
      </w:r>
      <w:r w:rsidR="00034D15" w:rsidRPr="00034D15">
        <w:rPr>
          <w:lang w:val="en-US"/>
        </w:rPr>
        <w:t xml:space="preserve"> consumption rate of about 7.5 kg/h is expected</w:t>
      </w:r>
      <w:r w:rsidR="00034D15">
        <w:rPr>
          <w:lang w:val="en-US"/>
        </w:rPr>
        <w:t xml:space="preserve">. </w:t>
      </w:r>
      <w:r w:rsidRPr="00541F45">
        <w:rPr>
          <w:lang w:val="en-US"/>
        </w:rPr>
        <w:t>These components of the power system will be arranged separately on board.</w:t>
      </w:r>
    </w:p>
    <w:p w14:paraId="1B1171D9" w14:textId="3686C065" w:rsidR="0063760E" w:rsidRDefault="00F56184" w:rsidP="00F56184">
      <w:pPr>
        <w:tabs>
          <w:tab w:val="clear" w:pos="7100"/>
        </w:tabs>
        <w:spacing w:line="240" w:lineRule="auto"/>
        <w:rPr>
          <w:lang w:val="en-US"/>
        </w:rPr>
      </w:pPr>
      <w:r w:rsidRPr="00F56184">
        <w:rPr>
          <w:lang w:val="en-US"/>
        </w:rPr>
        <w:t xml:space="preserve">The general arrangement for the vessel is provided in Figure </w:t>
      </w:r>
      <w:r w:rsidR="009C3724">
        <w:rPr>
          <w:lang w:val="en-US"/>
        </w:rPr>
        <w:t>2</w:t>
      </w:r>
      <w:r w:rsidRPr="00F56184">
        <w:rPr>
          <w:lang w:val="en-US"/>
        </w:rPr>
        <w:t>. The ferry has a single main deck, which is accessed via ramps on the portside and starboard side of the ship. The ship will be controlled from a centrally located bridge. Two propulsion units, within each demi-hull, provide propulsive power and maneuvering. One storage arrangement was considered for the fuel storage tanks: at the upper deck level aft.</w:t>
      </w:r>
      <w:r w:rsidR="00D9704C">
        <w:rPr>
          <w:lang w:val="en-US"/>
        </w:rPr>
        <w:t xml:space="preserve"> </w:t>
      </w:r>
      <w:r w:rsidRPr="00F56184">
        <w:rPr>
          <w:lang w:val="en-US"/>
        </w:rPr>
        <w:t xml:space="preserve">The </w:t>
      </w:r>
      <w:r>
        <w:rPr>
          <w:lang w:val="en-US"/>
        </w:rPr>
        <w:t>FC</w:t>
      </w:r>
      <w:r w:rsidRPr="00F56184">
        <w:rPr>
          <w:lang w:val="en-US"/>
        </w:rPr>
        <w:t xml:space="preserve"> are located within a dedicated space aft of the main deck. In case of loss, the power generated by the </w:t>
      </w:r>
      <w:r w:rsidR="00D9704C">
        <w:rPr>
          <w:lang w:val="en-US"/>
        </w:rPr>
        <w:t>FCs</w:t>
      </w:r>
      <w:r w:rsidRPr="00F56184">
        <w:rPr>
          <w:lang w:val="en-US"/>
        </w:rPr>
        <w:t xml:space="preserve"> is augmented or replaced by power from t</w:t>
      </w:r>
      <w:r w:rsidR="00D9704C">
        <w:rPr>
          <w:lang w:val="en-US"/>
        </w:rPr>
        <w:t>he</w:t>
      </w:r>
      <w:r w:rsidRPr="00F56184">
        <w:rPr>
          <w:lang w:val="en-US"/>
        </w:rPr>
        <w:t xml:space="preserve"> Li-ion batter</w:t>
      </w:r>
      <w:r w:rsidR="00D9704C">
        <w:rPr>
          <w:lang w:val="en-US"/>
        </w:rPr>
        <w:t>ies</w:t>
      </w:r>
      <w:r w:rsidRPr="00F56184">
        <w:rPr>
          <w:lang w:val="en-US"/>
        </w:rPr>
        <w:t xml:space="preserve">, which </w:t>
      </w:r>
      <w:r w:rsidR="00881C64" w:rsidRPr="00F56184">
        <w:rPr>
          <w:lang w:val="en-US"/>
        </w:rPr>
        <w:t>are in</w:t>
      </w:r>
      <w:r w:rsidRPr="00F56184">
        <w:rPr>
          <w:lang w:val="en-US"/>
        </w:rPr>
        <w:t xml:space="preserve"> two separate compartments within the demi-hull.</w:t>
      </w:r>
      <w:r w:rsidR="00D9704C">
        <w:rPr>
          <w:lang w:val="en-US"/>
        </w:rPr>
        <w:t xml:space="preserve"> </w:t>
      </w:r>
      <w:r w:rsidRPr="00F56184">
        <w:rPr>
          <w:lang w:val="en-US"/>
        </w:rPr>
        <w:t>All venting of H</w:t>
      </w:r>
      <w:r w:rsidRPr="00D9704C">
        <w:rPr>
          <w:vertAlign w:val="subscript"/>
          <w:lang w:val="en-US"/>
        </w:rPr>
        <w:t>2</w:t>
      </w:r>
      <w:r w:rsidRPr="00F56184">
        <w:rPr>
          <w:lang w:val="en-US"/>
        </w:rPr>
        <w:t xml:space="preserve"> is via the vent mast aft at the highest point on the ferry. There are two bunker stations on the port side, both on the open deck</w:t>
      </w:r>
      <w:r w:rsidR="0063760E" w:rsidRPr="00843990">
        <w:rPr>
          <w:lang w:val="en-US"/>
        </w:rPr>
        <w:t>.</w:t>
      </w:r>
    </w:p>
    <w:p w14:paraId="034F5C6F" w14:textId="23E064D2" w:rsidR="00D20471" w:rsidRPr="00843990" w:rsidRDefault="00D20471" w:rsidP="00BB3E6B">
      <w:pPr>
        <w:tabs>
          <w:tab w:val="clear" w:pos="7100"/>
        </w:tabs>
        <w:spacing w:before="240" w:after="240"/>
        <w:rPr>
          <w:lang w:val="en-US"/>
        </w:rPr>
      </w:pPr>
      <w:r>
        <w:rPr>
          <w:noProof/>
          <w:lang w:val="en-US"/>
        </w:rPr>
        <w:drawing>
          <wp:inline distT="0" distB="0" distL="0" distR="0" wp14:anchorId="728898DD" wp14:editId="43A30729">
            <wp:extent cx="4429851" cy="1997895"/>
            <wp:effectExtent l="0" t="0" r="8890" b="2540"/>
            <wp:docPr id="72695847" name="Immagine 1" descr="Immagine che contiene schermat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5847" name="Immagine 1" descr="Immagine che contiene schermata, diagramma, design&#10;&#10;Descrizione generata automaticamente"/>
                    <pic:cNvPicPr/>
                  </pic:nvPicPr>
                  <pic:blipFill>
                    <a:blip r:embed="rId11"/>
                    <a:stretch>
                      <a:fillRect/>
                    </a:stretch>
                  </pic:blipFill>
                  <pic:spPr>
                    <a:xfrm>
                      <a:off x="0" y="0"/>
                      <a:ext cx="4450006" cy="2006985"/>
                    </a:xfrm>
                    <a:prstGeom prst="rect">
                      <a:avLst/>
                    </a:prstGeom>
                  </pic:spPr>
                </pic:pic>
              </a:graphicData>
            </a:graphic>
          </wp:inline>
        </w:drawing>
      </w:r>
    </w:p>
    <w:p w14:paraId="7C1EA443" w14:textId="6D8130AA" w:rsidR="005F1BCA" w:rsidRPr="00BB3E6B" w:rsidRDefault="002C4456" w:rsidP="00BB3E6B">
      <w:pPr>
        <w:pStyle w:val="CETCaption"/>
      </w:pPr>
      <w:bookmarkStart w:id="1" w:name="_Hlk158050564"/>
      <w:r w:rsidRPr="001E0D7B">
        <w:t xml:space="preserve">Figure </w:t>
      </w:r>
      <w:r w:rsidR="009C3724">
        <w:t>2:</w:t>
      </w:r>
      <w:r w:rsidR="003C60FB">
        <w:t xml:space="preserve"> </w:t>
      </w:r>
      <w:r w:rsidR="005F1BCA">
        <w:t xml:space="preserve">3D rendering case study passenger ferry: </w:t>
      </w:r>
      <w:r w:rsidR="00122C63" w:rsidRPr="00122C63">
        <w:t>location of the main power train components</w:t>
      </w:r>
    </w:p>
    <w:bookmarkEnd w:id="1"/>
    <w:p w14:paraId="218EEC0F" w14:textId="0C354227" w:rsidR="00D93D2E" w:rsidRPr="00CE1CC6" w:rsidRDefault="00D93D2E" w:rsidP="00D93D2E">
      <w:pPr>
        <w:pStyle w:val="CETBodytext"/>
        <w:rPr>
          <w:lang w:val="en-GB"/>
        </w:rPr>
      </w:pPr>
      <w:r w:rsidRPr="00CE1CC6">
        <w:rPr>
          <w:lang w:val="en-GB"/>
        </w:rPr>
        <w:t xml:space="preserve">The ferry’s key dimensions are listed </w:t>
      </w:r>
      <w:r w:rsidR="00BC1E00" w:rsidRPr="00CE1CC6">
        <w:rPr>
          <w:lang w:val="en-GB"/>
        </w:rPr>
        <w:t xml:space="preserve">as follow. </w:t>
      </w:r>
      <w:r w:rsidRPr="00CE1CC6">
        <w:rPr>
          <w:lang w:val="en-GB"/>
        </w:rPr>
        <w:t>Length overall: 39 m</w:t>
      </w:r>
      <w:r w:rsidR="00BC1E00" w:rsidRPr="00CE1CC6">
        <w:rPr>
          <w:lang w:val="en-GB"/>
        </w:rPr>
        <w:t xml:space="preserve">; </w:t>
      </w:r>
      <w:r w:rsidR="00611F72">
        <w:rPr>
          <w:lang w:val="en-GB"/>
        </w:rPr>
        <w:t>l</w:t>
      </w:r>
      <w:r w:rsidRPr="00CE1CC6">
        <w:rPr>
          <w:lang w:val="en-GB"/>
        </w:rPr>
        <w:t>ength between perpendiculars: 29.6 m</w:t>
      </w:r>
      <w:r w:rsidR="00611F72">
        <w:rPr>
          <w:lang w:val="en-GB"/>
        </w:rPr>
        <w:t>;</w:t>
      </w:r>
      <w:r w:rsidR="00BC1E00" w:rsidRPr="00CE1CC6">
        <w:rPr>
          <w:lang w:val="en-GB"/>
        </w:rPr>
        <w:t xml:space="preserve"> </w:t>
      </w:r>
      <w:r w:rsidR="00611F72">
        <w:rPr>
          <w:lang w:val="en-GB"/>
        </w:rPr>
        <w:t>b</w:t>
      </w:r>
      <w:r w:rsidRPr="00CE1CC6">
        <w:rPr>
          <w:lang w:val="en-GB"/>
        </w:rPr>
        <w:t>readth (moulded): 10 m</w:t>
      </w:r>
      <w:r w:rsidR="00611F72">
        <w:rPr>
          <w:lang w:val="en-GB"/>
        </w:rPr>
        <w:t>;</w:t>
      </w:r>
      <w:r w:rsidR="00BC1E00" w:rsidRPr="00CE1CC6">
        <w:rPr>
          <w:lang w:val="en-GB"/>
        </w:rPr>
        <w:t xml:space="preserve"> </w:t>
      </w:r>
      <w:r w:rsidR="00611F72">
        <w:rPr>
          <w:lang w:val="en-GB"/>
        </w:rPr>
        <w:t>b</w:t>
      </w:r>
      <w:r w:rsidRPr="00CE1CC6">
        <w:rPr>
          <w:lang w:val="en-GB"/>
        </w:rPr>
        <w:t xml:space="preserve">readth (water line </w:t>
      </w:r>
      <w:r w:rsidR="00CE1CC6" w:rsidRPr="00CE1CC6">
        <w:rPr>
          <w:lang w:val="en-GB"/>
        </w:rPr>
        <w:t>demi hull</w:t>
      </w:r>
      <w:r w:rsidRPr="00CE1CC6">
        <w:rPr>
          <w:lang w:val="en-GB"/>
        </w:rPr>
        <w:t>): 2.6</w:t>
      </w:r>
      <w:r w:rsidR="00611F72">
        <w:rPr>
          <w:lang w:val="en-GB"/>
        </w:rPr>
        <w:t xml:space="preserve"> </w:t>
      </w:r>
      <w:r w:rsidRPr="00CE1CC6">
        <w:rPr>
          <w:lang w:val="en-GB"/>
        </w:rPr>
        <w:t>m</w:t>
      </w:r>
      <w:r w:rsidR="00611F72">
        <w:rPr>
          <w:lang w:val="en-GB"/>
        </w:rPr>
        <w:t>;</w:t>
      </w:r>
      <w:r w:rsidR="00BC1E00" w:rsidRPr="00CE1CC6">
        <w:rPr>
          <w:lang w:val="en-GB"/>
        </w:rPr>
        <w:t xml:space="preserve"> </w:t>
      </w:r>
      <w:r w:rsidR="00611F72">
        <w:rPr>
          <w:lang w:val="en-GB"/>
        </w:rPr>
        <w:t>d</w:t>
      </w:r>
      <w:r w:rsidRPr="00CE1CC6">
        <w:rPr>
          <w:lang w:val="en-GB"/>
        </w:rPr>
        <w:t>epth: 3.9 m</w:t>
      </w:r>
      <w:r w:rsidR="00611F72">
        <w:rPr>
          <w:lang w:val="en-GB"/>
        </w:rPr>
        <w:t>;</w:t>
      </w:r>
      <w:r w:rsidR="00BC1E00" w:rsidRPr="00CE1CC6">
        <w:rPr>
          <w:lang w:val="en-GB"/>
        </w:rPr>
        <w:t xml:space="preserve"> </w:t>
      </w:r>
      <w:r w:rsidR="00611F72">
        <w:rPr>
          <w:lang w:val="en-GB"/>
        </w:rPr>
        <w:t>d</w:t>
      </w:r>
      <w:r w:rsidRPr="00CE1CC6">
        <w:rPr>
          <w:lang w:val="en-GB"/>
        </w:rPr>
        <w:t>raught: 1.41 m</w:t>
      </w:r>
      <w:r w:rsidR="00611F72">
        <w:rPr>
          <w:lang w:val="en-GB"/>
        </w:rPr>
        <w:t>;</w:t>
      </w:r>
      <w:r w:rsidR="00BC1E00" w:rsidRPr="00CE1CC6">
        <w:rPr>
          <w:lang w:val="en-GB"/>
        </w:rPr>
        <w:t xml:space="preserve"> </w:t>
      </w:r>
      <w:r w:rsidR="00611F72">
        <w:rPr>
          <w:lang w:val="en-GB"/>
        </w:rPr>
        <w:t>a</w:t>
      </w:r>
      <w:r w:rsidRPr="00CE1CC6">
        <w:rPr>
          <w:lang w:val="en-GB"/>
        </w:rPr>
        <w:t xml:space="preserve">ir </w:t>
      </w:r>
      <w:r w:rsidR="00611F72">
        <w:rPr>
          <w:lang w:val="en-GB"/>
        </w:rPr>
        <w:t>d</w:t>
      </w:r>
      <w:r w:rsidRPr="00CE1CC6">
        <w:rPr>
          <w:lang w:val="en-GB"/>
        </w:rPr>
        <w:t>raught (top of vent mast): 25 m</w:t>
      </w:r>
      <w:r w:rsidR="00611F72">
        <w:rPr>
          <w:lang w:val="en-GB"/>
        </w:rPr>
        <w:t>;</w:t>
      </w:r>
      <w:r w:rsidR="00BC1E00" w:rsidRPr="00CE1CC6">
        <w:rPr>
          <w:lang w:val="en-GB"/>
        </w:rPr>
        <w:t xml:space="preserve"> </w:t>
      </w:r>
      <w:r w:rsidR="00611F72">
        <w:rPr>
          <w:lang w:val="en-GB"/>
        </w:rPr>
        <w:t>d</w:t>
      </w:r>
      <w:r w:rsidRPr="00CE1CC6">
        <w:rPr>
          <w:lang w:val="en-GB"/>
        </w:rPr>
        <w:t>isplacement: 125 t</w:t>
      </w:r>
      <w:r w:rsidR="00611F72">
        <w:rPr>
          <w:lang w:val="en-GB"/>
        </w:rPr>
        <w:t>;</w:t>
      </w:r>
      <w:r w:rsidR="00BC1E00" w:rsidRPr="00CE1CC6">
        <w:rPr>
          <w:lang w:val="en-GB"/>
        </w:rPr>
        <w:t xml:space="preserve"> </w:t>
      </w:r>
      <w:r w:rsidR="00611F72">
        <w:rPr>
          <w:lang w:val="en-GB"/>
        </w:rPr>
        <w:t>m</w:t>
      </w:r>
      <w:r w:rsidRPr="00CE1CC6">
        <w:rPr>
          <w:lang w:val="en-GB"/>
        </w:rPr>
        <w:t xml:space="preserve">aterial </w:t>
      </w:r>
      <w:r w:rsidR="00CE1CC6" w:rsidRPr="00CE1CC6">
        <w:rPr>
          <w:lang w:val="en-GB"/>
        </w:rPr>
        <w:t>aluminium</w:t>
      </w:r>
      <w:r w:rsidR="00296F8B">
        <w:rPr>
          <w:lang w:val="en-GB"/>
        </w:rPr>
        <w:t>:</w:t>
      </w:r>
      <w:r w:rsidRPr="00CE1CC6">
        <w:rPr>
          <w:lang w:val="en-GB"/>
        </w:rPr>
        <w:t xml:space="preserve"> 5083-H111</w:t>
      </w:r>
      <w:r w:rsidR="00CB2BFC">
        <w:rPr>
          <w:lang w:val="en-GB"/>
        </w:rPr>
        <w:t xml:space="preserve"> </w:t>
      </w:r>
      <w:r w:rsidR="006B1ABD">
        <w:rPr>
          <w:lang w:val="en-GB"/>
        </w:rPr>
        <w:t>(</w:t>
      </w:r>
      <w:r w:rsidR="00CB2BFC">
        <w:rPr>
          <w:lang w:val="en-GB"/>
        </w:rPr>
        <w:t>Coppola T. e al 2023</w:t>
      </w:r>
      <w:r w:rsidR="006B1ABD">
        <w:rPr>
          <w:lang w:val="en-GB"/>
        </w:rPr>
        <w:t>)</w:t>
      </w:r>
      <w:r w:rsidR="00CB2BFC">
        <w:rPr>
          <w:lang w:val="en-GB"/>
        </w:rPr>
        <w:t>.</w:t>
      </w:r>
    </w:p>
    <w:p w14:paraId="12566447" w14:textId="1580E08B" w:rsidR="00A50828" w:rsidRPr="00A50828" w:rsidRDefault="00A50828" w:rsidP="00A50828">
      <w:pPr>
        <w:pStyle w:val="CETHeading1"/>
      </w:pPr>
      <w:r w:rsidRPr="00A50828">
        <w:t xml:space="preserve">Risk </w:t>
      </w:r>
      <w:r w:rsidR="00A66B2D">
        <w:t>a</w:t>
      </w:r>
      <w:r w:rsidRPr="00A50828">
        <w:t xml:space="preserve">ssessment </w:t>
      </w:r>
      <w:r w:rsidR="00A66B2D">
        <w:t>u</w:t>
      </w:r>
      <w:r w:rsidRPr="00A50828">
        <w:t xml:space="preserve">sing </w:t>
      </w:r>
      <w:r w:rsidR="00A66B2D">
        <w:t>h</w:t>
      </w:r>
      <w:r w:rsidRPr="00A50828">
        <w:t xml:space="preserve">ydrogen as </w:t>
      </w:r>
      <w:r w:rsidR="00A66B2D">
        <w:t>m</w:t>
      </w:r>
      <w:r w:rsidRPr="00A50828">
        <w:t xml:space="preserve">arine </w:t>
      </w:r>
      <w:r w:rsidR="00A66B2D">
        <w:t>f</w:t>
      </w:r>
      <w:r w:rsidRPr="00A50828">
        <w:t>uel in</w:t>
      </w:r>
      <w:r w:rsidR="00A66B2D">
        <w:t xml:space="preserve"> the</w:t>
      </w:r>
      <w:r w:rsidRPr="00A50828">
        <w:t xml:space="preserve"> </w:t>
      </w:r>
      <w:r>
        <w:t>catamaran</w:t>
      </w:r>
      <w:r w:rsidRPr="00A50828">
        <w:t xml:space="preserve"> </w:t>
      </w:r>
      <w:proofErr w:type="gramStart"/>
      <w:r>
        <w:t>ferry</w:t>
      </w:r>
      <w:proofErr w:type="gramEnd"/>
    </w:p>
    <w:p w14:paraId="72601862" w14:textId="77777777" w:rsidR="006618A9" w:rsidRDefault="006618A9" w:rsidP="006618A9">
      <w:pPr>
        <w:pStyle w:val="CETBodytext"/>
      </w:pPr>
      <w:r>
        <w:t>Major concerns related to hydrogen as a marine fuel are related to hydrogen’s flammability range, leakage, flame speed and detonation/deflagration issues. These issues require specific studies to understand the risks and additional safeguards that will need to be implemented to prevent or mitigate the major hazards.</w:t>
      </w:r>
    </w:p>
    <w:p w14:paraId="6B9450E0" w14:textId="77777777" w:rsidR="006618A9" w:rsidRDefault="006618A9" w:rsidP="006618A9">
      <w:pPr>
        <w:pStyle w:val="CETBodytext"/>
      </w:pPr>
      <w:r>
        <w:t xml:space="preserve">Gaseous hydrogen is a non-toxic, non-corrosive, highly flammable and explosive gas with wide flammability limits, low minimum ignition energy, a fast-burning velocity and burns with a nearly invisible flame. It is colourless, odourless, tasteless and asphyxiant. </w:t>
      </w:r>
    </w:p>
    <w:p w14:paraId="33EF8328" w14:textId="77777777" w:rsidR="006618A9" w:rsidRDefault="006618A9" w:rsidP="006618A9">
      <w:pPr>
        <w:pStyle w:val="CETBodytext"/>
      </w:pPr>
      <w:r>
        <w:t>The HAZID studies identified preventive and mitigative safeguards and recommendations for various ship types.</w:t>
      </w:r>
    </w:p>
    <w:p w14:paraId="06877106" w14:textId="77777777" w:rsidR="006618A9" w:rsidRDefault="006618A9" w:rsidP="006618A9">
      <w:pPr>
        <w:pStyle w:val="CETBodytext"/>
      </w:pPr>
      <w:r>
        <w:t>While some safeguards stemmed from the IGF Code for methane as marine fuel, many of these safeguards are not found in the Code and are considered additional due to the inherent risks of hydrogen.</w:t>
      </w:r>
    </w:p>
    <w:p w14:paraId="15079E57" w14:textId="77777777" w:rsidR="006618A9" w:rsidRDefault="006618A9" w:rsidP="006618A9">
      <w:pPr>
        <w:pStyle w:val="CETBodytext"/>
      </w:pPr>
      <w:r>
        <w:t>It must be noted that not all safeguards and recommendations listed in HAZID registers will apply to all ship types. Some are practical and of benefit, but others may require a further investigation of their merit.</w:t>
      </w:r>
    </w:p>
    <w:p w14:paraId="5BBFB372" w14:textId="60523B0E" w:rsidR="006618A9" w:rsidRDefault="006618A9" w:rsidP="006618A9">
      <w:pPr>
        <w:pStyle w:val="CETBodytext"/>
      </w:pPr>
      <w:r>
        <w:lastRenderedPageBreak/>
        <w:t>However, they are all listed for consideration and may help to inform prescriptive requirements and develop inherently safer designs and arrangements. Importantly, the additional safeguards and recommendations will contribute to further risk reduction.</w:t>
      </w:r>
    </w:p>
    <w:p w14:paraId="0E5E8D58" w14:textId="4D27279B" w:rsidR="00273A59" w:rsidRDefault="00273A59" w:rsidP="00A34EE3">
      <w:pPr>
        <w:pStyle w:val="CETBodytext"/>
      </w:pPr>
      <w:r>
        <w:t xml:space="preserve">To ensure the safety of </w:t>
      </w:r>
      <w:r w:rsidR="00591550">
        <w:t>FC</w:t>
      </w:r>
      <w:r>
        <w:t xml:space="preserve"> power installations and fuel storage arrangements, </w:t>
      </w:r>
      <w:r w:rsidR="0066005F">
        <w:t xml:space="preserve">we have taken </w:t>
      </w:r>
      <w:r>
        <w:t>great care to identify potentially hazardous areas</w:t>
      </w:r>
      <w:r w:rsidR="0055121D" w:rsidRPr="0055121D">
        <w:t xml:space="preserve"> </w:t>
      </w:r>
      <w:r w:rsidR="0055121D">
        <w:t>have taken</w:t>
      </w:r>
      <w:r>
        <w:t>, following the guidelines set out in MSC.1/Circ. 1647, the IGF Code, and DNV-RU-SHIP Pt.6 Ch.2</w:t>
      </w:r>
      <w:r w:rsidR="005456C5">
        <w:t xml:space="preserve"> </w:t>
      </w:r>
      <w:r w:rsidR="00A74D54">
        <w:t>(</w:t>
      </w:r>
      <w:r w:rsidR="005456C5" w:rsidRPr="00210868">
        <w:rPr>
          <w:lang w:val="en-GB"/>
        </w:rPr>
        <w:t>Laursen, R.</w:t>
      </w:r>
      <w:r w:rsidR="005456C5">
        <w:rPr>
          <w:lang w:val="en-GB"/>
        </w:rPr>
        <w:t xml:space="preserve"> et al. 2023</w:t>
      </w:r>
      <w:r w:rsidR="00A74D54">
        <w:rPr>
          <w:lang w:val="en-GB"/>
        </w:rPr>
        <w:t>)</w:t>
      </w:r>
      <w:r w:rsidR="005456C5">
        <w:rPr>
          <w:lang w:val="en-GB"/>
        </w:rPr>
        <w:t>.</w:t>
      </w:r>
      <w:r w:rsidR="0055121D">
        <w:t xml:space="preserve"> </w:t>
      </w:r>
      <w:r w:rsidR="0066005F">
        <w:t>During the concept phase, we made several design choices to minimize the risk of accidents or damage</w:t>
      </w:r>
      <w:r w:rsidR="00F84307">
        <w:t xml:space="preserve">, </w:t>
      </w:r>
      <w:r w:rsidR="00A74D54">
        <w:t>(</w:t>
      </w:r>
      <w:r w:rsidR="00F84307">
        <w:t>Captain Joe Burgard Red and Joe Pratt, 2017</w:t>
      </w:r>
      <w:r w:rsidR="002C54FA">
        <w:t>)</w:t>
      </w:r>
      <w:r>
        <w:t xml:space="preserve">. These included placing compressed fuel vessels at least B/5 distance from the ship's side on an open </w:t>
      </w:r>
      <w:r w:rsidR="005726BD">
        <w:t>deck and</w:t>
      </w:r>
      <w:r>
        <w:t xml:space="preserve"> arranging the </w:t>
      </w:r>
      <w:r w:rsidR="00591550">
        <w:t>FC</w:t>
      </w:r>
      <w:r>
        <w:t xml:space="preserve"> power installation in a ventilated enclosed space, with direct access from an open deck.</w:t>
      </w:r>
      <w:r w:rsidR="008E5C57">
        <w:t xml:space="preserve"> </w:t>
      </w:r>
      <w:r>
        <w:t xml:space="preserve">We also made sure to create a venting mast for fuel release, which serves the </w:t>
      </w:r>
      <w:r w:rsidR="00591550">
        <w:t>FC</w:t>
      </w:r>
      <w:r>
        <w:t xml:space="preserve"> space and tank connection room. In addition, great attention was paid to the safe locations of air inlets and outlets openings, ensuring that battery packs were segregated into two ventilated compartments placed in each hull. These compartments feature ventilation openings facing the open air on the upper deck, ensuring any unintended sea water ingress during a slamming event is avoided.</w:t>
      </w:r>
    </w:p>
    <w:p w14:paraId="7BD7AD56" w14:textId="378773A7" w:rsidR="002C4456" w:rsidRDefault="00273A59" w:rsidP="00A34EE3">
      <w:pPr>
        <w:pStyle w:val="CETBodytext"/>
      </w:pPr>
      <w:r>
        <w:t>Figure</w:t>
      </w:r>
      <w:r w:rsidR="004E66BE">
        <w:t xml:space="preserve"> </w:t>
      </w:r>
      <w:r w:rsidR="00C0062E">
        <w:t>3</w:t>
      </w:r>
      <w:r w:rsidR="004E66BE">
        <w:t xml:space="preserve"> </w:t>
      </w:r>
      <w:r w:rsidR="00D6485D">
        <w:t>highlights</w:t>
      </w:r>
      <w:r>
        <w:t xml:space="preserve"> the identified hazard zones. Overall, our approach prioritizes safety and responsible design, ensuring that our </w:t>
      </w:r>
      <w:r w:rsidR="00591550">
        <w:t>FC</w:t>
      </w:r>
      <w:r>
        <w:t xml:space="preserve"> power installations and fuel storage arrangements meet the highest standards of safety and precision.</w:t>
      </w:r>
      <w:r w:rsidR="00AC2E65">
        <w:t xml:space="preserve"> </w:t>
      </w:r>
      <w:r w:rsidR="00AC2E65" w:rsidRPr="00AC2E65">
        <w:t>With this</w:t>
      </w:r>
      <w:r w:rsidR="008E5C57">
        <w:t xml:space="preserve"> </w:t>
      </w:r>
      <w:r w:rsidR="00AC2E65" w:rsidRPr="00AC2E65">
        <w:t>innovative system, we can easily identify and prevent potential dangers, ensuring a safe and comfortable journey for all passengers onboard</w:t>
      </w:r>
      <w:r w:rsidR="00AC2E65">
        <w:t>.</w:t>
      </w:r>
    </w:p>
    <w:p w14:paraId="4F6D07D0" w14:textId="3AE949FB" w:rsidR="009C3724" w:rsidRDefault="00695035" w:rsidP="009C3724">
      <w:pPr>
        <w:pStyle w:val="CETCaption"/>
        <w:rPr>
          <w:noProof/>
        </w:rPr>
      </w:pPr>
      <w:bookmarkStart w:id="2" w:name="_Hlk158050796"/>
      <w:r>
        <w:rPr>
          <w:noProof/>
        </w:rPr>
        <w:drawing>
          <wp:inline distT="0" distB="0" distL="0" distR="0" wp14:anchorId="22C7E339" wp14:editId="70EB0299">
            <wp:extent cx="4049182" cy="2336419"/>
            <wp:effectExtent l="0" t="0" r="8890" b="6985"/>
            <wp:docPr id="1802476446" name="Immagine 2" descr="Immagine che contiene testo, schermat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76446" name="Immagine 2" descr="Immagine che contiene testo, schermata, diagramma, design&#10;&#10;Descrizione generata automaticamente"/>
                    <pic:cNvPicPr/>
                  </pic:nvPicPr>
                  <pic:blipFill>
                    <a:blip r:embed="rId12"/>
                    <a:stretch>
                      <a:fillRect/>
                    </a:stretch>
                  </pic:blipFill>
                  <pic:spPr>
                    <a:xfrm>
                      <a:off x="0" y="0"/>
                      <a:ext cx="4059225" cy="2342214"/>
                    </a:xfrm>
                    <a:prstGeom prst="rect">
                      <a:avLst/>
                    </a:prstGeom>
                  </pic:spPr>
                </pic:pic>
              </a:graphicData>
            </a:graphic>
          </wp:inline>
        </w:drawing>
      </w:r>
    </w:p>
    <w:p w14:paraId="24D18B29" w14:textId="538C5B45" w:rsidR="004E66BE" w:rsidRPr="001E0D7B" w:rsidRDefault="004E66BE" w:rsidP="009C3724">
      <w:pPr>
        <w:pStyle w:val="CETCaption"/>
      </w:pPr>
      <w:r w:rsidRPr="001E0D7B">
        <w:t xml:space="preserve">Figure </w:t>
      </w:r>
      <w:r w:rsidR="007F7993">
        <w:t>3:</w:t>
      </w:r>
      <w:r w:rsidRPr="001E0D7B">
        <w:t xml:space="preserve"> </w:t>
      </w:r>
      <w:r>
        <w:t>3D rendering case study passenger ferry: hazard area identification</w:t>
      </w:r>
    </w:p>
    <w:bookmarkEnd w:id="2"/>
    <w:p w14:paraId="1DE077B6" w14:textId="4DC02F5F" w:rsidR="0056210F" w:rsidRPr="0056210F" w:rsidRDefault="00FE60EB" w:rsidP="0056210F">
      <w:pPr>
        <w:tabs>
          <w:tab w:val="clear" w:pos="7100"/>
        </w:tabs>
        <w:autoSpaceDE w:val="0"/>
        <w:autoSpaceDN w:val="0"/>
        <w:adjustRightInd w:val="0"/>
        <w:spacing w:line="240" w:lineRule="auto"/>
        <w:rPr>
          <w:rFonts w:eastAsia="Calibri" w:cs="Arial"/>
          <w:color w:val="000000"/>
          <w:szCs w:val="18"/>
          <w:lang w:val="en-US"/>
          <w14:ligatures w14:val="standardContextual"/>
        </w:rPr>
      </w:pPr>
      <w:r w:rsidRPr="00FE60EB">
        <w:rPr>
          <w:rFonts w:eastAsia="Calibri" w:cs="Arial"/>
          <w:color w:val="000000"/>
          <w:szCs w:val="18"/>
          <w:lang w:val="en-US"/>
          <w14:ligatures w14:val="standardContextual"/>
        </w:rPr>
        <w:t xml:space="preserve">The vessel </w:t>
      </w:r>
      <w:r w:rsidR="004B272A">
        <w:rPr>
          <w:rFonts w:eastAsia="Calibri" w:cs="Arial"/>
          <w:color w:val="000000"/>
          <w:szCs w:val="18"/>
          <w:lang w:val="en-US"/>
          <w14:ligatures w14:val="standardContextual"/>
        </w:rPr>
        <w:t>is</w:t>
      </w:r>
      <w:r w:rsidRPr="00FE60EB">
        <w:rPr>
          <w:rFonts w:eastAsia="Calibri" w:cs="Arial"/>
          <w:color w:val="000000"/>
          <w:szCs w:val="18"/>
          <w:lang w:val="en-US"/>
          <w14:ligatures w14:val="standardContextual"/>
        </w:rPr>
        <w:t xml:space="preserve"> designed in compliance with class and statutory regulations.</w:t>
      </w:r>
      <w:r w:rsidR="0074307E">
        <w:rPr>
          <w:rFonts w:eastAsia="Calibri" w:cs="Arial"/>
          <w:color w:val="000000"/>
          <w:szCs w:val="18"/>
          <w:lang w:val="en-US"/>
          <w14:ligatures w14:val="standardContextual"/>
        </w:rPr>
        <w:t xml:space="preserve"> </w:t>
      </w:r>
      <w:r w:rsidR="0074307E" w:rsidRPr="0074307E">
        <w:rPr>
          <w:rFonts w:eastAsia="Calibri" w:cs="Arial"/>
          <w:color w:val="000000"/>
          <w:szCs w:val="18"/>
          <w:lang w:val="en-US"/>
          <w14:ligatures w14:val="standardContextual"/>
        </w:rPr>
        <w:t xml:space="preserve">Bunkering of </w:t>
      </w:r>
      <w:r w:rsidR="00F06925">
        <w:rPr>
          <w:rFonts w:eastAsia="Calibri" w:cs="Arial"/>
          <w:color w:val="000000"/>
          <w:szCs w:val="18"/>
          <w:lang w:val="en-US"/>
          <w14:ligatures w14:val="standardContextual"/>
        </w:rPr>
        <w:t>H</w:t>
      </w:r>
      <w:r w:rsidR="00F06925" w:rsidRPr="00431778">
        <w:rPr>
          <w:rFonts w:eastAsia="Calibri" w:cs="Arial"/>
          <w:color w:val="000000"/>
          <w:szCs w:val="18"/>
          <w:vertAlign w:val="subscript"/>
          <w:lang w:val="en-US"/>
          <w14:ligatures w14:val="standardContextual"/>
        </w:rPr>
        <w:t>2</w:t>
      </w:r>
      <w:r w:rsidR="0074307E" w:rsidRPr="0074307E">
        <w:rPr>
          <w:rFonts w:eastAsia="Calibri" w:cs="Arial"/>
          <w:color w:val="000000"/>
          <w:szCs w:val="18"/>
          <w:lang w:val="en-US"/>
          <w14:ligatures w14:val="standardContextual"/>
        </w:rPr>
        <w:t xml:space="preserve"> fuel will </w:t>
      </w:r>
      <w:r w:rsidR="0056210F" w:rsidRPr="0056210F">
        <w:rPr>
          <w:rFonts w:eastAsia="Calibri" w:cs="Arial"/>
          <w:color w:val="000000"/>
          <w:szCs w:val="18"/>
          <w:lang w:val="en-US"/>
          <w14:ligatures w14:val="standardContextual"/>
        </w:rPr>
        <w:t xml:space="preserve">occur using hoses at the bunker terminal and </w:t>
      </w:r>
      <w:r w:rsidR="0074307E" w:rsidRPr="0074307E">
        <w:rPr>
          <w:rFonts w:eastAsia="Calibri" w:cs="Arial"/>
          <w:color w:val="000000"/>
          <w:szCs w:val="18"/>
          <w:lang w:val="en-US"/>
          <w14:ligatures w14:val="standardContextual"/>
        </w:rPr>
        <w:t xml:space="preserve">only during </w:t>
      </w:r>
      <w:r w:rsidR="0056210F" w:rsidRPr="0056210F">
        <w:rPr>
          <w:rFonts w:eastAsia="Calibri" w:cs="Arial"/>
          <w:color w:val="000000"/>
          <w:szCs w:val="18"/>
          <w:lang w:val="en-US"/>
          <w14:ligatures w14:val="standardContextual"/>
        </w:rPr>
        <w:t>nighttime</w:t>
      </w:r>
      <w:r w:rsidR="0074307E" w:rsidRPr="0074307E">
        <w:rPr>
          <w:rFonts w:eastAsia="Calibri" w:cs="Arial"/>
          <w:color w:val="000000"/>
          <w:szCs w:val="18"/>
          <w:lang w:val="en-US"/>
          <w14:ligatures w14:val="standardContextual"/>
        </w:rPr>
        <w:t xml:space="preserve"> hours or when there are no passengers on board. </w:t>
      </w:r>
      <w:r w:rsidR="0056210F" w:rsidRPr="0056210F">
        <w:rPr>
          <w:rFonts w:eastAsia="Calibri" w:cs="Arial"/>
          <w:color w:val="000000"/>
          <w:szCs w:val="18"/>
          <w:lang w:val="en-US"/>
          <w14:ligatures w14:val="standardContextual"/>
        </w:rPr>
        <w:t>A single pipeline</w:t>
      </w:r>
      <w:r w:rsidR="0074307E" w:rsidRPr="0074307E">
        <w:rPr>
          <w:rFonts w:eastAsia="Calibri" w:cs="Arial"/>
          <w:color w:val="000000"/>
          <w:szCs w:val="18"/>
          <w:lang w:val="en-US"/>
          <w14:ligatures w14:val="standardContextual"/>
        </w:rPr>
        <w:t xml:space="preserve"> is designated for the loading of high-pressure H</w:t>
      </w:r>
      <w:r w:rsidR="0074307E" w:rsidRPr="00431778">
        <w:rPr>
          <w:rFonts w:eastAsia="Calibri" w:cs="Arial"/>
          <w:color w:val="000000"/>
          <w:szCs w:val="18"/>
          <w:vertAlign w:val="subscript"/>
          <w:lang w:val="en-US"/>
          <w14:ligatures w14:val="standardContextual"/>
        </w:rPr>
        <w:t>2</w:t>
      </w:r>
      <w:r w:rsidR="0056210F" w:rsidRPr="0056210F">
        <w:rPr>
          <w:rFonts w:eastAsia="Calibri" w:cs="Arial"/>
          <w:color w:val="000000"/>
          <w:szCs w:val="18"/>
          <w:lang w:val="en-US"/>
          <w14:ligatures w14:val="standardContextual"/>
        </w:rPr>
        <w:t xml:space="preserve"> for tank refilling, while from the tanks to the FC system, the H</w:t>
      </w:r>
      <w:r w:rsidR="0056210F" w:rsidRPr="00431778">
        <w:rPr>
          <w:rFonts w:eastAsia="Calibri" w:cs="Arial"/>
          <w:color w:val="000000"/>
          <w:szCs w:val="18"/>
          <w:vertAlign w:val="subscript"/>
          <w:lang w:val="en-US"/>
          <w14:ligatures w14:val="standardContextual"/>
        </w:rPr>
        <w:t>2</w:t>
      </w:r>
      <w:r w:rsidR="0074307E" w:rsidRPr="0074307E">
        <w:rPr>
          <w:rFonts w:eastAsia="Calibri" w:cs="Arial"/>
          <w:color w:val="000000"/>
          <w:szCs w:val="18"/>
          <w:lang w:val="en-US"/>
          <w14:ligatures w14:val="standardContextual"/>
        </w:rPr>
        <w:t xml:space="preserve"> will maintain a consistent pressure of 20 bar</w:t>
      </w:r>
      <w:r w:rsidR="0056210F" w:rsidRPr="0056210F">
        <w:rPr>
          <w:rFonts w:eastAsia="Calibri" w:cs="Arial"/>
          <w:color w:val="000000"/>
          <w:szCs w:val="18"/>
          <w:lang w:val="en-US"/>
          <w14:ligatures w14:val="standardContextual"/>
        </w:rPr>
        <w:t>.</w:t>
      </w:r>
      <w:r w:rsidR="0074307E" w:rsidRPr="0074307E">
        <w:rPr>
          <w:rFonts w:eastAsia="Calibri" w:cs="Arial"/>
          <w:color w:val="000000"/>
          <w:szCs w:val="18"/>
          <w:lang w:val="en-US"/>
          <w14:ligatures w14:val="standardContextual"/>
        </w:rPr>
        <w:t xml:space="preserve"> Any high-pressure piping must remain on the exposed deck and accessible from stations located outside the enclosed space. Enclosed space hydrogen piping must be double-walled, whereas single-walled piping can be employed on the exposed deck.</w:t>
      </w:r>
    </w:p>
    <w:p w14:paraId="17F70E26" w14:textId="3D043BB8" w:rsidR="0056210F" w:rsidRDefault="0056210F" w:rsidP="0056210F">
      <w:pPr>
        <w:tabs>
          <w:tab w:val="clear" w:pos="7100"/>
        </w:tabs>
        <w:autoSpaceDE w:val="0"/>
        <w:autoSpaceDN w:val="0"/>
        <w:adjustRightInd w:val="0"/>
        <w:spacing w:line="240" w:lineRule="auto"/>
        <w:rPr>
          <w:rFonts w:eastAsia="Calibri" w:cs="Arial"/>
          <w:color w:val="000000"/>
          <w:szCs w:val="18"/>
          <w:lang w:val="en-US"/>
          <w14:ligatures w14:val="standardContextual"/>
        </w:rPr>
      </w:pPr>
      <w:r w:rsidRPr="0056210F">
        <w:rPr>
          <w:rFonts w:eastAsia="Calibri" w:cs="Arial"/>
          <w:color w:val="000000"/>
          <w:szCs w:val="18"/>
          <w:lang w:val="en-US"/>
          <w14:ligatures w14:val="standardContextual"/>
        </w:rPr>
        <w:t>Fuel</w:t>
      </w:r>
      <w:r w:rsidR="0074307E" w:rsidRPr="0074307E">
        <w:rPr>
          <w:rFonts w:eastAsia="Calibri" w:cs="Arial"/>
          <w:color w:val="000000"/>
          <w:szCs w:val="18"/>
          <w:lang w:val="en-US"/>
          <w14:ligatures w14:val="standardContextual"/>
        </w:rPr>
        <w:t xml:space="preserve"> storage, preparation, supply, and venting will comply with the standards of the IMO IGF Code, </w:t>
      </w:r>
      <w:r w:rsidR="006B2E74" w:rsidRPr="0074307E">
        <w:rPr>
          <w:rFonts w:eastAsia="Calibri" w:cs="Arial"/>
          <w:color w:val="000000"/>
          <w:szCs w:val="18"/>
          <w:lang w:val="en-US"/>
          <w14:ligatures w14:val="standardContextual"/>
        </w:rPr>
        <w:t>except for</w:t>
      </w:r>
      <w:r w:rsidR="0074307E" w:rsidRPr="0074307E">
        <w:rPr>
          <w:rFonts w:eastAsia="Calibri" w:cs="Arial"/>
          <w:color w:val="000000"/>
          <w:szCs w:val="18"/>
          <w:lang w:val="en-US"/>
          <w14:ligatures w14:val="standardContextual"/>
        </w:rPr>
        <w:t xml:space="preserve"> cases in which H</w:t>
      </w:r>
      <w:r w:rsidR="0074307E" w:rsidRPr="00431778">
        <w:rPr>
          <w:rFonts w:eastAsia="Calibri" w:cs="Arial"/>
          <w:color w:val="000000"/>
          <w:szCs w:val="18"/>
          <w:vertAlign w:val="subscript"/>
          <w:lang w:val="en-US"/>
          <w14:ligatures w14:val="standardContextual"/>
        </w:rPr>
        <w:t>2</w:t>
      </w:r>
      <w:r w:rsidR="0074307E" w:rsidRPr="0074307E">
        <w:rPr>
          <w:rFonts w:eastAsia="Calibri" w:cs="Arial"/>
          <w:color w:val="000000"/>
          <w:szCs w:val="18"/>
          <w:lang w:val="en-US"/>
          <w14:ligatures w14:val="standardContextual"/>
        </w:rPr>
        <w:t xml:space="preserve"> usage differs. The H</w:t>
      </w:r>
      <w:r w:rsidR="0074307E" w:rsidRPr="00431778">
        <w:rPr>
          <w:rFonts w:eastAsia="Calibri" w:cs="Arial"/>
          <w:color w:val="000000"/>
          <w:szCs w:val="18"/>
          <w:vertAlign w:val="subscript"/>
          <w:lang w:val="en-US"/>
          <w14:ligatures w14:val="standardContextual"/>
        </w:rPr>
        <w:t>2</w:t>
      </w:r>
      <w:r w:rsidR="0074307E" w:rsidRPr="0074307E">
        <w:rPr>
          <w:rFonts w:eastAsia="Calibri" w:cs="Arial"/>
          <w:color w:val="000000"/>
          <w:szCs w:val="18"/>
          <w:lang w:val="en-US"/>
          <w14:ligatures w14:val="standardContextual"/>
        </w:rPr>
        <w:t xml:space="preserve"> fuel system will aim to avoid atmospheric release during operational conditions. However, releases may occur during </w:t>
      </w:r>
      <w:r w:rsidRPr="0056210F">
        <w:rPr>
          <w:rFonts w:eastAsia="Calibri" w:cs="Arial"/>
          <w:color w:val="000000"/>
          <w:szCs w:val="18"/>
          <w:lang w:val="en-US"/>
          <w14:ligatures w14:val="standardContextual"/>
        </w:rPr>
        <w:t>emergencies.</w:t>
      </w:r>
      <w:r w:rsidR="0074307E" w:rsidRPr="0074307E">
        <w:rPr>
          <w:rFonts w:eastAsia="Calibri" w:cs="Arial"/>
          <w:color w:val="000000"/>
          <w:szCs w:val="18"/>
          <w:lang w:val="en-US"/>
          <w14:ligatures w14:val="standardContextual"/>
        </w:rPr>
        <w:t xml:space="preserve"> Relief valves will follow compliance according to the IGF Code and DNV Rules; the vent mast will be located at a single point</w:t>
      </w:r>
      <w:r w:rsidRPr="0056210F">
        <w:rPr>
          <w:rFonts w:eastAsia="Calibri" w:cs="Arial"/>
          <w:color w:val="000000"/>
          <w:szCs w:val="18"/>
          <w:lang w:val="en-US"/>
          <w14:ligatures w14:val="standardContextual"/>
        </w:rPr>
        <w:t>,</w:t>
      </w:r>
      <w:r w:rsidR="0074307E" w:rsidRPr="0074307E">
        <w:rPr>
          <w:rFonts w:eastAsia="Calibri" w:cs="Arial"/>
          <w:color w:val="000000"/>
          <w:szCs w:val="18"/>
          <w:lang w:val="en-US"/>
          <w14:ligatures w14:val="standardContextual"/>
        </w:rPr>
        <w:t xml:space="preserve"> taking into consideration variables such as high-flow, high-pressure, and low-pressure during vented releases. In instances of gas shutdowns, the fuel lines will be purged using either nitrogen or helium. </w:t>
      </w:r>
    </w:p>
    <w:p w14:paraId="16BD2FA3" w14:textId="08E017A0" w:rsidR="00FE60EB" w:rsidRPr="00FE60EB" w:rsidRDefault="0074307E" w:rsidP="0074307E">
      <w:pPr>
        <w:tabs>
          <w:tab w:val="clear" w:pos="7100"/>
        </w:tabs>
        <w:autoSpaceDE w:val="0"/>
        <w:autoSpaceDN w:val="0"/>
        <w:adjustRightInd w:val="0"/>
        <w:spacing w:line="240" w:lineRule="auto"/>
        <w:rPr>
          <w:rFonts w:eastAsia="Calibri" w:cs="Arial"/>
          <w:color w:val="000000"/>
          <w:szCs w:val="18"/>
          <w:lang w:val="en-US"/>
          <w14:ligatures w14:val="standardContextual"/>
        </w:rPr>
      </w:pPr>
      <w:r w:rsidRPr="0074307E">
        <w:rPr>
          <w:rFonts w:eastAsia="Calibri" w:cs="Arial"/>
          <w:color w:val="000000"/>
          <w:szCs w:val="18"/>
          <w:lang w:val="en-US"/>
          <w14:ligatures w14:val="standardContextual"/>
        </w:rPr>
        <w:t xml:space="preserve">The heating and cooling systems for fuel will aptly have an intermediate circuit, ensuring no contamination of the ship’s cooling water. </w:t>
      </w:r>
      <w:r w:rsidR="0056210F" w:rsidRPr="0056210F">
        <w:rPr>
          <w:rFonts w:eastAsia="Calibri" w:cs="Arial"/>
          <w:color w:val="000000"/>
          <w:szCs w:val="18"/>
          <w:lang w:val="en-US"/>
          <w14:ligatures w14:val="standardContextual"/>
        </w:rPr>
        <w:t>While the PEM system will use</w:t>
      </w:r>
      <w:r w:rsidRPr="0074307E">
        <w:rPr>
          <w:rFonts w:eastAsia="Calibri" w:cs="Arial"/>
          <w:color w:val="000000"/>
          <w:szCs w:val="18"/>
          <w:lang w:val="en-US"/>
          <w14:ligatures w14:val="standardContextual"/>
        </w:rPr>
        <w:t xml:space="preserve"> a water/glycol medium for the heating/cooling circuit. </w:t>
      </w:r>
    </w:p>
    <w:p w14:paraId="68D26B83" w14:textId="2B086356" w:rsidR="00600535" w:rsidRPr="00CA0E94" w:rsidRDefault="00600535" w:rsidP="00CA0E94">
      <w:pPr>
        <w:pStyle w:val="CETHeading1"/>
      </w:pPr>
      <w:r w:rsidRPr="00CA0E94">
        <w:t>Conclusions</w:t>
      </w:r>
    </w:p>
    <w:p w14:paraId="19F6C838" w14:textId="513D143A" w:rsidR="00E76837" w:rsidRDefault="00E76837" w:rsidP="00E76837">
      <w:pPr>
        <w:pStyle w:val="CETHeadingxx"/>
        <w:spacing w:before="0" w:after="0"/>
        <w:rPr>
          <w:b w:val="0"/>
          <w:bCs/>
        </w:rPr>
      </w:pPr>
      <w:r w:rsidRPr="00E76837">
        <w:rPr>
          <w:b w:val="0"/>
          <w:bCs/>
        </w:rPr>
        <w:t>This study considered the preliminary design of a full-electric passenger catamaran ferry with a focus on the risk assessment for the onboard implementation of a PEM power generating system, integrated with a Li-ion-</w:t>
      </w:r>
      <w:r w:rsidRPr="00E76837">
        <w:rPr>
          <w:b w:val="0"/>
          <w:bCs/>
        </w:rPr>
        <w:lastRenderedPageBreak/>
        <w:t xml:space="preserve">based battery system, </w:t>
      </w:r>
      <w:proofErr w:type="spellStart"/>
      <w:r w:rsidRPr="00E76837">
        <w:rPr>
          <w:b w:val="0"/>
          <w:bCs/>
        </w:rPr>
        <w:t>fuelled</w:t>
      </w:r>
      <w:proofErr w:type="spellEnd"/>
      <w:r w:rsidRPr="00E76837">
        <w:rPr>
          <w:b w:val="0"/>
          <w:bCs/>
        </w:rPr>
        <w:t xml:space="preserve"> by pure H</w:t>
      </w:r>
      <w:r w:rsidRPr="00431778">
        <w:rPr>
          <w:b w:val="0"/>
          <w:vertAlign w:val="subscript"/>
        </w:rPr>
        <w:t>2</w:t>
      </w:r>
      <w:r w:rsidRPr="00E76837">
        <w:rPr>
          <w:b w:val="0"/>
          <w:bCs/>
        </w:rPr>
        <w:t xml:space="preserve"> stored in type IV cylinder vessels at 700 bars and the preliminary identification of hazardous areas. </w:t>
      </w:r>
    </w:p>
    <w:p w14:paraId="57401B69" w14:textId="2DBF2B8F" w:rsidR="00E76837" w:rsidRPr="00E76837" w:rsidRDefault="00E76837" w:rsidP="00E76837">
      <w:pPr>
        <w:pStyle w:val="CETHeadingxx"/>
        <w:spacing w:before="0" w:after="0"/>
        <w:rPr>
          <w:b w:val="0"/>
          <w:bCs/>
        </w:rPr>
      </w:pPr>
      <w:r w:rsidRPr="00E76837">
        <w:rPr>
          <w:b w:val="0"/>
          <w:bCs/>
        </w:rPr>
        <w:t>While there is practical experience from other industries with the use, generation and handling of hydrogen, there are limited regulations for its use as a marine fuel. This may be a barrier to its adoption, but there are established methods for approving ship designs, such as using the risk-based 'alternative design’ approval process. To facilitate the adoption of hydrogen, for example, classification societies have already started working on developing guidelines and setting requirements.</w:t>
      </w:r>
    </w:p>
    <w:p w14:paraId="51686F3F" w14:textId="069D07DE" w:rsidR="00E76837" w:rsidRPr="00E76837" w:rsidRDefault="00E76837" w:rsidP="00E76837">
      <w:pPr>
        <w:pStyle w:val="CETHeadingxx"/>
        <w:spacing w:before="0" w:after="0"/>
        <w:rPr>
          <w:b w:val="0"/>
          <w:bCs/>
        </w:rPr>
      </w:pPr>
      <w:r w:rsidRPr="00E76837">
        <w:rPr>
          <w:b w:val="0"/>
          <w:bCs/>
        </w:rPr>
        <w:t>Major concerns related to H</w:t>
      </w:r>
      <w:r w:rsidRPr="004439AF">
        <w:rPr>
          <w:b w:val="0"/>
          <w:bCs/>
          <w:vertAlign w:val="subscript"/>
        </w:rPr>
        <w:t>2</w:t>
      </w:r>
      <w:r w:rsidRPr="00E76837">
        <w:rPr>
          <w:b w:val="0"/>
          <w:bCs/>
        </w:rPr>
        <w:t xml:space="preserve"> as </w:t>
      </w:r>
      <w:r w:rsidR="00431778">
        <w:rPr>
          <w:b w:val="0"/>
          <w:bCs/>
        </w:rPr>
        <w:t xml:space="preserve">a </w:t>
      </w:r>
      <w:r w:rsidRPr="00E76837">
        <w:rPr>
          <w:b w:val="0"/>
          <w:bCs/>
        </w:rPr>
        <w:t>marine fuel are related to its flammability range, leakage potential, flame speed, and detonation/deflagration issues. The work identified the hazards areas to preliminary understand the risks and additional safeguards that will need to be implemented to prevent or mitigate the major safety issues.</w:t>
      </w:r>
    </w:p>
    <w:p w14:paraId="17468299" w14:textId="2E80B781" w:rsidR="001143B9" w:rsidRPr="00065ECB" w:rsidRDefault="00E76837" w:rsidP="00065ECB">
      <w:pPr>
        <w:pStyle w:val="CETHeadingxx"/>
        <w:spacing w:before="0" w:after="0"/>
        <w:rPr>
          <w:b w:val="0"/>
        </w:rPr>
      </w:pPr>
      <w:r w:rsidRPr="00E76837">
        <w:rPr>
          <w:b w:val="0"/>
          <w:bCs/>
        </w:rPr>
        <w:t xml:space="preserve">To conclude, for the shipping industry, hydrogen is a new fuel, which is also not commonly transported as cargo. However, it can be seen as a fuel with </w:t>
      </w:r>
      <w:proofErr w:type="spellStart"/>
      <w:r w:rsidRPr="00E76837">
        <w:rPr>
          <w:b w:val="0"/>
          <w:bCs/>
        </w:rPr>
        <w:t>decarbonisation</w:t>
      </w:r>
      <w:proofErr w:type="spellEnd"/>
      <w:r w:rsidRPr="00E76837">
        <w:rPr>
          <w:b w:val="0"/>
          <w:bCs/>
        </w:rPr>
        <w:t xml:space="preserve"> potential and since it has been produced and used in other industries, such as petrochemicals and automotive manufacturing, a first step would be to evaluate and possibly adopt some existing practices for marine application.</w:t>
      </w:r>
    </w:p>
    <w:p w14:paraId="428B022A" w14:textId="3A09B528" w:rsidR="00E65B91" w:rsidRDefault="00600535" w:rsidP="0044041A">
      <w:pPr>
        <w:pStyle w:val="CETReference"/>
      </w:pPr>
      <w:r w:rsidRPr="00B57B36">
        <w:t>References</w:t>
      </w:r>
    </w:p>
    <w:p w14:paraId="74028E73" w14:textId="77777777" w:rsidR="00AA47A9" w:rsidRDefault="00AA47A9" w:rsidP="001D5082">
      <w:pPr>
        <w:pStyle w:val="CETReferencetext"/>
      </w:pPr>
      <w:r>
        <w:t xml:space="preserve">Ampere </w:t>
      </w:r>
      <w:r w:rsidRPr="00A72660">
        <w:t>World’s First All-Electric Battery-Powered Ferry</w:t>
      </w:r>
      <w:r>
        <w:t xml:space="preserve"> September 2014.</w:t>
      </w:r>
    </w:p>
    <w:p w14:paraId="211FC492" w14:textId="77777777" w:rsidR="00AA47A9" w:rsidRDefault="00AA47A9" w:rsidP="00AB27A2">
      <w:pPr>
        <w:pStyle w:val="CETReferencetext"/>
      </w:pPr>
      <w:bookmarkStart w:id="3" w:name="_Hlk158039564"/>
      <w:r w:rsidRPr="008B45EA">
        <w:rPr>
          <w:lang w:val="it-IT"/>
        </w:rPr>
        <w:t xml:space="preserve">Ansaloni G. M. M., Bionda A.  </w:t>
      </w:r>
      <w:r>
        <w:t>and Rossi</w:t>
      </w:r>
      <w:r w:rsidRPr="008B45EA">
        <w:t xml:space="preserve"> </w:t>
      </w:r>
      <w:r>
        <w:t xml:space="preserve">M., 2022, </w:t>
      </w:r>
      <w:bookmarkEnd w:id="3"/>
      <w:proofErr w:type="spellStart"/>
      <w:r>
        <w:t>EcoDesign</w:t>
      </w:r>
      <w:proofErr w:type="spellEnd"/>
      <w:r>
        <w:t xml:space="preserve"> strategies for zero-emission hydrogen fuel vessels scenarios," 2022 7th International Conference on Smart and Sustainable Technologies (</w:t>
      </w:r>
      <w:proofErr w:type="spellStart"/>
      <w:r>
        <w:t>SpliTech</w:t>
      </w:r>
      <w:proofErr w:type="spellEnd"/>
      <w:r>
        <w:t xml:space="preserve">), Split / Bol, Croatia, pp. 1-6, </w:t>
      </w:r>
      <w:proofErr w:type="spellStart"/>
      <w:r>
        <w:t>doi</w:t>
      </w:r>
      <w:proofErr w:type="spellEnd"/>
      <w:r>
        <w:t>: 10.23919/SpliTech55088.2022.9854279.</w:t>
      </w:r>
    </w:p>
    <w:p w14:paraId="5AC4D301" w14:textId="77777777" w:rsidR="00AA47A9" w:rsidRDefault="00AA47A9" w:rsidP="006B1D5D">
      <w:pPr>
        <w:pStyle w:val="CETReferencetext"/>
      </w:pPr>
      <w:bookmarkStart w:id="4" w:name="_Hlk158039371"/>
      <w:bookmarkStart w:id="5" w:name="_Hlk158644316"/>
      <w:r>
        <w:t>Captain Joe Burgard Red and Joe Pratt, 2017</w:t>
      </w:r>
      <w:bookmarkEnd w:id="4"/>
      <w:r>
        <w:t>, Feasibility of a high speed, zero emission hydrogen fuel cell passenger ferry in the San Francisco Bay Sandia National Laboratories Bay Area Council Water Transit Committee January 25.</w:t>
      </w:r>
    </w:p>
    <w:p w14:paraId="4BDFAF85" w14:textId="77777777" w:rsidR="00AA47A9" w:rsidRDefault="006A5F52" w:rsidP="00561566">
      <w:pPr>
        <w:pStyle w:val="CETReferencetext"/>
      </w:pPr>
      <w:hyperlink r:id="rId13" w:history="1">
        <w:r w:rsidR="00AA47A9" w:rsidRPr="0029230D">
          <w:t>Cícero S. Postiglione</w:t>
        </w:r>
      </w:hyperlink>
      <w:r w:rsidR="00AA47A9">
        <w:t xml:space="preserve">, </w:t>
      </w:r>
      <w:hyperlink r:id="rId14" w:history="1">
        <w:r w:rsidR="00AA47A9" w:rsidRPr="0029230D">
          <w:t>Daniel A. F. Collier</w:t>
        </w:r>
      </w:hyperlink>
      <w:r w:rsidR="00AA47A9">
        <w:t xml:space="preserve">, </w:t>
      </w:r>
      <w:r w:rsidR="00AA47A9" w:rsidRPr="0029230D">
        <w:t xml:space="preserve"> </w:t>
      </w:r>
      <w:hyperlink r:id="rId15" w:history="1">
        <w:r w:rsidR="00AA47A9" w:rsidRPr="0029230D">
          <w:t xml:space="preserve">Bruno S. </w:t>
        </w:r>
        <w:proofErr w:type="spellStart"/>
        <w:r w:rsidR="00AA47A9" w:rsidRPr="0029230D">
          <w:t>Dupczak</w:t>
        </w:r>
        <w:proofErr w:type="spellEnd"/>
      </w:hyperlink>
      <w:r w:rsidR="00AA47A9">
        <w:t>,</w:t>
      </w:r>
      <w:r w:rsidR="00AA47A9" w:rsidRPr="0029230D">
        <w:t xml:space="preserve"> </w:t>
      </w:r>
      <w:hyperlink r:id="rId16" w:history="1">
        <w:r w:rsidR="00AA47A9" w:rsidRPr="0029230D">
          <w:t xml:space="preserve">Marcelo L. </w:t>
        </w:r>
        <w:proofErr w:type="spellStart"/>
        <w:r w:rsidR="00AA47A9" w:rsidRPr="0029230D">
          <w:t>Heldwein</w:t>
        </w:r>
        <w:proofErr w:type="spellEnd"/>
      </w:hyperlink>
      <w:r w:rsidR="00AA47A9">
        <w:t xml:space="preserve">, </w:t>
      </w:r>
      <w:r w:rsidR="00AA47A9" w:rsidRPr="0029230D">
        <w:t xml:space="preserve"> </w:t>
      </w:r>
      <w:hyperlink r:id="rId17" w:history="1">
        <w:r w:rsidR="00AA47A9" w:rsidRPr="0029230D">
          <w:t>Arnaldo J. Perin</w:t>
        </w:r>
      </w:hyperlink>
      <w:r w:rsidR="00AA47A9">
        <w:t xml:space="preserve">, </w:t>
      </w:r>
      <w:r w:rsidR="00AA47A9" w:rsidRPr="0029230D">
        <w:t xml:space="preserve"> </w:t>
      </w:r>
      <w:r w:rsidR="00AA47A9">
        <w:t>2012, Propulsion system for an all-electric passenger boat employing permanent magnet synchronous motors and modern power electronics;  Electrical Systems for Aircraft, Railway and Ship Propulsion.</w:t>
      </w:r>
    </w:p>
    <w:p w14:paraId="5F5D5935" w14:textId="77777777" w:rsidR="00AA47A9" w:rsidRPr="00647AAC" w:rsidRDefault="00AA47A9" w:rsidP="001850C4">
      <w:pPr>
        <w:pStyle w:val="CETReferencetext"/>
      </w:pPr>
      <w:r w:rsidRPr="00647AAC">
        <w:t>C</w:t>
      </w:r>
      <w:r>
        <w:t>oppola</w:t>
      </w:r>
      <w:r w:rsidRPr="006912E5">
        <w:t xml:space="preserve"> </w:t>
      </w:r>
      <w:r w:rsidRPr="00647AAC">
        <w:t>T.</w:t>
      </w:r>
      <w:r>
        <w:t>,</w:t>
      </w:r>
      <w:r w:rsidRPr="00647AAC">
        <w:t xml:space="preserve"> D</w:t>
      </w:r>
      <w:r>
        <w:t>e</w:t>
      </w:r>
      <w:r w:rsidRPr="00647AAC">
        <w:t xml:space="preserve"> L</w:t>
      </w:r>
      <w:r>
        <w:t>uca</w:t>
      </w:r>
      <w:r w:rsidRPr="006912E5">
        <w:t xml:space="preserve"> </w:t>
      </w:r>
      <w:r w:rsidRPr="00647AAC">
        <w:t>F.</w:t>
      </w:r>
      <w:r>
        <w:t>,</w:t>
      </w:r>
      <w:r w:rsidRPr="00647AAC">
        <w:t xml:space="preserve"> G</w:t>
      </w:r>
      <w:r>
        <w:t>ambardella</w:t>
      </w:r>
      <w:r w:rsidRPr="006912E5">
        <w:t xml:space="preserve"> </w:t>
      </w:r>
      <w:r w:rsidRPr="00647AAC">
        <w:t>S.</w:t>
      </w:r>
      <w:r>
        <w:t>,</w:t>
      </w:r>
      <w:r w:rsidRPr="00647AAC">
        <w:t xml:space="preserve"> M</w:t>
      </w:r>
      <w:r>
        <w:t>ancini</w:t>
      </w:r>
      <w:r w:rsidRPr="006912E5">
        <w:t xml:space="preserve"> </w:t>
      </w:r>
      <w:r w:rsidRPr="00647AAC">
        <w:t>S.</w:t>
      </w:r>
      <w:r>
        <w:t>,</w:t>
      </w:r>
      <w:r w:rsidRPr="00647AAC">
        <w:t xml:space="preserve"> M</w:t>
      </w:r>
      <w:r>
        <w:t>icoli</w:t>
      </w:r>
      <w:r w:rsidRPr="006912E5">
        <w:t xml:space="preserve"> </w:t>
      </w:r>
      <w:r w:rsidRPr="00647AAC">
        <w:t>L., P</w:t>
      </w:r>
      <w:r>
        <w:t>ensa</w:t>
      </w:r>
      <w:r w:rsidRPr="006912E5">
        <w:t xml:space="preserve"> </w:t>
      </w:r>
      <w:r w:rsidRPr="00647AAC">
        <w:t>C.</w:t>
      </w:r>
      <w:r>
        <w:t>,</w:t>
      </w:r>
      <w:r w:rsidRPr="00647AAC">
        <w:t xml:space="preserve"> S</w:t>
      </w:r>
      <w:r>
        <w:t>orrentino</w:t>
      </w:r>
      <w:r w:rsidRPr="006912E5">
        <w:t xml:space="preserve"> </w:t>
      </w:r>
      <w:r w:rsidRPr="00647AAC">
        <w:t>V., 2023, Feasibility Study of a zero-emission Passenger Catamaran Ferry operating in Italian Coastal Island, High</w:t>
      </w:r>
      <w:r>
        <w:t xml:space="preserve"> Speed Marine Vehicles, Naples</w:t>
      </w:r>
    </w:p>
    <w:p w14:paraId="1B342291" w14:textId="77777777" w:rsidR="00AA47A9" w:rsidRDefault="00AA47A9" w:rsidP="0000246E">
      <w:pPr>
        <w:pStyle w:val="CETReferencetext"/>
      </w:pPr>
      <w:r>
        <w:t>DNV 2023, Rules for the Classification of Ships, DNV-RU-SHIP.</w:t>
      </w:r>
    </w:p>
    <w:p w14:paraId="3A1EE620" w14:textId="77777777" w:rsidR="00AA47A9" w:rsidRDefault="00AA47A9" w:rsidP="00AB27A2">
      <w:pPr>
        <w:pStyle w:val="CETReferencetext"/>
      </w:pPr>
      <w:bookmarkStart w:id="6" w:name="_Hlk158051551"/>
      <w:r w:rsidRPr="0060632B">
        <w:t xml:space="preserve">IMO. MSC. 391(95) </w:t>
      </w:r>
      <w:bookmarkEnd w:id="6"/>
      <w:r w:rsidRPr="0060632B">
        <w:t>Adoption of the International Code of Safety for Ships using Gases or other Low-Flashpoint Fuels (IGF Code)</w:t>
      </w:r>
      <w:r>
        <w:t>-.</w:t>
      </w:r>
    </w:p>
    <w:p w14:paraId="4E6F1E1C" w14:textId="77777777" w:rsidR="00AA47A9" w:rsidRDefault="00AA47A9" w:rsidP="00AB27A2">
      <w:pPr>
        <w:pStyle w:val="CETReferencetext"/>
      </w:pPr>
      <w:r>
        <w:t>IMO. MSC.1/Circ. 1455. Guidelines for the Approval of Alternatives and Equivalents as Provided for in Various IMO Instruments. 24 June 2013.</w:t>
      </w:r>
    </w:p>
    <w:p w14:paraId="17E2F2C3" w14:textId="77777777" w:rsidR="00AA47A9" w:rsidRDefault="00AA47A9" w:rsidP="00AB27A2">
      <w:pPr>
        <w:pStyle w:val="CETReferencetext"/>
      </w:pPr>
      <w:r>
        <w:t>IMO. MSC.1/Circ. 1647. Interim Guidelines for the Safety of Ships Using Fuel Cell Power Installations. 15 June 2022.</w:t>
      </w:r>
    </w:p>
    <w:p w14:paraId="7887ED77" w14:textId="77777777" w:rsidR="00AA47A9" w:rsidRPr="0029230D" w:rsidRDefault="00AA47A9" w:rsidP="001D5082">
      <w:pPr>
        <w:pStyle w:val="CETReferencetext"/>
      </w:pPr>
      <w:r>
        <w:t xml:space="preserve">Lagemann B., Seidenberg T., </w:t>
      </w:r>
      <w:proofErr w:type="spellStart"/>
      <w:r>
        <w:t>Jürgenhake</w:t>
      </w:r>
      <w:proofErr w:type="spellEnd"/>
      <w:r>
        <w:t xml:space="preserve"> C., Erikstad S. O., and Roman D., 2021, System alternatives for modular, zero-emission high-speed ferries Paper presented at the SNAME International Conference on Fast Sea Transportation, Providence, Rhode Island, USA, October</w:t>
      </w:r>
    </w:p>
    <w:p w14:paraId="11ADEB24" w14:textId="77777777" w:rsidR="00AA47A9" w:rsidRDefault="00AA47A9" w:rsidP="0000246E">
      <w:pPr>
        <w:pStyle w:val="CETReferencetext"/>
      </w:pPr>
      <w:r w:rsidRPr="00210868">
        <w:t xml:space="preserve">Laursen, R.; Patel, H.; Dowling, M.; </w:t>
      </w:r>
      <w:proofErr w:type="spellStart"/>
      <w:r w:rsidRPr="00210868">
        <w:t>Sofiadi</w:t>
      </w:r>
      <w:proofErr w:type="spellEnd"/>
      <w:r w:rsidRPr="00210868">
        <w:t>, D.; Ji, C.; Nelissen, D.; Király, J.; van der Veen, R.;</w:t>
      </w:r>
      <w:r>
        <w:t xml:space="preserve"> </w:t>
      </w:r>
      <w:r w:rsidRPr="00210868">
        <w:t>Pang, E., (2023). Potential of Hydrogen as Fuel for Shipping, American Bureau of Shipping, CE Delft</w:t>
      </w:r>
      <w:r>
        <w:t xml:space="preserve"> </w:t>
      </w:r>
      <w:r w:rsidRPr="00210868">
        <w:t xml:space="preserve">and </w:t>
      </w:r>
      <w:proofErr w:type="spellStart"/>
      <w:r w:rsidRPr="00210868">
        <w:t>Arcsilea</w:t>
      </w:r>
      <w:proofErr w:type="spellEnd"/>
      <w:r w:rsidRPr="00210868">
        <w:t xml:space="preserve"> Potential of Hydrogen as Fuel for Shipping EMSA European Maritime Safety Agency</w:t>
      </w:r>
      <w:r>
        <w:t>.</w:t>
      </w:r>
    </w:p>
    <w:p w14:paraId="58226FC3" w14:textId="77777777" w:rsidR="00AA47A9" w:rsidRDefault="00AA47A9" w:rsidP="00967CE4">
      <w:pPr>
        <w:pStyle w:val="CETReferencetext"/>
      </w:pPr>
      <w:r w:rsidRPr="000E2D1C">
        <w:t xml:space="preserve">Maciej Tarkowski and Krystian </w:t>
      </w:r>
      <w:proofErr w:type="spellStart"/>
      <w:r w:rsidRPr="000E2D1C">
        <w:t>Puzdrakiewicz</w:t>
      </w:r>
      <w:proofErr w:type="spellEnd"/>
      <w:r>
        <w:t xml:space="preserve">; 2021, Connectivity Benefits of Small Zero-Emission Autonomous Ferries in Urban Mobility—Case of the Coastal City of </w:t>
      </w:r>
      <w:proofErr w:type="spellStart"/>
      <w:r>
        <w:t>Gda´nsk</w:t>
      </w:r>
      <w:proofErr w:type="spellEnd"/>
      <w:r>
        <w:t xml:space="preserve"> (Poland) Sustainability.</w:t>
      </w:r>
    </w:p>
    <w:p w14:paraId="3C2661B5" w14:textId="77777777" w:rsidR="00AA47A9" w:rsidRDefault="00AA47A9" w:rsidP="008D43D0">
      <w:pPr>
        <w:pStyle w:val="CETReferencetext"/>
      </w:pPr>
      <w:r>
        <w:t xml:space="preserve">Masih M., Mehdi Z., Kenneth L. R., 2023, Techno-economic modelling of zero-emission marine transport with hydrogen fuel and superconducting propulsion system: Case study of a passenger ferry, International Journal of Hydrogen Energy, Volume 48, Issue 71, Pages 27427-27440, ISSN 0360-3199. </w:t>
      </w:r>
      <w:bookmarkStart w:id="7" w:name="_Hlk158040630"/>
    </w:p>
    <w:bookmarkEnd w:id="7"/>
    <w:p w14:paraId="277F3CBD" w14:textId="77777777" w:rsidR="00AA47A9" w:rsidRDefault="00AA47A9" w:rsidP="002614A7">
      <w:pPr>
        <w:pStyle w:val="CETReferencetext"/>
      </w:pPr>
      <w:r>
        <w:t>Padolecchia</w:t>
      </w:r>
      <w:r w:rsidRPr="006912E5">
        <w:t xml:space="preserve"> </w:t>
      </w:r>
      <w:r>
        <w:t>D., Savarese</w:t>
      </w:r>
      <w:r w:rsidRPr="006912E5">
        <w:t xml:space="preserve"> </w:t>
      </w:r>
      <w:r>
        <w:t xml:space="preserve">S., Marino </w:t>
      </w:r>
      <w:proofErr w:type="gramStart"/>
      <w:r>
        <w:t>A.</w:t>
      </w:r>
      <w:proofErr w:type="gramEnd"/>
      <w:r>
        <w:t xml:space="preserve"> and Bucci</w:t>
      </w:r>
      <w:r w:rsidRPr="006912E5">
        <w:t xml:space="preserve"> </w:t>
      </w:r>
      <w:r>
        <w:t xml:space="preserve">V., 2023, Electrification of a large catamaran water bus for everyday commuting in the Venice Lagoon, AEIT International Annual Conference (AEIT), Rome, Italy, 2023, pp. 1-6, </w:t>
      </w:r>
      <w:proofErr w:type="spellStart"/>
      <w:r>
        <w:t>doi</w:t>
      </w:r>
      <w:proofErr w:type="spellEnd"/>
      <w:r>
        <w:t>: 10.23919/AEIT60520.2023.10330317.</w:t>
      </w:r>
    </w:p>
    <w:p w14:paraId="5749EC49" w14:textId="77777777" w:rsidR="00AA47A9" w:rsidRDefault="00AA47A9" w:rsidP="005E68DB">
      <w:pPr>
        <w:pStyle w:val="CETReferencetext"/>
      </w:pPr>
      <w:r w:rsidRPr="00243AD4">
        <w:t>Truong, HVA., Dao, HV., Do, TC., Ho, CM., To, XD., Dang, TD., &amp; Ahn, KK. 2020</w:t>
      </w:r>
      <w:r>
        <w:t xml:space="preserve"> </w:t>
      </w:r>
      <w:r w:rsidRPr="00243AD4">
        <w:t>Mapping fuzzy energy management strategy for PEM Fuel Cell–Battery–Supercapacitor hybrid excavator. Energies, 13(13), 3387</w:t>
      </w:r>
    </w:p>
    <w:p w14:paraId="49FA8D40" w14:textId="77777777" w:rsidR="00AA47A9" w:rsidRPr="00647AAC" w:rsidRDefault="00AA47A9" w:rsidP="00A77E86">
      <w:pPr>
        <w:pStyle w:val="CETReferencetext"/>
      </w:pPr>
      <w:r>
        <w:t>Wang Z</w:t>
      </w:r>
      <w:r w:rsidRPr="00647AAC">
        <w:t>.</w:t>
      </w:r>
      <w:r>
        <w:t>,</w:t>
      </w:r>
      <w:r w:rsidRPr="00647AAC">
        <w:t xml:space="preserve"> D</w:t>
      </w:r>
      <w:r>
        <w:t>ong B</w:t>
      </w:r>
      <w:r w:rsidRPr="00647AAC">
        <w:t>.</w:t>
      </w:r>
      <w:r>
        <w:t>,</w:t>
      </w:r>
      <w:r w:rsidRPr="00647AAC">
        <w:t xml:space="preserve"> </w:t>
      </w:r>
      <w:r>
        <w:t>Li M.,</w:t>
      </w:r>
      <w:r w:rsidRPr="00647AAC">
        <w:t xml:space="preserve"> </w:t>
      </w:r>
      <w:r>
        <w:t>Ji Y., Han F.</w:t>
      </w:r>
      <w:r w:rsidRPr="00647AAC">
        <w:t>, 202</w:t>
      </w:r>
      <w:r>
        <w:t>4</w:t>
      </w:r>
      <w:r w:rsidRPr="00647AAC">
        <w:t xml:space="preserve">, </w:t>
      </w:r>
      <w:r>
        <w:t>Configuration- of low carbon fuels green marine power systems in diverse ship types and applications</w:t>
      </w:r>
      <w:r w:rsidRPr="00647AAC">
        <w:t xml:space="preserve">, </w:t>
      </w:r>
      <w:r>
        <w:t xml:space="preserve">Energy Conversion and Management (302), </w:t>
      </w:r>
      <w:r w:rsidRPr="00A77E86">
        <w:t>118139</w:t>
      </w:r>
    </w:p>
    <w:p w14:paraId="2C09BD33" w14:textId="77777777" w:rsidR="00AA47A9" w:rsidRDefault="006A5F52" w:rsidP="0000246E">
      <w:pPr>
        <w:pStyle w:val="CETReferencetext"/>
      </w:pPr>
      <w:hyperlink r:id="rId18" w:history="1">
        <w:r w:rsidR="00AA47A9" w:rsidRPr="00F1401A">
          <w:t>www.ballard.com</w:t>
        </w:r>
      </w:hyperlink>
      <w:r w:rsidR="00AA47A9">
        <w:t>.</w:t>
      </w:r>
    </w:p>
    <w:bookmarkEnd w:id="5"/>
    <w:p w14:paraId="0CAC050D" w14:textId="77777777" w:rsidR="00AA47A9" w:rsidRDefault="00AA47A9" w:rsidP="0000246E">
      <w:pPr>
        <w:pStyle w:val="CETReferencetext"/>
      </w:pPr>
      <w:r w:rsidRPr="00F1401A">
        <w:t>www.corvusenergy.com/</w:t>
      </w:r>
      <w:r>
        <w:t>.</w:t>
      </w:r>
    </w:p>
    <w:p w14:paraId="3E4A8E0D" w14:textId="77777777" w:rsidR="00AA47A9" w:rsidRDefault="006A5F52" w:rsidP="0000246E">
      <w:pPr>
        <w:pStyle w:val="CETReferencetext"/>
      </w:pPr>
      <w:hyperlink r:id="rId19" w:history="1">
        <w:r w:rsidR="00AA47A9" w:rsidRPr="008A5902">
          <w:t>www.plasticomnium.com/en/</w:t>
        </w:r>
      </w:hyperlink>
      <w:r w:rsidR="00AA47A9">
        <w:t>.</w:t>
      </w:r>
    </w:p>
    <w:p w14:paraId="74FD140F" w14:textId="1C11E9EB" w:rsidR="00BB3E6B" w:rsidRDefault="00BB3E6B" w:rsidP="00A77E86">
      <w:pPr>
        <w:pStyle w:val="CETReferencetext"/>
        <w:ind w:left="0" w:firstLine="0"/>
      </w:pPr>
    </w:p>
    <w:sectPr w:rsidR="00BB3E6B" w:rsidSect="003160D3">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203B1" w14:textId="77777777" w:rsidR="003160D3" w:rsidRDefault="003160D3" w:rsidP="004F5E36">
      <w:r>
        <w:separator/>
      </w:r>
    </w:p>
  </w:endnote>
  <w:endnote w:type="continuationSeparator" w:id="0">
    <w:p w14:paraId="7F596FAD" w14:textId="77777777" w:rsidR="003160D3" w:rsidRDefault="003160D3" w:rsidP="004F5E36">
      <w:r>
        <w:continuationSeparator/>
      </w:r>
    </w:p>
  </w:endnote>
  <w:endnote w:type="continuationNotice" w:id="1">
    <w:p w14:paraId="161E725E" w14:textId="77777777" w:rsidR="003160D3" w:rsidRDefault="003160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680CC" w14:textId="77777777" w:rsidR="003160D3" w:rsidRDefault="003160D3" w:rsidP="004F5E36">
      <w:r>
        <w:separator/>
      </w:r>
    </w:p>
  </w:footnote>
  <w:footnote w:type="continuationSeparator" w:id="0">
    <w:p w14:paraId="31A34E55" w14:textId="77777777" w:rsidR="003160D3" w:rsidRDefault="003160D3" w:rsidP="004F5E36">
      <w:r>
        <w:continuationSeparator/>
      </w:r>
    </w:p>
  </w:footnote>
  <w:footnote w:type="continuationNotice" w:id="1">
    <w:p w14:paraId="7B1BC54C" w14:textId="77777777" w:rsidR="003160D3" w:rsidRDefault="003160D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76F2D7E"/>
    <w:multiLevelType w:val="hybridMultilevel"/>
    <w:tmpl w:val="D8CA36E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38217E"/>
    <w:multiLevelType w:val="multilevel"/>
    <w:tmpl w:val="B0B0C29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0544B18"/>
    <w:multiLevelType w:val="hybridMultilevel"/>
    <w:tmpl w:val="538A24B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4AE1111"/>
    <w:multiLevelType w:val="hybridMultilevel"/>
    <w:tmpl w:val="D632CEEE"/>
    <w:lvl w:ilvl="0" w:tplc="FF7E1654">
      <w:start w:val="1"/>
      <w:numFmt w:val="decimal"/>
      <w:lvlText w:val="[%1]"/>
      <w:lvlJc w:val="left"/>
      <w:pPr>
        <w:ind w:left="1127" w:hanging="370"/>
        <w:jc w:val="left"/>
      </w:pPr>
      <w:rPr>
        <w:rFonts w:ascii="Times New Roman" w:eastAsia="Times New Roman" w:hAnsi="Times New Roman" w:cs="Times New Roman" w:hint="default"/>
        <w:spacing w:val="-1"/>
        <w:w w:val="100"/>
        <w:sz w:val="16"/>
        <w:szCs w:val="16"/>
        <w:lang w:val="en-US" w:eastAsia="en-US" w:bidi="ar-SA"/>
      </w:rPr>
    </w:lvl>
    <w:lvl w:ilvl="1" w:tplc="D54C5A54">
      <w:numFmt w:val="bullet"/>
      <w:lvlText w:val="•"/>
      <w:lvlJc w:val="left"/>
      <w:pPr>
        <w:ind w:left="1862" w:hanging="370"/>
      </w:pPr>
      <w:rPr>
        <w:rFonts w:hint="default"/>
        <w:lang w:val="en-US" w:eastAsia="en-US" w:bidi="ar-SA"/>
      </w:rPr>
    </w:lvl>
    <w:lvl w:ilvl="2" w:tplc="A6FCB0FA">
      <w:numFmt w:val="bullet"/>
      <w:lvlText w:val="•"/>
      <w:lvlJc w:val="left"/>
      <w:pPr>
        <w:ind w:left="2605" w:hanging="370"/>
      </w:pPr>
      <w:rPr>
        <w:rFonts w:hint="default"/>
        <w:lang w:val="en-US" w:eastAsia="en-US" w:bidi="ar-SA"/>
      </w:rPr>
    </w:lvl>
    <w:lvl w:ilvl="3" w:tplc="FEC694CA">
      <w:numFmt w:val="bullet"/>
      <w:lvlText w:val="•"/>
      <w:lvlJc w:val="left"/>
      <w:pPr>
        <w:ind w:left="3347" w:hanging="370"/>
      </w:pPr>
      <w:rPr>
        <w:rFonts w:hint="default"/>
        <w:lang w:val="en-US" w:eastAsia="en-US" w:bidi="ar-SA"/>
      </w:rPr>
    </w:lvl>
    <w:lvl w:ilvl="4" w:tplc="91F26496">
      <w:numFmt w:val="bullet"/>
      <w:lvlText w:val="•"/>
      <w:lvlJc w:val="left"/>
      <w:pPr>
        <w:ind w:left="4090" w:hanging="370"/>
      </w:pPr>
      <w:rPr>
        <w:rFonts w:hint="default"/>
        <w:lang w:val="en-US" w:eastAsia="en-US" w:bidi="ar-SA"/>
      </w:rPr>
    </w:lvl>
    <w:lvl w:ilvl="5" w:tplc="4596F7CE">
      <w:numFmt w:val="bullet"/>
      <w:lvlText w:val="•"/>
      <w:lvlJc w:val="left"/>
      <w:pPr>
        <w:ind w:left="4833" w:hanging="370"/>
      </w:pPr>
      <w:rPr>
        <w:rFonts w:hint="default"/>
        <w:lang w:val="en-US" w:eastAsia="en-US" w:bidi="ar-SA"/>
      </w:rPr>
    </w:lvl>
    <w:lvl w:ilvl="6" w:tplc="236C638C">
      <w:numFmt w:val="bullet"/>
      <w:lvlText w:val="•"/>
      <w:lvlJc w:val="left"/>
      <w:pPr>
        <w:ind w:left="5575" w:hanging="370"/>
      </w:pPr>
      <w:rPr>
        <w:rFonts w:hint="default"/>
        <w:lang w:val="en-US" w:eastAsia="en-US" w:bidi="ar-SA"/>
      </w:rPr>
    </w:lvl>
    <w:lvl w:ilvl="7" w:tplc="769CB986">
      <w:numFmt w:val="bullet"/>
      <w:lvlText w:val="•"/>
      <w:lvlJc w:val="left"/>
      <w:pPr>
        <w:ind w:left="6318" w:hanging="370"/>
      </w:pPr>
      <w:rPr>
        <w:rFonts w:hint="default"/>
        <w:lang w:val="en-US" w:eastAsia="en-US" w:bidi="ar-SA"/>
      </w:rPr>
    </w:lvl>
    <w:lvl w:ilvl="8" w:tplc="FA3EBA20">
      <w:numFmt w:val="bullet"/>
      <w:lvlText w:val="•"/>
      <w:lvlJc w:val="left"/>
      <w:pPr>
        <w:ind w:left="7061" w:hanging="370"/>
      </w:pPr>
      <w:rPr>
        <w:rFonts w:hint="default"/>
        <w:lang w:val="en-US" w:eastAsia="en-US" w:bidi="ar-SA"/>
      </w:r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08464825">
    <w:abstractNumId w:val="11"/>
  </w:num>
  <w:num w:numId="2" w16cid:durableId="1124691875">
    <w:abstractNumId w:val="8"/>
  </w:num>
  <w:num w:numId="3" w16cid:durableId="1625842749">
    <w:abstractNumId w:val="3"/>
  </w:num>
  <w:num w:numId="4" w16cid:durableId="1562402514">
    <w:abstractNumId w:val="2"/>
  </w:num>
  <w:num w:numId="5" w16cid:durableId="772945294">
    <w:abstractNumId w:val="1"/>
  </w:num>
  <w:num w:numId="6" w16cid:durableId="1818719662">
    <w:abstractNumId w:val="0"/>
  </w:num>
  <w:num w:numId="7" w16cid:durableId="301427410">
    <w:abstractNumId w:val="9"/>
  </w:num>
  <w:num w:numId="8" w16cid:durableId="577253640">
    <w:abstractNumId w:val="7"/>
  </w:num>
  <w:num w:numId="9" w16cid:durableId="2072196633">
    <w:abstractNumId w:val="6"/>
  </w:num>
  <w:num w:numId="10" w16cid:durableId="1699895833">
    <w:abstractNumId w:val="5"/>
  </w:num>
  <w:num w:numId="11" w16cid:durableId="1573345855">
    <w:abstractNumId w:val="4"/>
  </w:num>
  <w:num w:numId="12" w16cid:durableId="446238667">
    <w:abstractNumId w:val="20"/>
  </w:num>
  <w:num w:numId="13" w16cid:durableId="1656030849">
    <w:abstractNumId w:val="14"/>
  </w:num>
  <w:num w:numId="14" w16cid:durableId="1011951743">
    <w:abstractNumId w:val="21"/>
  </w:num>
  <w:num w:numId="15" w16cid:durableId="1366297045">
    <w:abstractNumId w:val="23"/>
  </w:num>
  <w:num w:numId="16" w16cid:durableId="1717586101">
    <w:abstractNumId w:val="22"/>
  </w:num>
  <w:num w:numId="17" w16cid:durableId="1026446206">
    <w:abstractNumId w:val="13"/>
  </w:num>
  <w:num w:numId="18" w16cid:durableId="153568966">
    <w:abstractNumId w:val="14"/>
    <w:lvlOverride w:ilvl="0">
      <w:startOverride w:val="1"/>
    </w:lvlOverride>
  </w:num>
  <w:num w:numId="19" w16cid:durableId="1910190423">
    <w:abstractNumId w:val="19"/>
  </w:num>
  <w:num w:numId="20" w16cid:durableId="307518733">
    <w:abstractNumId w:val="18"/>
  </w:num>
  <w:num w:numId="21" w16cid:durableId="1678800645">
    <w:abstractNumId w:val="16"/>
  </w:num>
  <w:num w:numId="22" w16cid:durableId="859510198">
    <w:abstractNumId w:val="15"/>
  </w:num>
  <w:num w:numId="23" w16cid:durableId="1281567933">
    <w:abstractNumId w:val="11"/>
  </w:num>
  <w:num w:numId="24" w16cid:durableId="1086154429">
    <w:abstractNumId w:val="11"/>
  </w:num>
  <w:num w:numId="25" w16cid:durableId="1206672533">
    <w:abstractNumId w:val="11"/>
  </w:num>
  <w:num w:numId="26" w16cid:durableId="1763448442">
    <w:abstractNumId w:val="10"/>
  </w:num>
  <w:num w:numId="27" w16cid:durableId="113260154">
    <w:abstractNumId w:val="11"/>
    <w:lvlOverride w:ilvl="0">
      <w:startOverride w:val="1"/>
    </w:lvlOverride>
    <w:lvlOverride w:ilvl="1">
      <w:startOverride w:val="4"/>
    </w:lvlOverride>
  </w:num>
  <w:num w:numId="28" w16cid:durableId="1180850084">
    <w:abstractNumId w:val="11"/>
  </w:num>
  <w:num w:numId="29" w16cid:durableId="1314480034">
    <w:abstractNumId w:val="17"/>
  </w:num>
  <w:num w:numId="30" w16cid:durableId="1754551743">
    <w:abstractNumId w:val="11"/>
  </w:num>
  <w:num w:numId="31" w16cid:durableId="1312751913">
    <w:abstractNumId w:val="11"/>
  </w:num>
  <w:num w:numId="32" w16cid:durableId="291911317">
    <w:abstractNumId w:val="11"/>
  </w:num>
  <w:num w:numId="33" w16cid:durableId="12995310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246E"/>
    <w:rsid w:val="000027C0"/>
    <w:rsid w:val="000052FB"/>
    <w:rsid w:val="000074AA"/>
    <w:rsid w:val="000117CB"/>
    <w:rsid w:val="00013875"/>
    <w:rsid w:val="00014C9E"/>
    <w:rsid w:val="000200FC"/>
    <w:rsid w:val="0002660E"/>
    <w:rsid w:val="0003148D"/>
    <w:rsid w:val="00031EEC"/>
    <w:rsid w:val="00034D15"/>
    <w:rsid w:val="00042BDC"/>
    <w:rsid w:val="00043AE6"/>
    <w:rsid w:val="0004406D"/>
    <w:rsid w:val="000477AB"/>
    <w:rsid w:val="00051566"/>
    <w:rsid w:val="00052D92"/>
    <w:rsid w:val="000535EB"/>
    <w:rsid w:val="0005428F"/>
    <w:rsid w:val="000571CC"/>
    <w:rsid w:val="00057436"/>
    <w:rsid w:val="00057DE9"/>
    <w:rsid w:val="00062A9A"/>
    <w:rsid w:val="00062F20"/>
    <w:rsid w:val="00065058"/>
    <w:rsid w:val="00065834"/>
    <w:rsid w:val="00065AE4"/>
    <w:rsid w:val="00065ECB"/>
    <w:rsid w:val="00071A62"/>
    <w:rsid w:val="0007278D"/>
    <w:rsid w:val="00072E11"/>
    <w:rsid w:val="00081627"/>
    <w:rsid w:val="00082C0E"/>
    <w:rsid w:val="00086C39"/>
    <w:rsid w:val="0009093E"/>
    <w:rsid w:val="00091612"/>
    <w:rsid w:val="0009726C"/>
    <w:rsid w:val="0009785A"/>
    <w:rsid w:val="000A03B2"/>
    <w:rsid w:val="000A7E57"/>
    <w:rsid w:val="000B1993"/>
    <w:rsid w:val="000B4BB0"/>
    <w:rsid w:val="000C6CDE"/>
    <w:rsid w:val="000D0268"/>
    <w:rsid w:val="000D162B"/>
    <w:rsid w:val="000D202A"/>
    <w:rsid w:val="000D34BE"/>
    <w:rsid w:val="000D65A9"/>
    <w:rsid w:val="000E0651"/>
    <w:rsid w:val="000E102F"/>
    <w:rsid w:val="000E2D1C"/>
    <w:rsid w:val="000E2E8C"/>
    <w:rsid w:val="000E36F1"/>
    <w:rsid w:val="000E3A73"/>
    <w:rsid w:val="000E414A"/>
    <w:rsid w:val="000F093C"/>
    <w:rsid w:val="000F787B"/>
    <w:rsid w:val="000F7A0C"/>
    <w:rsid w:val="000F7C84"/>
    <w:rsid w:val="00104BC9"/>
    <w:rsid w:val="001053CB"/>
    <w:rsid w:val="0010621E"/>
    <w:rsid w:val="001065BD"/>
    <w:rsid w:val="00106B28"/>
    <w:rsid w:val="001143B9"/>
    <w:rsid w:val="0012006B"/>
    <w:rsid w:val="0012091F"/>
    <w:rsid w:val="00122C63"/>
    <w:rsid w:val="001244E7"/>
    <w:rsid w:val="00125CE3"/>
    <w:rsid w:val="00126BC2"/>
    <w:rsid w:val="0013062A"/>
    <w:rsid w:val="001308B6"/>
    <w:rsid w:val="0013121F"/>
    <w:rsid w:val="00131FE6"/>
    <w:rsid w:val="0013263F"/>
    <w:rsid w:val="001331DF"/>
    <w:rsid w:val="00134DE4"/>
    <w:rsid w:val="00135403"/>
    <w:rsid w:val="00140014"/>
    <w:rsid w:val="001401E7"/>
    <w:rsid w:val="0014034D"/>
    <w:rsid w:val="00144D16"/>
    <w:rsid w:val="00145935"/>
    <w:rsid w:val="00150BF3"/>
    <w:rsid w:val="00150E59"/>
    <w:rsid w:val="00152DE3"/>
    <w:rsid w:val="0015394B"/>
    <w:rsid w:val="001556B4"/>
    <w:rsid w:val="0015660E"/>
    <w:rsid w:val="00164CF9"/>
    <w:rsid w:val="001667A6"/>
    <w:rsid w:val="00166BD8"/>
    <w:rsid w:val="00167A0C"/>
    <w:rsid w:val="0017473D"/>
    <w:rsid w:val="00176C6A"/>
    <w:rsid w:val="00184AD6"/>
    <w:rsid w:val="001850C4"/>
    <w:rsid w:val="00186E4A"/>
    <w:rsid w:val="001A03F0"/>
    <w:rsid w:val="001A4AF7"/>
    <w:rsid w:val="001A543B"/>
    <w:rsid w:val="001A78D7"/>
    <w:rsid w:val="001B0292"/>
    <w:rsid w:val="001B0349"/>
    <w:rsid w:val="001B1E93"/>
    <w:rsid w:val="001B65C1"/>
    <w:rsid w:val="001B73B8"/>
    <w:rsid w:val="001C5FC1"/>
    <w:rsid w:val="001C684B"/>
    <w:rsid w:val="001C784A"/>
    <w:rsid w:val="001C7F37"/>
    <w:rsid w:val="001D0CFB"/>
    <w:rsid w:val="001D5082"/>
    <w:rsid w:val="001D5160"/>
    <w:rsid w:val="001D53FC"/>
    <w:rsid w:val="001E0D7B"/>
    <w:rsid w:val="001F42A5"/>
    <w:rsid w:val="001F4E1E"/>
    <w:rsid w:val="001F6A26"/>
    <w:rsid w:val="001F7B9D"/>
    <w:rsid w:val="00201C93"/>
    <w:rsid w:val="00206772"/>
    <w:rsid w:val="0020746F"/>
    <w:rsid w:val="00210868"/>
    <w:rsid w:val="00211257"/>
    <w:rsid w:val="00215DF5"/>
    <w:rsid w:val="00216953"/>
    <w:rsid w:val="002224B4"/>
    <w:rsid w:val="0022396C"/>
    <w:rsid w:val="00236E54"/>
    <w:rsid w:val="00237AED"/>
    <w:rsid w:val="002416BF"/>
    <w:rsid w:val="00241B89"/>
    <w:rsid w:val="00243A39"/>
    <w:rsid w:val="00243AD4"/>
    <w:rsid w:val="002447EF"/>
    <w:rsid w:val="00247F0B"/>
    <w:rsid w:val="00247F5F"/>
    <w:rsid w:val="00251550"/>
    <w:rsid w:val="00253ED9"/>
    <w:rsid w:val="0025661A"/>
    <w:rsid w:val="00256D3E"/>
    <w:rsid w:val="002614A7"/>
    <w:rsid w:val="002618C5"/>
    <w:rsid w:val="00263B05"/>
    <w:rsid w:val="0027221A"/>
    <w:rsid w:val="002731C3"/>
    <w:rsid w:val="00273A59"/>
    <w:rsid w:val="00275B61"/>
    <w:rsid w:val="00280FAF"/>
    <w:rsid w:val="002813A9"/>
    <w:rsid w:val="00282656"/>
    <w:rsid w:val="002848F4"/>
    <w:rsid w:val="00284F5D"/>
    <w:rsid w:val="0029230D"/>
    <w:rsid w:val="00296B83"/>
    <w:rsid w:val="00296F8B"/>
    <w:rsid w:val="00297115"/>
    <w:rsid w:val="002A6132"/>
    <w:rsid w:val="002B22D3"/>
    <w:rsid w:val="002B270C"/>
    <w:rsid w:val="002B4015"/>
    <w:rsid w:val="002B650B"/>
    <w:rsid w:val="002B6D8A"/>
    <w:rsid w:val="002B78CE"/>
    <w:rsid w:val="002C2FB6"/>
    <w:rsid w:val="002C4456"/>
    <w:rsid w:val="002C54FA"/>
    <w:rsid w:val="002C7130"/>
    <w:rsid w:val="002D015A"/>
    <w:rsid w:val="002D0A65"/>
    <w:rsid w:val="002D0BF1"/>
    <w:rsid w:val="002D2C83"/>
    <w:rsid w:val="002D3E4B"/>
    <w:rsid w:val="002D6409"/>
    <w:rsid w:val="002E08EA"/>
    <w:rsid w:val="002E0E7B"/>
    <w:rsid w:val="002E4CB2"/>
    <w:rsid w:val="002E5FA7"/>
    <w:rsid w:val="002F1D83"/>
    <w:rsid w:val="002F21F7"/>
    <w:rsid w:val="002F32B1"/>
    <w:rsid w:val="002F3309"/>
    <w:rsid w:val="003008CE"/>
    <w:rsid w:val="003009B7"/>
    <w:rsid w:val="00300E56"/>
    <w:rsid w:val="003021DB"/>
    <w:rsid w:val="003040C1"/>
    <w:rsid w:val="0030469C"/>
    <w:rsid w:val="00307309"/>
    <w:rsid w:val="003160D3"/>
    <w:rsid w:val="003175DA"/>
    <w:rsid w:val="00320279"/>
    <w:rsid w:val="00321CA6"/>
    <w:rsid w:val="003229E4"/>
    <w:rsid w:val="00323763"/>
    <w:rsid w:val="003242D8"/>
    <w:rsid w:val="00326A81"/>
    <w:rsid w:val="00332F60"/>
    <w:rsid w:val="00334C09"/>
    <w:rsid w:val="00336622"/>
    <w:rsid w:val="003440EF"/>
    <w:rsid w:val="00345EE7"/>
    <w:rsid w:val="00347D4D"/>
    <w:rsid w:val="00351B28"/>
    <w:rsid w:val="00351D9C"/>
    <w:rsid w:val="00364E09"/>
    <w:rsid w:val="00365B8F"/>
    <w:rsid w:val="00366D00"/>
    <w:rsid w:val="00370572"/>
    <w:rsid w:val="003723D4"/>
    <w:rsid w:val="0037287E"/>
    <w:rsid w:val="003764A3"/>
    <w:rsid w:val="00380460"/>
    <w:rsid w:val="00381905"/>
    <w:rsid w:val="00384CC8"/>
    <w:rsid w:val="003867BE"/>
    <w:rsid w:val="003871FD"/>
    <w:rsid w:val="00387349"/>
    <w:rsid w:val="00387A99"/>
    <w:rsid w:val="003A1E30"/>
    <w:rsid w:val="003A2829"/>
    <w:rsid w:val="003A2B70"/>
    <w:rsid w:val="003A3091"/>
    <w:rsid w:val="003A7D1C"/>
    <w:rsid w:val="003B304B"/>
    <w:rsid w:val="003B3146"/>
    <w:rsid w:val="003B5E8F"/>
    <w:rsid w:val="003B69B5"/>
    <w:rsid w:val="003C3310"/>
    <w:rsid w:val="003C3BFE"/>
    <w:rsid w:val="003C557E"/>
    <w:rsid w:val="003C5A2F"/>
    <w:rsid w:val="003C60FB"/>
    <w:rsid w:val="003C6561"/>
    <w:rsid w:val="003D0871"/>
    <w:rsid w:val="003D79D7"/>
    <w:rsid w:val="003E52CD"/>
    <w:rsid w:val="003E58E1"/>
    <w:rsid w:val="003F015E"/>
    <w:rsid w:val="003F0AD7"/>
    <w:rsid w:val="003F0D45"/>
    <w:rsid w:val="003F1D6F"/>
    <w:rsid w:val="00400414"/>
    <w:rsid w:val="004010F2"/>
    <w:rsid w:val="00401F00"/>
    <w:rsid w:val="00402A46"/>
    <w:rsid w:val="00403E9E"/>
    <w:rsid w:val="00405801"/>
    <w:rsid w:val="00406B17"/>
    <w:rsid w:val="0041018A"/>
    <w:rsid w:val="00410A28"/>
    <w:rsid w:val="0041446B"/>
    <w:rsid w:val="00416C90"/>
    <w:rsid w:val="004255BF"/>
    <w:rsid w:val="00427314"/>
    <w:rsid w:val="00431778"/>
    <w:rsid w:val="0043230A"/>
    <w:rsid w:val="00432A47"/>
    <w:rsid w:val="0044041A"/>
    <w:rsid w:val="0044329C"/>
    <w:rsid w:val="004439AF"/>
    <w:rsid w:val="004471A0"/>
    <w:rsid w:val="00453E24"/>
    <w:rsid w:val="004544CB"/>
    <w:rsid w:val="00457456"/>
    <w:rsid w:val="004577FE"/>
    <w:rsid w:val="00457B9C"/>
    <w:rsid w:val="0046164A"/>
    <w:rsid w:val="004618C4"/>
    <w:rsid w:val="004628D2"/>
    <w:rsid w:val="00462DCD"/>
    <w:rsid w:val="00463A13"/>
    <w:rsid w:val="004648AD"/>
    <w:rsid w:val="004703A9"/>
    <w:rsid w:val="00470F8C"/>
    <w:rsid w:val="004760DE"/>
    <w:rsid w:val="004763D7"/>
    <w:rsid w:val="00476FBC"/>
    <w:rsid w:val="004772C0"/>
    <w:rsid w:val="0047796A"/>
    <w:rsid w:val="00491DC9"/>
    <w:rsid w:val="00492E65"/>
    <w:rsid w:val="004969F9"/>
    <w:rsid w:val="004A004E"/>
    <w:rsid w:val="004A24CF"/>
    <w:rsid w:val="004A52DE"/>
    <w:rsid w:val="004A6A80"/>
    <w:rsid w:val="004B0130"/>
    <w:rsid w:val="004B10B8"/>
    <w:rsid w:val="004B1CEE"/>
    <w:rsid w:val="004B272A"/>
    <w:rsid w:val="004B641D"/>
    <w:rsid w:val="004C3D1D"/>
    <w:rsid w:val="004C3EDE"/>
    <w:rsid w:val="004C7913"/>
    <w:rsid w:val="004D3940"/>
    <w:rsid w:val="004E25FD"/>
    <w:rsid w:val="004E4789"/>
    <w:rsid w:val="004E4DD6"/>
    <w:rsid w:val="004E66BE"/>
    <w:rsid w:val="004F5E36"/>
    <w:rsid w:val="00503A98"/>
    <w:rsid w:val="00506171"/>
    <w:rsid w:val="00507B47"/>
    <w:rsid w:val="00507BEF"/>
    <w:rsid w:val="00507CC9"/>
    <w:rsid w:val="005119A5"/>
    <w:rsid w:val="00517878"/>
    <w:rsid w:val="00525439"/>
    <w:rsid w:val="00525B90"/>
    <w:rsid w:val="005278B7"/>
    <w:rsid w:val="00532016"/>
    <w:rsid w:val="005346C8"/>
    <w:rsid w:val="005372F3"/>
    <w:rsid w:val="00541F45"/>
    <w:rsid w:val="005425C1"/>
    <w:rsid w:val="00542917"/>
    <w:rsid w:val="00543E7D"/>
    <w:rsid w:val="005440F4"/>
    <w:rsid w:val="005456C5"/>
    <w:rsid w:val="00547A68"/>
    <w:rsid w:val="0055121D"/>
    <w:rsid w:val="00551D86"/>
    <w:rsid w:val="005531C9"/>
    <w:rsid w:val="00561566"/>
    <w:rsid w:val="0056210F"/>
    <w:rsid w:val="00563E61"/>
    <w:rsid w:val="00570C43"/>
    <w:rsid w:val="005718A1"/>
    <w:rsid w:val="005726BD"/>
    <w:rsid w:val="00574E09"/>
    <w:rsid w:val="00575331"/>
    <w:rsid w:val="00577853"/>
    <w:rsid w:val="00591550"/>
    <w:rsid w:val="00594AD8"/>
    <w:rsid w:val="005A14ED"/>
    <w:rsid w:val="005A494D"/>
    <w:rsid w:val="005A60D4"/>
    <w:rsid w:val="005B2110"/>
    <w:rsid w:val="005B3FC5"/>
    <w:rsid w:val="005B61E6"/>
    <w:rsid w:val="005C1703"/>
    <w:rsid w:val="005C610F"/>
    <w:rsid w:val="005C77E1"/>
    <w:rsid w:val="005D337F"/>
    <w:rsid w:val="005D668A"/>
    <w:rsid w:val="005D6A2F"/>
    <w:rsid w:val="005E1A82"/>
    <w:rsid w:val="005E68DB"/>
    <w:rsid w:val="005E794C"/>
    <w:rsid w:val="005F06F3"/>
    <w:rsid w:val="005F0A28"/>
    <w:rsid w:val="005F0E5E"/>
    <w:rsid w:val="005F1BCA"/>
    <w:rsid w:val="005F2AEC"/>
    <w:rsid w:val="005F4661"/>
    <w:rsid w:val="005F50B1"/>
    <w:rsid w:val="00600535"/>
    <w:rsid w:val="00601DD2"/>
    <w:rsid w:val="00604DB7"/>
    <w:rsid w:val="0060632B"/>
    <w:rsid w:val="00610676"/>
    <w:rsid w:val="00610CD6"/>
    <w:rsid w:val="00611F72"/>
    <w:rsid w:val="006176D4"/>
    <w:rsid w:val="00620DEE"/>
    <w:rsid w:val="00621F92"/>
    <w:rsid w:val="0062280A"/>
    <w:rsid w:val="00625639"/>
    <w:rsid w:val="00627AE9"/>
    <w:rsid w:val="00631B33"/>
    <w:rsid w:val="00635CB1"/>
    <w:rsid w:val="0063760E"/>
    <w:rsid w:val="0064184D"/>
    <w:rsid w:val="006422CC"/>
    <w:rsid w:val="00643145"/>
    <w:rsid w:val="0064352D"/>
    <w:rsid w:val="00647AAC"/>
    <w:rsid w:val="0065185E"/>
    <w:rsid w:val="006518BF"/>
    <w:rsid w:val="006523D2"/>
    <w:rsid w:val="006526EC"/>
    <w:rsid w:val="00655173"/>
    <w:rsid w:val="0066005F"/>
    <w:rsid w:val="00660995"/>
    <w:rsid w:val="00660E3E"/>
    <w:rsid w:val="006618A9"/>
    <w:rsid w:val="00662E74"/>
    <w:rsid w:val="00665323"/>
    <w:rsid w:val="006653D1"/>
    <w:rsid w:val="006674C5"/>
    <w:rsid w:val="00672A00"/>
    <w:rsid w:val="00674E91"/>
    <w:rsid w:val="00680C23"/>
    <w:rsid w:val="00684E75"/>
    <w:rsid w:val="006912E5"/>
    <w:rsid w:val="00693766"/>
    <w:rsid w:val="00695035"/>
    <w:rsid w:val="006970C5"/>
    <w:rsid w:val="006A1311"/>
    <w:rsid w:val="006A3281"/>
    <w:rsid w:val="006A5F52"/>
    <w:rsid w:val="006B1ABD"/>
    <w:rsid w:val="006B1B08"/>
    <w:rsid w:val="006B1D5D"/>
    <w:rsid w:val="006B2E74"/>
    <w:rsid w:val="006B39E7"/>
    <w:rsid w:val="006B4888"/>
    <w:rsid w:val="006B54C8"/>
    <w:rsid w:val="006C2E45"/>
    <w:rsid w:val="006C359C"/>
    <w:rsid w:val="006C5579"/>
    <w:rsid w:val="006D3DEA"/>
    <w:rsid w:val="006D5EA0"/>
    <w:rsid w:val="006D6E8B"/>
    <w:rsid w:val="006E64F8"/>
    <w:rsid w:val="006E737D"/>
    <w:rsid w:val="006E7490"/>
    <w:rsid w:val="006F46D6"/>
    <w:rsid w:val="00700823"/>
    <w:rsid w:val="00702F4D"/>
    <w:rsid w:val="00703A7B"/>
    <w:rsid w:val="00703B54"/>
    <w:rsid w:val="00703FF0"/>
    <w:rsid w:val="007047A7"/>
    <w:rsid w:val="007074DE"/>
    <w:rsid w:val="00707B63"/>
    <w:rsid w:val="00707D9D"/>
    <w:rsid w:val="00713973"/>
    <w:rsid w:val="00714BCB"/>
    <w:rsid w:val="007150FF"/>
    <w:rsid w:val="007169C7"/>
    <w:rsid w:val="00720A24"/>
    <w:rsid w:val="00720D9B"/>
    <w:rsid w:val="0072192F"/>
    <w:rsid w:val="007224E7"/>
    <w:rsid w:val="0072387E"/>
    <w:rsid w:val="007248D1"/>
    <w:rsid w:val="00724B5F"/>
    <w:rsid w:val="007271F7"/>
    <w:rsid w:val="00730823"/>
    <w:rsid w:val="007318E0"/>
    <w:rsid w:val="00732386"/>
    <w:rsid w:val="00732F25"/>
    <w:rsid w:val="0073514D"/>
    <w:rsid w:val="00742BCD"/>
    <w:rsid w:val="0074307E"/>
    <w:rsid w:val="007447F3"/>
    <w:rsid w:val="00746D68"/>
    <w:rsid w:val="00747BDE"/>
    <w:rsid w:val="00750181"/>
    <w:rsid w:val="0075499F"/>
    <w:rsid w:val="00755F7E"/>
    <w:rsid w:val="007560A0"/>
    <w:rsid w:val="0076036F"/>
    <w:rsid w:val="00761A17"/>
    <w:rsid w:val="007661C8"/>
    <w:rsid w:val="0077098D"/>
    <w:rsid w:val="007725C5"/>
    <w:rsid w:val="00774F70"/>
    <w:rsid w:val="00775ECE"/>
    <w:rsid w:val="00777612"/>
    <w:rsid w:val="00784CEE"/>
    <w:rsid w:val="00790576"/>
    <w:rsid w:val="007931FA"/>
    <w:rsid w:val="007958CB"/>
    <w:rsid w:val="007A389C"/>
    <w:rsid w:val="007A4861"/>
    <w:rsid w:val="007A5483"/>
    <w:rsid w:val="007A614F"/>
    <w:rsid w:val="007A69F9"/>
    <w:rsid w:val="007A7BBA"/>
    <w:rsid w:val="007B0C50"/>
    <w:rsid w:val="007B48F9"/>
    <w:rsid w:val="007B4A78"/>
    <w:rsid w:val="007C1A43"/>
    <w:rsid w:val="007C3ED9"/>
    <w:rsid w:val="007C700A"/>
    <w:rsid w:val="007C7CC7"/>
    <w:rsid w:val="007D1CD7"/>
    <w:rsid w:val="007D2A96"/>
    <w:rsid w:val="007E0E5F"/>
    <w:rsid w:val="007E51FA"/>
    <w:rsid w:val="007F12B5"/>
    <w:rsid w:val="007F6625"/>
    <w:rsid w:val="007F7640"/>
    <w:rsid w:val="007F7993"/>
    <w:rsid w:val="0080013E"/>
    <w:rsid w:val="00802C7B"/>
    <w:rsid w:val="00804A50"/>
    <w:rsid w:val="0081020D"/>
    <w:rsid w:val="00813288"/>
    <w:rsid w:val="008168FC"/>
    <w:rsid w:val="008236A2"/>
    <w:rsid w:val="00825DD9"/>
    <w:rsid w:val="00830996"/>
    <w:rsid w:val="008345F1"/>
    <w:rsid w:val="00843990"/>
    <w:rsid w:val="008443B1"/>
    <w:rsid w:val="008523B9"/>
    <w:rsid w:val="0085381D"/>
    <w:rsid w:val="00865B07"/>
    <w:rsid w:val="00865B2F"/>
    <w:rsid w:val="008667EA"/>
    <w:rsid w:val="00875A88"/>
    <w:rsid w:val="0087637F"/>
    <w:rsid w:val="00877892"/>
    <w:rsid w:val="00881C64"/>
    <w:rsid w:val="0088452B"/>
    <w:rsid w:val="0088610C"/>
    <w:rsid w:val="00886AED"/>
    <w:rsid w:val="00892AD5"/>
    <w:rsid w:val="00895B39"/>
    <w:rsid w:val="00897F46"/>
    <w:rsid w:val="008A1512"/>
    <w:rsid w:val="008A2901"/>
    <w:rsid w:val="008A5902"/>
    <w:rsid w:val="008A5AA8"/>
    <w:rsid w:val="008A60A0"/>
    <w:rsid w:val="008B45EA"/>
    <w:rsid w:val="008B64D3"/>
    <w:rsid w:val="008B6CE9"/>
    <w:rsid w:val="008C029E"/>
    <w:rsid w:val="008C03C5"/>
    <w:rsid w:val="008C4E62"/>
    <w:rsid w:val="008C741E"/>
    <w:rsid w:val="008D289F"/>
    <w:rsid w:val="008D2C7B"/>
    <w:rsid w:val="008D32B9"/>
    <w:rsid w:val="008D433B"/>
    <w:rsid w:val="008D43D0"/>
    <w:rsid w:val="008D4D63"/>
    <w:rsid w:val="008E00C5"/>
    <w:rsid w:val="008E02B3"/>
    <w:rsid w:val="008E566E"/>
    <w:rsid w:val="008E5C57"/>
    <w:rsid w:val="008E7603"/>
    <w:rsid w:val="008F7387"/>
    <w:rsid w:val="008F7A96"/>
    <w:rsid w:val="00901414"/>
    <w:rsid w:val="0090161A"/>
    <w:rsid w:val="00901EB6"/>
    <w:rsid w:val="00904731"/>
    <w:rsid w:val="00904C62"/>
    <w:rsid w:val="00905DA9"/>
    <w:rsid w:val="00912BF3"/>
    <w:rsid w:val="00912D6F"/>
    <w:rsid w:val="00913924"/>
    <w:rsid w:val="009156D2"/>
    <w:rsid w:val="009208AA"/>
    <w:rsid w:val="009212C4"/>
    <w:rsid w:val="00922BA8"/>
    <w:rsid w:val="0092328A"/>
    <w:rsid w:val="0092473F"/>
    <w:rsid w:val="00924DAC"/>
    <w:rsid w:val="009269C2"/>
    <w:rsid w:val="00927058"/>
    <w:rsid w:val="00930964"/>
    <w:rsid w:val="00933DF1"/>
    <w:rsid w:val="0093777C"/>
    <w:rsid w:val="00942750"/>
    <w:rsid w:val="00944A58"/>
    <w:rsid w:val="009450CE"/>
    <w:rsid w:val="00947179"/>
    <w:rsid w:val="00947D01"/>
    <w:rsid w:val="00947FA6"/>
    <w:rsid w:val="0095164B"/>
    <w:rsid w:val="00954090"/>
    <w:rsid w:val="009573E7"/>
    <w:rsid w:val="00963E05"/>
    <w:rsid w:val="00967843"/>
    <w:rsid w:val="00967CE4"/>
    <w:rsid w:val="00967D54"/>
    <w:rsid w:val="00971028"/>
    <w:rsid w:val="00973E4E"/>
    <w:rsid w:val="00985B3C"/>
    <w:rsid w:val="00993B84"/>
    <w:rsid w:val="00996483"/>
    <w:rsid w:val="00996F5A"/>
    <w:rsid w:val="009B041A"/>
    <w:rsid w:val="009C0119"/>
    <w:rsid w:val="009C3724"/>
    <w:rsid w:val="009C37C3"/>
    <w:rsid w:val="009C4D86"/>
    <w:rsid w:val="009C766D"/>
    <w:rsid w:val="009C7C86"/>
    <w:rsid w:val="009D1671"/>
    <w:rsid w:val="009D2FF7"/>
    <w:rsid w:val="009D37CF"/>
    <w:rsid w:val="009E57A5"/>
    <w:rsid w:val="009E5BFD"/>
    <w:rsid w:val="009E7884"/>
    <w:rsid w:val="009E788A"/>
    <w:rsid w:val="009F0E08"/>
    <w:rsid w:val="009F0FE3"/>
    <w:rsid w:val="009F70F5"/>
    <w:rsid w:val="009F7E78"/>
    <w:rsid w:val="00A011EF"/>
    <w:rsid w:val="00A06DA2"/>
    <w:rsid w:val="00A0793F"/>
    <w:rsid w:val="00A139FC"/>
    <w:rsid w:val="00A1763D"/>
    <w:rsid w:val="00A17CEC"/>
    <w:rsid w:val="00A27EF0"/>
    <w:rsid w:val="00A34D79"/>
    <w:rsid w:val="00A34EE3"/>
    <w:rsid w:val="00A42361"/>
    <w:rsid w:val="00A50828"/>
    <w:rsid w:val="00A50B20"/>
    <w:rsid w:val="00A51390"/>
    <w:rsid w:val="00A57336"/>
    <w:rsid w:val="00A60D13"/>
    <w:rsid w:val="00A62EF2"/>
    <w:rsid w:val="00A66B2D"/>
    <w:rsid w:val="00A72660"/>
    <w:rsid w:val="00A72745"/>
    <w:rsid w:val="00A72E7A"/>
    <w:rsid w:val="00A74D54"/>
    <w:rsid w:val="00A76898"/>
    <w:rsid w:val="00A76EFC"/>
    <w:rsid w:val="00A77E86"/>
    <w:rsid w:val="00A91010"/>
    <w:rsid w:val="00A97F29"/>
    <w:rsid w:val="00AA1F8D"/>
    <w:rsid w:val="00AA35EA"/>
    <w:rsid w:val="00AA3A4A"/>
    <w:rsid w:val="00AA47A9"/>
    <w:rsid w:val="00AA5140"/>
    <w:rsid w:val="00AA702E"/>
    <w:rsid w:val="00AB0617"/>
    <w:rsid w:val="00AB0964"/>
    <w:rsid w:val="00AB1709"/>
    <w:rsid w:val="00AB27A2"/>
    <w:rsid w:val="00AB5011"/>
    <w:rsid w:val="00AB7FE9"/>
    <w:rsid w:val="00AC2E65"/>
    <w:rsid w:val="00AC7368"/>
    <w:rsid w:val="00AD023E"/>
    <w:rsid w:val="00AD16B9"/>
    <w:rsid w:val="00AD4AA9"/>
    <w:rsid w:val="00AE36E1"/>
    <w:rsid w:val="00AE377D"/>
    <w:rsid w:val="00AF0EBA"/>
    <w:rsid w:val="00AF3745"/>
    <w:rsid w:val="00AF4198"/>
    <w:rsid w:val="00AF4730"/>
    <w:rsid w:val="00AF7109"/>
    <w:rsid w:val="00B02C8A"/>
    <w:rsid w:val="00B06713"/>
    <w:rsid w:val="00B069A0"/>
    <w:rsid w:val="00B12ADB"/>
    <w:rsid w:val="00B13723"/>
    <w:rsid w:val="00B13C5E"/>
    <w:rsid w:val="00B14000"/>
    <w:rsid w:val="00B157A6"/>
    <w:rsid w:val="00B17FBD"/>
    <w:rsid w:val="00B23064"/>
    <w:rsid w:val="00B27DFC"/>
    <w:rsid w:val="00B315A6"/>
    <w:rsid w:val="00B31813"/>
    <w:rsid w:val="00B33365"/>
    <w:rsid w:val="00B35C0E"/>
    <w:rsid w:val="00B37B1D"/>
    <w:rsid w:val="00B427D0"/>
    <w:rsid w:val="00B57B36"/>
    <w:rsid w:val="00B57E6F"/>
    <w:rsid w:val="00B64966"/>
    <w:rsid w:val="00B656BA"/>
    <w:rsid w:val="00B65857"/>
    <w:rsid w:val="00B67FF1"/>
    <w:rsid w:val="00B71D11"/>
    <w:rsid w:val="00B8681F"/>
    <w:rsid w:val="00B8686D"/>
    <w:rsid w:val="00B869A6"/>
    <w:rsid w:val="00B93F69"/>
    <w:rsid w:val="00BB1DDC"/>
    <w:rsid w:val="00BB3E6B"/>
    <w:rsid w:val="00BB5E35"/>
    <w:rsid w:val="00BC0B47"/>
    <w:rsid w:val="00BC1E00"/>
    <w:rsid w:val="00BC30C9"/>
    <w:rsid w:val="00BC4902"/>
    <w:rsid w:val="00BC5ED5"/>
    <w:rsid w:val="00BD077D"/>
    <w:rsid w:val="00BE3E58"/>
    <w:rsid w:val="00BF1EA4"/>
    <w:rsid w:val="00BF2475"/>
    <w:rsid w:val="00BF56AD"/>
    <w:rsid w:val="00C0062E"/>
    <w:rsid w:val="00C01616"/>
    <w:rsid w:val="00C0162B"/>
    <w:rsid w:val="00C04088"/>
    <w:rsid w:val="00C05867"/>
    <w:rsid w:val="00C068ED"/>
    <w:rsid w:val="00C07B45"/>
    <w:rsid w:val="00C10DFD"/>
    <w:rsid w:val="00C20C3E"/>
    <w:rsid w:val="00C22E0C"/>
    <w:rsid w:val="00C24605"/>
    <w:rsid w:val="00C302F6"/>
    <w:rsid w:val="00C33B07"/>
    <w:rsid w:val="00C345B1"/>
    <w:rsid w:val="00C40142"/>
    <w:rsid w:val="00C50181"/>
    <w:rsid w:val="00C523B4"/>
    <w:rsid w:val="00C52C3C"/>
    <w:rsid w:val="00C55FED"/>
    <w:rsid w:val="00C57182"/>
    <w:rsid w:val="00C57863"/>
    <w:rsid w:val="00C655FD"/>
    <w:rsid w:val="00C74321"/>
    <w:rsid w:val="00C75407"/>
    <w:rsid w:val="00C7623E"/>
    <w:rsid w:val="00C80644"/>
    <w:rsid w:val="00C81C9F"/>
    <w:rsid w:val="00C8637F"/>
    <w:rsid w:val="00C870A8"/>
    <w:rsid w:val="00C916B3"/>
    <w:rsid w:val="00C94434"/>
    <w:rsid w:val="00C94C2F"/>
    <w:rsid w:val="00C96947"/>
    <w:rsid w:val="00CA0D75"/>
    <w:rsid w:val="00CA0E94"/>
    <w:rsid w:val="00CA19A6"/>
    <w:rsid w:val="00CA1C95"/>
    <w:rsid w:val="00CA45F5"/>
    <w:rsid w:val="00CA5A9C"/>
    <w:rsid w:val="00CA6263"/>
    <w:rsid w:val="00CB2BFC"/>
    <w:rsid w:val="00CB7768"/>
    <w:rsid w:val="00CC0C42"/>
    <w:rsid w:val="00CC43A3"/>
    <w:rsid w:val="00CC4C20"/>
    <w:rsid w:val="00CC59A8"/>
    <w:rsid w:val="00CC6683"/>
    <w:rsid w:val="00CD3517"/>
    <w:rsid w:val="00CD5864"/>
    <w:rsid w:val="00CD5FE2"/>
    <w:rsid w:val="00CE18CD"/>
    <w:rsid w:val="00CE1CC6"/>
    <w:rsid w:val="00CE483D"/>
    <w:rsid w:val="00CE4E26"/>
    <w:rsid w:val="00CE7C68"/>
    <w:rsid w:val="00CF5B6A"/>
    <w:rsid w:val="00CF6C74"/>
    <w:rsid w:val="00D00A27"/>
    <w:rsid w:val="00D02B4C"/>
    <w:rsid w:val="00D040C4"/>
    <w:rsid w:val="00D05DFB"/>
    <w:rsid w:val="00D06D9F"/>
    <w:rsid w:val="00D076E0"/>
    <w:rsid w:val="00D07D7D"/>
    <w:rsid w:val="00D10E60"/>
    <w:rsid w:val="00D12D1E"/>
    <w:rsid w:val="00D14A5A"/>
    <w:rsid w:val="00D17B82"/>
    <w:rsid w:val="00D20471"/>
    <w:rsid w:val="00D228F9"/>
    <w:rsid w:val="00D235D3"/>
    <w:rsid w:val="00D25558"/>
    <w:rsid w:val="00D25AA0"/>
    <w:rsid w:val="00D31112"/>
    <w:rsid w:val="00D44FDC"/>
    <w:rsid w:val="00D46B7E"/>
    <w:rsid w:val="00D50B43"/>
    <w:rsid w:val="00D519EF"/>
    <w:rsid w:val="00D57C84"/>
    <w:rsid w:val="00D6057D"/>
    <w:rsid w:val="00D609F9"/>
    <w:rsid w:val="00D6288A"/>
    <w:rsid w:val="00D6485D"/>
    <w:rsid w:val="00D65550"/>
    <w:rsid w:val="00D836C5"/>
    <w:rsid w:val="00D84576"/>
    <w:rsid w:val="00D93D2E"/>
    <w:rsid w:val="00D95F04"/>
    <w:rsid w:val="00D9704C"/>
    <w:rsid w:val="00DA0836"/>
    <w:rsid w:val="00DA1092"/>
    <w:rsid w:val="00DA12E4"/>
    <w:rsid w:val="00DA1399"/>
    <w:rsid w:val="00DA24C6"/>
    <w:rsid w:val="00DA4D7B"/>
    <w:rsid w:val="00DB10FA"/>
    <w:rsid w:val="00DB179A"/>
    <w:rsid w:val="00DB6BCD"/>
    <w:rsid w:val="00DD3BB9"/>
    <w:rsid w:val="00DD52B7"/>
    <w:rsid w:val="00DD7434"/>
    <w:rsid w:val="00DE0EBF"/>
    <w:rsid w:val="00DE264A"/>
    <w:rsid w:val="00DF0BEA"/>
    <w:rsid w:val="00DF2C6A"/>
    <w:rsid w:val="00DF5072"/>
    <w:rsid w:val="00DF7CB1"/>
    <w:rsid w:val="00E002F4"/>
    <w:rsid w:val="00E02D18"/>
    <w:rsid w:val="00E036D1"/>
    <w:rsid w:val="00E041E7"/>
    <w:rsid w:val="00E07525"/>
    <w:rsid w:val="00E11255"/>
    <w:rsid w:val="00E2220F"/>
    <w:rsid w:val="00E23CA1"/>
    <w:rsid w:val="00E24646"/>
    <w:rsid w:val="00E2538C"/>
    <w:rsid w:val="00E30EFD"/>
    <w:rsid w:val="00E357B1"/>
    <w:rsid w:val="00E409A8"/>
    <w:rsid w:val="00E40B31"/>
    <w:rsid w:val="00E44DDA"/>
    <w:rsid w:val="00E4596B"/>
    <w:rsid w:val="00E50C12"/>
    <w:rsid w:val="00E60081"/>
    <w:rsid w:val="00E65B91"/>
    <w:rsid w:val="00E65F6E"/>
    <w:rsid w:val="00E7209D"/>
    <w:rsid w:val="00E72EAD"/>
    <w:rsid w:val="00E76837"/>
    <w:rsid w:val="00E769F0"/>
    <w:rsid w:val="00E77223"/>
    <w:rsid w:val="00E80D96"/>
    <w:rsid w:val="00E82C0E"/>
    <w:rsid w:val="00E8528B"/>
    <w:rsid w:val="00E85B94"/>
    <w:rsid w:val="00E908EE"/>
    <w:rsid w:val="00E90E35"/>
    <w:rsid w:val="00E92653"/>
    <w:rsid w:val="00E94AD1"/>
    <w:rsid w:val="00E978D0"/>
    <w:rsid w:val="00EA0EAC"/>
    <w:rsid w:val="00EA271E"/>
    <w:rsid w:val="00EA2BED"/>
    <w:rsid w:val="00EA4613"/>
    <w:rsid w:val="00EA4F8A"/>
    <w:rsid w:val="00EA7A2F"/>
    <w:rsid w:val="00EA7F91"/>
    <w:rsid w:val="00EA7FE3"/>
    <w:rsid w:val="00EB0ED6"/>
    <w:rsid w:val="00EB1523"/>
    <w:rsid w:val="00EB2EEE"/>
    <w:rsid w:val="00EB5B57"/>
    <w:rsid w:val="00EC0E49"/>
    <w:rsid w:val="00EC101F"/>
    <w:rsid w:val="00EC1D9F"/>
    <w:rsid w:val="00EC2022"/>
    <w:rsid w:val="00EC62E8"/>
    <w:rsid w:val="00ED3DE9"/>
    <w:rsid w:val="00ED7C9C"/>
    <w:rsid w:val="00EE0131"/>
    <w:rsid w:val="00EE17B0"/>
    <w:rsid w:val="00EE636C"/>
    <w:rsid w:val="00EE6D29"/>
    <w:rsid w:val="00EE777C"/>
    <w:rsid w:val="00EF06D9"/>
    <w:rsid w:val="00EF16ED"/>
    <w:rsid w:val="00EF1D50"/>
    <w:rsid w:val="00EF24CB"/>
    <w:rsid w:val="00EF28B6"/>
    <w:rsid w:val="00EF381B"/>
    <w:rsid w:val="00EF4756"/>
    <w:rsid w:val="00F027E0"/>
    <w:rsid w:val="00F04A4E"/>
    <w:rsid w:val="00F06925"/>
    <w:rsid w:val="00F10D01"/>
    <w:rsid w:val="00F133EA"/>
    <w:rsid w:val="00F1401A"/>
    <w:rsid w:val="00F16576"/>
    <w:rsid w:val="00F16B98"/>
    <w:rsid w:val="00F1758C"/>
    <w:rsid w:val="00F17764"/>
    <w:rsid w:val="00F2228C"/>
    <w:rsid w:val="00F23572"/>
    <w:rsid w:val="00F26D20"/>
    <w:rsid w:val="00F30C64"/>
    <w:rsid w:val="00F31612"/>
    <w:rsid w:val="00F3223A"/>
    <w:rsid w:val="00F32BA2"/>
    <w:rsid w:val="00F32CDB"/>
    <w:rsid w:val="00F43B89"/>
    <w:rsid w:val="00F44EC5"/>
    <w:rsid w:val="00F47022"/>
    <w:rsid w:val="00F50CEF"/>
    <w:rsid w:val="00F513E4"/>
    <w:rsid w:val="00F51DA2"/>
    <w:rsid w:val="00F542C2"/>
    <w:rsid w:val="00F547DD"/>
    <w:rsid w:val="00F55422"/>
    <w:rsid w:val="00F56184"/>
    <w:rsid w:val="00F565FE"/>
    <w:rsid w:val="00F56A57"/>
    <w:rsid w:val="00F56FE9"/>
    <w:rsid w:val="00F57393"/>
    <w:rsid w:val="00F61583"/>
    <w:rsid w:val="00F63A70"/>
    <w:rsid w:val="00F66705"/>
    <w:rsid w:val="00F7534E"/>
    <w:rsid w:val="00F76E04"/>
    <w:rsid w:val="00F8083F"/>
    <w:rsid w:val="00F8191A"/>
    <w:rsid w:val="00F8382E"/>
    <w:rsid w:val="00F84307"/>
    <w:rsid w:val="00F96503"/>
    <w:rsid w:val="00FA21D0"/>
    <w:rsid w:val="00FA5F5F"/>
    <w:rsid w:val="00FA7300"/>
    <w:rsid w:val="00FB0441"/>
    <w:rsid w:val="00FB21FC"/>
    <w:rsid w:val="00FB24BF"/>
    <w:rsid w:val="00FB4B21"/>
    <w:rsid w:val="00FB730C"/>
    <w:rsid w:val="00FC076E"/>
    <w:rsid w:val="00FC2695"/>
    <w:rsid w:val="00FC3E03"/>
    <w:rsid w:val="00FC3FC1"/>
    <w:rsid w:val="00FC6A0C"/>
    <w:rsid w:val="00FD5619"/>
    <w:rsid w:val="00FD6530"/>
    <w:rsid w:val="00FE4182"/>
    <w:rsid w:val="00FE4B8D"/>
    <w:rsid w:val="00FE60EB"/>
    <w:rsid w:val="00FF0CFD"/>
    <w:rsid w:val="00FF11D5"/>
    <w:rsid w:val="00FF224C"/>
    <w:rsid w:val="00FF3099"/>
    <w:rsid w:val="00FF3274"/>
    <w:rsid w:val="00FF5D7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A77E86"/>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A77E86"/>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trike w:val="0"/>
      <w:sz w:val="18"/>
      <w:szCs w:val="20"/>
      <w:lang w:val="en-US"/>
    </w:rPr>
  </w:style>
  <w:style w:type="paragraph" w:styleId="Paragrafoelenco">
    <w:name w:val="List Paragraph"/>
    <w:basedOn w:val="Normale"/>
    <w:uiPriority w:val="34"/>
    <w:rsid w:val="00280FAF"/>
    <w:pPr>
      <w:ind w:left="720"/>
      <w:contextualSpacing/>
    </w:pPr>
  </w:style>
  <w:style w:type="character" w:customStyle="1" w:styleId="authors-info">
    <w:name w:val="authors-info"/>
    <w:basedOn w:val="Carpredefinitoparagrafo"/>
    <w:rsid w:val="00755F7E"/>
  </w:style>
  <w:style w:type="character" w:customStyle="1" w:styleId="blue-tooltip">
    <w:name w:val="blue-tooltip"/>
    <w:basedOn w:val="Carpredefinitoparagrafo"/>
    <w:rsid w:val="00755F7E"/>
  </w:style>
  <w:style w:type="character" w:styleId="Menzionenonrisolta">
    <w:name w:val="Unresolved Mention"/>
    <w:basedOn w:val="Carpredefinitoparagrafo"/>
    <w:uiPriority w:val="99"/>
    <w:semiHidden/>
    <w:unhideWhenUsed/>
    <w:rsid w:val="00755F7E"/>
    <w:rPr>
      <w:color w:val="605E5C"/>
      <w:shd w:val="clear" w:color="auto" w:fill="E1DFDD"/>
    </w:rPr>
  </w:style>
  <w:style w:type="character" w:customStyle="1" w:styleId="al-author-delim">
    <w:name w:val="al-author-delim"/>
    <w:basedOn w:val="Carpredefinitoparagrafo"/>
    <w:rsid w:val="00755F7E"/>
  </w:style>
  <w:style w:type="character" w:customStyle="1" w:styleId="ww-article-legacy-label">
    <w:name w:val="ww-article-legacy-label"/>
    <w:basedOn w:val="Carpredefinitoparagrafo"/>
    <w:rsid w:val="00755F7E"/>
  </w:style>
  <w:style w:type="character" w:customStyle="1" w:styleId="paper-date-label">
    <w:name w:val="paper-date-label"/>
    <w:basedOn w:val="Carpredefinitoparagrafo"/>
    <w:rsid w:val="00755F7E"/>
  </w:style>
  <w:style w:type="character" w:customStyle="1" w:styleId="paper-date">
    <w:name w:val="paper-date"/>
    <w:basedOn w:val="Carpredefinitoparagrafo"/>
    <w:rsid w:val="00755F7E"/>
  </w:style>
  <w:style w:type="character" w:styleId="Enfasicorsivo">
    <w:name w:val="Emphasis"/>
    <w:basedOn w:val="Carpredefinitoparagrafo"/>
    <w:uiPriority w:val="20"/>
    <w:qFormat/>
    <w:rsid w:val="00895B39"/>
    <w:rPr>
      <w:i/>
      <w:iCs/>
    </w:rPr>
  </w:style>
  <w:style w:type="paragraph" w:customStyle="1" w:styleId="Default">
    <w:name w:val="Default"/>
    <w:rsid w:val="00AD4AA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e"/>
    <w:uiPriority w:val="1"/>
    <w:qFormat/>
    <w:rsid w:val="008E5C57"/>
    <w:pPr>
      <w:widowControl w:val="0"/>
      <w:tabs>
        <w:tab w:val="clear" w:pos="7100"/>
      </w:tabs>
      <w:autoSpaceDE w:val="0"/>
      <w:autoSpaceDN w:val="0"/>
      <w:spacing w:line="164" w:lineRule="exact"/>
      <w:ind w:left="115"/>
      <w:jc w:val="left"/>
    </w:pPr>
    <w:rPr>
      <w:rFonts w:ascii="Times New Roman" w:hAnsi="Times New Roman"/>
      <w:sz w:val="22"/>
      <w:szCs w:val="22"/>
      <w:lang w:val="en-US"/>
    </w:rPr>
  </w:style>
  <w:style w:type="table" w:customStyle="1" w:styleId="TableNormal1">
    <w:name w:val="Table Normal1"/>
    <w:uiPriority w:val="2"/>
    <w:semiHidden/>
    <w:unhideWhenUsed/>
    <w:qFormat/>
    <w:rsid w:val="00EE63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058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464575">
      <w:bodyDiv w:val="1"/>
      <w:marLeft w:val="0"/>
      <w:marRight w:val="0"/>
      <w:marTop w:val="0"/>
      <w:marBottom w:val="0"/>
      <w:divBdr>
        <w:top w:val="none" w:sz="0" w:space="0" w:color="auto"/>
        <w:left w:val="none" w:sz="0" w:space="0" w:color="auto"/>
        <w:bottom w:val="none" w:sz="0" w:space="0" w:color="auto"/>
        <w:right w:val="none" w:sz="0" w:space="0" w:color="auto"/>
      </w:divBdr>
    </w:div>
    <w:div w:id="557712439">
      <w:bodyDiv w:val="1"/>
      <w:marLeft w:val="0"/>
      <w:marRight w:val="0"/>
      <w:marTop w:val="0"/>
      <w:marBottom w:val="0"/>
      <w:divBdr>
        <w:top w:val="none" w:sz="0" w:space="0" w:color="auto"/>
        <w:left w:val="none" w:sz="0" w:space="0" w:color="auto"/>
        <w:bottom w:val="none" w:sz="0" w:space="0" w:color="auto"/>
        <w:right w:val="none" w:sz="0" w:space="0" w:color="auto"/>
      </w:divBdr>
      <w:divsChild>
        <w:div w:id="1545748348">
          <w:marLeft w:val="0"/>
          <w:marRight w:val="0"/>
          <w:marTop w:val="0"/>
          <w:marBottom w:val="0"/>
          <w:divBdr>
            <w:top w:val="none" w:sz="0" w:space="0" w:color="auto"/>
            <w:left w:val="none" w:sz="0" w:space="0" w:color="auto"/>
            <w:bottom w:val="none" w:sz="0" w:space="0" w:color="auto"/>
            <w:right w:val="none" w:sz="0" w:space="0" w:color="auto"/>
          </w:divBdr>
          <w:divsChild>
            <w:div w:id="1961259749">
              <w:marLeft w:val="0"/>
              <w:marRight w:val="0"/>
              <w:marTop w:val="0"/>
              <w:marBottom w:val="0"/>
              <w:divBdr>
                <w:top w:val="none" w:sz="0" w:space="0" w:color="auto"/>
                <w:left w:val="none" w:sz="0" w:space="0" w:color="auto"/>
                <w:bottom w:val="none" w:sz="0" w:space="0" w:color="auto"/>
                <w:right w:val="none" w:sz="0" w:space="0" w:color="auto"/>
              </w:divBdr>
              <w:divsChild>
                <w:div w:id="674382792">
                  <w:marLeft w:val="0"/>
                  <w:marRight w:val="0"/>
                  <w:marTop w:val="0"/>
                  <w:marBottom w:val="0"/>
                  <w:divBdr>
                    <w:top w:val="none" w:sz="0" w:space="0" w:color="auto"/>
                    <w:left w:val="none" w:sz="0" w:space="0" w:color="auto"/>
                    <w:bottom w:val="none" w:sz="0" w:space="0" w:color="auto"/>
                    <w:right w:val="none" w:sz="0" w:space="0" w:color="auto"/>
                  </w:divBdr>
                  <w:divsChild>
                    <w:div w:id="1166047302">
                      <w:marLeft w:val="0"/>
                      <w:marRight w:val="0"/>
                      <w:marTop w:val="0"/>
                      <w:marBottom w:val="0"/>
                      <w:divBdr>
                        <w:top w:val="none" w:sz="0" w:space="0" w:color="auto"/>
                        <w:left w:val="none" w:sz="0" w:space="0" w:color="auto"/>
                        <w:bottom w:val="none" w:sz="0" w:space="0" w:color="auto"/>
                        <w:right w:val="none" w:sz="0" w:space="0" w:color="auto"/>
                      </w:divBdr>
                      <w:divsChild>
                        <w:div w:id="1261254498">
                          <w:marLeft w:val="0"/>
                          <w:marRight w:val="0"/>
                          <w:marTop w:val="0"/>
                          <w:marBottom w:val="0"/>
                          <w:divBdr>
                            <w:top w:val="none" w:sz="0" w:space="0" w:color="auto"/>
                            <w:left w:val="none" w:sz="0" w:space="0" w:color="auto"/>
                            <w:bottom w:val="none" w:sz="0" w:space="0" w:color="auto"/>
                            <w:right w:val="none" w:sz="0" w:space="0" w:color="auto"/>
                          </w:divBdr>
                          <w:divsChild>
                            <w:div w:id="204030012">
                              <w:marLeft w:val="0"/>
                              <w:marRight w:val="0"/>
                              <w:marTop w:val="0"/>
                              <w:marBottom w:val="0"/>
                              <w:divBdr>
                                <w:top w:val="none" w:sz="0" w:space="0" w:color="auto"/>
                                <w:left w:val="none" w:sz="0" w:space="0" w:color="auto"/>
                                <w:bottom w:val="none" w:sz="0" w:space="0" w:color="auto"/>
                                <w:right w:val="none" w:sz="0" w:space="0" w:color="auto"/>
                              </w:divBdr>
                            </w:div>
                            <w:div w:id="1271549341">
                              <w:marLeft w:val="0"/>
                              <w:marRight w:val="0"/>
                              <w:marTop w:val="0"/>
                              <w:marBottom w:val="0"/>
                              <w:divBdr>
                                <w:top w:val="none" w:sz="0" w:space="0" w:color="auto"/>
                                <w:left w:val="none" w:sz="0" w:space="0" w:color="auto"/>
                                <w:bottom w:val="none" w:sz="0" w:space="0" w:color="auto"/>
                                <w:right w:val="none" w:sz="0" w:space="0" w:color="auto"/>
                              </w:divBdr>
                            </w:div>
                            <w:div w:id="23725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7559">
                      <w:marLeft w:val="0"/>
                      <w:marRight w:val="0"/>
                      <w:marTop w:val="0"/>
                      <w:marBottom w:val="0"/>
                      <w:divBdr>
                        <w:top w:val="none" w:sz="0" w:space="0" w:color="auto"/>
                        <w:left w:val="none" w:sz="0" w:space="0" w:color="auto"/>
                        <w:bottom w:val="none" w:sz="0" w:space="0" w:color="auto"/>
                        <w:right w:val="none" w:sz="0" w:space="0" w:color="auto"/>
                      </w:divBdr>
                      <w:divsChild>
                        <w:div w:id="790441948">
                          <w:marLeft w:val="0"/>
                          <w:marRight w:val="0"/>
                          <w:marTop w:val="0"/>
                          <w:marBottom w:val="0"/>
                          <w:divBdr>
                            <w:top w:val="none" w:sz="0" w:space="0" w:color="auto"/>
                            <w:left w:val="none" w:sz="0" w:space="0" w:color="auto"/>
                            <w:bottom w:val="none" w:sz="0" w:space="0" w:color="auto"/>
                            <w:right w:val="none" w:sz="0" w:space="0" w:color="auto"/>
                          </w:divBdr>
                        </w:div>
                        <w:div w:id="624119435">
                          <w:marLeft w:val="0"/>
                          <w:marRight w:val="0"/>
                          <w:marTop w:val="0"/>
                          <w:marBottom w:val="0"/>
                          <w:divBdr>
                            <w:top w:val="none" w:sz="0" w:space="0" w:color="auto"/>
                            <w:left w:val="none" w:sz="0" w:space="0" w:color="auto"/>
                            <w:bottom w:val="none" w:sz="0" w:space="0" w:color="auto"/>
                            <w:right w:val="none" w:sz="0" w:space="0" w:color="auto"/>
                          </w:divBdr>
                        </w:div>
                        <w:div w:id="1773479144">
                          <w:marLeft w:val="0"/>
                          <w:marRight w:val="0"/>
                          <w:marTop w:val="0"/>
                          <w:marBottom w:val="0"/>
                          <w:divBdr>
                            <w:top w:val="none" w:sz="0" w:space="0" w:color="auto"/>
                            <w:left w:val="none" w:sz="0" w:space="0" w:color="auto"/>
                            <w:bottom w:val="none" w:sz="0" w:space="0" w:color="auto"/>
                            <w:right w:val="none" w:sz="0" w:space="0" w:color="auto"/>
                          </w:divBdr>
                          <w:divsChild>
                            <w:div w:id="933052116">
                              <w:marLeft w:val="0"/>
                              <w:marRight w:val="0"/>
                              <w:marTop w:val="0"/>
                              <w:marBottom w:val="0"/>
                              <w:divBdr>
                                <w:top w:val="none" w:sz="0" w:space="0" w:color="auto"/>
                                <w:left w:val="none" w:sz="0" w:space="0" w:color="auto"/>
                                <w:bottom w:val="none" w:sz="0" w:space="0" w:color="auto"/>
                                <w:right w:val="none" w:sz="0" w:space="0" w:color="auto"/>
                              </w:divBdr>
                            </w:div>
                          </w:divsChild>
                        </w:div>
                        <w:div w:id="19357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759739">
      <w:bodyDiv w:val="1"/>
      <w:marLeft w:val="0"/>
      <w:marRight w:val="0"/>
      <w:marTop w:val="0"/>
      <w:marBottom w:val="0"/>
      <w:divBdr>
        <w:top w:val="none" w:sz="0" w:space="0" w:color="auto"/>
        <w:left w:val="none" w:sz="0" w:space="0" w:color="auto"/>
        <w:bottom w:val="none" w:sz="0" w:space="0" w:color="auto"/>
        <w:right w:val="none" w:sz="0" w:space="0" w:color="auto"/>
      </w:divBdr>
      <w:divsChild>
        <w:div w:id="44456437">
          <w:marLeft w:val="0"/>
          <w:marRight w:val="0"/>
          <w:marTop w:val="0"/>
          <w:marBottom w:val="0"/>
          <w:divBdr>
            <w:top w:val="single" w:sz="2" w:space="0" w:color="E3E3E3"/>
            <w:left w:val="single" w:sz="2" w:space="0" w:color="E3E3E3"/>
            <w:bottom w:val="single" w:sz="2" w:space="0" w:color="E3E3E3"/>
            <w:right w:val="single" w:sz="2" w:space="0" w:color="E3E3E3"/>
          </w:divBdr>
          <w:divsChild>
            <w:div w:id="20820941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50926848">
          <w:marLeft w:val="0"/>
          <w:marRight w:val="0"/>
          <w:marTop w:val="0"/>
          <w:marBottom w:val="0"/>
          <w:divBdr>
            <w:top w:val="single" w:sz="2" w:space="0" w:color="E3E3E3"/>
            <w:left w:val="single" w:sz="2" w:space="0" w:color="E3E3E3"/>
            <w:bottom w:val="single" w:sz="2" w:space="0" w:color="E3E3E3"/>
            <w:right w:val="single" w:sz="2" w:space="0" w:color="E3E3E3"/>
          </w:divBdr>
          <w:divsChild>
            <w:div w:id="12341963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935">
      <w:bodyDiv w:val="1"/>
      <w:marLeft w:val="0"/>
      <w:marRight w:val="0"/>
      <w:marTop w:val="0"/>
      <w:marBottom w:val="0"/>
      <w:divBdr>
        <w:top w:val="none" w:sz="0" w:space="0" w:color="auto"/>
        <w:left w:val="none" w:sz="0" w:space="0" w:color="auto"/>
        <w:bottom w:val="none" w:sz="0" w:space="0" w:color="auto"/>
        <w:right w:val="none" w:sz="0" w:space="0" w:color="auto"/>
      </w:divBdr>
      <w:divsChild>
        <w:div w:id="916551863">
          <w:marLeft w:val="0"/>
          <w:marRight w:val="0"/>
          <w:marTop w:val="0"/>
          <w:marBottom w:val="0"/>
          <w:divBdr>
            <w:top w:val="none" w:sz="0" w:space="0" w:color="auto"/>
            <w:left w:val="none" w:sz="0" w:space="0" w:color="auto"/>
            <w:bottom w:val="none" w:sz="0" w:space="0" w:color="auto"/>
            <w:right w:val="none" w:sz="0" w:space="0" w:color="auto"/>
          </w:divBdr>
          <w:divsChild>
            <w:div w:id="1899435615">
              <w:marLeft w:val="0"/>
              <w:marRight w:val="0"/>
              <w:marTop w:val="0"/>
              <w:marBottom w:val="0"/>
              <w:divBdr>
                <w:top w:val="none" w:sz="0" w:space="0" w:color="auto"/>
                <w:left w:val="none" w:sz="0" w:space="0" w:color="auto"/>
                <w:bottom w:val="none" w:sz="0" w:space="0" w:color="auto"/>
                <w:right w:val="none" w:sz="0" w:space="0" w:color="auto"/>
              </w:divBdr>
              <w:divsChild>
                <w:div w:id="179007522">
                  <w:marLeft w:val="0"/>
                  <w:marRight w:val="0"/>
                  <w:marTop w:val="0"/>
                  <w:marBottom w:val="0"/>
                  <w:divBdr>
                    <w:top w:val="none" w:sz="0" w:space="0" w:color="auto"/>
                    <w:left w:val="none" w:sz="0" w:space="0" w:color="auto"/>
                    <w:bottom w:val="none" w:sz="0" w:space="0" w:color="auto"/>
                    <w:right w:val="none" w:sz="0" w:space="0" w:color="auto"/>
                  </w:divBdr>
                  <w:divsChild>
                    <w:div w:id="543492067">
                      <w:marLeft w:val="0"/>
                      <w:marRight w:val="0"/>
                      <w:marTop w:val="0"/>
                      <w:marBottom w:val="0"/>
                      <w:divBdr>
                        <w:top w:val="none" w:sz="0" w:space="0" w:color="auto"/>
                        <w:left w:val="none" w:sz="0" w:space="0" w:color="auto"/>
                        <w:bottom w:val="none" w:sz="0" w:space="0" w:color="auto"/>
                        <w:right w:val="none" w:sz="0" w:space="0" w:color="auto"/>
                      </w:divBdr>
                      <w:divsChild>
                        <w:div w:id="701441738">
                          <w:marLeft w:val="0"/>
                          <w:marRight w:val="0"/>
                          <w:marTop w:val="0"/>
                          <w:marBottom w:val="0"/>
                          <w:divBdr>
                            <w:top w:val="none" w:sz="0" w:space="0" w:color="auto"/>
                            <w:left w:val="none" w:sz="0" w:space="0" w:color="auto"/>
                            <w:bottom w:val="none" w:sz="0" w:space="0" w:color="auto"/>
                            <w:right w:val="none" w:sz="0" w:space="0" w:color="auto"/>
                          </w:divBdr>
                          <w:divsChild>
                            <w:div w:id="695539276">
                              <w:marLeft w:val="0"/>
                              <w:marRight w:val="0"/>
                              <w:marTop w:val="0"/>
                              <w:marBottom w:val="0"/>
                              <w:divBdr>
                                <w:top w:val="none" w:sz="0" w:space="0" w:color="auto"/>
                                <w:left w:val="none" w:sz="0" w:space="0" w:color="auto"/>
                                <w:bottom w:val="none" w:sz="0" w:space="0" w:color="auto"/>
                                <w:right w:val="none" w:sz="0" w:space="0" w:color="auto"/>
                              </w:divBdr>
                            </w:div>
                            <w:div w:id="1601141237">
                              <w:marLeft w:val="0"/>
                              <w:marRight w:val="0"/>
                              <w:marTop w:val="0"/>
                              <w:marBottom w:val="0"/>
                              <w:divBdr>
                                <w:top w:val="none" w:sz="0" w:space="0" w:color="auto"/>
                                <w:left w:val="none" w:sz="0" w:space="0" w:color="auto"/>
                                <w:bottom w:val="none" w:sz="0" w:space="0" w:color="auto"/>
                                <w:right w:val="none" w:sz="0" w:space="0" w:color="auto"/>
                              </w:divBdr>
                            </w:div>
                            <w:div w:id="1622684111">
                              <w:marLeft w:val="0"/>
                              <w:marRight w:val="0"/>
                              <w:marTop w:val="0"/>
                              <w:marBottom w:val="0"/>
                              <w:divBdr>
                                <w:top w:val="none" w:sz="0" w:space="0" w:color="auto"/>
                                <w:left w:val="none" w:sz="0" w:space="0" w:color="auto"/>
                                <w:bottom w:val="none" w:sz="0" w:space="0" w:color="auto"/>
                                <w:right w:val="none" w:sz="0" w:space="0" w:color="auto"/>
                              </w:divBdr>
                            </w:div>
                            <w:div w:id="1645042238">
                              <w:marLeft w:val="0"/>
                              <w:marRight w:val="0"/>
                              <w:marTop w:val="0"/>
                              <w:marBottom w:val="0"/>
                              <w:divBdr>
                                <w:top w:val="none" w:sz="0" w:space="0" w:color="auto"/>
                                <w:left w:val="none" w:sz="0" w:space="0" w:color="auto"/>
                                <w:bottom w:val="none" w:sz="0" w:space="0" w:color="auto"/>
                                <w:right w:val="none" w:sz="0" w:space="0" w:color="auto"/>
                              </w:divBdr>
                            </w:div>
                            <w:div w:id="650212514">
                              <w:marLeft w:val="0"/>
                              <w:marRight w:val="0"/>
                              <w:marTop w:val="0"/>
                              <w:marBottom w:val="0"/>
                              <w:divBdr>
                                <w:top w:val="none" w:sz="0" w:space="0" w:color="auto"/>
                                <w:left w:val="none" w:sz="0" w:space="0" w:color="auto"/>
                                <w:bottom w:val="none" w:sz="0" w:space="0" w:color="auto"/>
                                <w:right w:val="none" w:sz="0" w:space="0" w:color="auto"/>
                              </w:divBdr>
                            </w:div>
                            <w:div w:id="326983512">
                              <w:marLeft w:val="0"/>
                              <w:marRight w:val="0"/>
                              <w:marTop w:val="0"/>
                              <w:marBottom w:val="0"/>
                              <w:divBdr>
                                <w:top w:val="none" w:sz="0" w:space="0" w:color="auto"/>
                                <w:left w:val="none" w:sz="0" w:space="0" w:color="auto"/>
                                <w:bottom w:val="none" w:sz="0" w:space="0" w:color="auto"/>
                                <w:right w:val="none" w:sz="0" w:space="0" w:color="auto"/>
                              </w:divBdr>
                            </w:div>
                            <w:div w:id="1439134707">
                              <w:marLeft w:val="0"/>
                              <w:marRight w:val="0"/>
                              <w:marTop w:val="0"/>
                              <w:marBottom w:val="0"/>
                              <w:divBdr>
                                <w:top w:val="none" w:sz="0" w:space="0" w:color="auto"/>
                                <w:left w:val="none" w:sz="0" w:space="0" w:color="auto"/>
                                <w:bottom w:val="none" w:sz="0" w:space="0" w:color="auto"/>
                                <w:right w:val="none" w:sz="0" w:space="0" w:color="auto"/>
                              </w:divBdr>
                            </w:div>
                            <w:div w:id="1743404049">
                              <w:marLeft w:val="0"/>
                              <w:marRight w:val="0"/>
                              <w:marTop w:val="0"/>
                              <w:marBottom w:val="0"/>
                              <w:divBdr>
                                <w:top w:val="none" w:sz="0" w:space="0" w:color="auto"/>
                                <w:left w:val="none" w:sz="0" w:space="0" w:color="auto"/>
                                <w:bottom w:val="none" w:sz="0" w:space="0" w:color="auto"/>
                                <w:right w:val="none" w:sz="0" w:space="0" w:color="auto"/>
                              </w:divBdr>
                            </w:div>
                            <w:div w:id="7025866">
                              <w:marLeft w:val="0"/>
                              <w:marRight w:val="0"/>
                              <w:marTop w:val="0"/>
                              <w:marBottom w:val="0"/>
                              <w:divBdr>
                                <w:top w:val="none" w:sz="0" w:space="0" w:color="auto"/>
                                <w:left w:val="none" w:sz="0" w:space="0" w:color="auto"/>
                                <w:bottom w:val="none" w:sz="0" w:space="0" w:color="auto"/>
                                <w:right w:val="none" w:sz="0" w:space="0" w:color="auto"/>
                              </w:divBdr>
                            </w:div>
                            <w:div w:id="13364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8610">
                      <w:marLeft w:val="0"/>
                      <w:marRight w:val="0"/>
                      <w:marTop w:val="0"/>
                      <w:marBottom w:val="0"/>
                      <w:divBdr>
                        <w:top w:val="none" w:sz="0" w:space="0" w:color="auto"/>
                        <w:left w:val="none" w:sz="0" w:space="0" w:color="auto"/>
                        <w:bottom w:val="none" w:sz="0" w:space="0" w:color="auto"/>
                        <w:right w:val="none" w:sz="0" w:space="0" w:color="auto"/>
                      </w:divBdr>
                      <w:divsChild>
                        <w:div w:id="596719949">
                          <w:marLeft w:val="0"/>
                          <w:marRight w:val="0"/>
                          <w:marTop w:val="0"/>
                          <w:marBottom w:val="0"/>
                          <w:divBdr>
                            <w:top w:val="none" w:sz="0" w:space="0" w:color="auto"/>
                            <w:left w:val="none" w:sz="0" w:space="0" w:color="auto"/>
                            <w:bottom w:val="none" w:sz="0" w:space="0" w:color="auto"/>
                            <w:right w:val="none" w:sz="0" w:space="0" w:color="auto"/>
                          </w:divBdr>
                        </w:div>
                        <w:div w:id="1367488894">
                          <w:marLeft w:val="0"/>
                          <w:marRight w:val="0"/>
                          <w:marTop w:val="0"/>
                          <w:marBottom w:val="0"/>
                          <w:divBdr>
                            <w:top w:val="none" w:sz="0" w:space="0" w:color="auto"/>
                            <w:left w:val="none" w:sz="0" w:space="0" w:color="auto"/>
                            <w:bottom w:val="none" w:sz="0" w:space="0" w:color="auto"/>
                            <w:right w:val="none" w:sz="0" w:space="0" w:color="auto"/>
                          </w:divBdr>
                        </w:div>
                        <w:div w:id="1694964339">
                          <w:marLeft w:val="0"/>
                          <w:marRight w:val="0"/>
                          <w:marTop w:val="0"/>
                          <w:marBottom w:val="0"/>
                          <w:divBdr>
                            <w:top w:val="none" w:sz="0" w:space="0" w:color="auto"/>
                            <w:left w:val="none" w:sz="0" w:space="0" w:color="auto"/>
                            <w:bottom w:val="none" w:sz="0" w:space="0" w:color="auto"/>
                            <w:right w:val="none" w:sz="0" w:space="0" w:color="auto"/>
                          </w:divBdr>
                          <w:divsChild>
                            <w:div w:id="976490690">
                              <w:marLeft w:val="0"/>
                              <w:marRight w:val="0"/>
                              <w:marTop w:val="0"/>
                              <w:marBottom w:val="0"/>
                              <w:divBdr>
                                <w:top w:val="none" w:sz="0" w:space="0" w:color="auto"/>
                                <w:left w:val="none" w:sz="0" w:space="0" w:color="auto"/>
                                <w:bottom w:val="none" w:sz="0" w:space="0" w:color="auto"/>
                                <w:right w:val="none" w:sz="0" w:space="0" w:color="auto"/>
                              </w:divBdr>
                            </w:div>
                          </w:divsChild>
                        </w:div>
                        <w:div w:id="12009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979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eeexplore.ieee.org/author/37293826800" TargetMode="External"/><Relationship Id="rId18" Type="http://schemas.openxmlformats.org/officeDocument/2006/relationships/hyperlink" Target="http://www.ballard.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eeexplore.ieee.org/author/37274464800" TargetMode="External"/><Relationship Id="rId2" Type="http://schemas.openxmlformats.org/officeDocument/2006/relationships/numbering" Target="numbering.xml"/><Relationship Id="rId16" Type="http://schemas.openxmlformats.org/officeDocument/2006/relationships/hyperlink" Target="https://ieeexplore.ieee.org/author/3727002860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eeexplore.ieee.org/author/38229325300" TargetMode="External"/><Relationship Id="rId10" Type="http://schemas.openxmlformats.org/officeDocument/2006/relationships/image" Target="media/image3.png"/><Relationship Id="rId19" Type="http://schemas.openxmlformats.org/officeDocument/2006/relationships/hyperlink" Target="http://www.plasticomnium.com/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eeexplore.ieee.org/author/3822801500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3739</Words>
  <Characters>21315</Characters>
  <Application>Microsoft Office Word</Application>
  <DocSecurity>0</DocSecurity>
  <Lines>177</Lines>
  <Paragraphs>50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25004</CharactersWithSpaces>
  <SharedDoc>false</SharedDoc>
  <HLinks>
    <vt:vector size="42" baseType="variant">
      <vt:variant>
        <vt:i4>82</vt:i4>
      </vt:variant>
      <vt:variant>
        <vt:i4>18</vt:i4>
      </vt:variant>
      <vt:variant>
        <vt:i4>0</vt:i4>
      </vt:variant>
      <vt:variant>
        <vt:i4>5</vt:i4>
      </vt:variant>
      <vt:variant>
        <vt:lpwstr>http://www.plasticomnium.com/en/</vt:lpwstr>
      </vt:variant>
      <vt:variant>
        <vt:lpwstr/>
      </vt:variant>
      <vt:variant>
        <vt:i4>3014766</vt:i4>
      </vt:variant>
      <vt:variant>
        <vt:i4>15</vt:i4>
      </vt:variant>
      <vt:variant>
        <vt:i4>0</vt:i4>
      </vt:variant>
      <vt:variant>
        <vt:i4>5</vt:i4>
      </vt:variant>
      <vt:variant>
        <vt:lpwstr>http://www.ballard.com/</vt:lpwstr>
      </vt:variant>
      <vt:variant>
        <vt:lpwstr/>
      </vt:variant>
      <vt:variant>
        <vt:i4>7340137</vt:i4>
      </vt:variant>
      <vt:variant>
        <vt:i4>12</vt:i4>
      </vt:variant>
      <vt:variant>
        <vt:i4>0</vt:i4>
      </vt:variant>
      <vt:variant>
        <vt:i4>5</vt:i4>
      </vt:variant>
      <vt:variant>
        <vt:lpwstr>https://ieeexplore.ieee.org/author/37274464800</vt:lpwstr>
      </vt:variant>
      <vt:variant>
        <vt:lpwstr/>
      </vt:variant>
      <vt:variant>
        <vt:i4>8257633</vt:i4>
      </vt:variant>
      <vt:variant>
        <vt:i4>9</vt:i4>
      </vt:variant>
      <vt:variant>
        <vt:i4>0</vt:i4>
      </vt:variant>
      <vt:variant>
        <vt:i4>5</vt:i4>
      </vt:variant>
      <vt:variant>
        <vt:lpwstr>https://ieeexplore.ieee.org/author/37270028600</vt:lpwstr>
      </vt:variant>
      <vt:variant>
        <vt:lpwstr/>
      </vt:variant>
      <vt:variant>
        <vt:i4>7471205</vt:i4>
      </vt:variant>
      <vt:variant>
        <vt:i4>6</vt:i4>
      </vt:variant>
      <vt:variant>
        <vt:i4>0</vt:i4>
      </vt:variant>
      <vt:variant>
        <vt:i4>5</vt:i4>
      </vt:variant>
      <vt:variant>
        <vt:lpwstr>https://ieeexplore.ieee.org/author/38229325300</vt:lpwstr>
      </vt:variant>
      <vt:variant>
        <vt:lpwstr/>
      </vt:variant>
      <vt:variant>
        <vt:i4>7536742</vt:i4>
      </vt:variant>
      <vt:variant>
        <vt:i4>3</vt:i4>
      </vt:variant>
      <vt:variant>
        <vt:i4>0</vt:i4>
      </vt:variant>
      <vt:variant>
        <vt:i4>5</vt:i4>
      </vt:variant>
      <vt:variant>
        <vt:lpwstr>https://ieeexplore.ieee.org/author/38228015000</vt:lpwstr>
      </vt:variant>
      <vt:variant>
        <vt:lpwstr/>
      </vt:variant>
      <vt:variant>
        <vt:i4>7536745</vt:i4>
      </vt:variant>
      <vt:variant>
        <vt:i4>0</vt:i4>
      </vt:variant>
      <vt:variant>
        <vt:i4>0</vt:i4>
      </vt:variant>
      <vt:variant>
        <vt:i4>5</vt:i4>
      </vt:variant>
      <vt:variant>
        <vt:lpwstr>https://ieeexplore.ieee.org/author/37293826800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LUCA MICOLI</cp:lastModifiedBy>
  <cp:revision>3</cp:revision>
  <cp:lastPrinted>2015-05-12T18:31:00Z</cp:lastPrinted>
  <dcterms:created xsi:type="dcterms:W3CDTF">2024-02-15T09:42:00Z</dcterms:created>
  <dcterms:modified xsi:type="dcterms:W3CDTF">2024-02-15T10:40:00Z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SIP_Label_2ad0b24d-6422-44b0-b3de-abb3a9e8c81a_Enabled">
    <vt:lpwstr>true</vt:lpwstr>
  </property>
  <property fmtid="{D5CDD505-2E9C-101B-9397-08002B2CF9AE}" pid="5" name="MSIP_Label_2ad0b24d-6422-44b0-b3de-abb3a9e8c81a_SetDate">
    <vt:lpwstr>2024-02-05T10:29:22Z</vt:lpwstr>
  </property>
  <property fmtid="{D5CDD505-2E9C-101B-9397-08002B2CF9AE}" pid="6" name="MSIP_Label_2ad0b24d-6422-44b0-b3de-abb3a9e8c81a_Method">
    <vt:lpwstr>Standard</vt:lpwstr>
  </property>
  <property fmtid="{D5CDD505-2E9C-101B-9397-08002B2CF9AE}" pid="7" name="MSIP_Label_2ad0b24d-6422-44b0-b3de-abb3a9e8c81a_Name">
    <vt:lpwstr>defa4170-0d19-0005-0004-bc88714345d2</vt:lpwstr>
  </property>
  <property fmtid="{D5CDD505-2E9C-101B-9397-08002B2CF9AE}" pid="8" name="MSIP_Label_2ad0b24d-6422-44b0-b3de-abb3a9e8c81a_SiteId">
    <vt:lpwstr>2fcfe26a-bb62-46b0-b1e3-28f9da0c45fd</vt:lpwstr>
  </property>
  <property fmtid="{D5CDD505-2E9C-101B-9397-08002B2CF9AE}" pid="9" name="MSIP_Label_2ad0b24d-6422-44b0-b3de-abb3a9e8c81a_ActionId">
    <vt:lpwstr>c0616d6b-7a91-45e7-88a5-e87bffd87ad0</vt:lpwstr>
  </property>
  <property fmtid="{D5CDD505-2E9C-101B-9397-08002B2CF9AE}" pid="10" name="MSIP_Label_2ad0b24d-6422-44b0-b3de-abb3a9e8c81a_ContentBits">
    <vt:lpwstr>0</vt:lpwstr>
  </property>
</Properties>
</file>