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10669D10" w:rsidR="00AA7D26" w:rsidRPr="005E7C48"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5E7C48" w:rsidRPr="005E7C48">
              <w:rPr>
                <w:sz w:val="14"/>
                <w:szCs w:val="14"/>
                <w:lang w:val="it-IT"/>
              </w:rPr>
              <w:t>David Bogle, Flavio Manenti, Piero Salatino</w:t>
            </w:r>
          </w:p>
          <w:p w14:paraId="1B0F1814" w14:textId="6981DC84"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5E7C48">
              <w:rPr>
                <w:rFonts w:ascii="Tahoma" w:hAnsi="Tahoma" w:cs="Tahoma"/>
                <w:sz w:val="14"/>
                <w:szCs w:val="14"/>
              </w:rPr>
              <w:t>4</w:t>
            </w:r>
            <w:r>
              <w:rPr>
                <w:rFonts w:ascii="Tahoma" w:hAnsi="Tahoma" w:cs="Tahoma"/>
                <w:sz w:val="14"/>
                <w:szCs w:val="14"/>
              </w:rPr>
              <w:t>-</w:t>
            </w:r>
            <w:r w:rsidR="005E7C48">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6DA0559E" w:rsidR="00E978D0" w:rsidRPr="00B57B36" w:rsidRDefault="0022010E" w:rsidP="00E978D0">
      <w:pPr>
        <w:pStyle w:val="CETTitle"/>
      </w:pPr>
      <w:r>
        <w:t xml:space="preserve">Renewable Energy from </w:t>
      </w:r>
      <w:r w:rsidR="00242F9E">
        <w:t xml:space="preserve">Whisky </w:t>
      </w:r>
      <w:r>
        <w:t>Distillery By</w:t>
      </w:r>
      <w:r w:rsidR="00011A86">
        <w:t>-product</w:t>
      </w:r>
      <w:r w:rsidR="00242F9E">
        <w:t>s</w:t>
      </w:r>
    </w:p>
    <w:p w14:paraId="0488FED2" w14:textId="1921C185" w:rsidR="00B57E6F" w:rsidRPr="008714AB" w:rsidRDefault="00062D30" w:rsidP="008714AB">
      <w:pPr>
        <w:pStyle w:val="CETAuthors"/>
      </w:pPr>
      <w:r w:rsidRPr="008714AB">
        <w:t>Francis O. Olanrewaju</w:t>
      </w:r>
      <w:r w:rsidRPr="008714AB">
        <w:rPr>
          <w:vertAlign w:val="superscript"/>
        </w:rPr>
        <w:t>a,</w:t>
      </w:r>
      <w:r w:rsidRPr="008714AB">
        <w:t>*, Gordon E. Andrews</w:t>
      </w:r>
      <w:r w:rsidRPr="008714AB">
        <w:rPr>
          <w:vertAlign w:val="superscript"/>
        </w:rPr>
        <w:t>b</w:t>
      </w:r>
      <w:r w:rsidRPr="008714AB">
        <w:t>, Herodotus N. Phylaktou</w:t>
      </w:r>
      <w:r w:rsidRPr="008714AB">
        <w:rPr>
          <w:vertAlign w:val="superscript"/>
        </w:rPr>
        <w:t>b</w:t>
      </w:r>
      <w:r w:rsidRPr="008714AB">
        <w:t>, Hu Li</w:t>
      </w:r>
      <w:r w:rsidRPr="008714AB">
        <w:rPr>
          <w:vertAlign w:val="superscript"/>
        </w:rPr>
        <w:t>b</w:t>
      </w:r>
      <w:r w:rsidRPr="008714AB">
        <w:t>, Steve Smith</w:t>
      </w:r>
      <w:r w:rsidRPr="008714AB">
        <w:rPr>
          <w:vertAlign w:val="superscript"/>
        </w:rPr>
        <w:t>a</w:t>
      </w:r>
      <w:r w:rsidRPr="008714AB">
        <w:t>, Jim Maxfield</w:t>
      </w:r>
      <w:r w:rsidRPr="008714AB">
        <w:rPr>
          <w:vertAlign w:val="superscript"/>
        </w:rPr>
        <w:t>a</w:t>
      </w:r>
      <w:r w:rsidRPr="008714AB">
        <w:t>, Richard Wakeman</w:t>
      </w:r>
      <w:r w:rsidRPr="008714AB">
        <w:rPr>
          <w:vertAlign w:val="superscript"/>
        </w:rPr>
        <w:t>a</w:t>
      </w:r>
      <w:r w:rsidR="00B57E6F" w:rsidRPr="008714AB">
        <w:t xml:space="preserve"> </w:t>
      </w:r>
    </w:p>
    <w:p w14:paraId="55B12BF3" w14:textId="77777777" w:rsidR="008714AB" w:rsidRPr="00D201EB" w:rsidRDefault="008714AB" w:rsidP="00F9261C">
      <w:pPr>
        <w:pStyle w:val="CETAddress"/>
        <w:rPr>
          <w:lang w:val="en-US"/>
        </w:rPr>
      </w:pPr>
      <w:r w:rsidRPr="00D201EB">
        <w:rPr>
          <w:vertAlign w:val="superscript"/>
          <w:lang w:val="en-US"/>
        </w:rPr>
        <w:t>a</w:t>
      </w:r>
      <w:r w:rsidRPr="00D201EB">
        <w:rPr>
          <w:lang w:val="en-US"/>
        </w:rPr>
        <w:t>Clean Burner Systems (CBS), Unit 3, Parkfield Business Park, Rugby Western Relief Rd., Rugby, CV21 1QJ, U</w:t>
      </w:r>
      <w:r>
        <w:rPr>
          <w:lang w:val="en-US"/>
        </w:rPr>
        <w:t>K</w:t>
      </w:r>
    </w:p>
    <w:p w14:paraId="08EFF939" w14:textId="77777777" w:rsidR="008714AB" w:rsidRPr="00D201EB" w:rsidRDefault="008714AB" w:rsidP="00F9261C">
      <w:pPr>
        <w:pStyle w:val="CETAddress"/>
      </w:pPr>
      <w:r w:rsidRPr="00D201EB">
        <w:rPr>
          <w:vertAlign w:val="superscript"/>
        </w:rPr>
        <w:t>b</w:t>
      </w:r>
      <w:r w:rsidRPr="00D201EB">
        <w:t>School of Chemical and Process Engineering,</w:t>
      </w:r>
      <w:r>
        <w:t xml:space="preserve"> Faculty of Engineering and Physical Sciences,</w:t>
      </w:r>
      <w:r w:rsidRPr="00D201EB">
        <w:t xml:space="preserve"> University of Leeds, LS2 9JT, U</w:t>
      </w:r>
      <w:r>
        <w:t>K</w:t>
      </w:r>
    </w:p>
    <w:p w14:paraId="7938C16A" w14:textId="40044F3D" w:rsidR="008714AB" w:rsidRPr="009E2030" w:rsidRDefault="00F06A0C" w:rsidP="00F9261C">
      <w:pPr>
        <w:pStyle w:val="CETAddress"/>
      </w:pPr>
      <w:hyperlink r:id="rId10" w:history="1">
        <w:r w:rsidR="008714AB" w:rsidRPr="009E2030">
          <w:rPr>
            <w:rStyle w:val="Hyperlink"/>
            <w:rFonts w:cs="Arial"/>
            <w:color w:val="auto"/>
            <w:szCs w:val="16"/>
            <w:u w:val="none"/>
          </w:rPr>
          <w:t>francis.olanrewaju@cleanburnersystems.com</w:t>
        </w:r>
      </w:hyperlink>
      <w:r w:rsidR="008714AB" w:rsidRPr="009E2030">
        <w:t xml:space="preserve">; </w:t>
      </w:r>
      <w:hyperlink r:id="rId11" w:history="1">
        <w:r w:rsidR="00F9261C" w:rsidRPr="009E2030">
          <w:rPr>
            <w:rStyle w:val="Hyperlink"/>
            <w:color w:val="auto"/>
            <w:u w:val="none"/>
          </w:rPr>
          <w:t>sonictreasure@gmail.com</w:t>
        </w:r>
      </w:hyperlink>
    </w:p>
    <w:p w14:paraId="1451E811" w14:textId="77777777" w:rsidR="00F9261C" w:rsidRPr="00632CD9" w:rsidRDefault="00F9261C" w:rsidP="00F9261C">
      <w:pPr>
        <w:pStyle w:val="CETAddress"/>
        <w:rPr>
          <w:sz w:val="18"/>
          <w:szCs w:val="18"/>
        </w:rPr>
      </w:pPr>
    </w:p>
    <w:p w14:paraId="7EFD6CFA" w14:textId="6E41EEB0" w:rsidR="00F9261C" w:rsidRDefault="00242F9E" w:rsidP="00F9261C">
      <w:pPr>
        <w:pStyle w:val="CETBodytext"/>
      </w:pPr>
      <w:r>
        <w:t>Whisky d</w:t>
      </w:r>
      <w:r w:rsidR="00F9261C" w:rsidRPr="00632CD9">
        <w:t>istillery by-products draff and pot ale (PA)</w:t>
      </w:r>
      <w:r>
        <w:t xml:space="preserve"> have an energy content that potentially can be used to </w:t>
      </w:r>
      <w:r w:rsidR="00A023A7">
        <w:t>decarbonize</w:t>
      </w:r>
      <w:r>
        <w:t xml:space="preserve"> distillery heating</w:t>
      </w:r>
      <w:r w:rsidR="00F9261C" w:rsidRPr="00632CD9">
        <w:t xml:space="preserve">. Draff consists of wet grains </w:t>
      </w:r>
      <w:r>
        <w:t>which are the residue of</w:t>
      </w:r>
      <w:r w:rsidR="00F9261C" w:rsidRPr="00632CD9">
        <w:t xml:space="preserve"> the first stage of whisky production</w:t>
      </w:r>
      <w:r>
        <w:t>.</w:t>
      </w:r>
      <w:r w:rsidR="00F9261C" w:rsidRPr="00632CD9">
        <w:t xml:space="preserve"> </w:t>
      </w:r>
      <w:r w:rsidR="00F9261C">
        <w:t>PA</w:t>
      </w:r>
      <w:r w:rsidR="00F9261C" w:rsidRPr="00632CD9">
        <w:t xml:space="preserve"> is the liquid residue that results from the first stage of the distillation at malt distilleries. The yearly production of distillery by-products was estimated to have increased by 27,000 tonnes (dry) in 2014. It is </w:t>
      </w:r>
      <w:r>
        <w:t>not feasible</w:t>
      </w:r>
      <w:r w:rsidR="00F9261C" w:rsidRPr="00632CD9">
        <w:t xml:space="preserve"> to store distillery by-products because of their bio-chemical nature and high volumes. Therefore, distillery by-products need to be removed from the site as they are produced. The most economical way to </w:t>
      </w:r>
      <w:r w:rsidR="00E85B73">
        <w:t>dispose</w:t>
      </w:r>
      <w:r w:rsidR="00F9261C" w:rsidRPr="00632CD9">
        <w:t xml:space="preserve"> of distillery by-products is by using them as feed stock for </w:t>
      </w:r>
      <w:r w:rsidR="00F9261C">
        <w:t>bio</w:t>
      </w:r>
      <w:r w:rsidR="00F9261C" w:rsidRPr="00632CD9">
        <w:t xml:space="preserve">energy. </w:t>
      </w:r>
      <w:r w:rsidR="00E85B73" w:rsidRPr="00E85B73">
        <w:t>Some distilleries send draff and pot ale to AD plants, but to be useful they have to be dried and the use of fossil fuels for this makes the process uneconomic</w:t>
      </w:r>
      <w:r w:rsidR="00B526D7">
        <w:t>al</w:t>
      </w:r>
      <w:r w:rsidR="00E85B73" w:rsidRPr="00E85B73">
        <w:t xml:space="preserve"> and the carbon emissions have to be deducted from any green biogas that is produced.</w:t>
      </w:r>
      <w:r w:rsidR="00E85B73">
        <w:t xml:space="preserve"> </w:t>
      </w:r>
      <w:r w:rsidR="00F9261C" w:rsidRPr="00632CD9">
        <w:t xml:space="preserve">This work </w:t>
      </w:r>
      <w:r w:rsidR="00E85B73">
        <w:t>showed for the first time that</w:t>
      </w:r>
      <w:r w:rsidR="00F9261C" w:rsidRPr="00632CD9">
        <w:t xml:space="preserve"> distillery draff</w:t>
      </w:r>
      <w:r w:rsidR="00E85B73">
        <w:t xml:space="preserve"> could be</w:t>
      </w:r>
      <w:r w:rsidR="00D4786C">
        <w:t xml:space="preserve"> air-</w:t>
      </w:r>
      <w:r w:rsidR="00E85B73">
        <w:t>gasified</w:t>
      </w:r>
      <w:r w:rsidR="00F9261C" w:rsidRPr="00632CD9">
        <w:t xml:space="preserve">. The restricted ventilation Cone calorimeter method was used. An FTIR that was calibrated for 60 species was used to carry out the speciation of the product gases. The experimentally determined optimum </w:t>
      </w:r>
      <w:r w:rsidR="00E85B73">
        <w:t xml:space="preserve">gasification </w:t>
      </w:r>
      <w:r w:rsidR="00F9261C" w:rsidRPr="00632CD9">
        <w:t>equivalence ratio (</w:t>
      </w:r>
      <w:r w:rsidR="00F9261C" w:rsidRPr="00632CD9">
        <w:rPr>
          <w:color w:val="212121"/>
        </w:rPr>
        <w:t>Ø</w:t>
      </w:r>
      <w:r w:rsidR="00F9261C" w:rsidRPr="00632CD9">
        <w:t xml:space="preserve">) and gasification thermal efficiency for the gasification of draff were 4.5 and 90% respectively. </w:t>
      </w:r>
    </w:p>
    <w:p w14:paraId="43231800" w14:textId="77777777" w:rsidR="00E85B73" w:rsidRPr="00632CD9" w:rsidRDefault="00E85B73" w:rsidP="00F9261C">
      <w:pPr>
        <w:pStyle w:val="CETBodytext"/>
      </w:pPr>
    </w:p>
    <w:p w14:paraId="5B4ABF4F" w14:textId="77777777" w:rsidR="00F9261C" w:rsidRPr="00632CD9" w:rsidRDefault="00F9261C" w:rsidP="00F9261C">
      <w:pPr>
        <w:pStyle w:val="CETBodytext"/>
      </w:pPr>
      <w:r w:rsidRPr="00632CD9">
        <w:rPr>
          <w:i/>
        </w:rPr>
        <w:t>Keywords :</w:t>
      </w:r>
      <w:r w:rsidRPr="00632CD9">
        <w:t xml:space="preserve"> Draff, gasification, decarbonisation, equivalence ratio, FTIR</w:t>
      </w:r>
    </w:p>
    <w:p w14:paraId="030D745D" w14:textId="77777777" w:rsidR="00F9261C" w:rsidRDefault="00F9261C" w:rsidP="00F9261C">
      <w:pPr>
        <w:pStyle w:val="CETListbullets"/>
        <w:ind w:firstLine="0"/>
      </w:pPr>
    </w:p>
    <w:p w14:paraId="476B2F2E" w14:textId="77777777" w:rsidR="00600535" w:rsidRPr="00B57B36" w:rsidRDefault="00600535" w:rsidP="00600535">
      <w:pPr>
        <w:pStyle w:val="CETHeading1"/>
        <w:rPr>
          <w:lang w:val="en-GB"/>
        </w:rPr>
      </w:pPr>
      <w:r w:rsidRPr="00B57B36">
        <w:rPr>
          <w:lang w:val="en-GB"/>
        </w:rPr>
        <w:t>Introduction</w:t>
      </w:r>
    </w:p>
    <w:p w14:paraId="12C2D18A" w14:textId="31AD5E8C" w:rsidR="00F9261C" w:rsidRPr="00F9261C" w:rsidRDefault="00F9261C" w:rsidP="00F9261C">
      <w:pPr>
        <w:pStyle w:val="CETBodytext"/>
      </w:pPr>
      <w:r w:rsidRPr="00F9261C">
        <w:t xml:space="preserve">Draff is the soaked grains that results from the first stage of whisky production in distilleries. Gandy and Hinton (2018) reported that draff contains about 80% moisture. Draff is rich in protein, carbohydrates and fibre. Distillery draff is mainly used by Scottish farmers as feedstock for cattle. </w:t>
      </w:r>
      <w:r w:rsidR="00DD77C9">
        <w:t xml:space="preserve">In </w:t>
      </w:r>
      <w:r w:rsidRPr="00F9261C">
        <w:t>2015, 115 distilleries were licensed to produce Scotch whisky (Gandy and Hinton, 2018). White et al. (2020) reported a distillery draff yield of 2.5 kg per liter of whisky. Distilleries can produce up to 2x10</w:t>
      </w:r>
      <w:r w:rsidRPr="00F9261C">
        <w:rPr>
          <w:vertAlign w:val="superscript"/>
        </w:rPr>
        <w:t>6</w:t>
      </w:r>
      <w:r w:rsidRPr="00F9261C">
        <w:t xml:space="preserve"> liters of alcohol (l</w:t>
      </w:r>
      <w:r w:rsidRPr="00F9261C">
        <w:rPr>
          <w:vertAlign w:val="subscript"/>
        </w:rPr>
        <w:t>alc</w:t>
      </w:r>
      <w:r w:rsidRPr="00F9261C">
        <w:t>) per year. A distillery with a capacity of 2x10</w:t>
      </w:r>
      <w:r w:rsidRPr="00F9261C">
        <w:rPr>
          <w:vertAlign w:val="superscript"/>
        </w:rPr>
        <w:t>6</w:t>
      </w:r>
      <w:r w:rsidRPr="00F9261C">
        <w:t xml:space="preserve"> l</w:t>
      </w:r>
      <w:r w:rsidRPr="00F9261C">
        <w:rPr>
          <w:vertAlign w:val="subscript"/>
        </w:rPr>
        <w:t>alc</w:t>
      </w:r>
      <w:r w:rsidRPr="00F9261C">
        <w:t xml:space="preserve"> produces about 5x10</w:t>
      </w:r>
      <w:r w:rsidRPr="00F9261C">
        <w:rPr>
          <w:vertAlign w:val="superscript"/>
        </w:rPr>
        <w:t>3</w:t>
      </w:r>
      <w:r w:rsidRPr="00F9261C">
        <w:t xml:space="preserve"> tonnes of draff yearly. The total production of whisky in Scotland increases annually due to new distilleries. Consequently, the quantity of distillery draff that is produced increases annually. The annual increase in the volume of draff produced is neither commensurate with the growth in the agricultural sector nor the demand for draff as feed stock for cattle. Therefore, accumulation of draff can occur at the production sites if alternative routes for its disposal are not found.</w:t>
      </w:r>
      <w:r w:rsidR="00DF4179">
        <w:t xml:space="preserve"> </w:t>
      </w:r>
      <w:r w:rsidR="00DF4179" w:rsidRPr="00DF4179">
        <w:t>Draff storage is undesirable due to environmental pollution and release of Green House Gases (GHG) such as methane from the draff decomposition.</w:t>
      </w:r>
    </w:p>
    <w:p w14:paraId="3BFD33FA" w14:textId="7BBFE1C5" w:rsidR="00D476AF" w:rsidRDefault="00F9261C" w:rsidP="00F9261C">
      <w:pPr>
        <w:pStyle w:val="CETBodytext"/>
      </w:pPr>
      <w:r w:rsidRPr="00632CD9">
        <w:t xml:space="preserve">The utilisation of distillery draff as feed stock for cattle is at a cost to distilleries as distilleries have to pay farmers to collect the draff. Furthermore, draff constitutes a long-term problem for distilleries due to the decreasing cattle head in the UK. The most profitable way to dispose of distillery draff and achieve partial or total decarbonisation of distilleries is by distillery process integration </w:t>
      </w:r>
      <w:r>
        <w:t>(</w:t>
      </w:r>
      <w:r w:rsidRPr="00632CD9">
        <w:t>convert</w:t>
      </w:r>
      <w:r>
        <w:t>ing</w:t>
      </w:r>
      <w:r w:rsidRPr="00632CD9">
        <w:t xml:space="preserve"> the by-product into bio</w:t>
      </w:r>
      <w:r>
        <w:t>gas</w:t>
      </w:r>
      <w:r w:rsidRPr="00632CD9">
        <w:t xml:space="preserve"> to supply process heat</w:t>
      </w:r>
      <w:r>
        <w:t>)</w:t>
      </w:r>
      <w:r w:rsidRPr="00632CD9">
        <w:t>. Compared to the use of biodigesters, gasification is a relatively cheap and fast method to generate biogas from</w:t>
      </w:r>
      <w:r>
        <w:t xml:space="preserve"> </w:t>
      </w:r>
      <w:r w:rsidRPr="00632CD9">
        <w:t xml:space="preserve">high-moisture content solid wastes. </w:t>
      </w:r>
      <w:r w:rsidR="00D476AF" w:rsidRPr="00D476AF">
        <w:t xml:space="preserve">AD plants have poor (&lt;30%) conversion efficiencies of biomass energy into </w:t>
      </w:r>
      <w:r w:rsidR="00D476AF" w:rsidRPr="00D476AF">
        <w:lastRenderedPageBreak/>
        <w:t>gaseous fuel energy, as there is a second product of digestate that is used as a farm animal feed, but contains a significant proportion of the original energy in the biomass.</w:t>
      </w:r>
    </w:p>
    <w:p w14:paraId="1AED3853" w14:textId="201180BA" w:rsidR="00600535" w:rsidRDefault="00D476AF" w:rsidP="00F9261C">
      <w:pPr>
        <w:pStyle w:val="CETBodytext"/>
      </w:pPr>
      <w:r>
        <w:t>Air-g</w:t>
      </w:r>
      <w:r w:rsidR="00F9261C" w:rsidRPr="00632CD9">
        <w:t xml:space="preserve">asification is a thermo-chemical conversion process that involves the </w:t>
      </w:r>
      <w:r>
        <w:t xml:space="preserve">partial </w:t>
      </w:r>
      <w:r w:rsidR="00F9261C" w:rsidRPr="00632CD9">
        <w:t>oxidation of biomass</w:t>
      </w:r>
      <w:r w:rsidR="00F9261C">
        <w:t>/fuel</w:t>
      </w:r>
      <w:r w:rsidR="00F9261C" w:rsidRPr="00632CD9">
        <w:t xml:space="preserve"> in a limited supply of air.</w:t>
      </w:r>
      <w:r w:rsidR="00F9261C">
        <w:t xml:space="preserve"> </w:t>
      </w:r>
      <w:r w:rsidR="00F9261C" w:rsidRPr="00632CD9">
        <w:t xml:space="preserve">The aim of this work, therefore, was to investigate the possibility of </w:t>
      </w:r>
      <w:r>
        <w:t xml:space="preserve">air </w:t>
      </w:r>
      <w:r w:rsidR="00F9261C" w:rsidRPr="00632CD9">
        <w:t xml:space="preserve">gasifying distillery draff and </w:t>
      </w:r>
      <w:r w:rsidR="00E17BEF">
        <w:t xml:space="preserve">to </w:t>
      </w:r>
      <w:r w:rsidR="00F9261C" w:rsidRPr="00632CD9">
        <w:t xml:space="preserve">establish the optimum conditions for the </w:t>
      </w:r>
      <w:r w:rsidR="00F9261C">
        <w:t>process</w:t>
      </w:r>
      <w:r w:rsidR="00F9261C" w:rsidRPr="00632CD9">
        <w:t>. Olanrewaju et al. (2022) investigated the gasification of</w:t>
      </w:r>
      <w:r w:rsidR="00F9261C">
        <w:t xml:space="preserve"> agricultural</w:t>
      </w:r>
      <w:r w:rsidR="00F9261C" w:rsidRPr="00632CD9">
        <w:t xml:space="preserve"> </w:t>
      </w:r>
      <w:r w:rsidR="00F9261C">
        <w:t>crop</w:t>
      </w:r>
      <w:r w:rsidR="00F9261C" w:rsidRPr="00632CD9">
        <w:t xml:space="preserve"> residue</w:t>
      </w:r>
      <w:r w:rsidR="00F9261C">
        <w:t>s</w:t>
      </w:r>
      <w:r w:rsidR="00F9261C" w:rsidRPr="00632CD9">
        <w:t xml:space="preserve"> on the cone calorimeter</w:t>
      </w:r>
      <w:r w:rsidR="00F9261C">
        <w:t>.</w:t>
      </w:r>
      <w:r w:rsidR="00F9261C" w:rsidRPr="00632CD9">
        <w:t xml:space="preserve"> Werle (2015) </w:t>
      </w:r>
      <w:r w:rsidR="00A023A7" w:rsidRPr="00632CD9">
        <w:t>utilized</w:t>
      </w:r>
      <w:r w:rsidR="00F9261C" w:rsidRPr="00632CD9">
        <w:t xml:space="preserve"> a laboratory scale fixed bed reactor to investigate the gasification of dried sewage sludge. </w:t>
      </w:r>
      <w:r w:rsidR="00F9261C">
        <w:t>As</w:t>
      </w:r>
      <w:r w:rsidR="00F9261C" w:rsidRPr="00632CD9">
        <w:t xml:space="preserve"> at the time of carrying out this work, no known investigation has been carried out on the gasification of distillery draff. It is necessary to determine the gasification conditions (air flux, heat flux and equivalence ratio) for distillery draff experimentally. </w:t>
      </w:r>
      <w:r w:rsidR="007652F1">
        <w:t>T</w:t>
      </w:r>
      <w:r w:rsidR="00F9261C" w:rsidRPr="00632CD9">
        <w:t xml:space="preserve">hese parameters </w:t>
      </w:r>
      <w:r w:rsidR="004836BC" w:rsidRPr="00632CD9">
        <w:t>are</w:t>
      </w:r>
      <w:r w:rsidR="00F9261C" w:rsidRPr="00632CD9">
        <w:t xml:space="preserve"> required to design efficient industrial gasifiers for draff.</w:t>
      </w:r>
    </w:p>
    <w:p w14:paraId="5741900F" w14:textId="6C6A888B" w:rsidR="00453E24" w:rsidRDefault="00F9261C" w:rsidP="00453E24">
      <w:pPr>
        <w:pStyle w:val="CETHeading1"/>
      </w:pPr>
      <w:r>
        <w:t>Methodology</w:t>
      </w:r>
    </w:p>
    <w:p w14:paraId="54816E66" w14:textId="10F5B87F" w:rsidR="00D50A4B" w:rsidRDefault="001D66CE" w:rsidP="00F9261C">
      <w:pPr>
        <w:pStyle w:val="CETBodytext"/>
        <w:rPr>
          <w:rFonts w:cs="Arial"/>
          <w:szCs w:val="18"/>
        </w:rPr>
      </w:pPr>
      <w:r w:rsidRPr="001D66CE">
        <w:t>A sample of draff was provided by Inchdairnie distillery. The analytical techniques used with this sample were:</w:t>
      </w:r>
      <w:r>
        <w:t xml:space="preserve"> </w:t>
      </w:r>
      <w:r w:rsidR="00F9261C" w:rsidRPr="00632CD9">
        <w:rPr>
          <w:rFonts w:cs="Arial"/>
          <w:color w:val="111111"/>
          <w:szCs w:val="18"/>
          <w:shd w:val="clear" w:color="auto" w:fill="FFFFFF"/>
        </w:rPr>
        <w:t xml:space="preserve">Simultaneous Thermal </w:t>
      </w:r>
      <w:r>
        <w:rPr>
          <w:rFonts w:cs="Arial"/>
          <w:color w:val="111111"/>
          <w:szCs w:val="18"/>
          <w:shd w:val="clear" w:color="auto" w:fill="FFFFFF"/>
        </w:rPr>
        <w:t xml:space="preserve">Gravimetric </w:t>
      </w:r>
      <w:r w:rsidR="00A023A7" w:rsidRPr="00632CD9">
        <w:rPr>
          <w:rFonts w:cs="Arial"/>
          <w:color w:val="111111"/>
          <w:szCs w:val="18"/>
          <w:shd w:val="clear" w:color="auto" w:fill="FFFFFF"/>
        </w:rPr>
        <w:t>Analyzer</w:t>
      </w:r>
      <w:r w:rsidR="00F9261C" w:rsidRPr="00632CD9">
        <w:rPr>
          <w:rFonts w:cs="Arial"/>
          <w:color w:val="111111"/>
          <w:szCs w:val="18"/>
          <w:shd w:val="clear" w:color="auto" w:fill="FFFFFF"/>
        </w:rPr>
        <w:t xml:space="preserve"> (NETZSCH STA 449F3), </w:t>
      </w:r>
      <w:r w:rsidR="00F9261C" w:rsidRPr="00632CD9">
        <w:rPr>
          <w:rFonts w:cs="Arial"/>
          <w:szCs w:val="18"/>
        </w:rPr>
        <w:t xml:space="preserve">Thermo Scientific Elemental </w:t>
      </w:r>
      <w:r w:rsidR="00A023A7" w:rsidRPr="00632CD9">
        <w:rPr>
          <w:rFonts w:cs="Arial"/>
          <w:szCs w:val="18"/>
        </w:rPr>
        <w:t>Analyzer</w:t>
      </w:r>
      <w:r w:rsidR="00F9261C" w:rsidRPr="00632CD9">
        <w:rPr>
          <w:rFonts w:cs="Arial"/>
          <w:szCs w:val="18"/>
        </w:rPr>
        <w:t xml:space="preserve"> 2000, Parr 6200 bomb calorimeter</w:t>
      </w:r>
      <w:r w:rsidR="00D50A4B">
        <w:rPr>
          <w:rFonts w:cs="Arial"/>
          <w:szCs w:val="18"/>
        </w:rPr>
        <w:t xml:space="preserve">. </w:t>
      </w:r>
      <w:r w:rsidR="00D50A4B" w:rsidRPr="00632CD9">
        <w:rPr>
          <w:rFonts w:cs="Arial"/>
          <w:szCs w:val="18"/>
        </w:rPr>
        <w:t xml:space="preserve">Thermogravimetric analysis (TGA) (proximate analysis) was carried out to determine the moisture content, Volatile Matter (VM), Fixed Carbon (FC) and ash content of the draff. CHNS-O analysis (ultimate analysis) of the draff sample was done on the Thermo Scientific Elemental </w:t>
      </w:r>
      <w:r w:rsidR="00A023A7" w:rsidRPr="00632CD9">
        <w:rPr>
          <w:rFonts w:cs="Arial"/>
          <w:szCs w:val="18"/>
        </w:rPr>
        <w:t>Analyzer</w:t>
      </w:r>
      <w:r w:rsidR="00D50A4B" w:rsidRPr="00632CD9">
        <w:rPr>
          <w:rFonts w:cs="Arial"/>
          <w:szCs w:val="18"/>
        </w:rPr>
        <w:t xml:space="preserve"> 2000 while the calorific value (Cv) of the sample was determined by bomb calorimetry.</w:t>
      </w:r>
      <w:r w:rsidR="00F9261C" w:rsidRPr="00632CD9">
        <w:rPr>
          <w:rFonts w:cs="Arial"/>
          <w:szCs w:val="18"/>
        </w:rPr>
        <w:t xml:space="preserve"> </w:t>
      </w:r>
    </w:p>
    <w:p w14:paraId="4FDC55BD" w14:textId="0511BF42" w:rsidR="00883636" w:rsidRPr="00883636" w:rsidRDefault="00D50A4B" w:rsidP="00F9261C">
      <w:pPr>
        <w:pStyle w:val="CETBodytext"/>
      </w:pPr>
      <w:r>
        <w:rPr>
          <w:rFonts w:cs="Arial"/>
          <w:szCs w:val="18"/>
        </w:rPr>
        <w:t>T</w:t>
      </w:r>
      <w:r w:rsidR="00F9261C" w:rsidRPr="00632CD9">
        <w:rPr>
          <w:rFonts w:cs="Arial"/>
          <w:szCs w:val="18"/>
        </w:rPr>
        <w:t>he gasification test rig</w:t>
      </w:r>
      <w:r>
        <w:rPr>
          <w:rFonts w:cs="Arial"/>
          <w:szCs w:val="18"/>
        </w:rPr>
        <w:t xml:space="preserve"> is shown in </w:t>
      </w:r>
      <w:r w:rsidR="00F9261C" w:rsidRPr="00632CD9">
        <w:rPr>
          <w:rFonts w:cs="Arial"/>
          <w:szCs w:val="18"/>
        </w:rPr>
        <w:t xml:space="preserve">Figure 1. </w:t>
      </w:r>
      <w:r>
        <w:rPr>
          <w:rFonts w:cs="Arial"/>
          <w:szCs w:val="18"/>
        </w:rPr>
        <w:t>It</w:t>
      </w:r>
      <w:r w:rsidR="00F9261C" w:rsidRPr="00632CD9">
        <w:rPr>
          <w:rFonts w:cs="Arial"/>
          <w:szCs w:val="18"/>
        </w:rPr>
        <w:t xml:space="preserve"> consisted of the restricted ventilation cone calorimeter, Agitent Data logger, Gasmet Fourier Transform Infra-Red (FTIR) gas </w:t>
      </w:r>
      <w:r w:rsidR="00A023A7" w:rsidRPr="00632CD9">
        <w:rPr>
          <w:rFonts w:cs="Arial"/>
          <w:szCs w:val="18"/>
        </w:rPr>
        <w:t>analyzer</w:t>
      </w:r>
      <w:r w:rsidR="00F9261C">
        <w:rPr>
          <w:rFonts w:cs="Arial"/>
          <w:szCs w:val="18"/>
        </w:rPr>
        <w:t xml:space="preserve"> </w:t>
      </w:r>
      <w:r w:rsidR="00F9261C" w:rsidRPr="00632CD9">
        <w:rPr>
          <w:rFonts w:cs="Arial"/>
          <w:szCs w:val="18"/>
        </w:rPr>
        <w:t>(</w:t>
      </w:r>
      <w:r w:rsidR="00F9261C">
        <w:rPr>
          <w:rFonts w:cs="Arial"/>
          <w:szCs w:val="18"/>
        </w:rPr>
        <w:t>CR2000</w:t>
      </w:r>
      <w:r w:rsidR="00F9261C" w:rsidRPr="00632CD9">
        <w:rPr>
          <w:rFonts w:cs="Arial"/>
          <w:szCs w:val="18"/>
        </w:rPr>
        <w:t xml:space="preserve">) and </w:t>
      </w:r>
      <w:r w:rsidR="00EF7061" w:rsidRPr="00EF7061">
        <w:t>Servomex paramagnetic</w:t>
      </w:r>
      <w:r w:rsidR="00F9261C" w:rsidRPr="00632CD9">
        <w:rPr>
          <w:rFonts w:cs="Arial"/>
          <w:szCs w:val="18"/>
        </w:rPr>
        <w:t xml:space="preserve"> oxygen </w:t>
      </w:r>
      <w:r w:rsidR="00A023A7" w:rsidRPr="00632CD9">
        <w:rPr>
          <w:rFonts w:cs="Arial"/>
          <w:szCs w:val="18"/>
        </w:rPr>
        <w:t>analyzer</w:t>
      </w:r>
      <w:r w:rsidR="00F9261C" w:rsidRPr="00632CD9">
        <w:rPr>
          <w:rFonts w:cs="Arial"/>
          <w:szCs w:val="18"/>
        </w:rPr>
        <w:t xml:space="preserve">.  The </w:t>
      </w:r>
      <w:r w:rsidR="00883636" w:rsidRPr="00883636">
        <w:t>use of the restricted ventilation cone calorimeter for investigating the gasification of biomass</w:t>
      </w:r>
      <w:r w:rsidR="00883636" w:rsidRPr="00632CD9">
        <w:rPr>
          <w:rFonts w:cs="Arial"/>
          <w:szCs w:val="18"/>
        </w:rPr>
        <w:t xml:space="preserve"> </w:t>
      </w:r>
      <w:r w:rsidR="00F9261C" w:rsidRPr="00632CD9">
        <w:rPr>
          <w:rFonts w:cs="Arial"/>
          <w:szCs w:val="18"/>
        </w:rPr>
        <w:t>was developed by Irshad et al. (2014)</w:t>
      </w:r>
      <w:r w:rsidR="00F9261C" w:rsidRPr="00632CD9">
        <w:rPr>
          <w:rFonts w:cs="Arial"/>
          <w:color w:val="FF0000"/>
          <w:szCs w:val="18"/>
        </w:rPr>
        <w:t xml:space="preserve"> </w:t>
      </w:r>
      <w:r w:rsidR="00F9261C" w:rsidRPr="00632CD9">
        <w:rPr>
          <w:rFonts w:cs="Arial"/>
          <w:szCs w:val="18"/>
        </w:rPr>
        <w:t>and used by Andrews et al. (2019) and Mustafa et al. (2019)</w:t>
      </w:r>
      <w:r w:rsidR="00883636">
        <w:rPr>
          <w:rFonts w:cs="Arial"/>
          <w:szCs w:val="18"/>
        </w:rPr>
        <w:t xml:space="preserve"> </w:t>
      </w:r>
      <w:r w:rsidR="00883636" w:rsidRPr="00883636">
        <w:t xml:space="preserve">to demonstrate the </w:t>
      </w:r>
      <w:r w:rsidR="002106A0" w:rsidRPr="00883636">
        <w:t>gasification</w:t>
      </w:r>
      <w:r w:rsidR="00883636" w:rsidRPr="00883636">
        <w:t xml:space="preserve"> of pine wood and was</w:t>
      </w:r>
      <w:r w:rsidR="00F9261C" w:rsidRPr="00632CD9">
        <w:rPr>
          <w:rFonts w:cs="Arial"/>
          <w:szCs w:val="18"/>
        </w:rPr>
        <w:t xml:space="preserve"> ad</w:t>
      </w:r>
      <w:r w:rsidR="00883636">
        <w:rPr>
          <w:rFonts w:cs="Arial"/>
          <w:szCs w:val="18"/>
        </w:rPr>
        <w:t>a</w:t>
      </w:r>
      <w:r w:rsidR="00F9261C" w:rsidRPr="00632CD9">
        <w:rPr>
          <w:rFonts w:cs="Arial"/>
          <w:szCs w:val="18"/>
        </w:rPr>
        <w:t xml:space="preserve">pted for the current work. </w:t>
      </w:r>
      <w:r w:rsidR="00883636" w:rsidRPr="00883636">
        <w:t>A cone calorimeter heats the biomass using electrical radiant heat using a conical electrical heater that gives a uniform radiant flux across the 100</w:t>
      </w:r>
      <w:r w:rsidR="001C3799">
        <w:t xml:space="preserve"> </w:t>
      </w:r>
      <w:r w:rsidR="00883636" w:rsidRPr="00883636">
        <w:t>mm</w:t>
      </w:r>
      <w:r w:rsidR="00883636" w:rsidRPr="00883636">
        <w:rPr>
          <w:vertAlign w:val="superscript"/>
        </w:rPr>
        <w:t>2</w:t>
      </w:r>
      <w:r w:rsidR="00883636" w:rsidRPr="00883636">
        <w:t xml:space="preserve"> test surface. The specimen holder sits on a load cell so that the mass gasification rate can be determined. The equivalence ratio of the gasification </w:t>
      </w:r>
      <w:r w:rsidR="005E643C">
        <w:t>wa</w:t>
      </w:r>
      <w:r w:rsidR="00883636" w:rsidRPr="00883636">
        <w:t>s varied by changing the air flow to the air sealed enclosure around the test specimen. The elemental analysis of the draff was used to determine the stoichiometric A</w:t>
      </w:r>
      <w:r w:rsidR="00883636">
        <w:t>ir-Fuel R</w:t>
      </w:r>
      <w:r w:rsidR="00883636" w:rsidRPr="00883636">
        <w:t>atio</w:t>
      </w:r>
      <w:r w:rsidR="00883636">
        <w:t xml:space="preserve"> (AFR)</w:t>
      </w:r>
      <w:r w:rsidR="00883636" w:rsidRPr="00883636">
        <w:t xml:space="preserve">. The draff mass loss rate and the air flow enabled the measured </w:t>
      </w:r>
      <w:r w:rsidR="00883636">
        <w:t>AFR</w:t>
      </w:r>
      <w:r w:rsidR="00883636" w:rsidRPr="00883636">
        <w:t xml:space="preserve"> to be determined and hence the gasification equivalence ratio could be determined.</w:t>
      </w:r>
    </w:p>
    <w:p w14:paraId="4E052ACA" w14:textId="0E612037" w:rsidR="00F9261C" w:rsidRDefault="00F9261C" w:rsidP="00F9261C">
      <w:pPr>
        <w:pStyle w:val="CETBodytext"/>
        <w:rPr>
          <w:rFonts w:eastAsiaTheme="minorEastAsia" w:cs="Arial"/>
          <w:szCs w:val="18"/>
        </w:rPr>
      </w:pPr>
      <w:r w:rsidRPr="00632CD9">
        <w:rPr>
          <w:rFonts w:cs="Arial"/>
          <w:szCs w:val="18"/>
        </w:rPr>
        <w:t xml:space="preserve">The samples were prepared by placing lumps of draff in 100x100x20 mm </w:t>
      </w:r>
      <w:r w:rsidR="00263350" w:rsidRPr="00632CD9">
        <w:rPr>
          <w:rFonts w:cs="Arial"/>
          <w:szCs w:val="18"/>
        </w:rPr>
        <w:t>aluminum</w:t>
      </w:r>
      <w:r w:rsidRPr="00632CD9">
        <w:rPr>
          <w:rFonts w:cs="Arial"/>
          <w:szCs w:val="18"/>
        </w:rPr>
        <w:t xml:space="preserve"> foil. The weight of the sample was measured</w:t>
      </w:r>
      <w:r w:rsidR="00EF7061">
        <w:rPr>
          <w:rFonts w:cs="Arial"/>
          <w:szCs w:val="18"/>
        </w:rPr>
        <w:t>.</w:t>
      </w:r>
      <w:r w:rsidRPr="00632CD9">
        <w:rPr>
          <w:rFonts w:cs="Arial"/>
          <w:szCs w:val="18"/>
        </w:rPr>
        <w:t xml:space="preserve"> The draff sample was placed in the</w:t>
      </w:r>
      <w:r w:rsidR="00EF7061">
        <w:rPr>
          <w:rFonts w:cs="Arial"/>
          <w:szCs w:val="18"/>
        </w:rPr>
        <w:t xml:space="preserve"> cone calorimeter</w:t>
      </w:r>
      <w:r w:rsidRPr="00632CD9">
        <w:rPr>
          <w:rFonts w:cs="Arial"/>
          <w:szCs w:val="18"/>
        </w:rPr>
        <w:t xml:space="preserve"> sample holder. The exposed, upper surface of the sample was left in its rough</w:t>
      </w:r>
      <w:r>
        <w:rPr>
          <w:rFonts w:cs="Arial"/>
          <w:szCs w:val="18"/>
        </w:rPr>
        <w:t xml:space="preserve"> state</w:t>
      </w:r>
      <w:r w:rsidRPr="00632CD9">
        <w:rPr>
          <w:rFonts w:cs="Arial"/>
          <w:szCs w:val="18"/>
        </w:rPr>
        <w:t xml:space="preserve"> </w:t>
      </w:r>
      <w:r w:rsidR="00EF7061">
        <w:rPr>
          <w:rFonts w:cs="Arial"/>
          <w:szCs w:val="18"/>
        </w:rPr>
        <w:t xml:space="preserve">as shown in </w:t>
      </w:r>
      <w:r w:rsidRPr="00632CD9">
        <w:rPr>
          <w:rFonts w:cs="Arial"/>
          <w:szCs w:val="18"/>
        </w:rPr>
        <w:t>Figure 2</w:t>
      </w:r>
      <w:r w:rsidR="00EF7061">
        <w:rPr>
          <w:rFonts w:cs="Arial"/>
          <w:szCs w:val="18"/>
        </w:rPr>
        <w:t>.</w:t>
      </w:r>
      <w:r w:rsidRPr="00632CD9">
        <w:rPr>
          <w:rFonts w:cs="Arial"/>
          <w:szCs w:val="18"/>
        </w:rPr>
        <w:t xml:space="preserve"> </w:t>
      </w:r>
      <w:r w:rsidRPr="00632CD9">
        <w:rPr>
          <w:rFonts w:eastAsiaTheme="minorEastAsia" w:cs="Arial"/>
          <w:szCs w:val="18"/>
        </w:rPr>
        <w:t>The gasification</w:t>
      </w:r>
      <w:r>
        <w:rPr>
          <w:rFonts w:eastAsiaTheme="minorEastAsia" w:cs="Arial"/>
          <w:szCs w:val="18"/>
        </w:rPr>
        <w:t xml:space="preserve"> was carried out at the air fluxes: 6.1, 9.0, 11.2, 12.9, 14.3, and 16.3 </w:t>
      </w:r>
      <w:r w:rsidRPr="00D86741">
        <w:rPr>
          <w:rFonts w:cs="Arial"/>
          <w:szCs w:val="18"/>
        </w:rPr>
        <w:t>g/m</w:t>
      </w:r>
      <w:r w:rsidRPr="00D86741">
        <w:rPr>
          <w:rFonts w:cs="Arial"/>
          <w:szCs w:val="18"/>
          <w:vertAlign w:val="superscript"/>
        </w:rPr>
        <w:t>2</w:t>
      </w:r>
      <w:r w:rsidRPr="00D86741">
        <w:rPr>
          <w:rFonts w:cs="Arial"/>
          <w:szCs w:val="18"/>
        </w:rPr>
        <w:t>.s</w:t>
      </w:r>
      <w:r>
        <w:rPr>
          <w:rFonts w:cs="Arial"/>
          <w:szCs w:val="18"/>
        </w:rPr>
        <w:t>.</w:t>
      </w:r>
      <w:r w:rsidRPr="00632CD9">
        <w:rPr>
          <w:rFonts w:eastAsiaTheme="minorEastAsia" w:cs="Arial"/>
          <w:szCs w:val="18"/>
        </w:rPr>
        <w:t xml:space="preserve"> The radiant heat flux that was used during the test was 70 kW/m</w:t>
      </w:r>
      <w:r w:rsidRPr="00632CD9">
        <w:rPr>
          <w:rFonts w:eastAsiaTheme="minorEastAsia" w:cs="Arial"/>
          <w:szCs w:val="18"/>
          <w:vertAlign w:val="superscript"/>
        </w:rPr>
        <w:t>2</w:t>
      </w:r>
      <w:r w:rsidRPr="00632CD9">
        <w:rPr>
          <w:rFonts w:eastAsiaTheme="minorEastAsia" w:cs="Arial"/>
          <w:szCs w:val="18"/>
        </w:rPr>
        <w:t>. This is much higher than the 35 kW/m</w:t>
      </w:r>
      <w:r w:rsidRPr="00632CD9">
        <w:rPr>
          <w:rFonts w:eastAsiaTheme="minorEastAsia" w:cs="Arial"/>
          <w:szCs w:val="18"/>
          <w:vertAlign w:val="superscript"/>
        </w:rPr>
        <w:t>2</w:t>
      </w:r>
      <w:r w:rsidRPr="00632CD9">
        <w:rPr>
          <w:rFonts w:eastAsiaTheme="minorEastAsia" w:cs="Arial"/>
          <w:szCs w:val="18"/>
        </w:rPr>
        <w:t xml:space="preserve"> advocated by Irshad (2014) for pine wood. A relatively high heat flux was required for draff due to the high moisture content as well as the sticky nature of the biomass.</w:t>
      </w:r>
    </w:p>
    <w:p w14:paraId="21295A6E" w14:textId="4A7EE615" w:rsidR="00F9261C" w:rsidRDefault="00F9261C" w:rsidP="00F9261C">
      <w:pPr>
        <w:pStyle w:val="CETBodytext"/>
        <w:rPr>
          <w:rFonts w:eastAsiaTheme="minorEastAsia" w:cs="Arial"/>
          <w:szCs w:val="18"/>
        </w:rPr>
      </w:pPr>
    </w:p>
    <w:p w14:paraId="014D8F58" w14:textId="1DA1D341" w:rsidR="00F9261C" w:rsidRDefault="00F9261C" w:rsidP="00F9261C">
      <w:pPr>
        <w:pStyle w:val="CETBodytext"/>
      </w:pPr>
      <w:r w:rsidRPr="00632CD9">
        <w:rPr>
          <w:rFonts w:cs="Arial"/>
          <w:noProof/>
          <w:szCs w:val="18"/>
        </w:rPr>
        <w:drawing>
          <wp:inline distT="0" distB="0" distL="0" distR="0" wp14:anchorId="46928F5C" wp14:editId="5202F127">
            <wp:extent cx="2620255" cy="1697990"/>
            <wp:effectExtent l="0" t="0" r="8890" b="0"/>
            <wp:docPr id="19" name="Picture 18" descr="Diagram&#10;&#10;Description automatically generated">
              <a:extLst xmlns:a="http://schemas.openxmlformats.org/drawingml/2006/main">
                <a:ext uri="{FF2B5EF4-FFF2-40B4-BE49-F238E27FC236}">
                  <a16:creationId xmlns:a16="http://schemas.microsoft.com/office/drawing/2014/main" id="{DB58158D-6CAD-4224-B217-5F180300A5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Diagram&#10;&#10;Description automatically generated">
                      <a:extLst>
                        <a:ext uri="{FF2B5EF4-FFF2-40B4-BE49-F238E27FC236}">
                          <a16:creationId xmlns:a16="http://schemas.microsoft.com/office/drawing/2014/main" id="{DB58158D-6CAD-4224-B217-5F180300A56A}"/>
                        </a:ext>
                      </a:extLst>
                    </pic:cNvPr>
                    <pic:cNvPicPr>
                      <a:picLocks noChangeAspect="1"/>
                    </pic:cNvPicPr>
                  </pic:nvPicPr>
                  <pic:blipFill>
                    <a:blip r:embed="rId12"/>
                    <a:stretch>
                      <a:fillRect/>
                    </a:stretch>
                  </pic:blipFill>
                  <pic:spPr>
                    <a:xfrm>
                      <a:off x="0" y="0"/>
                      <a:ext cx="2755679" cy="1785748"/>
                    </a:xfrm>
                    <a:prstGeom prst="rect">
                      <a:avLst/>
                    </a:prstGeom>
                  </pic:spPr>
                </pic:pic>
              </a:graphicData>
            </a:graphic>
          </wp:inline>
        </w:drawing>
      </w:r>
      <w:r>
        <w:t xml:space="preserve">    </w:t>
      </w:r>
      <w:r w:rsidRPr="00632CD9">
        <w:rPr>
          <w:noProof/>
          <w:szCs w:val="18"/>
        </w:rPr>
        <w:drawing>
          <wp:inline distT="0" distB="0" distL="0" distR="0" wp14:anchorId="27E554D2" wp14:editId="6DDC440A">
            <wp:extent cx="1536807" cy="1219200"/>
            <wp:effectExtent l="0" t="0" r="6350" b="0"/>
            <wp:docPr id="3" name="Picture 3" descr="A picture containing indoor, chocolate, square,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chocolate, square, tray&#10;&#10;Description automatically generated"/>
                    <pic:cNvPicPr/>
                  </pic:nvPicPr>
                  <pic:blipFill>
                    <a:blip r:embed="rId13"/>
                    <a:stretch>
                      <a:fillRect/>
                    </a:stretch>
                  </pic:blipFill>
                  <pic:spPr>
                    <a:xfrm>
                      <a:off x="0" y="0"/>
                      <a:ext cx="1572189" cy="1247270"/>
                    </a:xfrm>
                    <a:prstGeom prst="rect">
                      <a:avLst/>
                    </a:prstGeom>
                  </pic:spPr>
                </pic:pic>
              </a:graphicData>
            </a:graphic>
          </wp:inline>
        </w:drawing>
      </w:r>
    </w:p>
    <w:p w14:paraId="7519E8C4" w14:textId="6D2D9592" w:rsidR="00F9261C" w:rsidRDefault="007A427E" w:rsidP="007A427E">
      <w:pPr>
        <w:pStyle w:val="CETCaption"/>
      </w:pPr>
      <w:r w:rsidRPr="00632CD9">
        <w:t xml:space="preserve">Figure 1: Gasification test rig (Cone </w:t>
      </w:r>
      <w:r w:rsidR="009346E6" w:rsidRPr="00632CD9">
        <w:t>calorimeter</w:t>
      </w:r>
      <w:r w:rsidR="009346E6">
        <w:t xml:space="preserve">)  </w:t>
      </w:r>
      <w:r>
        <w:t xml:space="preserve">   </w:t>
      </w:r>
      <w:r w:rsidR="00765CBB">
        <w:t xml:space="preserve"> </w:t>
      </w:r>
      <w:r w:rsidRPr="00632CD9">
        <w:t>Figure 2: Draff sample for gasification (sample weight 82 g)</w:t>
      </w:r>
    </w:p>
    <w:p w14:paraId="379AC04C" w14:textId="55474DB6" w:rsidR="007A427E" w:rsidRPr="00632CD9" w:rsidRDefault="007A427E" w:rsidP="007A427E">
      <w:pPr>
        <w:pStyle w:val="CETBodytext"/>
      </w:pPr>
      <w:r w:rsidRPr="00632CD9">
        <w:t>The restricted ventilation cone calorimeter was used</w:t>
      </w:r>
      <w:r>
        <w:t xml:space="preserve"> in this study</w:t>
      </w:r>
      <w:r w:rsidRPr="00632CD9">
        <w:t>. The sample was placed in the sealed air box (1) shown in Figure 1. The air supply to the box was controlled so that the metered equivalence ratio Ø</w:t>
      </w:r>
      <w:r w:rsidRPr="00632CD9">
        <w:rPr>
          <w:vertAlign w:val="subscript"/>
        </w:rPr>
        <w:t xml:space="preserve"> </w:t>
      </w:r>
      <w:r w:rsidRPr="00632CD9">
        <w:t>could be varied by varying the air flow. The gasification chamber was lined with insulating fibre board such that the internal dimensions of the box were 0.33 m long, 0.275 m wide and 0.305 m high. The mode of gasification that occurred in the chamber was fixed bed, updraught gasification.</w:t>
      </w:r>
    </w:p>
    <w:p w14:paraId="319DC6EE" w14:textId="77777777" w:rsidR="007A427E" w:rsidRPr="007A427E" w:rsidRDefault="007A427E" w:rsidP="007A427E">
      <w:pPr>
        <w:pStyle w:val="CETBodytext"/>
        <w:rPr>
          <w:lang w:val="en-GB"/>
        </w:rPr>
      </w:pPr>
    </w:p>
    <w:p w14:paraId="0636B784" w14:textId="38D1BB5D" w:rsidR="00453E24" w:rsidRDefault="007A427E" w:rsidP="00453E24">
      <w:pPr>
        <w:pStyle w:val="CETheadingx"/>
      </w:pPr>
      <w:r w:rsidRPr="00632CD9">
        <w:rPr>
          <w:rFonts w:cs="Arial"/>
          <w:color w:val="212121"/>
          <w:szCs w:val="18"/>
        </w:rPr>
        <w:lastRenderedPageBreak/>
        <w:t xml:space="preserve">Determination of stoichiometric and metered </w:t>
      </w:r>
      <w:r>
        <w:rPr>
          <w:rFonts w:cs="Arial"/>
          <w:color w:val="212121"/>
          <w:szCs w:val="18"/>
        </w:rPr>
        <w:t>A</w:t>
      </w:r>
      <w:r w:rsidRPr="00632CD9">
        <w:rPr>
          <w:rFonts w:cs="Arial"/>
          <w:color w:val="212121"/>
          <w:szCs w:val="18"/>
        </w:rPr>
        <w:t>ir-</w:t>
      </w:r>
      <w:r>
        <w:rPr>
          <w:rFonts w:cs="Arial"/>
          <w:color w:val="212121"/>
          <w:szCs w:val="18"/>
        </w:rPr>
        <w:t>F</w:t>
      </w:r>
      <w:r w:rsidRPr="00632CD9">
        <w:rPr>
          <w:rFonts w:cs="Arial"/>
          <w:color w:val="212121"/>
          <w:szCs w:val="18"/>
        </w:rPr>
        <w:t xml:space="preserve">uel </w:t>
      </w:r>
      <w:r>
        <w:rPr>
          <w:rFonts w:cs="Arial"/>
          <w:color w:val="212121"/>
          <w:szCs w:val="18"/>
        </w:rPr>
        <w:t>R</w:t>
      </w:r>
      <w:r w:rsidRPr="00632CD9">
        <w:rPr>
          <w:rFonts w:cs="Arial"/>
          <w:color w:val="212121"/>
          <w:szCs w:val="18"/>
        </w:rPr>
        <w:t>atio (AFR)</w:t>
      </w:r>
    </w:p>
    <w:p w14:paraId="701FCEB5" w14:textId="38C8775A" w:rsidR="007A427E" w:rsidRDefault="007A427E" w:rsidP="007A427E">
      <w:pPr>
        <w:pStyle w:val="CETBodytext"/>
        <w:spacing w:after="240"/>
        <w:rPr>
          <w:rFonts w:eastAsiaTheme="minorEastAsia"/>
        </w:rPr>
      </w:pPr>
      <w:r w:rsidRPr="007A427E">
        <w:t xml:space="preserve">The carbon and oxygen balance method of Chan and Zhu (1996) was </w:t>
      </w:r>
      <w:r w:rsidR="00E10D1C" w:rsidRPr="007A427E">
        <w:t>utilized</w:t>
      </w:r>
      <w:r w:rsidRPr="007A427E">
        <w:t xml:space="preserve"> to calculate the stoichiometric Air</w:t>
      </w:r>
      <w:r w:rsidR="00884D83">
        <w:t>-</w:t>
      </w:r>
      <w:r w:rsidRPr="007A427E">
        <w:t>Fuel Ratio (AFR) of the bio-waste from the result of the elemental analysis. (The stoichiometric AFR is the mass of air required for the complete combustion of 1 kg of fuel.)</w:t>
      </w:r>
      <w:r w:rsidRPr="007A427E">
        <w:rPr>
          <w:rFonts w:eastAsiaTheme="minorEastAsia"/>
        </w:rPr>
        <w:t xml:space="preserve"> The gasification equivalence ratio (</w:t>
      </w:r>
      <w:r w:rsidRPr="007A427E">
        <w:rPr>
          <w:color w:val="212121"/>
        </w:rPr>
        <w:t>Ø</w:t>
      </w:r>
      <w:r w:rsidRPr="007A427E">
        <w:t>)</w:t>
      </w:r>
      <w:r w:rsidRPr="007A427E">
        <w:rPr>
          <w:rFonts w:eastAsiaTheme="minorEastAsia"/>
        </w:rPr>
        <w:t xml:space="preserve"> was determined from the mass loss rate of the test sample and the metered air flow into the gasifier. The equivalence ratio of the gasifier was the ratio of the stoichiometric AFR</w:t>
      </w:r>
      <w:r w:rsidR="001D1DD6">
        <w:rPr>
          <w:rFonts w:eastAsiaTheme="minorEastAsia"/>
        </w:rPr>
        <w:t xml:space="preserve"> by mass</w:t>
      </w:r>
      <w:r w:rsidRPr="007A427E">
        <w:rPr>
          <w:rFonts w:eastAsiaTheme="minorEastAsia"/>
        </w:rPr>
        <w:t xml:space="preserve"> to the measured/metered AFR (Equation 1). The metered AFR was estimated from Equation 2.</w:t>
      </w:r>
    </w:p>
    <w:p w14:paraId="101DAAF7" w14:textId="02EFA7E6" w:rsidR="007A427E" w:rsidRPr="00632CD9" w:rsidRDefault="007A427E" w:rsidP="007A427E">
      <w:pPr>
        <w:pStyle w:val="CETEquation"/>
        <w:rPr>
          <w:shd w:val="clear" w:color="auto" w:fill="FFFFFF"/>
        </w:rPr>
      </w:pPr>
      <m:oMath>
        <m:r>
          <w:rPr>
            <w:rFonts w:ascii="Cambria Math" w:hAnsi="Cambria Math"/>
            <w:shd w:val="clear" w:color="auto" w:fill="FFFFFF"/>
          </w:rPr>
          <m:t>ϕ=</m:t>
        </m:r>
        <m:f>
          <m:fPr>
            <m:ctrlPr>
              <w:rPr>
                <w:rFonts w:ascii="Cambria Math" w:hAnsi="Cambria Math"/>
                <w:i/>
                <w:shd w:val="clear" w:color="auto" w:fill="FFFFFF"/>
              </w:rPr>
            </m:ctrlPr>
          </m:fPr>
          <m:num>
            <m:r>
              <w:rPr>
                <w:rFonts w:ascii="Cambria Math" w:hAnsi="Cambria Math"/>
                <w:shd w:val="clear" w:color="auto" w:fill="FFFFFF"/>
              </w:rPr>
              <m:t>stoichiometric AFR</m:t>
            </m:r>
          </m:num>
          <m:den>
            <m:r>
              <w:rPr>
                <w:rFonts w:ascii="Cambria Math" w:hAnsi="Cambria Math"/>
                <w:shd w:val="clear" w:color="auto" w:fill="FFFFFF"/>
              </w:rPr>
              <m:t>metered AFR</m:t>
            </m:r>
          </m:den>
        </m:f>
      </m:oMath>
      <w:r w:rsidRPr="00632CD9">
        <w:rPr>
          <w:shd w:val="clear" w:color="auto" w:fill="FFFFFF"/>
        </w:rPr>
        <w:t xml:space="preserve">                                                                                                               </w:t>
      </w:r>
      <w:r>
        <w:rPr>
          <w:shd w:val="clear" w:color="auto" w:fill="FFFFFF"/>
        </w:rPr>
        <w:t xml:space="preserve">                            </w:t>
      </w:r>
      <w:r w:rsidRPr="00632CD9">
        <w:rPr>
          <w:shd w:val="clear" w:color="auto" w:fill="FFFFFF"/>
        </w:rPr>
        <w:t>(1)</w:t>
      </w:r>
    </w:p>
    <w:p w14:paraId="5D346F17" w14:textId="10430EB4" w:rsidR="007A427E" w:rsidRDefault="007A427E" w:rsidP="007A427E">
      <w:pPr>
        <w:pStyle w:val="CETEquation"/>
        <w:rPr>
          <w:rFonts w:eastAsiaTheme="minorEastAsia"/>
          <w:shd w:val="clear" w:color="auto" w:fill="FFFFFF"/>
        </w:rPr>
      </w:pPr>
      <m:oMath>
        <m:r>
          <w:rPr>
            <w:rFonts w:ascii="Cambria Math" w:hAnsi="Cambria Math"/>
            <w:shd w:val="clear" w:color="auto" w:fill="FFFFFF"/>
          </w:rPr>
          <m:t>metered AFR=</m:t>
        </m:r>
        <m:f>
          <m:fPr>
            <m:ctrlPr>
              <w:rPr>
                <w:rFonts w:ascii="Cambria Math" w:hAnsi="Cambria Math"/>
                <w:i/>
                <w:shd w:val="clear" w:color="auto" w:fill="FFFFFF"/>
              </w:rPr>
            </m:ctrlPr>
          </m:fPr>
          <m:num>
            <m:r>
              <w:rPr>
                <w:rFonts w:ascii="Cambria Math" w:hAnsi="Cambria Math"/>
                <w:shd w:val="clear" w:color="auto" w:fill="FFFFFF"/>
              </w:rPr>
              <m:t>metered air flow,   g/s</m:t>
            </m:r>
          </m:num>
          <m:den>
            <m:r>
              <w:rPr>
                <w:rFonts w:ascii="Cambria Math" w:hAnsi="Cambria Math"/>
                <w:shd w:val="clear" w:color="auto" w:fill="FFFFFF"/>
              </w:rPr>
              <m:t>mean mass loss rate,   g/s</m:t>
            </m:r>
          </m:den>
        </m:f>
      </m:oMath>
      <w:r w:rsidRPr="00632CD9">
        <w:rPr>
          <w:rFonts w:eastAsiaTheme="minorEastAsia"/>
          <w:shd w:val="clear" w:color="auto" w:fill="FFFFFF"/>
        </w:rPr>
        <w:t xml:space="preserve">                                                                                   </w:t>
      </w:r>
      <w:r>
        <w:rPr>
          <w:rFonts w:eastAsiaTheme="minorEastAsia"/>
          <w:shd w:val="clear" w:color="auto" w:fill="FFFFFF"/>
        </w:rPr>
        <w:t xml:space="preserve">         </w:t>
      </w:r>
      <w:r w:rsidRPr="00632CD9">
        <w:rPr>
          <w:rFonts w:eastAsiaTheme="minorEastAsia"/>
          <w:shd w:val="clear" w:color="auto" w:fill="FFFFFF"/>
        </w:rPr>
        <w:t xml:space="preserve"> </w:t>
      </w:r>
      <w:r>
        <w:rPr>
          <w:rFonts w:eastAsiaTheme="minorEastAsia"/>
          <w:shd w:val="clear" w:color="auto" w:fill="FFFFFF"/>
        </w:rPr>
        <w:t xml:space="preserve">                   </w:t>
      </w:r>
      <w:r w:rsidRPr="00632CD9">
        <w:rPr>
          <w:rFonts w:eastAsiaTheme="minorEastAsia"/>
          <w:shd w:val="clear" w:color="auto" w:fill="FFFFFF"/>
        </w:rPr>
        <w:t>(2)</w:t>
      </w:r>
    </w:p>
    <w:p w14:paraId="044E8DA4" w14:textId="48013B0C" w:rsidR="007A427E" w:rsidRPr="007A427E" w:rsidRDefault="007A427E" w:rsidP="00731604">
      <w:pPr>
        <w:pStyle w:val="CETBodytext"/>
        <w:spacing w:before="240"/>
        <w:rPr>
          <w:rFonts w:eastAsiaTheme="minorEastAsia"/>
          <w:lang w:val="en-GB"/>
        </w:rPr>
      </w:pPr>
      <w:r w:rsidRPr="00632CD9">
        <w:rPr>
          <w:rFonts w:cs="Arial"/>
          <w:szCs w:val="18"/>
        </w:rPr>
        <w:t xml:space="preserve">The equilibrium constant </w:t>
      </w:r>
      <w:r w:rsidRPr="00632CD9">
        <w:rPr>
          <w:szCs w:val="18"/>
        </w:rPr>
        <w:t>(</w:t>
      </w:r>
      <m:oMath>
        <m:r>
          <w:rPr>
            <w:rFonts w:ascii="Cambria Math" w:hAnsi="Cambria Math"/>
            <w:szCs w:val="18"/>
          </w:rPr>
          <m:t>K</m:t>
        </m:r>
      </m:oMath>
      <w:r w:rsidRPr="00632CD9">
        <w:rPr>
          <w:szCs w:val="18"/>
        </w:rPr>
        <w:t xml:space="preserve">) </w:t>
      </w:r>
      <w:r w:rsidRPr="00632CD9">
        <w:rPr>
          <w:rFonts w:cs="Arial"/>
          <w:szCs w:val="18"/>
        </w:rPr>
        <w:t xml:space="preserve">for the water-gas shift reaction was </w:t>
      </w:r>
      <w:r w:rsidR="00263350" w:rsidRPr="00632CD9">
        <w:rPr>
          <w:rFonts w:cs="Arial"/>
          <w:szCs w:val="18"/>
        </w:rPr>
        <w:t>utilized</w:t>
      </w:r>
      <w:r w:rsidRPr="00632CD9">
        <w:rPr>
          <w:rFonts w:cs="Arial"/>
          <w:szCs w:val="18"/>
        </w:rPr>
        <w:t xml:space="preserve"> to estimate the concentration of hydrogen in the sampled gas (Equations 3 and 4) (Choi and Stenger, 2003).</w:t>
      </w:r>
    </w:p>
    <w:p w14:paraId="0BE36860" w14:textId="14B9C34D" w:rsidR="007A427E" w:rsidRPr="00632CD9" w:rsidRDefault="007A427E" w:rsidP="007A427E">
      <w:pPr>
        <w:pStyle w:val="CETEquation"/>
        <w:rPr>
          <w:rFonts w:cs="Arial"/>
        </w:rPr>
      </w:pPr>
      <m:oMath>
        <m:r>
          <w:rPr>
            <w:rFonts w:ascii="Cambria Math" w:hAnsi="Cambria Math"/>
          </w:rPr>
          <m:t>CO+</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sSubSup>
          <m:sSubSupPr>
            <m:ctrlPr>
              <w:rPr>
                <w:rFonts w:ascii="Cambria Math" w:hAnsi="Cambria Math"/>
                <w:i/>
              </w:rPr>
            </m:ctrlPr>
          </m:sSubSupPr>
          <m:e>
            <m:r>
              <w:rPr>
                <w:rFonts w:ascii="Cambria Math" w:hAnsi="Cambria Math"/>
              </w:rPr>
              <m:t>H</m:t>
            </m:r>
          </m:e>
          <m:sub>
            <m:r>
              <w:rPr>
                <w:rFonts w:ascii="Cambria Math" w:hAnsi="Cambria Math"/>
              </w:rPr>
              <m:t>298</m:t>
            </m:r>
          </m:sub>
          <m:sup>
            <m:r>
              <w:rPr>
                <w:rFonts w:ascii="Cambria Math" w:hAnsi="Cambria Math"/>
              </w:rPr>
              <m:t>o</m:t>
            </m:r>
          </m:sup>
        </m:sSubSup>
        <m:r>
          <w:rPr>
            <w:rFonts w:ascii="Cambria Math" w:hAnsi="Cambria Math"/>
          </w:rPr>
          <m:t xml:space="preserve">=-41.1 </m:t>
        </m:r>
        <m:f>
          <m:fPr>
            <m:ctrlPr>
              <w:rPr>
                <w:rFonts w:ascii="Cambria Math" w:hAnsi="Cambria Math"/>
                <w:i/>
              </w:rPr>
            </m:ctrlPr>
          </m:fPr>
          <m:num>
            <m:r>
              <w:rPr>
                <w:rFonts w:ascii="Cambria Math" w:hAnsi="Cambria Math"/>
              </w:rPr>
              <m:t>kJ</m:t>
            </m:r>
          </m:num>
          <m:den>
            <m:r>
              <w:rPr>
                <w:rFonts w:ascii="Cambria Math" w:hAnsi="Cambria Math"/>
              </w:rPr>
              <m:t>mol</m:t>
            </m:r>
          </m:den>
        </m:f>
      </m:oMath>
      <w:r w:rsidRPr="00632CD9">
        <w:t xml:space="preserve">                                                                           </w:t>
      </w:r>
      <w:r>
        <w:t xml:space="preserve"> </w:t>
      </w:r>
      <w:r w:rsidRPr="00632CD9">
        <w:t xml:space="preserve">                 </w:t>
      </w:r>
      <w:r>
        <w:t xml:space="preserve">        </w:t>
      </w:r>
      <w:r w:rsidRPr="00632CD9">
        <w:t>(</w:t>
      </w:r>
      <w:r w:rsidRPr="00632CD9">
        <w:rPr>
          <w:rFonts w:cs="Arial"/>
        </w:rPr>
        <w:t>3)</w:t>
      </w:r>
    </w:p>
    <w:p w14:paraId="2E27E073" w14:textId="2BA8B14F" w:rsidR="007A427E" w:rsidRPr="007A427E" w:rsidRDefault="007A427E" w:rsidP="007A427E">
      <w:pPr>
        <w:pStyle w:val="CETEquation"/>
      </w:pPr>
      <m:oMath>
        <m:r>
          <w:rPr>
            <w:rFonts w:ascii="Cambria Math" w:hAnsi="Cambria Math"/>
          </w:rPr>
          <m:t>K</m:t>
        </m:r>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CO</m:t>
                    </m:r>
                  </m:e>
                  <m:sub>
                    <m:r>
                      <m:rPr>
                        <m:sty m:val="p"/>
                      </m:rPr>
                      <w:rPr>
                        <w:rFonts w:ascii="Cambria Math" w:hAnsi="Cambria Math"/>
                      </w:rPr>
                      <m:t>2</m:t>
                    </m:r>
                  </m:sub>
                </m:sSub>
              </m:e>
            </m:d>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num>
          <m:den>
            <m:d>
              <m:dPr>
                <m:begChr m:val="["/>
                <m:endChr m:val="]"/>
                <m:ctrlPr>
                  <w:rPr>
                    <w:rFonts w:ascii="Cambria Math" w:hAnsi="Cambria Math"/>
                  </w:rPr>
                </m:ctrlPr>
              </m:dPr>
              <m:e>
                <m:r>
                  <w:rPr>
                    <w:rFonts w:ascii="Cambria Math" w:hAnsi="Cambria Math"/>
                  </w:rPr>
                  <m:t>CO</m:t>
                </m:r>
              </m:e>
            </m:d>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2</m:t>
                    </m:r>
                  </m:sub>
                </m:sSub>
                <m:r>
                  <w:rPr>
                    <w:rFonts w:ascii="Cambria Math" w:hAnsi="Cambria Math"/>
                  </w:rPr>
                  <m:t>O</m:t>
                </m:r>
              </m:e>
            </m:d>
          </m:den>
        </m:f>
      </m:oMath>
      <w:r w:rsidRPr="007A427E">
        <w:t xml:space="preserve">                                                                                                                                                     </w:t>
      </w:r>
      <w:r>
        <w:t xml:space="preserve">  (4)</w:t>
      </w:r>
    </w:p>
    <w:p w14:paraId="00728BFF" w14:textId="77777777" w:rsidR="00731604" w:rsidRPr="00632CD9" w:rsidRDefault="00F06A0C" w:rsidP="00731604">
      <w:pPr>
        <w:pStyle w:val="CETBodytext"/>
        <w:spacing w:before="240"/>
      </w:p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CO</m:t>
                </m:r>
              </m:e>
              <m:sub>
                <m:r>
                  <w:rPr>
                    <w:rFonts w:ascii="Cambria Math" w:hAnsi="Cambria Math"/>
                  </w:rPr>
                  <m:t>2</m:t>
                </m:r>
              </m:sub>
            </m:sSub>
          </m:e>
        </m:d>
      </m:oMath>
      <w:r w:rsidR="00731604" w:rsidRPr="00632CD9">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e>
        </m:d>
      </m:oMath>
      <w:r w:rsidR="00731604" w:rsidRPr="00632CD9">
        <w:t xml:space="preserve">, </w:t>
      </w:r>
      <m:oMath>
        <m:d>
          <m:dPr>
            <m:begChr m:val="["/>
            <m:endChr m:val="]"/>
            <m:ctrlPr>
              <w:rPr>
                <w:rFonts w:ascii="Cambria Math" w:hAnsi="Cambria Math"/>
                <w:i/>
              </w:rPr>
            </m:ctrlPr>
          </m:dPr>
          <m:e>
            <m:r>
              <w:rPr>
                <w:rFonts w:ascii="Cambria Math" w:hAnsi="Cambria Math"/>
              </w:rPr>
              <m:t>CO</m:t>
            </m:r>
          </m:e>
        </m:d>
      </m:oMath>
      <w:r w:rsidR="00731604" w:rsidRPr="00632CD9">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d>
      </m:oMath>
      <w:r w:rsidR="00731604" w:rsidRPr="00632CD9">
        <w:t xml:space="preserve"> in Equation 3 represent the concentrations of the product gases: carbon dioxide, hydrogen, carbon monoxide, and water vapour, respectively. The value of </w:t>
      </w:r>
      <m:oMath>
        <m:r>
          <w:rPr>
            <w:rFonts w:ascii="Cambria Math" w:hAnsi="Cambria Math"/>
          </w:rPr>
          <m:t>K</m:t>
        </m:r>
      </m:oMath>
      <w:r w:rsidR="00731604" w:rsidRPr="00632CD9">
        <w:t xml:space="preserve"> in Equation 4 was 3.5, corresponding to an equilibrium temperature of 1,738 K Chan and Zhu (1996).</w:t>
      </w:r>
    </w:p>
    <w:p w14:paraId="7C2B0064" w14:textId="088EFA2A" w:rsidR="00453E24" w:rsidRPr="00731604" w:rsidRDefault="00453E24" w:rsidP="00453E24">
      <w:pPr>
        <w:pStyle w:val="CETBodytext"/>
        <w:rPr>
          <w:lang w:val="en-GB"/>
        </w:rPr>
      </w:pPr>
    </w:p>
    <w:p w14:paraId="18BAFA6F" w14:textId="190185B6" w:rsidR="00453E24" w:rsidRPr="00B57B36" w:rsidRDefault="00731604" w:rsidP="00453E24">
      <w:pPr>
        <w:pStyle w:val="CETheadingx"/>
      </w:pPr>
      <w:r w:rsidRPr="00632CD9">
        <w:rPr>
          <w:rFonts w:cs="Arial"/>
          <w:color w:val="212121"/>
          <w:szCs w:val="18"/>
        </w:rPr>
        <w:t>Determination of the Hot Gases Efficiency (HGE)</w:t>
      </w:r>
    </w:p>
    <w:p w14:paraId="45C7292A" w14:textId="3B3C8E64" w:rsidR="00731604" w:rsidRPr="00731604" w:rsidRDefault="00731604" w:rsidP="003036A5">
      <w:pPr>
        <w:pStyle w:val="CETBodytext"/>
        <w:spacing w:after="240"/>
      </w:pPr>
      <w:r w:rsidRPr="00731604">
        <w:t>The Hot Gases Efficiency (HGE) for the gasification</w:t>
      </w:r>
      <w:r w:rsidR="00884D83">
        <w:t xml:space="preserve"> of</w:t>
      </w:r>
      <w:r w:rsidRPr="00731604">
        <w:t xml:space="preserve"> draff was estimated from the Higher Heating Values (HHV) and sensible heats of the product gases (Equation 5) (Kirsanovs and Zandeckis, 2015). </w:t>
      </w:r>
    </w:p>
    <w:p w14:paraId="6896762F" w14:textId="530AEDD8" w:rsidR="00731604" w:rsidRDefault="00731604" w:rsidP="005F4844">
      <w:pPr>
        <w:pStyle w:val="CETEquation"/>
        <w:rPr>
          <w:rFonts w:cs="Arial"/>
        </w:rPr>
      </w:pPr>
      <m:oMath>
        <m:r>
          <w:rPr>
            <w:rFonts w:ascii="Cambria Math" w:hAnsi="Cambria Math"/>
          </w:rPr>
          <m:t>HGE</m:t>
        </m:r>
        <m:r>
          <m:rPr>
            <m:sty m:val="p"/>
          </m:rPr>
          <w:rPr>
            <w:rFonts w:ascii="Cambria Math" w:hAnsi="Cambria Math"/>
          </w:rPr>
          <m:t>=</m:t>
        </m:r>
        <m:f>
          <m:fPr>
            <m:ctrlPr>
              <w:rPr>
                <w:rFonts w:ascii="Cambria Math" w:hAnsi="Cambria Math"/>
              </w:rPr>
            </m:ctrlPr>
          </m:fPr>
          <m:num>
            <m:r>
              <m:rPr>
                <m:sty m:val="p"/>
              </m:rPr>
              <w:rPr>
                <w:rFonts w:ascii="Cambria Math" w:hAnsi="Cambria Math"/>
              </w:rPr>
              <m:t>Σ</m:t>
            </m:r>
            <m:d>
              <m:dPr>
                <m:ctrlPr>
                  <w:rPr>
                    <w:rFonts w:ascii="Cambria Math" w:hAnsi="Cambria Math"/>
                  </w:rPr>
                </m:ctrlPr>
              </m:dPr>
              <m:e>
                <m:r>
                  <w:rPr>
                    <w:rFonts w:ascii="Cambria Math" w:hAnsi="Cambria Math"/>
                  </w:rPr>
                  <m:t>HHV</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product</m:t>
                </m:r>
                <m:r>
                  <m:rPr>
                    <m:sty m:val="p"/>
                  </m:rPr>
                  <w:rPr>
                    <w:rFonts w:ascii="Cambria Math" w:hAnsi="Cambria Math"/>
                  </w:rPr>
                  <m:t xml:space="preserve"> </m:t>
                </m:r>
                <m:r>
                  <w:rPr>
                    <w:rFonts w:ascii="Cambria Math" w:hAnsi="Cambria Math"/>
                  </w:rPr>
                  <m:t>gases</m:t>
                </m:r>
                <m:r>
                  <m:rPr>
                    <m:sty m:val="p"/>
                  </m:rPr>
                  <w:rPr>
                    <w:rFonts w:ascii="Cambria Math" w:hAnsi="Cambria Math"/>
                  </w:rPr>
                  <m:t>+</m:t>
                </m:r>
                <m:r>
                  <w:rPr>
                    <w:rFonts w:ascii="Cambria Math" w:hAnsi="Cambria Math"/>
                  </w:rPr>
                  <m:t>sensible</m:t>
                </m:r>
                <m:r>
                  <m:rPr>
                    <m:sty m:val="p"/>
                  </m:rPr>
                  <w:rPr>
                    <w:rFonts w:ascii="Cambria Math" w:hAnsi="Cambria Math"/>
                  </w:rPr>
                  <m:t xml:space="preserve"> </m:t>
                </m:r>
                <m:r>
                  <w:rPr>
                    <w:rFonts w:ascii="Cambria Math" w:hAnsi="Cambria Math"/>
                  </w:rPr>
                  <m:t>heat</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gases</m:t>
                </m:r>
              </m:e>
            </m:d>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MJ</m:t>
                    </m:r>
                  </m:num>
                  <m:den>
                    <m:r>
                      <w:rPr>
                        <w:rFonts w:ascii="Cambria Math" w:hAnsi="Cambria Math"/>
                      </w:rPr>
                      <m:t>kg</m:t>
                    </m:r>
                    <m:r>
                      <m:rPr>
                        <m:sty m:val="p"/>
                      </m:rPr>
                      <w:rPr>
                        <w:rFonts w:ascii="Cambria Math" w:hAnsi="Cambria Math"/>
                      </w:rPr>
                      <m:t xml:space="preserve"> </m:t>
                    </m:r>
                    <m:r>
                      <w:rPr>
                        <w:rFonts w:ascii="Cambria Math" w:hAnsi="Cambria Math"/>
                      </w:rPr>
                      <m:t>draff</m:t>
                    </m:r>
                  </m:den>
                </m:f>
              </m:e>
            </m:d>
          </m:num>
          <m:den>
            <m:r>
              <w:rPr>
                <w:rFonts w:ascii="Cambria Math" w:hAnsi="Cambria Math"/>
              </w:rPr>
              <m:t>HHV</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draff</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MJ</m:t>
                    </m:r>
                  </m:num>
                  <m:den>
                    <m:r>
                      <w:rPr>
                        <w:rFonts w:ascii="Cambria Math" w:hAnsi="Cambria Math"/>
                      </w:rPr>
                      <m:t>kg</m:t>
                    </m:r>
                    <m:r>
                      <m:rPr>
                        <m:sty m:val="p"/>
                      </m:rPr>
                      <w:rPr>
                        <w:rFonts w:ascii="Cambria Math" w:hAnsi="Cambria Math"/>
                      </w:rPr>
                      <m:t xml:space="preserve"> </m:t>
                    </m:r>
                    <m:r>
                      <w:rPr>
                        <w:rFonts w:ascii="Cambria Math" w:hAnsi="Cambria Math"/>
                      </w:rPr>
                      <m:t>draff</m:t>
                    </m:r>
                  </m:den>
                </m:f>
              </m:e>
            </m:d>
          </m:den>
        </m:f>
      </m:oMath>
      <w:r w:rsidRPr="00632CD9">
        <w:t xml:space="preserve">                                                    </w:t>
      </w:r>
      <w:r>
        <w:t xml:space="preserve">                      </w:t>
      </w:r>
      <w:r w:rsidRPr="00632CD9">
        <w:t>(</w:t>
      </w:r>
      <w:r w:rsidRPr="00632CD9">
        <w:rPr>
          <w:rFonts w:cs="Arial"/>
        </w:rPr>
        <w:t>5)</w:t>
      </w:r>
    </w:p>
    <w:p w14:paraId="0790E3CF" w14:textId="6DB72D5E" w:rsidR="00731604" w:rsidRPr="00731604" w:rsidRDefault="003036A5" w:rsidP="003036A5">
      <w:pPr>
        <w:pStyle w:val="CETBodytext"/>
        <w:spacing w:before="240"/>
        <w:rPr>
          <w:lang w:val="en-GB"/>
        </w:rPr>
      </w:pPr>
      <w:r w:rsidRPr="00632CD9">
        <w:rPr>
          <w:rFonts w:cs="Arial"/>
          <w:szCs w:val="18"/>
        </w:rPr>
        <w:t>The</w:t>
      </w:r>
      <w:r w:rsidR="006E507D">
        <w:rPr>
          <w:rFonts w:cs="Arial"/>
          <w:szCs w:val="18"/>
        </w:rPr>
        <w:t xml:space="preserve"> numerator </w:t>
      </w:r>
      <w:r w:rsidR="00B541AF">
        <w:rPr>
          <w:rFonts w:cs="Arial"/>
          <w:szCs w:val="18"/>
        </w:rPr>
        <w:t>of Equation 5 was calculated by</w:t>
      </w:r>
      <w:r w:rsidRPr="00632CD9">
        <w:rPr>
          <w:rFonts w:cs="Arial"/>
          <w:szCs w:val="18"/>
        </w:rPr>
        <w:t xml:space="preserve"> multiplying the HHV of the gaseous component</w:t>
      </w:r>
      <w:r w:rsidR="004537BE">
        <w:rPr>
          <w:rFonts w:cs="Arial"/>
          <w:szCs w:val="18"/>
        </w:rPr>
        <w:t>s</w:t>
      </w:r>
      <w:r w:rsidRPr="00632CD9">
        <w:rPr>
          <w:rFonts w:cs="Arial"/>
          <w:szCs w:val="18"/>
        </w:rPr>
        <w:t xml:space="preserve"> (MJ/kg species) by the </w:t>
      </w:r>
      <w:r w:rsidR="004537BE">
        <w:rPr>
          <w:rFonts w:cs="Arial"/>
          <w:szCs w:val="18"/>
        </w:rPr>
        <w:t xml:space="preserve">corresponding </w:t>
      </w:r>
      <w:r w:rsidRPr="00632CD9">
        <w:rPr>
          <w:rFonts w:cs="Arial"/>
          <w:szCs w:val="18"/>
        </w:rPr>
        <w:t xml:space="preserve">Emission Index (EI) of the species (kg species/kg draff). </w:t>
      </w:r>
      <w:r w:rsidR="004537BE">
        <w:rPr>
          <w:rFonts w:cs="Arial"/>
          <w:szCs w:val="18"/>
        </w:rPr>
        <w:t>The</w:t>
      </w:r>
      <w:r w:rsidR="00767F74">
        <w:rPr>
          <w:rFonts w:cs="Arial"/>
          <w:szCs w:val="18"/>
        </w:rPr>
        <w:t xml:space="preserve"> resulting</w:t>
      </w:r>
      <w:r w:rsidR="004537BE">
        <w:rPr>
          <w:rFonts w:cs="Arial"/>
          <w:szCs w:val="18"/>
        </w:rPr>
        <w:t xml:space="preserve"> product was added to the sensible heat </w:t>
      </w:r>
      <w:r w:rsidR="00F06A0C">
        <w:rPr>
          <w:rFonts w:cs="Arial"/>
          <w:szCs w:val="18"/>
        </w:rPr>
        <w:t>of</w:t>
      </w:r>
      <w:r w:rsidR="004537BE">
        <w:rPr>
          <w:rFonts w:cs="Arial"/>
          <w:szCs w:val="18"/>
        </w:rPr>
        <w:t xml:space="preserve"> each of the species (</w:t>
      </w:r>
      <w:r w:rsidRPr="00632CD9">
        <w:rPr>
          <w:rFonts w:cs="Arial"/>
          <w:szCs w:val="18"/>
        </w:rPr>
        <w:t xml:space="preserve">20 </w:t>
      </w:r>
      <w:r w:rsidRPr="00632CD9">
        <w:rPr>
          <w:rFonts w:cs="Arial"/>
          <w:szCs w:val="18"/>
          <w:vertAlign w:val="superscript"/>
        </w:rPr>
        <w:t>o</w:t>
      </w:r>
      <w:r w:rsidRPr="00632CD9">
        <w:rPr>
          <w:rFonts w:cs="Arial"/>
          <w:szCs w:val="18"/>
        </w:rPr>
        <w:t xml:space="preserve">C </w:t>
      </w:r>
      <w:r>
        <w:rPr>
          <w:rFonts w:cs="Arial"/>
          <w:szCs w:val="18"/>
        </w:rPr>
        <w:t>was used as the</w:t>
      </w:r>
      <w:r w:rsidRPr="00632CD9">
        <w:rPr>
          <w:rFonts w:cs="Arial"/>
          <w:szCs w:val="18"/>
        </w:rPr>
        <w:t xml:space="preserve"> reference temperature</w:t>
      </w:r>
      <w:r w:rsidR="004537BE">
        <w:rPr>
          <w:rFonts w:cs="Arial"/>
          <w:szCs w:val="18"/>
        </w:rPr>
        <w:t>)</w:t>
      </w:r>
      <w:r>
        <w:rPr>
          <w:rFonts w:cs="Arial"/>
          <w:szCs w:val="18"/>
        </w:rPr>
        <w:t>.</w:t>
      </w:r>
      <w:r w:rsidR="004537BE">
        <w:rPr>
          <w:rFonts w:cs="Arial"/>
          <w:szCs w:val="18"/>
        </w:rPr>
        <w:t xml:space="preserve"> Finally, the two terms in the numerator were summed up for all the species.</w:t>
      </w:r>
    </w:p>
    <w:p w14:paraId="677EBFF0" w14:textId="2467352A" w:rsidR="00600535" w:rsidRPr="00B57B36" w:rsidRDefault="003036A5" w:rsidP="00600535">
      <w:pPr>
        <w:pStyle w:val="CETHeading1"/>
        <w:tabs>
          <w:tab w:val="clear" w:pos="360"/>
          <w:tab w:val="right" w:pos="7100"/>
        </w:tabs>
        <w:jc w:val="both"/>
        <w:rPr>
          <w:lang w:val="en-GB"/>
        </w:rPr>
      </w:pPr>
      <w:r w:rsidRPr="00632CD9">
        <w:rPr>
          <w:rFonts w:cs="Arial"/>
          <w:sz w:val="18"/>
          <w:szCs w:val="18"/>
        </w:rPr>
        <w:t>Results and discussion</w:t>
      </w:r>
    </w:p>
    <w:p w14:paraId="49105DF0" w14:textId="535DCF35" w:rsidR="003036A5" w:rsidRPr="00632CD9" w:rsidRDefault="003036A5" w:rsidP="003036A5">
      <w:pPr>
        <w:pStyle w:val="CETheadingx"/>
      </w:pPr>
      <w:r w:rsidRPr="00632CD9">
        <w:t>Analytical test results for distillery draff</w:t>
      </w:r>
    </w:p>
    <w:p w14:paraId="7A8E835C" w14:textId="2DF9C0F4" w:rsidR="003036A5" w:rsidRDefault="003036A5" w:rsidP="003036A5">
      <w:pPr>
        <w:pStyle w:val="CETBodytextItalic"/>
        <w:rPr>
          <w:i w:val="0"/>
          <w:iCs/>
          <w:color w:val="212121"/>
        </w:rPr>
      </w:pPr>
      <w:r w:rsidRPr="003036A5">
        <w:rPr>
          <w:i w:val="0"/>
          <w:iCs/>
        </w:rPr>
        <w:t>The analytical test results (ultimate analysis and proximate analysis) for the tested draff sample are presented in Table</w:t>
      </w:r>
      <w:r w:rsidR="0079710B">
        <w:rPr>
          <w:i w:val="0"/>
          <w:iCs/>
        </w:rPr>
        <w:t>s</w:t>
      </w:r>
      <w:r w:rsidRPr="003036A5">
        <w:rPr>
          <w:i w:val="0"/>
          <w:iCs/>
        </w:rPr>
        <w:t xml:space="preserve"> 1</w:t>
      </w:r>
      <w:r w:rsidR="0079710B">
        <w:rPr>
          <w:i w:val="0"/>
          <w:iCs/>
        </w:rPr>
        <w:t xml:space="preserve"> and 2</w:t>
      </w:r>
      <w:r w:rsidRPr="003036A5">
        <w:rPr>
          <w:i w:val="0"/>
          <w:iCs/>
        </w:rPr>
        <w:t xml:space="preserve">. </w:t>
      </w:r>
    </w:p>
    <w:p w14:paraId="48CD383D" w14:textId="2480AA6C" w:rsidR="00DA4A93" w:rsidRPr="00632CD9" w:rsidRDefault="00DA4A93" w:rsidP="00DA4A93">
      <w:pPr>
        <w:pStyle w:val="CETTabletitle"/>
      </w:pPr>
      <w:r w:rsidRPr="00632CD9">
        <w:t xml:space="preserve">Table </w:t>
      </w:r>
      <w:r>
        <w:t>1</w:t>
      </w:r>
      <w:r w:rsidRPr="00632CD9">
        <w:t>: Ultimate analysis results for distillery draff</w:t>
      </w:r>
    </w:p>
    <w:tbl>
      <w:tblPr>
        <w:tblW w:w="6096"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29"/>
        <w:gridCol w:w="1128"/>
        <w:gridCol w:w="990"/>
        <w:gridCol w:w="1129"/>
        <w:gridCol w:w="987"/>
        <w:gridCol w:w="451"/>
        <w:gridCol w:w="282"/>
      </w:tblGrid>
      <w:tr w:rsidR="0079710B" w:rsidRPr="00B57B36" w14:paraId="6107D62C" w14:textId="77777777" w:rsidTr="0079710B">
        <w:tc>
          <w:tcPr>
            <w:tcW w:w="1133" w:type="dxa"/>
            <w:tcBorders>
              <w:top w:val="single" w:sz="12" w:space="0" w:color="008000"/>
              <w:bottom w:val="single" w:sz="6" w:space="0" w:color="008000"/>
            </w:tcBorders>
            <w:shd w:val="clear" w:color="auto" w:fill="FFFFFF"/>
          </w:tcPr>
          <w:p w14:paraId="03F36AFC" w14:textId="37DC089F" w:rsidR="0079710B" w:rsidRPr="00B57B36" w:rsidRDefault="0079710B" w:rsidP="0079710B">
            <w:pPr>
              <w:pStyle w:val="CETBodytext"/>
              <w:rPr>
                <w:lang w:val="en-GB"/>
              </w:rPr>
            </w:pPr>
            <w:r>
              <w:rPr>
                <w:lang w:val="en-GB"/>
              </w:rPr>
              <w:t>Element</w:t>
            </w:r>
          </w:p>
        </w:tc>
        <w:tc>
          <w:tcPr>
            <w:tcW w:w="1134" w:type="dxa"/>
            <w:tcBorders>
              <w:top w:val="single" w:sz="12" w:space="0" w:color="008000"/>
              <w:bottom w:val="single" w:sz="6" w:space="0" w:color="008000"/>
            </w:tcBorders>
            <w:shd w:val="clear" w:color="auto" w:fill="FFFFFF"/>
          </w:tcPr>
          <w:p w14:paraId="2C5BEB76" w14:textId="2E605F68" w:rsidR="0079710B" w:rsidRPr="00B57B36" w:rsidRDefault="0079710B" w:rsidP="0079710B">
            <w:pPr>
              <w:pStyle w:val="CETBodytext"/>
              <w:rPr>
                <w:lang w:val="en-GB"/>
              </w:rPr>
            </w:pPr>
            <w:r w:rsidRPr="00632CD9">
              <w:rPr>
                <w:rFonts w:cs="Arial"/>
                <w:color w:val="212121"/>
                <w:szCs w:val="18"/>
              </w:rPr>
              <w:t>N</w:t>
            </w:r>
          </w:p>
        </w:tc>
        <w:tc>
          <w:tcPr>
            <w:tcW w:w="994" w:type="dxa"/>
            <w:tcBorders>
              <w:top w:val="single" w:sz="12" w:space="0" w:color="008000"/>
              <w:bottom w:val="single" w:sz="6" w:space="0" w:color="008000"/>
            </w:tcBorders>
            <w:shd w:val="clear" w:color="auto" w:fill="FFFFFF"/>
          </w:tcPr>
          <w:p w14:paraId="5D64E442" w14:textId="1CC95A8F" w:rsidR="0079710B" w:rsidRPr="00B57B36" w:rsidRDefault="0079710B" w:rsidP="0079710B">
            <w:pPr>
              <w:pStyle w:val="CETBodytext"/>
              <w:rPr>
                <w:lang w:val="en-GB"/>
              </w:rPr>
            </w:pPr>
            <w:r w:rsidRPr="00632CD9">
              <w:rPr>
                <w:rFonts w:cs="Arial"/>
                <w:color w:val="212121"/>
                <w:szCs w:val="18"/>
              </w:rPr>
              <w:t>C</w:t>
            </w:r>
          </w:p>
        </w:tc>
        <w:tc>
          <w:tcPr>
            <w:tcW w:w="1134" w:type="dxa"/>
            <w:tcBorders>
              <w:top w:val="single" w:sz="12" w:space="0" w:color="008000"/>
              <w:bottom w:val="single" w:sz="6" w:space="0" w:color="008000"/>
            </w:tcBorders>
            <w:shd w:val="clear" w:color="auto" w:fill="FFFFFF"/>
          </w:tcPr>
          <w:p w14:paraId="0295A261" w14:textId="73A3DC1D" w:rsidR="0079710B" w:rsidRPr="00B57B36" w:rsidRDefault="0079710B" w:rsidP="0079710B">
            <w:pPr>
              <w:pStyle w:val="CETBodytext"/>
              <w:ind w:right="-1"/>
              <w:rPr>
                <w:rFonts w:cs="Arial"/>
                <w:szCs w:val="18"/>
                <w:lang w:val="en-GB"/>
              </w:rPr>
            </w:pPr>
            <w:r w:rsidRPr="00632CD9">
              <w:rPr>
                <w:rFonts w:cs="Arial"/>
                <w:color w:val="212121"/>
                <w:szCs w:val="18"/>
              </w:rPr>
              <w:t>H</w:t>
            </w:r>
          </w:p>
        </w:tc>
        <w:tc>
          <w:tcPr>
            <w:tcW w:w="992" w:type="dxa"/>
            <w:tcBorders>
              <w:top w:val="single" w:sz="12" w:space="0" w:color="008000"/>
              <w:bottom w:val="single" w:sz="6" w:space="0" w:color="008000"/>
            </w:tcBorders>
            <w:shd w:val="clear" w:color="auto" w:fill="FFFFFF"/>
          </w:tcPr>
          <w:p w14:paraId="42353508" w14:textId="43B5C5D4" w:rsidR="0079710B" w:rsidRPr="00632CD9" w:rsidRDefault="0079710B" w:rsidP="0079710B">
            <w:pPr>
              <w:pStyle w:val="CETBodytext"/>
              <w:ind w:right="-1"/>
              <w:rPr>
                <w:rFonts w:cs="Arial"/>
                <w:color w:val="212121"/>
                <w:szCs w:val="18"/>
              </w:rPr>
            </w:pPr>
            <w:r w:rsidRPr="00632CD9">
              <w:rPr>
                <w:rFonts w:cs="Arial"/>
                <w:color w:val="212121"/>
                <w:szCs w:val="18"/>
              </w:rPr>
              <w:t>S</w:t>
            </w:r>
            <w:r>
              <w:rPr>
                <w:rFonts w:cs="Arial"/>
                <w:color w:val="212121"/>
                <w:szCs w:val="18"/>
              </w:rPr>
              <w:t xml:space="preserve">                  </w:t>
            </w:r>
          </w:p>
        </w:tc>
        <w:tc>
          <w:tcPr>
            <w:tcW w:w="425" w:type="dxa"/>
            <w:tcBorders>
              <w:top w:val="single" w:sz="12" w:space="0" w:color="008000"/>
              <w:bottom w:val="single" w:sz="6" w:space="0" w:color="008000"/>
            </w:tcBorders>
            <w:shd w:val="clear" w:color="auto" w:fill="FFFFFF"/>
          </w:tcPr>
          <w:p w14:paraId="41831404" w14:textId="4A93EC03" w:rsidR="0079710B" w:rsidRPr="00B57B36" w:rsidRDefault="0079710B" w:rsidP="0079710B">
            <w:pPr>
              <w:pStyle w:val="CETBodytext"/>
              <w:ind w:right="-1"/>
              <w:rPr>
                <w:rFonts w:cs="Arial"/>
                <w:szCs w:val="18"/>
                <w:lang w:val="en-GB"/>
              </w:rPr>
            </w:pPr>
            <w:r>
              <w:rPr>
                <w:rFonts w:cs="Arial"/>
                <w:szCs w:val="18"/>
                <w:lang w:val="en-GB"/>
              </w:rPr>
              <w:t>O</w:t>
            </w:r>
          </w:p>
        </w:tc>
        <w:tc>
          <w:tcPr>
            <w:tcW w:w="284" w:type="dxa"/>
            <w:tcBorders>
              <w:top w:val="single" w:sz="12" w:space="0" w:color="008000"/>
              <w:bottom w:val="single" w:sz="6" w:space="0" w:color="008000"/>
            </w:tcBorders>
            <w:shd w:val="clear" w:color="auto" w:fill="FFFFFF"/>
          </w:tcPr>
          <w:p w14:paraId="5CA3C0CF" w14:textId="77777777" w:rsidR="0079710B" w:rsidRPr="00B57B36" w:rsidRDefault="0079710B" w:rsidP="0079710B">
            <w:pPr>
              <w:pStyle w:val="CETBodytext"/>
              <w:ind w:right="-1"/>
              <w:rPr>
                <w:rFonts w:cs="Arial"/>
                <w:szCs w:val="18"/>
                <w:lang w:val="en-GB"/>
              </w:rPr>
            </w:pPr>
          </w:p>
        </w:tc>
      </w:tr>
      <w:tr w:rsidR="0079710B" w:rsidRPr="00B57B36" w14:paraId="6DA018BF" w14:textId="77777777" w:rsidTr="0079710B">
        <w:tc>
          <w:tcPr>
            <w:tcW w:w="1133" w:type="dxa"/>
            <w:shd w:val="clear" w:color="auto" w:fill="FFFFFF"/>
          </w:tcPr>
          <w:p w14:paraId="312D0750" w14:textId="77777777" w:rsidR="0079710B" w:rsidRPr="00632CD9" w:rsidRDefault="0079710B" w:rsidP="0079710B">
            <w:pPr>
              <w:pStyle w:val="CETBodytext"/>
              <w:rPr>
                <w:rFonts w:cs="Arial"/>
                <w:color w:val="212121"/>
                <w:szCs w:val="18"/>
              </w:rPr>
            </w:pPr>
          </w:p>
        </w:tc>
        <w:tc>
          <w:tcPr>
            <w:tcW w:w="1134" w:type="dxa"/>
            <w:shd w:val="clear" w:color="auto" w:fill="FFFFFF"/>
          </w:tcPr>
          <w:p w14:paraId="277E6799" w14:textId="77777777" w:rsidR="0079710B" w:rsidRPr="00632CD9" w:rsidRDefault="0079710B" w:rsidP="0079710B">
            <w:pPr>
              <w:pStyle w:val="CETBodytext"/>
              <w:rPr>
                <w:rFonts w:cs="Arial"/>
                <w:color w:val="212121"/>
                <w:szCs w:val="18"/>
              </w:rPr>
            </w:pPr>
          </w:p>
        </w:tc>
        <w:tc>
          <w:tcPr>
            <w:tcW w:w="994" w:type="dxa"/>
            <w:shd w:val="clear" w:color="auto" w:fill="FFFFFF"/>
          </w:tcPr>
          <w:p w14:paraId="375922C3" w14:textId="77777777" w:rsidR="0079710B" w:rsidRPr="00632CD9" w:rsidRDefault="0079710B" w:rsidP="0079710B">
            <w:pPr>
              <w:pStyle w:val="CETBodytext"/>
              <w:rPr>
                <w:rFonts w:cs="Arial"/>
                <w:color w:val="212121"/>
                <w:szCs w:val="18"/>
              </w:rPr>
            </w:pPr>
          </w:p>
        </w:tc>
        <w:tc>
          <w:tcPr>
            <w:tcW w:w="1134" w:type="dxa"/>
            <w:shd w:val="clear" w:color="auto" w:fill="FFFFFF"/>
          </w:tcPr>
          <w:p w14:paraId="719765EF" w14:textId="77777777" w:rsidR="0079710B" w:rsidRPr="00632CD9" w:rsidRDefault="0079710B" w:rsidP="0079710B">
            <w:pPr>
              <w:pStyle w:val="CETBodytext"/>
              <w:ind w:right="-1"/>
              <w:rPr>
                <w:rFonts w:cs="Arial"/>
                <w:color w:val="212121"/>
                <w:szCs w:val="18"/>
              </w:rPr>
            </w:pPr>
          </w:p>
        </w:tc>
        <w:tc>
          <w:tcPr>
            <w:tcW w:w="992" w:type="dxa"/>
            <w:shd w:val="clear" w:color="auto" w:fill="FFFFFF"/>
          </w:tcPr>
          <w:p w14:paraId="77A3495C" w14:textId="77777777" w:rsidR="0079710B" w:rsidRPr="00632CD9" w:rsidRDefault="0079710B" w:rsidP="0079710B">
            <w:pPr>
              <w:pStyle w:val="CETBodytext"/>
              <w:ind w:right="-1"/>
              <w:rPr>
                <w:rFonts w:cs="Arial"/>
                <w:color w:val="212121"/>
                <w:szCs w:val="18"/>
              </w:rPr>
            </w:pPr>
          </w:p>
        </w:tc>
        <w:tc>
          <w:tcPr>
            <w:tcW w:w="425" w:type="dxa"/>
            <w:shd w:val="clear" w:color="auto" w:fill="FFFFFF"/>
          </w:tcPr>
          <w:p w14:paraId="582E6C85" w14:textId="69313ABF" w:rsidR="0079710B" w:rsidRPr="00632CD9" w:rsidRDefault="0079710B" w:rsidP="0079710B">
            <w:pPr>
              <w:pStyle w:val="CETBodytext"/>
              <w:ind w:right="-1"/>
              <w:rPr>
                <w:rFonts w:cs="Arial"/>
                <w:color w:val="212121"/>
                <w:szCs w:val="18"/>
              </w:rPr>
            </w:pPr>
          </w:p>
        </w:tc>
        <w:tc>
          <w:tcPr>
            <w:tcW w:w="284" w:type="dxa"/>
            <w:shd w:val="clear" w:color="auto" w:fill="FFFFFF"/>
          </w:tcPr>
          <w:p w14:paraId="08061D56" w14:textId="77777777" w:rsidR="0079710B" w:rsidRPr="00B57B36" w:rsidRDefault="0079710B" w:rsidP="0079710B">
            <w:pPr>
              <w:pStyle w:val="CETBodytext"/>
              <w:ind w:right="-1"/>
              <w:rPr>
                <w:rFonts w:cs="Arial"/>
                <w:szCs w:val="18"/>
                <w:lang w:val="en-GB"/>
              </w:rPr>
            </w:pPr>
          </w:p>
        </w:tc>
      </w:tr>
      <w:tr w:rsidR="0079710B" w:rsidRPr="00B57B36" w14:paraId="065456D8" w14:textId="77777777" w:rsidTr="0079710B">
        <w:tc>
          <w:tcPr>
            <w:tcW w:w="1133" w:type="dxa"/>
            <w:shd w:val="clear" w:color="auto" w:fill="FFFFFF"/>
          </w:tcPr>
          <w:p w14:paraId="7FD544A6" w14:textId="77777777" w:rsidR="0079710B" w:rsidRPr="00B57B36" w:rsidRDefault="0079710B" w:rsidP="0079710B">
            <w:pPr>
              <w:pStyle w:val="CETBodytext"/>
              <w:rPr>
                <w:lang w:val="en-GB"/>
              </w:rPr>
            </w:pPr>
            <w:r w:rsidRPr="00632CD9">
              <w:rPr>
                <w:rFonts w:cs="Arial"/>
                <w:color w:val="212121"/>
                <w:szCs w:val="18"/>
              </w:rPr>
              <w:t>Weight, %</w:t>
            </w:r>
          </w:p>
        </w:tc>
        <w:tc>
          <w:tcPr>
            <w:tcW w:w="1134" w:type="dxa"/>
            <w:shd w:val="clear" w:color="auto" w:fill="FFFFFF"/>
          </w:tcPr>
          <w:p w14:paraId="33B78A51" w14:textId="37346CAB" w:rsidR="0079710B" w:rsidRPr="00B57B36" w:rsidRDefault="00187FCF" w:rsidP="0079710B">
            <w:pPr>
              <w:pStyle w:val="CETBodytext"/>
              <w:rPr>
                <w:lang w:val="en-GB"/>
              </w:rPr>
            </w:pPr>
            <w:r>
              <w:t>2.37</w:t>
            </w:r>
          </w:p>
        </w:tc>
        <w:tc>
          <w:tcPr>
            <w:tcW w:w="994" w:type="dxa"/>
            <w:shd w:val="clear" w:color="auto" w:fill="FFFFFF"/>
          </w:tcPr>
          <w:p w14:paraId="23422290" w14:textId="72543B18" w:rsidR="0079710B" w:rsidRPr="00B57B36" w:rsidRDefault="0079710B" w:rsidP="0079710B">
            <w:pPr>
              <w:pStyle w:val="CETBodytext"/>
              <w:rPr>
                <w:lang w:val="en-GB"/>
              </w:rPr>
            </w:pPr>
            <w:r w:rsidRPr="00632CD9">
              <w:rPr>
                <w:rFonts w:cs="Arial"/>
                <w:color w:val="212121"/>
                <w:szCs w:val="18"/>
              </w:rPr>
              <w:t>3</w:t>
            </w:r>
            <w:r w:rsidR="00187FCF">
              <w:rPr>
                <w:rFonts w:cs="Arial"/>
                <w:color w:val="212121"/>
                <w:szCs w:val="18"/>
              </w:rPr>
              <w:t>0</w:t>
            </w:r>
            <w:r w:rsidRPr="00632CD9">
              <w:rPr>
                <w:rFonts w:cs="Arial"/>
                <w:color w:val="212121"/>
                <w:szCs w:val="18"/>
              </w:rPr>
              <w:t>.</w:t>
            </w:r>
            <w:r w:rsidR="00187FCF">
              <w:rPr>
                <w:rFonts w:cs="Arial"/>
                <w:color w:val="212121"/>
                <w:szCs w:val="18"/>
              </w:rPr>
              <w:t>04</w:t>
            </w:r>
          </w:p>
        </w:tc>
        <w:tc>
          <w:tcPr>
            <w:tcW w:w="1134" w:type="dxa"/>
            <w:shd w:val="clear" w:color="auto" w:fill="FFFFFF"/>
          </w:tcPr>
          <w:p w14:paraId="3B34BFAF" w14:textId="00A51777" w:rsidR="0079710B" w:rsidRPr="00B57B36" w:rsidRDefault="00187FCF" w:rsidP="0079710B">
            <w:pPr>
              <w:pStyle w:val="CETBodytext"/>
              <w:ind w:right="-1"/>
              <w:rPr>
                <w:rFonts w:cs="Arial"/>
                <w:szCs w:val="18"/>
                <w:lang w:val="en-GB"/>
              </w:rPr>
            </w:pPr>
            <w:r>
              <w:rPr>
                <w:rFonts w:cs="Arial"/>
                <w:color w:val="212121"/>
                <w:szCs w:val="18"/>
              </w:rPr>
              <w:t>12</w:t>
            </w:r>
            <w:r w:rsidR="0079710B" w:rsidRPr="00632CD9">
              <w:rPr>
                <w:rFonts w:cs="Arial"/>
                <w:color w:val="212121"/>
                <w:szCs w:val="18"/>
              </w:rPr>
              <w:t>.</w:t>
            </w:r>
            <w:r>
              <w:rPr>
                <w:rFonts w:cs="Arial"/>
                <w:color w:val="212121"/>
                <w:szCs w:val="18"/>
              </w:rPr>
              <w:t>27</w:t>
            </w:r>
          </w:p>
        </w:tc>
        <w:tc>
          <w:tcPr>
            <w:tcW w:w="992" w:type="dxa"/>
            <w:shd w:val="clear" w:color="auto" w:fill="FFFFFF"/>
          </w:tcPr>
          <w:p w14:paraId="631FA681" w14:textId="0AB7F624" w:rsidR="0079710B" w:rsidRPr="00632CD9" w:rsidRDefault="0079710B" w:rsidP="0079710B">
            <w:pPr>
              <w:pStyle w:val="CETBodytext"/>
              <w:ind w:right="-1"/>
              <w:rPr>
                <w:rFonts w:cs="Arial"/>
                <w:color w:val="212121"/>
                <w:szCs w:val="18"/>
              </w:rPr>
            </w:pPr>
            <w:r w:rsidRPr="00632CD9">
              <w:rPr>
                <w:rFonts w:cs="Arial"/>
                <w:color w:val="212121"/>
                <w:szCs w:val="18"/>
              </w:rPr>
              <w:t>0</w:t>
            </w:r>
            <w:r w:rsidR="00187FCF">
              <w:rPr>
                <w:rFonts w:cs="Arial"/>
                <w:color w:val="212121"/>
                <w:szCs w:val="18"/>
              </w:rPr>
              <w:t>.00</w:t>
            </w:r>
          </w:p>
        </w:tc>
        <w:tc>
          <w:tcPr>
            <w:tcW w:w="425" w:type="dxa"/>
            <w:shd w:val="clear" w:color="auto" w:fill="FFFFFF"/>
          </w:tcPr>
          <w:p w14:paraId="71AA8073" w14:textId="3274909A" w:rsidR="0079710B" w:rsidRPr="00B57B36" w:rsidRDefault="0079710B" w:rsidP="0079710B">
            <w:pPr>
              <w:pStyle w:val="CETBodytext"/>
              <w:ind w:right="-1"/>
              <w:rPr>
                <w:rFonts w:cs="Arial"/>
                <w:szCs w:val="18"/>
                <w:lang w:val="en-GB"/>
              </w:rPr>
            </w:pPr>
            <w:r>
              <w:rPr>
                <w:rFonts w:cs="Arial"/>
                <w:szCs w:val="18"/>
                <w:lang w:val="en-GB"/>
              </w:rPr>
              <w:t>55.32</w:t>
            </w:r>
          </w:p>
        </w:tc>
        <w:tc>
          <w:tcPr>
            <w:tcW w:w="284" w:type="dxa"/>
            <w:shd w:val="clear" w:color="auto" w:fill="FFFFFF"/>
          </w:tcPr>
          <w:p w14:paraId="350EC0DA" w14:textId="77777777" w:rsidR="0079710B" w:rsidRPr="00B57B36" w:rsidRDefault="0079710B" w:rsidP="0079710B">
            <w:pPr>
              <w:pStyle w:val="CETBodytext"/>
              <w:ind w:right="-1"/>
              <w:rPr>
                <w:rFonts w:cs="Arial"/>
                <w:szCs w:val="18"/>
                <w:lang w:val="en-GB"/>
              </w:rPr>
            </w:pPr>
          </w:p>
        </w:tc>
      </w:tr>
      <w:tr w:rsidR="0079710B" w:rsidRPr="00B57B36" w14:paraId="1A2F3F30" w14:textId="77777777" w:rsidTr="0079710B">
        <w:tc>
          <w:tcPr>
            <w:tcW w:w="1133" w:type="dxa"/>
            <w:shd w:val="clear" w:color="auto" w:fill="FFFFFF"/>
          </w:tcPr>
          <w:p w14:paraId="6C945CAE" w14:textId="77777777" w:rsidR="0079710B" w:rsidRPr="00B57B36" w:rsidRDefault="0079710B" w:rsidP="0079710B">
            <w:pPr>
              <w:pStyle w:val="CETBodytext"/>
              <w:ind w:right="-1"/>
              <w:rPr>
                <w:rFonts w:cs="Arial"/>
                <w:szCs w:val="18"/>
                <w:lang w:val="en-GB"/>
              </w:rPr>
            </w:pPr>
          </w:p>
        </w:tc>
        <w:tc>
          <w:tcPr>
            <w:tcW w:w="1134" w:type="dxa"/>
            <w:shd w:val="clear" w:color="auto" w:fill="FFFFFF"/>
          </w:tcPr>
          <w:p w14:paraId="12B4729B" w14:textId="77777777" w:rsidR="0079710B" w:rsidRPr="00B57B36" w:rsidRDefault="0079710B" w:rsidP="0079710B">
            <w:pPr>
              <w:pStyle w:val="CETBodytext"/>
              <w:ind w:right="-1"/>
              <w:rPr>
                <w:rFonts w:cs="Arial"/>
                <w:szCs w:val="18"/>
                <w:lang w:val="en-GB"/>
              </w:rPr>
            </w:pPr>
          </w:p>
        </w:tc>
        <w:tc>
          <w:tcPr>
            <w:tcW w:w="994" w:type="dxa"/>
            <w:shd w:val="clear" w:color="auto" w:fill="FFFFFF"/>
          </w:tcPr>
          <w:p w14:paraId="2F9D4D4C" w14:textId="77777777" w:rsidR="0079710B" w:rsidRPr="00B57B36" w:rsidRDefault="0079710B" w:rsidP="0079710B">
            <w:pPr>
              <w:pStyle w:val="CETBodytext"/>
              <w:ind w:right="-1"/>
              <w:rPr>
                <w:rFonts w:cs="Arial"/>
                <w:szCs w:val="18"/>
                <w:lang w:val="en-GB"/>
              </w:rPr>
            </w:pPr>
          </w:p>
        </w:tc>
        <w:tc>
          <w:tcPr>
            <w:tcW w:w="1134" w:type="dxa"/>
            <w:shd w:val="clear" w:color="auto" w:fill="FFFFFF"/>
          </w:tcPr>
          <w:p w14:paraId="40AB1DCC" w14:textId="77777777" w:rsidR="0079710B" w:rsidRPr="00B57B36" w:rsidRDefault="0079710B" w:rsidP="0079710B">
            <w:pPr>
              <w:pStyle w:val="CETBodytext"/>
              <w:ind w:right="-1"/>
              <w:rPr>
                <w:rFonts w:cs="Arial"/>
                <w:szCs w:val="18"/>
                <w:lang w:val="en-GB"/>
              </w:rPr>
            </w:pPr>
          </w:p>
        </w:tc>
        <w:tc>
          <w:tcPr>
            <w:tcW w:w="992" w:type="dxa"/>
            <w:shd w:val="clear" w:color="auto" w:fill="FFFFFF"/>
          </w:tcPr>
          <w:p w14:paraId="6C45BBC2" w14:textId="77777777" w:rsidR="0079710B" w:rsidRPr="00B57B36" w:rsidRDefault="0079710B" w:rsidP="0079710B">
            <w:pPr>
              <w:pStyle w:val="CETBodytext"/>
              <w:ind w:right="-1"/>
              <w:rPr>
                <w:rFonts w:cs="Arial"/>
                <w:szCs w:val="18"/>
                <w:lang w:val="en-GB"/>
              </w:rPr>
            </w:pPr>
          </w:p>
        </w:tc>
        <w:tc>
          <w:tcPr>
            <w:tcW w:w="425" w:type="dxa"/>
            <w:shd w:val="clear" w:color="auto" w:fill="FFFFFF"/>
          </w:tcPr>
          <w:p w14:paraId="7FA2F5FE" w14:textId="1676F29A" w:rsidR="0079710B" w:rsidRPr="00B57B36" w:rsidRDefault="0079710B" w:rsidP="0079710B">
            <w:pPr>
              <w:pStyle w:val="CETBodytext"/>
              <w:ind w:right="-1"/>
              <w:rPr>
                <w:rFonts w:cs="Arial"/>
                <w:szCs w:val="18"/>
                <w:lang w:val="en-GB"/>
              </w:rPr>
            </w:pPr>
          </w:p>
        </w:tc>
        <w:tc>
          <w:tcPr>
            <w:tcW w:w="284" w:type="dxa"/>
            <w:shd w:val="clear" w:color="auto" w:fill="FFFFFF"/>
          </w:tcPr>
          <w:p w14:paraId="29C41E24" w14:textId="77777777" w:rsidR="0079710B" w:rsidRPr="00B57B36" w:rsidRDefault="0079710B" w:rsidP="0079710B">
            <w:pPr>
              <w:pStyle w:val="CETBodytext"/>
              <w:ind w:right="-1"/>
              <w:rPr>
                <w:rFonts w:cs="Arial"/>
                <w:szCs w:val="18"/>
                <w:lang w:val="en-GB"/>
              </w:rPr>
            </w:pPr>
          </w:p>
        </w:tc>
      </w:tr>
    </w:tbl>
    <w:p w14:paraId="3925F302" w14:textId="2D141468" w:rsidR="00B67AF5" w:rsidRPr="00632CD9" w:rsidRDefault="00B67AF5" w:rsidP="00B67AF5">
      <w:pPr>
        <w:pStyle w:val="CETTabletitle"/>
      </w:pPr>
      <w:r w:rsidRPr="00632CD9">
        <w:t xml:space="preserve">Table </w:t>
      </w:r>
      <w:r w:rsidR="0079710B">
        <w:t>2</w:t>
      </w:r>
      <w:r w:rsidRPr="00632CD9">
        <w:t xml:space="preserve">: </w:t>
      </w:r>
      <w:r w:rsidR="0079710B">
        <w:t>P</w:t>
      </w:r>
      <w:r w:rsidRPr="00632CD9">
        <w:t>roximate analysis results for distillery draff</w:t>
      </w:r>
    </w:p>
    <w:tbl>
      <w:tblPr>
        <w:tblW w:w="6824"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965"/>
        <w:gridCol w:w="1728"/>
        <w:gridCol w:w="1701"/>
        <w:gridCol w:w="903"/>
        <w:gridCol w:w="20"/>
        <w:gridCol w:w="211"/>
        <w:gridCol w:w="20"/>
      </w:tblGrid>
      <w:tr w:rsidR="0079710B" w:rsidRPr="00B57B36" w14:paraId="4B29AA51" w14:textId="4DBCADD1" w:rsidTr="00350E4F">
        <w:tc>
          <w:tcPr>
            <w:tcW w:w="1276" w:type="dxa"/>
            <w:tcBorders>
              <w:top w:val="single" w:sz="12" w:space="0" w:color="008000"/>
              <w:bottom w:val="single" w:sz="6" w:space="0" w:color="008000"/>
            </w:tcBorders>
            <w:shd w:val="clear" w:color="auto" w:fill="FFFFFF"/>
          </w:tcPr>
          <w:p w14:paraId="500859EC" w14:textId="294BCE0B" w:rsidR="0079710B" w:rsidRPr="00B57B36" w:rsidRDefault="0079710B" w:rsidP="0079710B">
            <w:pPr>
              <w:pStyle w:val="CETBodytext"/>
              <w:rPr>
                <w:lang w:val="en-GB"/>
              </w:rPr>
            </w:pPr>
            <w:r w:rsidRPr="00632CD9">
              <w:rPr>
                <w:rFonts w:cs="Arial"/>
                <w:color w:val="212121"/>
                <w:szCs w:val="18"/>
              </w:rPr>
              <w:t>Component</w:t>
            </w:r>
          </w:p>
        </w:tc>
        <w:tc>
          <w:tcPr>
            <w:tcW w:w="965" w:type="dxa"/>
            <w:tcBorders>
              <w:top w:val="single" w:sz="12" w:space="0" w:color="008000"/>
              <w:bottom w:val="single" w:sz="6" w:space="0" w:color="008000"/>
            </w:tcBorders>
            <w:shd w:val="clear" w:color="auto" w:fill="FFFFFF"/>
          </w:tcPr>
          <w:p w14:paraId="6B6E97E3" w14:textId="5AA61A19" w:rsidR="0079710B" w:rsidRPr="00B57B36" w:rsidRDefault="0079710B" w:rsidP="0079710B">
            <w:pPr>
              <w:pStyle w:val="CETBodytext"/>
              <w:rPr>
                <w:lang w:val="en-GB"/>
              </w:rPr>
            </w:pPr>
            <w:r w:rsidRPr="00632CD9">
              <w:rPr>
                <w:rFonts w:cs="Arial"/>
                <w:color w:val="212121"/>
                <w:szCs w:val="18"/>
              </w:rPr>
              <w:t>Moisture</w:t>
            </w:r>
          </w:p>
        </w:tc>
        <w:tc>
          <w:tcPr>
            <w:tcW w:w="1728" w:type="dxa"/>
            <w:tcBorders>
              <w:top w:val="single" w:sz="12" w:space="0" w:color="008000"/>
              <w:bottom w:val="single" w:sz="6" w:space="0" w:color="008000"/>
            </w:tcBorders>
            <w:shd w:val="clear" w:color="auto" w:fill="FFFFFF"/>
          </w:tcPr>
          <w:p w14:paraId="0CC5C18D" w14:textId="31441350" w:rsidR="0079710B" w:rsidRPr="00B57B36" w:rsidRDefault="0079710B" w:rsidP="00350E4F">
            <w:pPr>
              <w:pStyle w:val="CETBodytext"/>
              <w:rPr>
                <w:lang w:val="en-GB"/>
              </w:rPr>
            </w:pPr>
            <w:r w:rsidRPr="00632CD9">
              <w:rPr>
                <w:rFonts w:cs="Arial"/>
                <w:color w:val="212121"/>
                <w:szCs w:val="18"/>
              </w:rPr>
              <w:t>Volatile Matter (VM)</w:t>
            </w:r>
          </w:p>
        </w:tc>
        <w:tc>
          <w:tcPr>
            <w:tcW w:w="1701" w:type="dxa"/>
            <w:tcBorders>
              <w:top w:val="single" w:sz="12" w:space="0" w:color="008000"/>
              <w:bottom w:val="single" w:sz="6" w:space="0" w:color="008000"/>
            </w:tcBorders>
            <w:shd w:val="clear" w:color="auto" w:fill="FFFFFF"/>
          </w:tcPr>
          <w:p w14:paraId="3378228B" w14:textId="1BA5C2ED" w:rsidR="0079710B" w:rsidRPr="00B57B36" w:rsidRDefault="0079710B" w:rsidP="0079710B">
            <w:pPr>
              <w:pStyle w:val="CETBodytext"/>
              <w:ind w:right="-1"/>
              <w:rPr>
                <w:rFonts w:cs="Arial"/>
                <w:szCs w:val="18"/>
                <w:lang w:val="en-GB"/>
              </w:rPr>
            </w:pPr>
            <w:r w:rsidRPr="00632CD9">
              <w:rPr>
                <w:rFonts w:cs="Arial"/>
                <w:color w:val="212121"/>
                <w:szCs w:val="18"/>
              </w:rPr>
              <w:t>Fixed Carbon (FC)</w:t>
            </w:r>
          </w:p>
        </w:tc>
        <w:tc>
          <w:tcPr>
            <w:tcW w:w="903" w:type="dxa"/>
            <w:tcBorders>
              <w:top w:val="single" w:sz="12" w:space="0" w:color="008000"/>
              <w:bottom w:val="single" w:sz="6" w:space="0" w:color="008000"/>
            </w:tcBorders>
            <w:shd w:val="clear" w:color="auto" w:fill="FFFFFF"/>
          </w:tcPr>
          <w:p w14:paraId="199EE8DC" w14:textId="4133AFED" w:rsidR="0079710B" w:rsidRPr="00B57B36" w:rsidRDefault="0079710B" w:rsidP="0079710B">
            <w:pPr>
              <w:pStyle w:val="CETBodytext"/>
              <w:ind w:right="-1"/>
              <w:rPr>
                <w:rFonts w:cs="Arial"/>
                <w:szCs w:val="18"/>
                <w:lang w:val="en-GB"/>
              </w:rPr>
            </w:pPr>
            <w:r w:rsidRPr="00632CD9">
              <w:rPr>
                <w:rFonts w:cs="Arial"/>
                <w:color w:val="212121"/>
                <w:szCs w:val="18"/>
              </w:rPr>
              <w:t>Ash</w:t>
            </w:r>
          </w:p>
        </w:tc>
        <w:tc>
          <w:tcPr>
            <w:tcW w:w="20" w:type="dxa"/>
            <w:tcBorders>
              <w:top w:val="single" w:sz="12" w:space="0" w:color="008000"/>
              <w:bottom w:val="single" w:sz="6" w:space="0" w:color="008000"/>
            </w:tcBorders>
            <w:shd w:val="clear" w:color="auto" w:fill="FFFFFF"/>
          </w:tcPr>
          <w:p w14:paraId="005800F7" w14:textId="77777777" w:rsidR="0079710B" w:rsidRPr="00B57B36" w:rsidRDefault="0079710B" w:rsidP="0079710B">
            <w:pPr>
              <w:pStyle w:val="CETBodytext"/>
              <w:ind w:right="-1"/>
              <w:rPr>
                <w:rFonts w:cs="Arial"/>
                <w:szCs w:val="18"/>
                <w:lang w:val="en-GB"/>
              </w:rPr>
            </w:pPr>
          </w:p>
        </w:tc>
        <w:tc>
          <w:tcPr>
            <w:tcW w:w="211" w:type="dxa"/>
            <w:tcBorders>
              <w:top w:val="single" w:sz="12" w:space="0" w:color="008000"/>
              <w:bottom w:val="single" w:sz="6" w:space="0" w:color="008000"/>
            </w:tcBorders>
            <w:shd w:val="clear" w:color="auto" w:fill="FFFFFF"/>
          </w:tcPr>
          <w:p w14:paraId="75A98821" w14:textId="77777777" w:rsidR="0079710B" w:rsidRPr="00B57B36" w:rsidRDefault="0079710B" w:rsidP="0079710B">
            <w:pPr>
              <w:pStyle w:val="CETBodytext"/>
              <w:ind w:right="-1"/>
              <w:rPr>
                <w:rFonts w:cs="Arial"/>
                <w:szCs w:val="18"/>
                <w:lang w:val="en-GB"/>
              </w:rPr>
            </w:pPr>
          </w:p>
        </w:tc>
        <w:tc>
          <w:tcPr>
            <w:tcW w:w="20" w:type="dxa"/>
            <w:tcBorders>
              <w:top w:val="single" w:sz="12" w:space="0" w:color="008000"/>
              <w:bottom w:val="single" w:sz="6" w:space="0" w:color="008000"/>
            </w:tcBorders>
            <w:shd w:val="clear" w:color="auto" w:fill="FFFFFF"/>
          </w:tcPr>
          <w:p w14:paraId="5A651C5E" w14:textId="00D7E645" w:rsidR="0079710B" w:rsidRPr="00B57B36" w:rsidRDefault="0079710B" w:rsidP="0079710B">
            <w:pPr>
              <w:pStyle w:val="CETBodytext"/>
              <w:ind w:right="-1"/>
              <w:rPr>
                <w:rFonts w:cs="Arial"/>
                <w:szCs w:val="18"/>
                <w:lang w:val="en-GB"/>
              </w:rPr>
            </w:pPr>
          </w:p>
        </w:tc>
      </w:tr>
      <w:tr w:rsidR="0079710B" w:rsidRPr="00B57B36" w14:paraId="314068EB" w14:textId="77777777" w:rsidTr="00350E4F">
        <w:tc>
          <w:tcPr>
            <w:tcW w:w="1276" w:type="dxa"/>
            <w:shd w:val="clear" w:color="auto" w:fill="FFFFFF"/>
          </w:tcPr>
          <w:p w14:paraId="37C00DBE" w14:textId="77777777" w:rsidR="0079710B" w:rsidRPr="00632CD9" w:rsidRDefault="0079710B" w:rsidP="0079710B">
            <w:pPr>
              <w:pStyle w:val="CETBodytext"/>
              <w:rPr>
                <w:rFonts w:cs="Arial"/>
                <w:color w:val="212121"/>
                <w:szCs w:val="18"/>
              </w:rPr>
            </w:pPr>
          </w:p>
        </w:tc>
        <w:tc>
          <w:tcPr>
            <w:tcW w:w="965" w:type="dxa"/>
            <w:shd w:val="clear" w:color="auto" w:fill="FFFFFF"/>
          </w:tcPr>
          <w:p w14:paraId="5DDC098A" w14:textId="7E022B7F" w:rsidR="0079710B" w:rsidRPr="00632CD9" w:rsidRDefault="0079710B" w:rsidP="0079710B">
            <w:pPr>
              <w:pStyle w:val="CETBodytext"/>
              <w:rPr>
                <w:rFonts w:cs="Arial"/>
                <w:color w:val="212121"/>
                <w:szCs w:val="18"/>
              </w:rPr>
            </w:pPr>
          </w:p>
        </w:tc>
        <w:tc>
          <w:tcPr>
            <w:tcW w:w="1728" w:type="dxa"/>
            <w:shd w:val="clear" w:color="auto" w:fill="FFFFFF"/>
          </w:tcPr>
          <w:p w14:paraId="5D66D2F7" w14:textId="1F118403" w:rsidR="0079710B" w:rsidRPr="00632CD9" w:rsidRDefault="0079710B" w:rsidP="0079710B">
            <w:pPr>
              <w:pStyle w:val="CETBodytext"/>
              <w:rPr>
                <w:rFonts w:cs="Arial"/>
                <w:color w:val="212121"/>
                <w:szCs w:val="18"/>
              </w:rPr>
            </w:pPr>
          </w:p>
        </w:tc>
        <w:tc>
          <w:tcPr>
            <w:tcW w:w="1701" w:type="dxa"/>
            <w:shd w:val="clear" w:color="auto" w:fill="FFFFFF"/>
          </w:tcPr>
          <w:p w14:paraId="4CB833C8" w14:textId="640B42E0" w:rsidR="0079710B" w:rsidRPr="00632CD9" w:rsidRDefault="0079710B" w:rsidP="0079710B">
            <w:pPr>
              <w:pStyle w:val="CETBodytext"/>
              <w:ind w:right="-1"/>
              <w:rPr>
                <w:rFonts w:cs="Arial"/>
                <w:color w:val="212121"/>
                <w:szCs w:val="18"/>
              </w:rPr>
            </w:pPr>
          </w:p>
        </w:tc>
        <w:tc>
          <w:tcPr>
            <w:tcW w:w="903" w:type="dxa"/>
            <w:shd w:val="clear" w:color="auto" w:fill="FFFFFF"/>
          </w:tcPr>
          <w:p w14:paraId="51A768A1" w14:textId="2541B00A" w:rsidR="0079710B" w:rsidRPr="00632CD9" w:rsidRDefault="0079710B" w:rsidP="0079710B">
            <w:pPr>
              <w:pStyle w:val="CETBodytext"/>
              <w:ind w:right="-1"/>
              <w:rPr>
                <w:rFonts w:cs="Arial"/>
                <w:color w:val="212121"/>
                <w:szCs w:val="18"/>
              </w:rPr>
            </w:pPr>
          </w:p>
        </w:tc>
        <w:tc>
          <w:tcPr>
            <w:tcW w:w="20" w:type="dxa"/>
            <w:shd w:val="clear" w:color="auto" w:fill="FFFFFF"/>
          </w:tcPr>
          <w:p w14:paraId="1E65D4B0" w14:textId="77777777" w:rsidR="0079710B" w:rsidRPr="00632CD9" w:rsidRDefault="0079710B" w:rsidP="0079710B">
            <w:pPr>
              <w:pStyle w:val="CETBodytext"/>
              <w:ind w:right="-1"/>
              <w:rPr>
                <w:rFonts w:cs="Arial"/>
                <w:color w:val="212121"/>
                <w:szCs w:val="18"/>
              </w:rPr>
            </w:pPr>
          </w:p>
        </w:tc>
        <w:tc>
          <w:tcPr>
            <w:tcW w:w="211" w:type="dxa"/>
            <w:shd w:val="clear" w:color="auto" w:fill="FFFFFF"/>
          </w:tcPr>
          <w:p w14:paraId="439D2281" w14:textId="77777777" w:rsidR="0079710B" w:rsidRPr="00B57B36" w:rsidRDefault="0079710B" w:rsidP="0079710B">
            <w:pPr>
              <w:pStyle w:val="CETBodytext"/>
              <w:ind w:right="-1"/>
              <w:rPr>
                <w:rFonts w:cs="Arial"/>
                <w:szCs w:val="18"/>
                <w:lang w:val="en-GB"/>
              </w:rPr>
            </w:pPr>
          </w:p>
        </w:tc>
        <w:tc>
          <w:tcPr>
            <w:tcW w:w="20" w:type="dxa"/>
            <w:shd w:val="clear" w:color="auto" w:fill="FFFFFF"/>
          </w:tcPr>
          <w:p w14:paraId="7E417C09" w14:textId="77777777" w:rsidR="0079710B" w:rsidRPr="00B57B36" w:rsidRDefault="0079710B" w:rsidP="0079710B">
            <w:pPr>
              <w:pStyle w:val="CETBodytext"/>
              <w:ind w:right="-1"/>
              <w:rPr>
                <w:rFonts w:cs="Arial"/>
                <w:szCs w:val="18"/>
                <w:lang w:val="en-GB"/>
              </w:rPr>
            </w:pPr>
          </w:p>
        </w:tc>
      </w:tr>
      <w:tr w:rsidR="0079710B" w:rsidRPr="00B57B36" w14:paraId="18FA68DB" w14:textId="371C4B8B" w:rsidTr="00350E4F">
        <w:tc>
          <w:tcPr>
            <w:tcW w:w="1276" w:type="dxa"/>
            <w:shd w:val="clear" w:color="auto" w:fill="FFFFFF"/>
          </w:tcPr>
          <w:p w14:paraId="1877D42D" w14:textId="5B72198F" w:rsidR="0079710B" w:rsidRPr="00B57B36" w:rsidRDefault="0079710B" w:rsidP="0079710B">
            <w:pPr>
              <w:pStyle w:val="CETBodytext"/>
              <w:rPr>
                <w:lang w:val="en-GB"/>
              </w:rPr>
            </w:pPr>
            <w:r w:rsidRPr="00632CD9">
              <w:rPr>
                <w:rFonts w:cs="Arial"/>
                <w:color w:val="212121"/>
                <w:szCs w:val="18"/>
              </w:rPr>
              <w:t>Weight, %</w:t>
            </w:r>
          </w:p>
        </w:tc>
        <w:tc>
          <w:tcPr>
            <w:tcW w:w="965" w:type="dxa"/>
            <w:shd w:val="clear" w:color="auto" w:fill="FFFFFF"/>
          </w:tcPr>
          <w:p w14:paraId="48136FAE" w14:textId="434B7644" w:rsidR="0079710B" w:rsidRPr="00B57B36" w:rsidRDefault="0079710B" w:rsidP="0079710B">
            <w:pPr>
              <w:pStyle w:val="CETBodytext"/>
              <w:rPr>
                <w:lang w:val="en-GB"/>
              </w:rPr>
            </w:pPr>
            <w:r w:rsidRPr="00632CD9">
              <w:rPr>
                <w:rFonts w:cs="Arial"/>
                <w:color w:val="212121"/>
                <w:szCs w:val="18"/>
              </w:rPr>
              <w:t>73.39</w:t>
            </w:r>
          </w:p>
        </w:tc>
        <w:tc>
          <w:tcPr>
            <w:tcW w:w="1728" w:type="dxa"/>
            <w:shd w:val="clear" w:color="auto" w:fill="FFFFFF"/>
          </w:tcPr>
          <w:p w14:paraId="2CB03BEE" w14:textId="4104D716" w:rsidR="0079710B" w:rsidRPr="00B57B36" w:rsidRDefault="0079710B" w:rsidP="0079710B">
            <w:pPr>
              <w:pStyle w:val="CETBodytext"/>
              <w:rPr>
                <w:lang w:val="en-GB"/>
              </w:rPr>
            </w:pPr>
            <w:r w:rsidRPr="00632CD9">
              <w:rPr>
                <w:rFonts w:cs="Arial"/>
                <w:color w:val="212121"/>
                <w:szCs w:val="18"/>
              </w:rPr>
              <w:t>23.36</w:t>
            </w:r>
          </w:p>
        </w:tc>
        <w:tc>
          <w:tcPr>
            <w:tcW w:w="1701" w:type="dxa"/>
            <w:shd w:val="clear" w:color="auto" w:fill="FFFFFF"/>
          </w:tcPr>
          <w:p w14:paraId="59D4F4DC" w14:textId="773295BE" w:rsidR="0079710B" w:rsidRPr="00632CD9" w:rsidRDefault="0079710B" w:rsidP="0079710B">
            <w:pPr>
              <w:pStyle w:val="CETBodytext"/>
              <w:ind w:right="-1"/>
              <w:rPr>
                <w:rFonts w:cs="Arial"/>
                <w:color w:val="212121"/>
                <w:szCs w:val="18"/>
              </w:rPr>
            </w:pPr>
            <w:r w:rsidRPr="00632CD9">
              <w:rPr>
                <w:rFonts w:cs="Arial"/>
                <w:color w:val="212121"/>
                <w:szCs w:val="18"/>
              </w:rPr>
              <w:t>3.18</w:t>
            </w:r>
          </w:p>
        </w:tc>
        <w:tc>
          <w:tcPr>
            <w:tcW w:w="903" w:type="dxa"/>
            <w:shd w:val="clear" w:color="auto" w:fill="FFFFFF"/>
          </w:tcPr>
          <w:p w14:paraId="7FF7EB81" w14:textId="336EB4A6" w:rsidR="0079710B" w:rsidRPr="00B57B36" w:rsidRDefault="0079710B" w:rsidP="0079710B">
            <w:pPr>
              <w:pStyle w:val="CETBodytext"/>
              <w:ind w:right="-1"/>
              <w:rPr>
                <w:rFonts w:cs="Arial"/>
                <w:szCs w:val="18"/>
                <w:lang w:val="en-GB"/>
              </w:rPr>
            </w:pPr>
            <w:r w:rsidRPr="00632CD9">
              <w:rPr>
                <w:rFonts w:cs="Arial"/>
                <w:color w:val="212121"/>
                <w:szCs w:val="18"/>
              </w:rPr>
              <w:t>0.07</w:t>
            </w:r>
          </w:p>
        </w:tc>
        <w:tc>
          <w:tcPr>
            <w:tcW w:w="20" w:type="dxa"/>
            <w:shd w:val="clear" w:color="auto" w:fill="FFFFFF"/>
          </w:tcPr>
          <w:p w14:paraId="6512B018" w14:textId="63806AB7" w:rsidR="0079710B" w:rsidRPr="00B57B36" w:rsidRDefault="0079710B" w:rsidP="0079710B">
            <w:pPr>
              <w:pStyle w:val="CETBodytext"/>
              <w:ind w:right="-1"/>
              <w:rPr>
                <w:rFonts w:cs="Arial"/>
                <w:szCs w:val="18"/>
                <w:lang w:val="en-GB"/>
              </w:rPr>
            </w:pPr>
          </w:p>
        </w:tc>
        <w:tc>
          <w:tcPr>
            <w:tcW w:w="211" w:type="dxa"/>
            <w:shd w:val="clear" w:color="auto" w:fill="FFFFFF"/>
          </w:tcPr>
          <w:p w14:paraId="45968E73" w14:textId="77777777" w:rsidR="0079710B" w:rsidRPr="00B57B36" w:rsidRDefault="0079710B" w:rsidP="0079710B">
            <w:pPr>
              <w:pStyle w:val="CETBodytext"/>
              <w:ind w:right="-1"/>
              <w:rPr>
                <w:rFonts w:cs="Arial"/>
                <w:szCs w:val="18"/>
                <w:lang w:val="en-GB"/>
              </w:rPr>
            </w:pPr>
          </w:p>
        </w:tc>
        <w:tc>
          <w:tcPr>
            <w:tcW w:w="20" w:type="dxa"/>
            <w:shd w:val="clear" w:color="auto" w:fill="FFFFFF"/>
          </w:tcPr>
          <w:p w14:paraId="538ADE59" w14:textId="5F226556" w:rsidR="0079710B" w:rsidRPr="00B57B36" w:rsidRDefault="0079710B" w:rsidP="0079710B">
            <w:pPr>
              <w:pStyle w:val="CETBodytext"/>
              <w:ind w:right="-1"/>
              <w:rPr>
                <w:rFonts w:cs="Arial"/>
                <w:szCs w:val="18"/>
                <w:lang w:val="en-GB"/>
              </w:rPr>
            </w:pPr>
          </w:p>
        </w:tc>
      </w:tr>
      <w:tr w:rsidR="0079710B" w:rsidRPr="00B57B36" w14:paraId="1777C522" w14:textId="139265BB" w:rsidTr="00350E4F">
        <w:tc>
          <w:tcPr>
            <w:tcW w:w="1276" w:type="dxa"/>
            <w:shd w:val="clear" w:color="auto" w:fill="FFFFFF"/>
          </w:tcPr>
          <w:p w14:paraId="59954EC2" w14:textId="77777777" w:rsidR="0079710B" w:rsidRPr="00B57B36" w:rsidRDefault="0079710B" w:rsidP="0079710B">
            <w:pPr>
              <w:pStyle w:val="CETBodytext"/>
              <w:ind w:right="-1"/>
              <w:rPr>
                <w:rFonts w:cs="Arial"/>
                <w:szCs w:val="18"/>
                <w:lang w:val="en-GB"/>
              </w:rPr>
            </w:pPr>
          </w:p>
        </w:tc>
        <w:tc>
          <w:tcPr>
            <w:tcW w:w="965" w:type="dxa"/>
            <w:shd w:val="clear" w:color="auto" w:fill="FFFFFF"/>
          </w:tcPr>
          <w:p w14:paraId="4FFB40F7" w14:textId="77777777" w:rsidR="0079710B" w:rsidRPr="00B57B36" w:rsidRDefault="0079710B" w:rsidP="0079710B">
            <w:pPr>
              <w:pStyle w:val="CETBodytext"/>
              <w:ind w:right="-1"/>
              <w:rPr>
                <w:rFonts w:cs="Arial"/>
                <w:szCs w:val="18"/>
                <w:lang w:val="en-GB"/>
              </w:rPr>
            </w:pPr>
          </w:p>
        </w:tc>
        <w:tc>
          <w:tcPr>
            <w:tcW w:w="1728" w:type="dxa"/>
            <w:shd w:val="clear" w:color="auto" w:fill="FFFFFF"/>
          </w:tcPr>
          <w:p w14:paraId="74F8316C" w14:textId="77777777" w:rsidR="0079710B" w:rsidRPr="00B57B36" w:rsidRDefault="0079710B" w:rsidP="0079710B">
            <w:pPr>
              <w:pStyle w:val="CETBodytext"/>
              <w:ind w:right="-1"/>
              <w:rPr>
                <w:rFonts w:cs="Arial"/>
                <w:szCs w:val="18"/>
                <w:lang w:val="en-GB"/>
              </w:rPr>
            </w:pPr>
          </w:p>
        </w:tc>
        <w:tc>
          <w:tcPr>
            <w:tcW w:w="1701" w:type="dxa"/>
            <w:shd w:val="clear" w:color="auto" w:fill="FFFFFF"/>
          </w:tcPr>
          <w:p w14:paraId="0B71ED41" w14:textId="77777777" w:rsidR="0079710B" w:rsidRPr="00B57B36" w:rsidRDefault="0079710B" w:rsidP="0079710B">
            <w:pPr>
              <w:pStyle w:val="CETBodytext"/>
              <w:ind w:right="-1"/>
              <w:rPr>
                <w:rFonts w:cs="Arial"/>
                <w:szCs w:val="18"/>
                <w:lang w:val="en-GB"/>
              </w:rPr>
            </w:pPr>
          </w:p>
        </w:tc>
        <w:tc>
          <w:tcPr>
            <w:tcW w:w="903" w:type="dxa"/>
            <w:shd w:val="clear" w:color="auto" w:fill="FFFFFF"/>
          </w:tcPr>
          <w:p w14:paraId="708CF970" w14:textId="7812FC9C" w:rsidR="0079710B" w:rsidRPr="00B57B36" w:rsidRDefault="0079710B" w:rsidP="0079710B">
            <w:pPr>
              <w:pStyle w:val="CETBodytext"/>
              <w:ind w:right="-1"/>
              <w:rPr>
                <w:rFonts w:cs="Arial"/>
                <w:szCs w:val="18"/>
                <w:lang w:val="en-GB"/>
              </w:rPr>
            </w:pPr>
          </w:p>
        </w:tc>
        <w:tc>
          <w:tcPr>
            <w:tcW w:w="20" w:type="dxa"/>
            <w:shd w:val="clear" w:color="auto" w:fill="FFFFFF"/>
          </w:tcPr>
          <w:p w14:paraId="6B4A2B9B" w14:textId="77777777" w:rsidR="0079710B" w:rsidRPr="00B57B36" w:rsidRDefault="0079710B" w:rsidP="0079710B">
            <w:pPr>
              <w:pStyle w:val="CETBodytext"/>
              <w:ind w:right="-1"/>
              <w:rPr>
                <w:rFonts w:cs="Arial"/>
                <w:szCs w:val="18"/>
                <w:lang w:val="en-GB"/>
              </w:rPr>
            </w:pPr>
          </w:p>
        </w:tc>
        <w:tc>
          <w:tcPr>
            <w:tcW w:w="211" w:type="dxa"/>
            <w:shd w:val="clear" w:color="auto" w:fill="FFFFFF"/>
          </w:tcPr>
          <w:p w14:paraId="6AFA103F" w14:textId="77777777" w:rsidR="0079710B" w:rsidRPr="00B57B36" w:rsidRDefault="0079710B" w:rsidP="0079710B">
            <w:pPr>
              <w:pStyle w:val="CETBodytext"/>
              <w:ind w:right="-1"/>
              <w:rPr>
                <w:rFonts w:cs="Arial"/>
                <w:szCs w:val="18"/>
                <w:lang w:val="en-GB"/>
              </w:rPr>
            </w:pPr>
          </w:p>
        </w:tc>
        <w:tc>
          <w:tcPr>
            <w:tcW w:w="20" w:type="dxa"/>
            <w:shd w:val="clear" w:color="auto" w:fill="FFFFFF"/>
          </w:tcPr>
          <w:p w14:paraId="72556A1B" w14:textId="0034219C" w:rsidR="0079710B" w:rsidRPr="00B57B36" w:rsidRDefault="0079710B" w:rsidP="0079710B">
            <w:pPr>
              <w:pStyle w:val="CETBodytext"/>
              <w:ind w:right="-1"/>
              <w:rPr>
                <w:rFonts w:cs="Arial"/>
                <w:szCs w:val="18"/>
                <w:lang w:val="en-GB"/>
              </w:rPr>
            </w:pPr>
          </w:p>
        </w:tc>
      </w:tr>
    </w:tbl>
    <w:p w14:paraId="08D279F8" w14:textId="0897655C" w:rsidR="00232825" w:rsidRDefault="00232825" w:rsidP="00232825">
      <w:pPr>
        <w:pStyle w:val="CETBodytext"/>
        <w:spacing w:before="240"/>
      </w:pPr>
      <w:r w:rsidRPr="003036A5">
        <w:lastRenderedPageBreak/>
        <w:t xml:space="preserve">The stoichiometric AFR of draff was estimated from the ultimate analysis results as 5.34. The relatively high percentage of oxygen in distillery draff (compared to the biomass residues previously investigated by Andrews et al. (2019)) is due to the presence of ethanol and other organic compounds in draff. Table </w:t>
      </w:r>
      <w:r w:rsidR="00BA15FB">
        <w:t>2</w:t>
      </w:r>
      <w:r w:rsidRPr="003036A5">
        <w:t xml:space="preserve"> also depicts the relatively high moisture content of the tested draff sample (73.4%). The gasification input energy increases with the moisture content of the biomass due to the energy that is required to dry the biomass prior to gasification. The determined bulk density and HHV of the draff sample were ≈</w:t>
      </w:r>
      <w:r w:rsidRPr="003036A5">
        <w:rPr>
          <w:color w:val="212121"/>
        </w:rPr>
        <w:t xml:space="preserve"> 410 kg/m</w:t>
      </w:r>
      <w:r w:rsidRPr="003036A5">
        <w:rPr>
          <w:color w:val="212121"/>
          <w:vertAlign w:val="superscript"/>
        </w:rPr>
        <w:t xml:space="preserve">3 </w:t>
      </w:r>
      <w:r w:rsidRPr="003036A5">
        <w:rPr>
          <w:color w:val="212121"/>
        </w:rPr>
        <w:t>and 5.23 MJ/kg respectively.</w:t>
      </w:r>
    </w:p>
    <w:p w14:paraId="20376908" w14:textId="616C0A42" w:rsidR="00717B3C" w:rsidRPr="00632CD9" w:rsidRDefault="00717B3C" w:rsidP="00717B3C">
      <w:pPr>
        <w:pStyle w:val="CETheadingx"/>
      </w:pPr>
      <w:r w:rsidRPr="00632CD9">
        <w:t>Mass Loss Rate (MLR) and normalised mass loss profiles of distillery draff</w:t>
      </w:r>
    </w:p>
    <w:p w14:paraId="5DABB5F0" w14:textId="08579D12" w:rsidR="00717B3C" w:rsidRDefault="00717B3C" w:rsidP="00717B3C">
      <w:pPr>
        <w:pStyle w:val="CETBodytext"/>
      </w:pPr>
      <w:r w:rsidRPr="00717B3C">
        <w:t>Figures 3 and 4 depict the Mass Loss Rate (MLR) and the normalised mass loss profiles respectively of distillery draff for the investigated air flux conditions. Figure 5 depicts the normalised mass loss profile for the 14.3 g air/m</w:t>
      </w:r>
      <w:r w:rsidRPr="00717B3C">
        <w:rPr>
          <w:vertAlign w:val="superscript"/>
        </w:rPr>
        <w:t>2</w:t>
      </w:r>
      <w:r w:rsidRPr="00717B3C">
        <w:t xml:space="preserve">s condition. Five (5) stages were observed in the normalised mass loss profile of draff (Figure 5) unlike the case for sweet sorghum crop residue which had four (4) stages (Olanrewaju et al., 2022). </w:t>
      </w:r>
    </w:p>
    <w:p w14:paraId="24317F93" w14:textId="19F8018C" w:rsidR="00717B3C" w:rsidRDefault="00717B3C" w:rsidP="00717B3C">
      <w:pPr>
        <w:pStyle w:val="CETBodytext"/>
      </w:pPr>
    </w:p>
    <w:p w14:paraId="5A6014DA" w14:textId="03277C4D" w:rsidR="00717B3C" w:rsidRPr="00717B3C" w:rsidRDefault="00717B3C" w:rsidP="00717B3C">
      <w:pPr>
        <w:pStyle w:val="CETBodytext"/>
      </w:pPr>
      <w:r w:rsidRPr="00632CD9">
        <w:rPr>
          <w:noProof/>
          <w:szCs w:val="18"/>
        </w:rPr>
        <w:drawing>
          <wp:inline distT="0" distB="0" distL="0" distR="0" wp14:anchorId="0BB47984" wp14:editId="34E4D8DB">
            <wp:extent cx="2673985" cy="1474438"/>
            <wp:effectExtent l="0" t="0" r="0" b="0"/>
            <wp:docPr id="4" name="Picture 4"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 scatter chart&#10;&#10;Description automatically generated"/>
                    <pic:cNvPicPr/>
                  </pic:nvPicPr>
                  <pic:blipFill>
                    <a:blip r:embed="rId14"/>
                    <a:stretch>
                      <a:fillRect/>
                    </a:stretch>
                  </pic:blipFill>
                  <pic:spPr>
                    <a:xfrm>
                      <a:off x="0" y="0"/>
                      <a:ext cx="2795271" cy="1541315"/>
                    </a:xfrm>
                    <a:prstGeom prst="rect">
                      <a:avLst/>
                    </a:prstGeom>
                  </pic:spPr>
                </pic:pic>
              </a:graphicData>
            </a:graphic>
          </wp:inline>
        </w:drawing>
      </w:r>
      <w:r>
        <w:t xml:space="preserve"> </w:t>
      </w:r>
      <w:r w:rsidR="00CE3C20">
        <w:t xml:space="preserve">  </w:t>
      </w:r>
      <w:r>
        <w:t xml:space="preserve"> </w:t>
      </w:r>
      <w:r w:rsidRPr="00632CD9">
        <w:rPr>
          <w:noProof/>
          <w:szCs w:val="18"/>
        </w:rPr>
        <w:drawing>
          <wp:inline distT="0" distB="0" distL="0" distR="0" wp14:anchorId="5D9F90AF" wp14:editId="317F6355">
            <wp:extent cx="2749806" cy="1443990"/>
            <wp:effectExtent l="0" t="0" r="0" b="3810"/>
            <wp:docPr id="7" name="Picture 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pic:nvPicPr>
                  <pic:blipFill>
                    <a:blip r:embed="rId15"/>
                    <a:stretch>
                      <a:fillRect/>
                    </a:stretch>
                  </pic:blipFill>
                  <pic:spPr>
                    <a:xfrm>
                      <a:off x="0" y="0"/>
                      <a:ext cx="2835877" cy="1489188"/>
                    </a:xfrm>
                    <a:prstGeom prst="rect">
                      <a:avLst/>
                    </a:prstGeom>
                  </pic:spPr>
                </pic:pic>
              </a:graphicData>
            </a:graphic>
          </wp:inline>
        </w:drawing>
      </w:r>
    </w:p>
    <w:p w14:paraId="329EDA78" w14:textId="2B5EF76D" w:rsidR="00717B3C" w:rsidRDefault="00717B3C" w:rsidP="00717B3C">
      <w:pPr>
        <w:pStyle w:val="CETCaption"/>
      </w:pPr>
      <w:r w:rsidRPr="00632CD9">
        <w:t>Figure 3:</w:t>
      </w:r>
      <w:r>
        <w:t xml:space="preserve"> </w:t>
      </w:r>
      <w:r w:rsidR="002871A9">
        <w:t xml:space="preserve">Plot of </w:t>
      </w:r>
      <w:r>
        <w:t>Mass Loss Rate</w:t>
      </w:r>
      <w:r w:rsidR="002871A9">
        <w:t xml:space="preserve"> (g/s)</w:t>
      </w:r>
      <w:r>
        <w:t xml:space="preserve"> </w:t>
      </w:r>
      <w:r w:rsidR="002871A9">
        <w:t>versus time (s)</w:t>
      </w:r>
      <w:r>
        <w:t xml:space="preserve"> </w:t>
      </w:r>
      <w:r w:rsidR="00CE3C20">
        <w:t xml:space="preserve"> </w:t>
      </w:r>
      <w:r w:rsidRPr="00632CD9">
        <w:t>Figure 4:</w:t>
      </w:r>
      <w:r>
        <w:t xml:space="preserve"> </w:t>
      </w:r>
      <w:r w:rsidR="002871A9">
        <w:t>Plot of n</w:t>
      </w:r>
      <w:r>
        <w:t xml:space="preserve">ormalised mass loss </w:t>
      </w:r>
      <w:r w:rsidR="002871A9">
        <w:t>versus time (</w:t>
      </w:r>
      <w:r>
        <w:t>s</w:t>
      </w:r>
      <w:r w:rsidR="002871A9">
        <w:t>)</w:t>
      </w:r>
    </w:p>
    <w:p w14:paraId="447F9482" w14:textId="6E28BF42" w:rsidR="00E53E25" w:rsidRDefault="00E53E25" w:rsidP="00717B3C">
      <w:pPr>
        <w:pStyle w:val="CETCaption"/>
        <w:rPr>
          <w:i w:val="0"/>
          <w:iCs/>
        </w:rPr>
      </w:pPr>
      <w:r w:rsidRPr="00632CD9">
        <w:rPr>
          <w:noProof/>
          <w:szCs w:val="18"/>
        </w:rPr>
        <w:drawing>
          <wp:inline distT="0" distB="0" distL="0" distR="0" wp14:anchorId="27DE2736" wp14:editId="568F1C8E">
            <wp:extent cx="4317173" cy="1759644"/>
            <wp:effectExtent l="0" t="0" r="762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6"/>
                    <a:stretch>
                      <a:fillRect/>
                    </a:stretch>
                  </pic:blipFill>
                  <pic:spPr>
                    <a:xfrm>
                      <a:off x="0" y="0"/>
                      <a:ext cx="4530365" cy="1846539"/>
                    </a:xfrm>
                    <a:prstGeom prst="rect">
                      <a:avLst/>
                    </a:prstGeom>
                  </pic:spPr>
                </pic:pic>
              </a:graphicData>
            </a:graphic>
          </wp:inline>
        </w:drawing>
      </w:r>
    </w:p>
    <w:p w14:paraId="2C3E3DF7" w14:textId="4914AC65" w:rsidR="00E53E25" w:rsidRDefault="00E53E25" w:rsidP="00717B3C">
      <w:pPr>
        <w:pStyle w:val="CETCaption"/>
        <w:rPr>
          <w:rFonts w:cs="Arial"/>
          <w:color w:val="212121"/>
          <w:szCs w:val="18"/>
        </w:rPr>
      </w:pPr>
      <w:r w:rsidRPr="00632CD9">
        <w:rPr>
          <w:rFonts w:cs="Arial"/>
          <w:color w:val="212121"/>
          <w:szCs w:val="18"/>
        </w:rPr>
        <w:t xml:space="preserve">Figure 5: </w:t>
      </w:r>
      <w:r>
        <w:rPr>
          <w:rFonts w:cs="Arial"/>
          <w:color w:val="212121"/>
          <w:szCs w:val="18"/>
        </w:rPr>
        <w:t>Delineation of the stages in the gasification of distillery draff</w:t>
      </w:r>
    </w:p>
    <w:p w14:paraId="6033CBC0" w14:textId="147F80F5" w:rsidR="00AC6B68" w:rsidRDefault="002543B5" w:rsidP="002543B5">
      <w:pPr>
        <w:pStyle w:val="CETBodytext"/>
      </w:pPr>
      <w:r w:rsidRPr="00632CD9">
        <w:t xml:space="preserve">Figure 5 </w:t>
      </w:r>
      <w:r w:rsidR="00C74037">
        <w:t xml:space="preserve">shows that </w:t>
      </w:r>
      <w:r w:rsidRPr="00632CD9">
        <w:t>for</w:t>
      </w:r>
      <w:r w:rsidR="00C74037">
        <w:t xml:space="preserve"> the </w:t>
      </w:r>
      <w:r w:rsidRPr="00632CD9">
        <w:t>14.3 g air/m</w:t>
      </w:r>
      <w:r w:rsidRPr="00632CD9">
        <w:rPr>
          <w:vertAlign w:val="superscript"/>
        </w:rPr>
        <w:t>2</w:t>
      </w:r>
      <w:r w:rsidRPr="00632CD9">
        <w:t>s</w:t>
      </w:r>
      <w:r w:rsidR="00C74037">
        <w:t xml:space="preserve"> condition</w:t>
      </w:r>
      <w:r w:rsidRPr="00632CD9">
        <w:t xml:space="preserve">, after the start of the test there was negligible mass loss for 18 s. This was the period of heat transfer into the sample (stage A). Stage A was followed by stage B during which evaporation of moisture from the </w:t>
      </w:r>
      <w:r w:rsidR="00C74037">
        <w:t>draff</w:t>
      </w:r>
      <w:r w:rsidRPr="00632CD9">
        <w:t xml:space="preserve"> occurred. Though some volatile compounds were released from the sample in stage B, the gas released was predominantly water vapour. The</w:t>
      </w:r>
      <w:r w:rsidR="00575AE4">
        <w:t xml:space="preserve"> </w:t>
      </w:r>
      <w:r w:rsidR="00575AE4" w:rsidRPr="00B874F6">
        <w:t>total hydrocarbons</w:t>
      </w:r>
      <w:r w:rsidRPr="00632CD9">
        <w:t xml:space="preserve"> </w:t>
      </w:r>
      <w:r w:rsidR="00575AE4">
        <w:t>(</w:t>
      </w:r>
      <w:r w:rsidRPr="00632CD9">
        <w:t>THC</w:t>
      </w:r>
      <w:r w:rsidR="00575AE4">
        <w:t>)</w:t>
      </w:r>
      <w:r w:rsidRPr="00632CD9">
        <w:t xml:space="preserve"> profile </w:t>
      </w:r>
      <w:r w:rsidR="00C74037">
        <w:t xml:space="preserve">in </w:t>
      </w:r>
      <w:r w:rsidRPr="00632CD9">
        <w:t xml:space="preserve">Figure 6a shows that prior to the start of pyrolysis (t &lt; 80 s), some volatile hydrocarbons were released (these </w:t>
      </w:r>
      <w:r w:rsidR="00C74037">
        <w:t xml:space="preserve">were </w:t>
      </w:r>
      <w:r w:rsidRPr="00632CD9">
        <w:t xml:space="preserve">the low molecular weight hydrocarbons such as methane). The profile for water </w:t>
      </w:r>
      <w:r w:rsidR="00263350" w:rsidRPr="00632CD9">
        <w:t>vapor</w:t>
      </w:r>
      <w:r w:rsidRPr="00632CD9">
        <w:t xml:space="preserve"> </w:t>
      </w:r>
      <w:r w:rsidR="00C74037">
        <w:t xml:space="preserve">in </w:t>
      </w:r>
      <w:r w:rsidRPr="00632CD9">
        <w:t>Figure 6b also shows a</w:t>
      </w:r>
      <w:r w:rsidR="00C74037">
        <w:t xml:space="preserve"> </w:t>
      </w:r>
      <w:r w:rsidRPr="00632CD9">
        <w:t xml:space="preserve">decrease in gradient prior to the start of pyrolysis (thermal decomposition). The observed decrease in gradient about 70 s after the start of the test symbolised the onset of pyrolysis (increase in the rate of release of volatiles while the rate of evaporation of water decreased). As the heating of the sample continued, thermal decomposition of the draff began after about 80 s into the test (stage C). The </w:t>
      </w:r>
      <w:r w:rsidR="0070677A">
        <w:t>CO and THC emissions</w:t>
      </w:r>
      <w:r w:rsidRPr="00632CD9">
        <w:t xml:space="preserve"> from the draff increased during the pyrolysis stage as shown in Figure 6a. Consequently, the </w:t>
      </w:r>
      <w:r w:rsidR="0070677A">
        <w:t xml:space="preserve">rate of mass loss in stage C in </w:t>
      </w:r>
      <w:r w:rsidRPr="00632CD9">
        <w:t xml:space="preserve">Figure 4 is </w:t>
      </w:r>
      <w:r w:rsidR="0070677A">
        <w:t>greater</w:t>
      </w:r>
      <w:r w:rsidRPr="00632CD9">
        <w:t xml:space="preserve"> than in stage B. The sample eventually auto-ignited after 257 s, which time marked the beginning of stage D</w:t>
      </w:r>
      <w:r w:rsidR="00AC6B68">
        <w:t xml:space="preserve">, the </w:t>
      </w:r>
      <w:r w:rsidRPr="00632CD9">
        <w:t xml:space="preserve">flaming oxidation period. Stage D was followed by stage E, the period of smouldering oxidation. The intensity of the flame reduced continuously in stage D until the flame went out after 496 </w:t>
      </w:r>
      <w:r w:rsidR="00276DE4" w:rsidRPr="00632CD9">
        <w:t>s</w:t>
      </w:r>
      <w:r w:rsidR="00276DE4">
        <w:t xml:space="preserve">, </w:t>
      </w:r>
      <w:r w:rsidR="00276DE4" w:rsidRPr="00276DE4">
        <w:t>indicating</w:t>
      </w:r>
      <w:r w:rsidR="00AC6B68" w:rsidRPr="00AC6B68">
        <w:t xml:space="preserve"> that the release of flammable components from draff had ceased. The remaining mass was a biochar with the ash fraction as part of the remaining mass.</w:t>
      </w:r>
      <w:r w:rsidRPr="00632CD9">
        <w:t xml:space="preserve"> </w:t>
      </w:r>
    </w:p>
    <w:p w14:paraId="5BD78B46" w14:textId="4BC9404D" w:rsidR="002543B5" w:rsidRDefault="00AC6B68" w:rsidP="002543B5">
      <w:pPr>
        <w:pStyle w:val="CETBodytext"/>
      </w:pPr>
      <w:r>
        <w:lastRenderedPageBreak/>
        <w:t>Photographs of draff</w:t>
      </w:r>
      <w:r w:rsidR="002543B5" w:rsidRPr="00632CD9">
        <w:t xml:space="preserve"> during pyrolysis, and after auto-ignition are given in Figures 7 and 8 respectively for the 16.3 g/m</w:t>
      </w:r>
      <w:r w:rsidR="002543B5" w:rsidRPr="00632CD9">
        <w:rPr>
          <w:vertAlign w:val="superscript"/>
        </w:rPr>
        <w:t>2</w:t>
      </w:r>
      <w:r w:rsidR="002543B5" w:rsidRPr="00632CD9">
        <w:t xml:space="preserve">s air flux condition. </w:t>
      </w:r>
      <w:r w:rsidR="002543B5">
        <w:t xml:space="preserve">Figure 7a depicts the residue after the </w:t>
      </w:r>
      <w:r>
        <w:t xml:space="preserve">end of </w:t>
      </w:r>
      <w:r w:rsidR="002543B5">
        <w:t>gasification</w:t>
      </w:r>
      <w:r w:rsidR="002543B5" w:rsidRPr="00632CD9">
        <w:t>. The mass of the residue was 3.2 g</w:t>
      </w:r>
      <w:r>
        <w:t xml:space="preserve"> which is about 10% of the initial mass, as shown in Figure 4</w:t>
      </w:r>
      <w:r w:rsidR="002543B5" w:rsidRPr="00632CD9">
        <w:t xml:space="preserve">. Tar deposits were not observed at the bottom of the aluminium foil. </w:t>
      </w:r>
      <w:r w:rsidR="002543B5">
        <w:t xml:space="preserve">At relatively high gasification temperatures, tar is </w:t>
      </w:r>
      <w:r>
        <w:t xml:space="preserve">not </w:t>
      </w:r>
      <w:r w:rsidR="00A32FF6">
        <w:t>formed,</w:t>
      </w:r>
      <w:r w:rsidR="002543B5">
        <w:t xml:space="preserve"> and this enhances the efficiency of biomass gasification. </w:t>
      </w:r>
    </w:p>
    <w:p w14:paraId="1DB5A02C" w14:textId="77777777" w:rsidR="00AC6B68" w:rsidRDefault="00AC6B68" w:rsidP="002543B5">
      <w:pPr>
        <w:pStyle w:val="CETBodytext"/>
      </w:pPr>
    </w:p>
    <w:p w14:paraId="411E70C3" w14:textId="48849687" w:rsidR="002543B5" w:rsidRPr="00632CD9" w:rsidRDefault="002543B5" w:rsidP="002543B5">
      <w:pPr>
        <w:pStyle w:val="CETBodytext"/>
      </w:pPr>
      <w:r w:rsidRPr="00632CD9">
        <w:rPr>
          <w:noProof/>
          <w:szCs w:val="18"/>
        </w:rPr>
        <w:drawing>
          <wp:inline distT="0" distB="0" distL="0" distR="0" wp14:anchorId="0131D406" wp14:editId="20A7B227">
            <wp:extent cx="2796988" cy="1236928"/>
            <wp:effectExtent l="0" t="0" r="3810" b="1905"/>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17"/>
                    <a:stretch>
                      <a:fillRect/>
                    </a:stretch>
                  </pic:blipFill>
                  <pic:spPr>
                    <a:xfrm>
                      <a:off x="0" y="0"/>
                      <a:ext cx="2944943" cy="1302359"/>
                    </a:xfrm>
                    <a:prstGeom prst="rect">
                      <a:avLst/>
                    </a:prstGeom>
                  </pic:spPr>
                </pic:pic>
              </a:graphicData>
            </a:graphic>
          </wp:inline>
        </w:drawing>
      </w:r>
      <w:r>
        <w:t xml:space="preserve">  </w:t>
      </w:r>
      <w:r w:rsidRPr="00632CD9">
        <w:rPr>
          <w:noProof/>
          <w:szCs w:val="18"/>
        </w:rPr>
        <w:drawing>
          <wp:inline distT="0" distB="0" distL="0" distR="0" wp14:anchorId="218F8DA4" wp14:editId="1770AFE5">
            <wp:extent cx="2670141" cy="1206393"/>
            <wp:effectExtent l="0" t="0" r="0" b="0"/>
            <wp:docPr id="14" name="Picture 14"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 scatter chart&#10;&#10;Description automatically generated"/>
                    <pic:cNvPicPr/>
                  </pic:nvPicPr>
                  <pic:blipFill>
                    <a:blip r:embed="rId18"/>
                    <a:stretch>
                      <a:fillRect/>
                    </a:stretch>
                  </pic:blipFill>
                  <pic:spPr>
                    <a:xfrm>
                      <a:off x="0" y="0"/>
                      <a:ext cx="2785630" cy="1258572"/>
                    </a:xfrm>
                    <a:prstGeom prst="rect">
                      <a:avLst/>
                    </a:prstGeom>
                  </pic:spPr>
                </pic:pic>
              </a:graphicData>
            </a:graphic>
          </wp:inline>
        </w:drawing>
      </w:r>
    </w:p>
    <w:p w14:paraId="60343CBD" w14:textId="76AAFCB1" w:rsidR="002543B5" w:rsidRPr="00BD6FE2" w:rsidRDefault="002543B5" w:rsidP="00BD6FE2">
      <w:pPr>
        <w:pStyle w:val="CETCaption"/>
      </w:pPr>
      <w:r w:rsidRPr="00BD6FE2">
        <w:t xml:space="preserve">                                        (a)                                                                                     (b)</w:t>
      </w:r>
    </w:p>
    <w:p w14:paraId="4F0B0191" w14:textId="425F020F" w:rsidR="002543B5" w:rsidRPr="00BD6FE2" w:rsidRDefault="002543B5" w:rsidP="00BD6FE2">
      <w:pPr>
        <w:pStyle w:val="CETCaption"/>
      </w:pPr>
      <w:r w:rsidRPr="00BD6FE2">
        <w:t xml:space="preserve">Figure 6: </w:t>
      </w:r>
      <w:r w:rsidR="009D1A66">
        <w:t>Plots of c</w:t>
      </w:r>
      <w:r w:rsidRPr="00BD6FE2">
        <w:t>oncentrations of selected product gases against time</w:t>
      </w:r>
      <w:r w:rsidR="009D1A66">
        <w:t xml:space="preserve"> (s)</w:t>
      </w:r>
      <w:r w:rsidRPr="00BD6FE2">
        <w:t xml:space="preserve"> (a) CO and THC in ppm (b) H2O in vol%</w:t>
      </w:r>
    </w:p>
    <w:p w14:paraId="5A28C693" w14:textId="5178AD0A" w:rsidR="00BD6FE2" w:rsidRDefault="00BD6FE2" w:rsidP="00BD6FE2">
      <w:pPr>
        <w:pStyle w:val="CETBodytext"/>
      </w:pPr>
      <w:r w:rsidRPr="00632CD9">
        <w:rPr>
          <w:noProof/>
          <w:szCs w:val="18"/>
        </w:rPr>
        <w:drawing>
          <wp:inline distT="0" distB="0" distL="0" distR="0" wp14:anchorId="358D1A9F" wp14:editId="05420973">
            <wp:extent cx="2788537" cy="102197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77509" cy="1091233"/>
                    </a:xfrm>
                    <a:prstGeom prst="rect">
                      <a:avLst/>
                    </a:prstGeom>
                  </pic:spPr>
                </pic:pic>
              </a:graphicData>
            </a:graphic>
          </wp:inline>
        </w:drawing>
      </w:r>
      <w:r>
        <w:t xml:space="preserve">  </w:t>
      </w:r>
      <w:r w:rsidR="00B874F6">
        <w:t xml:space="preserve">       </w:t>
      </w:r>
      <w:r w:rsidR="00B874F6">
        <w:rPr>
          <w:noProof/>
          <w:szCs w:val="18"/>
        </w:rPr>
        <w:t xml:space="preserve"> </w:t>
      </w:r>
      <w:r w:rsidRPr="00632CD9">
        <w:rPr>
          <w:noProof/>
          <w:szCs w:val="18"/>
        </w:rPr>
        <w:drawing>
          <wp:inline distT="0" distB="0" distL="0" distR="0" wp14:anchorId="69DC444D" wp14:editId="47FA764D">
            <wp:extent cx="1144905" cy="926458"/>
            <wp:effectExtent l="0" t="0" r="0" b="7620"/>
            <wp:docPr id="15" name="Picture 15" descr="A picture containing cake, chocolate, piece, honey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ake, chocolate, piece, honeycomb&#10;&#10;Description automatically generated"/>
                    <pic:cNvPicPr/>
                  </pic:nvPicPr>
                  <pic:blipFill>
                    <a:blip r:embed="rId20"/>
                    <a:stretch>
                      <a:fillRect/>
                    </a:stretch>
                  </pic:blipFill>
                  <pic:spPr>
                    <a:xfrm>
                      <a:off x="0" y="0"/>
                      <a:ext cx="1227069" cy="992945"/>
                    </a:xfrm>
                    <a:prstGeom prst="rect">
                      <a:avLst/>
                    </a:prstGeom>
                  </pic:spPr>
                </pic:pic>
              </a:graphicData>
            </a:graphic>
          </wp:inline>
        </w:drawing>
      </w:r>
    </w:p>
    <w:p w14:paraId="54E34CDC" w14:textId="111C3AFF" w:rsidR="00BD6FE2" w:rsidRPr="003E4D37" w:rsidRDefault="00BD6FE2" w:rsidP="00BD6FE2">
      <w:pPr>
        <w:pStyle w:val="CETCaption"/>
        <w:rPr>
          <w:color w:val="212121"/>
        </w:rPr>
      </w:pPr>
      <w:r w:rsidRPr="00A700E2">
        <w:t xml:space="preserve">                  </w:t>
      </w:r>
      <w:r w:rsidR="00B874F6">
        <w:t xml:space="preserve">        </w:t>
      </w:r>
      <w:r w:rsidRPr="00A700E2">
        <w:t xml:space="preserve"> </w:t>
      </w:r>
      <w:r w:rsidRPr="00E61C53">
        <w:t xml:space="preserve">(a)                                               </w:t>
      </w:r>
      <w:r>
        <w:t xml:space="preserve">                           </w:t>
      </w:r>
      <w:r w:rsidR="00B874F6">
        <w:t xml:space="preserve">  </w:t>
      </w:r>
      <w:r>
        <w:t xml:space="preserve">  (b)</w:t>
      </w:r>
    </w:p>
    <w:p w14:paraId="2F0865F8" w14:textId="77777777" w:rsidR="00BD6FE2" w:rsidRPr="003E4D37" w:rsidRDefault="00BD6FE2" w:rsidP="00BD6FE2">
      <w:pPr>
        <w:pStyle w:val="CETCaption"/>
        <w:rPr>
          <w:color w:val="212121"/>
        </w:rPr>
      </w:pPr>
      <w:r w:rsidRPr="003E4D37">
        <w:rPr>
          <w:color w:val="212121"/>
        </w:rPr>
        <w:t xml:space="preserve">Figure 7: Gasification of </w:t>
      </w:r>
      <w:r>
        <w:rPr>
          <w:color w:val="212121"/>
        </w:rPr>
        <w:t>distillery draff (a) Pyrolysis stage</w:t>
      </w:r>
      <w:r w:rsidRPr="003E4D37">
        <w:rPr>
          <w:color w:val="212121"/>
        </w:rPr>
        <w:t xml:space="preserve"> (b) </w:t>
      </w:r>
      <w:r>
        <w:rPr>
          <w:color w:val="212121"/>
        </w:rPr>
        <w:t>Draff gasification r</w:t>
      </w:r>
      <w:r w:rsidRPr="00632CD9">
        <w:rPr>
          <w:color w:val="212121"/>
        </w:rPr>
        <w:t>esidue</w:t>
      </w:r>
    </w:p>
    <w:p w14:paraId="61BE1973" w14:textId="0D97D943" w:rsidR="00BD6FE2" w:rsidRPr="00BD6FE2" w:rsidRDefault="00BD6FE2" w:rsidP="00BD6FE2">
      <w:pPr>
        <w:pStyle w:val="CETBodytext"/>
        <w:rPr>
          <w:lang w:val="en-GB"/>
        </w:rPr>
      </w:pPr>
      <w:r w:rsidRPr="00632CD9">
        <w:rPr>
          <w:noProof/>
          <w:szCs w:val="18"/>
        </w:rPr>
        <w:drawing>
          <wp:inline distT="0" distB="0" distL="0" distR="0" wp14:anchorId="004F5CA7" wp14:editId="5019FABC">
            <wp:extent cx="1652067" cy="683260"/>
            <wp:effectExtent l="0" t="0" r="5715" b="2540"/>
            <wp:docPr id="21" name="Picture 2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low confidence"/>
                    <pic:cNvPicPr/>
                  </pic:nvPicPr>
                  <pic:blipFill>
                    <a:blip r:embed="rId21"/>
                    <a:stretch>
                      <a:fillRect/>
                    </a:stretch>
                  </pic:blipFill>
                  <pic:spPr>
                    <a:xfrm>
                      <a:off x="0" y="0"/>
                      <a:ext cx="1801055" cy="744878"/>
                    </a:xfrm>
                    <a:prstGeom prst="rect">
                      <a:avLst/>
                    </a:prstGeom>
                  </pic:spPr>
                </pic:pic>
              </a:graphicData>
            </a:graphic>
          </wp:inline>
        </w:drawing>
      </w:r>
      <w:r>
        <w:rPr>
          <w:lang w:val="en-GB"/>
        </w:rPr>
        <w:t xml:space="preserve">   </w:t>
      </w:r>
      <w:r w:rsidRPr="00632CD9">
        <w:rPr>
          <w:noProof/>
          <w:szCs w:val="18"/>
        </w:rPr>
        <w:drawing>
          <wp:inline distT="0" distB="0" distL="0" distR="0" wp14:anchorId="7D8D060C" wp14:editId="262E07AD">
            <wp:extent cx="1029670" cy="518160"/>
            <wp:effectExtent l="0" t="0" r="0" b="0"/>
            <wp:docPr id="17" name="Picture 17" descr="A red light in a dark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light in a dark room&#10;&#10;Description automatically generated with low confidence"/>
                    <pic:cNvPicPr/>
                  </pic:nvPicPr>
                  <pic:blipFill>
                    <a:blip r:embed="rId22"/>
                    <a:stretch>
                      <a:fillRect/>
                    </a:stretch>
                  </pic:blipFill>
                  <pic:spPr>
                    <a:xfrm>
                      <a:off x="0" y="0"/>
                      <a:ext cx="1105798" cy="556470"/>
                    </a:xfrm>
                    <a:prstGeom prst="rect">
                      <a:avLst/>
                    </a:prstGeom>
                  </pic:spPr>
                </pic:pic>
              </a:graphicData>
            </a:graphic>
          </wp:inline>
        </w:drawing>
      </w:r>
      <w:r>
        <w:rPr>
          <w:lang w:val="en-GB"/>
        </w:rPr>
        <w:t xml:space="preserve">   </w:t>
      </w:r>
      <w:r w:rsidRPr="00632CD9">
        <w:rPr>
          <w:noProof/>
          <w:szCs w:val="18"/>
        </w:rPr>
        <w:drawing>
          <wp:inline distT="0" distB="0" distL="0" distR="0" wp14:anchorId="39D3BB96" wp14:editId="0AD048F4">
            <wp:extent cx="1066800" cy="515395"/>
            <wp:effectExtent l="0" t="0" r="0" b="0"/>
            <wp:docPr id="18" name="Picture 18" descr="A picture containing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essert&#10;&#10;Description automatically generated"/>
                    <pic:cNvPicPr/>
                  </pic:nvPicPr>
                  <pic:blipFill>
                    <a:blip r:embed="rId23"/>
                    <a:stretch>
                      <a:fillRect/>
                    </a:stretch>
                  </pic:blipFill>
                  <pic:spPr>
                    <a:xfrm>
                      <a:off x="0" y="0"/>
                      <a:ext cx="1114563" cy="538470"/>
                    </a:xfrm>
                    <a:prstGeom prst="rect">
                      <a:avLst/>
                    </a:prstGeom>
                  </pic:spPr>
                </pic:pic>
              </a:graphicData>
            </a:graphic>
          </wp:inline>
        </w:drawing>
      </w:r>
      <w:r>
        <w:rPr>
          <w:lang w:val="en-GB"/>
        </w:rPr>
        <w:t xml:space="preserve">   </w:t>
      </w:r>
      <w:r w:rsidRPr="00632CD9">
        <w:rPr>
          <w:noProof/>
          <w:szCs w:val="18"/>
        </w:rPr>
        <w:drawing>
          <wp:inline distT="0" distB="0" distL="0" distR="0" wp14:anchorId="15768C86" wp14:editId="7FF9B875">
            <wp:extent cx="937260" cy="50768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1441" cy="526198"/>
                    </a:xfrm>
                    <a:prstGeom prst="rect">
                      <a:avLst/>
                    </a:prstGeom>
                  </pic:spPr>
                </pic:pic>
              </a:graphicData>
            </a:graphic>
          </wp:inline>
        </w:drawing>
      </w:r>
    </w:p>
    <w:p w14:paraId="0AD2414F" w14:textId="6FBBADDF" w:rsidR="00BD6FE2" w:rsidRPr="00E61C53" w:rsidRDefault="00BD6FE2" w:rsidP="00BD6FE2">
      <w:pPr>
        <w:pStyle w:val="CETCaption"/>
      </w:pPr>
      <w:r w:rsidRPr="00E61C53">
        <w:t xml:space="preserve">              (a)                                                (b)                                   (c)</w:t>
      </w:r>
      <w:r>
        <w:t xml:space="preserve">                           </w:t>
      </w:r>
      <w:r w:rsidRPr="00E61C53">
        <w:t xml:space="preserve">(d)    </w:t>
      </w:r>
      <w:r>
        <w:t xml:space="preserve">                                                   </w:t>
      </w:r>
      <w:r w:rsidRPr="00E61C53">
        <w:t xml:space="preserve">                                                                           </w:t>
      </w:r>
    </w:p>
    <w:p w14:paraId="39267DED" w14:textId="1A2F5EE0" w:rsidR="002543B5" w:rsidRDefault="00BD6FE2" w:rsidP="00BD6FE2">
      <w:pPr>
        <w:pStyle w:val="CETCaption"/>
        <w:rPr>
          <w:color w:val="212121"/>
        </w:rPr>
      </w:pPr>
      <w:r w:rsidRPr="00E61C53">
        <w:rPr>
          <w:color w:val="212121"/>
        </w:rPr>
        <w:t>Figure 8:</w:t>
      </w:r>
      <w:r>
        <w:rPr>
          <w:color w:val="212121"/>
        </w:rPr>
        <w:t xml:space="preserve"> Flame development at different times after ignition (a) 20 s (b) 60 s (c) 120 s (d) 150 s</w:t>
      </w:r>
    </w:p>
    <w:p w14:paraId="0368AC32" w14:textId="4533B753" w:rsidR="00880F0F" w:rsidRPr="006738BC" w:rsidRDefault="00880F0F" w:rsidP="006738BC">
      <w:pPr>
        <w:pStyle w:val="CETBodytextItalic"/>
        <w:rPr>
          <w:i w:val="0"/>
          <w:iCs/>
        </w:rPr>
      </w:pPr>
      <w:r w:rsidRPr="006738BC">
        <w:rPr>
          <w:i w:val="0"/>
          <w:iCs/>
        </w:rPr>
        <w:t>The results confirm that it is possible to gasify distillery draff</w:t>
      </w:r>
      <w:r w:rsidR="006738BC">
        <w:rPr>
          <w:i w:val="0"/>
          <w:iCs/>
        </w:rPr>
        <w:t xml:space="preserve">. As draff is </w:t>
      </w:r>
      <w:r w:rsidRPr="006738BC">
        <w:rPr>
          <w:i w:val="0"/>
          <w:iCs/>
        </w:rPr>
        <w:t>a high-moisture content bio-waste</w:t>
      </w:r>
      <w:r w:rsidR="006738BC">
        <w:rPr>
          <w:i w:val="0"/>
          <w:iCs/>
        </w:rPr>
        <w:t xml:space="preserve">, </w:t>
      </w:r>
      <w:r w:rsidR="006738BC" w:rsidRPr="006738BC">
        <w:rPr>
          <w:i w:val="0"/>
          <w:iCs/>
        </w:rPr>
        <w:t>it is likely that other wet biomass wastes, such as farm manure, could be gasified</w:t>
      </w:r>
      <w:r w:rsidRPr="006738BC">
        <w:rPr>
          <w:i w:val="0"/>
          <w:iCs/>
        </w:rPr>
        <w:t xml:space="preserve">.  </w:t>
      </w:r>
    </w:p>
    <w:p w14:paraId="265782C1" w14:textId="5C30C98E" w:rsidR="00880F0F" w:rsidRDefault="00880F0F" w:rsidP="00880F0F">
      <w:pPr>
        <w:pStyle w:val="CETheadingx"/>
      </w:pPr>
      <w:r w:rsidRPr="00632CD9">
        <w:t>Yield of combustible gases</w:t>
      </w:r>
      <w:r>
        <w:t xml:space="preserve"> and </w:t>
      </w:r>
      <w:r w:rsidRPr="00632CD9">
        <w:t>Hot Gases Efficiency (HGE) for the gasification of draff</w:t>
      </w:r>
    </w:p>
    <w:p w14:paraId="6982C292" w14:textId="21FE1703" w:rsidR="00B874F6" w:rsidRDefault="00B874F6" w:rsidP="00B874F6">
      <w:pPr>
        <w:pStyle w:val="CETBodytext"/>
      </w:pPr>
      <w:r w:rsidRPr="00B874F6">
        <w:t>The yield of the combustible gases CO, total hydrocarbons (THC) and H</w:t>
      </w:r>
      <w:r w:rsidRPr="00B874F6">
        <w:rPr>
          <w:vertAlign w:val="subscript"/>
        </w:rPr>
        <w:t>2</w:t>
      </w:r>
      <w:r w:rsidRPr="00B874F6">
        <w:t xml:space="preserve"> in g gas/kg draff for the tested conditions are </w:t>
      </w:r>
      <w:r w:rsidR="006738BC">
        <w:t>shown</w:t>
      </w:r>
      <w:r w:rsidRPr="00B874F6">
        <w:t xml:space="preserve"> in Figure 9. The THC was computed as the methane equivalent of the </w:t>
      </w:r>
      <w:r w:rsidR="006738BC">
        <w:t xml:space="preserve">FTIR </w:t>
      </w:r>
      <w:r w:rsidRPr="00B874F6">
        <w:t xml:space="preserve">measured hydrocarbon products. Figure 9 shows that the total yield of the combustible gases peaked at an equivalence ratio, </w:t>
      </w:r>
      <w:r w:rsidRPr="00B874F6">
        <w:rPr>
          <w:color w:val="212121"/>
        </w:rPr>
        <w:t>Ø</w:t>
      </w:r>
      <w:r w:rsidRPr="00B874F6">
        <w:t xml:space="preserve"> of 4.5. Therefore, the optimum </w:t>
      </w:r>
      <w:r w:rsidRPr="00B874F6">
        <w:rPr>
          <w:color w:val="212121"/>
        </w:rPr>
        <w:t>Ø</w:t>
      </w:r>
      <w:r w:rsidRPr="00B874F6">
        <w:t xml:space="preserve"> for the gasification of the tested distillery draff is 4.5. Werle (2015) reported an optimum </w:t>
      </w:r>
      <w:r w:rsidRPr="00B874F6">
        <w:rPr>
          <w:color w:val="212121"/>
        </w:rPr>
        <w:t>Ø</w:t>
      </w:r>
      <w:r w:rsidRPr="00B874F6">
        <w:t xml:space="preserve"> of 5.56 for the gasification of dried sewage sludge. The disparity in the values of the optimum </w:t>
      </w:r>
      <w:r w:rsidRPr="00B874F6">
        <w:rPr>
          <w:color w:val="212121"/>
        </w:rPr>
        <w:t>Ø</w:t>
      </w:r>
      <w:r w:rsidRPr="00B874F6">
        <w:t xml:space="preserve"> for distillery draff and the previously investigated agricultural crop residues (Olanrewaju et al., 2022) is due to the relatively high moisture content of the tested draff sample. Figure 10 compares the HGE values for draff to those of selected agricultural crop residues and pine wood. The experimentally determined optimum maximum HGE for the gasification of distillery draff was ≈ 90%. This compares quite well with the optimum HGE for sweet sorghum stalk residue</w:t>
      </w:r>
      <w:r w:rsidR="00992FEC">
        <w:t xml:space="preserve"> of</w:t>
      </w:r>
      <w:r w:rsidRPr="00B874F6">
        <w:t xml:space="preserve"> 81%. The maximum HGE for the gasification of draff occurred at the optimum </w:t>
      </w:r>
      <w:r w:rsidRPr="00B874F6">
        <w:rPr>
          <w:color w:val="212121"/>
        </w:rPr>
        <w:lastRenderedPageBreak/>
        <w:t>Ø</w:t>
      </w:r>
      <w:r w:rsidRPr="00B874F6">
        <w:t>, 4.5 which corresponds to an air flux of ≈ 9 g/m</w:t>
      </w:r>
      <w:r w:rsidRPr="00B874F6">
        <w:rPr>
          <w:vertAlign w:val="superscript"/>
        </w:rPr>
        <w:t>2</w:t>
      </w:r>
      <w:r w:rsidRPr="00B874F6">
        <w:t xml:space="preserve">s. The experimentally determined gasification parameters (air flux, heat flux and </w:t>
      </w:r>
      <w:r w:rsidRPr="00B874F6">
        <w:rPr>
          <w:color w:val="212121"/>
        </w:rPr>
        <w:t>Ø)</w:t>
      </w:r>
      <w:r w:rsidRPr="00B874F6">
        <w:t xml:space="preserve"> for draff will be utilised in the future to design an industrial gasifier for distillery bio-wastes.</w:t>
      </w:r>
    </w:p>
    <w:p w14:paraId="42334757" w14:textId="77777777" w:rsidR="003E6F96" w:rsidRDefault="003E6F96" w:rsidP="00B874F6">
      <w:pPr>
        <w:pStyle w:val="CETBodytext"/>
      </w:pPr>
    </w:p>
    <w:p w14:paraId="2023B12D" w14:textId="77777777" w:rsidR="00B874F6" w:rsidRDefault="00B874F6" w:rsidP="00B874F6">
      <w:pPr>
        <w:pStyle w:val="CETBodytext"/>
      </w:pPr>
    </w:p>
    <w:p w14:paraId="216F7F12" w14:textId="5FDBAD8E" w:rsidR="00B874F6" w:rsidRDefault="00B874F6" w:rsidP="00B874F6">
      <w:pPr>
        <w:pStyle w:val="CETBodytext"/>
      </w:pPr>
      <w:r w:rsidRPr="00632CD9">
        <w:rPr>
          <w:noProof/>
          <w:szCs w:val="18"/>
        </w:rPr>
        <w:drawing>
          <wp:inline distT="0" distB="0" distL="0" distR="0" wp14:anchorId="2D98B79A" wp14:editId="1ED25932">
            <wp:extent cx="2734766" cy="1467650"/>
            <wp:effectExtent l="0" t="0" r="8890" b="0"/>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25"/>
                    <a:stretch>
                      <a:fillRect/>
                    </a:stretch>
                  </pic:blipFill>
                  <pic:spPr>
                    <a:xfrm>
                      <a:off x="0" y="0"/>
                      <a:ext cx="2845660" cy="1527163"/>
                    </a:xfrm>
                    <a:prstGeom prst="rect">
                      <a:avLst/>
                    </a:prstGeom>
                  </pic:spPr>
                </pic:pic>
              </a:graphicData>
            </a:graphic>
          </wp:inline>
        </w:drawing>
      </w:r>
      <w:r>
        <w:t xml:space="preserve">    </w:t>
      </w:r>
      <w:r w:rsidRPr="00632CD9">
        <w:rPr>
          <w:noProof/>
          <w:szCs w:val="18"/>
        </w:rPr>
        <w:drawing>
          <wp:inline distT="0" distB="0" distL="0" distR="0" wp14:anchorId="2E147AE6" wp14:editId="77AFAB04">
            <wp:extent cx="2688815" cy="1436914"/>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6"/>
                    <a:stretch>
                      <a:fillRect/>
                    </a:stretch>
                  </pic:blipFill>
                  <pic:spPr>
                    <a:xfrm>
                      <a:off x="0" y="0"/>
                      <a:ext cx="2785799" cy="1488743"/>
                    </a:xfrm>
                    <a:prstGeom prst="rect">
                      <a:avLst/>
                    </a:prstGeom>
                  </pic:spPr>
                </pic:pic>
              </a:graphicData>
            </a:graphic>
          </wp:inline>
        </w:drawing>
      </w:r>
    </w:p>
    <w:p w14:paraId="019234C6" w14:textId="77777777" w:rsidR="00B874F6" w:rsidRDefault="00B874F6" w:rsidP="00B874F6">
      <w:pPr>
        <w:pStyle w:val="CETCaption"/>
      </w:pPr>
      <w:r w:rsidRPr="00632CD9">
        <w:t xml:space="preserve">Figure </w:t>
      </w:r>
      <w:r>
        <w:t>9</w:t>
      </w:r>
      <w:r w:rsidRPr="00632CD9">
        <w:t xml:space="preserve">: </w:t>
      </w:r>
      <w:r>
        <w:t>Y</w:t>
      </w:r>
      <w:r w:rsidRPr="00632CD9">
        <w:t xml:space="preserve">ield of combustible gases </w:t>
      </w:r>
      <w:r>
        <w:t>for</w:t>
      </w:r>
      <w:r w:rsidRPr="00632CD9">
        <w:t xml:space="preserve"> draff</w:t>
      </w:r>
      <w:r>
        <w:t xml:space="preserve">             </w:t>
      </w:r>
      <w:r w:rsidRPr="00632CD9">
        <w:t>Figure 1</w:t>
      </w:r>
      <w:r>
        <w:t>0</w:t>
      </w:r>
      <w:r w:rsidRPr="00632CD9">
        <w:t xml:space="preserve">: HGE values </w:t>
      </w:r>
      <w:r>
        <w:t>for</w:t>
      </w:r>
      <w:r w:rsidRPr="00632CD9">
        <w:t xml:space="preserve"> draff and selected biomasses</w:t>
      </w:r>
    </w:p>
    <w:p w14:paraId="68D26B83" w14:textId="2D084DD6" w:rsidR="00600535" w:rsidRDefault="00600535" w:rsidP="00DA4A93">
      <w:pPr>
        <w:pStyle w:val="CETHeading1"/>
        <w:rPr>
          <w:lang w:val="en-GB"/>
        </w:rPr>
      </w:pPr>
      <w:r w:rsidRPr="00DA4A93">
        <w:rPr>
          <w:lang w:val="en-GB"/>
        </w:rPr>
        <w:t>Conclusions</w:t>
      </w:r>
    </w:p>
    <w:p w14:paraId="08797BA1" w14:textId="4FF93CDD" w:rsidR="00DF1A41" w:rsidRPr="00637AE4" w:rsidRDefault="00DF1A41" w:rsidP="00DF1A41">
      <w:pPr>
        <w:pStyle w:val="CETBodytext"/>
      </w:pPr>
      <w:r w:rsidRPr="00632CD9">
        <w:rPr>
          <w:rFonts w:eastAsiaTheme="minorEastAsia" w:cs="Arial"/>
          <w:szCs w:val="18"/>
        </w:rPr>
        <w:t>The possibility of gasifying distillery draff</w:t>
      </w:r>
      <w:r w:rsidR="00A52B0D">
        <w:rPr>
          <w:rFonts w:eastAsiaTheme="minorEastAsia" w:cs="Arial"/>
          <w:szCs w:val="18"/>
        </w:rPr>
        <w:t xml:space="preserve">, which is </w:t>
      </w:r>
      <w:r w:rsidRPr="00632CD9">
        <w:rPr>
          <w:rFonts w:eastAsiaTheme="minorEastAsia" w:cs="Arial"/>
          <w:szCs w:val="18"/>
        </w:rPr>
        <w:t xml:space="preserve">a high-moisture content </w:t>
      </w:r>
      <w:r w:rsidR="00A52B0D">
        <w:rPr>
          <w:rFonts w:eastAsiaTheme="minorEastAsia" w:cs="Arial"/>
          <w:szCs w:val="18"/>
        </w:rPr>
        <w:t>waste biomass,</w:t>
      </w:r>
      <w:r w:rsidRPr="00632CD9">
        <w:rPr>
          <w:rFonts w:eastAsiaTheme="minorEastAsia" w:cs="Arial"/>
          <w:szCs w:val="18"/>
        </w:rPr>
        <w:t xml:space="preserve"> was investigated in the current work using the restricted ventilation cone calorimeter method. It was shown that draff gasifies at a relatively high heat flux of 70 kW/m</w:t>
      </w:r>
      <w:r w:rsidRPr="00632CD9">
        <w:rPr>
          <w:rFonts w:eastAsiaTheme="minorEastAsia" w:cs="Arial"/>
          <w:szCs w:val="18"/>
          <w:vertAlign w:val="superscript"/>
        </w:rPr>
        <w:t>2</w:t>
      </w:r>
      <w:r w:rsidR="00A52B0D">
        <w:rPr>
          <w:rFonts w:eastAsiaTheme="minorEastAsia" w:cs="Arial"/>
          <w:szCs w:val="18"/>
        </w:rPr>
        <w:t xml:space="preserve">. </w:t>
      </w:r>
      <w:r w:rsidRPr="00632CD9">
        <w:rPr>
          <w:rFonts w:eastAsiaTheme="minorEastAsia" w:cs="Arial"/>
          <w:szCs w:val="18"/>
        </w:rPr>
        <w:t>The experimentally determined optimum air flux, equivalence ratio, Ø</w:t>
      </w:r>
      <w:r w:rsidRPr="00632CD9">
        <w:rPr>
          <w:rFonts w:ascii="Times New Roman" w:eastAsiaTheme="minorEastAsia" w:hAnsi="Times New Roman"/>
          <w:szCs w:val="18"/>
        </w:rPr>
        <w:t xml:space="preserve"> </w:t>
      </w:r>
      <w:r w:rsidRPr="00632CD9">
        <w:rPr>
          <w:rFonts w:eastAsiaTheme="minorEastAsia" w:cs="Arial"/>
          <w:szCs w:val="18"/>
        </w:rPr>
        <w:t>and HGE</w:t>
      </w:r>
      <w:r w:rsidRPr="00632CD9">
        <w:rPr>
          <w:rFonts w:ascii="Times New Roman" w:eastAsiaTheme="minorEastAsia" w:hAnsi="Times New Roman"/>
          <w:szCs w:val="18"/>
        </w:rPr>
        <w:t xml:space="preserve"> </w:t>
      </w:r>
      <w:r w:rsidRPr="00632CD9">
        <w:rPr>
          <w:rFonts w:eastAsiaTheme="minorEastAsia" w:cs="Arial"/>
          <w:szCs w:val="18"/>
        </w:rPr>
        <w:t>for the gasification of distillery draff are 9 g/m</w:t>
      </w:r>
      <w:r w:rsidRPr="00632CD9">
        <w:rPr>
          <w:rFonts w:eastAsiaTheme="minorEastAsia" w:cs="Arial"/>
          <w:szCs w:val="18"/>
          <w:vertAlign w:val="superscript"/>
        </w:rPr>
        <w:t>2</w:t>
      </w:r>
      <w:r w:rsidRPr="00632CD9">
        <w:rPr>
          <w:rFonts w:eastAsiaTheme="minorEastAsia" w:cs="Arial"/>
          <w:szCs w:val="18"/>
        </w:rPr>
        <w:t xml:space="preserve">s, 4.5 and 90% respectively. The optimum Ø for the investigated draff sample compares well to the reported value of 5.56 for dried sewage sludge. The experimentally determined gasification conditions for draff will be used in the future to design an efficient industrial biomass gasifier for industrial </w:t>
      </w:r>
      <w:r w:rsidR="00D73768" w:rsidRPr="00632CD9">
        <w:rPr>
          <w:rFonts w:eastAsiaTheme="minorEastAsia" w:cs="Arial"/>
          <w:szCs w:val="18"/>
        </w:rPr>
        <w:t>decarbonization</w:t>
      </w:r>
      <w:r w:rsidRPr="00632CD9">
        <w:rPr>
          <w:rFonts w:eastAsiaTheme="minorEastAsia" w:cs="Arial"/>
          <w:szCs w:val="18"/>
        </w:rPr>
        <w:t>. The</w:t>
      </w:r>
      <w:r>
        <w:rPr>
          <w:rFonts w:eastAsiaTheme="minorEastAsia" w:cs="Arial"/>
          <w:szCs w:val="18"/>
        </w:rPr>
        <w:t xml:space="preserve"> CO</w:t>
      </w:r>
      <w:r w:rsidRPr="00632CD9">
        <w:rPr>
          <w:rFonts w:eastAsiaTheme="minorEastAsia" w:cs="Arial"/>
          <w:szCs w:val="18"/>
        </w:rPr>
        <w:t xml:space="preserve"> peak</w:t>
      </w:r>
      <w:r>
        <w:rPr>
          <w:rFonts w:eastAsiaTheme="minorEastAsia" w:cs="Arial"/>
          <w:szCs w:val="18"/>
        </w:rPr>
        <w:t xml:space="preserve"> that</w:t>
      </w:r>
      <w:r w:rsidRPr="00632CD9">
        <w:rPr>
          <w:rFonts w:eastAsiaTheme="minorEastAsia" w:cs="Arial"/>
          <w:szCs w:val="18"/>
        </w:rPr>
        <w:t xml:space="preserve"> occurred during the pyrolysis stage of the gasification </w:t>
      </w:r>
      <w:r w:rsidR="00637AE4" w:rsidRPr="00637AE4">
        <w:rPr>
          <w:rFonts w:eastAsiaTheme="minorEastAsia"/>
        </w:rPr>
        <w:t xml:space="preserve">indicated the best gasification condition and this could be used for gasifier </w:t>
      </w:r>
      <w:r w:rsidR="00D73768" w:rsidRPr="00637AE4">
        <w:rPr>
          <w:rFonts w:eastAsiaTheme="minorEastAsia"/>
        </w:rPr>
        <w:t>optimi</w:t>
      </w:r>
      <w:r w:rsidR="00D73768">
        <w:rPr>
          <w:rFonts w:eastAsiaTheme="minorEastAsia"/>
        </w:rPr>
        <w:t>z</w:t>
      </w:r>
      <w:r w:rsidR="00D73768" w:rsidRPr="00637AE4">
        <w:rPr>
          <w:rFonts w:eastAsiaTheme="minorEastAsia"/>
        </w:rPr>
        <w:t>ation</w:t>
      </w:r>
      <w:r w:rsidR="00637AE4" w:rsidRPr="00637AE4">
        <w:rPr>
          <w:rFonts w:eastAsiaTheme="minorEastAsia"/>
        </w:rPr>
        <w:t>.</w:t>
      </w:r>
    </w:p>
    <w:p w14:paraId="459D05E6" w14:textId="23B59748" w:rsidR="00600535" w:rsidRPr="00B57B36" w:rsidRDefault="00600535" w:rsidP="00600535">
      <w:pPr>
        <w:pStyle w:val="CETAcknowledgementstitle"/>
      </w:pPr>
      <w:r w:rsidRPr="00B57B36">
        <w:t>Acknowledgments</w:t>
      </w:r>
    </w:p>
    <w:p w14:paraId="7217EFA6" w14:textId="77777777" w:rsidR="00717B3C" w:rsidRPr="00632CD9" w:rsidRDefault="00717B3C" w:rsidP="00717B3C">
      <w:pPr>
        <w:pStyle w:val="CETBodytext"/>
        <w:rPr>
          <w:rFonts w:eastAsiaTheme="minorEastAsia"/>
        </w:rPr>
      </w:pPr>
      <w:r w:rsidRPr="00632CD9">
        <w:rPr>
          <w:rFonts w:eastAsiaTheme="minorEastAsia"/>
        </w:rPr>
        <w:t xml:space="preserve">This work was supported by the UK Department of Business, Energy and Industrial Strategy (BEIS): BATGasGD Phase 1 </w:t>
      </w:r>
      <w:r w:rsidRPr="005A47A2">
        <w:rPr>
          <w:rFonts w:eastAsiaTheme="minorEastAsia"/>
        </w:rPr>
        <w:t>(TRN 2564/08/2020)</w:t>
      </w:r>
      <w:r>
        <w:rPr>
          <w:rFonts w:eastAsiaTheme="minorEastAsia"/>
        </w:rPr>
        <w:t>, Clean Burner Systems, Rugby, UK and the University of Leeds, Leeds, UK.</w:t>
      </w:r>
      <w:r w:rsidRPr="00632CD9">
        <w:rPr>
          <w:rFonts w:eastAsiaTheme="minorEastAsia"/>
        </w:rPr>
        <w:t xml:space="preserve"> </w:t>
      </w:r>
    </w:p>
    <w:p w14:paraId="4F1327F8" w14:textId="77777777" w:rsidR="00600535" w:rsidRPr="00B57B36" w:rsidRDefault="00600535" w:rsidP="00600535">
      <w:pPr>
        <w:pStyle w:val="CETReference"/>
      </w:pPr>
      <w:r w:rsidRPr="00B57B36">
        <w:t>References</w:t>
      </w:r>
    </w:p>
    <w:p w14:paraId="3205E44C" w14:textId="77777777" w:rsidR="00DA4A93" w:rsidRPr="00632CD9" w:rsidRDefault="00DA4A93" w:rsidP="00DA4A93">
      <w:pPr>
        <w:pStyle w:val="CETReferencetext"/>
      </w:pPr>
      <w:r w:rsidRPr="00632CD9">
        <w:t>Andrews G.E, Irshad A., Phylaktou, H.N., Gibbs B.M., 2019, Solid Biomass to Medium CV Gas Conversion with Rich Combustion, Proceedings of ASME Turbo Expo 2019: Turbomachinery Technical Conference and Exposition GT2019, ASME Technical Paper GT2019-90196, Phoenix, Arizona, USA.</w:t>
      </w:r>
    </w:p>
    <w:p w14:paraId="472223A2" w14:textId="77777777" w:rsidR="00DA4A93" w:rsidRPr="00632CD9" w:rsidRDefault="00DA4A93" w:rsidP="00DA4A93">
      <w:pPr>
        <w:pStyle w:val="CETReferencetext"/>
        <w:rPr>
          <w:rStyle w:val="Hyperlink"/>
          <w:rFonts w:cs="Arial"/>
          <w:szCs w:val="18"/>
          <w14:textOutline w14:w="9525" w14:cap="flat" w14:cmpd="sng" w14:algn="ctr">
            <w14:noFill/>
            <w14:prstDash w14:val="solid"/>
            <w14:round/>
          </w14:textOutline>
        </w:rPr>
      </w:pPr>
      <w:r w:rsidRPr="00632CD9">
        <w:t>Chan S.H., Zhu J., 1996, Exhaust Emission Based Air-Fuel Ratio Model (I): Literature Reviews and Modelling, SAE International paper no. 961020, 1996, doi.org/10.4271/961020.</w:t>
      </w:r>
    </w:p>
    <w:p w14:paraId="22D22C74" w14:textId="77777777" w:rsidR="00DA4A93" w:rsidRPr="00632CD9" w:rsidRDefault="00DA4A93" w:rsidP="00DA4A93">
      <w:pPr>
        <w:pStyle w:val="CETReferencetext"/>
      </w:pPr>
      <w:r w:rsidRPr="00632CD9">
        <w:t>Choi Y., Stenger H.G., 2003, Water gas shift reaction kinetics and reactor modeling for fuel cell grade hydrogen. J Power Sources 2003, 124(2), 432–9. doi.org/10.1016/S0378-7753(03)00614-1.</w:t>
      </w:r>
    </w:p>
    <w:p w14:paraId="428E021D" w14:textId="5DA14C6A" w:rsidR="00DA4A93" w:rsidRDefault="00DA4A93" w:rsidP="00DA4A93">
      <w:pPr>
        <w:pStyle w:val="CETReferencetext"/>
        <w:rPr>
          <w:rStyle w:val="Hyperlink"/>
          <w:rFonts w:cs="Arial"/>
          <w:color w:val="auto"/>
          <w:szCs w:val="18"/>
          <w:u w:val="none"/>
          <w14:textOutline w14:w="9525" w14:cap="flat" w14:cmpd="sng" w14:algn="ctr">
            <w14:noFill/>
            <w14:prstDash w14:val="solid"/>
            <w14:round/>
          </w14:textOutline>
        </w:rPr>
      </w:pPr>
      <w:r w:rsidRPr="00DA4A93">
        <w:rPr>
          <w:rStyle w:val="Hyperlink"/>
          <w:rFonts w:cs="Arial"/>
          <w:color w:val="auto"/>
          <w:szCs w:val="18"/>
          <w:u w:val="none"/>
          <w14:textOutline w14:w="9525" w14:cap="flat" w14:cmpd="sng" w14:algn="ctr">
            <w14:noFill/>
            <w14:prstDash w14:val="solid"/>
            <w14:round/>
          </w14:textOutline>
        </w:rPr>
        <w:t>Gandy S., Hinton S., 2018, Whisky by-products in renewable energy, Ricardo Energy &amp; Environment, Didcot, UK.</w:t>
      </w:r>
    </w:p>
    <w:p w14:paraId="5CF3E195" w14:textId="6A495797" w:rsidR="00DA4A93" w:rsidRPr="00632CD9" w:rsidRDefault="00DA4A93" w:rsidP="00DA4A93">
      <w:pPr>
        <w:pStyle w:val="CETReferencetext"/>
      </w:pPr>
      <w:r w:rsidRPr="00632CD9">
        <w:t>Irshad A., Alarifi A.A., Thompson S., Melton G.J., Andrews G.E., Phylaktou H.N., Gibbs B.M., 2014, Use of the Cone Calorimeter for Investigating Biomass Gasification Staged Combustion, 22nd European Biomass Conference and Exhibition, Paper 2AO.4.1, Hamburg, Germany, 388–98.</w:t>
      </w:r>
    </w:p>
    <w:p w14:paraId="1AE073FF" w14:textId="77777777" w:rsidR="00DA4A93" w:rsidRPr="00632CD9" w:rsidRDefault="00DA4A93" w:rsidP="00DA4A93">
      <w:pPr>
        <w:pStyle w:val="CETReferencetext"/>
        <w:rPr>
          <w:lang w:val="en-US"/>
        </w:rPr>
      </w:pPr>
      <w:r w:rsidRPr="00632CD9">
        <w:t>Kirsanovs V., Zandeckis A., 2015, Investigation of Biomass Gasification Process with Torrefaction</w:t>
      </w:r>
      <w:r>
        <w:t xml:space="preserve"> </w:t>
      </w:r>
      <w:r w:rsidRPr="00632CD9">
        <w:t>Using Equilibrium Model, Energy Procedia</w:t>
      </w:r>
      <w:r w:rsidRPr="00632CD9">
        <w:rPr>
          <w:i/>
          <w:iCs/>
        </w:rPr>
        <w:t xml:space="preserve">, </w:t>
      </w:r>
      <w:r w:rsidRPr="00632CD9">
        <w:t>72</w:t>
      </w:r>
      <w:r w:rsidRPr="00632CD9">
        <w:rPr>
          <w:b/>
          <w:bCs/>
        </w:rPr>
        <w:t xml:space="preserve">, </w:t>
      </w:r>
      <w:r w:rsidRPr="00632CD9">
        <w:t>329-336.</w:t>
      </w:r>
    </w:p>
    <w:p w14:paraId="2919C3F0" w14:textId="77777777" w:rsidR="00DA4A93" w:rsidRPr="00632CD9" w:rsidRDefault="00DA4A93" w:rsidP="00DA4A93">
      <w:pPr>
        <w:pStyle w:val="CETReferencetext"/>
      </w:pPr>
      <w:r w:rsidRPr="00632CD9">
        <w:t>Mustafa B.G., Kiah M.H.M., Irshad A., Andrews G.E., Phylaktou H.N., Li H., Gibbs B. M., 2019, Rich biomass combustion: Gaseous and particle number emissions, Fuel, 248, 221–</w:t>
      </w:r>
      <w:r w:rsidRPr="00632CD9">
        <w:tab/>
        <w:t>31. doi.org/10.1016/j.fuel.2019.03.027.</w:t>
      </w:r>
    </w:p>
    <w:p w14:paraId="01E70762" w14:textId="76D43721" w:rsidR="00DA4A93" w:rsidRPr="00DA4A93" w:rsidRDefault="00DA4A93" w:rsidP="00DA4A93">
      <w:pPr>
        <w:pStyle w:val="CETReferencetext"/>
      </w:pPr>
      <w:r w:rsidRPr="00DA4A93">
        <w:rPr>
          <w:rStyle w:val="Hyperlink"/>
          <w:color w:val="auto"/>
          <w:u w:val="none"/>
        </w:rPr>
        <w:t xml:space="preserve">Olanrewaju F.O., Andrews G.E., Li H., Phylaktou H.N., Mustafa B.G., Kiah M.M.H., 2022, Investigation of the heat release rate and particle generation during fixed bed gasification of sweet </w:t>
      </w:r>
      <w:r w:rsidRPr="00DA4A93">
        <w:rPr>
          <w:rStyle w:val="Hyperlink"/>
          <w:color w:val="auto"/>
          <w:u w:val="none"/>
        </w:rPr>
        <w:tab/>
        <w:t>sorghum stalk, Fuel, 332, doi./10.1016/j.fuel.2022.126013.</w:t>
      </w:r>
    </w:p>
    <w:p w14:paraId="4C0229EA" w14:textId="1AB21AA4" w:rsidR="00DA4A93" w:rsidRDefault="00DA4A93" w:rsidP="00DA4A93">
      <w:pPr>
        <w:pStyle w:val="CETReferencetext"/>
        <w:rPr>
          <w:rStyle w:val="Hyperlink"/>
          <w:rFonts w:cs="Arial"/>
          <w:color w:val="auto"/>
          <w:szCs w:val="18"/>
          <w:u w:val="none"/>
          <w14:textOutline w14:w="9525" w14:cap="flat" w14:cmpd="sng" w14:algn="ctr">
            <w14:noFill/>
            <w14:prstDash w14:val="solid"/>
            <w14:round/>
          </w14:textOutline>
        </w:rPr>
      </w:pPr>
      <w:r w:rsidRPr="00DA4A93">
        <w:rPr>
          <w:rStyle w:val="Hyperlink"/>
          <w:rFonts w:cs="Arial"/>
          <w:color w:val="auto"/>
          <w:szCs w:val="18"/>
          <w:u w:val="none"/>
          <w14:textOutline w14:w="9525" w14:cap="flat" w14:cmpd="sng" w14:algn="ctr">
            <w14:noFill/>
            <w14:prstDash w14:val="solid"/>
            <w14:round/>
          </w14:textOutline>
        </w:rPr>
        <w:t xml:space="preserve">Werle S., 2015, Gasification of a Dried Sewage Sludge in a Laboratory Scale Fixed Bed </w:t>
      </w:r>
      <w:r w:rsidRPr="00DA4A93">
        <w:rPr>
          <w:rStyle w:val="Hyperlink"/>
          <w:rFonts w:cs="Arial"/>
          <w:color w:val="auto"/>
          <w:szCs w:val="18"/>
          <w:u w:val="none"/>
          <w14:textOutline w14:w="9525" w14:cap="flat" w14:cmpd="sng" w14:algn="ctr">
            <w14:noFill/>
            <w14:prstDash w14:val="solid"/>
            <w14:round/>
          </w14:textOutline>
        </w:rPr>
        <w:tab/>
        <w:t>Reactor, Energies, 8, 8562-72, doi:10.3390/en8088562.</w:t>
      </w:r>
    </w:p>
    <w:p w14:paraId="526CC672" w14:textId="0A0ED219" w:rsidR="00DA4A93" w:rsidRDefault="00DA4A93" w:rsidP="00DA4A93">
      <w:pPr>
        <w:pStyle w:val="CETReferencetext"/>
      </w:pPr>
      <w:r w:rsidRPr="00632CD9">
        <w:t>White J.S., Stewart K.L., Maskell D.L., Diallo A., Traub-Modinger J.E., Willoughby N.A., 2020 Characterization of Pot Ale from a Scottish Malt Whisky Distillery and Potential Applications,</w:t>
      </w:r>
      <w:r>
        <w:t xml:space="preserve"> </w:t>
      </w:r>
      <w:r w:rsidRPr="00632CD9">
        <w:t>ACS Omega, dx.doi.org/10.1021/acsomega.9b04023.</w:t>
      </w:r>
    </w:p>
    <w:sectPr w:rsidR="00DA4A93"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F58D8" w14:textId="77777777" w:rsidR="00BB250A" w:rsidRDefault="00BB250A" w:rsidP="004F5E36">
      <w:r>
        <w:separator/>
      </w:r>
    </w:p>
  </w:endnote>
  <w:endnote w:type="continuationSeparator" w:id="0">
    <w:p w14:paraId="63481B8A" w14:textId="77777777" w:rsidR="00BB250A" w:rsidRDefault="00BB250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3FF5B" w14:textId="77777777" w:rsidR="00BB250A" w:rsidRDefault="00BB250A" w:rsidP="004F5E36">
      <w:r>
        <w:separator/>
      </w:r>
    </w:p>
  </w:footnote>
  <w:footnote w:type="continuationSeparator" w:id="0">
    <w:p w14:paraId="0099D7DF" w14:textId="77777777" w:rsidR="00BB250A" w:rsidRDefault="00BB250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E7961"/>
    <w:multiLevelType w:val="hybridMultilevel"/>
    <w:tmpl w:val="6BECD75C"/>
    <w:lvl w:ilvl="0" w:tplc="A2E81C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2"/>
  </w:num>
  <w:num w:numId="14" w16cid:durableId="145903400">
    <w:abstractNumId w:val="19"/>
  </w:num>
  <w:num w:numId="15" w16cid:durableId="19162326">
    <w:abstractNumId w:val="21"/>
  </w:num>
  <w:num w:numId="16" w16cid:durableId="1977102699">
    <w:abstractNumId w:val="20"/>
  </w:num>
  <w:num w:numId="17" w16cid:durableId="860774865">
    <w:abstractNumId w:val="11"/>
  </w:num>
  <w:num w:numId="18" w16cid:durableId="313221457">
    <w:abstractNumId w:val="12"/>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3"/>
  </w:num>
  <w:num w:numId="23" w16cid:durableId="1155998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7ACF"/>
    <w:rsid w:val="000117CB"/>
    <w:rsid w:val="00011A86"/>
    <w:rsid w:val="0003148D"/>
    <w:rsid w:val="00031EEC"/>
    <w:rsid w:val="00051566"/>
    <w:rsid w:val="000540C4"/>
    <w:rsid w:val="000562A9"/>
    <w:rsid w:val="00062A9A"/>
    <w:rsid w:val="00062D30"/>
    <w:rsid w:val="00065058"/>
    <w:rsid w:val="00075F90"/>
    <w:rsid w:val="00086C39"/>
    <w:rsid w:val="000A03B2"/>
    <w:rsid w:val="000B4CD3"/>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87FCF"/>
    <w:rsid w:val="001A4AF7"/>
    <w:rsid w:val="001B0349"/>
    <w:rsid w:val="001B1E93"/>
    <w:rsid w:val="001B65C1"/>
    <w:rsid w:val="001C3799"/>
    <w:rsid w:val="001C684B"/>
    <w:rsid w:val="001D0CFB"/>
    <w:rsid w:val="001D1DD6"/>
    <w:rsid w:val="001D21AF"/>
    <w:rsid w:val="001D53FC"/>
    <w:rsid w:val="001D66CE"/>
    <w:rsid w:val="001F42A5"/>
    <w:rsid w:val="001F7B9D"/>
    <w:rsid w:val="00201C93"/>
    <w:rsid w:val="002106A0"/>
    <w:rsid w:val="0022010E"/>
    <w:rsid w:val="002224B4"/>
    <w:rsid w:val="00232825"/>
    <w:rsid w:val="00242F9E"/>
    <w:rsid w:val="002447EF"/>
    <w:rsid w:val="00251550"/>
    <w:rsid w:val="002543B5"/>
    <w:rsid w:val="00263350"/>
    <w:rsid w:val="00263B05"/>
    <w:rsid w:val="0027221A"/>
    <w:rsid w:val="00275B61"/>
    <w:rsid w:val="00276DE4"/>
    <w:rsid w:val="00280FAF"/>
    <w:rsid w:val="00282656"/>
    <w:rsid w:val="002871A9"/>
    <w:rsid w:val="00296B83"/>
    <w:rsid w:val="002B4015"/>
    <w:rsid w:val="002B78CE"/>
    <w:rsid w:val="002C2FB6"/>
    <w:rsid w:val="002E5FA7"/>
    <w:rsid w:val="002F3309"/>
    <w:rsid w:val="003008CE"/>
    <w:rsid w:val="003009B7"/>
    <w:rsid w:val="00300E56"/>
    <w:rsid w:val="0030152C"/>
    <w:rsid w:val="003036A5"/>
    <w:rsid w:val="0030469C"/>
    <w:rsid w:val="00321CA6"/>
    <w:rsid w:val="00323763"/>
    <w:rsid w:val="00323C5F"/>
    <w:rsid w:val="00334C09"/>
    <w:rsid w:val="00350E4F"/>
    <w:rsid w:val="003723D4"/>
    <w:rsid w:val="00381905"/>
    <w:rsid w:val="00384CC8"/>
    <w:rsid w:val="003871FD"/>
    <w:rsid w:val="003A1E30"/>
    <w:rsid w:val="003A2829"/>
    <w:rsid w:val="003A6FC6"/>
    <w:rsid w:val="003A7D1C"/>
    <w:rsid w:val="003B304B"/>
    <w:rsid w:val="003B3146"/>
    <w:rsid w:val="003C1CBA"/>
    <w:rsid w:val="003E6F96"/>
    <w:rsid w:val="003F015E"/>
    <w:rsid w:val="00400414"/>
    <w:rsid w:val="0041446B"/>
    <w:rsid w:val="0044071E"/>
    <w:rsid w:val="0044329C"/>
    <w:rsid w:val="004537BE"/>
    <w:rsid w:val="00453E24"/>
    <w:rsid w:val="00457456"/>
    <w:rsid w:val="004577FE"/>
    <w:rsid w:val="00457B9C"/>
    <w:rsid w:val="0046164A"/>
    <w:rsid w:val="004628D2"/>
    <w:rsid w:val="00462DCD"/>
    <w:rsid w:val="004648AD"/>
    <w:rsid w:val="004703A9"/>
    <w:rsid w:val="004760DE"/>
    <w:rsid w:val="004763D7"/>
    <w:rsid w:val="004836BC"/>
    <w:rsid w:val="004A004E"/>
    <w:rsid w:val="004A24CF"/>
    <w:rsid w:val="004B24CA"/>
    <w:rsid w:val="004B7C61"/>
    <w:rsid w:val="004C3D1D"/>
    <w:rsid w:val="004C3D84"/>
    <w:rsid w:val="004C7913"/>
    <w:rsid w:val="004E4DD6"/>
    <w:rsid w:val="004F5E36"/>
    <w:rsid w:val="00507B47"/>
    <w:rsid w:val="00507BEF"/>
    <w:rsid w:val="00507CC9"/>
    <w:rsid w:val="005119A5"/>
    <w:rsid w:val="00516AAC"/>
    <w:rsid w:val="00520605"/>
    <w:rsid w:val="005278B7"/>
    <w:rsid w:val="00532016"/>
    <w:rsid w:val="005346C8"/>
    <w:rsid w:val="00543E7D"/>
    <w:rsid w:val="00547A68"/>
    <w:rsid w:val="005531C9"/>
    <w:rsid w:val="00570C43"/>
    <w:rsid w:val="00575AE4"/>
    <w:rsid w:val="005A47A2"/>
    <w:rsid w:val="005B2110"/>
    <w:rsid w:val="005B61E6"/>
    <w:rsid w:val="005C77E1"/>
    <w:rsid w:val="005D668A"/>
    <w:rsid w:val="005D6A2F"/>
    <w:rsid w:val="005E1A82"/>
    <w:rsid w:val="005E643C"/>
    <w:rsid w:val="005E794C"/>
    <w:rsid w:val="005E7C48"/>
    <w:rsid w:val="005F0A28"/>
    <w:rsid w:val="005F0E5E"/>
    <w:rsid w:val="005F4844"/>
    <w:rsid w:val="00600535"/>
    <w:rsid w:val="00610CD6"/>
    <w:rsid w:val="00620DEE"/>
    <w:rsid w:val="00621F92"/>
    <w:rsid w:val="0062280A"/>
    <w:rsid w:val="00625639"/>
    <w:rsid w:val="00631B33"/>
    <w:rsid w:val="00637AE4"/>
    <w:rsid w:val="0064184D"/>
    <w:rsid w:val="006422CC"/>
    <w:rsid w:val="00660E3E"/>
    <w:rsid w:val="00662E74"/>
    <w:rsid w:val="006738BC"/>
    <w:rsid w:val="00680C23"/>
    <w:rsid w:val="00693766"/>
    <w:rsid w:val="006A3281"/>
    <w:rsid w:val="006B4888"/>
    <w:rsid w:val="006C2E45"/>
    <w:rsid w:val="006C359C"/>
    <w:rsid w:val="006C5579"/>
    <w:rsid w:val="006D6E8B"/>
    <w:rsid w:val="006E507D"/>
    <w:rsid w:val="006E737D"/>
    <w:rsid w:val="0070677A"/>
    <w:rsid w:val="00713973"/>
    <w:rsid w:val="00717B3C"/>
    <w:rsid w:val="00720A24"/>
    <w:rsid w:val="00731604"/>
    <w:rsid w:val="00732386"/>
    <w:rsid w:val="0073514D"/>
    <w:rsid w:val="007447F3"/>
    <w:rsid w:val="0075499F"/>
    <w:rsid w:val="007652F1"/>
    <w:rsid w:val="00765CBB"/>
    <w:rsid w:val="007661C8"/>
    <w:rsid w:val="00767F74"/>
    <w:rsid w:val="0077082A"/>
    <w:rsid w:val="0077098D"/>
    <w:rsid w:val="007931FA"/>
    <w:rsid w:val="0079710B"/>
    <w:rsid w:val="007A0CD9"/>
    <w:rsid w:val="007A427E"/>
    <w:rsid w:val="007A4861"/>
    <w:rsid w:val="007A7BBA"/>
    <w:rsid w:val="007B0C50"/>
    <w:rsid w:val="007B48F9"/>
    <w:rsid w:val="007C1A43"/>
    <w:rsid w:val="007D0951"/>
    <w:rsid w:val="0080013E"/>
    <w:rsid w:val="00813288"/>
    <w:rsid w:val="008168FC"/>
    <w:rsid w:val="00830996"/>
    <w:rsid w:val="008345F1"/>
    <w:rsid w:val="00865B07"/>
    <w:rsid w:val="008667EA"/>
    <w:rsid w:val="008714AB"/>
    <w:rsid w:val="0087637F"/>
    <w:rsid w:val="00880F0F"/>
    <w:rsid w:val="00883636"/>
    <w:rsid w:val="00884D83"/>
    <w:rsid w:val="00892AD5"/>
    <w:rsid w:val="008A1512"/>
    <w:rsid w:val="008B7C03"/>
    <w:rsid w:val="008D32B9"/>
    <w:rsid w:val="008D433B"/>
    <w:rsid w:val="008D4A16"/>
    <w:rsid w:val="008E566E"/>
    <w:rsid w:val="0090161A"/>
    <w:rsid w:val="00901EB6"/>
    <w:rsid w:val="00904C62"/>
    <w:rsid w:val="00922BA8"/>
    <w:rsid w:val="00924DAC"/>
    <w:rsid w:val="00927058"/>
    <w:rsid w:val="009346E6"/>
    <w:rsid w:val="00942750"/>
    <w:rsid w:val="009450CE"/>
    <w:rsid w:val="009459BB"/>
    <w:rsid w:val="00947179"/>
    <w:rsid w:val="0095164B"/>
    <w:rsid w:val="00954090"/>
    <w:rsid w:val="009573E7"/>
    <w:rsid w:val="00963E05"/>
    <w:rsid w:val="00964A45"/>
    <w:rsid w:val="00967843"/>
    <w:rsid w:val="00967D54"/>
    <w:rsid w:val="00971028"/>
    <w:rsid w:val="00992FEC"/>
    <w:rsid w:val="00993B84"/>
    <w:rsid w:val="00996483"/>
    <w:rsid w:val="00996F5A"/>
    <w:rsid w:val="009B041A"/>
    <w:rsid w:val="009C37C3"/>
    <w:rsid w:val="009C7C86"/>
    <w:rsid w:val="009D1A66"/>
    <w:rsid w:val="009D2FF7"/>
    <w:rsid w:val="009E2030"/>
    <w:rsid w:val="009E7884"/>
    <w:rsid w:val="009E788A"/>
    <w:rsid w:val="009F0E08"/>
    <w:rsid w:val="00A023A7"/>
    <w:rsid w:val="00A1763D"/>
    <w:rsid w:val="00A17CEC"/>
    <w:rsid w:val="00A27EF0"/>
    <w:rsid w:val="00A32FF6"/>
    <w:rsid w:val="00A42361"/>
    <w:rsid w:val="00A50B20"/>
    <w:rsid w:val="00A51390"/>
    <w:rsid w:val="00A52B0D"/>
    <w:rsid w:val="00A60D13"/>
    <w:rsid w:val="00A7223D"/>
    <w:rsid w:val="00A72745"/>
    <w:rsid w:val="00A76EFC"/>
    <w:rsid w:val="00A87D50"/>
    <w:rsid w:val="00A91010"/>
    <w:rsid w:val="00A97F29"/>
    <w:rsid w:val="00AA702E"/>
    <w:rsid w:val="00AA7D26"/>
    <w:rsid w:val="00AB0964"/>
    <w:rsid w:val="00AB5011"/>
    <w:rsid w:val="00AC6B68"/>
    <w:rsid w:val="00AC7368"/>
    <w:rsid w:val="00AD16B9"/>
    <w:rsid w:val="00AE377D"/>
    <w:rsid w:val="00AF0EBA"/>
    <w:rsid w:val="00B02C8A"/>
    <w:rsid w:val="00B17FBD"/>
    <w:rsid w:val="00B315A6"/>
    <w:rsid w:val="00B31813"/>
    <w:rsid w:val="00B33365"/>
    <w:rsid w:val="00B526D7"/>
    <w:rsid w:val="00B541AF"/>
    <w:rsid w:val="00B57B36"/>
    <w:rsid w:val="00B57E6F"/>
    <w:rsid w:val="00B67AF5"/>
    <w:rsid w:val="00B83407"/>
    <w:rsid w:val="00B8686D"/>
    <w:rsid w:val="00B874F6"/>
    <w:rsid w:val="00B93F69"/>
    <w:rsid w:val="00BA15FB"/>
    <w:rsid w:val="00BB1DDC"/>
    <w:rsid w:val="00BB250A"/>
    <w:rsid w:val="00BC30C9"/>
    <w:rsid w:val="00BD077D"/>
    <w:rsid w:val="00BD6FE2"/>
    <w:rsid w:val="00BE3E58"/>
    <w:rsid w:val="00C01616"/>
    <w:rsid w:val="00C0162B"/>
    <w:rsid w:val="00C068ED"/>
    <w:rsid w:val="00C16272"/>
    <w:rsid w:val="00C22E0C"/>
    <w:rsid w:val="00C345B1"/>
    <w:rsid w:val="00C40142"/>
    <w:rsid w:val="00C52C3C"/>
    <w:rsid w:val="00C57182"/>
    <w:rsid w:val="00C57863"/>
    <w:rsid w:val="00C640AF"/>
    <w:rsid w:val="00C655FD"/>
    <w:rsid w:val="00C74037"/>
    <w:rsid w:val="00C75407"/>
    <w:rsid w:val="00C870A8"/>
    <w:rsid w:val="00C94434"/>
    <w:rsid w:val="00CA0D4A"/>
    <w:rsid w:val="00CA0D75"/>
    <w:rsid w:val="00CA1C95"/>
    <w:rsid w:val="00CA5A9C"/>
    <w:rsid w:val="00CC2E2C"/>
    <w:rsid w:val="00CC4C20"/>
    <w:rsid w:val="00CD3517"/>
    <w:rsid w:val="00CD5FE2"/>
    <w:rsid w:val="00CE3C20"/>
    <w:rsid w:val="00CE7C68"/>
    <w:rsid w:val="00D02B4C"/>
    <w:rsid w:val="00D040C4"/>
    <w:rsid w:val="00D165A6"/>
    <w:rsid w:val="00D20AD1"/>
    <w:rsid w:val="00D46B7E"/>
    <w:rsid w:val="00D476AF"/>
    <w:rsid w:val="00D4786C"/>
    <w:rsid w:val="00D50A4B"/>
    <w:rsid w:val="00D57C84"/>
    <w:rsid w:val="00D6057D"/>
    <w:rsid w:val="00D648EC"/>
    <w:rsid w:val="00D71640"/>
    <w:rsid w:val="00D73768"/>
    <w:rsid w:val="00D836C5"/>
    <w:rsid w:val="00D84576"/>
    <w:rsid w:val="00DA1399"/>
    <w:rsid w:val="00DA24C6"/>
    <w:rsid w:val="00DA398A"/>
    <w:rsid w:val="00DA4A93"/>
    <w:rsid w:val="00DA4D7B"/>
    <w:rsid w:val="00DA5C16"/>
    <w:rsid w:val="00DD271C"/>
    <w:rsid w:val="00DD77C9"/>
    <w:rsid w:val="00DE264A"/>
    <w:rsid w:val="00DF1A41"/>
    <w:rsid w:val="00DF4179"/>
    <w:rsid w:val="00DF5072"/>
    <w:rsid w:val="00E02D18"/>
    <w:rsid w:val="00E03D3F"/>
    <w:rsid w:val="00E041E7"/>
    <w:rsid w:val="00E04939"/>
    <w:rsid w:val="00E10D1C"/>
    <w:rsid w:val="00E17BEF"/>
    <w:rsid w:val="00E23CA1"/>
    <w:rsid w:val="00E33DD7"/>
    <w:rsid w:val="00E409A8"/>
    <w:rsid w:val="00E50C12"/>
    <w:rsid w:val="00E53E25"/>
    <w:rsid w:val="00E65B91"/>
    <w:rsid w:val="00E7209D"/>
    <w:rsid w:val="00E72EAD"/>
    <w:rsid w:val="00E77223"/>
    <w:rsid w:val="00E8528B"/>
    <w:rsid w:val="00E85B73"/>
    <w:rsid w:val="00E85B94"/>
    <w:rsid w:val="00E978D0"/>
    <w:rsid w:val="00EA4613"/>
    <w:rsid w:val="00EA7F91"/>
    <w:rsid w:val="00EB1523"/>
    <w:rsid w:val="00EC0E49"/>
    <w:rsid w:val="00EC101F"/>
    <w:rsid w:val="00EC1D9F"/>
    <w:rsid w:val="00EE0131"/>
    <w:rsid w:val="00EE17B0"/>
    <w:rsid w:val="00EF06D9"/>
    <w:rsid w:val="00EF7061"/>
    <w:rsid w:val="00F06A0C"/>
    <w:rsid w:val="00F22890"/>
    <w:rsid w:val="00F3049E"/>
    <w:rsid w:val="00F30C64"/>
    <w:rsid w:val="00F32BA2"/>
    <w:rsid w:val="00F32CDB"/>
    <w:rsid w:val="00F565FE"/>
    <w:rsid w:val="00F63A70"/>
    <w:rsid w:val="00F63D8C"/>
    <w:rsid w:val="00F7534E"/>
    <w:rsid w:val="00F9261C"/>
    <w:rsid w:val="00F93EDF"/>
    <w:rsid w:val="00FA1802"/>
    <w:rsid w:val="00FA21D0"/>
    <w:rsid w:val="00FA3BFB"/>
    <w:rsid w:val="00FA5F5F"/>
    <w:rsid w:val="00FB730C"/>
    <w:rsid w:val="00FC2695"/>
    <w:rsid w:val="00FC3E03"/>
    <w:rsid w:val="00FC3FC1"/>
    <w:rsid w:val="00FD2E4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280FAF"/>
    <w:pPr>
      <w:ind w:left="720"/>
      <w:contextualSpacing/>
    </w:pPr>
  </w:style>
  <w:style w:type="character" w:styleId="UnresolvedMention">
    <w:name w:val="Unresolved Mention"/>
    <w:basedOn w:val="DefaultParagraphFont"/>
    <w:uiPriority w:val="99"/>
    <w:semiHidden/>
    <w:unhideWhenUsed/>
    <w:rsid w:val="008714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nictreasure@gmail.com"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mailto:francis.olanrewaju@cleanburnersystems.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3151</Words>
  <Characters>17961</Characters>
  <Application>Microsoft Office Word</Application>
  <DocSecurity>0</DocSecurity>
  <Lines>149</Lines>
  <Paragraphs>42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Francis Omotola Olanrewaju</cp:lastModifiedBy>
  <cp:revision>7</cp:revision>
  <cp:lastPrinted>2015-05-12T18:31:00Z</cp:lastPrinted>
  <dcterms:created xsi:type="dcterms:W3CDTF">2023-05-30T11:02:00Z</dcterms:created>
  <dcterms:modified xsi:type="dcterms:W3CDTF">2023-06-14T11:39:00Z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