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B300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40162763"/>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AB300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AB300E">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 xml:space="preserve">Guest </w:t>
            </w:r>
            <w:proofErr w:type="spellStart"/>
            <w:r w:rsidRPr="003A6FC6">
              <w:rPr>
                <w:rFonts w:ascii="Tahoma" w:hAnsi="Tahoma" w:cs="Tahoma"/>
                <w:iCs/>
                <w:color w:val="333333"/>
                <w:sz w:val="14"/>
                <w:szCs w:val="14"/>
                <w:lang w:val="it-IT" w:eastAsia="it-IT"/>
              </w:rPr>
              <w:t>Editors</w:t>
            </w:r>
            <w:proofErr w:type="spellEnd"/>
            <w:r w:rsidRPr="003A6FC6">
              <w:rPr>
                <w:rFonts w:ascii="Tahoma" w:hAnsi="Tahoma" w:cs="Tahoma"/>
                <w:iCs/>
                <w:color w:val="333333"/>
                <w:sz w:val="14"/>
                <w:szCs w:val="14"/>
                <w:lang w:val="it-IT" w:eastAsia="it-IT"/>
              </w:rPr>
              <w:t>:</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 xml:space="preserve">David </w:t>
            </w:r>
            <w:proofErr w:type="spellStart"/>
            <w:r w:rsidR="005E7C48" w:rsidRPr="005E7C48">
              <w:rPr>
                <w:sz w:val="14"/>
                <w:szCs w:val="14"/>
                <w:lang w:val="it-IT"/>
              </w:rPr>
              <w:t>Bogle</w:t>
            </w:r>
            <w:proofErr w:type="spellEnd"/>
            <w:r w:rsidR="005E7C48" w:rsidRPr="005E7C48">
              <w:rPr>
                <w:sz w:val="14"/>
                <w:szCs w:val="14"/>
                <w:lang w:val="it-IT"/>
              </w:rPr>
              <w:t>,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2BB9D5C" w:rsidR="00E978D0" w:rsidRPr="00B57B36" w:rsidRDefault="00AB300E" w:rsidP="00E978D0">
      <w:pPr>
        <w:pStyle w:val="CETTitle"/>
      </w:pPr>
      <w:r w:rsidRPr="00AB300E">
        <w:t>Stability of Diethyl Carbonate in the presence of acidic and basic solvents</w:t>
      </w:r>
    </w:p>
    <w:p w14:paraId="0488FED2" w14:textId="2BDF9992" w:rsidR="00B57E6F" w:rsidRPr="00B57B36" w:rsidRDefault="00AB300E" w:rsidP="00B57E6F">
      <w:pPr>
        <w:pStyle w:val="CETAuthors"/>
      </w:pPr>
      <w:r>
        <w:t>Kouessan Aziaba</w:t>
      </w:r>
      <w:r w:rsidR="00B57E6F" w:rsidRPr="00B57B36">
        <w:rPr>
          <w:vertAlign w:val="superscript"/>
        </w:rPr>
        <w:t>a</w:t>
      </w:r>
      <w:r>
        <w:rPr>
          <w:vertAlign w:val="superscript"/>
        </w:rPr>
        <w:t>,</w:t>
      </w:r>
      <w:r w:rsidRPr="00B57B36">
        <w:t>*</w:t>
      </w:r>
      <w:r w:rsidR="00B57E6F" w:rsidRPr="00B57B36">
        <w:t>,</w:t>
      </w:r>
      <w:r>
        <w:t xml:space="preserve"> Florian M. Mo</w:t>
      </w:r>
      <w:r w:rsidRPr="00AB300E">
        <w:t>ž</w:t>
      </w:r>
      <w:r>
        <w:t>ina</w:t>
      </w:r>
      <w:r w:rsidRPr="00B57B36">
        <w:rPr>
          <w:vertAlign w:val="superscript"/>
        </w:rPr>
        <w:t>a</w:t>
      </w:r>
      <w:r w:rsidRPr="00B57B36">
        <w:t>,</w:t>
      </w:r>
      <w:r w:rsidR="00B57E6F" w:rsidRPr="00B57B36">
        <w:t xml:space="preserve"> </w:t>
      </w:r>
      <w:r>
        <w:t>Magdalena Teufner-Kabas</w:t>
      </w:r>
      <w:r w:rsidR="00B57E6F" w:rsidRPr="00B57B36">
        <w:rPr>
          <w:vertAlign w:val="superscript"/>
        </w:rPr>
        <w:t>b</w:t>
      </w:r>
      <w:r w:rsidR="00B57E6F" w:rsidRPr="00B57B36">
        <w:t>,</w:t>
      </w:r>
      <w:r w:rsidRPr="00B57B36">
        <w:t xml:space="preserve"> </w:t>
      </w:r>
      <w:r>
        <w:t>Florian Kabas</w:t>
      </w:r>
      <w:r w:rsidRPr="00B57B36">
        <w:rPr>
          <w:vertAlign w:val="superscript"/>
        </w:rPr>
        <w:t>b</w:t>
      </w:r>
      <w:r w:rsidRPr="00B57B36">
        <w:t>,</w:t>
      </w:r>
      <w:r w:rsidR="00B57E6F" w:rsidRPr="00B57B36">
        <w:t xml:space="preserve"> </w:t>
      </w:r>
      <w:r>
        <w:t>Christian Jordan</w:t>
      </w:r>
      <w:r w:rsidRPr="00B57B36">
        <w:rPr>
          <w:vertAlign w:val="superscript"/>
        </w:rPr>
        <w:t>a</w:t>
      </w:r>
      <w:r w:rsidRPr="00B57B36">
        <w:t>,</w:t>
      </w:r>
      <w:r>
        <w:t xml:space="preserve"> Michael Harasek</w:t>
      </w:r>
      <w:r w:rsidRPr="00B57B36">
        <w:rPr>
          <w:vertAlign w:val="superscript"/>
        </w:rPr>
        <w:t>a</w:t>
      </w:r>
      <w:r w:rsidRPr="00B57B36">
        <w:t>,</w:t>
      </w:r>
    </w:p>
    <w:p w14:paraId="056ED7B6" w14:textId="085612B9" w:rsidR="00AB300E" w:rsidRPr="00B57B36" w:rsidRDefault="00B57E6F" w:rsidP="00AB300E">
      <w:pPr>
        <w:pStyle w:val="CETAddress"/>
      </w:pPr>
      <w:r w:rsidRPr="00B57B36">
        <w:rPr>
          <w:vertAlign w:val="superscript"/>
        </w:rPr>
        <w:t>a</w:t>
      </w:r>
      <w:r w:rsidR="00AB300E" w:rsidRPr="00AB300E">
        <w:t xml:space="preserve"> </w:t>
      </w:r>
      <w:r w:rsidR="00AB300E" w:rsidRPr="005936E2">
        <w:t>Thermal Process Engineering - Computational Fluid Dynamics, Institute of Chemical, Environmental &amp; Bioscience Engineering, TU Wien, Getreidemarkt 9, 1060 Vienna, Austria</w:t>
      </w:r>
    </w:p>
    <w:p w14:paraId="3D72B0B0" w14:textId="3DBDEB56" w:rsidR="00B57E6F" w:rsidRPr="00F61190" w:rsidRDefault="00B57E6F" w:rsidP="00B57E6F">
      <w:pPr>
        <w:pStyle w:val="CETAddress"/>
      </w:pPr>
      <w:r w:rsidRPr="00F61190">
        <w:rPr>
          <w:vertAlign w:val="superscript"/>
        </w:rPr>
        <w:t>b</w:t>
      </w:r>
      <w:r w:rsidR="00AB300E" w:rsidRPr="00F61190">
        <w:t>kleinkraft OG, Turnergasse 27/5, 1150 Vienna, Austria</w:t>
      </w:r>
    </w:p>
    <w:p w14:paraId="5EAEF9F1" w14:textId="78C4705F" w:rsidR="000A13A9" w:rsidRDefault="00B57E6F" w:rsidP="000A13A9">
      <w:pPr>
        <w:pStyle w:val="CETemail"/>
      </w:pPr>
      <w:r w:rsidRPr="00F61190">
        <w:t xml:space="preserve"> </w:t>
      </w:r>
      <w:r w:rsidR="00AB300E">
        <w:t>kouessan.aziaba</w:t>
      </w:r>
      <w:r w:rsidRPr="00B57B36">
        <w:t>@</w:t>
      </w:r>
      <w:r w:rsidR="00AB300E">
        <w:t>tuwien.ac.at</w:t>
      </w:r>
      <w:r w:rsidRPr="00B57B36">
        <w:t xml:space="preserve"> </w:t>
      </w:r>
      <w:bookmarkStart w:id="1" w:name="_Hlk495475023"/>
    </w:p>
    <w:p w14:paraId="4E37A58F" w14:textId="6389580E" w:rsidR="00643D63" w:rsidRPr="00643D63" w:rsidRDefault="00643D63" w:rsidP="00643D63">
      <w:pPr>
        <w:pStyle w:val="CETBodytext"/>
        <w:rPr>
          <w:lang w:val="en-GB"/>
        </w:rPr>
      </w:pPr>
      <w:r w:rsidRPr="00643D63">
        <w:rPr>
          <w:lang w:val="en-GB"/>
        </w:rPr>
        <w:t>Reducing carbon dioxide</w:t>
      </w:r>
      <w:r w:rsidR="000A46AD">
        <w:rPr>
          <w:lang w:val="en-GB"/>
        </w:rPr>
        <w:t xml:space="preserve"> (CO</w:t>
      </w:r>
      <w:r w:rsidR="000A46AD">
        <w:rPr>
          <w:vertAlign w:val="subscript"/>
          <w:lang w:val="en-GB"/>
        </w:rPr>
        <w:t>2</w:t>
      </w:r>
      <w:r w:rsidR="000A46AD">
        <w:rPr>
          <w:lang w:val="en-GB"/>
        </w:rPr>
        <w:t>)</w:t>
      </w:r>
      <w:r w:rsidRPr="00643D63">
        <w:rPr>
          <w:lang w:val="en-GB"/>
        </w:rPr>
        <w:t xml:space="preserve"> emissions is an inevitable measure </w:t>
      </w:r>
      <w:r w:rsidR="005B06E9">
        <w:rPr>
          <w:lang w:val="en-GB"/>
        </w:rPr>
        <w:t>for</w:t>
      </w:r>
      <w:r w:rsidRPr="00643D63">
        <w:rPr>
          <w:lang w:val="en-GB"/>
        </w:rPr>
        <w:t xml:space="preserve"> fighting anthropogenic climate change. Carbon Capture and Utilization (CCU) technologies are gaining rising attention as an additional contributor to reaching the Paris </w:t>
      </w:r>
      <w:r w:rsidR="005B06E9">
        <w:rPr>
          <w:lang w:val="en-GB"/>
        </w:rPr>
        <w:t>A</w:t>
      </w:r>
      <w:r w:rsidRPr="00643D63">
        <w:rPr>
          <w:lang w:val="en-GB"/>
        </w:rPr>
        <w:t xml:space="preserve">greement goals. </w:t>
      </w:r>
      <w:r w:rsidR="005B06E9">
        <w:rPr>
          <w:lang w:val="en-GB"/>
        </w:rPr>
        <w:t>G</w:t>
      </w:r>
      <w:r w:rsidRPr="00643D63">
        <w:rPr>
          <w:lang w:val="en-GB"/>
        </w:rPr>
        <w:t>iving CO</w:t>
      </w:r>
      <w:r w:rsidRPr="00643D63">
        <w:rPr>
          <w:vertAlign w:val="subscript"/>
          <w:lang w:val="en-GB"/>
        </w:rPr>
        <w:t>2</w:t>
      </w:r>
      <w:r w:rsidRPr="00643D63">
        <w:rPr>
          <w:lang w:val="en-GB"/>
        </w:rPr>
        <w:t xml:space="preserve"> a value as a feedstock to be refined into chemicals to be used in industry is a crucial aspect </w:t>
      </w:r>
      <w:r w:rsidR="005B06E9">
        <w:rPr>
          <w:lang w:val="en-GB"/>
        </w:rPr>
        <w:t xml:space="preserve">of </w:t>
      </w:r>
      <w:r w:rsidRPr="00643D63">
        <w:rPr>
          <w:lang w:val="en-GB"/>
        </w:rPr>
        <w:t>making these technologies interesting for vast industri</w:t>
      </w:r>
      <w:r w:rsidR="00E034FF">
        <w:rPr>
          <w:lang w:val="en-GB"/>
        </w:rPr>
        <w:t>al sectors</w:t>
      </w:r>
      <w:r w:rsidRPr="00643D63">
        <w:rPr>
          <w:lang w:val="en-GB"/>
        </w:rPr>
        <w:t>. The synthesis of diethyl carbonate (DEC) is recogni</w:t>
      </w:r>
      <w:r w:rsidR="00E034FF">
        <w:rPr>
          <w:lang w:val="en-GB"/>
        </w:rPr>
        <w:t>z</w:t>
      </w:r>
      <w:r w:rsidRPr="00643D63">
        <w:rPr>
          <w:lang w:val="en-GB"/>
        </w:rPr>
        <w:t>ed as a promising prospect for the successful implementation of CCU. DEC is considered a fully biodegradable, low-toxic solvent, which can be synthesi</w:t>
      </w:r>
      <w:r w:rsidR="00E034FF">
        <w:rPr>
          <w:lang w:val="en-GB"/>
        </w:rPr>
        <w:t>z</w:t>
      </w:r>
      <w:r w:rsidRPr="00643D63">
        <w:rPr>
          <w:lang w:val="en-GB"/>
        </w:rPr>
        <w:t>ed from CO</w:t>
      </w:r>
      <w:r w:rsidRPr="005B06E9">
        <w:rPr>
          <w:vertAlign w:val="subscript"/>
          <w:lang w:val="en-GB"/>
        </w:rPr>
        <w:t>2</w:t>
      </w:r>
      <w:r w:rsidRPr="00643D63">
        <w:rPr>
          <w:lang w:val="en-GB"/>
        </w:rPr>
        <w:t xml:space="preserve"> and ethanol in the presence of a catalyst. DEC may be </w:t>
      </w:r>
      <w:r w:rsidR="00E034FF">
        <w:rPr>
          <w:lang w:val="en-GB"/>
        </w:rPr>
        <w:t>a</w:t>
      </w:r>
      <w:r w:rsidRPr="00643D63">
        <w:rPr>
          <w:lang w:val="en-GB"/>
        </w:rPr>
        <w:t xml:space="preserve"> non-toxic alternative to other solvents such as toluene or methyl isobutyl ketone</w:t>
      </w:r>
      <w:r w:rsidR="000A46AD">
        <w:rPr>
          <w:lang w:val="en-GB"/>
        </w:rPr>
        <w:t xml:space="preserve"> (MIBK)</w:t>
      </w:r>
      <w:r w:rsidRPr="00643D63">
        <w:rPr>
          <w:lang w:val="en-GB"/>
        </w:rPr>
        <w:t>.</w:t>
      </w:r>
    </w:p>
    <w:p w14:paraId="47D74706" w14:textId="77777777" w:rsidR="00643D63" w:rsidRPr="00643D63" w:rsidRDefault="00643D63" w:rsidP="00643D63">
      <w:pPr>
        <w:pStyle w:val="CETBodytext"/>
        <w:rPr>
          <w:lang w:val="en-GB"/>
        </w:rPr>
      </w:pPr>
    </w:p>
    <w:p w14:paraId="2317D7E3" w14:textId="25ECECF6" w:rsidR="000A13A9" w:rsidRPr="00EE1093" w:rsidRDefault="00643D63" w:rsidP="00643D63">
      <w:pPr>
        <w:pStyle w:val="CETBodytext"/>
      </w:pPr>
      <w:r w:rsidRPr="00643D63">
        <w:rPr>
          <w:lang w:val="en-GB"/>
        </w:rPr>
        <w:t>The optimi</w:t>
      </w:r>
      <w:r w:rsidR="00E034FF">
        <w:rPr>
          <w:lang w:val="en-GB"/>
        </w:rPr>
        <w:t>z</w:t>
      </w:r>
      <w:r w:rsidRPr="00643D63">
        <w:rPr>
          <w:lang w:val="en-GB"/>
        </w:rPr>
        <w:t>ation of DEC synthesis is one aspect that is under investigation today. For the exploration of DEC</w:t>
      </w:r>
      <w:r w:rsidR="00792327">
        <w:rPr>
          <w:lang w:val="en-GB"/>
        </w:rPr>
        <w:t>'</w:t>
      </w:r>
      <w:r w:rsidRPr="00643D63">
        <w:rPr>
          <w:lang w:val="en-GB"/>
        </w:rPr>
        <w:t>s applicability, an extensive amount of data is beneficial. Many applications of solvents involve the presence of acids and bases. Hence, an interest in DEC in various environments is reasonable. The decomposition of DEC after contact with water, different acids and bases at room temperature, and the boiling point was determined experimentally to characteri</w:t>
      </w:r>
      <w:r w:rsidR="00E034FF">
        <w:rPr>
          <w:lang w:val="en-GB"/>
        </w:rPr>
        <w:t>z</w:t>
      </w:r>
      <w:r w:rsidRPr="00643D63">
        <w:rPr>
          <w:lang w:val="en-GB"/>
        </w:rPr>
        <w:t xml:space="preserve">e </w:t>
      </w:r>
      <w:r w:rsidRPr="00EE1093">
        <w:t xml:space="preserve">chemical stability. Further, the influence of sodium chloride and a cerium-based catalyst used in DEC synthesis was investigated. </w:t>
      </w:r>
    </w:p>
    <w:p w14:paraId="1AE0AE13" w14:textId="77777777" w:rsidR="00643D63" w:rsidRPr="000A13A9" w:rsidRDefault="00643D63" w:rsidP="00643D63">
      <w:pPr>
        <w:pStyle w:val="CETBodytext"/>
        <w:rPr>
          <w:lang w:val="en-GB"/>
        </w:rPr>
      </w:pPr>
    </w:p>
    <w:bookmarkEnd w:id="1"/>
    <w:p w14:paraId="476B2F2E" w14:textId="77777777" w:rsidR="00600535" w:rsidRPr="00B57B36" w:rsidRDefault="00600535" w:rsidP="00600535">
      <w:pPr>
        <w:pStyle w:val="CETHeading1"/>
        <w:rPr>
          <w:lang w:val="en-GB"/>
        </w:rPr>
      </w:pPr>
      <w:r w:rsidRPr="00B57B36">
        <w:rPr>
          <w:lang w:val="en-GB"/>
        </w:rPr>
        <w:t>Introduction</w:t>
      </w:r>
    </w:p>
    <w:p w14:paraId="631F7029" w14:textId="47F76C35" w:rsidR="00726ADD" w:rsidRDefault="00FF1778" w:rsidP="00636DB0">
      <w:pPr>
        <w:pStyle w:val="CETBodytext"/>
      </w:pPr>
      <w:r>
        <w:t>The application of CO</w:t>
      </w:r>
      <w:r w:rsidRPr="00FF1778">
        <w:rPr>
          <w:vertAlign w:val="subscript"/>
        </w:rPr>
        <w:t>2</w:t>
      </w:r>
      <w:r>
        <w:t>-refinery process</w:t>
      </w:r>
      <w:r w:rsidR="00531A67">
        <w:t>es</w:t>
      </w:r>
      <w:r>
        <w:t xml:space="preserve"> is considered an </w:t>
      </w:r>
      <w:r w:rsidR="00E034FF">
        <w:t>essential</w:t>
      </w:r>
      <w:r>
        <w:t xml:space="preserve"> contribution towards more sustainable </w:t>
      </w:r>
      <w:r w:rsidR="00E034FF">
        <w:t>strategi</w:t>
      </w:r>
      <w:r>
        <w:t xml:space="preserve">es in the chemical industry. </w:t>
      </w:r>
      <w:r w:rsidR="0049142B">
        <w:t>As a part of CO</w:t>
      </w:r>
      <w:r w:rsidR="0049142B" w:rsidRPr="00925397">
        <w:rPr>
          <w:vertAlign w:val="subscript"/>
        </w:rPr>
        <w:t>2</w:t>
      </w:r>
      <w:r w:rsidR="0049142B">
        <w:t>-refinery, CCU</w:t>
      </w:r>
      <w:r w:rsidR="0023613A" w:rsidRPr="0023613A">
        <w:t xml:space="preserve"> </w:t>
      </w:r>
      <w:r>
        <w:t>re-introduces</w:t>
      </w:r>
      <w:r w:rsidR="0023613A">
        <w:t xml:space="preserve"> </w:t>
      </w:r>
      <w:r w:rsidR="0023613A" w:rsidRPr="0023613A">
        <w:t>carbon</w:t>
      </w:r>
      <w:r>
        <w:t xml:space="preserve"> dioxide</w:t>
      </w:r>
      <w:r w:rsidR="0023613A" w:rsidRPr="0023613A">
        <w:t xml:space="preserve"> back in</w:t>
      </w:r>
      <w:r>
        <w:t>to</w:t>
      </w:r>
      <w:r w:rsidR="0023613A" w:rsidRPr="0023613A">
        <w:t xml:space="preserve"> industrial cycles and is </w:t>
      </w:r>
      <w:r w:rsidR="00E034FF">
        <w:t>regarded as</w:t>
      </w:r>
      <w:r w:rsidR="0023613A" w:rsidRPr="0023613A">
        <w:t xml:space="preserve"> </w:t>
      </w:r>
      <w:r>
        <w:t>a</w:t>
      </w:r>
      <w:r w:rsidR="0023613A" w:rsidRPr="0023613A">
        <w:t xml:space="preserve"> promising tool in fighting anthropogenic climate change</w:t>
      </w:r>
      <w:r w:rsidR="00E034FF">
        <w:t>.</w:t>
      </w:r>
      <w:r w:rsidR="001F10A5">
        <w:t xml:space="preserve"> The direct synthesis of DEC is considered to be a promising </w:t>
      </w:r>
      <w:r w:rsidR="00726ADD">
        <w:t>product of</w:t>
      </w:r>
      <w:r w:rsidR="001F10A5">
        <w:t xml:space="preserve"> such an application which uses CO</w:t>
      </w:r>
      <w:r w:rsidR="001F10A5">
        <w:rPr>
          <w:vertAlign w:val="subscript"/>
        </w:rPr>
        <w:t>2</w:t>
      </w:r>
      <w:r w:rsidR="001F10A5">
        <w:t xml:space="preserve"> as a feedstock.</w:t>
      </w:r>
      <w:r w:rsidR="00E8281B">
        <w:t xml:space="preserve"> </w:t>
      </w:r>
      <w:r w:rsidR="00726ADD">
        <w:t>Another commonly positively perceived property of the reaction is the fact that the side product is water. The reaction of the direct synthesis of DEC is portrayed in equation 1.</w:t>
      </w:r>
    </w:p>
    <w:p w14:paraId="3305D723" w14:textId="2D4595C6" w:rsidR="00726ADD" w:rsidRPr="00726ADD" w:rsidRDefault="00726ADD" w:rsidP="00636DB0">
      <w:pPr>
        <w:pStyle w:val="CETBodytext"/>
      </w:pPr>
    </w:p>
    <w:tbl>
      <w:tblPr>
        <w:tblW w:w="5000" w:type="pct"/>
        <w:tblLook w:val="04A0" w:firstRow="1" w:lastRow="0" w:firstColumn="1" w:lastColumn="0" w:noHBand="0" w:noVBand="1"/>
      </w:tblPr>
      <w:tblGrid>
        <w:gridCol w:w="7983"/>
        <w:gridCol w:w="804"/>
      </w:tblGrid>
      <w:tr w:rsidR="00726ADD" w:rsidRPr="001041E1" w14:paraId="6C6FD456" w14:textId="77777777" w:rsidTr="00FD10E7">
        <w:tc>
          <w:tcPr>
            <w:tcW w:w="8188" w:type="dxa"/>
            <w:vAlign w:val="center"/>
            <w:hideMark/>
          </w:tcPr>
          <w:p w14:paraId="07B13578" w14:textId="1EF85F0D" w:rsidR="00726ADD" w:rsidRPr="001041E1" w:rsidRDefault="00CC35E4" w:rsidP="00FD10E7">
            <w:pPr>
              <w:pStyle w:val="CETEquation"/>
            </w:pPr>
            <m:oMathPara>
              <m:oMathParaPr>
                <m:jc m:val="left"/>
              </m:oMathParaPr>
              <m:oMath>
                <m:sSub>
                  <m:sSubPr>
                    <m:ctrlPr>
                      <w:rPr>
                        <w:rFonts w:ascii="Cambria Math" w:hAnsi="Cambria Math"/>
                        <w:i/>
                        <w:lang w:val="en-US"/>
                      </w:rPr>
                    </m:ctrlPr>
                  </m:sSubPr>
                  <m:e>
                    <m:r>
                      <w:rPr>
                        <w:rFonts w:ascii="Cambria Math" w:hAnsi="Cambria Math"/>
                      </w:rPr>
                      <m:t>C</m:t>
                    </m:r>
                  </m:e>
                  <m:sub>
                    <m:r>
                      <w:rPr>
                        <w:rFonts w:ascii="Cambria Math" w:hAnsi="Cambria Math"/>
                      </w:rPr>
                      <m:t>2</m:t>
                    </m:r>
                  </m:sub>
                </m:sSub>
                <m:sSub>
                  <m:sSubPr>
                    <m:ctrlPr>
                      <w:rPr>
                        <w:rFonts w:ascii="Cambria Math" w:hAnsi="Cambria Math"/>
                        <w:i/>
                        <w:lang w:val="en-US"/>
                      </w:rPr>
                    </m:ctrlPr>
                  </m:sSubPr>
                  <m:e>
                    <m:r>
                      <w:rPr>
                        <w:rFonts w:ascii="Cambria Math" w:hAnsi="Cambria Math"/>
                      </w:rPr>
                      <m:t>H</m:t>
                    </m:r>
                  </m:e>
                  <m:sub>
                    <m:r>
                      <w:rPr>
                        <w:rFonts w:ascii="Cambria Math" w:hAnsi="Cambria Math"/>
                      </w:rPr>
                      <m:t>5</m:t>
                    </m:r>
                  </m:sub>
                </m:sSub>
                <m:r>
                  <w:rPr>
                    <w:rFonts w:ascii="Cambria Math" w:hAnsi="Cambria Math"/>
                  </w:rPr>
                  <m:t>OH+C</m:t>
                </m:r>
                <m:sSub>
                  <m:sSubPr>
                    <m:ctrlPr>
                      <w:rPr>
                        <w:rFonts w:ascii="Cambria Math" w:hAnsi="Cambria Math"/>
                        <w:i/>
                        <w:lang w:val="en-US"/>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rPr>
                      <m:t>C</m:t>
                    </m:r>
                  </m:e>
                  <m:sub>
                    <m:r>
                      <w:rPr>
                        <w:rFonts w:ascii="Cambria Math" w:hAnsi="Cambria Math"/>
                      </w:rPr>
                      <m:t>5</m:t>
                    </m:r>
                  </m:sub>
                </m:sSub>
                <m:sSub>
                  <m:sSubPr>
                    <m:ctrlPr>
                      <w:rPr>
                        <w:rFonts w:ascii="Cambria Math" w:hAnsi="Cambria Math"/>
                        <w:i/>
                        <w:lang w:val="en-US"/>
                      </w:rPr>
                    </m:ctrlPr>
                  </m:sSubPr>
                  <m:e>
                    <m:r>
                      <w:rPr>
                        <w:rFonts w:ascii="Cambria Math" w:hAnsi="Cambria Math"/>
                      </w:rPr>
                      <m:t>H</m:t>
                    </m:r>
                  </m:e>
                  <m:sub>
                    <m:r>
                      <w:rPr>
                        <w:rFonts w:ascii="Cambria Math" w:hAnsi="Cambria Math"/>
                      </w:rPr>
                      <m:t>10</m:t>
                    </m:r>
                  </m:sub>
                </m:sSub>
                <m:sSub>
                  <m:sSubPr>
                    <m:ctrlPr>
                      <w:rPr>
                        <w:rFonts w:ascii="Cambria Math" w:hAnsi="Cambria Math"/>
                        <w:i/>
                        <w:lang w:val="en-US"/>
                      </w:rPr>
                    </m:ctrlPr>
                  </m:sSubPr>
                  <m:e>
                    <m:r>
                      <w:rPr>
                        <w:rFonts w:ascii="Cambria Math" w:hAnsi="Cambria Math"/>
                      </w:rPr>
                      <m:t>O</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815" w:type="dxa"/>
            <w:vAlign w:val="center"/>
            <w:hideMark/>
          </w:tcPr>
          <w:p w14:paraId="345CEFFF" w14:textId="492197C9" w:rsidR="00726ADD" w:rsidRPr="001041E1" w:rsidRDefault="00726ADD" w:rsidP="00FD10E7">
            <w:pPr>
              <w:pStyle w:val="CETEquation"/>
            </w:pPr>
            <w:r w:rsidRPr="001041E1">
              <w:t>(</w:t>
            </w:r>
            <w:r>
              <w:t>1</w:t>
            </w:r>
            <w:r w:rsidRPr="001041E1">
              <w:t>)</w:t>
            </w:r>
          </w:p>
        </w:tc>
      </w:tr>
    </w:tbl>
    <w:p w14:paraId="64936E6D" w14:textId="77777777" w:rsidR="00726ADD" w:rsidRDefault="00726ADD" w:rsidP="00636DB0">
      <w:pPr>
        <w:pStyle w:val="CETBodytext"/>
      </w:pPr>
    </w:p>
    <w:p w14:paraId="34939A75" w14:textId="199121B2" w:rsidR="00636DB0" w:rsidRDefault="00E8281B" w:rsidP="00636DB0">
      <w:pPr>
        <w:pStyle w:val="CETBodytext"/>
      </w:pPr>
      <w:r>
        <w:t>DEC is currently used in lithium-ion batteries, organic synthesis and extraction procedures and has also been used in combustion engines</w:t>
      </w:r>
      <w:r w:rsidR="0049142B">
        <w:t>,</w:t>
      </w:r>
      <w:r>
        <w:t xml:space="preserve"> successfully reducing emissions</w:t>
      </w:r>
      <w:r w:rsidR="0023613A" w:rsidRPr="0023613A">
        <w:t>.</w:t>
      </w:r>
      <w:r>
        <w:fldChar w:fldCharType="begin" w:fldLock="1"/>
      </w:r>
      <w:r w:rsidR="007F3684">
        <w:instrText>ADDIN CSL_CITATION {"citationItems":[{"id":"ITEM-1","itemData":{"DOI":"10.1039/c6ra02518h","ISSN":"20462069","abstract":"Diethyl carbonate (DEC) is a well-known linear organic carbonate that has wide applications. Besides its use as a fuel additive, DEC is an excellent electrolyte for lithium ion batteries and is used for the production of polycarbonates, which are globally used engineering plastics. The synthesis of DEC from CO2 helps in CO2 mitigation. It was earlier synthesized by phosgenation of ethanol, which is a toxic and dangerous process. Certain non-phosgene routes have been developed in recent years, which include oxidative carbonylation of ethanol, trans-esterification of carbonate, alcoholysis of urea, ethanolysis of CO2 and the ethyl nitrite route for DEC synthesis. This review underlines various non-phosgene methods for the synthesis of DEC by critically evaluating the catalysts used, operating conditions and mechanism of synthesis. The performances of various catalysts have been compared graphically along with the identification of problems and potential solutions. Certain engineering aspects, including kinetics and thermodynamics of the various routes, have also been highlighted. The shortcomings and research gaps have been explicitly mentioned and discussed along with required future developments and research work for DEC synthesis.","author":[{"dropping-particle":"","family":"Shukla","given":"Kartikeya","non-dropping-particle":"","parse-names":false,"suffix":""},{"dropping-particle":"","family":"Srivastava","given":"Vimal Chandra","non-dropping-particle":"","parse-names":false,"suffix":""}],"container-title":"RSC Advances","id":"ITEM-1","issue":"39","issued":{"date-parts":[["2016"]]},"page":"32624-32645","publisher":"Royal Society of Chemistry","title":"Diethyl carbonate: Critical review of synthesis routes, catalysts used and engineering aspects","type":"article-journal","volume":"6"},"uris":["http://www.mendeley.com/documents/?uuid=3f664e05-a00f-4ff9-baec-22d63c1714c1"]}],"mendeley":{"formattedCitation":"[1]","plainTextFormattedCitation":"[1]","previouslyFormattedCitation":"[1]"},"properties":{"noteIndex":0},"schema":"https://github.com/citation-style-language/schema/raw/master/csl-citation.json"}</w:instrText>
      </w:r>
      <w:r>
        <w:fldChar w:fldCharType="separate"/>
      </w:r>
      <w:r w:rsidRPr="00E8281B">
        <w:rPr>
          <w:noProof/>
        </w:rPr>
        <w:t>[1]</w:t>
      </w:r>
      <w:r>
        <w:fldChar w:fldCharType="end"/>
      </w:r>
      <w:r w:rsidR="0023613A">
        <w:t xml:space="preserve"> However, new applications for DEC must be </w:t>
      </w:r>
      <w:r w:rsidR="00E753B3">
        <w:t>further investigated</w:t>
      </w:r>
      <w:r w:rsidR="0023613A">
        <w:t xml:space="preserve"> to exploit its full potential as </w:t>
      </w:r>
      <w:r w:rsidR="0049142B">
        <w:t xml:space="preserve">a </w:t>
      </w:r>
      <w:r w:rsidR="00E753B3">
        <w:t>g</w:t>
      </w:r>
      <w:r w:rsidR="0023613A">
        <w:t xml:space="preserve">reen </w:t>
      </w:r>
      <w:r w:rsidR="00E753B3">
        <w:t>c</w:t>
      </w:r>
      <w:r w:rsidR="0023613A">
        <w:t>hemical.</w:t>
      </w:r>
      <w:r w:rsidR="009C55B7">
        <w:t xml:space="preserve"> Many physical and chemical properties have already been described</w:t>
      </w:r>
      <w:r w:rsidR="0049142B">
        <w:t>,</w:t>
      </w:r>
      <w:r w:rsidR="009C55B7">
        <w:t xml:space="preserve"> but data about chemical stability is limited.</w:t>
      </w:r>
      <w:r w:rsidR="009C55B7">
        <w:fldChar w:fldCharType="begin" w:fldLock="1"/>
      </w:r>
      <w:r w:rsidR="00914F62">
        <w:instrText>ADDIN CSL_CITATION {"citationItems":[{"id":"ITEM-1","itemData":{"DOI":"10.1039/C4CS00374H","ISSN":"1460-4744","abstract":"Dialkyl carbonates are important organic compounds and chemical intermediates with the label of “green chemicals” due to their moderate toxicity, biodegradability for human health and environment. Indeed, owing to their unique physicochemical properties and versatility as reagents, a variety of phosgene-free processes derived from CO or CO2 have been explored for the synthesis of dialkyl carbonates. In this critical review, we highlight the recent achievements (since 1997) in the synthesis of dialkyl carbonates based on CO and CO2 utilization, particularly focusing on the catalyst design and fabrication, structure–function relationship, catalytic mechanisms and process intensification. We also provide an overview regarding the applications of dialkyl carbonates as fuel additives, solvents and reaction intermediates (i.e. alkylating and carbonylating agents). Additionally, this review puts forward the substantial challenges and opportunities for future research associated with dialkyl carbonates.","author":[{"dropping-particle":"","family":"Huang","given":"Shouying","non-dropping-particle":"","parse-names":false,"suffix":""},{"dropping-particle":"","family":"Yan","given":"Bing","non-dropping-particle":"","parse-names":false,"suffix":""},{"dropping-particle":"","family":"Wang","given":"Shengping","non-dropping-particle":"","parse-names":false,"suffix":""},{"dropping-particle":"","family":"Ma","given":"Xinbin","non-dropping-particle":"","parse-names":false,"suffix":""}],"container-title":"Chemical Society Reviews","id":"ITEM-1","issue":"10","issued":{"date-parts":[["2015","5","12"]]},"page":"3079-3116","publisher":"The Royal Society of Chemistry","title":"Recent advances in dialkyl carbonates synthesis and applications","type":"article-journal","volume":"44"},"uris":["http://www.mendeley.com/documents/?uuid=4ea3e146-0ebb-30e3-b765-3e28c5b9fef4"]}],"mendeley":{"formattedCitation":"[2]","plainTextFormattedCitation":"[2]","previouslyFormattedCitation":"[2]"},"properties":{"noteIndex":0},"schema":"https://github.com/citation-style-language/schema/raw/master/csl-citation.json"}</w:instrText>
      </w:r>
      <w:r w:rsidR="009C55B7">
        <w:fldChar w:fldCharType="separate"/>
      </w:r>
      <w:r w:rsidR="009C55B7" w:rsidRPr="009C55B7">
        <w:rPr>
          <w:noProof/>
        </w:rPr>
        <w:t>[2]</w:t>
      </w:r>
      <w:r w:rsidR="009C55B7">
        <w:fldChar w:fldCharType="end"/>
      </w:r>
      <w:r w:rsidR="0023613A">
        <w:t xml:space="preserve"> One weakness of DEC is its susceptibility to hydrolysis under acid or alkaline conditions. </w:t>
      </w:r>
      <w:r w:rsidR="009C55B7">
        <w:t xml:space="preserve">An extraction process was developed by </w:t>
      </w:r>
      <w:r w:rsidR="0023613A">
        <w:t xml:space="preserve">Yang et al. </w:t>
      </w:r>
      <w:r w:rsidR="007F3684">
        <w:fldChar w:fldCharType="begin" w:fldLock="1"/>
      </w:r>
      <w:r w:rsidR="00914F62">
        <w:instrText>ADDIN CSL_CITATION {"citationItems":[{"id":"ITEM-1","itemData":{"DOI":"10.1016/J.CHERD.2020.03.005","ISSN":"02638762","abstract":"Sodium sulfate wastewater is a kind of coal tar processing effluent containing highly concentrated phenol. Owing to its high toxicity, phenol pose a serious threat to the natural environment and human health. In this paper, a novel ternary extractant, tributylphosphane (TBP)/diethyl carbonate (DEC)/cyclohexane, was utilized to extract phenol from the wastewater. The combination of 20% TBP, 20% DEC, and 60% cyclohexane yielded a high extraction efficiency of 99.79% under the suggested conditions (time of 6 min, organic–aqueous volume ratio of 1, pH of 5.05 and temperature of 298.15 K). Fourier-transform infrared spectroscopy analysis illustrates that the extraction of phenol was enabled by intermolecular hydrogen bonding with both TBP and DEC. The stripping of phenol from the phenol-loaded extractant was carried out using an alkali solution, realizing the recovery of phenol resource and the regeneration of extractant. The stripping efficiency reached 96.29% when using 1 mol/L NaOH solution under certain conditions (contact time of 4 min, aqueous–organic volume ratio of 1, and temperature of 313.15 K). Additionally, the pH response analysis shows that the stripping process could be divided into four stages and more than 8 min of contact time leaded to the hydrolysis of the DEC. The ultra-high phenol recovery, up to 99.78%, was achieved from the actual wastewater via a two-stage extraction and back-extraction.","author":[{"dropping-particle":"","family":"Yang","given":"Xiaoyong","non-dropping-particle":"","parse-names":false,"suffix":""},{"dropping-particle":"","family":"Wang","given":"Bingjie","non-dropping-particle":"","parse-names":false,"suffix":""},{"dropping-particle":"","family":"Luo","given":"Huiqing","non-dropping-particle":"","parse-names":false,"suffix":""},{"dropping-particle":"","family":"Yan","given":"Shenglin","non-dropping-particle":"","parse-names":false,"suffix":""},{"dropping-particle":"","family":"Dai","given":"Jian","non-dropping-particle":"","parse-names":false,"suffix":""},{"dropping-particle":"","family":"Bai","given":"Zhishan","non-dropping-particle":"","parse-names":false,"suffix":""}],"container-title":"Chemical Engineering Research and Design","id":"ITEM-1","issued":{"date-parts":[["2020","5","1"]]},"page":"104-113","publisher":"Institution of Chemical Engineers","title":"Efficient recovery of phenol from coal tar processing wastewater with tributylphosphane/diethyl carbonate/cyclohexane: Extraction cycle and mechanism study","type":"article-journal","volume":"157"},"uris":["http://www.mendeley.com/documents/?uuid=96f61109-e4fc-3464-9977-aa9f17835957"]}],"mendeley":{"formattedCitation":"[3]","plainTextFormattedCitation":"[3]","previouslyFormattedCitation":"[3]"},"properties":{"noteIndex":0},"schema":"https://github.com/citation-style-language/schema/raw/master/csl-citation.json"}</w:instrText>
      </w:r>
      <w:r w:rsidR="007F3684">
        <w:fldChar w:fldCharType="separate"/>
      </w:r>
      <w:r w:rsidR="009C55B7" w:rsidRPr="009C55B7">
        <w:rPr>
          <w:noProof/>
        </w:rPr>
        <w:t>[3]</w:t>
      </w:r>
      <w:r w:rsidR="007F3684">
        <w:fldChar w:fldCharType="end"/>
      </w:r>
      <w:r w:rsidR="0023613A">
        <w:t xml:space="preserve"> </w:t>
      </w:r>
      <w:r w:rsidR="009C55B7">
        <w:t xml:space="preserve">applying DEC </w:t>
      </w:r>
      <w:r w:rsidR="0023613A">
        <w:t>to recover phenols from coal tar processing wastewater</w:t>
      </w:r>
      <w:r w:rsidR="009C55B7">
        <w:t xml:space="preserve"> from an alkaline stripping solution</w:t>
      </w:r>
      <w:r w:rsidR="0023613A">
        <w:t xml:space="preserve">. However, </w:t>
      </w:r>
      <w:r w:rsidR="009C55B7">
        <w:t xml:space="preserve">the </w:t>
      </w:r>
      <w:r w:rsidR="0023613A">
        <w:t>stripping process is limited to about 8</w:t>
      </w:r>
      <w:r w:rsidR="000E0590">
        <w:t> </w:t>
      </w:r>
      <w:r w:rsidR="0023613A">
        <w:t xml:space="preserve">minutes </w:t>
      </w:r>
      <w:r w:rsidR="009C55B7">
        <w:t xml:space="preserve">due to </w:t>
      </w:r>
      <w:r w:rsidR="0049142B">
        <w:t xml:space="preserve">the </w:t>
      </w:r>
      <w:r w:rsidR="009C55B7">
        <w:t>imminent</w:t>
      </w:r>
      <w:r w:rsidR="0023613A">
        <w:t xml:space="preserve"> degradation of DEC in the organic phase. </w:t>
      </w:r>
      <w:r w:rsidR="009C55B7">
        <w:lastRenderedPageBreak/>
        <w:t xml:space="preserve">Experimental data on DEC </w:t>
      </w:r>
      <w:r w:rsidR="003F6880">
        <w:t>de</w:t>
      </w:r>
      <w:r w:rsidR="009C55B7">
        <w:t xml:space="preserve">composition after exposure </w:t>
      </w:r>
      <w:r w:rsidR="0049142B">
        <w:t>to</w:t>
      </w:r>
      <w:r w:rsidR="009C55B7">
        <w:t xml:space="preserve"> different aqueous phases</w:t>
      </w:r>
      <w:r w:rsidR="00914F62">
        <w:t xml:space="preserve"> of various acidities</w:t>
      </w:r>
      <w:r w:rsidR="009C55B7">
        <w:t xml:space="preserve"> </w:t>
      </w:r>
      <w:r w:rsidR="003F6880">
        <w:t>w</w:t>
      </w:r>
      <w:r w:rsidR="0049142B">
        <w:t>ere</w:t>
      </w:r>
      <w:r w:rsidR="003F6880">
        <w:t xml:space="preserve"> </w:t>
      </w:r>
      <w:r w:rsidR="009C55B7">
        <w:t xml:space="preserve">reported by </w:t>
      </w:r>
      <w:proofErr w:type="spellStart"/>
      <w:r w:rsidR="009C55B7">
        <w:t>Raiguel</w:t>
      </w:r>
      <w:proofErr w:type="spellEnd"/>
      <w:r w:rsidR="009C55B7">
        <w:t xml:space="preserve"> et al.</w:t>
      </w:r>
      <w:r w:rsidR="00914F62" w:rsidRPr="00914F62">
        <w:rPr>
          <w:noProof/>
        </w:rPr>
        <w:t xml:space="preserve"> </w:t>
      </w:r>
      <w:r w:rsidR="00914F62">
        <w:rPr>
          <w:noProof/>
        </w:rPr>
        <w:fldChar w:fldCharType="begin" w:fldLock="1"/>
      </w:r>
      <w:r w:rsidR="00636DB0">
        <w:rPr>
          <w:noProof/>
        </w:rPr>
        <w:instrText>ADDIN CSL_CITATION {"citationItems":[{"id":"ITEM-1","itemData":{"DOI":"10.1021/acssuschemeng.0c04008","abstract":"Diethyl carbonate (DEC) was evaluated as a green, renewable alternative to methyl isobutyl ketone and dibutyl carbitol for the recovery of gold from copper-rich sources, such as anode slimes, by solvent extraction from chloride solutions. DEC is a powerful extractant at high chloride concentrations and can be used to sequester and concentrate gold from large volumes of dilute aqueous solutions containing high concentrations of copper. Stripping can be performed using pure water. Different variables were investigated: DEC concentration, chloride concentration, chloride source, phase volume ratio, and equilibration time. The selectivity and phase disengagement times were studied, and possible mechanisms of extraction are discussed and evaluated. In addition, the stability of DEC against hydrolysis was measured.","author":[{"dropping-particle":"","family":"Raiguel","given":"Stijn","non-dropping-particle":"","parse-names":false,"suffix":""},{"dropping-particle":"","family":"Gijsemans","given":"Lukas","non-dropping-particle":"","parse-names":false,"suffix":""},{"dropping-particle":"","family":"Bossche","given":"Arne","non-dropping-particle":"Van Den","parse-names":false,"suffix":""},{"dropping-particle":"","family":"Onghena","given":"Bieke","non-dropping-particle":"","parse-names":false,"suffix":""},{"dropping-particle":"","family":"Binnemans","given":"Koen","non-dropping-particle":"","parse-names":false,"suffix":""}],"container-title":"Cite This: ACS Sustainable Chem. Eng","id":"ITEM-1","issued":{"date-parts":[["2020"]]},"page":"13713-13723","title":"Solvent Extraction of Gold(III) with Diethyl Carbonate","type":"article-journal","volume":"8"},"uris":["http://www.mendeley.com/documents/?uuid=79c57237-46b5-31da-b736-4419ec2a095f"]}],"mendeley":{"formattedCitation":"[4]","plainTextFormattedCitation":"[4]","previouslyFormattedCitation":"[4]"},"properties":{"noteIndex":0},"schema":"https://github.com/citation-style-language/schema/raw/master/csl-citation.json"}</w:instrText>
      </w:r>
      <w:r w:rsidR="00914F62">
        <w:rPr>
          <w:noProof/>
        </w:rPr>
        <w:fldChar w:fldCharType="separate"/>
      </w:r>
      <w:r w:rsidR="00914F62" w:rsidRPr="00914F62">
        <w:rPr>
          <w:noProof/>
        </w:rPr>
        <w:t>[4]</w:t>
      </w:r>
      <w:r w:rsidR="00914F62">
        <w:rPr>
          <w:noProof/>
        </w:rPr>
        <w:fldChar w:fldCharType="end"/>
      </w:r>
      <w:r w:rsidR="0049142B">
        <w:rPr>
          <w:noProof/>
        </w:rPr>
        <w:t>.</w:t>
      </w:r>
      <w:r w:rsidR="009C55B7">
        <w:t xml:space="preserve"> A "salting out"-effect</w:t>
      </w:r>
      <w:r w:rsidR="00914F62">
        <w:t xml:space="preserve"> was described. Dissolved</w:t>
      </w:r>
      <w:r w:rsidR="009C55B7">
        <w:t xml:space="preserve"> inorganic salts like NaCl in an aqueous phase</w:t>
      </w:r>
      <w:r w:rsidR="00914F62">
        <w:t xml:space="preserve"> are observed to stabilize</w:t>
      </w:r>
      <w:r w:rsidR="009C55B7">
        <w:t xml:space="preserve"> DEC</w:t>
      </w:r>
      <w:r w:rsidR="0023613A">
        <w:t xml:space="preserve">. </w:t>
      </w:r>
      <w:r w:rsidR="006F1591">
        <w:t xml:space="preserve">Due to the decrease in solubility, hydrolysis is slowed down. </w:t>
      </w:r>
      <w:r w:rsidR="003F6880" w:rsidRPr="00355B61">
        <w:t xml:space="preserve">The decomposition of DEC </w:t>
      </w:r>
      <w:r w:rsidR="003F6880">
        <w:t xml:space="preserve">is </w:t>
      </w:r>
      <w:r w:rsidR="003F6880" w:rsidRPr="00355B61">
        <w:t>m</w:t>
      </w:r>
      <w:r w:rsidR="0049142B">
        <w:t>ain</w:t>
      </w:r>
      <w:r w:rsidR="003F6880" w:rsidRPr="00355B61">
        <w:t>ly dominated by its acid- or base-catalyzed hydrolysis</w:t>
      </w:r>
      <w:r w:rsidR="00FD58C2">
        <w:t xml:space="preserve"> leading to the</w:t>
      </w:r>
      <w:r w:rsidR="003F6880">
        <w:t xml:space="preserve"> </w:t>
      </w:r>
      <w:r w:rsidR="0049142B">
        <w:t>main</w:t>
      </w:r>
      <w:r w:rsidR="003F6880">
        <w:t xml:space="preserve"> r</w:t>
      </w:r>
      <w:r w:rsidR="003F6880" w:rsidRPr="00355B61">
        <w:t>eaction products carbon dioxide and ethanol.</w:t>
      </w:r>
      <w:r w:rsidR="0023613A">
        <w:t xml:space="preserve"> </w:t>
      </w:r>
      <w:r w:rsidR="00914F62">
        <w:t>O</w:t>
      </w:r>
      <w:r w:rsidR="0023613A">
        <w:t xml:space="preserve">ther degradation mechanisms </w:t>
      </w:r>
      <w:r w:rsidR="00914F62">
        <w:t>have also been observed</w:t>
      </w:r>
      <w:r w:rsidR="0023613A">
        <w:t xml:space="preserve"> since diethyl ether and chloroethane were detected as reaction products.</w:t>
      </w:r>
      <w:r w:rsidR="00FD58C2">
        <w:t xml:space="preserve"> </w:t>
      </w:r>
      <w:r w:rsidR="0049142B">
        <w:t>Al-</w:t>
      </w:r>
      <w:proofErr w:type="spellStart"/>
      <w:r w:rsidR="0049142B">
        <w:t>Shamary</w:t>
      </w:r>
      <w:proofErr w:type="spellEnd"/>
      <w:r w:rsidR="0049142B">
        <w:t xml:space="preserve"> et al. [5] investigated multiple </w:t>
      </w:r>
      <w:proofErr w:type="spellStart"/>
      <w:r w:rsidR="0049142B">
        <w:t>dialkyl</w:t>
      </w:r>
      <w:proofErr w:type="spellEnd"/>
      <w:r w:rsidR="0049142B">
        <w:t xml:space="preserve"> carbonates, observing an enhancement of the degradation in the</w:t>
      </w:r>
      <w:r w:rsidR="00DA7F30">
        <w:t xml:space="preserve"> presence of</w:t>
      </w:r>
      <w:r w:rsidR="00636DB0">
        <w:t xml:space="preserve"> cationic micelles</w:t>
      </w:r>
      <w:r w:rsidR="00DA7F30">
        <w:t>. A</w:t>
      </w:r>
      <w:r w:rsidR="00636DB0">
        <w:t>nionic micelles</w:t>
      </w:r>
      <w:r w:rsidR="00DA7F30">
        <w:t xml:space="preserve"> are reported to</w:t>
      </w:r>
      <w:r w:rsidR="00636DB0">
        <w:t xml:space="preserve"> reduce</w:t>
      </w:r>
      <w:r w:rsidR="00DA7F30">
        <w:t xml:space="preserve"> </w:t>
      </w:r>
      <w:r w:rsidR="00636DB0">
        <w:t xml:space="preserve">hydrolysis rates. </w:t>
      </w:r>
    </w:p>
    <w:p w14:paraId="1D1EC17B" w14:textId="77777777" w:rsidR="00FD58C2" w:rsidRDefault="00FD58C2" w:rsidP="0023613A">
      <w:pPr>
        <w:pStyle w:val="CETBodytext"/>
      </w:pPr>
    </w:p>
    <w:p w14:paraId="439B8450" w14:textId="69FEAB16" w:rsidR="00DA4482" w:rsidRDefault="0023613A" w:rsidP="006F1591">
      <w:pPr>
        <w:pStyle w:val="CETBodytext"/>
      </w:pPr>
      <w:r>
        <w:t xml:space="preserve">To </w:t>
      </w:r>
      <w:r w:rsidR="00F114C0">
        <w:t>pave the way for</w:t>
      </w:r>
      <w:r>
        <w:t xml:space="preserve"> further research about applications for DEC, this </w:t>
      </w:r>
      <w:r w:rsidR="00F114C0">
        <w:t>work</w:t>
      </w:r>
      <w:r>
        <w:t xml:space="preserve"> focus</w:t>
      </w:r>
      <w:r w:rsidR="00D01508">
        <w:t>es</w:t>
      </w:r>
      <w:r>
        <w:t xml:space="preserve"> </w:t>
      </w:r>
      <w:r w:rsidR="00D01508">
        <w:t xml:space="preserve">on the </w:t>
      </w:r>
      <w:r>
        <w:t>chemical stability of DEC after</w:t>
      </w:r>
      <w:r w:rsidR="00D01508">
        <w:t xml:space="preserve"> being in</w:t>
      </w:r>
      <w:r>
        <w:t xml:space="preserve"> contact with </w:t>
      </w:r>
      <w:r w:rsidR="00D01508">
        <w:t>var</w:t>
      </w:r>
      <w:r w:rsidR="0049142B">
        <w:t>i</w:t>
      </w:r>
      <w:r w:rsidR="00D01508">
        <w:t>ous acidic and basic solutions.</w:t>
      </w:r>
      <w:r>
        <w:t xml:space="preserve"> </w:t>
      </w:r>
      <w:r w:rsidR="00D01508">
        <w:t>The presence of CeO</w:t>
      </w:r>
      <w:r w:rsidR="00D01508">
        <w:rPr>
          <w:vertAlign w:val="subscript"/>
        </w:rPr>
        <w:t>2</w:t>
      </w:r>
      <w:r w:rsidR="0049142B">
        <w:rPr>
          <w:vertAlign w:val="subscript"/>
        </w:rPr>
        <w:t>,</w:t>
      </w:r>
      <w:r w:rsidR="00D01508">
        <w:t xml:space="preserve"> a catalyst</w:t>
      </w:r>
      <w:r w:rsidR="0049142B">
        <w:t>,</w:t>
      </w:r>
      <w:r w:rsidR="00D01508">
        <w:t xml:space="preserve"> as well as the presence of NaCl shall also be monitored.</w:t>
      </w:r>
      <w:r>
        <w:t xml:space="preserve"> </w:t>
      </w:r>
    </w:p>
    <w:p w14:paraId="5AD2E3C1" w14:textId="77777777" w:rsidR="00DA4482" w:rsidRPr="00DA4482" w:rsidRDefault="00DA4482" w:rsidP="00600535">
      <w:pPr>
        <w:pStyle w:val="CETBodytext"/>
      </w:pPr>
    </w:p>
    <w:p w14:paraId="0BD499B9" w14:textId="740CBF66" w:rsidR="006F1591" w:rsidRDefault="00DA4482" w:rsidP="00AD55FF">
      <w:pPr>
        <w:pStyle w:val="CETHeading1"/>
      </w:pPr>
      <w:r>
        <w:t xml:space="preserve">Materials and </w:t>
      </w:r>
      <w:r w:rsidR="00C04D38">
        <w:t>Methods</w:t>
      </w:r>
    </w:p>
    <w:p w14:paraId="5AF82BF7" w14:textId="1CEB1CA3" w:rsidR="006F1591" w:rsidRDefault="006F1591" w:rsidP="006F1591">
      <w:pPr>
        <w:pStyle w:val="CETBodytext"/>
      </w:pPr>
      <w:r>
        <w:t>D</w:t>
      </w:r>
      <w:r w:rsidRPr="00355B61">
        <w:t>ifferent acids (HCl, H</w:t>
      </w:r>
      <w:r w:rsidRPr="00355B61">
        <w:rPr>
          <w:vertAlign w:val="subscript"/>
        </w:rPr>
        <w:t>2</w:t>
      </w:r>
      <w:r w:rsidRPr="00355B61">
        <w:t>SO</w:t>
      </w:r>
      <w:r w:rsidRPr="00355B61">
        <w:rPr>
          <w:vertAlign w:val="subscript"/>
        </w:rPr>
        <w:t>4</w:t>
      </w:r>
      <w:r w:rsidRPr="00355B61">
        <w:t>, H</w:t>
      </w:r>
      <w:r w:rsidRPr="00355B61">
        <w:rPr>
          <w:vertAlign w:val="subscript"/>
        </w:rPr>
        <w:t>3</w:t>
      </w:r>
      <w:r w:rsidRPr="00355B61">
        <w:t>PO</w:t>
      </w:r>
      <w:r w:rsidRPr="00355B61">
        <w:rPr>
          <w:vertAlign w:val="subscript"/>
        </w:rPr>
        <w:t>4</w:t>
      </w:r>
      <w:r w:rsidRPr="00355B61">
        <w:t>, formic acid, acetic acid) and bases (NaOH, KOH, Na</w:t>
      </w:r>
      <w:r w:rsidRPr="00355B61">
        <w:rPr>
          <w:vertAlign w:val="subscript"/>
        </w:rPr>
        <w:t>2</w:t>
      </w:r>
      <w:r w:rsidRPr="00355B61">
        <w:t>CO</w:t>
      </w:r>
      <w:r w:rsidRPr="00355B61">
        <w:rPr>
          <w:vertAlign w:val="subscript"/>
        </w:rPr>
        <w:t>3</w:t>
      </w:r>
      <w:r w:rsidRPr="00355B61">
        <w:t>)</w:t>
      </w:r>
      <w:r>
        <w:t xml:space="preserve"> have been obtained for the investigations.</w:t>
      </w:r>
      <w:r w:rsidRPr="00355B61">
        <w:t xml:space="preserve"> DEC degradation </w:t>
      </w:r>
      <w:r>
        <w:t>has been</w:t>
      </w:r>
      <w:r w:rsidRPr="00355B61">
        <w:t xml:space="preserve"> </w:t>
      </w:r>
      <w:r>
        <w:t>calculated</w:t>
      </w:r>
      <w:r w:rsidRPr="00355B61">
        <w:t xml:space="preserve"> </w:t>
      </w:r>
      <w:r>
        <w:t>according to</w:t>
      </w:r>
      <w:r w:rsidRPr="00355B61">
        <w:t xml:space="preserve"> </w:t>
      </w:r>
      <w:r>
        <w:t>e</w:t>
      </w:r>
      <w:r w:rsidRPr="00355B61">
        <w:t xml:space="preserve">quation </w:t>
      </w:r>
      <w:r w:rsidR="00726ADD">
        <w:t>2</w:t>
      </w:r>
      <w:r w:rsidRPr="00355B61">
        <w:t>.</w:t>
      </w:r>
    </w:p>
    <w:p w14:paraId="7DBB9BD0" w14:textId="77777777" w:rsidR="006F1591" w:rsidRDefault="006F1591" w:rsidP="006F1591">
      <w:pPr>
        <w:pStyle w:val="CETBodytext"/>
      </w:pPr>
    </w:p>
    <w:tbl>
      <w:tblPr>
        <w:tblW w:w="5000" w:type="pct"/>
        <w:tblLook w:val="04A0" w:firstRow="1" w:lastRow="0" w:firstColumn="1" w:lastColumn="0" w:noHBand="0" w:noVBand="1"/>
      </w:tblPr>
      <w:tblGrid>
        <w:gridCol w:w="7984"/>
        <w:gridCol w:w="803"/>
      </w:tblGrid>
      <w:tr w:rsidR="006F1591" w:rsidRPr="001041E1" w14:paraId="27D03EE1" w14:textId="77777777" w:rsidTr="00754B3B">
        <w:tc>
          <w:tcPr>
            <w:tcW w:w="8188" w:type="dxa"/>
            <w:vAlign w:val="center"/>
            <w:hideMark/>
          </w:tcPr>
          <w:p w14:paraId="215568C9" w14:textId="74DDBC94" w:rsidR="006F1591" w:rsidRPr="001041E1" w:rsidRDefault="006F1591" w:rsidP="00754B3B">
            <w:pPr>
              <w:pStyle w:val="CETEquation"/>
            </w:pPr>
            <m:oMathPara>
              <m:oMathParaPr>
                <m:jc m:val="left"/>
              </m:oMathParaPr>
              <m:oMath>
                <m:r>
                  <w:rPr>
                    <w:rFonts w:ascii="Cambria Math" w:hAnsi="Cambria Math"/>
                  </w:rPr>
                  <m:t>Degradation </m:t>
                </m:r>
                <m:d>
                  <m:dPr>
                    <m:begChr m:val="["/>
                    <m:endChr m:val="]"/>
                    <m:ctrlPr>
                      <w:rPr>
                        <w:rFonts w:ascii="Cambria Math" w:hAnsi="Cambria Math"/>
                      </w:rPr>
                    </m:ctrlPr>
                  </m:dPr>
                  <m:e>
                    <m:r>
                      <m:rPr>
                        <m:sty m:val="p"/>
                      </m:rPr>
                      <w:rPr>
                        <w:rFonts w:ascii="Cambria Math" w:hAnsi="Cambria Math"/>
                      </w:rPr>
                      <m:t>%</m:t>
                    </m:r>
                  </m:e>
                </m:d>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DEC</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DEC</m:t>
                        </m:r>
                      </m:sub>
                    </m:sSub>
                  </m:num>
                  <m:den>
                    <m:sSub>
                      <m:sSubPr>
                        <m:ctrlPr>
                          <w:rPr>
                            <w:rFonts w:ascii="Cambria Math" w:hAnsi="Cambria Math"/>
                          </w:rPr>
                        </m:ctrlPr>
                      </m:sSubPr>
                      <m:e>
                        <m:r>
                          <w:rPr>
                            <w:rFonts w:ascii="Cambria Math" w:hAnsi="Cambria Math"/>
                          </w:rPr>
                          <m:t>m</m:t>
                        </m:r>
                      </m:e>
                      <m:sub>
                        <m:r>
                          <w:rPr>
                            <w:rFonts w:ascii="Cambria Math" w:hAnsi="Cambria Math"/>
                          </w:rPr>
                          <m:t>DEC</m:t>
                        </m:r>
                        <m:r>
                          <m:rPr>
                            <m:sty m:val="p"/>
                          </m:rPr>
                          <w:rPr>
                            <w:rFonts w:ascii="Cambria Math" w:hAnsi="Cambria Math"/>
                          </w:rPr>
                          <m:t>,0</m:t>
                        </m:r>
                      </m:sub>
                    </m:sSub>
                  </m:den>
                </m:f>
                <m:r>
                  <m:rPr>
                    <m:sty m:val="p"/>
                  </m:rPr>
                  <w:rPr>
                    <w:rFonts w:ascii="Cambria Math" w:hAnsi="Cambria Math"/>
                  </w:rPr>
                  <m:t>*100</m:t>
                </m:r>
              </m:oMath>
            </m:oMathPara>
          </w:p>
        </w:tc>
        <w:tc>
          <w:tcPr>
            <w:tcW w:w="815" w:type="dxa"/>
            <w:vAlign w:val="center"/>
            <w:hideMark/>
          </w:tcPr>
          <w:p w14:paraId="64A1A1FC" w14:textId="38F08D90" w:rsidR="006F1591" w:rsidRPr="001041E1" w:rsidRDefault="006F1591" w:rsidP="00754B3B">
            <w:pPr>
              <w:pStyle w:val="CETEquation"/>
            </w:pPr>
            <w:r w:rsidRPr="001041E1">
              <w:t>(</w:t>
            </w:r>
            <w:r w:rsidR="00726ADD">
              <w:t>2</w:t>
            </w:r>
            <w:r w:rsidRPr="001041E1">
              <w:t>)</w:t>
            </w:r>
          </w:p>
        </w:tc>
      </w:tr>
    </w:tbl>
    <w:p w14:paraId="7B08FAA7" w14:textId="77777777" w:rsidR="006F1591" w:rsidRDefault="006F1591" w:rsidP="006F1591">
      <w:pPr>
        <w:pStyle w:val="CETBodytext"/>
      </w:pPr>
    </w:p>
    <w:p w14:paraId="2284CC5C" w14:textId="135BADA3" w:rsidR="006F1591" w:rsidRDefault="006F1591" w:rsidP="006F1591">
      <w:pPr>
        <w:pStyle w:val="CETBodytext"/>
      </w:pPr>
      <w:r>
        <w:t xml:space="preserve">The experimentally determined data shall be accompanied with theoretical </w:t>
      </w:r>
      <w:r w:rsidRPr="00355B61">
        <w:t>ethanol</w:t>
      </w:r>
      <w:r w:rsidR="003C6761">
        <w:t xml:space="preserve"> (EtOH)</w:t>
      </w:r>
      <w:r w:rsidRPr="00355B61">
        <w:t xml:space="preserve"> formation and mass loss due to CO</w:t>
      </w:r>
      <w:r w:rsidRPr="00EF5BC5">
        <w:rPr>
          <w:vertAlign w:val="subscript"/>
        </w:rPr>
        <w:t>2</w:t>
      </w:r>
      <w:r>
        <w:t>.</w:t>
      </w:r>
      <w:r w:rsidRPr="00355B61">
        <w:t xml:space="preserve"> </w:t>
      </w:r>
      <w:r>
        <w:t>The theoretical ethanol formation was</w:t>
      </w:r>
      <w:r w:rsidRPr="00355B61">
        <w:t xml:space="preserve"> calculated </w:t>
      </w:r>
      <w:r>
        <w:t>according to</w:t>
      </w:r>
      <w:r w:rsidRPr="00355B61">
        <w:t xml:space="preserve"> </w:t>
      </w:r>
      <w:r>
        <w:t>e</w:t>
      </w:r>
      <w:r w:rsidRPr="00355B61">
        <w:t xml:space="preserve">quation </w:t>
      </w:r>
      <w:r w:rsidR="00726ADD">
        <w:t>3</w:t>
      </w:r>
      <w:r w:rsidRPr="00355B61">
        <w:t>.</w:t>
      </w:r>
    </w:p>
    <w:p w14:paraId="5BA0AA48" w14:textId="77777777" w:rsidR="006F1591" w:rsidRDefault="006F1591" w:rsidP="006F1591">
      <w:pPr>
        <w:pStyle w:val="CETBodytext"/>
      </w:pPr>
    </w:p>
    <w:tbl>
      <w:tblPr>
        <w:tblW w:w="5000" w:type="pct"/>
        <w:tblLook w:val="04A0" w:firstRow="1" w:lastRow="0" w:firstColumn="1" w:lastColumn="0" w:noHBand="0" w:noVBand="1"/>
      </w:tblPr>
      <w:tblGrid>
        <w:gridCol w:w="7984"/>
        <w:gridCol w:w="803"/>
      </w:tblGrid>
      <w:tr w:rsidR="006F1591" w:rsidRPr="001041E1" w14:paraId="627E9722" w14:textId="77777777" w:rsidTr="00754B3B">
        <w:tc>
          <w:tcPr>
            <w:tcW w:w="8188" w:type="dxa"/>
            <w:vAlign w:val="center"/>
            <w:hideMark/>
          </w:tcPr>
          <w:p w14:paraId="3DB16339" w14:textId="77777777" w:rsidR="006F1591" w:rsidRPr="001041E1" w:rsidRDefault="00CC35E4" w:rsidP="00754B3B">
            <w:pPr>
              <w:pStyle w:val="CETEquation"/>
            </w:pPr>
            <m:oMathPara>
              <m:oMathParaPr>
                <m:jc m:val="left"/>
              </m:oMathParaPr>
              <m:oMath>
                <m:sSub>
                  <m:sSubPr>
                    <m:ctrlPr>
                      <w:rPr>
                        <w:rFonts w:ascii="Cambria Math" w:hAnsi="Cambria Math"/>
                        <w:i/>
                        <w:iCs/>
                      </w:rPr>
                    </m:ctrlPr>
                  </m:sSubPr>
                  <m:e>
                    <m:r>
                      <w:rPr>
                        <w:rFonts w:ascii="Cambria Math" w:hAnsi="Cambria Math"/>
                      </w:rPr>
                      <m:t>m</m:t>
                    </m:r>
                  </m:e>
                  <m:sub>
                    <m:r>
                      <w:rPr>
                        <w:rFonts w:ascii="Cambria Math" w:hAnsi="Cambria Math"/>
                      </w:rPr>
                      <m:t>EtOH,theoretical</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DEC</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DEC</m:t>
                        </m:r>
                      </m:sub>
                    </m:sSub>
                  </m:num>
                  <m:den>
                    <m:sSub>
                      <m:sSubPr>
                        <m:ctrlPr>
                          <w:rPr>
                            <w:rFonts w:ascii="Cambria Math" w:hAnsi="Cambria Math"/>
                          </w:rPr>
                        </m:ctrlPr>
                      </m:sSubPr>
                      <m:e>
                        <m:r>
                          <w:rPr>
                            <w:rFonts w:ascii="Cambria Math" w:hAnsi="Cambria Math"/>
                          </w:rPr>
                          <m:t>M</m:t>
                        </m:r>
                      </m:e>
                      <m:sub>
                        <m:r>
                          <w:rPr>
                            <w:rFonts w:ascii="Cambria Math" w:hAnsi="Cambria Math"/>
                          </w:rPr>
                          <m:t>DEC</m:t>
                        </m:r>
                      </m:sub>
                    </m:sSub>
                  </m:den>
                </m:f>
                <m:r>
                  <m:rPr>
                    <m:sty m:val="p"/>
                  </m:rPr>
                  <w:rPr>
                    <w:rFonts w:ascii="Cambria Math" w:hAnsi="Cambria Math"/>
                  </w:rPr>
                  <m:t>*2*</m:t>
                </m:r>
                <m:sSub>
                  <m:sSubPr>
                    <m:ctrlPr>
                      <w:rPr>
                        <w:rFonts w:ascii="Cambria Math" w:hAnsi="Cambria Math"/>
                      </w:rPr>
                    </m:ctrlPr>
                  </m:sSubPr>
                  <m:e>
                    <m:r>
                      <w:rPr>
                        <w:rFonts w:ascii="Cambria Math" w:hAnsi="Cambria Math"/>
                      </w:rPr>
                      <m:t>M</m:t>
                    </m:r>
                  </m:e>
                  <m:sub>
                    <m:r>
                      <w:rPr>
                        <w:rFonts w:ascii="Cambria Math" w:hAnsi="Cambria Math"/>
                      </w:rPr>
                      <m:t>EtOH</m:t>
                    </m:r>
                  </m:sub>
                </m:sSub>
              </m:oMath>
            </m:oMathPara>
          </w:p>
        </w:tc>
        <w:tc>
          <w:tcPr>
            <w:tcW w:w="815" w:type="dxa"/>
            <w:vAlign w:val="center"/>
            <w:hideMark/>
          </w:tcPr>
          <w:p w14:paraId="59385E18" w14:textId="132B117B" w:rsidR="006F1591" w:rsidRPr="001041E1" w:rsidRDefault="006F1591" w:rsidP="00754B3B">
            <w:pPr>
              <w:pStyle w:val="CETEquation"/>
            </w:pPr>
            <w:r w:rsidRPr="001041E1">
              <w:t>(</w:t>
            </w:r>
            <w:r w:rsidR="00726ADD">
              <w:t>3</w:t>
            </w:r>
            <w:r w:rsidRPr="001041E1">
              <w:t>)</w:t>
            </w:r>
          </w:p>
        </w:tc>
      </w:tr>
    </w:tbl>
    <w:p w14:paraId="5D08FA8A" w14:textId="2AED1F0F" w:rsidR="006F1591" w:rsidRDefault="006F1591" w:rsidP="006F1591">
      <w:pPr>
        <w:pStyle w:val="CETBodytext"/>
      </w:pPr>
    </w:p>
    <w:p w14:paraId="3C80686F" w14:textId="03B2DFCE" w:rsidR="006F1591" w:rsidRDefault="00FA4EB1" w:rsidP="006F1591">
      <w:pPr>
        <w:pStyle w:val="CETBodytext"/>
      </w:pPr>
      <w:r>
        <w:t>CeO</w:t>
      </w:r>
      <w:r>
        <w:rPr>
          <w:vertAlign w:val="subscript"/>
        </w:rPr>
        <w:t>2</w:t>
      </w:r>
      <w:r>
        <w:t xml:space="preserve"> </w:t>
      </w:r>
      <w:r w:rsidR="006F1591">
        <w:t xml:space="preserve">which is used in the </w:t>
      </w:r>
      <w:r>
        <w:t xml:space="preserve">direct </w:t>
      </w:r>
      <w:r w:rsidR="006F1591">
        <w:t>synthesis of DEC</w:t>
      </w:r>
      <w:r>
        <w:t xml:space="preserve"> from CO</w:t>
      </w:r>
      <w:r w:rsidRPr="00FA4EB1">
        <w:rPr>
          <w:vertAlign w:val="subscript"/>
        </w:rPr>
        <w:t>2</w:t>
      </w:r>
      <w:r>
        <w:t xml:space="preserve"> as a catalyst</w:t>
      </w:r>
      <w:r w:rsidR="0049142B">
        <w:t>,</w:t>
      </w:r>
      <w:r w:rsidR="006F1591">
        <w:t xml:space="preserve"> is neither soluble </w:t>
      </w:r>
      <w:r w:rsidR="0049142B">
        <w:t>in</w:t>
      </w:r>
      <w:r w:rsidR="006F1591">
        <w:t xml:space="preserve"> water nor DEC</w:t>
      </w:r>
      <w:r w:rsidR="0049142B">
        <w:t>. H</w:t>
      </w:r>
      <w:r w:rsidR="006F1591">
        <w:t xml:space="preserve">owever, no data about its interference with DEC degradation was available. </w:t>
      </w:r>
      <w:r>
        <w:fldChar w:fldCharType="begin" w:fldLock="1"/>
      </w:r>
      <w:r w:rsidR="00DB5275">
        <w:instrText>ADDIN CSL_CITATION {"citationItems":[{"id":"ITEM-1","itemData":{"DOI":"10.1039/C8NJ04090G","ISSN":"13699261","abstract":"Direct synthesis of diethyl carbonate (DEC) by carboxylation of ethanol with CO2 was investigated over ceria catalysts. 2-Cyanopyridine (2-CP) was used for trapping water formed in the reaction and to shift the equilibrium towards the product side. An optimal dependence (“volcanic plot”) of the catalytic activity on the acidity/basicity molar ratio was observed. “Neat” ceria (procured from Daiichi Kigenso Kagaku Kogyo Co. Ltd, Japan) showed higher catalytic activity than metal incorporated ceria catalysts. CeO2 had the right kind of acidity/basicity ratio to activate ethanol and CO2 simultaneously, yielding DEC. The catalyst was reusable. The yield of DEC obtained in this study using the commercial catalyst was higher than that reported by others using ceria catalysts prepared by other methods. Under optimum conditions (ethanol : 2-CP molar ratio = 2 : 1, catalyst = 2.17 wt% with respect to ethanol, CO2 pressure = 40 bar, reaction temperature = 150 °C and reaction time = 3 h) in a batch reaction, a DEC yield as high as 45 mol% (i.e., 38.7 mmol mmol−1 of CeO2) was obtained.","author":[{"dropping-particle":"","family":"Giram","given":"Ganesh G.","non-dropping-particle":"","parse-names":false,"suffix":""},{"dropping-particle":"V.","family":"Bokade","given":"Vijay","non-dropping-particle":"","parse-names":false,"suffix":""},{"dropping-particle":"","family":"Darbha","given":"Srinivas","non-dropping-particle":"","parse-names":false,"suffix":""}],"container-title":"New Journal of Chemistry","id":"ITEM-1","issue":"21","issued":{"date-parts":[["2018"]]},"page":"17546-17552","publisher":"Royal Society of Chemistry","title":"Direct synthesis of diethyl carbonate from ethanol and carbon dioxide over ceria catalysts","type":"article-journal","volume":"42"},"uris":["http://www.mendeley.com/documents/?uuid=a6f9a6d3-fe5c-47d8-8dba-cef59d46555c"]}],"mendeley":{"formattedCitation":"[6]","plainTextFormattedCitation":"[6]","previouslyFormattedCitation":"[6]"},"properties":{"noteIndex":0},"schema":"https://github.com/citation-style-language/schema/raw/master/csl-citation.json"}</w:instrText>
      </w:r>
      <w:r>
        <w:fldChar w:fldCharType="separate"/>
      </w:r>
      <w:r w:rsidRPr="00FA4EB1">
        <w:rPr>
          <w:noProof/>
        </w:rPr>
        <w:t>[6]</w:t>
      </w:r>
      <w:r>
        <w:fldChar w:fldCharType="end"/>
      </w:r>
    </w:p>
    <w:p w14:paraId="5E3E0E10" w14:textId="77777777" w:rsidR="006F1591" w:rsidRDefault="006F1591" w:rsidP="00AD55FF">
      <w:pPr>
        <w:pStyle w:val="CETBodytext"/>
      </w:pPr>
    </w:p>
    <w:p w14:paraId="165A783A" w14:textId="252DF5E7" w:rsidR="00AD55FF" w:rsidRDefault="003A04BD" w:rsidP="00AD55FF">
      <w:pPr>
        <w:pStyle w:val="CETBodytext"/>
      </w:pPr>
      <w:r>
        <w:t xml:space="preserve">3ml of </w:t>
      </w:r>
      <w:r w:rsidR="003A51AE">
        <w:t>DEC w</w:t>
      </w:r>
      <w:r w:rsidR="003C6761">
        <w:t>ere</w:t>
      </w:r>
      <w:r w:rsidR="003A51AE">
        <w:t xml:space="preserve"> mixed with each of these solutions with a volume ratio of 1:1. When a two-phase system developed, phases were separated at the end of the experiment. Afterwards, DEC and </w:t>
      </w:r>
      <w:r w:rsidR="0095523E">
        <w:t>EtOH</w:t>
      </w:r>
      <w:r w:rsidR="003A51AE">
        <w:t xml:space="preserve"> were quantified </w:t>
      </w:r>
      <w:r w:rsidR="003C73D9">
        <w:t>with a GC-FID</w:t>
      </w:r>
      <w:r w:rsidR="00DF3AC9">
        <w:t xml:space="preserve"> (gas chromatograph equipped with a flame ionization detector)</w:t>
      </w:r>
      <w:r w:rsidR="003C73D9">
        <w:t xml:space="preserve"> as described in </w:t>
      </w:r>
      <w:r w:rsidR="003A51AE">
        <w:t>2.</w:t>
      </w:r>
      <w:r w:rsidR="0049142B">
        <w:t>2</w:t>
      </w:r>
      <w:r w:rsidR="003A51AE">
        <w:t xml:space="preserve">. It was assumed that DEC evaporation loss was negligible due to its high boiling point. </w:t>
      </w:r>
      <w:r w:rsidR="003C73D9">
        <w:t xml:space="preserve">For each substance, </w:t>
      </w:r>
      <w:r w:rsidR="0096545B">
        <w:t>four experiments were</w:t>
      </w:r>
      <w:r w:rsidR="003C73D9">
        <w:t xml:space="preserve"> carried out at ambient pressure, which differed in temperature and the presence or absence of </w:t>
      </w:r>
      <w:r w:rsidR="00FF1776">
        <w:t>0,125</w:t>
      </w:r>
      <w:r w:rsidR="00925397">
        <w:t> </w:t>
      </w:r>
      <w:r>
        <w:t xml:space="preserve">g of </w:t>
      </w:r>
      <w:r w:rsidR="003C73D9">
        <w:t>CeO</w:t>
      </w:r>
      <w:r w:rsidR="003C73D9" w:rsidRPr="007A6737">
        <w:rPr>
          <w:vertAlign w:val="subscript"/>
        </w:rPr>
        <w:t>2</w:t>
      </w:r>
      <w:r w:rsidR="003C73D9">
        <w:t xml:space="preserve">. </w:t>
      </w:r>
      <w:r w:rsidR="003C73D9" w:rsidRPr="00E01C50">
        <w:t xml:space="preserve">The influence of </w:t>
      </w:r>
      <w:r w:rsidR="003C73D9">
        <w:t>sodium chloride (NaCl)</w:t>
      </w:r>
      <w:r w:rsidR="003C73D9" w:rsidRPr="00E01C50">
        <w:t xml:space="preserve"> dissolved in the aqueous phase on chemical stability was investigated with the same solutions as above</w:t>
      </w:r>
      <w:r w:rsidR="0096545B">
        <w:t>,</w:t>
      </w:r>
      <w:r w:rsidR="003C73D9" w:rsidRPr="00E01C50">
        <w:t xml:space="preserve"> except for </w:t>
      </w:r>
      <w:r w:rsidR="003C73D9">
        <w:t>HCOOH</w:t>
      </w:r>
      <w:r w:rsidR="003C73D9" w:rsidRPr="00E01C50">
        <w:t xml:space="preserve"> </w:t>
      </w:r>
      <w:r w:rsidR="0096545B">
        <w:t>which was used as a</w:t>
      </w:r>
      <w:r w:rsidR="00792327">
        <w:t xml:space="preserve"> </w:t>
      </w:r>
      <w:r w:rsidR="0096545B">
        <w:t>pure compound</w:t>
      </w:r>
      <w:r w:rsidR="003C73D9" w:rsidRPr="00E01C50">
        <w:t>. NaCl concentration in the aqueous phase was 250</w:t>
      </w:r>
      <w:r w:rsidR="00216DD4">
        <w:t> </w:t>
      </w:r>
      <w:r w:rsidR="003C73D9" w:rsidRPr="00E01C50">
        <w:t>g/l.</w:t>
      </w:r>
      <w:r w:rsidR="003A51AE">
        <w:t xml:space="preserve"> The</w:t>
      </w:r>
      <w:r w:rsidR="003C73D9">
        <w:t xml:space="preserve"> resulting</w:t>
      </w:r>
      <w:r w:rsidR="003A51AE">
        <w:t xml:space="preserve"> phases were filtered </w:t>
      </w:r>
      <w:r w:rsidR="003C73D9">
        <w:t>before every analysis if a catalyst was applied</w:t>
      </w:r>
      <w:r w:rsidR="003A51AE">
        <w:t xml:space="preserve">. The net weight of the mixture before and after the experiment was documented. When </w:t>
      </w:r>
      <w:r w:rsidR="00792327">
        <w:t xml:space="preserve">the </w:t>
      </w:r>
      <w:r w:rsidR="003A51AE">
        <w:t xml:space="preserve">catalyst was present, it was assumed that </w:t>
      </w:r>
      <w:r w:rsidR="00792327">
        <w:t>i</w:t>
      </w:r>
      <w:r w:rsidR="003A51AE">
        <w:t>t accumulated only in the aqueous phase.</w:t>
      </w:r>
      <w:r w:rsidR="003C73D9">
        <w:t xml:space="preserve"> </w:t>
      </w:r>
      <w:r w:rsidR="00AD55FF">
        <w:t xml:space="preserve">If a separation of the product into two phases was observed, it was necessary to collect three samples of each product containing a sample of the </w:t>
      </w:r>
      <w:r w:rsidR="00B90E81">
        <w:t>aqueous</w:t>
      </w:r>
      <w:r w:rsidR="00AD55FF">
        <w:t xml:space="preserve">, organic and a mixture of both phases. Emulsions were drawn into a syringe to rest </w:t>
      </w:r>
      <w:r w:rsidR="00792327">
        <w:t xml:space="preserve">for </w:t>
      </w:r>
      <w:r w:rsidR="00AD55FF">
        <w:t>15 minutes until phase separation ha</w:t>
      </w:r>
      <w:r w:rsidR="00792327">
        <w:t>d</w:t>
      </w:r>
      <w:r w:rsidR="00AD55FF">
        <w:t xml:space="preserve"> taken place. </w:t>
      </w:r>
    </w:p>
    <w:p w14:paraId="6E9A512F" w14:textId="77777777" w:rsidR="00AD55FF" w:rsidRDefault="00AD55FF" w:rsidP="00AD55FF">
      <w:pPr>
        <w:pStyle w:val="CETBodytext"/>
      </w:pPr>
    </w:p>
    <w:p w14:paraId="21E2A192" w14:textId="527673B5" w:rsidR="00AE3270" w:rsidRDefault="00AE3270" w:rsidP="00AE3270">
      <w:pPr>
        <w:pStyle w:val="CETheadingx"/>
      </w:pPr>
      <w:r>
        <w:t>Materials</w:t>
      </w:r>
    </w:p>
    <w:p w14:paraId="4CCD5EAA" w14:textId="6DE61281" w:rsidR="00AE3270" w:rsidRDefault="00AE3270" w:rsidP="00AE3270">
      <w:pPr>
        <w:pStyle w:val="CETBodytext"/>
      </w:pPr>
      <w:r>
        <w:t>The experiments were carried out in three-neck round bottom flasks</w:t>
      </w:r>
      <w:r w:rsidR="00694931">
        <w:t xml:space="preserve"> equipped with glass plugs and thermometers</w:t>
      </w:r>
      <w:r>
        <w:t>.</w:t>
      </w:r>
      <w:r w:rsidR="00694931">
        <w:t xml:space="preserve"> The thermometers were inserted through a septum into the sample in the flask.</w:t>
      </w:r>
      <w:r w:rsidR="00925967">
        <w:t xml:space="preserve"> The flas</w:t>
      </w:r>
      <w:r w:rsidR="00694931">
        <w:t xml:space="preserve">ks were placed in an </w:t>
      </w:r>
      <w:r w:rsidR="00CD1CCD">
        <w:t>aluminum</w:t>
      </w:r>
      <w:r w:rsidR="00694931">
        <w:t xml:space="preserve"> bowl filled with a sand bed to enable a homogeneous heat transfer.</w:t>
      </w:r>
      <w:r>
        <w:t xml:space="preserve"> The samples were stirred with a magnetic stirrer for 24</w:t>
      </w:r>
      <w:r w:rsidR="005B592D">
        <w:t> </w:t>
      </w:r>
      <w:r>
        <w:t>(</w:t>
      </w:r>
      <w:r w:rsidR="00792327">
        <w:t>HCOOH for</w:t>
      </w:r>
      <w:r>
        <w:t xml:space="preserve"> 64)</w:t>
      </w:r>
      <w:r w:rsidR="00925397">
        <w:t> </w:t>
      </w:r>
      <w:r>
        <w:t>hours and, if necessary, heated to boiling point through a sand bed. To prevent losses due to evaporation, a Liebig cooler was installed. A thermometer was connected</w:t>
      </w:r>
      <w:r w:rsidR="00792327">
        <w:t>,</w:t>
      </w:r>
      <w:r>
        <w:t xml:space="preserve"> and the boiling temperature was read as soon as reflux occurred and the cooler</w:t>
      </w:r>
      <w:r w:rsidR="00792327">
        <w:t>'</w:t>
      </w:r>
      <w:r>
        <w:t xml:space="preserve">s inner surface. </w:t>
      </w:r>
    </w:p>
    <w:p w14:paraId="48AE9BE2" w14:textId="77777777" w:rsidR="00F520FA" w:rsidRPr="00BD64A5" w:rsidRDefault="00F520FA" w:rsidP="00AE3270">
      <w:pPr>
        <w:pStyle w:val="CETBodytext"/>
      </w:pPr>
    </w:p>
    <w:p w14:paraId="21BF8E93" w14:textId="5CC2AC06" w:rsidR="00AE3270" w:rsidRPr="00AE3270" w:rsidRDefault="00AE3270" w:rsidP="00AE3270">
      <w:pPr>
        <w:pStyle w:val="CETBodytext"/>
      </w:pPr>
      <w:r>
        <w:rPr>
          <w:lang w:val="en-GB"/>
        </w:rPr>
        <w:t>Diethyl carbonate (DEC, 99,9</w:t>
      </w:r>
      <w:r w:rsidR="00925397">
        <w:rPr>
          <w:lang w:val="en-GB"/>
        </w:rPr>
        <w:t> </w:t>
      </w:r>
      <w:r>
        <w:rPr>
          <w:lang w:val="en-GB"/>
        </w:rPr>
        <w:t>%) was purchased from Carl Roth. Phosphoric acid (H</w:t>
      </w:r>
      <w:r w:rsidRPr="000C5292">
        <w:rPr>
          <w:vertAlign w:val="subscript"/>
          <w:lang w:val="en-GB"/>
        </w:rPr>
        <w:t>3</w:t>
      </w:r>
      <w:r w:rsidRPr="000C5292">
        <w:rPr>
          <w:lang w:val="en-GB"/>
        </w:rPr>
        <w:t>PO</w:t>
      </w:r>
      <w:r w:rsidRPr="000C5292">
        <w:rPr>
          <w:vertAlign w:val="subscript"/>
          <w:lang w:val="en-GB"/>
        </w:rPr>
        <w:t>4</w:t>
      </w:r>
      <w:r>
        <w:rPr>
          <w:lang w:val="en-GB"/>
        </w:rPr>
        <w:t xml:space="preserve">, p.a., </w:t>
      </w:r>
      <w:proofErr w:type="spellStart"/>
      <w:r>
        <w:rPr>
          <w:lang w:val="en-GB"/>
        </w:rPr>
        <w:t>Lachema</w:t>
      </w:r>
      <w:proofErr w:type="spellEnd"/>
      <w:r>
        <w:rPr>
          <w:lang w:val="en-GB"/>
        </w:rPr>
        <w:t>), fuming hydrochloric acid (HCl, 37</w:t>
      </w:r>
      <w:r w:rsidR="00925397">
        <w:rPr>
          <w:lang w:val="en-GB"/>
        </w:rPr>
        <w:t> </w:t>
      </w:r>
      <w:r>
        <w:rPr>
          <w:lang w:val="en-GB"/>
        </w:rPr>
        <w:t>%, Sigma-Aldrich), potassium hydroxide (K</w:t>
      </w:r>
      <w:r w:rsidRPr="000C5292">
        <w:rPr>
          <w:lang w:val="en-GB"/>
        </w:rPr>
        <w:t>O</w:t>
      </w:r>
      <w:r>
        <w:rPr>
          <w:lang w:val="en-GB"/>
        </w:rPr>
        <w:t xml:space="preserve">H, </w:t>
      </w:r>
      <w:proofErr w:type="spellStart"/>
      <w:r>
        <w:rPr>
          <w:lang w:val="en-GB"/>
        </w:rPr>
        <w:t>Neuber</w:t>
      </w:r>
      <w:r w:rsidR="00792327">
        <w:rPr>
          <w:lang w:val="en-GB"/>
        </w:rPr>
        <w:t>'</w:t>
      </w:r>
      <w:r>
        <w:rPr>
          <w:lang w:val="en-GB"/>
        </w:rPr>
        <w:t>s</w:t>
      </w:r>
      <w:proofErr w:type="spellEnd"/>
      <w:r>
        <w:rPr>
          <w:lang w:val="en-GB"/>
        </w:rPr>
        <w:t xml:space="preserve"> </w:t>
      </w:r>
      <w:proofErr w:type="spellStart"/>
      <w:r>
        <w:rPr>
          <w:lang w:val="en-GB"/>
        </w:rPr>
        <w:t>Enkel</w:t>
      </w:r>
      <w:proofErr w:type="spellEnd"/>
      <w:r>
        <w:rPr>
          <w:lang w:val="en-GB"/>
        </w:rPr>
        <w:t>), formic acid (HCOOH, &gt;= 99</w:t>
      </w:r>
      <w:r w:rsidR="005B592D">
        <w:rPr>
          <w:lang w:val="en-GB"/>
        </w:rPr>
        <w:t> </w:t>
      </w:r>
      <w:r>
        <w:rPr>
          <w:lang w:val="en-GB"/>
        </w:rPr>
        <w:t>%, Merck), and acetic acid (</w:t>
      </w:r>
      <w:proofErr w:type="spellStart"/>
      <w:r>
        <w:rPr>
          <w:lang w:val="en-GB"/>
        </w:rPr>
        <w:t>HAc</w:t>
      </w:r>
      <w:proofErr w:type="spellEnd"/>
      <w:r>
        <w:rPr>
          <w:lang w:val="en-GB"/>
        </w:rPr>
        <w:t>, 99,8</w:t>
      </w:r>
      <w:r w:rsidR="005B592D">
        <w:rPr>
          <w:lang w:val="en-GB"/>
        </w:rPr>
        <w:t> </w:t>
      </w:r>
      <w:r>
        <w:rPr>
          <w:lang w:val="en-GB"/>
        </w:rPr>
        <w:t xml:space="preserve">%, EMD Millipore) were obtained and solved in water to </w:t>
      </w:r>
      <w:r>
        <w:rPr>
          <w:lang w:val="en-GB"/>
        </w:rPr>
        <w:lastRenderedPageBreak/>
        <w:t>mix 0.5</w:t>
      </w:r>
      <w:r w:rsidR="001E5700">
        <w:rPr>
          <w:lang w:val="en-GB"/>
        </w:rPr>
        <w:t> </w:t>
      </w:r>
      <w:r>
        <w:rPr>
          <w:lang w:val="en-GB"/>
        </w:rPr>
        <w:t>M solutions of each compound. Potassium hydroxide (KOH, platelets), sodium carbonate (NaOH, beads), sodium chloride (NaCl, grains) and sulphuric acid (H</w:t>
      </w:r>
      <w:r w:rsidRPr="004708A6">
        <w:rPr>
          <w:vertAlign w:val="subscript"/>
          <w:lang w:val="en-GB"/>
        </w:rPr>
        <w:t>2</w:t>
      </w:r>
      <w:r>
        <w:rPr>
          <w:lang w:val="en-GB"/>
        </w:rPr>
        <w:t>SO</w:t>
      </w:r>
      <w:r w:rsidRPr="004708A6">
        <w:rPr>
          <w:vertAlign w:val="subscript"/>
          <w:lang w:val="en-GB"/>
        </w:rPr>
        <w:t>4</w:t>
      </w:r>
      <w:r>
        <w:rPr>
          <w:lang w:val="en-GB"/>
        </w:rPr>
        <w:t>) were obtained from the in</w:t>
      </w:r>
      <w:r w:rsidR="0096545B">
        <w:rPr>
          <w:lang w:val="en-GB"/>
        </w:rPr>
        <w:t>-</w:t>
      </w:r>
      <w:r>
        <w:rPr>
          <w:lang w:val="en-GB"/>
        </w:rPr>
        <w:t>house laboratory stock and diluted in H</w:t>
      </w:r>
      <w:r w:rsidRPr="005B592D">
        <w:rPr>
          <w:vertAlign w:val="subscript"/>
          <w:lang w:val="en-GB"/>
        </w:rPr>
        <w:t>2</w:t>
      </w:r>
      <w:r>
        <w:rPr>
          <w:lang w:val="en-GB"/>
        </w:rPr>
        <w:t>O to form 0.5</w:t>
      </w:r>
      <w:r w:rsidR="005B592D">
        <w:rPr>
          <w:lang w:val="en-GB"/>
        </w:rPr>
        <w:t> </w:t>
      </w:r>
      <w:r>
        <w:rPr>
          <w:lang w:val="en-GB"/>
        </w:rPr>
        <w:t xml:space="preserve">molar solutions as well. HCOOH and </w:t>
      </w:r>
      <w:proofErr w:type="spellStart"/>
      <w:r>
        <w:rPr>
          <w:lang w:val="en-GB"/>
        </w:rPr>
        <w:t>HAc</w:t>
      </w:r>
      <w:proofErr w:type="spellEnd"/>
      <w:r>
        <w:rPr>
          <w:lang w:val="en-GB"/>
        </w:rPr>
        <w:t xml:space="preserve"> were also applied as pure compounds additionally. </w:t>
      </w:r>
    </w:p>
    <w:p w14:paraId="5F160E3C" w14:textId="6EDE09C0" w:rsidR="00AE3270" w:rsidRDefault="00AE3270" w:rsidP="00AE3270">
      <w:pPr>
        <w:pStyle w:val="CETheadingx"/>
      </w:pPr>
      <w:r>
        <w:t>Analytics</w:t>
      </w:r>
    </w:p>
    <w:p w14:paraId="140F8798" w14:textId="2936AB79" w:rsidR="00AE3270" w:rsidRDefault="00AE3270" w:rsidP="00AE3270">
      <w:pPr>
        <w:pStyle w:val="CETBodytext"/>
      </w:pPr>
      <w:r>
        <w:t xml:space="preserve">Gas chromatography coupled with a flame ionization detector (GC-FID) was used to analyze the samples. </w:t>
      </w:r>
      <w:r w:rsidR="00C16276">
        <w:t xml:space="preserve">GC-FIDs are highly reliable analytic instruments for the purpose of detection and quantification of volatile </w:t>
      </w:r>
      <w:r w:rsidR="009C1C78">
        <w:t>organics. Samples</w:t>
      </w:r>
      <w:r>
        <w:t xml:space="preserve"> were injected automatized from an autosampler (AOC 5000, Shimadzu), and </w:t>
      </w:r>
      <w:r w:rsidR="00D52D5E">
        <w:t>0,5</w:t>
      </w:r>
      <w:r w:rsidR="001E5700">
        <w:t> </w:t>
      </w:r>
      <w:proofErr w:type="spellStart"/>
      <w:r>
        <w:t>μl</w:t>
      </w:r>
      <w:proofErr w:type="spellEnd"/>
      <w:r>
        <w:t xml:space="preserve"> was set as the injection volume. Each sample was measured once. Dioxane was injected regularly before and between measurements to minimize carryover from the injector and column.</w:t>
      </w:r>
      <w:r w:rsidR="00D52D5E">
        <w:t xml:space="preserve"> </w:t>
      </w:r>
      <w:r w:rsidR="00D149B6" w:rsidRPr="00D149B6">
        <w:t>Calibration curves</w:t>
      </w:r>
      <w:r w:rsidR="00D149B6">
        <w:t xml:space="preserve"> </w:t>
      </w:r>
      <w:r w:rsidR="00D149B6" w:rsidRPr="00D149B6">
        <w:t xml:space="preserve">for </w:t>
      </w:r>
      <w:r w:rsidR="00792327">
        <w:t xml:space="preserve">the </w:t>
      </w:r>
      <w:r w:rsidR="00D149B6" w:rsidRPr="00D149B6">
        <w:t xml:space="preserve">quantification of DEC and ethanol </w:t>
      </w:r>
      <w:r w:rsidR="00D149B6">
        <w:t>were prepared by analyzing standards containing DEC and EtOH</w:t>
      </w:r>
      <w:r w:rsidR="00D149B6" w:rsidRPr="00D149B6">
        <w:t>.</w:t>
      </w:r>
    </w:p>
    <w:p w14:paraId="3A3A245E" w14:textId="63920782" w:rsidR="00AE3270" w:rsidRDefault="00AE3270" w:rsidP="00453E24">
      <w:pPr>
        <w:pStyle w:val="CETBodytext"/>
      </w:pPr>
    </w:p>
    <w:p w14:paraId="677EBFF0" w14:textId="2933650C" w:rsidR="00600535" w:rsidRPr="00B57B36" w:rsidRDefault="00660E11" w:rsidP="00600535">
      <w:pPr>
        <w:pStyle w:val="CETHeading1"/>
        <w:tabs>
          <w:tab w:val="right" w:pos="7100"/>
        </w:tabs>
        <w:jc w:val="both"/>
        <w:rPr>
          <w:lang w:val="en-GB"/>
        </w:rPr>
      </w:pPr>
      <w:r>
        <w:rPr>
          <w:lang w:val="en-GB"/>
        </w:rPr>
        <w:t>Results</w:t>
      </w:r>
    </w:p>
    <w:p w14:paraId="04963A06" w14:textId="240CB2E6" w:rsidR="00600535" w:rsidRPr="00B57B36" w:rsidRDefault="00DB5275" w:rsidP="00AE3270">
      <w:pPr>
        <w:pStyle w:val="CETheadingx"/>
      </w:pPr>
      <w:r>
        <w:t>Experiments</w:t>
      </w:r>
    </w:p>
    <w:p w14:paraId="35749808" w14:textId="52235FD1" w:rsidR="008B7D80" w:rsidRDefault="00E81B32" w:rsidP="00A21796">
      <w:pPr>
        <w:pStyle w:val="CETBodytext"/>
      </w:pPr>
      <w:r w:rsidRPr="00E81B32">
        <w:t xml:space="preserve">All </w:t>
      </w:r>
      <w:r w:rsidR="00792327">
        <w:t>chromatogram peak</w:t>
      </w:r>
      <w:r w:rsidRPr="00E81B32">
        <w:t xml:space="preserve">s have been checked manually and assigned to a substance by retention time for qualitative information about chemical stability. For quantitative information about chemical stability, </w:t>
      </w:r>
      <w:r w:rsidR="00792327">
        <w:t xml:space="preserve">the </w:t>
      </w:r>
      <w:r w:rsidRPr="00E81B32">
        <w:t xml:space="preserve">degradation of DEC was determined. The formation of </w:t>
      </w:r>
      <w:r w:rsidR="00457DC1">
        <w:t>EtOH</w:t>
      </w:r>
      <w:r w:rsidRPr="00E81B32">
        <w:t xml:space="preserve"> as a decomposition product was considered </w:t>
      </w:r>
      <w:r w:rsidR="00792327">
        <w:t>un</w:t>
      </w:r>
      <w:r w:rsidRPr="00E81B32">
        <w:t>suitable for the characterization of chemical stability because evaporation losses occurred during experiments.</w:t>
      </w:r>
      <w:r w:rsidR="00910B3F">
        <w:t xml:space="preserve"> </w:t>
      </w:r>
      <w:r w:rsidR="00A21796">
        <w:t xml:space="preserve">As documented in </w:t>
      </w:r>
      <w:r w:rsidR="00910B3F">
        <w:t>Figure 1</w:t>
      </w:r>
      <w:r w:rsidR="00792327">
        <w:t>,</w:t>
      </w:r>
      <w:r w:rsidR="00A21796">
        <w:t xml:space="preserve"> it can be seen that DEC may be involved in a reverse reaction with H</w:t>
      </w:r>
      <w:r w:rsidR="00A21796">
        <w:rPr>
          <w:vertAlign w:val="subscript"/>
        </w:rPr>
        <w:t>2</w:t>
      </w:r>
      <w:r w:rsidR="00A21796">
        <w:t>O</w:t>
      </w:r>
      <w:r w:rsidR="00966AF3">
        <w:t xml:space="preserve"> as described in the introduction</w:t>
      </w:r>
      <w:r w:rsidR="00A21796">
        <w:t xml:space="preserve">. </w:t>
      </w:r>
    </w:p>
    <w:p w14:paraId="2663A432" w14:textId="77777777" w:rsidR="000A46AD" w:rsidRPr="000A46AD" w:rsidRDefault="000A46AD" w:rsidP="00A21796">
      <w:pPr>
        <w:pStyle w:val="CETBodytext"/>
        <w:rPr>
          <w:sz w:val="8"/>
        </w:rPr>
      </w:pPr>
    </w:p>
    <w:p w14:paraId="7DAE5469" w14:textId="77777777" w:rsidR="008B7D80" w:rsidRDefault="008B7D80" w:rsidP="004D3D0A">
      <w:pPr>
        <w:pStyle w:val="CETBodytext"/>
      </w:pPr>
      <w:r w:rsidRPr="004D3D0A">
        <w:rPr>
          <w:noProof/>
        </w:rPr>
        <w:drawing>
          <wp:inline distT="0" distB="0" distL="0" distR="0" wp14:anchorId="2C6F527C" wp14:editId="27498C3B">
            <wp:extent cx="5758278" cy="299305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tretch>
                      <a:fillRect/>
                    </a:stretch>
                  </pic:blipFill>
                  <pic:spPr bwMode="auto">
                    <a:xfrm>
                      <a:off x="0" y="0"/>
                      <a:ext cx="5758278" cy="2993058"/>
                    </a:xfrm>
                    <a:prstGeom prst="rect">
                      <a:avLst/>
                    </a:prstGeom>
                    <a:noFill/>
                    <a:ln>
                      <a:noFill/>
                    </a:ln>
                  </pic:spPr>
                </pic:pic>
              </a:graphicData>
            </a:graphic>
          </wp:inline>
        </w:drawing>
      </w:r>
    </w:p>
    <w:p w14:paraId="75C7337C" w14:textId="5F2A5DF6" w:rsidR="008B7D80" w:rsidRPr="00910B3F" w:rsidRDefault="008B7D80" w:rsidP="00C24C64">
      <w:pPr>
        <w:pStyle w:val="CETCaption"/>
      </w:pPr>
      <w:r>
        <w:t xml:space="preserve">Figure </w:t>
      </w:r>
      <w:r>
        <w:fldChar w:fldCharType="begin"/>
      </w:r>
      <w:r>
        <w:instrText xml:space="preserve"> SEQ Figure \* ARABIC </w:instrText>
      </w:r>
      <w:r>
        <w:fldChar w:fldCharType="separate"/>
      </w:r>
      <w:r w:rsidR="00314831">
        <w:rPr>
          <w:noProof/>
        </w:rPr>
        <w:t>1</w:t>
      </w:r>
      <w:r>
        <w:fldChar w:fldCharType="end"/>
      </w:r>
      <w:r w:rsidR="00910B3F">
        <w:t>: DEC degradation of a binary DEC-Water system in dependence o</w:t>
      </w:r>
      <w:r w:rsidR="00792327">
        <w:t>n</w:t>
      </w:r>
      <w:r w:rsidR="00910B3F">
        <w:t xml:space="preserve"> added CeO</w:t>
      </w:r>
      <w:r w:rsidR="00910B3F">
        <w:rPr>
          <w:vertAlign w:val="subscript"/>
        </w:rPr>
        <w:t>2</w:t>
      </w:r>
      <w:r w:rsidR="00910B3F">
        <w:t xml:space="preserve"> or NaCl</w:t>
      </w:r>
    </w:p>
    <w:p w14:paraId="41FD8CD4" w14:textId="0D200980" w:rsidR="008B7D80" w:rsidRDefault="00C70B57" w:rsidP="004D3D0A">
      <w:pPr>
        <w:pStyle w:val="CETBodytext"/>
      </w:pPr>
      <w:r>
        <w:t>T</w:t>
      </w:r>
      <w:r w:rsidR="00A21796">
        <w:t>emperature does not</w:t>
      </w:r>
      <w:r w:rsidR="00C10425">
        <w:t xml:space="preserve"> seem</w:t>
      </w:r>
      <w:r w:rsidR="00A21796">
        <w:t xml:space="preserve"> to have a significant effect on the decomposition of DEC </w:t>
      </w:r>
      <w:r w:rsidR="009556E8">
        <w:t>as long as there is no CeO</w:t>
      </w:r>
      <w:r w:rsidR="009556E8" w:rsidRPr="00C70B57">
        <w:rPr>
          <w:vertAlign w:val="subscript"/>
        </w:rPr>
        <w:t>2</w:t>
      </w:r>
      <w:r w:rsidR="009556E8">
        <w:t xml:space="preserve"> involved. Mentioning the catalyst CeO</w:t>
      </w:r>
      <w:r w:rsidR="009556E8" w:rsidRPr="00C70B57">
        <w:rPr>
          <w:vertAlign w:val="subscript"/>
        </w:rPr>
        <w:t>2</w:t>
      </w:r>
      <w:r w:rsidR="009556E8">
        <w:t>, the simultaneous presence of it and elevated temperatures seem to boost the degradation of DEC o</w:t>
      </w:r>
      <w:r w:rsidR="00792327">
        <w:t>n</w:t>
      </w:r>
      <w:r w:rsidR="009556E8">
        <w:t xml:space="preserve"> a comparably low scale.</w:t>
      </w:r>
      <w:r w:rsidR="0053433C">
        <w:t xml:space="preserve"> Even t</w:t>
      </w:r>
      <w:r w:rsidR="005229F2">
        <w:t>h</w:t>
      </w:r>
      <w:r w:rsidR="0053433C">
        <w:t xml:space="preserve">ough NaCl is added to prevent decomposition </w:t>
      </w:r>
      <w:r w:rsidR="005229F2">
        <w:t xml:space="preserve">processes, it becomes lightly visible that this effect is observed to be inverse </w:t>
      </w:r>
      <w:r w:rsidR="005C0701">
        <w:t>at</w:t>
      </w:r>
      <w:r w:rsidR="005229F2">
        <w:t xml:space="preserve"> elevated temperatures.</w:t>
      </w:r>
      <w:r w:rsidR="00433A3A">
        <w:t xml:space="preserve"> </w:t>
      </w:r>
      <w:r w:rsidR="005C0701">
        <w:t>It is not clear why the decomposition of DEC is enhanced in this case.</w:t>
      </w:r>
      <w:r w:rsidR="00C22C12">
        <w:t xml:space="preserve"> This may be connected with the difference in the boiling points which also vary due to the different mixtures.</w:t>
      </w:r>
      <w:r w:rsidR="005C0701">
        <w:t xml:space="preserve"> </w:t>
      </w:r>
      <w:r w:rsidR="000D62C1">
        <w:t>Therefore,</w:t>
      </w:r>
      <w:r w:rsidR="005C0701">
        <w:t xml:space="preserve"> more experiments with varied amounts of salt would be required. </w:t>
      </w:r>
      <w:r w:rsidR="0017092B">
        <w:t>The presence of acidic compounds in the solution reveals a different dynamic</w:t>
      </w:r>
      <w:r w:rsidR="00A4379B">
        <w:t xml:space="preserve"> which is portrayed in </w:t>
      </w:r>
      <w:r w:rsidR="005C0701">
        <w:t>F</w:t>
      </w:r>
      <w:r w:rsidR="00A4379B">
        <w:t xml:space="preserve">igure </w:t>
      </w:r>
      <w:r w:rsidR="005C0701">
        <w:t>2</w:t>
      </w:r>
      <w:r w:rsidR="0017092B">
        <w:t>.</w:t>
      </w:r>
    </w:p>
    <w:p w14:paraId="40C399F4" w14:textId="41CB1D58" w:rsidR="0082680E" w:rsidRDefault="0082680E" w:rsidP="0082680E">
      <w:pPr>
        <w:pStyle w:val="CETBodytext"/>
        <w:jc w:val="center"/>
      </w:pPr>
      <w:bookmarkStart w:id="2" w:name="_GoBack"/>
      <w:r>
        <w:rPr>
          <w:noProof/>
        </w:rPr>
        <w:lastRenderedPageBreak/>
        <w:drawing>
          <wp:inline distT="0" distB="0" distL="0" distR="0" wp14:anchorId="4F204632" wp14:editId="2FB6B90F">
            <wp:extent cx="4803113" cy="21846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2938" cy="2193617"/>
                    </a:xfrm>
                    <a:prstGeom prst="rect">
                      <a:avLst/>
                    </a:prstGeom>
                    <a:noFill/>
                    <a:ln>
                      <a:noFill/>
                    </a:ln>
                  </pic:spPr>
                </pic:pic>
              </a:graphicData>
            </a:graphic>
          </wp:inline>
        </w:drawing>
      </w:r>
      <w:bookmarkEnd w:id="2"/>
    </w:p>
    <w:p w14:paraId="6B1FA7CE" w14:textId="065583B8" w:rsidR="00A4379B" w:rsidRDefault="008B7D80" w:rsidP="004D3D0A">
      <w:pPr>
        <w:pStyle w:val="CETCaption"/>
      </w:pPr>
      <w:r>
        <w:t xml:space="preserve">Figure </w:t>
      </w:r>
      <w:r>
        <w:fldChar w:fldCharType="begin"/>
      </w:r>
      <w:r>
        <w:instrText xml:space="preserve"> SEQ Figure \* ARABIC </w:instrText>
      </w:r>
      <w:r>
        <w:fldChar w:fldCharType="separate"/>
      </w:r>
      <w:r w:rsidR="00314831">
        <w:rPr>
          <w:noProof/>
        </w:rPr>
        <w:t>2</w:t>
      </w:r>
      <w:r>
        <w:fldChar w:fldCharType="end"/>
      </w:r>
      <w:r w:rsidR="000E1F5C">
        <w:t>: DEC degradation of a binary DEC-</w:t>
      </w:r>
      <w:r w:rsidR="00475828">
        <w:t>Acid</w:t>
      </w:r>
      <w:r w:rsidR="008974EE">
        <w:t xml:space="preserve"> </w:t>
      </w:r>
      <w:r w:rsidR="00475828">
        <w:t>(0.5</w:t>
      </w:r>
      <w:r w:rsidR="001E5700">
        <w:t> </w:t>
      </w:r>
      <w:r w:rsidR="00475828">
        <w:t>M)</w:t>
      </w:r>
      <w:r w:rsidR="000E1F5C">
        <w:t xml:space="preserve"> system in dependence of added CeO</w:t>
      </w:r>
      <w:r w:rsidR="000E1F5C">
        <w:rPr>
          <w:vertAlign w:val="subscript"/>
        </w:rPr>
        <w:t>2</w:t>
      </w:r>
      <w:r w:rsidR="000E1F5C">
        <w:t xml:space="preserve"> or NaCl</w:t>
      </w:r>
      <w:r w:rsidR="00475828">
        <w:t xml:space="preserve"> with H</w:t>
      </w:r>
      <w:r w:rsidR="00475828" w:rsidRPr="00475828">
        <w:rPr>
          <w:vertAlign w:val="subscript"/>
        </w:rPr>
        <w:t>2</w:t>
      </w:r>
      <w:r w:rsidR="00475828">
        <w:t>SO</w:t>
      </w:r>
      <w:r w:rsidR="00475828" w:rsidRPr="00475828">
        <w:rPr>
          <w:vertAlign w:val="subscript"/>
        </w:rPr>
        <w:t>4</w:t>
      </w:r>
      <w:r w:rsidR="00475828">
        <w:t>, H</w:t>
      </w:r>
      <w:r w:rsidR="00475828" w:rsidRPr="00475828">
        <w:rPr>
          <w:vertAlign w:val="subscript"/>
        </w:rPr>
        <w:t>3</w:t>
      </w:r>
      <w:r w:rsidR="00475828">
        <w:t>PO</w:t>
      </w:r>
      <w:r w:rsidR="00475828" w:rsidRPr="00475828">
        <w:rPr>
          <w:vertAlign w:val="subscript"/>
        </w:rPr>
        <w:t>4</w:t>
      </w:r>
      <w:r w:rsidR="00475828">
        <w:t xml:space="preserve">, HCl, HCOOH and </w:t>
      </w:r>
      <w:proofErr w:type="spellStart"/>
      <w:r w:rsidR="00475828">
        <w:t>HAc</w:t>
      </w:r>
      <w:proofErr w:type="spellEnd"/>
      <w:r w:rsidR="00475828">
        <w:t xml:space="preserve"> used as acids</w:t>
      </w:r>
    </w:p>
    <w:p w14:paraId="1BBAE2DC" w14:textId="514C75D7" w:rsidR="00D25BB6" w:rsidRDefault="00C567DB" w:rsidP="00A21796">
      <w:pPr>
        <w:pStyle w:val="CETBodytext"/>
      </w:pPr>
      <w:r>
        <w:t>The highest degradation is observed to occur in contact w</w:t>
      </w:r>
      <w:r w:rsidR="0082680E">
        <w:t xml:space="preserve">ith </w:t>
      </w:r>
      <w:r>
        <w:t>HCl</w:t>
      </w:r>
      <w:r w:rsidR="005C0701">
        <w:t>,</w:t>
      </w:r>
      <w:r>
        <w:t xml:space="preserve"> followed H</w:t>
      </w:r>
      <w:r w:rsidRPr="0028737F">
        <w:rPr>
          <w:vertAlign w:val="subscript"/>
        </w:rPr>
        <w:t>2</w:t>
      </w:r>
      <w:r>
        <w:t>SO</w:t>
      </w:r>
      <w:r w:rsidRPr="0028737F">
        <w:rPr>
          <w:vertAlign w:val="subscript"/>
        </w:rPr>
        <w:t>4</w:t>
      </w:r>
      <w:r w:rsidR="0028737F">
        <w:t>, H</w:t>
      </w:r>
      <w:r w:rsidR="0028737F">
        <w:rPr>
          <w:vertAlign w:val="subscript"/>
        </w:rPr>
        <w:t>3</w:t>
      </w:r>
      <w:r w:rsidR="0028737F">
        <w:t>PO</w:t>
      </w:r>
      <w:r w:rsidR="0028737F" w:rsidRPr="0028737F">
        <w:rPr>
          <w:vertAlign w:val="subscript"/>
        </w:rPr>
        <w:t>4</w:t>
      </w:r>
      <w:r w:rsidR="0028737F">
        <w:t xml:space="preserve">, HCOOH and </w:t>
      </w:r>
      <w:proofErr w:type="spellStart"/>
      <w:r w:rsidR="008969F5">
        <w:t>HAc</w:t>
      </w:r>
      <w:proofErr w:type="spellEnd"/>
      <w:r w:rsidR="0028737F">
        <w:t xml:space="preserve"> in a decreasing </w:t>
      </w:r>
      <w:r w:rsidR="008969F5">
        <w:t>sequence</w:t>
      </w:r>
      <w:r>
        <w:t>.</w:t>
      </w:r>
      <w:r w:rsidR="00F419DC">
        <w:t xml:space="preserve"> </w:t>
      </w:r>
      <w:r w:rsidR="0062522D">
        <w:t xml:space="preserve">The values </w:t>
      </w:r>
      <w:proofErr w:type="spellStart"/>
      <w:r w:rsidR="0062522D">
        <w:t>pK</w:t>
      </w:r>
      <w:r w:rsidR="0062522D" w:rsidRPr="0062522D">
        <w:rPr>
          <w:vertAlign w:val="subscript"/>
        </w:rPr>
        <w:t>A</w:t>
      </w:r>
      <w:proofErr w:type="spellEnd"/>
      <w:r w:rsidR="0062522D">
        <w:t xml:space="preserve"> and </w:t>
      </w:r>
      <w:proofErr w:type="spellStart"/>
      <w:r w:rsidR="0062522D">
        <w:t>pK</w:t>
      </w:r>
      <w:r w:rsidR="0062522D" w:rsidRPr="0062522D">
        <w:rPr>
          <w:vertAlign w:val="subscript"/>
        </w:rPr>
        <w:t>B</w:t>
      </w:r>
      <w:proofErr w:type="spellEnd"/>
      <w:r w:rsidR="0062522D">
        <w:t xml:space="preserve"> (</w:t>
      </w:r>
      <w:r w:rsidR="0062522D">
        <w:rPr>
          <w:rFonts w:eastAsia="SimSun"/>
          <w:lang w:val="it-IT"/>
        </w:rPr>
        <w:t xml:space="preserve">acid </w:t>
      </w:r>
      <w:proofErr w:type="spellStart"/>
      <w:r w:rsidR="0062522D">
        <w:rPr>
          <w:rFonts w:eastAsia="SimSun"/>
          <w:lang w:val="it-IT"/>
        </w:rPr>
        <w:t>dissociation</w:t>
      </w:r>
      <w:proofErr w:type="spellEnd"/>
      <w:r w:rsidR="0062522D">
        <w:rPr>
          <w:rFonts w:eastAsia="SimSun"/>
          <w:lang w:val="it-IT"/>
        </w:rPr>
        <w:t xml:space="preserve">- and base </w:t>
      </w:r>
      <w:proofErr w:type="spellStart"/>
      <w:r w:rsidR="0062522D">
        <w:rPr>
          <w:rFonts w:eastAsia="SimSun"/>
          <w:lang w:val="it-IT"/>
        </w:rPr>
        <w:t>dissociation</w:t>
      </w:r>
      <w:proofErr w:type="spellEnd"/>
      <w:r w:rsidR="0062522D">
        <w:rPr>
          <w:rFonts w:eastAsia="SimSun"/>
          <w:lang w:val="it-IT"/>
        </w:rPr>
        <w:t xml:space="preserve"> constant</w:t>
      </w:r>
      <w:r w:rsidR="0062522D">
        <w:t xml:space="preserve">) are commonly accessed parameters </w:t>
      </w:r>
      <w:r w:rsidR="00C560C8">
        <w:t xml:space="preserve">to obtain an enhanced understanding </w:t>
      </w:r>
      <w:r w:rsidR="00485DEB">
        <w:t xml:space="preserve">of </w:t>
      </w:r>
      <w:r w:rsidR="0062522D">
        <w:t>a solution</w:t>
      </w:r>
      <w:r w:rsidR="00485DEB">
        <w:t>'</w:t>
      </w:r>
      <w:r w:rsidR="0062522D">
        <w:t xml:space="preserve">s </w:t>
      </w:r>
      <w:proofErr w:type="spellStart"/>
      <w:r w:rsidR="0062522D">
        <w:t>acidiy</w:t>
      </w:r>
      <w:proofErr w:type="spellEnd"/>
      <w:r w:rsidR="0062522D">
        <w:t xml:space="preserve"> and ba</w:t>
      </w:r>
      <w:r w:rsidR="00485DEB">
        <w:t>s</w:t>
      </w:r>
      <w:r w:rsidR="0062522D">
        <w:t>icity. Therefore, it is also consulted to observe</w:t>
      </w:r>
      <w:r w:rsidR="00C560C8">
        <w:t xml:space="preserve"> DEC</w:t>
      </w:r>
      <w:r w:rsidR="00485DEB">
        <w:t>'</w:t>
      </w:r>
      <w:r w:rsidR="00C560C8">
        <w:t>s degra</w:t>
      </w:r>
      <w:r w:rsidR="00485DEB">
        <w:t>dat</w:t>
      </w:r>
      <w:r w:rsidR="00C560C8">
        <w:t xml:space="preserve">ion </w:t>
      </w:r>
      <w:r w:rsidR="0062522D">
        <w:t xml:space="preserve">in the presence of acids and bases. </w:t>
      </w:r>
      <w:r w:rsidR="00DB242B">
        <w:t>Comparing</w:t>
      </w:r>
      <w:r w:rsidR="00270898">
        <w:t xml:space="preserve"> DEC</w:t>
      </w:r>
      <w:r w:rsidR="00485DEB">
        <w:t>'</w:t>
      </w:r>
      <w:r w:rsidR="0062522D">
        <w:t>s</w:t>
      </w:r>
      <w:r w:rsidR="00270898">
        <w:t xml:space="preserve"> degradation in contact with the a</w:t>
      </w:r>
      <w:r w:rsidR="005C0701">
        <w:t>cids mentioned earlier</w:t>
      </w:r>
      <w:r w:rsidR="00F419DC">
        <w:t xml:space="preserve"> with the </w:t>
      </w:r>
      <w:proofErr w:type="spellStart"/>
      <w:r w:rsidR="00F419DC">
        <w:t>pK</w:t>
      </w:r>
      <w:r w:rsidR="00F419DC" w:rsidRPr="00F419DC">
        <w:rPr>
          <w:vertAlign w:val="subscript"/>
        </w:rPr>
        <w:t>A</w:t>
      </w:r>
      <w:proofErr w:type="spellEnd"/>
      <w:r w:rsidR="00F419DC">
        <w:rPr>
          <w:vertAlign w:val="subscript"/>
        </w:rPr>
        <w:t xml:space="preserve"> </w:t>
      </w:r>
      <w:r w:rsidR="00F419DC">
        <w:t xml:space="preserve">– values </w:t>
      </w:r>
      <w:r w:rsidR="00270898">
        <w:t xml:space="preserve">from </w:t>
      </w:r>
      <w:r w:rsidR="005C0701">
        <w:t xml:space="preserve">the </w:t>
      </w:r>
      <w:r w:rsidR="00270898">
        <w:t xml:space="preserve">literature reveals that the degradation </w:t>
      </w:r>
      <w:r w:rsidR="005C0701">
        <w:t>at</w:t>
      </w:r>
      <w:r w:rsidR="00270898">
        <w:t xml:space="preserve"> higher temperatures follows the same trend as the </w:t>
      </w:r>
      <w:proofErr w:type="spellStart"/>
      <w:r w:rsidR="00270898">
        <w:t>pK</w:t>
      </w:r>
      <w:r w:rsidR="00270898" w:rsidRPr="00270898">
        <w:rPr>
          <w:vertAlign w:val="subscript"/>
        </w:rPr>
        <w:t>A</w:t>
      </w:r>
      <w:proofErr w:type="spellEnd"/>
      <w:r w:rsidR="00270898">
        <w:t xml:space="preserve"> – value</w:t>
      </w:r>
      <w:r w:rsidR="009C734B">
        <w:t xml:space="preserve"> </w:t>
      </w:r>
      <w:r w:rsidR="009C734B">
        <w:fldChar w:fldCharType="begin" w:fldLock="1"/>
      </w:r>
      <w:r w:rsidR="00DB5275">
        <w:instrText>ADDIN CSL_CITATION {"citationItems":[{"id":"ITEM-1","itemData":{"abstract":"The degree of polymerization of cellulose is very relevant for physical and chemical properties of highly engineered biomaterials. The ability to control the level of depolymerisation to a final specific value opens new opportunities to design cellulose-based nanostructured materials. In this paper, the controlled hydrolysis of cellulose in 0-96% ethanol environment and with nine chosen acids (pK a-10-4.7) was studied in order to tailor the pretreatment of dissolving and kraft pulps for various applications. The acid hydrolysis of cellulose in aqueous environment decreased the viscosity-averaged degree of polymerisation (DP ν) and relative cellulose content. However, the addition of small amounts of ethanol preserved the cellulose content nearly at the original level, while decreasing the DPν. Furthermore, when the ethanol concentration increased, the DPν decreased manifoldly. The treatment with strong mineral acids in ethanol environment decreased the DPν by 75-80%, regardless of the initial DPν of the pulps. The correlation between the pK a of the acid and the final DPν was notable, and organic acids yielded a much higher DPν. Also, the electron microscopy study revealed that the outer cell wall layers were intact after the treatment with weak acids, whereas mineral acids in ethanol environment weakened the outer cell wall layers. This caused the dissolution mechanism to change when fibres were immersed in 0.2 M cupriethylenediamine. Fibres with intact outer cell wall layers dissolved via the ballooning mechanism, whereas fibres with ruptured outer cell wall dissolved via either fragmenting or uniform swelling.","author":[{"dropping-particle":"","family":"Trygg","given":"Jani","non-dropping-particle":"","parse-names":false,"suffix":""},{"dropping-particle":"","family":"Trivedi","given":"Poonam","non-dropping-particle":"","parse-names":false,"suffix":""},{"dropping-particle":"","family":"Fardim","given":"Pedro","non-dropping-particle":"","parse-names":false,"suffix":""}],"container-title":"CELLULOSE CHEMISTRY AND TECHNOLOGY Cellulose Chem. Technol","id":"ITEM-1","issue":"6","issued":{"date-parts":[["2016"]]},"page":"557-567","title":"CONTROLLED DEPOLYMERISATION OF CELLULOSE TO A GIVEN DEGREE OF POLYMERISATION","type":"article-journal","volume":"50"},"uris":["http://www.mendeley.com/documents/?uuid=54b99722-3894-3fac-af85-036942906563"]}],"mendeley":{"formattedCitation":"[7]","plainTextFormattedCitation":"[7]","previouslyFormattedCitation":"[7]"},"properties":{"noteIndex":0},"schema":"https://github.com/citation-style-language/schema/raw/master/csl-citation.json"}</w:instrText>
      </w:r>
      <w:r w:rsidR="009C734B">
        <w:fldChar w:fldCharType="separate"/>
      </w:r>
      <w:r w:rsidR="00FA4EB1" w:rsidRPr="00FA4EB1">
        <w:rPr>
          <w:noProof/>
        </w:rPr>
        <w:t>[7]</w:t>
      </w:r>
      <w:r w:rsidR="009C734B">
        <w:fldChar w:fldCharType="end"/>
      </w:r>
      <w:r w:rsidR="00270898">
        <w:t>.</w:t>
      </w:r>
      <w:r w:rsidR="0028737F">
        <w:t xml:space="preserve"> </w:t>
      </w:r>
      <w:r w:rsidR="00D14FAC">
        <w:t xml:space="preserve">The influence of </w:t>
      </w:r>
      <w:r w:rsidR="00D14FAC" w:rsidRPr="00D14FAC">
        <w:t>CeO</w:t>
      </w:r>
      <w:r w:rsidR="00D14FAC" w:rsidRPr="00D14FAC">
        <w:rPr>
          <w:vertAlign w:val="subscript"/>
        </w:rPr>
        <w:t>2</w:t>
      </w:r>
      <w:r w:rsidR="00D14FAC">
        <w:t xml:space="preserve"> and NaCl does not seem to follow any trends or patterns since it </w:t>
      </w:r>
      <w:r w:rsidR="005C0701">
        <w:t>appear</w:t>
      </w:r>
      <w:r w:rsidR="00C92C17">
        <w:t>s to be quite arbitrarily which reagent delivers the strongest decomposition in contact with DEC.</w:t>
      </w:r>
      <w:r w:rsidR="00D14FAC">
        <w:t xml:space="preserve"> </w:t>
      </w:r>
      <w:r w:rsidR="0017092B" w:rsidRPr="00D14FAC">
        <w:t>Starting</w:t>
      </w:r>
      <w:r w:rsidR="0017092B">
        <w:t xml:space="preserve"> with H</w:t>
      </w:r>
      <w:r w:rsidR="0017092B" w:rsidRPr="007C765F">
        <w:rPr>
          <w:vertAlign w:val="subscript"/>
        </w:rPr>
        <w:t>3</w:t>
      </w:r>
      <w:r w:rsidR="0017092B">
        <w:t>PO</w:t>
      </w:r>
      <w:r w:rsidR="0017092B" w:rsidRPr="007C765F">
        <w:rPr>
          <w:vertAlign w:val="subscript"/>
        </w:rPr>
        <w:t>4</w:t>
      </w:r>
      <w:r w:rsidR="005C0701">
        <w:rPr>
          <w:vertAlign w:val="subscript"/>
        </w:rPr>
        <w:t>,</w:t>
      </w:r>
      <w:r w:rsidR="0017092B">
        <w:t xml:space="preserve"> which mainly shows the highest degradation of DEC in the presence of salt, increasing the temperature seem</w:t>
      </w:r>
      <w:r w:rsidR="005C0701">
        <w:t>s</w:t>
      </w:r>
      <w:r w:rsidR="0017092B">
        <w:t xml:space="preserve"> to improve the activity of the catalyst </w:t>
      </w:r>
      <w:r w:rsidR="00485DEB">
        <w:t xml:space="preserve">and </w:t>
      </w:r>
      <w:r w:rsidR="005C0701">
        <w:t>increases</w:t>
      </w:r>
      <w:r w:rsidR="0017092B">
        <w:t xml:space="preserve"> the DEC degradation.</w:t>
      </w:r>
      <w:r w:rsidR="001B60AB">
        <w:t xml:space="preserve"> I</w:t>
      </w:r>
      <w:r w:rsidR="005C0701">
        <w:t>nterestingly,</w:t>
      </w:r>
      <w:r w:rsidR="001B60AB">
        <w:t xml:space="preserve"> the same effect is not </w:t>
      </w:r>
      <w:r w:rsidR="005C0701">
        <w:t>seen in the</w:t>
      </w:r>
      <w:r w:rsidR="001B60AB">
        <w:t xml:space="preserve"> same way with any of the other tested acid</w:t>
      </w:r>
      <w:r w:rsidR="005C0701">
        <w:t>ic</w:t>
      </w:r>
      <w:r w:rsidR="001B60AB">
        <w:t xml:space="preserve"> compounds.</w:t>
      </w:r>
      <w:r w:rsidR="00A22F64">
        <w:t xml:space="preserve"> </w:t>
      </w:r>
      <w:r w:rsidR="00C92C17">
        <w:t xml:space="preserve">The </w:t>
      </w:r>
      <w:r w:rsidR="007668F1">
        <w:t>comparably</w:t>
      </w:r>
      <w:r w:rsidR="00C92C17">
        <w:t xml:space="preserve"> weaker organic acids HCOOH and </w:t>
      </w:r>
      <w:proofErr w:type="spellStart"/>
      <w:r w:rsidR="00C92C17">
        <w:t>HAc</w:t>
      </w:r>
      <w:proofErr w:type="spellEnd"/>
      <w:r w:rsidR="00C92C17">
        <w:t xml:space="preserve"> deliver lightly higher degradations o</w:t>
      </w:r>
      <w:r w:rsidR="000559F6">
        <w:t>f</w:t>
      </w:r>
      <w:r w:rsidR="00C92C17">
        <w:t xml:space="preserve"> both – ambient temperature and on the </w:t>
      </w:r>
      <w:proofErr w:type="spellStart"/>
      <w:r w:rsidR="00C92C17">
        <w:t>b.p.</w:t>
      </w:r>
      <w:proofErr w:type="spellEnd"/>
      <w:r w:rsidR="0062522D">
        <w:t xml:space="preserve"> (boiling point)</w:t>
      </w:r>
      <w:r w:rsidR="00C92C17">
        <w:t xml:space="preserve"> if </w:t>
      </w:r>
      <w:r w:rsidR="00C92C17" w:rsidRPr="00C92C17">
        <w:t>CeO</w:t>
      </w:r>
      <w:r w:rsidR="00C92C17" w:rsidRPr="00C92C17">
        <w:rPr>
          <w:vertAlign w:val="subscript"/>
        </w:rPr>
        <w:t>2</w:t>
      </w:r>
      <w:r w:rsidR="00C92C17">
        <w:t xml:space="preserve"> is used. The application seems to </w:t>
      </w:r>
      <w:r w:rsidR="005C0701">
        <w:t>avoid degradation completely</w:t>
      </w:r>
      <w:r w:rsidR="00C92C17">
        <w:t xml:space="preserve">. </w:t>
      </w:r>
      <w:r w:rsidR="00A22F64" w:rsidRPr="00C92C17">
        <w:t>The</w:t>
      </w:r>
      <w:r w:rsidR="00A22F64">
        <w:t xml:space="preserve"> general effect observed on the contact of DEC with acidic compounds is a comparably fair degradation where no presence of a catalyst is needed. The presence of salt</w:t>
      </w:r>
      <w:r w:rsidR="00B24F97">
        <w:t>,</w:t>
      </w:r>
      <w:r w:rsidR="00A22F64">
        <w:t xml:space="preserve"> which shall incorporate </w:t>
      </w:r>
      <w:r w:rsidR="00B24F97">
        <w:t>an inhibitor's function as mentioned in 1.1., seems</w:t>
      </w:r>
      <w:r w:rsidR="00A22F64">
        <w:t xml:space="preserve"> indifferent </w:t>
      </w:r>
      <w:r w:rsidR="00B24F97">
        <w:t>to</w:t>
      </w:r>
      <w:r w:rsidR="00A22F64">
        <w:t xml:space="preserve"> the various acidic compounds.</w:t>
      </w:r>
      <w:r w:rsidR="00B24F97">
        <w:t xml:space="preserve"> Similar to the presence of NaCl in binary DEC solutions with water it is unclear why no trend was observed. Therefore, further investigation with various acid concentrations a</w:t>
      </w:r>
      <w:r w:rsidR="00DB242B">
        <w:t>nd</w:t>
      </w:r>
      <w:r w:rsidR="00B24F97">
        <w:t xml:space="preserve"> amounts of NaCl would be necessary. </w:t>
      </w:r>
      <w:r w:rsidR="009A78AC">
        <w:t>With many possible applications to be carried out in an alkaline environment the interest into the influence of basic compounds on DEC was present as well. Therefore, the recorded results are</w:t>
      </w:r>
      <w:r w:rsidR="00475828">
        <w:t xml:space="preserve"> displayed in </w:t>
      </w:r>
      <w:r w:rsidR="00B24F97">
        <w:t>F</w:t>
      </w:r>
      <w:r w:rsidR="00475828">
        <w:t>igure 3.</w:t>
      </w:r>
    </w:p>
    <w:p w14:paraId="76770A6F" w14:textId="77777777" w:rsidR="00E33EEC" w:rsidRPr="00A21796" w:rsidRDefault="00E33EEC" w:rsidP="00A21796">
      <w:pPr>
        <w:pStyle w:val="CETBodytext"/>
      </w:pPr>
    </w:p>
    <w:p w14:paraId="73EB50FB" w14:textId="77777777" w:rsidR="008B7D80" w:rsidRDefault="008B7D80" w:rsidP="004D3D0A">
      <w:pPr>
        <w:pStyle w:val="CETBodytext"/>
      </w:pPr>
      <w:r w:rsidRPr="004D3D0A">
        <w:rPr>
          <w:noProof/>
        </w:rPr>
        <w:drawing>
          <wp:inline distT="0" distB="0" distL="0" distR="0" wp14:anchorId="237A4070" wp14:editId="79A53F41">
            <wp:extent cx="4185138" cy="2253668"/>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tretch>
                      <a:fillRect/>
                    </a:stretch>
                  </pic:blipFill>
                  <pic:spPr bwMode="auto">
                    <a:xfrm>
                      <a:off x="0" y="0"/>
                      <a:ext cx="4232725" cy="2279293"/>
                    </a:xfrm>
                    <a:prstGeom prst="rect">
                      <a:avLst/>
                    </a:prstGeom>
                    <a:noFill/>
                    <a:ln>
                      <a:noFill/>
                    </a:ln>
                  </pic:spPr>
                </pic:pic>
              </a:graphicData>
            </a:graphic>
          </wp:inline>
        </w:drawing>
      </w:r>
    </w:p>
    <w:p w14:paraId="5BEAC08C" w14:textId="3727F8E5" w:rsidR="00660E11" w:rsidRPr="006A687C" w:rsidRDefault="008B7D80" w:rsidP="006A687C">
      <w:pPr>
        <w:pStyle w:val="CETCaption"/>
      </w:pPr>
      <w:r w:rsidRPr="006A687C">
        <w:t xml:space="preserve">Figure </w:t>
      </w:r>
      <w:r w:rsidRPr="006A687C">
        <w:fldChar w:fldCharType="begin"/>
      </w:r>
      <w:r w:rsidRPr="006A687C">
        <w:instrText xml:space="preserve"> SEQ Figure \* ARABIC </w:instrText>
      </w:r>
      <w:r w:rsidRPr="006A687C">
        <w:fldChar w:fldCharType="separate"/>
      </w:r>
      <w:r w:rsidR="00314831">
        <w:rPr>
          <w:noProof/>
        </w:rPr>
        <w:t>3</w:t>
      </w:r>
      <w:r w:rsidRPr="006A687C">
        <w:fldChar w:fldCharType="end"/>
      </w:r>
      <w:r w:rsidR="006A687C">
        <w:t xml:space="preserve">: </w:t>
      </w:r>
      <w:r w:rsidR="00745382">
        <w:t>DEC degradation of a binary DEC-base</w:t>
      </w:r>
      <w:r w:rsidR="008974EE">
        <w:t xml:space="preserve"> </w:t>
      </w:r>
      <w:r w:rsidR="00745382">
        <w:t>(0.5</w:t>
      </w:r>
      <w:r w:rsidR="007F0232">
        <w:t> </w:t>
      </w:r>
      <w:r w:rsidR="00745382">
        <w:t>M) system in dependence of added CeO</w:t>
      </w:r>
      <w:r w:rsidR="00745382">
        <w:rPr>
          <w:vertAlign w:val="subscript"/>
        </w:rPr>
        <w:t>2</w:t>
      </w:r>
      <w:r w:rsidR="00745382">
        <w:t xml:space="preserve"> or NaCl with KOH, NaOH and Na</w:t>
      </w:r>
      <w:r w:rsidR="00745382">
        <w:rPr>
          <w:vertAlign w:val="subscript"/>
        </w:rPr>
        <w:t>2</w:t>
      </w:r>
      <w:r w:rsidR="00745382">
        <w:t>CO</w:t>
      </w:r>
      <w:r w:rsidR="00745382">
        <w:rPr>
          <w:vertAlign w:val="subscript"/>
        </w:rPr>
        <w:t>3</w:t>
      </w:r>
      <w:r w:rsidR="00745382">
        <w:t xml:space="preserve"> used as acids</w:t>
      </w:r>
    </w:p>
    <w:p w14:paraId="18C7BBF5" w14:textId="35A64682" w:rsidR="00406B42" w:rsidRPr="003B1693" w:rsidRDefault="00516CB9" w:rsidP="00745382">
      <w:pPr>
        <w:pStyle w:val="CETBodytext"/>
        <w:rPr>
          <w:lang w:val="en-GB"/>
        </w:rPr>
      </w:pPr>
      <w:r>
        <w:lastRenderedPageBreak/>
        <w:t>The d</w:t>
      </w:r>
      <w:r w:rsidR="003A7C3B">
        <w:t xml:space="preserve">ecomposition of DEC already takes </w:t>
      </w:r>
      <w:r w:rsidR="00562FDA">
        <w:t xml:space="preserve">place </w:t>
      </w:r>
      <w:r>
        <w:t>at</w:t>
      </w:r>
      <w:r w:rsidR="00562FDA">
        <w:t xml:space="preserve"> ambient temperatures. Even though the presence of CeO</w:t>
      </w:r>
      <w:r w:rsidR="00562FDA">
        <w:rPr>
          <w:vertAlign w:val="subscript"/>
        </w:rPr>
        <w:t>2</w:t>
      </w:r>
      <w:r w:rsidR="00562FDA">
        <w:t xml:space="preserve"> and NaCl seem</w:t>
      </w:r>
      <w:r>
        <w:t>s</w:t>
      </w:r>
      <w:r w:rsidR="00562FDA">
        <w:t xml:space="preserve"> to have a</w:t>
      </w:r>
      <w:r w:rsidR="00061674">
        <w:t xml:space="preserve"> moderate</w:t>
      </w:r>
      <w:r w:rsidR="00562FDA">
        <w:t xml:space="preserve"> influence</w:t>
      </w:r>
      <w:r>
        <w:t>,</w:t>
      </w:r>
      <w:r w:rsidR="00562FDA">
        <w:t xml:space="preserve"> it is not easily determined in</w:t>
      </w:r>
      <w:r>
        <w:t xml:space="preserve"> which</w:t>
      </w:r>
      <w:r w:rsidR="00061674">
        <w:t xml:space="preserve"> direction the trend of their effect leads.</w:t>
      </w:r>
      <w:r w:rsidR="0074408C">
        <w:t xml:space="preserve"> Temperature appears to be the most influential parameter for the decomposition of DEC.</w:t>
      </w:r>
      <w:r w:rsidR="00061674">
        <w:t xml:space="preserve"> </w:t>
      </w:r>
      <w:r w:rsidR="0074408C">
        <w:t xml:space="preserve">It can be stated that the exposure of DEC with all applied basic compounds leads to a complete </w:t>
      </w:r>
      <w:r w:rsidR="005F3CD1">
        <w:t>de</w:t>
      </w:r>
      <w:r w:rsidR="0074408C">
        <w:t>composition that could be partially prevented with NaCl.</w:t>
      </w:r>
      <w:r w:rsidR="00997840">
        <w:t xml:space="preserve"> </w:t>
      </w:r>
      <w:r w:rsidR="00691B24">
        <w:t xml:space="preserve">The decomposition seems </w:t>
      </w:r>
      <w:r>
        <w:t>also t</w:t>
      </w:r>
      <w:r w:rsidR="00691B24">
        <w:t xml:space="preserve">o follow </w:t>
      </w:r>
      <w:r w:rsidR="004D1A4C">
        <w:t xml:space="preserve">the trend following the </w:t>
      </w:r>
      <w:proofErr w:type="spellStart"/>
      <w:r w:rsidR="004D1A4C">
        <w:t>pK</w:t>
      </w:r>
      <w:r w:rsidR="004D1A4C" w:rsidRPr="004D1A4C">
        <w:rPr>
          <w:vertAlign w:val="subscript"/>
        </w:rPr>
        <w:t>B</w:t>
      </w:r>
      <w:proofErr w:type="spellEnd"/>
      <w:r w:rsidR="004D1A4C">
        <w:t>-values of which KOH</w:t>
      </w:r>
      <w:r w:rsidR="00792327">
        <w:t>'</w:t>
      </w:r>
      <w:r w:rsidR="004D1A4C">
        <w:t>s and NaOH</w:t>
      </w:r>
      <w:r w:rsidR="00792327">
        <w:t>'</w:t>
      </w:r>
      <w:r w:rsidR="004D1A4C">
        <w:t xml:space="preserve">s </w:t>
      </w:r>
      <w:proofErr w:type="spellStart"/>
      <w:r w:rsidR="004D1A4C">
        <w:t>pK</w:t>
      </w:r>
      <w:r w:rsidR="004D1A4C">
        <w:rPr>
          <w:vertAlign w:val="subscript"/>
        </w:rPr>
        <w:t>B</w:t>
      </w:r>
      <w:proofErr w:type="spellEnd"/>
      <w:r w:rsidR="004D1A4C">
        <w:t>-values are comparably low over the one of Na</w:t>
      </w:r>
      <w:r w:rsidR="004D1A4C">
        <w:rPr>
          <w:vertAlign w:val="subscript"/>
        </w:rPr>
        <w:t>2</w:t>
      </w:r>
      <w:r w:rsidR="004D1A4C">
        <w:t>CO</w:t>
      </w:r>
      <w:r w:rsidR="004D1A4C">
        <w:rPr>
          <w:vertAlign w:val="subscript"/>
        </w:rPr>
        <w:t>3</w:t>
      </w:r>
      <w:r w:rsidR="004D1A4C">
        <w:t>.</w:t>
      </w:r>
      <w:r w:rsidR="00973D2F">
        <w:t xml:space="preserve"> </w:t>
      </w:r>
      <w:r w:rsidR="003B1693">
        <w:rPr>
          <w:lang w:val="en-GB"/>
        </w:rPr>
        <w:t>NaCl usually dissolves in a full</w:t>
      </w:r>
      <w:r>
        <w:rPr>
          <w:lang w:val="en-GB"/>
        </w:rPr>
        <w:t>y</w:t>
      </w:r>
      <w:r w:rsidR="003B1693">
        <w:rPr>
          <w:lang w:val="en-GB"/>
        </w:rPr>
        <w:t xml:space="preserve"> solvated state in water. </w:t>
      </w:r>
      <w:r w:rsidR="000559F6">
        <w:rPr>
          <w:lang w:val="en-GB"/>
        </w:rPr>
        <w:t>C</w:t>
      </w:r>
      <w:r w:rsidR="003B1693">
        <w:rPr>
          <w:lang w:val="en-GB"/>
        </w:rPr>
        <w:t>omparably strong ions Na</w:t>
      </w:r>
      <w:r w:rsidR="00032FE6" w:rsidRPr="00032FE6">
        <w:rPr>
          <w:vertAlign w:val="superscript"/>
          <w:lang w:val="en-GB"/>
        </w:rPr>
        <w:t>+</w:t>
      </w:r>
      <w:r w:rsidR="00032FE6">
        <w:rPr>
          <w:lang w:val="en-GB"/>
        </w:rPr>
        <w:t xml:space="preserve"> and </w:t>
      </w:r>
      <w:r w:rsidR="003B1693">
        <w:rPr>
          <w:lang w:val="en-GB"/>
        </w:rPr>
        <w:t>Cl</w:t>
      </w:r>
      <w:r w:rsidR="00032FE6" w:rsidRPr="00032FE6">
        <w:rPr>
          <w:vertAlign w:val="superscript"/>
          <w:lang w:val="en-GB"/>
        </w:rPr>
        <w:t>-</w:t>
      </w:r>
      <w:r w:rsidR="003B1693">
        <w:rPr>
          <w:lang w:val="en-GB"/>
        </w:rPr>
        <w:t xml:space="preserve"> may attract some of the water molecules, leaving </w:t>
      </w:r>
      <w:r>
        <w:rPr>
          <w:lang w:val="en-GB"/>
        </w:rPr>
        <w:t>fewer</w:t>
      </w:r>
      <w:r w:rsidR="003B1693">
        <w:rPr>
          <w:lang w:val="en-GB"/>
        </w:rPr>
        <w:t xml:space="preserve"> molecules behind</w:t>
      </w:r>
      <w:r w:rsidR="00745382">
        <w:rPr>
          <w:lang w:val="en-GB"/>
        </w:rPr>
        <w:t xml:space="preserve">. </w:t>
      </w:r>
      <w:r w:rsidR="00745382" w:rsidRPr="00745382">
        <w:rPr>
          <w:lang w:val="en-GB"/>
        </w:rPr>
        <w:t xml:space="preserve">This results in </w:t>
      </w:r>
      <w:r w:rsidR="00FD783F">
        <w:rPr>
          <w:lang w:val="en-GB"/>
        </w:rPr>
        <w:t>limited</w:t>
      </w:r>
      <w:r w:rsidR="00745382" w:rsidRPr="00745382">
        <w:rPr>
          <w:lang w:val="en-GB"/>
        </w:rPr>
        <w:t xml:space="preserve"> </w:t>
      </w:r>
      <w:r w:rsidR="002C5F77" w:rsidRPr="00745382">
        <w:rPr>
          <w:lang w:val="en-GB"/>
        </w:rPr>
        <w:t>availability</w:t>
      </w:r>
      <w:r w:rsidR="00745382" w:rsidRPr="00745382">
        <w:rPr>
          <w:lang w:val="en-GB"/>
        </w:rPr>
        <w:t xml:space="preserve"> of </w:t>
      </w:r>
      <w:r w:rsidR="00FD783F">
        <w:rPr>
          <w:lang w:val="en-GB"/>
        </w:rPr>
        <w:t>water</w:t>
      </w:r>
      <w:r w:rsidR="00745382" w:rsidRPr="00745382">
        <w:rPr>
          <w:lang w:val="en-GB"/>
        </w:rPr>
        <w:t xml:space="preserve"> </w:t>
      </w:r>
      <w:r w:rsidR="00FD783F">
        <w:rPr>
          <w:lang w:val="en-GB"/>
        </w:rPr>
        <w:t xml:space="preserve">to </w:t>
      </w:r>
      <w:proofErr w:type="spellStart"/>
      <w:r w:rsidR="00FD783F">
        <w:rPr>
          <w:lang w:val="en-GB"/>
        </w:rPr>
        <w:t>hydrolyze</w:t>
      </w:r>
      <w:proofErr w:type="spellEnd"/>
      <w:r w:rsidR="00FD783F">
        <w:rPr>
          <w:lang w:val="en-GB"/>
        </w:rPr>
        <w:t xml:space="preserve"> DEC</w:t>
      </w:r>
      <w:r w:rsidR="00745382">
        <w:rPr>
          <w:lang w:val="en-GB"/>
        </w:rPr>
        <w:t xml:space="preserve">. </w:t>
      </w:r>
      <w:r w:rsidR="003B1693">
        <w:rPr>
          <w:lang w:val="en-GB"/>
        </w:rPr>
        <w:fldChar w:fldCharType="begin" w:fldLock="1"/>
      </w:r>
      <w:r w:rsidR="00914F62">
        <w:rPr>
          <w:lang w:val="en-GB"/>
        </w:rPr>
        <w:instrText>ADDIN CSL_CITATION {"citationItems":[{"id":"ITEM-1","itemData":{"DOI":"10.1021/acssuschemeng.0c04008","abstract":"Diethyl carbonate (DEC) was evaluated as a green, renewable alternative to methyl isobutyl ketone and dibutyl carbitol for the recovery of gold from copper-rich sources, such as anode slimes, by solvent extraction from chloride solutions. DEC is a powerful extractant at high chloride concentrations and can be used to sequester and concentrate gold from large volumes of dilute aqueous solutions containing high concentrations of copper. Stripping can be performed using pure water. Different variables were investigated: DEC concentration, chloride concentration, chloride source, phase volume ratio, and equilibration time. The selectivity and phase disengagement times were studied, and possible mechanisms of extraction are discussed and evaluated. In addition, the stability of DEC against hydrolysis was measured.","author":[{"dropping-particle":"","family":"Raiguel","given":"Stijn","non-dropping-particle":"","parse-names":false,"suffix":""},{"dropping-particle":"","family":"Gijsemans","given":"Lukas","non-dropping-particle":"","parse-names":false,"suffix":""},{"dropping-particle":"","family":"Bossche","given":"Arne","non-dropping-particle":"Van Den","parse-names":false,"suffix":""},{"dropping-particle":"","family":"Onghena","given":"Bieke","non-dropping-particle":"","parse-names":false,"suffix":""},{"dropping-particle":"","family":"Binnemans","given":"Koen","non-dropping-particle":"","parse-names":false,"suffix":""}],"container-title":"Cite This: ACS Sustainable Chem. Eng","id":"ITEM-1","issued":{"date-parts":[["2020"]]},"page":"13713-13723","title":"Solvent Extraction of Gold(III) with Diethyl Carbonate","type":"article-journal","volume":"8"},"uris":["http://www.mendeley.com/documents/?uuid=79c57237-46b5-31da-b736-4419ec2a095f"]}],"mendeley":{"formattedCitation":"[4]","plainTextFormattedCitation":"[4]","previouslyFormattedCitation":"[4]"},"properties":{"noteIndex":0},"schema":"https://github.com/citation-style-language/schema/raw/master/csl-citation.json"}</w:instrText>
      </w:r>
      <w:r w:rsidR="003B1693">
        <w:rPr>
          <w:lang w:val="en-GB"/>
        </w:rPr>
        <w:fldChar w:fldCharType="separate"/>
      </w:r>
      <w:r w:rsidR="00914F62" w:rsidRPr="00914F62">
        <w:rPr>
          <w:noProof/>
          <w:lang w:val="en-GB"/>
        </w:rPr>
        <w:t>[4]</w:t>
      </w:r>
      <w:r w:rsidR="003B1693">
        <w:rPr>
          <w:lang w:val="en-GB"/>
        </w:rPr>
        <w:fldChar w:fldCharType="end"/>
      </w:r>
    </w:p>
    <w:p w14:paraId="38C09444" w14:textId="4F04CF24" w:rsidR="00660E11" w:rsidRPr="003B1693" w:rsidRDefault="00660E11" w:rsidP="00660E11">
      <w:pPr>
        <w:pStyle w:val="CETListbullets"/>
      </w:pPr>
    </w:p>
    <w:p w14:paraId="5AE01EF2" w14:textId="52BB6BF8" w:rsidR="00DB5275" w:rsidRPr="00B57B36" w:rsidRDefault="00DB5275" w:rsidP="00DB5275">
      <w:pPr>
        <w:pStyle w:val="CETheadingx"/>
      </w:pPr>
      <w:r>
        <w:t>Ethanol losses</w:t>
      </w:r>
    </w:p>
    <w:p w14:paraId="15E8B84D" w14:textId="3482DD47" w:rsidR="00DB5275" w:rsidRDefault="00516CB9" w:rsidP="00516CB9">
      <w:pPr>
        <w:pStyle w:val="CETBodytext"/>
      </w:pPr>
      <w:r>
        <w:t>The mass losses during the experiments were recorded and are displayed in Figure 4. Since the majority of the</w:t>
      </w:r>
      <w:r w:rsidR="00DB5275" w:rsidRPr="00DB5275">
        <w:t xml:space="preserve"> mass loss was associated with ethanol losses</w:t>
      </w:r>
      <w:r>
        <w:t>, the losses due to CO</w:t>
      </w:r>
      <w:r>
        <w:rPr>
          <w:vertAlign w:val="subscript"/>
        </w:rPr>
        <w:t>2</w:t>
      </w:r>
      <w:r>
        <w:t xml:space="preserve"> were neglected</w:t>
      </w:r>
      <w:r w:rsidR="00DB5275" w:rsidRPr="00DB5275">
        <w:t xml:space="preserve">. </w:t>
      </w:r>
    </w:p>
    <w:p w14:paraId="1B6FC3CA" w14:textId="77777777" w:rsidR="00C231B2" w:rsidRDefault="00C231B2" w:rsidP="00516CB9">
      <w:pPr>
        <w:pStyle w:val="CETBodytext"/>
      </w:pPr>
    </w:p>
    <w:p w14:paraId="05DF3EE7" w14:textId="77777777" w:rsidR="000A46AD" w:rsidRPr="000A46AD" w:rsidRDefault="000A46AD" w:rsidP="00516CB9">
      <w:pPr>
        <w:pStyle w:val="CETBodytext"/>
        <w:rPr>
          <w:sz w:val="8"/>
        </w:rPr>
      </w:pPr>
    </w:p>
    <w:p w14:paraId="2FE62F3B" w14:textId="77777777" w:rsidR="00BF415E" w:rsidRDefault="00BF415E" w:rsidP="00BF415E">
      <w:pPr>
        <w:pStyle w:val="CETListbullets"/>
        <w:keepNext/>
      </w:pPr>
      <w:r>
        <w:rPr>
          <w:noProof/>
        </w:rPr>
        <w:drawing>
          <wp:inline distT="0" distB="0" distL="0" distR="0" wp14:anchorId="5B4299EA" wp14:editId="6D94EE56">
            <wp:extent cx="5577456" cy="2702560"/>
            <wp:effectExtent l="0" t="0" r="444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a:picLocks noChangeAspect="1" noChangeArrowheads="1"/>
                    </pic:cNvPicPr>
                  </pic:nvPicPr>
                  <pic:blipFill>
                    <a:blip r:embed="rId13"/>
                    <a:stretch>
                      <a:fillRect/>
                    </a:stretch>
                  </pic:blipFill>
                  <pic:spPr bwMode="auto">
                    <a:xfrm>
                      <a:off x="0" y="0"/>
                      <a:ext cx="5577456" cy="2702560"/>
                    </a:xfrm>
                    <a:prstGeom prst="rect">
                      <a:avLst/>
                    </a:prstGeom>
                    <a:noFill/>
                    <a:ln>
                      <a:noFill/>
                    </a:ln>
                  </pic:spPr>
                </pic:pic>
              </a:graphicData>
            </a:graphic>
          </wp:inline>
        </w:drawing>
      </w:r>
    </w:p>
    <w:p w14:paraId="31698EFE" w14:textId="06FC5949" w:rsidR="00714566" w:rsidRDefault="00BF415E" w:rsidP="00FB22A5">
      <w:pPr>
        <w:pStyle w:val="CETCaption"/>
      </w:pPr>
      <w:r>
        <w:t xml:space="preserve">Figure </w:t>
      </w:r>
      <w:r>
        <w:fldChar w:fldCharType="begin"/>
      </w:r>
      <w:r>
        <w:instrText xml:space="preserve"> SEQ Figure \* ARABIC </w:instrText>
      </w:r>
      <w:r>
        <w:fldChar w:fldCharType="separate"/>
      </w:r>
      <w:r w:rsidR="00314831">
        <w:rPr>
          <w:noProof/>
        </w:rPr>
        <w:t>4</w:t>
      </w:r>
      <w:r>
        <w:fldChar w:fldCharType="end"/>
      </w:r>
      <w:r>
        <w:t>:</w:t>
      </w:r>
      <w:r w:rsidR="00D212D9">
        <w:t xml:space="preserve"> calculated theoretical and measured EtOH formation after </w:t>
      </w:r>
      <w:r w:rsidR="007B6559">
        <w:t>experiments with various chemicals on ambient and elevated temperatures</w:t>
      </w:r>
      <w:r w:rsidR="007B6559">
        <w:tab/>
      </w:r>
    </w:p>
    <w:p w14:paraId="1D94297A" w14:textId="303A128D" w:rsidR="00DB5275" w:rsidRDefault="00516CB9" w:rsidP="00516CB9">
      <w:pPr>
        <w:pStyle w:val="CETBodytext"/>
      </w:pPr>
      <w:r w:rsidRPr="00DB5275">
        <w:t>The low boiling point of ethanol was estimated to be the reason for this. It was assumed for calculations that DEC loss was negligible since DEC has a higher boiling point than water and ethanol. However, this assumption is most likely not exact. Consequently, results are estimated to be influenced by an unknown error.</w:t>
      </w:r>
    </w:p>
    <w:p w14:paraId="57906E30" w14:textId="77777777" w:rsidR="00DB5275" w:rsidRPr="003B1693" w:rsidRDefault="00DB5275" w:rsidP="00660E11">
      <w:pPr>
        <w:pStyle w:val="CETListbullets"/>
      </w:pPr>
    </w:p>
    <w:p w14:paraId="52DAFDE0" w14:textId="2CEC7E25" w:rsidR="001D0CFB" w:rsidRPr="00516CB9" w:rsidRDefault="00600535" w:rsidP="00600535">
      <w:pPr>
        <w:pStyle w:val="CETHeading1"/>
        <w:rPr>
          <w:lang w:val="en-GB"/>
        </w:rPr>
      </w:pPr>
      <w:r w:rsidRPr="00B57B36">
        <w:rPr>
          <w:lang w:val="en-GB"/>
        </w:rPr>
        <w:t>Conclusions</w:t>
      </w:r>
    </w:p>
    <w:p w14:paraId="57FC79B8" w14:textId="4A2AEF19" w:rsidR="00516CB9" w:rsidRPr="00AF4C74" w:rsidRDefault="00701D74" w:rsidP="00516CB9">
      <w:pPr>
        <w:pStyle w:val="CETBodytext"/>
      </w:pPr>
      <w:r>
        <w:t xml:space="preserve">The experimental trial </w:t>
      </w:r>
      <w:r w:rsidR="00AF4C74">
        <w:t>has clearly shown that decomposition of DEC can occur in various settings. At</w:t>
      </w:r>
      <w:r w:rsidR="00AF4C74" w:rsidRPr="00714566">
        <w:t xml:space="preserve"> low </w:t>
      </w:r>
      <w:r w:rsidR="00AF4C74">
        <w:t xml:space="preserve">temperatures </w:t>
      </w:r>
      <w:r w:rsidR="00AF4C74" w:rsidRPr="00714566">
        <w:t>degradation of DEC</w:t>
      </w:r>
      <w:r w:rsidR="00AF4C74">
        <w:t xml:space="preserve"> does not follow any obvious trends</w:t>
      </w:r>
      <w:r w:rsidR="00AF4C74" w:rsidRPr="00714566">
        <w:t xml:space="preserve">. </w:t>
      </w:r>
      <w:r w:rsidR="00AF4C74">
        <w:t>However, the</w:t>
      </w:r>
      <w:r w:rsidR="00AF4C74" w:rsidRPr="00714566">
        <w:t xml:space="preserve"> degradation</w:t>
      </w:r>
      <w:r w:rsidR="00AF4C74">
        <w:t xml:space="preserve"> mostly</w:t>
      </w:r>
      <w:r w:rsidR="00AF4C74" w:rsidRPr="00714566">
        <w:t xml:space="preserve"> accelerated</w:t>
      </w:r>
      <w:r w:rsidR="00AF4C74">
        <w:t xml:space="preserve"> significantly</w:t>
      </w:r>
      <w:r w:rsidR="00AF4C74" w:rsidRPr="00714566">
        <w:t xml:space="preserve"> at higher temperatures. The influence of catalyst was ra</w:t>
      </w:r>
      <w:r w:rsidR="00AF4C74">
        <w:t>ther random and requires more experiments to be described in more detail</w:t>
      </w:r>
      <w:r w:rsidR="00AF4C74" w:rsidRPr="00714566">
        <w:t>. Enhanced chemical stability by adding NaCl was observed at high levels of DEC degradation, the influence of salt at lower degradation rates fluctuated.</w:t>
      </w:r>
      <w:r w:rsidR="00A80682">
        <w:t xml:space="preserve"> T</w:t>
      </w:r>
      <w:r w:rsidR="00516CB9">
        <w:t>he e</w:t>
      </w:r>
      <w:r w:rsidR="00516CB9" w:rsidRPr="00714566">
        <w:t>xpressiveness of the results for quantitative information about chemical stability are limited</w:t>
      </w:r>
      <w:r w:rsidR="003415DE">
        <w:t xml:space="preserve"> due to the rather facile setup and limited number of experiments</w:t>
      </w:r>
      <w:r w:rsidR="00516CB9" w:rsidRPr="00714566">
        <w:t>.</w:t>
      </w:r>
      <w:r w:rsidR="00A226AC">
        <w:t xml:space="preserve"> Exchanging the setup with a tightly sealed system which can also be exposed to elevated pressure, could have improved the expressiveness of the results but would also create the necessity for further possibly complex equipment such as a level sensor.</w:t>
      </w:r>
      <w:r w:rsidR="00A80682">
        <w:t xml:space="preserve"> Nevertheless, it was still possible to obtain information about DEC</w:t>
      </w:r>
      <w:r w:rsidR="00485DEB">
        <w:t>'</w:t>
      </w:r>
      <w:r w:rsidR="00A80682">
        <w:t xml:space="preserve">s </w:t>
      </w:r>
      <w:proofErr w:type="spellStart"/>
      <w:r w:rsidR="00A80682">
        <w:t>behaviour</w:t>
      </w:r>
      <w:proofErr w:type="spellEnd"/>
      <w:r w:rsidR="003B0BC4">
        <w:t xml:space="preserve"> in acidic and basic solutions</w:t>
      </w:r>
      <w:r w:rsidR="00A80682">
        <w:t>.</w:t>
      </w:r>
      <w:r w:rsidR="00516CB9" w:rsidRPr="00714566">
        <w:t xml:space="preserve"> DEC is</w:t>
      </w:r>
      <w:r w:rsidR="003F02E6">
        <w:t xml:space="preserve"> apparently</w:t>
      </w:r>
      <w:r w:rsidR="00516CB9" w:rsidRPr="00714566">
        <w:t xml:space="preserve"> more susceptible to base-catalyzed than acid-catalyzed hydrolysis. The strength of the acid or base increased DEC degradation at boiling temperature.</w:t>
      </w:r>
      <w:r w:rsidR="00AF4C74">
        <w:t xml:space="preserve"> Nonetheless, since the decomposition products of DEC are mostly considered to be CO</w:t>
      </w:r>
      <w:r w:rsidR="00AF4C74">
        <w:rPr>
          <w:vertAlign w:val="subscript"/>
        </w:rPr>
        <w:t>2</w:t>
      </w:r>
      <w:r w:rsidR="00AF4C74">
        <w:t xml:space="preserve"> and water</w:t>
      </w:r>
      <w:r w:rsidR="00FE3969">
        <w:t>, the effort which must be taken to cope with the resulting compounds is comparably low. Further, the idea of a reduction of the decomposition considering the limited availability of water for a reverse reaction fuels the idea that DEC may be a promising alternative to other electrolyte additives.</w:t>
      </w:r>
    </w:p>
    <w:p w14:paraId="07A6D20F" w14:textId="0ECF229E" w:rsidR="00280FAF" w:rsidRPr="00280FAF" w:rsidRDefault="00280FAF" w:rsidP="00AE3270">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lastRenderedPageBreak/>
        <w:t>Nomenclature</w:t>
      </w:r>
    </w:p>
    <w:p w14:paraId="25D52BD8" w14:textId="751E6861" w:rsidR="00280FAF" w:rsidRPr="00280FAF" w:rsidRDefault="007F6112" w:rsidP="00280FAF">
      <w:pPr>
        <w:pStyle w:val="CETBodytext"/>
        <w:jc w:val="left"/>
        <w:rPr>
          <w:rFonts w:eastAsia="SimSun"/>
        </w:rPr>
      </w:pPr>
      <w:proofErr w:type="spellStart"/>
      <w:r>
        <w:rPr>
          <w:rFonts w:eastAsia="SimSun"/>
        </w:rPr>
        <w:t>b.p.</w:t>
      </w:r>
      <w:proofErr w:type="spellEnd"/>
      <w:r w:rsidR="00280FAF" w:rsidRPr="00280FAF">
        <w:rPr>
          <w:rFonts w:eastAsia="SimSun"/>
        </w:rPr>
        <w:t xml:space="preserve"> – </w:t>
      </w:r>
      <w:r>
        <w:rPr>
          <w:rFonts w:eastAsia="SimSun"/>
        </w:rPr>
        <w:t>boiling point</w:t>
      </w:r>
    </w:p>
    <w:p w14:paraId="7DFFBF41"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74FB985F" w14:textId="7E4A5293" w:rsidR="003C6761" w:rsidRPr="003C6761" w:rsidRDefault="003C6761" w:rsidP="00280FAF">
      <w:pPr>
        <w:pStyle w:val="CETBodytext"/>
        <w:jc w:val="left"/>
        <w:rPr>
          <w:rFonts w:eastAsia="SimSun"/>
          <w:lang w:val="it-IT"/>
        </w:rPr>
      </w:pPr>
      <w:r>
        <w:rPr>
          <w:rFonts w:eastAsia="SimSun"/>
          <w:lang w:val="it-IT"/>
        </w:rPr>
        <w:t xml:space="preserve">FID – </w:t>
      </w:r>
      <w:proofErr w:type="spellStart"/>
      <w:r>
        <w:rPr>
          <w:rFonts w:eastAsia="SimSun"/>
          <w:lang w:val="it-IT"/>
        </w:rPr>
        <w:t>f</w:t>
      </w:r>
      <w:r w:rsidRPr="003C6761">
        <w:rPr>
          <w:rFonts w:eastAsia="SimSun"/>
          <w:lang w:val="it-IT"/>
        </w:rPr>
        <w:t>lame</w:t>
      </w:r>
      <w:proofErr w:type="spellEnd"/>
      <w:r w:rsidRPr="003C6761">
        <w:rPr>
          <w:rFonts w:eastAsia="SimSun"/>
          <w:lang w:val="it-IT"/>
        </w:rPr>
        <w:t xml:space="preserve"> </w:t>
      </w:r>
      <w:proofErr w:type="spellStart"/>
      <w:r w:rsidRPr="003C6761">
        <w:rPr>
          <w:rFonts w:eastAsia="SimSun"/>
          <w:lang w:val="it-IT"/>
        </w:rPr>
        <w:t>ionization</w:t>
      </w:r>
      <w:proofErr w:type="spellEnd"/>
      <w:r w:rsidRPr="003C6761">
        <w:rPr>
          <w:rFonts w:eastAsia="SimSun"/>
          <w:lang w:val="it-IT"/>
        </w:rPr>
        <w:t xml:space="preserve"> detector</w:t>
      </w:r>
    </w:p>
    <w:p w14:paraId="47A24217" w14:textId="182914EE" w:rsidR="003C6761" w:rsidRDefault="003C6761" w:rsidP="00280FAF">
      <w:pPr>
        <w:pStyle w:val="CETBodytext"/>
        <w:jc w:val="left"/>
        <w:rPr>
          <w:rFonts w:eastAsia="SimSun"/>
          <w:lang w:val="it-IT"/>
        </w:rPr>
      </w:pPr>
      <w:r>
        <w:rPr>
          <w:rFonts w:eastAsia="SimSun"/>
          <w:lang w:val="it-IT"/>
        </w:rPr>
        <w:t xml:space="preserve">GC – gas </w:t>
      </w:r>
      <w:proofErr w:type="spellStart"/>
      <w:r>
        <w:rPr>
          <w:rFonts w:eastAsia="SimSun"/>
          <w:lang w:val="it-IT"/>
        </w:rPr>
        <w:t>chromatograph</w:t>
      </w:r>
      <w:proofErr w:type="spellEnd"/>
    </w:p>
    <w:p w14:paraId="7B14ABD3" w14:textId="4688C6BF" w:rsidR="004D45D7" w:rsidRDefault="004D45D7" w:rsidP="00280FAF">
      <w:pPr>
        <w:pStyle w:val="CETBodytext"/>
        <w:jc w:val="left"/>
        <w:rPr>
          <w:rFonts w:eastAsia="SimSun"/>
          <w:lang w:val="it-IT"/>
        </w:rPr>
      </w:pPr>
      <w:proofErr w:type="spellStart"/>
      <w:r>
        <w:rPr>
          <w:rFonts w:eastAsia="SimSun"/>
          <w:lang w:val="it-IT"/>
        </w:rPr>
        <w:t>pK</w:t>
      </w:r>
      <w:r w:rsidRPr="004D45D7">
        <w:rPr>
          <w:rFonts w:eastAsia="SimSun"/>
          <w:vertAlign w:val="subscript"/>
          <w:lang w:val="it-IT"/>
        </w:rPr>
        <w:t>A</w:t>
      </w:r>
      <w:proofErr w:type="spellEnd"/>
      <w:r>
        <w:rPr>
          <w:rFonts w:eastAsia="SimSun"/>
          <w:lang w:val="it-IT"/>
        </w:rPr>
        <w:t xml:space="preserve"> </w:t>
      </w:r>
      <w:r w:rsidR="00290767">
        <w:rPr>
          <w:rFonts w:eastAsia="SimSun"/>
          <w:lang w:val="it-IT"/>
        </w:rPr>
        <w:t>–</w:t>
      </w:r>
      <w:r>
        <w:rPr>
          <w:rFonts w:eastAsia="SimSun"/>
          <w:lang w:val="it-IT"/>
        </w:rPr>
        <w:t xml:space="preserve"> </w:t>
      </w:r>
      <w:r w:rsidR="00290767">
        <w:rPr>
          <w:rFonts w:eastAsia="SimSun"/>
          <w:lang w:val="it-IT"/>
        </w:rPr>
        <w:t xml:space="preserve">acid </w:t>
      </w:r>
      <w:proofErr w:type="spellStart"/>
      <w:r w:rsidR="00290767">
        <w:rPr>
          <w:rFonts w:eastAsia="SimSun"/>
          <w:lang w:val="it-IT"/>
        </w:rPr>
        <w:t>dissociation</w:t>
      </w:r>
      <w:proofErr w:type="spellEnd"/>
      <w:r w:rsidR="00290767">
        <w:rPr>
          <w:rFonts w:eastAsia="SimSun"/>
          <w:lang w:val="it-IT"/>
        </w:rPr>
        <w:t xml:space="preserve"> constant</w:t>
      </w:r>
    </w:p>
    <w:p w14:paraId="083D6090" w14:textId="3F5E5897" w:rsidR="00290767" w:rsidRPr="004D45D7" w:rsidRDefault="00290767" w:rsidP="00280FAF">
      <w:pPr>
        <w:pStyle w:val="CETBodytext"/>
        <w:jc w:val="left"/>
        <w:rPr>
          <w:rFonts w:eastAsia="SimSun"/>
          <w:lang w:val="it-IT"/>
        </w:rPr>
      </w:pPr>
      <w:proofErr w:type="spellStart"/>
      <w:r>
        <w:rPr>
          <w:rFonts w:eastAsia="SimSun"/>
          <w:lang w:val="it-IT"/>
        </w:rPr>
        <w:t>pK</w:t>
      </w:r>
      <w:r>
        <w:rPr>
          <w:rFonts w:eastAsia="SimSun"/>
          <w:vertAlign w:val="subscript"/>
          <w:lang w:val="it-IT"/>
        </w:rPr>
        <w:t>B</w:t>
      </w:r>
      <w:proofErr w:type="spellEnd"/>
      <w:r>
        <w:rPr>
          <w:rFonts w:eastAsia="SimSun"/>
          <w:lang w:val="it-IT"/>
        </w:rPr>
        <w:t xml:space="preserve"> – base </w:t>
      </w:r>
      <w:proofErr w:type="spellStart"/>
      <w:r>
        <w:rPr>
          <w:rFonts w:eastAsia="SimSun"/>
          <w:lang w:val="it-IT"/>
        </w:rPr>
        <w:t>dissociation</w:t>
      </w:r>
      <w:proofErr w:type="spellEnd"/>
      <w:r>
        <w:rPr>
          <w:rFonts w:eastAsia="SimSun"/>
          <w:lang w:val="it-IT"/>
        </w:rPr>
        <w:t xml:space="preserve"> constant</w:t>
      </w:r>
    </w:p>
    <w:p w14:paraId="57590CE2" w14:textId="38E788C3" w:rsidR="00280FAF" w:rsidRPr="00D1685D" w:rsidRDefault="007F6112" w:rsidP="00280FAF">
      <w:pPr>
        <w:pStyle w:val="CETBodytext"/>
        <w:jc w:val="left"/>
        <w:rPr>
          <w:rFonts w:eastAsia="SimSun"/>
          <w:lang w:val="it-IT"/>
        </w:rPr>
      </w:pPr>
      <w:r w:rsidRPr="00D1685D">
        <w:rPr>
          <w:rFonts w:eastAsia="SimSun"/>
          <w:lang w:val="it-IT"/>
        </w:rPr>
        <w:t>CeO</w:t>
      </w:r>
      <w:r w:rsidRPr="00D1685D">
        <w:rPr>
          <w:rFonts w:eastAsia="SimSun"/>
          <w:vertAlign w:val="subscript"/>
          <w:lang w:val="it-IT"/>
        </w:rPr>
        <w:t>2</w:t>
      </w:r>
      <w:r w:rsidR="00280FAF" w:rsidRPr="00D1685D">
        <w:rPr>
          <w:rFonts w:eastAsia="SimSun"/>
          <w:lang w:val="it-IT"/>
        </w:rPr>
        <w:t xml:space="preserve"> – </w:t>
      </w:r>
      <w:proofErr w:type="spellStart"/>
      <w:r w:rsidR="00D1685D" w:rsidRPr="00D1685D">
        <w:rPr>
          <w:rFonts w:eastAsia="SimSun"/>
          <w:lang w:val="it-IT"/>
        </w:rPr>
        <w:t>cer</w:t>
      </w:r>
      <w:r w:rsidR="00D1685D">
        <w:rPr>
          <w:rFonts w:eastAsia="SimSun"/>
          <w:lang w:val="it-IT"/>
        </w:rPr>
        <w:t>ium</w:t>
      </w:r>
      <w:proofErr w:type="spellEnd"/>
      <w:r w:rsidR="00D1685D">
        <w:rPr>
          <w:rFonts w:eastAsia="SimSun"/>
          <w:lang w:val="it-IT"/>
        </w:rPr>
        <w:t xml:space="preserve"> </w:t>
      </w:r>
      <w:proofErr w:type="spellStart"/>
      <w:r w:rsidR="00D1685D">
        <w:rPr>
          <w:rFonts w:eastAsia="SimSun"/>
          <w:lang w:val="it-IT"/>
        </w:rPr>
        <w:t>oxide</w:t>
      </w:r>
      <w:proofErr w:type="spellEnd"/>
    </w:p>
    <w:p w14:paraId="0E502614" w14:textId="2292ED45" w:rsidR="00280FAF" w:rsidRPr="00D1685D" w:rsidRDefault="007F6112" w:rsidP="00280FAF">
      <w:pPr>
        <w:pStyle w:val="CETBodytext"/>
        <w:jc w:val="left"/>
        <w:rPr>
          <w:rFonts w:eastAsia="SimSun"/>
          <w:lang w:val="it-IT"/>
        </w:rPr>
      </w:pPr>
      <w:r w:rsidRPr="00D1685D">
        <w:rPr>
          <w:rFonts w:eastAsia="SimSun"/>
          <w:lang w:val="it-IT"/>
        </w:rPr>
        <w:t>DEC</w:t>
      </w:r>
      <w:r w:rsidR="00280FAF" w:rsidRPr="00D1685D">
        <w:rPr>
          <w:rFonts w:eastAsia="SimSun"/>
          <w:lang w:val="it-IT"/>
        </w:rPr>
        <w:t xml:space="preserve"> – </w:t>
      </w:r>
      <w:proofErr w:type="spellStart"/>
      <w:r w:rsidRPr="00D1685D">
        <w:rPr>
          <w:rFonts w:eastAsia="SimSun"/>
          <w:lang w:val="it-IT"/>
        </w:rPr>
        <w:t>diethyl</w:t>
      </w:r>
      <w:proofErr w:type="spellEnd"/>
      <w:r w:rsidRPr="00D1685D">
        <w:rPr>
          <w:rFonts w:eastAsia="SimSun"/>
          <w:lang w:val="it-IT"/>
        </w:rPr>
        <w:t xml:space="preserve"> carbonate</w:t>
      </w:r>
    </w:p>
    <w:p w14:paraId="05CC3BA4" w14:textId="40185D12" w:rsidR="00280FAF" w:rsidRPr="00280FAF" w:rsidRDefault="007F6112" w:rsidP="00280FAF">
      <w:pPr>
        <w:pStyle w:val="CETBodytext"/>
        <w:jc w:val="left"/>
        <w:rPr>
          <w:rFonts w:eastAsia="SimSun"/>
        </w:rPr>
      </w:pPr>
      <w:proofErr w:type="spellStart"/>
      <w:r>
        <w:rPr>
          <w:rFonts w:eastAsia="SimSun"/>
        </w:rPr>
        <w:t>HAc</w:t>
      </w:r>
      <w:proofErr w:type="spellEnd"/>
      <w:r w:rsidR="00280FAF" w:rsidRPr="00280FAF">
        <w:rPr>
          <w:rFonts w:eastAsia="SimSun"/>
        </w:rPr>
        <w:t xml:space="preserve"> – </w:t>
      </w:r>
      <w:r>
        <w:rPr>
          <w:rFonts w:eastAsia="SimSun"/>
        </w:rPr>
        <w:t>acetic acid</w:t>
      </w:r>
    </w:p>
    <w:p w14:paraId="15A12960" w14:textId="071D5C35" w:rsidR="00C275F3" w:rsidRDefault="00C275F3" w:rsidP="00280FAF">
      <w:pPr>
        <w:pStyle w:val="CETBodytext"/>
        <w:jc w:val="left"/>
        <w:rPr>
          <w:rFonts w:eastAsia="SimSun"/>
        </w:rPr>
      </w:pPr>
      <w:r>
        <w:rPr>
          <w:rFonts w:eastAsia="SimSun"/>
        </w:rPr>
        <w:t>HCl – hydrochloric acid</w:t>
      </w:r>
    </w:p>
    <w:p w14:paraId="0718B861" w14:textId="0C759350" w:rsidR="00280FAF" w:rsidRPr="00280FAF" w:rsidRDefault="007F6112" w:rsidP="00280FAF">
      <w:pPr>
        <w:pStyle w:val="CETBodytext"/>
        <w:jc w:val="left"/>
        <w:rPr>
          <w:rFonts w:eastAsia="SimSun"/>
        </w:rPr>
      </w:pPr>
      <w:r>
        <w:rPr>
          <w:rFonts w:eastAsia="SimSun"/>
        </w:rPr>
        <w:t>HCOOH</w:t>
      </w:r>
      <w:r w:rsidR="00280FAF" w:rsidRPr="00280FAF">
        <w:rPr>
          <w:rFonts w:eastAsia="SimSun"/>
        </w:rPr>
        <w:t xml:space="preserve"> – </w:t>
      </w:r>
      <w:r>
        <w:rPr>
          <w:rFonts w:eastAsia="SimSun"/>
        </w:rPr>
        <w:t>formic acid</w:t>
      </w:r>
    </w:p>
    <w:p w14:paraId="5A6624BF" w14:textId="78825152" w:rsidR="00280FAF" w:rsidRDefault="007F6112" w:rsidP="00280FAF">
      <w:pPr>
        <w:pStyle w:val="CETBodytext"/>
        <w:jc w:val="left"/>
        <w:rPr>
          <w:rFonts w:eastAsia="SimSun"/>
        </w:rPr>
      </w:pPr>
      <w:r>
        <w:rPr>
          <w:rFonts w:eastAsia="SimSun"/>
        </w:rPr>
        <w:t>H</w:t>
      </w:r>
      <w:r w:rsidRPr="007F6112">
        <w:rPr>
          <w:rFonts w:eastAsia="SimSun"/>
          <w:vertAlign w:val="subscript"/>
        </w:rPr>
        <w:t>2</w:t>
      </w:r>
      <w:r>
        <w:rPr>
          <w:rFonts w:eastAsia="SimSun"/>
        </w:rPr>
        <w:t>O</w:t>
      </w:r>
      <w:r w:rsidR="00280FAF" w:rsidRPr="00280FAF">
        <w:rPr>
          <w:rFonts w:eastAsia="SimSun"/>
        </w:rPr>
        <w:t xml:space="preserve"> – </w:t>
      </w:r>
      <w:r>
        <w:rPr>
          <w:rFonts w:eastAsia="SimSun"/>
        </w:rPr>
        <w:t>water</w:t>
      </w:r>
    </w:p>
    <w:p w14:paraId="1918EB99" w14:textId="5E0DAC72" w:rsidR="00C275F3" w:rsidRPr="00280FAF" w:rsidRDefault="00C275F3" w:rsidP="00C275F3">
      <w:pPr>
        <w:pStyle w:val="CETBodytext"/>
        <w:jc w:val="left"/>
        <w:rPr>
          <w:rFonts w:eastAsia="SimSun"/>
        </w:rPr>
      </w:pPr>
      <w:r>
        <w:rPr>
          <w:rFonts w:eastAsia="SimSun"/>
        </w:rPr>
        <w:t>H</w:t>
      </w:r>
      <w:r w:rsidRPr="007F6112">
        <w:rPr>
          <w:rFonts w:eastAsia="SimSun"/>
          <w:vertAlign w:val="subscript"/>
        </w:rPr>
        <w:t>2</w:t>
      </w:r>
      <w:r>
        <w:rPr>
          <w:rFonts w:eastAsia="SimSun"/>
        </w:rPr>
        <w:t>SO</w:t>
      </w:r>
      <w:r w:rsidRPr="00C275F3">
        <w:rPr>
          <w:rFonts w:eastAsia="SimSun"/>
          <w:vertAlign w:val="subscript"/>
        </w:rPr>
        <w:t>4</w:t>
      </w:r>
      <w:r w:rsidRPr="00280FAF">
        <w:rPr>
          <w:rFonts w:eastAsia="SimSun"/>
        </w:rPr>
        <w:t xml:space="preserve"> – </w:t>
      </w:r>
      <w:r>
        <w:rPr>
          <w:rFonts w:eastAsia="SimSun"/>
        </w:rPr>
        <w:t>sulfuric acid</w:t>
      </w:r>
    </w:p>
    <w:p w14:paraId="6CABE263" w14:textId="56C4ECB8" w:rsidR="00C275F3" w:rsidRPr="00280FAF" w:rsidRDefault="00C275F3" w:rsidP="00280FAF">
      <w:pPr>
        <w:pStyle w:val="CETBodytext"/>
        <w:jc w:val="left"/>
        <w:rPr>
          <w:rFonts w:eastAsia="SimSun"/>
        </w:rPr>
      </w:pPr>
      <w:r>
        <w:rPr>
          <w:rFonts w:eastAsia="SimSun"/>
        </w:rPr>
        <w:t>H</w:t>
      </w:r>
      <w:r>
        <w:rPr>
          <w:rFonts w:eastAsia="SimSun"/>
          <w:vertAlign w:val="subscript"/>
        </w:rPr>
        <w:t>3</w:t>
      </w:r>
      <w:r>
        <w:rPr>
          <w:rFonts w:eastAsia="SimSun"/>
        </w:rPr>
        <w:t>PO</w:t>
      </w:r>
      <w:r w:rsidRPr="00C275F3">
        <w:rPr>
          <w:rFonts w:eastAsia="SimSun"/>
          <w:vertAlign w:val="subscript"/>
        </w:rPr>
        <w:t>4</w:t>
      </w:r>
      <w:r w:rsidRPr="00280FAF">
        <w:rPr>
          <w:rFonts w:eastAsia="SimSun"/>
        </w:rPr>
        <w:t xml:space="preserve"> –</w:t>
      </w:r>
      <w:r>
        <w:rPr>
          <w:rFonts w:eastAsia="SimSun"/>
        </w:rPr>
        <w:t xml:space="preserve"> phosphoric acid</w:t>
      </w:r>
    </w:p>
    <w:p w14:paraId="3F7E54BC" w14:textId="726F048D" w:rsidR="00183F72" w:rsidRDefault="00562FDA" w:rsidP="00280FAF">
      <w:pPr>
        <w:pStyle w:val="CETBodytext"/>
        <w:jc w:val="left"/>
        <w:rPr>
          <w:rFonts w:eastAsia="SimSun"/>
        </w:rPr>
      </w:pPr>
      <w:r w:rsidRPr="00061674">
        <w:rPr>
          <w:rFonts w:eastAsia="SimSun"/>
        </w:rPr>
        <w:t>K</w:t>
      </w:r>
      <w:r w:rsidR="00061674" w:rsidRPr="00061674">
        <w:rPr>
          <w:rFonts w:eastAsia="SimSun"/>
        </w:rPr>
        <w:t>OH</w:t>
      </w:r>
      <w:r w:rsidR="00280FAF" w:rsidRPr="00061674">
        <w:rPr>
          <w:rFonts w:eastAsia="SimSun"/>
        </w:rPr>
        <w:t xml:space="preserve"> – </w:t>
      </w:r>
      <w:r w:rsidRPr="00061674">
        <w:rPr>
          <w:rFonts w:eastAsia="SimSun"/>
        </w:rPr>
        <w:t>potassium hydroxide</w:t>
      </w:r>
    </w:p>
    <w:p w14:paraId="4FEBAF98" w14:textId="6C857BBF" w:rsidR="007F6112" w:rsidRDefault="007F6112" w:rsidP="00280FAF">
      <w:pPr>
        <w:pStyle w:val="CETBodytext"/>
        <w:jc w:val="left"/>
        <w:rPr>
          <w:rFonts w:eastAsia="SimSun"/>
        </w:rPr>
      </w:pPr>
      <w:r>
        <w:rPr>
          <w:rFonts w:eastAsia="SimSun"/>
        </w:rPr>
        <w:t>NaCl – sodium chloride</w:t>
      </w:r>
    </w:p>
    <w:p w14:paraId="5B890DF7" w14:textId="3A0665AC" w:rsidR="00061674" w:rsidRPr="00061674" w:rsidRDefault="00061674" w:rsidP="00280FAF">
      <w:pPr>
        <w:pStyle w:val="CETBodytext"/>
        <w:jc w:val="left"/>
        <w:rPr>
          <w:rFonts w:eastAsia="SimSun"/>
        </w:rPr>
      </w:pPr>
      <w:r>
        <w:rPr>
          <w:rFonts w:eastAsia="SimSun"/>
        </w:rPr>
        <w:t>Na</w:t>
      </w:r>
      <w:r>
        <w:rPr>
          <w:rFonts w:eastAsia="SimSun"/>
          <w:vertAlign w:val="subscript"/>
        </w:rPr>
        <w:t>2</w:t>
      </w:r>
      <w:r>
        <w:rPr>
          <w:rFonts w:eastAsia="SimSun"/>
        </w:rPr>
        <w:t>CO</w:t>
      </w:r>
      <w:r>
        <w:rPr>
          <w:rFonts w:eastAsia="SimSun"/>
          <w:vertAlign w:val="subscript"/>
        </w:rPr>
        <w:t>3</w:t>
      </w:r>
      <w:r>
        <w:rPr>
          <w:rFonts w:eastAsia="SimSun"/>
        </w:rPr>
        <w:t xml:space="preserve"> – sodium carbonate</w:t>
      </w:r>
    </w:p>
    <w:p w14:paraId="42FAA691" w14:textId="0C67118F" w:rsidR="00280FAF" w:rsidRPr="00280FAF" w:rsidRDefault="00562FDA" w:rsidP="00280FAF">
      <w:pPr>
        <w:pStyle w:val="CETBodytext"/>
        <w:jc w:val="left"/>
        <w:rPr>
          <w:rFonts w:eastAsia="SimSun"/>
        </w:rPr>
      </w:pPr>
      <w:r w:rsidRPr="00061674">
        <w:rPr>
          <w:rFonts w:eastAsia="SimSun"/>
        </w:rPr>
        <w:t>NaOH</w:t>
      </w:r>
      <w:r w:rsidR="00280FAF" w:rsidRPr="00061674">
        <w:rPr>
          <w:rFonts w:eastAsia="SimSun"/>
        </w:rPr>
        <w:t xml:space="preserve"> – </w:t>
      </w:r>
      <w:r w:rsidRPr="00061674">
        <w:rPr>
          <w:rFonts w:eastAsia="SimSun"/>
        </w:rPr>
        <w:t>sodium hydroxide</w:t>
      </w:r>
    </w:p>
    <w:p w14:paraId="506A6591" w14:textId="72B37644" w:rsidR="00B77078" w:rsidRDefault="00B77078" w:rsidP="00280FAF">
      <w:pPr>
        <w:pStyle w:val="CETBodytext"/>
        <w:jc w:val="left"/>
        <w:rPr>
          <w:rFonts w:eastAsia="SimSun"/>
        </w:rPr>
      </w:pPr>
      <w:proofErr w:type="spellStart"/>
      <w:r>
        <w:rPr>
          <w:rFonts w:eastAsia="SimSun"/>
        </w:rPr>
        <w:t>m</w:t>
      </w:r>
      <w:r>
        <w:rPr>
          <w:rFonts w:eastAsia="SimSun"/>
          <w:vertAlign w:val="subscript"/>
        </w:rPr>
        <w:t>EtOH</w:t>
      </w:r>
      <w:proofErr w:type="spellEnd"/>
      <w:r>
        <w:rPr>
          <w:rFonts w:eastAsia="SimSun"/>
          <w:vertAlign w:val="subscript"/>
        </w:rPr>
        <w:t>, theoretical</w:t>
      </w:r>
      <w:r>
        <w:rPr>
          <w:rFonts w:eastAsia="SimSun"/>
        </w:rPr>
        <w:t xml:space="preserve"> </w:t>
      </w:r>
      <w:r w:rsidR="00280FAF" w:rsidRPr="00280FAF">
        <w:rPr>
          <w:rFonts w:eastAsia="SimSun"/>
        </w:rPr>
        <w:t xml:space="preserve">– </w:t>
      </w:r>
      <w:r>
        <w:rPr>
          <w:rFonts w:eastAsia="SimSun"/>
        </w:rPr>
        <w:t>calculated mass EtOH</w:t>
      </w:r>
      <w:r w:rsidR="00280FAF" w:rsidRPr="00280FAF">
        <w:rPr>
          <w:rFonts w:eastAsia="SimSun"/>
        </w:rPr>
        <w:t>,</w:t>
      </w:r>
      <w:r w:rsidR="001E5C46">
        <w:rPr>
          <w:rFonts w:eastAsia="SimSun"/>
        </w:rPr>
        <w:t> </w:t>
      </w:r>
      <w:r>
        <w:rPr>
          <w:rFonts w:eastAsia="SimSun"/>
        </w:rPr>
        <w:t>g</w:t>
      </w:r>
    </w:p>
    <w:p w14:paraId="15F17467" w14:textId="79B937EC" w:rsidR="00280FAF" w:rsidRPr="00280FAF" w:rsidRDefault="00B77078" w:rsidP="00280FAF">
      <w:pPr>
        <w:pStyle w:val="CETBodytext"/>
        <w:jc w:val="left"/>
        <w:rPr>
          <w:rFonts w:eastAsia="SimSun"/>
        </w:rPr>
      </w:pPr>
      <w:proofErr w:type="spellStart"/>
      <w:r>
        <w:rPr>
          <w:rFonts w:eastAsia="SimSun"/>
        </w:rPr>
        <w:t>m</w:t>
      </w:r>
      <w:r>
        <w:rPr>
          <w:rFonts w:eastAsia="SimSun"/>
          <w:vertAlign w:val="subscript"/>
        </w:rPr>
        <w:t>DEC</w:t>
      </w:r>
      <w:proofErr w:type="spellEnd"/>
      <w:r>
        <w:rPr>
          <w:rFonts w:eastAsia="SimSun"/>
        </w:rPr>
        <w:t xml:space="preserve"> </w:t>
      </w:r>
      <w:r w:rsidR="00280FAF" w:rsidRPr="00280FAF">
        <w:rPr>
          <w:rFonts w:eastAsia="SimSun"/>
        </w:rPr>
        <w:t xml:space="preserve">– </w:t>
      </w:r>
      <w:r>
        <w:rPr>
          <w:rFonts w:eastAsia="SimSun"/>
        </w:rPr>
        <w:t>mass of DEC after experiment,</w:t>
      </w:r>
      <w:r w:rsidR="001E5C46">
        <w:rPr>
          <w:rFonts w:eastAsia="SimSun"/>
        </w:rPr>
        <w:t> </w:t>
      </w:r>
      <w:r>
        <w:rPr>
          <w:rFonts w:eastAsia="SimSun"/>
        </w:rPr>
        <w:t>g</w:t>
      </w:r>
    </w:p>
    <w:p w14:paraId="6B0B5F2B" w14:textId="02E55D85" w:rsidR="00280FAF" w:rsidRPr="00280FAF" w:rsidRDefault="00B77078" w:rsidP="00280FAF">
      <w:pPr>
        <w:pStyle w:val="CETBodytext"/>
        <w:jc w:val="left"/>
        <w:rPr>
          <w:rFonts w:eastAsia="SimSun"/>
        </w:rPr>
      </w:pPr>
      <w:proofErr w:type="spellStart"/>
      <w:r>
        <w:rPr>
          <w:rFonts w:eastAsia="SimSun"/>
        </w:rPr>
        <w:t>m</w:t>
      </w:r>
      <w:r>
        <w:rPr>
          <w:rFonts w:eastAsia="SimSun"/>
          <w:vertAlign w:val="subscript"/>
        </w:rPr>
        <w:t>DEC</w:t>
      </w:r>
      <w:proofErr w:type="spellEnd"/>
      <w:r>
        <w:rPr>
          <w:rFonts w:eastAsia="SimSun"/>
          <w:vertAlign w:val="subscript"/>
        </w:rPr>
        <w:t>, 0</w:t>
      </w:r>
      <w:r w:rsidRPr="00280FAF">
        <w:rPr>
          <w:rFonts w:eastAsia="SimSun"/>
        </w:rPr>
        <w:t xml:space="preserve"> </w:t>
      </w:r>
      <w:r w:rsidR="00280FAF" w:rsidRPr="00280FAF">
        <w:rPr>
          <w:rFonts w:eastAsia="SimSun"/>
        </w:rPr>
        <w:t xml:space="preserve">– </w:t>
      </w:r>
      <w:r>
        <w:rPr>
          <w:rFonts w:eastAsia="SimSun"/>
        </w:rPr>
        <w:t>mass of DEC fed to experiment,</w:t>
      </w:r>
      <w:r w:rsidR="001E5C46">
        <w:rPr>
          <w:rFonts w:eastAsia="SimSun"/>
        </w:rPr>
        <w:t> </w:t>
      </w:r>
      <w:r>
        <w:rPr>
          <w:rFonts w:eastAsia="SimSun"/>
        </w:rPr>
        <w:t>g</w:t>
      </w:r>
    </w:p>
    <w:p w14:paraId="21E2B8A5" w14:textId="4F42C18C" w:rsidR="00B77078" w:rsidRDefault="00B77078" w:rsidP="00B77078">
      <w:pPr>
        <w:pStyle w:val="CETBodytext"/>
        <w:jc w:val="left"/>
        <w:rPr>
          <w:rFonts w:eastAsia="SimSun"/>
        </w:rPr>
      </w:pPr>
      <w:proofErr w:type="spellStart"/>
      <w:r>
        <w:rPr>
          <w:rFonts w:eastAsia="SimSun"/>
        </w:rPr>
        <w:t>m</w:t>
      </w:r>
      <w:r>
        <w:rPr>
          <w:rFonts w:eastAsia="SimSun"/>
          <w:vertAlign w:val="subscript"/>
        </w:rPr>
        <w:t>EtOH</w:t>
      </w:r>
      <w:proofErr w:type="spellEnd"/>
      <w:r>
        <w:rPr>
          <w:rFonts w:eastAsia="SimSun"/>
          <w:vertAlign w:val="subscript"/>
        </w:rPr>
        <w:t>, theoretical</w:t>
      </w:r>
      <w:r>
        <w:rPr>
          <w:rFonts w:eastAsia="SimSun"/>
        </w:rPr>
        <w:t xml:space="preserve"> </w:t>
      </w:r>
      <w:r w:rsidRPr="00280FAF">
        <w:rPr>
          <w:rFonts w:eastAsia="SimSun"/>
        </w:rPr>
        <w:t>– ambient temperature,</w:t>
      </w:r>
      <w:r w:rsidR="001E5C46">
        <w:rPr>
          <w:rFonts w:eastAsia="SimSun"/>
        </w:rPr>
        <w:t> </w:t>
      </w:r>
      <w:r w:rsidRPr="00280FAF">
        <w:rPr>
          <w:rFonts w:eastAsia="SimSun"/>
        </w:rPr>
        <w:t>K</w:t>
      </w:r>
    </w:p>
    <w:p w14:paraId="11D245F2" w14:textId="7D82C0B3" w:rsidR="00B77078" w:rsidRPr="00280FAF" w:rsidRDefault="00B77078" w:rsidP="00B77078">
      <w:pPr>
        <w:pStyle w:val="CETBodytext"/>
        <w:jc w:val="left"/>
        <w:rPr>
          <w:rFonts w:eastAsia="SimSun"/>
        </w:rPr>
      </w:pPr>
      <w:proofErr w:type="spellStart"/>
      <w:r>
        <w:rPr>
          <w:rFonts w:eastAsia="SimSun"/>
        </w:rPr>
        <w:t>M</w:t>
      </w:r>
      <w:r>
        <w:rPr>
          <w:rFonts w:eastAsia="SimSun"/>
          <w:vertAlign w:val="subscript"/>
        </w:rPr>
        <w:t>EtOH</w:t>
      </w:r>
      <w:proofErr w:type="spellEnd"/>
      <w:r>
        <w:rPr>
          <w:rFonts w:eastAsia="SimSun"/>
        </w:rPr>
        <w:t xml:space="preserve"> </w:t>
      </w:r>
      <w:r w:rsidRPr="00280FAF">
        <w:rPr>
          <w:rFonts w:eastAsia="SimSun"/>
        </w:rPr>
        <w:t xml:space="preserve">– </w:t>
      </w:r>
      <w:r>
        <w:rPr>
          <w:rFonts w:eastAsia="SimSun"/>
        </w:rPr>
        <w:t>molar mass of EtOH,</w:t>
      </w:r>
      <w:r w:rsidR="001E5C46">
        <w:rPr>
          <w:rFonts w:eastAsia="SimSun"/>
        </w:rPr>
        <w:t> </w:t>
      </w:r>
      <w:r>
        <w:rPr>
          <w:rFonts w:eastAsia="SimSun"/>
        </w:rPr>
        <w:t>g/mol</w:t>
      </w:r>
    </w:p>
    <w:p w14:paraId="1DDE2B16" w14:textId="321D74A7" w:rsidR="00B77078" w:rsidRPr="00280FAF" w:rsidRDefault="00B77078" w:rsidP="00B77078">
      <w:pPr>
        <w:pStyle w:val="CETBodytext"/>
        <w:jc w:val="left"/>
        <w:rPr>
          <w:rFonts w:eastAsia="SimSun"/>
        </w:rPr>
      </w:pPr>
      <w:proofErr w:type="spellStart"/>
      <w:r>
        <w:rPr>
          <w:rFonts w:eastAsia="SimSun"/>
        </w:rPr>
        <w:t>m</w:t>
      </w:r>
      <w:r>
        <w:rPr>
          <w:rFonts w:eastAsia="SimSun"/>
          <w:vertAlign w:val="subscript"/>
        </w:rPr>
        <w:t>DEC</w:t>
      </w:r>
      <w:proofErr w:type="spellEnd"/>
      <w:r>
        <w:rPr>
          <w:rFonts w:eastAsia="SimSun"/>
          <w:vertAlign w:val="subscript"/>
        </w:rPr>
        <w:t>, 0</w:t>
      </w:r>
      <w:r w:rsidRPr="00280FAF">
        <w:rPr>
          <w:rFonts w:eastAsia="SimSun"/>
        </w:rPr>
        <w:t xml:space="preserve"> – </w:t>
      </w:r>
      <w:r>
        <w:rPr>
          <w:rFonts w:eastAsia="SimSun"/>
        </w:rPr>
        <w:t>molar mass of DEC,</w:t>
      </w:r>
      <w:r w:rsidR="001E5C46">
        <w:rPr>
          <w:rFonts w:eastAsia="SimSun"/>
        </w:rPr>
        <w:t> </w:t>
      </w:r>
      <w:r>
        <w:rPr>
          <w:rFonts w:eastAsia="SimSun"/>
        </w:rPr>
        <w:t>g/mol</w:t>
      </w:r>
    </w:p>
    <w:p w14:paraId="38BFE636" w14:textId="64B69DC9" w:rsidR="00280FAF" w:rsidRPr="00E377D0" w:rsidRDefault="00280FAF" w:rsidP="00280FAF">
      <w:pPr>
        <w:pStyle w:val="CETBodytext"/>
        <w:jc w:val="left"/>
        <w:rPr>
          <w:rFonts w:eastAsia="SimSun"/>
        </w:rPr>
        <w:sectPr w:rsidR="00280FAF" w:rsidRPr="00E377D0"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B57B36" w:rsidRDefault="00600535" w:rsidP="00600535">
      <w:pPr>
        <w:pStyle w:val="CETAcknowledgementstitle"/>
      </w:pPr>
      <w:r w:rsidRPr="00B57B36">
        <w:t>Acknowledgments</w:t>
      </w:r>
    </w:p>
    <w:p w14:paraId="49952165" w14:textId="4D08E687" w:rsidR="008F5A6E" w:rsidRDefault="008F5A6E" w:rsidP="008F5A6E">
      <w:pPr>
        <w:pStyle w:val="CETBodytext"/>
        <w:rPr>
          <w:b/>
        </w:rPr>
      </w:pPr>
      <w:r w:rsidRPr="008F5A6E">
        <w:t>This research was subsidized by city of Vienna funds via the Vienna Business Agency (WAW), grant number 2761267. Further, the authors acknowledge the funding support of K1-MET GmbH, metallurgical competence center. The research program of the K1-MET competence center is supported by COMET (Competence Center for Excellent Technologies), the Austrian program for competence centers. COMET is funded by the Federal Ministry for Transport, Innovation, and Technology; the Federal Ministry for Digital and Economic Affairs; the provinces of Upper Austria, Tyrol, and Styria; and the Styrian Business Promotion Agency (SFG)</w:t>
      </w:r>
      <w:r>
        <w:rPr>
          <w:b/>
        </w:rPr>
        <w:t>.</w:t>
      </w:r>
    </w:p>
    <w:p w14:paraId="4F1327F8" w14:textId="792EFF26" w:rsidR="00600535" w:rsidRPr="00B57B36" w:rsidRDefault="00600535" w:rsidP="00600535">
      <w:pPr>
        <w:pStyle w:val="CETReference"/>
      </w:pPr>
      <w:r w:rsidRPr="00B57B36">
        <w:t>References</w:t>
      </w:r>
    </w:p>
    <w:p w14:paraId="38076AC9" w14:textId="20EA6639" w:rsidR="00DB5275" w:rsidRPr="00DB5275" w:rsidRDefault="00DB5275" w:rsidP="00DB5275">
      <w:pPr>
        <w:widowControl w:val="0"/>
        <w:autoSpaceDE w:val="0"/>
        <w:autoSpaceDN w:val="0"/>
        <w:adjustRightInd w:val="0"/>
        <w:spacing w:line="240" w:lineRule="auto"/>
        <w:ind w:left="640" w:hanging="640"/>
        <w:rPr>
          <w:rFonts w:cs="Arial"/>
          <w:noProof/>
          <w:szCs w:val="24"/>
        </w:rPr>
      </w:pPr>
      <w:r>
        <w:fldChar w:fldCharType="begin" w:fldLock="1"/>
      </w:r>
      <w:r>
        <w:instrText xml:space="preserve">ADDIN Mendeley Bibliography CSL_BIBLIOGRAPHY </w:instrText>
      </w:r>
      <w:r>
        <w:fldChar w:fldCharType="separate"/>
      </w:r>
      <w:r w:rsidRPr="00DB5275">
        <w:rPr>
          <w:rFonts w:cs="Arial"/>
          <w:noProof/>
          <w:szCs w:val="24"/>
        </w:rPr>
        <w:t>[1]</w:t>
      </w:r>
      <w:r w:rsidRPr="00DB5275">
        <w:rPr>
          <w:rFonts w:cs="Arial"/>
          <w:noProof/>
          <w:szCs w:val="24"/>
        </w:rPr>
        <w:tab/>
        <w:t>K. Shukla, V.C. Srivastava, Diethyl carbonate: Critical review of synthesis routes, catalysts used and engineering aspects, RSC Adv. 6 (2016) 32624–32645. https://doi.org/10.1039/c6ra02518h.</w:t>
      </w:r>
    </w:p>
    <w:p w14:paraId="0F987997" w14:textId="77777777" w:rsidR="00DB5275" w:rsidRPr="00DB5275" w:rsidRDefault="00DB5275" w:rsidP="00DB5275">
      <w:pPr>
        <w:widowControl w:val="0"/>
        <w:autoSpaceDE w:val="0"/>
        <w:autoSpaceDN w:val="0"/>
        <w:adjustRightInd w:val="0"/>
        <w:spacing w:line="240" w:lineRule="auto"/>
        <w:ind w:left="640" w:hanging="640"/>
        <w:rPr>
          <w:rFonts w:cs="Arial"/>
          <w:noProof/>
          <w:szCs w:val="24"/>
        </w:rPr>
      </w:pPr>
      <w:r w:rsidRPr="00DB5275">
        <w:rPr>
          <w:rFonts w:cs="Arial"/>
          <w:noProof/>
          <w:szCs w:val="24"/>
        </w:rPr>
        <w:t>[2]</w:t>
      </w:r>
      <w:r w:rsidRPr="00DB5275">
        <w:rPr>
          <w:rFonts w:cs="Arial"/>
          <w:noProof/>
          <w:szCs w:val="24"/>
        </w:rPr>
        <w:tab/>
        <w:t>S. Huang, B. Yan, S. Wang, X. Ma, Recent advances in dialkyl carbonates synthesis and applications, Chem. Soc. Rev. 44 (2015) 3079–3116. https://doi.org/10.1039/C4CS00374H.</w:t>
      </w:r>
    </w:p>
    <w:p w14:paraId="677D3DCA" w14:textId="77777777" w:rsidR="00DB5275" w:rsidRPr="00DB5275" w:rsidRDefault="00DB5275" w:rsidP="00DB5275">
      <w:pPr>
        <w:widowControl w:val="0"/>
        <w:autoSpaceDE w:val="0"/>
        <w:autoSpaceDN w:val="0"/>
        <w:adjustRightInd w:val="0"/>
        <w:spacing w:line="240" w:lineRule="auto"/>
        <w:ind w:left="640" w:hanging="640"/>
        <w:rPr>
          <w:rFonts w:cs="Arial"/>
          <w:noProof/>
          <w:szCs w:val="24"/>
        </w:rPr>
      </w:pPr>
      <w:r w:rsidRPr="00DB5275">
        <w:rPr>
          <w:rFonts w:cs="Arial"/>
          <w:noProof/>
          <w:szCs w:val="24"/>
        </w:rPr>
        <w:t>[3]</w:t>
      </w:r>
      <w:r w:rsidRPr="00DB5275">
        <w:rPr>
          <w:rFonts w:cs="Arial"/>
          <w:noProof/>
          <w:szCs w:val="24"/>
        </w:rPr>
        <w:tab/>
        <w:t>X. Yang, B. Wang, H. Luo, S. Yan, J. Dai, Z. Bai, Efficient recovery of phenol from coal tar processing wastewater with tributylphosphane/diethyl carbonate/cyclohexane: Extraction cycle and mechanism study, Chem. Eng. Res. Des. 157 (2020) 104–113. https://doi.org/10.1016/J.CHERD.2020.03.005.</w:t>
      </w:r>
    </w:p>
    <w:p w14:paraId="4AB86777" w14:textId="77777777" w:rsidR="00DB5275" w:rsidRPr="00DB5275" w:rsidRDefault="00DB5275" w:rsidP="00DB5275">
      <w:pPr>
        <w:widowControl w:val="0"/>
        <w:autoSpaceDE w:val="0"/>
        <w:autoSpaceDN w:val="0"/>
        <w:adjustRightInd w:val="0"/>
        <w:spacing w:line="240" w:lineRule="auto"/>
        <w:ind w:left="640" w:hanging="640"/>
        <w:rPr>
          <w:rFonts w:cs="Arial"/>
          <w:noProof/>
          <w:szCs w:val="24"/>
        </w:rPr>
      </w:pPr>
      <w:r w:rsidRPr="00DB5275">
        <w:rPr>
          <w:rFonts w:cs="Arial"/>
          <w:noProof/>
          <w:szCs w:val="24"/>
        </w:rPr>
        <w:t>[4]</w:t>
      </w:r>
      <w:r w:rsidRPr="00DB5275">
        <w:rPr>
          <w:rFonts w:cs="Arial"/>
          <w:noProof/>
          <w:szCs w:val="24"/>
        </w:rPr>
        <w:tab/>
        <w:t>S. Raiguel, L. Gijsemans, A. Van Den Bossche, B. Onghena, K. Binnemans, Solvent Extraction of Gold(III) with Diethyl Carbonate, Cite This ACS Sustain. Chem. Eng. 8 (2020) 13713–13723. https://doi.org/10.1021/acssuschemeng.0c04008.</w:t>
      </w:r>
    </w:p>
    <w:p w14:paraId="1F662E74" w14:textId="77777777" w:rsidR="00DB5275" w:rsidRPr="00DB5275" w:rsidRDefault="00DB5275" w:rsidP="00DB5275">
      <w:pPr>
        <w:widowControl w:val="0"/>
        <w:autoSpaceDE w:val="0"/>
        <w:autoSpaceDN w:val="0"/>
        <w:adjustRightInd w:val="0"/>
        <w:spacing w:line="240" w:lineRule="auto"/>
        <w:ind w:left="640" w:hanging="640"/>
        <w:rPr>
          <w:rFonts w:cs="Arial"/>
          <w:noProof/>
          <w:szCs w:val="24"/>
        </w:rPr>
      </w:pPr>
      <w:r w:rsidRPr="00DB5275">
        <w:rPr>
          <w:rFonts w:cs="Arial"/>
          <w:noProof/>
          <w:szCs w:val="24"/>
        </w:rPr>
        <w:t>[5]</w:t>
      </w:r>
      <w:r w:rsidRPr="00DB5275">
        <w:rPr>
          <w:rFonts w:cs="Arial"/>
          <w:noProof/>
          <w:szCs w:val="24"/>
        </w:rPr>
        <w:tab/>
        <w:t>M.N. Al-Shamary, H.A. Al-Lohedan, M.Z.A. Rafiquee, F. El-Ablack, Z.A. Issa, Micellar effect upon the rate of alkaline hydrolysis of carboxylic and carbonate esters, J. Saudi Chem. Soc. 21 (2017) S193–S201. https://doi.org/10.1016/J.JSCS.2014.01.002.</w:t>
      </w:r>
    </w:p>
    <w:p w14:paraId="2E10D309" w14:textId="77777777" w:rsidR="00DB5275" w:rsidRPr="00DB5275" w:rsidRDefault="00DB5275" w:rsidP="00DB5275">
      <w:pPr>
        <w:widowControl w:val="0"/>
        <w:autoSpaceDE w:val="0"/>
        <w:autoSpaceDN w:val="0"/>
        <w:adjustRightInd w:val="0"/>
        <w:spacing w:line="240" w:lineRule="auto"/>
        <w:ind w:left="640" w:hanging="640"/>
        <w:rPr>
          <w:rFonts w:cs="Arial"/>
          <w:noProof/>
          <w:szCs w:val="24"/>
        </w:rPr>
      </w:pPr>
      <w:r w:rsidRPr="00DB5275">
        <w:rPr>
          <w:rFonts w:cs="Arial"/>
          <w:noProof/>
          <w:szCs w:val="24"/>
        </w:rPr>
        <w:t>[6]</w:t>
      </w:r>
      <w:r w:rsidRPr="00DB5275">
        <w:rPr>
          <w:rFonts w:cs="Arial"/>
          <w:noProof/>
          <w:szCs w:val="24"/>
        </w:rPr>
        <w:tab/>
        <w:t>G.G. Giram, V. V. Bokade, S. Darbha, Direct synthesis of diethyl carbonate from ethanol and carbon dioxide over ceria catalysts, New J. Chem. 42 (2018) 17546–17552. https://doi.org/10.1039/C8NJ04090G.</w:t>
      </w:r>
    </w:p>
    <w:p w14:paraId="567CD144" w14:textId="2B88F9A4" w:rsidR="00DB5275" w:rsidRPr="00DB5275" w:rsidRDefault="00DB5275" w:rsidP="00DB5275">
      <w:pPr>
        <w:widowControl w:val="0"/>
        <w:autoSpaceDE w:val="0"/>
        <w:autoSpaceDN w:val="0"/>
        <w:adjustRightInd w:val="0"/>
        <w:spacing w:line="240" w:lineRule="auto"/>
        <w:ind w:left="640" w:hanging="640"/>
        <w:rPr>
          <w:rFonts w:cs="Arial"/>
          <w:noProof/>
        </w:rPr>
      </w:pPr>
      <w:r w:rsidRPr="00DB5275">
        <w:rPr>
          <w:rFonts w:cs="Arial"/>
          <w:noProof/>
          <w:szCs w:val="24"/>
        </w:rPr>
        <w:t>[7]</w:t>
      </w:r>
      <w:r w:rsidRPr="00DB5275">
        <w:rPr>
          <w:rFonts w:cs="Arial"/>
          <w:noProof/>
          <w:szCs w:val="24"/>
        </w:rPr>
        <w:tab/>
        <w:t xml:space="preserve">J. Trygg, P. Trivedi, P. Fardim, </w:t>
      </w:r>
      <w:r w:rsidR="00BE7D27">
        <w:rPr>
          <w:rFonts w:cs="Arial"/>
          <w:noProof/>
          <w:szCs w:val="24"/>
        </w:rPr>
        <w:t>controlled</w:t>
      </w:r>
      <w:r w:rsidRPr="00DB5275">
        <w:rPr>
          <w:rFonts w:cs="Arial"/>
          <w:noProof/>
          <w:szCs w:val="24"/>
        </w:rPr>
        <w:t xml:space="preserve"> </w:t>
      </w:r>
      <w:r w:rsidR="00BE7D27">
        <w:rPr>
          <w:rFonts w:cs="Arial"/>
          <w:noProof/>
          <w:szCs w:val="24"/>
        </w:rPr>
        <w:t>depolymerisation</w:t>
      </w:r>
      <w:r w:rsidRPr="00DB5275">
        <w:rPr>
          <w:rFonts w:cs="Arial"/>
          <w:noProof/>
          <w:szCs w:val="24"/>
        </w:rPr>
        <w:t xml:space="preserve"> </w:t>
      </w:r>
      <w:r w:rsidR="00BE7D27">
        <w:rPr>
          <w:rFonts w:cs="Arial"/>
          <w:noProof/>
          <w:szCs w:val="24"/>
        </w:rPr>
        <w:t>of</w:t>
      </w:r>
      <w:r w:rsidRPr="00DB5275">
        <w:rPr>
          <w:rFonts w:cs="Arial"/>
          <w:noProof/>
          <w:szCs w:val="24"/>
        </w:rPr>
        <w:t xml:space="preserve"> </w:t>
      </w:r>
      <w:r w:rsidR="00BE7D27">
        <w:rPr>
          <w:rFonts w:cs="Arial"/>
          <w:noProof/>
          <w:szCs w:val="24"/>
        </w:rPr>
        <w:t>cellulose</w:t>
      </w:r>
      <w:r w:rsidRPr="00DB5275">
        <w:rPr>
          <w:rFonts w:cs="Arial"/>
          <w:noProof/>
          <w:szCs w:val="24"/>
        </w:rPr>
        <w:t xml:space="preserve"> </w:t>
      </w:r>
      <w:r w:rsidR="00BE7D27">
        <w:rPr>
          <w:rFonts w:cs="Arial"/>
          <w:noProof/>
          <w:szCs w:val="24"/>
        </w:rPr>
        <w:t>to</w:t>
      </w:r>
      <w:r w:rsidRPr="00DB5275">
        <w:rPr>
          <w:rFonts w:cs="Arial"/>
          <w:noProof/>
          <w:szCs w:val="24"/>
        </w:rPr>
        <w:t xml:space="preserve"> </w:t>
      </w:r>
      <w:r w:rsidR="00BE7D27">
        <w:rPr>
          <w:rFonts w:cs="Arial"/>
          <w:noProof/>
          <w:szCs w:val="24"/>
        </w:rPr>
        <w:t>a</w:t>
      </w:r>
      <w:r w:rsidRPr="00DB5275">
        <w:rPr>
          <w:rFonts w:cs="Arial"/>
          <w:noProof/>
          <w:szCs w:val="24"/>
        </w:rPr>
        <w:t xml:space="preserve"> </w:t>
      </w:r>
      <w:r w:rsidR="00BE7D27">
        <w:rPr>
          <w:rFonts w:cs="Arial"/>
          <w:noProof/>
          <w:szCs w:val="24"/>
        </w:rPr>
        <w:t>given</w:t>
      </w:r>
      <w:r w:rsidRPr="00DB5275">
        <w:rPr>
          <w:rFonts w:cs="Arial"/>
          <w:noProof/>
          <w:szCs w:val="24"/>
        </w:rPr>
        <w:t xml:space="preserve"> </w:t>
      </w:r>
      <w:r w:rsidR="00BE7D27">
        <w:rPr>
          <w:rFonts w:cs="Arial"/>
          <w:noProof/>
          <w:szCs w:val="24"/>
        </w:rPr>
        <w:t>degree</w:t>
      </w:r>
      <w:r w:rsidRPr="00DB5275">
        <w:rPr>
          <w:rFonts w:cs="Arial"/>
          <w:noProof/>
          <w:szCs w:val="24"/>
        </w:rPr>
        <w:t xml:space="preserve"> </w:t>
      </w:r>
      <w:r w:rsidR="00BE7D27">
        <w:rPr>
          <w:rFonts w:cs="Arial"/>
          <w:noProof/>
          <w:szCs w:val="24"/>
        </w:rPr>
        <w:t>of</w:t>
      </w:r>
      <w:r w:rsidRPr="00DB5275">
        <w:rPr>
          <w:rFonts w:cs="Arial"/>
          <w:noProof/>
          <w:szCs w:val="24"/>
        </w:rPr>
        <w:t xml:space="preserve"> </w:t>
      </w:r>
      <w:r w:rsidR="00BE7D27">
        <w:rPr>
          <w:rFonts w:cs="Arial"/>
          <w:noProof/>
          <w:szCs w:val="24"/>
        </w:rPr>
        <w:t>polymerisation</w:t>
      </w:r>
      <w:r w:rsidRPr="00DB5275">
        <w:rPr>
          <w:rFonts w:cs="Arial"/>
          <w:noProof/>
          <w:szCs w:val="24"/>
        </w:rPr>
        <w:t>, Cellul. Chem. Technol. Cellul. Chem. Technol. 50 (2016) 557–567.</w:t>
      </w:r>
    </w:p>
    <w:p w14:paraId="03CEA04C" w14:textId="5F13EF0D" w:rsidR="00C52C3C" w:rsidRDefault="00DB5275" w:rsidP="00C231B2">
      <w:pPr>
        <w:pStyle w:val="CETReferencetext"/>
      </w:pPr>
      <w:r>
        <w:fldChar w:fldCharType="end"/>
      </w:r>
    </w:p>
    <w:sectPr w:rsidR="00C52C3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1298" w14:textId="77777777" w:rsidR="00CC35E4" w:rsidRDefault="00CC35E4" w:rsidP="004F5E36">
      <w:r>
        <w:separator/>
      </w:r>
    </w:p>
  </w:endnote>
  <w:endnote w:type="continuationSeparator" w:id="0">
    <w:p w14:paraId="18074A9F" w14:textId="77777777" w:rsidR="00CC35E4" w:rsidRDefault="00CC35E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87A8" w14:textId="77777777" w:rsidR="00CC35E4" w:rsidRDefault="00CC35E4" w:rsidP="004F5E36">
      <w:r>
        <w:separator/>
      </w:r>
    </w:p>
  </w:footnote>
  <w:footnote w:type="continuationSeparator" w:id="0">
    <w:p w14:paraId="386BBA7F" w14:textId="77777777" w:rsidR="00CC35E4" w:rsidRDefault="00CC35E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EBA91B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tKwFACPUJ00tAAAA"/>
  </w:docVars>
  <w:rsids>
    <w:rsidRoot w:val="000E414A"/>
    <w:rsid w:val="000027C0"/>
    <w:rsid w:val="000052FB"/>
    <w:rsid w:val="000117CB"/>
    <w:rsid w:val="0003148D"/>
    <w:rsid w:val="00031EEC"/>
    <w:rsid w:val="00032FE6"/>
    <w:rsid w:val="00051566"/>
    <w:rsid w:val="000559F6"/>
    <w:rsid w:val="000562A9"/>
    <w:rsid w:val="00061674"/>
    <w:rsid w:val="00062A9A"/>
    <w:rsid w:val="00065058"/>
    <w:rsid w:val="00086C39"/>
    <w:rsid w:val="000A03B2"/>
    <w:rsid w:val="000A13A9"/>
    <w:rsid w:val="000A46AD"/>
    <w:rsid w:val="000C5292"/>
    <w:rsid w:val="000D0268"/>
    <w:rsid w:val="000D34BE"/>
    <w:rsid w:val="000D62C1"/>
    <w:rsid w:val="000E0590"/>
    <w:rsid w:val="000E0EE8"/>
    <w:rsid w:val="000E102F"/>
    <w:rsid w:val="000E1F5C"/>
    <w:rsid w:val="000E36F1"/>
    <w:rsid w:val="000E3A73"/>
    <w:rsid w:val="000E414A"/>
    <w:rsid w:val="000F093C"/>
    <w:rsid w:val="000F787B"/>
    <w:rsid w:val="001041E1"/>
    <w:rsid w:val="0011524D"/>
    <w:rsid w:val="0012091F"/>
    <w:rsid w:val="00126BC2"/>
    <w:rsid w:val="001308B6"/>
    <w:rsid w:val="0013121F"/>
    <w:rsid w:val="00131FE6"/>
    <w:rsid w:val="0013263F"/>
    <w:rsid w:val="001331DF"/>
    <w:rsid w:val="00134DE4"/>
    <w:rsid w:val="0014034D"/>
    <w:rsid w:val="0014162F"/>
    <w:rsid w:val="00144D16"/>
    <w:rsid w:val="00150E59"/>
    <w:rsid w:val="001512EB"/>
    <w:rsid w:val="00152DE3"/>
    <w:rsid w:val="0016066B"/>
    <w:rsid w:val="00164CF9"/>
    <w:rsid w:val="001667A6"/>
    <w:rsid w:val="0017092B"/>
    <w:rsid w:val="00183F72"/>
    <w:rsid w:val="00184AD6"/>
    <w:rsid w:val="001912D9"/>
    <w:rsid w:val="001A4AF7"/>
    <w:rsid w:val="001B0349"/>
    <w:rsid w:val="001B1E93"/>
    <w:rsid w:val="001B217C"/>
    <w:rsid w:val="001B60AB"/>
    <w:rsid w:val="001B65C1"/>
    <w:rsid w:val="001C684B"/>
    <w:rsid w:val="001D0CFB"/>
    <w:rsid w:val="001D21AF"/>
    <w:rsid w:val="001D3447"/>
    <w:rsid w:val="001D53FC"/>
    <w:rsid w:val="001E50B8"/>
    <w:rsid w:val="001E5700"/>
    <w:rsid w:val="001E5C46"/>
    <w:rsid w:val="001F10A5"/>
    <w:rsid w:val="001F2F2B"/>
    <w:rsid w:val="001F3FEF"/>
    <w:rsid w:val="001F42A5"/>
    <w:rsid w:val="001F7B9D"/>
    <w:rsid w:val="00201C93"/>
    <w:rsid w:val="00216DD4"/>
    <w:rsid w:val="002224B4"/>
    <w:rsid w:val="0022597F"/>
    <w:rsid w:val="0023613A"/>
    <w:rsid w:val="002447EF"/>
    <w:rsid w:val="00251550"/>
    <w:rsid w:val="00261151"/>
    <w:rsid w:val="00263B05"/>
    <w:rsid w:val="00270898"/>
    <w:rsid w:val="0027221A"/>
    <w:rsid w:val="00275B61"/>
    <w:rsid w:val="00280FAF"/>
    <w:rsid w:val="00282656"/>
    <w:rsid w:val="0028737F"/>
    <w:rsid w:val="00290767"/>
    <w:rsid w:val="00296B83"/>
    <w:rsid w:val="002B4015"/>
    <w:rsid w:val="002B78CE"/>
    <w:rsid w:val="002C10DE"/>
    <w:rsid w:val="002C2FB6"/>
    <w:rsid w:val="002C5F77"/>
    <w:rsid w:val="002E5FA7"/>
    <w:rsid w:val="002F3309"/>
    <w:rsid w:val="003008CE"/>
    <w:rsid w:val="003009B7"/>
    <w:rsid w:val="00300E56"/>
    <w:rsid w:val="0030152C"/>
    <w:rsid w:val="0030469C"/>
    <w:rsid w:val="00305877"/>
    <w:rsid w:val="00311073"/>
    <w:rsid w:val="00314831"/>
    <w:rsid w:val="00321CA6"/>
    <w:rsid w:val="00323763"/>
    <w:rsid w:val="00323C5F"/>
    <w:rsid w:val="00334C09"/>
    <w:rsid w:val="003415DE"/>
    <w:rsid w:val="003527AA"/>
    <w:rsid w:val="00355B61"/>
    <w:rsid w:val="003723D4"/>
    <w:rsid w:val="0037530E"/>
    <w:rsid w:val="00381905"/>
    <w:rsid w:val="00384CC8"/>
    <w:rsid w:val="003871FD"/>
    <w:rsid w:val="003A04BD"/>
    <w:rsid w:val="003A1E30"/>
    <w:rsid w:val="003A2829"/>
    <w:rsid w:val="003A51AE"/>
    <w:rsid w:val="003A6FC6"/>
    <w:rsid w:val="003A7C3B"/>
    <w:rsid w:val="003A7D1C"/>
    <w:rsid w:val="003B0BC4"/>
    <w:rsid w:val="003B1693"/>
    <w:rsid w:val="003B304B"/>
    <w:rsid w:val="003B3146"/>
    <w:rsid w:val="003B6E3E"/>
    <w:rsid w:val="003C6761"/>
    <w:rsid w:val="003C73D9"/>
    <w:rsid w:val="003E0F5E"/>
    <w:rsid w:val="003F015E"/>
    <w:rsid w:val="003F02E6"/>
    <w:rsid w:val="003F50B2"/>
    <w:rsid w:val="003F6880"/>
    <w:rsid w:val="00400414"/>
    <w:rsid w:val="004051E7"/>
    <w:rsid w:val="00406B42"/>
    <w:rsid w:val="0041446B"/>
    <w:rsid w:val="00433A3A"/>
    <w:rsid w:val="00437B99"/>
    <w:rsid w:val="0044071E"/>
    <w:rsid w:val="0044329C"/>
    <w:rsid w:val="00453E24"/>
    <w:rsid w:val="00457456"/>
    <w:rsid w:val="004577FE"/>
    <w:rsid w:val="00457B9C"/>
    <w:rsid w:val="00457DC1"/>
    <w:rsid w:val="0046164A"/>
    <w:rsid w:val="004628D2"/>
    <w:rsid w:val="00462DCD"/>
    <w:rsid w:val="004648AD"/>
    <w:rsid w:val="004703A9"/>
    <w:rsid w:val="004708A6"/>
    <w:rsid w:val="00475828"/>
    <w:rsid w:val="00475DD1"/>
    <w:rsid w:val="004760DE"/>
    <w:rsid w:val="004763D7"/>
    <w:rsid w:val="00485DEB"/>
    <w:rsid w:val="00486FE8"/>
    <w:rsid w:val="0049142B"/>
    <w:rsid w:val="004A004E"/>
    <w:rsid w:val="004A24CF"/>
    <w:rsid w:val="004A4EA0"/>
    <w:rsid w:val="004C3D1D"/>
    <w:rsid w:val="004C3D84"/>
    <w:rsid w:val="004C7913"/>
    <w:rsid w:val="004D0CAD"/>
    <w:rsid w:val="004D1A4C"/>
    <w:rsid w:val="004D3D0A"/>
    <w:rsid w:val="004D45D7"/>
    <w:rsid w:val="004E4DD6"/>
    <w:rsid w:val="004E5C27"/>
    <w:rsid w:val="004F5E36"/>
    <w:rsid w:val="004F6F30"/>
    <w:rsid w:val="00507B47"/>
    <w:rsid w:val="00507BEF"/>
    <w:rsid w:val="00507CC9"/>
    <w:rsid w:val="005119A5"/>
    <w:rsid w:val="00516AAC"/>
    <w:rsid w:val="00516CB9"/>
    <w:rsid w:val="005229F2"/>
    <w:rsid w:val="005278B7"/>
    <w:rsid w:val="00530CBE"/>
    <w:rsid w:val="00531A67"/>
    <w:rsid w:val="00532016"/>
    <w:rsid w:val="0053433C"/>
    <w:rsid w:val="005346C8"/>
    <w:rsid w:val="00543E7D"/>
    <w:rsid w:val="00547A68"/>
    <w:rsid w:val="0055251A"/>
    <w:rsid w:val="005531C9"/>
    <w:rsid w:val="00561841"/>
    <w:rsid w:val="00562FDA"/>
    <w:rsid w:val="00570C43"/>
    <w:rsid w:val="00573106"/>
    <w:rsid w:val="005A20EA"/>
    <w:rsid w:val="005B06E9"/>
    <w:rsid w:val="005B1E4E"/>
    <w:rsid w:val="005B2110"/>
    <w:rsid w:val="005B592D"/>
    <w:rsid w:val="005B61E6"/>
    <w:rsid w:val="005C0701"/>
    <w:rsid w:val="005C77E1"/>
    <w:rsid w:val="005D668A"/>
    <w:rsid w:val="005D6A2F"/>
    <w:rsid w:val="005E1A82"/>
    <w:rsid w:val="005E794C"/>
    <w:rsid w:val="005E7C48"/>
    <w:rsid w:val="005F0A28"/>
    <w:rsid w:val="005F0E0F"/>
    <w:rsid w:val="005F0E5E"/>
    <w:rsid w:val="005F3CD1"/>
    <w:rsid w:val="00600535"/>
    <w:rsid w:val="00610CD6"/>
    <w:rsid w:val="00620DEE"/>
    <w:rsid w:val="00621F92"/>
    <w:rsid w:val="0062280A"/>
    <w:rsid w:val="0062522D"/>
    <w:rsid w:val="00625639"/>
    <w:rsid w:val="00631B33"/>
    <w:rsid w:val="00631CF5"/>
    <w:rsid w:val="00636DB0"/>
    <w:rsid w:val="0064184D"/>
    <w:rsid w:val="006422CC"/>
    <w:rsid w:val="00643C28"/>
    <w:rsid w:val="00643D63"/>
    <w:rsid w:val="00660E11"/>
    <w:rsid w:val="00660E3E"/>
    <w:rsid w:val="00662E74"/>
    <w:rsid w:val="00680C23"/>
    <w:rsid w:val="00690EE9"/>
    <w:rsid w:val="00691B24"/>
    <w:rsid w:val="00693766"/>
    <w:rsid w:val="00694931"/>
    <w:rsid w:val="00697C02"/>
    <w:rsid w:val="006A113D"/>
    <w:rsid w:val="006A1680"/>
    <w:rsid w:val="006A3281"/>
    <w:rsid w:val="006A687C"/>
    <w:rsid w:val="006B4888"/>
    <w:rsid w:val="006C2E45"/>
    <w:rsid w:val="006C359C"/>
    <w:rsid w:val="006C5579"/>
    <w:rsid w:val="006C73BF"/>
    <w:rsid w:val="006D6E8B"/>
    <w:rsid w:val="006E737D"/>
    <w:rsid w:val="006F1591"/>
    <w:rsid w:val="00701D74"/>
    <w:rsid w:val="00713973"/>
    <w:rsid w:val="00714566"/>
    <w:rsid w:val="007149A2"/>
    <w:rsid w:val="00720A24"/>
    <w:rsid w:val="00726ADD"/>
    <w:rsid w:val="00732386"/>
    <w:rsid w:val="0073514D"/>
    <w:rsid w:val="0074408C"/>
    <w:rsid w:val="007447F3"/>
    <w:rsid w:val="00745382"/>
    <w:rsid w:val="0075499F"/>
    <w:rsid w:val="00765484"/>
    <w:rsid w:val="007661C8"/>
    <w:rsid w:val="007668F1"/>
    <w:rsid w:val="0077098D"/>
    <w:rsid w:val="00792327"/>
    <w:rsid w:val="007931FA"/>
    <w:rsid w:val="007A4861"/>
    <w:rsid w:val="007A6737"/>
    <w:rsid w:val="007A7BBA"/>
    <w:rsid w:val="007B0C50"/>
    <w:rsid w:val="007B48F9"/>
    <w:rsid w:val="007B6559"/>
    <w:rsid w:val="007C1A43"/>
    <w:rsid w:val="007C1FFE"/>
    <w:rsid w:val="007C765F"/>
    <w:rsid w:val="007D0951"/>
    <w:rsid w:val="007F0232"/>
    <w:rsid w:val="007F3684"/>
    <w:rsid w:val="007F6112"/>
    <w:rsid w:val="0080013E"/>
    <w:rsid w:val="00813288"/>
    <w:rsid w:val="008168FC"/>
    <w:rsid w:val="0082680E"/>
    <w:rsid w:val="00830996"/>
    <w:rsid w:val="00830DD7"/>
    <w:rsid w:val="008345F1"/>
    <w:rsid w:val="00865B07"/>
    <w:rsid w:val="008667EA"/>
    <w:rsid w:val="0087637F"/>
    <w:rsid w:val="00892AD5"/>
    <w:rsid w:val="00894642"/>
    <w:rsid w:val="008969F5"/>
    <w:rsid w:val="008974EE"/>
    <w:rsid w:val="008A1512"/>
    <w:rsid w:val="008A2EC7"/>
    <w:rsid w:val="008A3429"/>
    <w:rsid w:val="008B7C03"/>
    <w:rsid w:val="008B7D80"/>
    <w:rsid w:val="008C37B3"/>
    <w:rsid w:val="008D32B9"/>
    <w:rsid w:val="008D433B"/>
    <w:rsid w:val="008D4A16"/>
    <w:rsid w:val="008E566E"/>
    <w:rsid w:val="008F5A6E"/>
    <w:rsid w:val="008F7A66"/>
    <w:rsid w:val="0090161A"/>
    <w:rsid w:val="00901EB6"/>
    <w:rsid w:val="00904C62"/>
    <w:rsid w:val="00910B3F"/>
    <w:rsid w:val="00914F62"/>
    <w:rsid w:val="00922BA8"/>
    <w:rsid w:val="00924DAC"/>
    <w:rsid w:val="00925397"/>
    <w:rsid w:val="00925967"/>
    <w:rsid w:val="00927058"/>
    <w:rsid w:val="00927D82"/>
    <w:rsid w:val="00934AB6"/>
    <w:rsid w:val="00942750"/>
    <w:rsid w:val="009450CE"/>
    <w:rsid w:val="009459BB"/>
    <w:rsid w:val="00946445"/>
    <w:rsid w:val="00947179"/>
    <w:rsid w:val="0095164B"/>
    <w:rsid w:val="00954090"/>
    <w:rsid w:val="0095523E"/>
    <w:rsid w:val="009556E8"/>
    <w:rsid w:val="009573E7"/>
    <w:rsid w:val="00963E05"/>
    <w:rsid w:val="00964A45"/>
    <w:rsid w:val="0096545B"/>
    <w:rsid w:val="00966AF3"/>
    <w:rsid w:val="00967139"/>
    <w:rsid w:val="00967843"/>
    <w:rsid w:val="00967D54"/>
    <w:rsid w:val="00971028"/>
    <w:rsid w:val="00973D2F"/>
    <w:rsid w:val="00974F5D"/>
    <w:rsid w:val="00993B84"/>
    <w:rsid w:val="00993F4D"/>
    <w:rsid w:val="00996483"/>
    <w:rsid w:val="00996F5A"/>
    <w:rsid w:val="00997840"/>
    <w:rsid w:val="00997EBE"/>
    <w:rsid w:val="009A78AC"/>
    <w:rsid w:val="009B041A"/>
    <w:rsid w:val="009C1C78"/>
    <w:rsid w:val="009C37C3"/>
    <w:rsid w:val="009C55B7"/>
    <w:rsid w:val="009C734B"/>
    <w:rsid w:val="009C7C86"/>
    <w:rsid w:val="009D2FF7"/>
    <w:rsid w:val="009E7884"/>
    <w:rsid w:val="009E788A"/>
    <w:rsid w:val="009F0E08"/>
    <w:rsid w:val="00A1763D"/>
    <w:rsid w:val="00A17CEC"/>
    <w:rsid w:val="00A21796"/>
    <w:rsid w:val="00A226AC"/>
    <w:rsid w:val="00A22F64"/>
    <w:rsid w:val="00A27EF0"/>
    <w:rsid w:val="00A42361"/>
    <w:rsid w:val="00A4379B"/>
    <w:rsid w:val="00A50B20"/>
    <w:rsid w:val="00A51390"/>
    <w:rsid w:val="00A60D13"/>
    <w:rsid w:val="00A670C8"/>
    <w:rsid w:val="00A7223D"/>
    <w:rsid w:val="00A72745"/>
    <w:rsid w:val="00A76EFC"/>
    <w:rsid w:val="00A80682"/>
    <w:rsid w:val="00A87D50"/>
    <w:rsid w:val="00A90C95"/>
    <w:rsid w:val="00A91010"/>
    <w:rsid w:val="00A92192"/>
    <w:rsid w:val="00A95C38"/>
    <w:rsid w:val="00A97F29"/>
    <w:rsid w:val="00AA702E"/>
    <w:rsid w:val="00AA7D26"/>
    <w:rsid w:val="00AB0964"/>
    <w:rsid w:val="00AB300E"/>
    <w:rsid w:val="00AB5011"/>
    <w:rsid w:val="00AC7368"/>
    <w:rsid w:val="00AD16B9"/>
    <w:rsid w:val="00AD55FF"/>
    <w:rsid w:val="00AE3270"/>
    <w:rsid w:val="00AE377D"/>
    <w:rsid w:val="00AF0EBA"/>
    <w:rsid w:val="00AF4C74"/>
    <w:rsid w:val="00B02C8A"/>
    <w:rsid w:val="00B17FBD"/>
    <w:rsid w:val="00B24F97"/>
    <w:rsid w:val="00B315A6"/>
    <w:rsid w:val="00B31813"/>
    <w:rsid w:val="00B33365"/>
    <w:rsid w:val="00B57B36"/>
    <w:rsid w:val="00B57E6F"/>
    <w:rsid w:val="00B77078"/>
    <w:rsid w:val="00B8686D"/>
    <w:rsid w:val="00B90E81"/>
    <w:rsid w:val="00B93F69"/>
    <w:rsid w:val="00BA0BD1"/>
    <w:rsid w:val="00BB1DDC"/>
    <w:rsid w:val="00BC30C9"/>
    <w:rsid w:val="00BD077D"/>
    <w:rsid w:val="00BD64A5"/>
    <w:rsid w:val="00BE3E58"/>
    <w:rsid w:val="00BE57B2"/>
    <w:rsid w:val="00BE6F52"/>
    <w:rsid w:val="00BE7D27"/>
    <w:rsid w:val="00BF415E"/>
    <w:rsid w:val="00C01616"/>
    <w:rsid w:val="00C0162B"/>
    <w:rsid w:val="00C04D38"/>
    <w:rsid w:val="00C068ED"/>
    <w:rsid w:val="00C10425"/>
    <w:rsid w:val="00C16276"/>
    <w:rsid w:val="00C22C12"/>
    <w:rsid w:val="00C22E0C"/>
    <w:rsid w:val="00C231B2"/>
    <w:rsid w:val="00C24C64"/>
    <w:rsid w:val="00C275F3"/>
    <w:rsid w:val="00C345B1"/>
    <w:rsid w:val="00C40142"/>
    <w:rsid w:val="00C4704F"/>
    <w:rsid w:val="00C52C3C"/>
    <w:rsid w:val="00C560C8"/>
    <w:rsid w:val="00C567DB"/>
    <w:rsid w:val="00C57182"/>
    <w:rsid w:val="00C57863"/>
    <w:rsid w:val="00C640AF"/>
    <w:rsid w:val="00C655FD"/>
    <w:rsid w:val="00C70B57"/>
    <w:rsid w:val="00C75407"/>
    <w:rsid w:val="00C870A8"/>
    <w:rsid w:val="00C92C17"/>
    <w:rsid w:val="00C94434"/>
    <w:rsid w:val="00CA0D4A"/>
    <w:rsid w:val="00CA0D75"/>
    <w:rsid w:val="00CA1C95"/>
    <w:rsid w:val="00CA5A9C"/>
    <w:rsid w:val="00CC1116"/>
    <w:rsid w:val="00CC35E4"/>
    <w:rsid w:val="00CC417E"/>
    <w:rsid w:val="00CC4C20"/>
    <w:rsid w:val="00CC5B0E"/>
    <w:rsid w:val="00CD1CCD"/>
    <w:rsid w:val="00CD3517"/>
    <w:rsid w:val="00CD5FE2"/>
    <w:rsid w:val="00CE7C68"/>
    <w:rsid w:val="00D01508"/>
    <w:rsid w:val="00D02B4C"/>
    <w:rsid w:val="00D040C4"/>
    <w:rsid w:val="00D0657E"/>
    <w:rsid w:val="00D149B6"/>
    <w:rsid w:val="00D14FAC"/>
    <w:rsid w:val="00D1685D"/>
    <w:rsid w:val="00D20AD1"/>
    <w:rsid w:val="00D212D9"/>
    <w:rsid w:val="00D249D2"/>
    <w:rsid w:val="00D25BB6"/>
    <w:rsid w:val="00D46B7E"/>
    <w:rsid w:val="00D52D5E"/>
    <w:rsid w:val="00D57C84"/>
    <w:rsid w:val="00D6057D"/>
    <w:rsid w:val="00D62673"/>
    <w:rsid w:val="00D648EC"/>
    <w:rsid w:val="00D71640"/>
    <w:rsid w:val="00D80D71"/>
    <w:rsid w:val="00D836C5"/>
    <w:rsid w:val="00D84576"/>
    <w:rsid w:val="00D87EF9"/>
    <w:rsid w:val="00DA1399"/>
    <w:rsid w:val="00DA24C6"/>
    <w:rsid w:val="00DA4482"/>
    <w:rsid w:val="00DA4D7B"/>
    <w:rsid w:val="00DA7F30"/>
    <w:rsid w:val="00DB242B"/>
    <w:rsid w:val="00DB5275"/>
    <w:rsid w:val="00DD271C"/>
    <w:rsid w:val="00DE261B"/>
    <w:rsid w:val="00DE264A"/>
    <w:rsid w:val="00DE4F8F"/>
    <w:rsid w:val="00DE65E2"/>
    <w:rsid w:val="00DF3AC9"/>
    <w:rsid w:val="00DF5072"/>
    <w:rsid w:val="00E01C50"/>
    <w:rsid w:val="00E02D18"/>
    <w:rsid w:val="00E034FF"/>
    <w:rsid w:val="00E03D3F"/>
    <w:rsid w:val="00E041E7"/>
    <w:rsid w:val="00E1732E"/>
    <w:rsid w:val="00E177F4"/>
    <w:rsid w:val="00E23CA1"/>
    <w:rsid w:val="00E33DD7"/>
    <w:rsid w:val="00E33EEC"/>
    <w:rsid w:val="00E35C06"/>
    <w:rsid w:val="00E409A8"/>
    <w:rsid w:val="00E44E22"/>
    <w:rsid w:val="00E50C12"/>
    <w:rsid w:val="00E551C0"/>
    <w:rsid w:val="00E65B91"/>
    <w:rsid w:val="00E7209D"/>
    <w:rsid w:val="00E72EAD"/>
    <w:rsid w:val="00E753B3"/>
    <w:rsid w:val="00E77223"/>
    <w:rsid w:val="00E81B32"/>
    <w:rsid w:val="00E8281B"/>
    <w:rsid w:val="00E8528B"/>
    <w:rsid w:val="00E8583D"/>
    <w:rsid w:val="00E85B94"/>
    <w:rsid w:val="00E978D0"/>
    <w:rsid w:val="00EA156B"/>
    <w:rsid w:val="00EA4613"/>
    <w:rsid w:val="00EA7F91"/>
    <w:rsid w:val="00EB0C79"/>
    <w:rsid w:val="00EB1523"/>
    <w:rsid w:val="00EB48DE"/>
    <w:rsid w:val="00EC0E49"/>
    <w:rsid w:val="00EC101F"/>
    <w:rsid w:val="00EC1D9F"/>
    <w:rsid w:val="00EC2B92"/>
    <w:rsid w:val="00EE0131"/>
    <w:rsid w:val="00EE1093"/>
    <w:rsid w:val="00EE17B0"/>
    <w:rsid w:val="00EF06D9"/>
    <w:rsid w:val="00EF5BC5"/>
    <w:rsid w:val="00F07EBA"/>
    <w:rsid w:val="00F114C0"/>
    <w:rsid w:val="00F22A24"/>
    <w:rsid w:val="00F3049E"/>
    <w:rsid w:val="00F30C64"/>
    <w:rsid w:val="00F32BA2"/>
    <w:rsid w:val="00F32CDB"/>
    <w:rsid w:val="00F3660C"/>
    <w:rsid w:val="00F419DC"/>
    <w:rsid w:val="00F4448A"/>
    <w:rsid w:val="00F44DA2"/>
    <w:rsid w:val="00F520FA"/>
    <w:rsid w:val="00F565FE"/>
    <w:rsid w:val="00F61190"/>
    <w:rsid w:val="00F63A70"/>
    <w:rsid w:val="00F63D8C"/>
    <w:rsid w:val="00F7534E"/>
    <w:rsid w:val="00F93EDF"/>
    <w:rsid w:val="00FA1802"/>
    <w:rsid w:val="00FA21D0"/>
    <w:rsid w:val="00FA4EB1"/>
    <w:rsid w:val="00FA5F5F"/>
    <w:rsid w:val="00FA749A"/>
    <w:rsid w:val="00FB22A5"/>
    <w:rsid w:val="00FB730C"/>
    <w:rsid w:val="00FC2695"/>
    <w:rsid w:val="00FC3E03"/>
    <w:rsid w:val="00FC3FC1"/>
    <w:rsid w:val="00FD58C2"/>
    <w:rsid w:val="00FD783F"/>
    <w:rsid w:val="00FE3969"/>
    <w:rsid w:val="00FF1776"/>
    <w:rsid w:val="00FF1778"/>
    <w:rsid w:val="00FF390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E327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E327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enabsatz">
    <w:name w:val="List Paragraph"/>
    <w:basedOn w:val="Standard"/>
    <w:uiPriority w:val="34"/>
    <w:rsid w:val="00280FAF"/>
    <w:pPr>
      <w:ind w:left="720"/>
      <w:contextualSpacing/>
    </w:pPr>
  </w:style>
  <w:style w:type="character" w:styleId="Platzhaltertext">
    <w:name w:val="Placeholder Text"/>
    <w:basedOn w:val="Absatz-Standardschriftart"/>
    <w:uiPriority w:val="99"/>
    <w:semiHidden/>
    <w:rsid w:val="00D01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548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559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DB88-2E82-4B8E-AC88-D96DE9BD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4834</Words>
  <Characters>30460</Characters>
  <Application>Microsoft Office Word</Application>
  <DocSecurity>0</DocSecurity>
  <Lines>253</Lines>
  <Paragraphs>70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Kouessan Aziaba</cp:lastModifiedBy>
  <cp:revision>180</cp:revision>
  <cp:lastPrinted>2023-04-13T14:37:00Z</cp:lastPrinted>
  <dcterms:created xsi:type="dcterms:W3CDTF">2022-09-21T08:52:00Z</dcterms:created>
  <dcterms:modified xsi:type="dcterms:W3CDTF">2023-09-07T12:38:00Z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2612a234-b4d0-3a06-a603-4d2f85a3d613</vt:lpwstr>
  </property>
  <property fmtid="{D5CDD505-2E9C-101B-9397-08002B2CF9AE}" pid="6" name="Mendeley Citation Style_1">
    <vt:lpwstr>http://www.zotero.org/styles/elsevier-with-titles</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http://www.zotero.org/styles/elsevier-with-titles</vt:lpwstr>
  </property>
  <property fmtid="{D5CDD505-2E9C-101B-9397-08002B2CF9AE}" pid="18" name="Mendeley Recent Style Name 5_1">
    <vt:lpwstr>Elsevier (numeric, with titles)</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