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202422116"/>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2E667253" w14:textId="3689FE5F" w:rsidR="00E978D0" w:rsidRPr="00B57B36" w:rsidRDefault="00AC5077" w:rsidP="00E978D0">
      <w:pPr>
        <w:pStyle w:val="CETTitle"/>
      </w:pPr>
      <w:r w:rsidRPr="00AC5077">
        <w:t>Biorefinery assessment and Techno-economic</w:t>
      </w:r>
      <w:r w:rsidR="00484E18">
        <w:t>-environmental</w:t>
      </w:r>
      <w:r w:rsidRPr="00AC5077">
        <w:t xml:space="preserve"> Supply Chain optimization for the Southern Italy Wine agroindustry</w:t>
      </w:r>
    </w:p>
    <w:p w14:paraId="0488FED2" w14:textId="0F37FF65" w:rsidR="00B57E6F" w:rsidRPr="00B16F16" w:rsidRDefault="0058296A" w:rsidP="00B57E6F">
      <w:pPr>
        <w:pStyle w:val="CETAuthors"/>
        <w:rPr>
          <w:lang w:val="it-IT"/>
        </w:rPr>
      </w:pPr>
      <w:r w:rsidRPr="00B16F16">
        <w:rPr>
          <w:lang w:val="it-IT"/>
        </w:rPr>
        <w:t>Vittoria Fatta</w:t>
      </w:r>
      <w:r w:rsidR="00B57E6F" w:rsidRPr="00B16F16">
        <w:rPr>
          <w:vertAlign w:val="superscript"/>
          <w:lang w:val="it-IT"/>
        </w:rPr>
        <w:t>a</w:t>
      </w:r>
      <w:r w:rsidRPr="00B16F16">
        <w:rPr>
          <w:vertAlign w:val="superscript"/>
          <w:lang w:val="it-IT"/>
        </w:rPr>
        <w:t>,</w:t>
      </w:r>
      <w:r w:rsidRPr="00B16F16">
        <w:rPr>
          <w:lang w:val="it-IT"/>
        </w:rPr>
        <w:t>*</w:t>
      </w:r>
      <w:r w:rsidR="00B57E6F" w:rsidRPr="00B16F16">
        <w:rPr>
          <w:lang w:val="it-IT"/>
        </w:rPr>
        <w:t xml:space="preserve">, </w:t>
      </w:r>
      <w:r w:rsidR="00F50601" w:rsidRPr="00B16F16">
        <w:rPr>
          <w:lang w:val="it-IT"/>
        </w:rPr>
        <w:t>Maria Teresa Petrone</w:t>
      </w:r>
      <w:r w:rsidR="00B57E6F" w:rsidRPr="00B16F16">
        <w:rPr>
          <w:vertAlign w:val="superscript"/>
          <w:lang w:val="it-IT"/>
        </w:rPr>
        <w:t>b</w:t>
      </w:r>
      <w:r w:rsidR="00B57E6F" w:rsidRPr="00B16F16">
        <w:rPr>
          <w:lang w:val="it-IT"/>
        </w:rPr>
        <w:t>,</w:t>
      </w:r>
      <w:r w:rsidR="00F50601" w:rsidRPr="00B16F16">
        <w:rPr>
          <w:lang w:val="it-IT"/>
        </w:rPr>
        <w:t xml:space="preserve"> </w:t>
      </w:r>
      <w:r w:rsidR="005A634A" w:rsidRPr="00B16F16">
        <w:rPr>
          <w:lang w:val="it-IT"/>
        </w:rPr>
        <w:t>Aristide Giuliano</w:t>
      </w:r>
      <w:r w:rsidR="00F50601" w:rsidRPr="00B16F16">
        <w:rPr>
          <w:vertAlign w:val="superscript"/>
          <w:lang w:val="it-IT"/>
        </w:rPr>
        <w:t>b</w:t>
      </w:r>
      <w:r w:rsidR="00F50601" w:rsidRPr="00B16F16">
        <w:rPr>
          <w:lang w:val="it-IT"/>
        </w:rPr>
        <w:t xml:space="preserve">, </w:t>
      </w:r>
      <w:r w:rsidR="007D4E94" w:rsidRPr="00B16F16">
        <w:rPr>
          <w:lang w:val="it-IT"/>
        </w:rPr>
        <w:t>Isabella De Bari</w:t>
      </w:r>
      <w:r w:rsidR="00B16F16" w:rsidRPr="00B16F16">
        <w:rPr>
          <w:vertAlign w:val="superscript"/>
          <w:lang w:val="it-IT"/>
        </w:rPr>
        <w:t>b</w:t>
      </w:r>
      <w:r w:rsidR="007D4E94" w:rsidRPr="00B16F16">
        <w:rPr>
          <w:lang w:val="it-IT"/>
        </w:rPr>
        <w:t xml:space="preserve">, </w:t>
      </w:r>
      <w:r w:rsidR="00B16F16" w:rsidRPr="00B16F16">
        <w:rPr>
          <w:lang w:val="it-IT"/>
        </w:rPr>
        <w:t>Nicola Pierro</w:t>
      </w:r>
      <w:r w:rsidR="00B16F16" w:rsidRPr="00B16F16">
        <w:rPr>
          <w:vertAlign w:val="superscript"/>
          <w:lang w:val="it-IT"/>
        </w:rPr>
        <w:t>b</w:t>
      </w:r>
    </w:p>
    <w:p w14:paraId="369250E9" w14:textId="1222EE40" w:rsidR="00EE01E2" w:rsidRDefault="00B57E6F" w:rsidP="00EE01E2">
      <w:pPr>
        <w:pStyle w:val="CETAddress"/>
      </w:pPr>
      <w:r w:rsidRPr="00B57B36">
        <w:rPr>
          <w:vertAlign w:val="superscript"/>
        </w:rPr>
        <w:t>a</w:t>
      </w:r>
      <w:r w:rsidR="00EE01E2">
        <w:t>Italian National Agency for New Technologies, Energy and Sustainable Economic Development (ENEA), Energy Technologies and Renewable Sources Department (TERIN), Bioenergy, Biorefinery and Green Chemistry Division (BBC), Palermo office, Via Principe di Granatelli, 24 90139 Palermo Italy</w:t>
      </w:r>
    </w:p>
    <w:p w14:paraId="2636DA2E" w14:textId="77777777" w:rsidR="00EE01E2" w:rsidRDefault="00EE01E2" w:rsidP="00EE01E2">
      <w:pPr>
        <w:pStyle w:val="CETAddress"/>
      </w:pPr>
      <w:r w:rsidRPr="003A316D">
        <w:rPr>
          <w:vertAlign w:val="superscript"/>
        </w:rPr>
        <w:t>b</w:t>
      </w:r>
      <w:r>
        <w:t>Italian National Agency for New Technologies, Energy and Sustainable Economic Development (ENEA), Energy Technologies and Renewable Sources Department (TERIN), Bioenergy, Biorefinery and Green Chemistry Division (BBC), Trisaia research centre, S.S. 106 Ionica, km 419+500 75026 Rotondella (MT) Italy</w:t>
      </w:r>
    </w:p>
    <w:p w14:paraId="6B2D21B3" w14:textId="5640D668" w:rsidR="00EE01E2" w:rsidRPr="00B57B36" w:rsidRDefault="00EE01E2" w:rsidP="00EE01E2">
      <w:pPr>
        <w:pStyle w:val="CETAddress"/>
      </w:pPr>
      <w:r>
        <w:t>vittoria.fatta@enea.it</w:t>
      </w:r>
    </w:p>
    <w:p w14:paraId="73F1267A" w14:textId="17517B29" w:rsidR="00B57E6F" w:rsidRPr="00B57B36" w:rsidRDefault="00B57E6F" w:rsidP="00B57E6F">
      <w:pPr>
        <w:pStyle w:val="CETemail"/>
      </w:pPr>
    </w:p>
    <w:p w14:paraId="38F76186" w14:textId="788F2F96" w:rsidR="006A6DE5" w:rsidRDefault="00975C7C" w:rsidP="004E183C">
      <w:pPr>
        <w:pStyle w:val="CETBodytext"/>
      </w:pPr>
      <w:r w:rsidRPr="00975C7C">
        <w:rPr>
          <w:lang w:val="en-GB"/>
        </w:rPr>
        <w:t>The Percival Project seeks to valorize agro-industrial by-products and waste streams by converting them into high-value-added products. The initiative focuses on identifying innovative, efficient, and environmentally sustainable processes that can stimulate new business opportunities, particularly in Southern Italy</w:t>
      </w:r>
      <w:r w:rsidR="00F244B2">
        <w:rPr>
          <w:lang w:val="en-GB"/>
        </w:rPr>
        <w:t xml:space="preserve">, </w:t>
      </w:r>
      <w:r w:rsidRPr="00975C7C">
        <w:rPr>
          <w:lang w:val="en-GB"/>
        </w:rPr>
        <w:t>a region characterized by rich and diverse viticultural activity. Specifically, the area generates approximately 161 kt</w:t>
      </w:r>
      <w:r w:rsidRPr="006340A3">
        <w:rPr>
          <w:vertAlign w:val="subscript"/>
          <w:lang w:val="en-GB"/>
        </w:rPr>
        <w:t>SS</w:t>
      </w:r>
      <w:r w:rsidRPr="00975C7C">
        <w:rPr>
          <w:lang w:val="en-GB"/>
        </w:rPr>
        <w:t>/year of grape marc, 30 kt</w:t>
      </w:r>
      <w:r w:rsidRPr="006340A3">
        <w:rPr>
          <w:vertAlign w:val="subscript"/>
          <w:lang w:val="en-GB"/>
        </w:rPr>
        <w:t>SS</w:t>
      </w:r>
      <w:r w:rsidRPr="00975C7C">
        <w:rPr>
          <w:lang w:val="en-GB"/>
        </w:rPr>
        <w:t>/year of wine lees, and 290 kt</w:t>
      </w:r>
      <w:r w:rsidRPr="006340A3">
        <w:rPr>
          <w:vertAlign w:val="subscript"/>
          <w:lang w:val="en-GB"/>
        </w:rPr>
        <w:t>SS</w:t>
      </w:r>
      <w:r w:rsidRPr="00975C7C">
        <w:rPr>
          <w:lang w:val="en-GB"/>
        </w:rPr>
        <w:t>/year of pruning residues.</w:t>
      </w:r>
      <w:r w:rsidR="004E183C">
        <w:rPr>
          <w:lang w:val="en-GB"/>
        </w:rPr>
        <w:t xml:space="preserve"> </w:t>
      </w:r>
      <w:r w:rsidRPr="00975C7C">
        <w:rPr>
          <w:lang w:val="en-GB"/>
        </w:rPr>
        <w:t>A critical challenge lies in determining the optimal location and capacity of facilities dedicated to converting these residues into energy carriers and bio-based products. Inefficiencies in this aspect often result in the underutilization of available resources. This study addresses the issue through the development of a mathematical optimization approach that simultaneously considers economic and environmental objectives.</w:t>
      </w:r>
      <w:r w:rsidR="004E183C">
        <w:rPr>
          <w:lang w:val="en-GB"/>
        </w:rPr>
        <w:t xml:space="preserve"> </w:t>
      </w:r>
      <w:r w:rsidR="004E183C" w:rsidRPr="004E183C">
        <w:rPr>
          <w:lang w:val="en-GB"/>
        </w:rPr>
        <w:t>A Mixed-Integer Linear Programming (MILP) model was constructed using AIMMS software and applied to a case study in Southern Italy. By adopting a cascade biorefinery framework, the model targets the transformation of grape marc, wine lees, and prunings into antioxidants, biochar, and biomethane. Updated data on residue availability were collected and spatially mapped using methodologies based on the “Atlante delle Biomasse” database.</w:t>
      </w:r>
      <w:r w:rsidR="004E183C">
        <w:rPr>
          <w:lang w:val="en-GB"/>
        </w:rPr>
        <w:t xml:space="preserve"> </w:t>
      </w:r>
      <w:r w:rsidR="004E183C" w:rsidRPr="004E183C">
        <w:rPr>
          <w:lang w:val="en-GB"/>
        </w:rPr>
        <w:t>Model results indicate a potential annual output of approximately 200 ton of antioxidant compounds, 9</w:t>
      </w:r>
      <w:r w:rsidR="004E183C">
        <w:rPr>
          <w:lang w:val="en-GB"/>
        </w:rPr>
        <w:t>’</w:t>
      </w:r>
      <w:r w:rsidR="004E183C" w:rsidRPr="004E183C">
        <w:rPr>
          <w:lang w:val="en-GB"/>
        </w:rPr>
        <w:t>000 ton of biochar, and 80</w:t>
      </w:r>
      <w:r w:rsidR="004E183C">
        <w:rPr>
          <w:lang w:val="en-GB"/>
        </w:rPr>
        <w:t>’</w:t>
      </w:r>
      <w:r w:rsidR="004E183C" w:rsidRPr="004E183C">
        <w:rPr>
          <w:lang w:val="en-GB"/>
        </w:rPr>
        <w:t xml:space="preserve">000 GJ of biomethane. The optimal configuration includes the installation of </w:t>
      </w:r>
      <w:r w:rsidR="006340A3">
        <w:rPr>
          <w:lang w:val="en-GB"/>
        </w:rPr>
        <w:t>twelve</w:t>
      </w:r>
      <w:r w:rsidR="004E183C" w:rsidRPr="004E183C">
        <w:rPr>
          <w:lang w:val="en-GB"/>
        </w:rPr>
        <w:t xml:space="preserve"> biorefinery facilities: two in Basilicata, three in Campania, and seven in the Puglia region. These findings provide strategic insights for regional planning and sustainable bioeconomy development.</w:t>
      </w:r>
    </w:p>
    <w:p w14:paraId="476B2F2E" w14:textId="52B36035" w:rsidR="00600535" w:rsidRPr="00B57B36" w:rsidRDefault="00600535" w:rsidP="00600535">
      <w:pPr>
        <w:pStyle w:val="CETHeading1"/>
        <w:rPr>
          <w:lang w:val="en-GB"/>
        </w:rPr>
      </w:pPr>
      <w:r w:rsidRPr="00B57B36">
        <w:rPr>
          <w:lang w:val="en-GB"/>
        </w:rPr>
        <w:t>Introduction</w:t>
      </w:r>
    </w:p>
    <w:p w14:paraId="38AEAE46" w14:textId="556879B6" w:rsidR="00CD7E0F" w:rsidRPr="00CD7E0F" w:rsidRDefault="0054489B" w:rsidP="00600535">
      <w:pPr>
        <w:pStyle w:val="CETBodytext"/>
        <w:rPr>
          <w:lang w:val="en-GB"/>
        </w:rPr>
      </w:pPr>
      <w:r w:rsidRPr="0054489B">
        <w:rPr>
          <w:lang w:val="en-GB"/>
        </w:rPr>
        <w:t>Integrated cascade processes</w:t>
      </w:r>
      <w:r w:rsidR="00E70189">
        <w:rPr>
          <w:lang w:val="en-GB"/>
        </w:rPr>
        <w:t xml:space="preserve">, </w:t>
      </w:r>
      <w:r w:rsidRPr="0054489B">
        <w:rPr>
          <w:lang w:val="en-GB"/>
        </w:rPr>
        <w:t>including pretreatment, extraction, and fractionation techniques based on chemical and biotechnological transformations</w:t>
      </w:r>
      <w:r w:rsidR="00E70189">
        <w:rPr>
          <w:lang w:val="en-GB"/>
        </w:rPr>
        <w:t xml:space="preserve">, </w:t>
      </w:r>
      <w:r w:rsidRPr="0054489B">
        <w:rPr>
          <w:lang w:val="en-GB"/>
        </w:rPr>
        <w:t xml:space="preserve">can significantly enhance the economic and environmental sustainability of biorefinery systems. Residual </w:t>
      </w:r>
      <w:r w:rsidRPr="0015045D">
        <w:rPr>
          <w:lang w:val="en-GB"/>
        </w:rPr>
        <w:t xml:space="preserve">biomass, in particular, offers substantial potential for the generation of both energy-based and value-added chemical products </w:t>
      </w:r>
      <w:r w:rsidRPr="0015045D">
        <w:t>(</w:t>
      </w:r>
      <w:r w:rsidRPr="0015045D">
        <w:rPr>
          <w:rFonts w:cs="Arial"/>
        </w:rPr>
        <w:t>Caporusso et al., 2022)</w:t>
      </w:r>
      <w:r w:rsidRPr="0015045D">
        <w:rPr>
          <w:lang w:val="en-GB"/>
        </w:rPr>
        <w:t>. However, the widespread deployment of biorefineries is often hindered by limitations in biomass availability and the long distances separating production sites from processing facilities. In this context, supply chain modeling and optimization emerge as crucial tools for identifying the most effective strategies for valorizing specific fractions of agro-industrial residues.</w:t>
      </w:r>
      <w:r w:rsidR="00772768" w:rsidRPr="0015045D">
        <w:rPr>
          <w:lang w:val="en-GB"/>
        </w:rPr>
        <w:t xml:space="preserve"> </w:t>
      </w:r>
      <w:r w:rsidR="00841468">
        <w:rPr>
          <w:lang w:val="en-GB"/>
        </w:rPr>
        <w:t xml:space="preserve">Some authors </w:t>
      </w:r>
      <w:r w:rsidR="00173834">
        <w:rPr>
          <w:lang w:val="en-GB"/>
        </w:rPr>
        <w:t>(</w:t>
      </w:r>
      <w:r w:rsidR="007D5CE2" w:rsidRPr="0015045D">
        <w:rPr>
          <w:lang w:val="en-GB"/>
        </w:rPr>
        <w:fldChar w:fldCharType="begin"/>
      </w:r>
      <w:r w:rsidR="007D5CE2" w:rsidRPr="0015045D">
        <w:rPr>
          <w:lang w:val="en-GB"/>
        </w:rPr>
        <w:instrText xml:space="preserve"> ADDIN ZOTERO_ITEM CSL_CITATION {"citationID":"ykhwXuiu","properties":{"formattedCitation":"(Alherbawi et al., 2022)","plainCitation":"(Alherbawi et al., 2022)","noteIndex":0},"citationItems":[{"id":4875,"uris":["http://zotero.org/users/10649518/items/WJ5FCCZY"],"itemData":{"id":4875,"type":"article-journal","abstract":"Biomass feedstock is a key sustainable alternative to the finite fossil resources to produce fuels and chemicals. Biomass sources vary from energy crops to a wide range of municipal, agricultural, and industrial wastes. Therefore, it is attracting growing attention due to its wide availability in almost every country worldwide. However, due to the irregular generation and the scattered distribution of biomass resources, the design of supply chains and the selection of refinery sites become a challenging task. As such, this study presents a framework for an optimal site selection of a multiple biomass refinery. Qatar is chosen as the case study, whereby, its main sources and locations of biomass are identified. While a mathematical optimisation model is established by utilising the geographic information system (GIS) and analytical hierarchy process (AHP) to spot optimal biorefinery sites that may enhance the supply chain of available biomass. Multiple criteria are considered in the model including the site accessibility to key infrastructural facilities, as well as biomass locations, availability, and calorific values. While several constraints are employed to alleviate social and environmental concerns. The model generates several candidate sites, which are then reduced to a single optimal site (at coordinates: 25.144, 51.351). The selected optimal site is believed to maximise the potential biomass energy supply and enhance the biomass supply chain through minimising biomass transportation cost, which is evaluated at an average of 7 $/tonne.Keywords: Biomass, Biorefinery siting, Supply chain, GIS, AHP, MCLP, Qatar.","container-title":"Chemical Engineering Transactions","DOI":"10.3303/CET2292013","ISSN":"2283-9216","language":"en","license":"Copyright (c) 2022 AIDIC Servizi Srl","page":"73-78","source":"www.cetjournal.it","title":"Multi-biomass Refinery Siting: a Gis Geospatial Optimization Approach","title-short":"Multi-biomass Refinery Siting","volume":"92","author":[{"family":"Alherbawi","given":"Mohammad"},{"family":"Mckay","given":"Gordon"},{"family":"Mackey","given":"Hamish R."},{"family":"Al-Ansari","given":"Tareq"}],"issued":{"date-parts":[["2022",6,30]]}}}],"schema":"https://github.com/citation-style-language/schema/raw/master/csl-citation.json"} </w:instrText>
      </w:r>
      <w:r w:rsidR="007D5CE2" w:rsidRPr="0015045D">
        <w:rPr>
          <w:lang w:val="en-GB"/>
        </w:rPr>
        <w:fldChar w:fldCharType="separate"/>
      </w:r>
      <w:r w:rsidR="007D5CE2" w:rsidRPr="0015045D">
        <w:rPr>
          <w:rFonts w:cs="Arial"/>
        </w:rPr>
        <w:t>Alherbawi et al.</w:t>
      </w:r>
      <w:r w:rsidR="00173834">
        <w:rPr>
          <w:rFonts w:cs="Arial"/>
        </w:rPr>
        <w:t xml:space="preserve">, </w:t>
      </w:r>
      <w:r w:rsidR="007D5CE2" w:rsidRPr="0015045D">
        <w:rPr>
          <w:rFonts w:cs="Arial"/>
        </w:rPr>
        <w:t>2022)</w:t>
      </w:r>
      <w:r w:rsidR="007D5CE2" w:rsidRPr="0015045D">
        <w:rPr>
          <w:lang w:val="en-GB"/>
        </w:rPr>
        <w:fldChar w:fldCharType="end"/>
      </w:r>
      <w:r w:rsidR="007D5CE2" w:rsidRPr="0015045D">
        <w:rPr>
          <w:lang w:val="en-GB"/>
        </w:rPr>
        <w:t xml:space="preserve"> studied</w:t>
      </w:r>
      <w:r w:rsidR="006D4744" w:rsidRPr="0015045D">
        <w:rPr>
          <w:lang w:val="en-GB"/>
        </w:rPr>
        <w:t xml:space="preserve"> a</w:t>
      </w:r>
      <w:r w:rsidR="007D5CE2" w:rsidRPr="0015045D">
        <w:rPr>
          <w:lang w:val="en-GB"/>
        </w:rPr>
        <w:t xml:space="preserve"> </w:t>
      </w:r>
      <w:r w:rsidR="006D4744" w:rsidRPr="0015045D">
        <w:rPr>
          <w:lang w:val="en-GB"/>
        </w:rPr>
        <w:t xml:space="preserve">GIS-based </w:t>
      </w:r>
      <w:r w:rsidR="007D5CE2" w:rsidRPr="0015045D">
        <w:rPr>
          <w:lang w:val="en-GB"/>
        </w:rPr>
        <w:t>propos</w:t>
      </w:r>
      <w:r w:rsidR="006D4744" w:rsidRPr="0015045D">
        <w:rPr>
          <w:lang w:val="en-GB"/>
        </w:rPr>
        <w:t>ed</w:t>
      </w:r>
      <w:r w:rsidR="007D5CE2" w:rsidRPr="0015045D">
        <w:rPr>
          <w:lang w:val="en-GB"/>
        </w:rPr>
        <w:t xml:space="preserve"> optimization to identify the ideal location for a multi-feedstock </w:t>
      </w:r>
      <w:r w:rsidR="006D4744" w:rsidRPr="0015045D">
        <w:rPr>
          <w:lang w:val="en-GB"/>
        </w:rPr>
        <w:t>bio</w:t>
      </w:r>
      <w:r w:rsidR="007D5CE2" w:rsidRPr="0015045D">
        <w:rPr>
          <w:lang w:val="en-GB"/>
        </w:rPr>
        <w:t>refinery</w:t>
      </w:r>
      <w:r w:rsidR="006D4744" w:rsidRPr="0015045D">
        <w:rPr>
          <w:lang w:val="en-GB"/>
        </w:rPr>
        <w:t>,</w:t>
      </w:r>
      <w:r w:rsidR="007D5CE2" w:rsidRPr="0015045D">
        <w:rPr>
          <w:lang w:val="en-GB"/>
        </w:rPr>
        <w:t xml:space="preserve"> in Qatar. </w:t>
      </w:r>
      <w:r w:rsidR="00E1324A" w:rsidRPr="0015045D">
        <w:rPr>
          <w:lang w:val="en-GB"/>
        </w:rPr>
        <w:t>By analyzing availability and logistic criteria, the model selected an optimal site minimizing the transportation costs to an average of 7 $/t and maximizing</w:t>
      </w:r>
      <w:r w:rsidR="00B51BBA" w:rsidRPr="0015045D">
        <w:rPr>
          <w:lang w:val="en-GB"/>
        </w:rPr>
        <w:t xml:space="preserve"> the</w:t>
      </w:r>
      <w:r w:rsidR="00E1324A" w:rsidRPr="0015045D">
        <w:rPr>
          <w:lang w:val="en-GB"/>
        </w:rPr>
        <w:t xml:space="preserve"> biomass energy recovery.</w:t>
      </w:r>
      <w:r w:rsidR="009678B5" w:rsidRPr="0015045D">
        <w:rPr>
          <w:lang w:val="en-GB"/>
        </w:rPr>
        <w:t xml:space="preserve"> </w:t>
      </w:r>
    </w:p>
    <w:p w14:paraId="68E844E4" w14:textId="77777777" w:rsidR="00B63B88" w:rsidRDefault="00B63B88" w:rsidP="00B63B88">
      <w:pPr>
        <w:pStyle w:val="CETBodytext"/>
      </w:pPr>
      <w:r>
        <w:rPr>
          <w:noProof/>
        </w:rPr>
        <w:lastRenderedPageBreak/>
        <w:drawing>
          <wp:inline distT="0" distB="0" distL="0" distR="0" wp14:anchorId="0E639BC2" wp14:editId="25C9F720">
            <wp:extent cx="5651045" cy="1430378"/>
            <wp:effectExtent l="0" t="0" r="6985" b="0"/>
            <wp:docPr id="593780707" name="Immagine 8" descr="Immagine che contiene schermata, testo, cerchi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80707" name="Immagine 8" descr="Immagine che contiene schermata, testo, cerchio, diagramma&#10;&#10;Il contenuto generato dall'IA potrebbe non essere corre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356" cy="1436278"/>
                    </a:xfrm>
                    <a:prstGeom prst="rect">
                      <a:avLst/>
                    </a:prstGeom>
                    <a:noFill/>
                  </pic:spPr>
                </pic:pic>
              </a:graphicData>
            </a:graphic>
          </wp:inline>
        </w:drawing>
      </w:r>
    </w:p>
    <w:p w14:paraId="31A7D358" w14:textId="77777777" w:rsidR="00B63B88" w:rsidRDefault="00B63B88" w:rsidP="00B63B88">
      <w:pPr>
        <w:pStyle w:val="CETCaption"/>
      </w:pPr>
      <w:r w:rsidRPr="00BD077D">
        <w:rPr>
          <w:rStyle w:val="CETCaptionCarattere"/>
          <w:i/>
        </w:rPr>
        <w:t xml:space="preserve">Figure 1: </w:t>
      </w:r>
      <w:r w:rsidRPr="007F420B">
        <w:rPr>
          <w:rStyle w:val="CETCaptionCarattere"/>
          <w:i/>
        </w:rPr>
        <w:t>Schematized methodology for optimizing the supply chain for the valorization of agro-industrial waste from wine production in Southern Italy.</w:t>
      </w:r>
    </w:p>
    <w:p w14:paraId="23F86FEF" w14:textId="30D0793D" w:rsidR="00600535" w:rsidRDefault="00F534EC" w:rsidP="00600535">
      <w:pPr>
        <w:pStyle w:val="CETBodytext"/>
        <w:rPr>
          <w:lang w:val="en-GB"/>
        </w:rPr>
      </w:pPr>
      <w:r>
        <w:rPr>
          <w:lang w:val="en-GB"/>
        </w:rPr>
        <w:t>A</w:t>
      </w:r>
      <w:r w:rsidRPr="003829D7">
        <w:rPr>
          <w:lang w:val="en-GB"/>
        </w:rPr>
        <w:t xml:space="preserve"> MILP-based optimization framework to design cost-</w:t>
      </w:r>
      <w:r w:rsidR="00A36705" w:rsidRPr="003829D7">
        <w:rPr>
          <w:lang w:val="en-GB"/>
        </w:rPr>
        <w:t>effective supply chains for sugarcane-based biorefineries</w:t>
      </w:r>
      <w:r w:rsidR="00B55AA7">
        <w:rPr>
          <w:lang w:val="en-GB"/>
        </w:rPr>
        <w:t xml:space="preserve"> was also studied (</w:t>
      </w:r>
      <w:r w:rsidR="00B55AA7" w:rsidRPr="0015045D">
        <w:rPr>
          <w:lang w:val="en-GB"/>
        </w:rPr>
        <w:fldChar w:fldCharType="begin"/>
      </w:r>
      <w:r w:rsidR="00B55AA7" w:rsidRPr="0015045D">
        <w:rPr>
          <w:lang w:val="en-GB"/>
        </w:rPr>
        <w:instrText xml:space="preserve"> ADDIN ZOTERO_ITEM CSL_CITATION {"citationID":"IM8XMScq","properties":{"formattedCitation":"(Machin Ferrero and Mele, 2022)","plainCitation":"(Machin Ferrero and Mele, 2022)","noteIndex":0},"citationItems":[{"id":4879,"uris":["http://zotero.org/users/10649518/items/UVW74GYQ"],"itemData":{"id":4879,"type":"article-journal","abstract":"Sugar cane, an extremely abundant agricultural resource, is a key feedstock for the sustainable production of biofuels and bioproducts. Although it is mainly grown for the production of sugar and ﬁrst-generation ethanol, this grass is a privileged candidate to be processed in bioreﬁneries. This study focuses on the use of mathematical programming to make strategic decisions in the sugar cane value chain. The design task is formulated as a mixed-integer linear model (MILP) that seeks to minimize the total cost of a network of processing, transportation, and storage instances, which include many diﬀerent technologies and bioproducts. The capabilities of the proposed framework are illustrated through a case study based on four real-scaled scenarios in Argentina. The results show not only the optimal supply chain conﬁguration for diﬀerent demand patterns but also the technologies operating inside the bioreﬁneries and the possibility of recycling resources. Given a set of speciﬁc real parameters, such as biomass availability, product demand, and unit costs, the model is a useful tool for establishing strategic policies in the ﬁelds of agribusiness and bioenergy.","container-title":"ACS Sustainable Chemistry &amp; Engineering","DOI":"10.1021/acssuschemeng.2c00921","ISSN":"2168-0485, 2168-0485","issue":"24","journalAbbreviation":"ACS Sustainable Chem. Eng.","language":"en","license":"https://doi.org/10.15223/policy-029","page":"7916-7928","source":"DOI.org (Crossref)","title":"Optimal Design of Sugar-Cane-Based Biorefinery Networks in Argentina","volume":"10","author":[{"family":"Machin Ferrero","given":"Lucas Maximiliano"},{"family":"Mele","given":"Fernando Daniel"}],"issued":{"date-parts":[["2022",6,20]]}}}],"schema":"https://github.com/citation-style-language/schema/raw/master/csl-citation.json"} </w:instrText>
      </w:r>
      <w:r w:rsidR="00B55AA7" w:rsidRPr="0015045D">
        <w:rPr>
          <w:lang w:val="en-GB"/>
        </w:rPr>
        <w:fldChar w:fldCharType="separate"/>
      </w:r>
      <w:r w:rsidR="00B55AA7" w:rsidRPr="0015045D">
        <w:rPr>
          <w:rFonts w:cs="Arial"/>
        </w:rPr>
        <w:t>Machin Ferrero and Mele</w:t>
      </w:r>
      <w:r w:rsidR="00B55AA7">
        <w:rPr>
          <w:rFonts w:cs="Arial"/>
        </w:rPr>
        <w:t xml:space="preserve">, </w:t>
      </w:r>
      <w:r w:rsidR="00B55AA7" w:rsidRPr="0015045D">
        <w:rPr>
          <w:rFonts w:cs="Arial"/>
        </w:rPr>
        <w:t>2022)</w:t>
      </w:r>
      <w:r w:rsidR="00B55AA7" w:rsidRPr="0015045D">
        <w:rPr>
          <w:lang w:val="en-GB"/>
        </w:rPr>
        <w:fldChar w:fldCharType="end"/>
      </w:r>
      <w:r w:rsidR="00A36705">
        <w:rPr>
          <w:lang w:val="en-GB"/>
        </w:rPr>
        <w:t>,</w:t>
      </w:r>
      <w:r w:rsidR="00A36705" w:rsidRPr="003829D7">
        <w:rPr>
          <w:lang w:val="en-GB"/>
        </w:rPr>
        <w:t xml:space="preserve"> </w:t>
      </w:r>
      <w:r w:rsidR="00A36705">
        <w:rPr>
          <w:lang w:val="en-GB"/>
        </w:rPr>
        <w:t>h</w:t>
      </w:r>
      <w:r w:rsidR="00A36705" w:rsidRPr="003829D7">
        <w:rPr>
          <w:lang w:val="en-GB"/>
        </w:rPr>
        <w:t>ighlight</w:t>
      </w:r>
      <w:r w:rsidR="00A36705">
        <w:rPr>
          <w:lang w:val="en-GB"/>
        </w:rPr>
        <w:t>ing the</w:t>
      </w:r>
      <w:r w:rsidR="00A36705" w:rsidRPr="003829D7">
        <w:rPr>
          <w:lang w:val="en-GB"/>
        </w:rPr>
        <w:t xml:space="preserve"> potential</w:t>
      </w:r>
      <w:r w:rsidR="00A36705">
        <w:rPr>
          <w:lang w:val="en-GB"/>
        </w:rPr>
        <w:t>ity</w:t>
      </w:r>
      <w:r w:rsidR="00A36705" w:rsidRPr="003829D7">
        <w:rPr>
          <w:lang w:val="en-GB"/>
        </w:rPr>
        <w:t xml:space="preserve"> </w:t>
      </w:r>
      <w:r w:rsidR="00A36705">
        <w:rPr>
          <w:lang w:val="en-GB"/>
        </w:rPr>
        <w:t xml:space="preserve">of this approach </w:t>
      </w:r>
      <w:r w:rsidR="00A36705" w:rsidRPr="003829D7">
        <w:rPr>
          <w:lang w:val="en-GB"/>
        </w:rPr>
        <w:t>to support strategic decisions in bioenergy and agribusiness planning.</w:t>
      </w:r>
      <w:r w:rsidR="00A36705">
        <w:rPr>
          <w:lang w:val="en-GB"/>
        </w:rPr>
        <w:t xml:space="preserve"> </w:t>
      </w:r>
      <w:r w:rsidR="00FD228C" w:rsidRPr="00FD228C">
        <w:rPr>
          <w:lang w:val="en-GB"/>
        </w:rPr>
        <w:t xml:space="preserve">Within the </w:t>
      </w:r>
      <w:r w:rsidR="00FD228C" w:rsidRPr="008829FA">
        <w:rPr>
          <w:lang w:val="en-GB"/>
        </w:rPr>
        <w:t>framework of the Percival Project</w:t>
      </w:r>
      <w:r w:rsidR="008829FA" w:rsidRPr="008829FA">
        <w:rPr>
          <w:lang w:val="en-GB"/>
        </w:rPr>
        <w:t xml:space="preserve"> </w:t>
      </w:r>
      <w:r w:rsidR="008829FA" w:rsidRPr="008829FA">
        <w:rPr>
          <w:lang w:val="en-GB"/>
        </w:rPr>
        <w:fldChar w:fldCharType="begin"/>
      </w:r>
      <w:r w:rsidR="008829FA" w:rsidRPr="008829FA">
        <w:rPr>
          <w:lang w:val="en-GB"/>
        </w:rPr>
        <w:instrText xml:space="preserve"> ADDIN ZOTERO_ITEM CSL_CITATION {"citationID":"OZJdwzJS","properties":{"formattedCitation":"(Fatta et al., 2024)","plainCitation":"(Fatta et al., 2024)","noteIndex":0},"citationItems":[{"id":3953,"uris":["http://zotero.org/users/10649518/items/NMCZYQN3"],"itemData":{"id":3953,"type":"article-journal","container-title":"Chemical Engineering Transactions","DOI":"10.3303/CET24109071","language":"en","page":"421-426","source":"DOI.org (CSL JSON)","title":"Bioproducts Extraction from Agro-industrial By-products and Their Valorisation. Development of Process Layouts","volume":"109","author":[{"family":"Fatta","given":"Vittoria"},{"family":"Petrone","given":"Maria Teresa"},{"family":"Giuliano, Aristide","given":""},{"family":"De Bari","given":"Isabella"},{"family":"Pierro","given":"Nicola"},{"family":"Rosso","given":"Valeria"},{"family":"Ocleppo","given":"Emanuele"}],"issued":{"date-parts":[["2024",6]]}}}],"schema":"https://github.com/citation-style-language/schema/raw/master/csl-citation.json"} </w:instrText>
      </w:r>
      <w:r w:rsidR="008829FA" w:rsidRPr="008829FA">
        <w:rPr>
          <w:lang w:val="en-GB"/>
        </w:rPr>
        <w:fldChar w:fldCharType="separate"/>
      </w:r>
      <w:r w:rsidR="008829FA" w:rsidRPr="008829FA">
        <w:rPr>
          <w:rFonts w:cs="Arial"/>
        </w:rPr>
        <w:t>(Fatta et al., 2024)</w:t>
      </w:r>
      <w:r w:rsidR="008829FA" w:rsidRPr="008829FA">
        <w:rPr>
          <w:lang w:val="en-GB"/>
        </w:rPr>
        <w:fldChar w:fldCharType="end"/>
      </w:r>
      <w:r w:rsidR="00FD228C" w:rsidRPr="008829FA">
        <w:rPr>
          <w:lang w:val="en-GB"/>
        </w:rPr>
        <w:t>, which aims to valorize by-products originating from agro-industrial supply chains typical of Southern Italy</w:t>
      </w:r>
      <w:r w:rsidR="00D55168">
        <w:rPr>
          <w:lang w:val="en-GB"/>
        </w:rPr>
        <w:t xml:space="preserve"> (e.g. Basilicata, Campania and Puglia region)</w:t>
      </w:r>
      <w:r w:rsidR="00FD228C" w:rsidRPr="008829FA">
        <w:rPr>
          <w:lang w:val="en-GB"/>
        </w:rPr>
        <w:t xml:space="preserve"> through the development of biochemicals, biomaterials, and biofuels, this study focuses on supply chain optimization. The objective is to identify optimal biorefinery configurations in terms of geographic localization and processing capacity, specifically for the conversion of wine industry residues into high-value-added products</w:t>
      </w:r>
      <w:r w:rsidR="00781F85" w:rsidRPr="008829FA">
        <w:rPr>
          <w:lang w:val="en-GB"/>
        </w:rPr>
        <w:t>.</w:t>
      </w:r>
    </w:p>
    <w:p w14:paraId="5741900F" w14:textId="68702396" w:rsidR="00453E24" w:rsidRDefault="00EA3746" w:rsidP="00453E24">
      <w:pPr>
        <w:pStyle w:val="CETHeading1"/>
      </w:pPr>
      <w:r>
        <w:t>Methodology</w:t>
      </w:r>
    </w:p>
    <w:p w14:paraId="6991BE74" w14:textId="7392BE60" w:rsidR="004626DF" w:rsidRDefault="00CB5A78" w:rsidP="00453E24">
      <w:pPr>
        <w:pStyle w:val="CETBodytext"/>
      </w:pPr>
      <w:r w:rsidRPr="00CB5A78">
        <w:t>The methodology adopted in this study is illustrated in the flow diagram presented in Figure 1. Initially, regions in Southern Italy characterized by a strong presence of the wine agroindustry were identified. The corresponding biowaste was quantified and geolocated at the municipal level. Subsequently, conversion technologies were evaluated based on their technical performance as well as their operating and capital costs. Target products were then selected, and the relevant process yields were incorporated. The algorithm performs an initial supply chain network optimization for a territory subdivided into municipalities, using data sourced from the national “Atlante delle Biomasse” database</w:t>
      </w:r>
      <w:r>
        <w:t xml:space="preserve"> </w:t>
      </w:r>
      <w:r w:rsidR="00E32178">
        <w:fldChar w:fldCharType="begin"/>
      </w:r>
      <w:r w:rsidR="00F66189">
        <w:instrText xml:space="preserve"> ADDIN ZOTERO_ITEM CSL_CITATION {"citationID":"qpxRhvjy","properties":{"formattedCitation":"(Pierro et al., 2021)","plainCitation":"(Pierro et al., 2021)","noteIndex":0},"citationItems":[{"id":4135,"uris":["http://zotero.org/users/10649518/items/YQA2PKTQ"],"itemData":{"id":4135,"type":"webpage","title":"Valutazione disponibilità biomasse agro-industriali a livello nazionale e loro pubblicazione sul portale Webgis atlante delle biomasse","URL":"https://iris.enea.it/handle/20.500.12079/56881","author":[{"family":"Pierro","given":"Nicola"},{"family":"Giocoli","given":"Alessandro"},{"family":"Motola","given":"Vincenzo"},{"family":"Dipinto","given":"Sebastiano"}],"accessed":{"date-parts":[["2023",10,17]]},"issued":{"date-parts":[["2021"]]}}}],"schema":"https://github.com/citation-style-language/schema/raw/master/csl-citation.json"} </w:instrText>
      </w:r>
      <w:r w:rsidR="00E32178">
        <w:fldChar w:fldCharType="separate"/>
      </w:r>
      <w:r w:rsidR="00F66189" w:rsidRPr="00F66189">
        <w:rPr>
          <w:rFonts w:cs="Arial"/>
        </w:rPr>
        <w:t>(Pierro et al., 2021)</w:t>
      </w:r>
      <w:r w:rsidR="00E32178">
        <w:fldChar w:fldCharType="end"/>
      </w:r>
      <w:r w:rsidR="00453E24">
        <w:t>.</w:t>
      </w:r>
    </w:p>
    <w:p w14:paraId="35445693" w14:textId="77777777" w:rsidR="004626DF" w:rsidRDefault="004626DF" w:rsidP="00453E24">
      <w:pPr>
        <w:pStyle w:val="CETBodytext"/>
      </w:pPr>
    </w:p>
    <w:p w14:paraId="4B6F6CF7" w14:textId="0E8A42E2" w:rsidR="00C61BF9" w:rsidRDefault="006C24C0" w:rsidP="00C61BF9">
      <w:pPr>
        <w:pStyle w:val="CETheadingx"/>
      </w:pPr>
      <w:r w:rsidRPr="006C24C0">
        <w:t>Process Flow Diagram for Wine Waste Valorization</w:t>
      </w:r>
    </w:p>
    <w:p w14:paraId="4A3A455A" w14:textId="6930B803" w:rsidR="00AE650D" w:rsidRDefault="008754D0" w:rsidP="008A6E29">
      <w:pPr>
        <w:pStyle w:val="CETBodytext"/>
      </w:pPr>
      <w:r>
        <w:t xml:space="preserve">Figure </w:t>
      </w:r>
      <w:r w:rsidR="009C35AF">
        <w:t>2</w:t>
      </w:r>
      <w:r w:rsidRPr="008754D0">
        <w:t xml:space="preserve"> </w:t>
      </w:r>
      <w:r w:rsidR="0088149C" w:rsidRPr="0088149C">
        <w:t xml:space="preserve">presents a valorization process for vineyard residues, specifically </w:t>
      </w:r>
      <w:r w:rsidR="00AF7670">
        <w:t>grape marc, wine lees and pruning</w:t>
      </w:r>
      <w:r w:rsidR="0088149C" w:rsidRPr="0088149C">
        <w:t xml:space="preserve">. </w:t>
      </w:r>
      <w:r w:rsidR="00486B2E">
        <w:t>This last one</w:t>
      </w:r>
      <w:r w:rsidR="00310726">
        <w:t>, p</w:t>
      </w:r>
      <w:r w:rsidR="00280B60">
        <w:t>r</w:t>
      </w:r>
      <w:r w:rsidR="00310726">
        <w:t xml:space="preserve">uning to </w:t>
      </w:r>
      <w:r w:rsidR="002B64D9">
        <w:t>the pyrolysis process producing biochar</w:t>
      </w:r>
      <w:r w:rsidR="0088149C" w:rsidRPr="0088149C">
        <w:t xml:space="preserve">. In parallel, </w:t>
      </w:r>
      <w:r w:rsidR="00BF745C">
        <w:t xml:space="preserve">grape marc, wine lees </w:t>
      </w:r>
      <w:r w:rsidR="0088149C" w:rsidRPr="0088149C">
        <w:t>are milled</w:t>
      </w:r>
      <w:r w:rsidR="00BF745C">
        <w:t xml:space="preserve"> and </w:t>
      </w:r>
      <w:r w:rsidR="0088149C" w:rsidRPr="0088149C">
        <w:t xml:space="preserve">subjected to </w:t>
      </w:r>
      <w:r w:rsidR="00BF745C">
        <w:t xml:space="preserve">a </w:t>
      </w:r>
      <w:r w:rsidR="0088149C" w:rsidRPr="0088149C">
        <w:t>solid-liquid extraction. This extraction produces two outputs: a liquid extract containing valuable bioactive compounds, and a solid residue. The liquid extract</w:t>
      </w:r>
      <w:r w:rsidR="00185EA0">
        <w:t>, rich in resveratrol and other antioxidants,</w:t>
      </w:r>
      <w:r w:rsidR="0088149C" w:rsidRPr="0088149C">
        <w:t xml:space="preserve"> can be used for further applications in nutraceutical, pharmaceutical, or food sectors, while the solid by-product may have additional uses or be treated further. </w:t>
      </w:r>
      <w:r w:rsidR="00280B60">
        <w:t xml:space="preserve">The solid residues can be used into an anaerobic digestion process producing biomethane. </w:t>
      </w:r>
      <w:r w:rsidR="0088149C" w:rsidRPr="0088149C">
        <w:t>This integrated approach maximizes the use of vineyard waste in a sustainable and circular way.</w:t>
      </w:r>
    </w:p>
    <w:p w14:paraId="08FDC38F" w14:textId="793B1F1A" w:rsidR="00E6789B" w:rsidRDefault="0064384B" w:rsidP="0092362A">
      <w:pPr>
        <w:pStyle w:val="CETBodytext"/>
        <w:keepNext/>
      </w:pPr>
      <w:r>
        <w:rPr>
          <w:noProof/>
        </w:rPr>
        <w:drawing>
          <wp:inline distT="0" distB="0" distL="0" distR="0" wp14:anchorId="22559AC3" wp14:editId="2918B2C8">
            <wp:extent cx="3989195" cy="1899381"/>
            <wp:effectExtent l="0" t="0" r="0" b="0"/>
            <wp:docPr id="131748456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7225" cy="1907965"/>
                    </a:xfrm>
                    <a:prstGeom prst="rect">
                      <a:avLst/>
                    </a:prstGeom>
                    <a:noFill/>
                  </pic:spPr>
                </pic:pic>
              </a:graphicData>
            </a:graphic>
          </wp:inline>
        </w:drawing>
      </w:r>
    </w:p>
    <w:p w14:paraId="7931E0A7" w14:textId="6841D5CC" w:rsidR="0021366C" w:rsidRPr="00BD077D" w:rsidRDefault="0021366C" w:rsidP="0021366C">
      <w:pPr>
        <w:pStyle w:val="CETCaption"/>
      </w:pPr>
      <w:r w:rsidRPr="0015045D">
        <w:rPr>
          <w:rStyle w:val="CETCaptionCarattere"/>
          <w:i/>
        </w:rPr>
        <w:t xml:space="preserve">Figure </w:t>
      </w:r>
      <w:r w:rsidR="004626DF" w:rsidRPr="0015045D">
        <w:rPr>
          <w:rStyle w:val="CETCaptionCarattere"/>
          <w:i/>
        </w:rPr>
        <w:t>2</w:t>
      </w:r>
      <w:r w:rsidRPr="0015045D">
        <w:rPr>
          <w:rStyle w:val="CETCaptionCarattere"/>
          <w:i/>
        </w:rPr>
        <w:t xml:space="preserve">: </w:t>
      </w:r>
      <w:r w:rsidR="00614B88" w:rsidRPr="0015045D">
        <w:rPr>
          <w:rStyle w:val="CETCaptionCarattere"/>
          <w:i/>
        </w:rPr>
        <w:t>Block Flo</w:t>
      </w:r>
      <w:r w:rsidR="00614B88">
        <w:rPr>
          <w:rStyle w:val="CETCaptionCarattere"/>
          <w:i/>
        </w:rPr>
        <w:t xml:space="preserve">w Diagram </w:t>
      </w:r>
      <w:r w:rsidR="00440EE3" w:rsidRPr="006C24C0">
        <w:t>for Wine Waste Valorization</w:t>
      </w:r>
    </w:p>
    <w:p w14:paraId="175B6F30" w14:textId="77777777" w:rsidR="00614B88" w:rsidRDefault="00614B88" w:rsidP="00614B88">
      <w:pPr>
        <w:pStyle w:val="CETheadingx"/>
      </w:pPr>
      <w:r>
        <w:lastRenderedPageBreak/>
        <w:t xml:space="preserve">Supply chain model hypothesis and database </w:t>
      </w:r>
    </w:p>
    <w:p w14:paraId="4E245140" w14:textId="6561979B" w:rsidR="00614B88" w:rsidRDefault="000A0DAA" w:rsidP="00614B88">
      <w:pPr>
        <w:pStyle w:val="CETBodytext"/>
      </w:pPr>
      <w:r>
        <w:t>Wine is one of the oldest and most widely consumed beverages Worldwide, and its consumption continues to increase, leading to significant waste, particularly from vine prunings, grape marcs, and wine lees</w:t>
      </w:r>
      <w:r w:rsidR="00CF4E4A">
        <w:t xml:space="preserve"> </w:t>
      </w:r>
      <w:r w:rsidR="00CF4E4A">
        <w:fldChar w:fldCharType="begin"/>
      </w:r>
      <w:r w:rsidR="00CF4E4A">
        <w:instrText xml:space="preserve"> ADDIN ZOTERO_ITEM CSL_CITATION {"citationID":"LaBFCsla","properties":{"formattedCitation":"(Ayala et al., 2025)","plainCitation":"(Ayala et al., 2025)","noteIndex":0},"citationItems":[{"id":4867,"uris":["http://zotero.org/users/10649518/items/3UBPCEN2"],"itemData":{"id":4867,"type":"article-journal","abstract":"Wine is a popular beverage worldwide, and its consumption continues to rise, leading to waste, particularly from vine prunings and grape pomace. The aim of this study was to create a valorization pathway utilizing these waste materials. To achieve this, proximate analysis, chemical composition, ultimate analysis, thermogravimetric analysis (TGA), and other physicochemical parameters for both vine prunings and grape pomace were assessed. Based on the results, vine prunings were identified as suitable for direct combustion in energy applications, and grape pomace was found to be suitable as an antioxidant in vegetable oil. Grape pomace extract showed the following results through UV-vis spectroscopy: total phenolic content of 1688.10 mg GAE/100 g, total flavonoids of 1330.39 mg catechin/100 g, and total anthocyanins of 12.61 mg cyanidin-3-glucoside/100 mg. The antioxidant capacity was measured through various assays: FRAP yielded 2179.19 mg ascorbic acid/100 g; DPPH measured 1704.41 µmol Trolox/100 g; and ABTS showed 48,271.31 µmol Trolox/100 g. The ORAC results, as determined by fluorescence spectroscopy, were 53,694.93 µmol Trolox/100 g. HPLC profiling revealed cyanidin as the main anthocyanin (26.52 mg/L) and epicatechin as the most abundant flavonoid (214.29 mg/L). Finally, the antioxidant capacity of grape pomace in sunflower oil was evaluated using OSI. It increased the oil’s stability by up to 42.5%, positioning grape pomace extracts as a source of natural antioxidants in vegetable oils.","container-title":"Molecules","DOI":"10.3390/molecules30112332","ISSN":"1420-3049","issue":"11","language":"en","license":"http://creativecommons.org/licenses/by/3.0/","note":"number: 11\npublisher: Multidisciplinary Digital Publishing Institute","page":"2332","source":"www.mdpi.com","title":"Valorization Pathway for Grape Pruning and Pomace Waste from the Wine Industry: Energy and Non-Energy Applications","title-short":"Valorization Pathway for Grape Pruning and Pomace Waste from the Wine Industry","volume":"30","author":[{"family":"Ayala","given":"José R."},{"family":"Rojano","given":"Benjamín A."},{"family":"Coronado","given":"Marcos A."},{"family":"Alzate-Arbeláez","given":"Andrés Felipe"},{"family":"Sagaste","given":"Carlos A."},{"family":"Vélez","given":"Angie D."},{"family":"Montes","given":"Daniela G."}],"issued":{"date-parts":[["2025",1]]}}}],"schema":"https://github.com/citation-style-language/schema/raw/master/csl-citation.json"} </w:instrText>
      </w:r>
      <w:r w:rsidR="00CF4E4A">
        <w:fldChar w:fldCharType="separate"/>
      </w:r>
      <w:r w:rsidR="00CF4E4A" w:rsidRPr="00CF4E4A">
        <w:rPr>
          <w:rFonts w:cs="Arial"/>
        </w:rPr>
        <w:t>(Ayala et al., 2025)</w:t>
      </w:r>
      <w:r w:rsidR="00CF4E4A">
        <w:fldChar w:fldCharType="end"/>
      </w:r>
      <w:r>
        <w:t xml:space="preserve">. During grape production and processing, byproducts known as vine prunings are generated. Vineyard pruning is mainly carried out during the winter period (from November to March), preferably between December and February, during the vine’s dormancy when the plant has lost its </w:t>
      </w:r>
      <w:r w:rsidR="00533C82">
        <w:t>l</w:t>
      </w:r>
      <w:r>
        <w:t>eaves</w:t>
      </w:r>
      <w:r w:rsidR="00267424">
        <w:t xml:space="preserve"> </w:t>
      </w:r>
      <w:r w:rsidR="00222BF0">
        <w:fldChar w:fldCharType="begin"/>
      </w:r>
      <w:r w:rsidR="00222BF0">
        <w:instrText xml:space="preserve"> ADDIN ZOTERO_ITEM CSL_CITATION {"citationID":"HmFJT4oY","properties":{"formattedCitation":"(Fern\\uc0\\u225{}ndez-Puratich et al., 2015)","plainCitation":"(Fernández-Puratich et al., 2015)","noteIndex":0},"citationItems":[{"id":4866,"uris":["http://zotero.org/users/10649518/items/6DHDJ4RL"],"itemData":{"id":4866,"type":"article-journal","abstract":"The chip pruning of five different vine-producing wines was physically characterized, and its energetic value was analyzed (calorific value and ashes content principally). The material with a better energy performance was established. TCO2 emissions of this wood biomass were compared with the pine pellet, which is the most currently used solid biofuel in this industry. In both cases, the material obtaining process was studied, along with the fuel production and transport required measured in TCO2 emitted per tons.","container-title":"Renewable Energy","issue":"C","language":"en","note":"publisher: Elsevier","page":"1260-1267","source":"ideas.repec.org","title":"Analysis of energetic performance of vine biomass residues as an alternative fuel for Chilean wine industry","volume":"83","author":[{"family":"Fernández-Puratich","given":"Harald"},{"family":"Hernández","given":"Diógenes"},{"family":"Tenreiro","given":"Claudio"}],"issued":{"date-parts":[["2015"]]}}}],"schema":"https://github.com/citation-style-language/schema/raw/master/csl-citation.json"} </w:instrText>
      </w:r>
      <w:r w:rsidR="00222BF0">
        <w:fldChar w:fldCharType="separate"/>
      </w:r>
      <w:r w:rsidR="00222BF0" w:rsidRPr="00222BF0">
        <w:rPr>
          <w:rFonts w:cs="Arial"/>
        </w:rPr>
        <w:t>(Fernández-Puratich et al., 2015)</w:t>
      </w:r>
      <w:r w:rsidR="00222BF0">
        <w:fldChar w:fldCharType="end"/>
      </w:r>
      <w:r w:rsidR="002E1354">
        <w:t xml:space="preserve">. </w:t>
      </w:r>
      <w:r>
        <w:t>After the grapes are processed, a paste composed of stems, grape skins, and seeds</w:t>
      </w:r>
      <w:r w:rsidR="00F81DD7">
        <w:t xml:space="preserve">, </w:t>
      </w:r>
      <w:r>
        <w:t>referred to as grape marcs</w:t>
      </w:r>
      <w:r w:rsidR="00F81DD7">
        <w:t xml:space="preserve">, </w:t>
      </w:r>
      <w:r>
        <w:t>remains and represents the most significant byproduct of winemaking</w:t>
      </w:r>
      <w:r w:rsidR="002E1354">
        <w:t xml:space="preserve"> </w:t>
      </w:r>
      <w:r w:rsidR="002E1354">
        <w:fldChar w:fldCharType="begin"/>
      </w:r>
      <w:r w:rsidR="002E1354">
        <w:instrText xml:space="preserve"> ADDIN ZOTERO_ITEM CSL_CITATION {"citationID":"BQXDp4OO","properties":{"formattedCitation":"(Haas et al., 2018)","plainCitation":"(Haas et al., 2018)","noteIndex":0},"citationItems":[{"id":4870,"uris":["http://zotero.org/users/10649518/items/VT8LF7CN"],"itemData":{"id":4870,"type":"article-journal","abstract":"A simple and fast extraction method combining mechanical orbital agitation (MOA) and hydroalcoholic solid-liquid extraction (HSLE) was optimized for polyphenol enrichment and bioactive profiling of extractives of the non-pomace residue obtained from grape industries. Using this potentially reusable material, solid-liquid extractions using a mixture of organic-water solvents and rotational agitation were evaluated in order to obtain antioxidant rich extractives of this highly-colored residue, which is industrially discarded as a solid waste. In addition, the phenolic profile of this residue was firstly identified by RP-LC DAD. The extraction of many phenolic compounds was greatly increased by increasing solvent polarity combined with plate or orbital agitation. The non-pomace extractives showed high levels of flavanols, phenolic acids, anthocyanins and stilbene, whereas polyphenolic concentrations were significantly higher in methanolic extracts. The complete three-level factorial design allowed the optimization of extraction time, solvent concentration, and solid-liquid ratio, leading to an optimal extraction of anthocyanins at a solvent:solid ratio of 1:10 (w/v), extraction time of 5 min and solvent concentration of 85%. Malvidin glucosides were the major phenolics in the non-pomace residue. Catechin, epicatechin, ferulic acid, caffeic acid and trans-resveratrol, which are potent antioxidants, were found at high concentrations in the extractives, suggesting a bioactive interest for further technological applications.","container-title":"Industrial Crops and Products","DOI":"10.1016/j.indcrop.2017.12.058","journalAbbreviation":"Industrial Crops and Products","page":"593-601","source":"ResearchGate","title":"Extraction optimization for polyphenolic profiling and bioactive enrichment of extractives of non-pomace residue from grape processing","volume":"112","author":[{"family":"Haas","given":"Isabel"},{"family":"Toaldo","given":"Isabela"},{"family":"Burin","given":"Vívian"},{"family":"Bordignon-Luiz","given":"Marilde"}],"issued":{"date-parts":[["2018",2,1]]}}}],"schema":"https://github.com/citation-style-language/schema/raw/master/csl-citation.json"} </w:instrText>
      </w:r>
      <w:r w:rsidR="002E1354">
        <w:fldChar w:fldCharType="separate"/>
      </w:r>
      <w:r w:rsidR="002E1354" w:rsidRPr="002E1354">
        <w:rPr>
          <w:rFonts w:cs="Arial"/>
        </w:rPr>
        <w:t>(Haas et al., 2018)</w:t>
      </w:r>
      <w:r w:rsidR="002E1354">
        <w:fldChar w:fldCharType="end"/>
      </w:r>
      <w:r>
        <w:t>. Another important byproduct is wine lees, which form from the settling of leftover fermentation products and dead yeast cells at the bottom of the vessel</w:t>
      </w:r>
      <w:r w:rsidR="0084219F">
        <w:t xml:space="preserve"> </w:t>
      </w:r>
      <w:r w:rsidR="0084219F">
        <w:fldChar w:fldCharType="begin"/>
      </w:r>
      <w:r w:rsidR="0084219F">
        <w:instrText xml:space="preserve"> ADDIN ZOTERO_ITEM CSL_CITATION {"citationID":"gXuxb2WC","properties":{"formattedCitation":"(Tournour et al., 2015)","plainCitation":"(Tournour et al., 2015)","noteIndex":0},"citationItems":[{"id":4871,"uris":["http://zotero.org/users/10649518/items/LAWAX99T"],"itemData":{"id":4871,"type":"article-journal","abstract":"Grape pomace can be regarded as an excellent and affordable source of polyphenolic compounds. Hence, the main objective of this work was to conduct a comparative study of different Portuguese grape varieties, using an extraction methodology with possible applications in sustainable agriculture and pest management. Scavenging capacity against DPPH, oxygen radical absorbance capacity (ORAC), iron(II) chelating ability (ICA) and Folin-Ciocalteu assays were performed in order to evaluate the antioxidant capacity profile and total phenolic content (TPC) in ethanol/water extracts and aqueous grape pomace suspensions. Strong significant correlation between TPC and DPPH (R=0.944), and a low correlation between ORAC and the other assays was obtained (R0.632). ICA was not correlated with any of the other assays (R0.263). All grape pomace extracts have presented high antioxidant properties (ORAC) and chelating ability, ranging from 906 to 2337mol TEg-1 residue and from 55 to 104 % inhib. mg-1 residue, respectively. Results from HPLC analysis showed the presence of gallic acid, caffeic acid, syringic acid, (+)-catechin and (-)-epicatechin being syringic acid and (+)-catechin the major compounds. Although further studies are required, \"Touriga Nacional\" was the most promising grape cultivar regarding its highest values for TPC (142.4±1.1mg GAEg-1 dry residue), DPPH (1.12±0.04 mmol TEg-1 dry residue) and ORAC (1579±244mol TEg-1 dry residue) assays. Since Portugal is a major wine producer, utilization of pomace generated during the wine elaboration steps opens a new trend toward a simple and relatively easy compounds extraction with high antioxidant activity in order to contribute to emerging industrial applications and sustainable agriculture. (c) 2015 Elsevier B.V.","DOI":"10.1016/j.indcrop.2015.05.055","ISSN":"0926-6690","language":"eng","license":"restrictedAccess","note":"Accepted: 2022-09-11T01:43:13Z","source":"repositorio-aberto.up.pt","title":"Valorization of grape pomace: Extraction of bioactive phenolics with antioxidant properties","title-short":"Valorization of grape pomace","URL":"https://repositorio-aberto.up.pt/handle/10216/98984","author":[{"family":"Tournour","given":"H. H."},{"family":"Segundo","given":"M. A."},{"family":"Magalhaes","given":"L. M."},{"family":"Barreiros","given":"L."},{"family":"Queiroz","given":"J."},{"family":"Cunha","given":"L. M."}],"accessed":{"date-parts":[["2025",7,2]]},"issued":{"date-parts":[["2015"]]}}}],"schema":"https://github.com/citation-style-language/schema/raw/master/csl-citation.json"} </w:instrText>
      </w:r>
      <w:r w:rsidR="0084219F">
        <w:fldChar w:fldCharType="separate"/>
      </w:r>
      <w:r w:rsidR="0084219F" w:rsidRPr="0084219F">
        <w:rPr>
          <w:rFonts w:cs="Arial"/>
        </w:rPr>
        <w:t>(Tournour et al., 2015)</w:t>
      </w:r>
      <w:r w:rsidR="0084219F">
        <w:fldChar w:fldCharType="end"/>
      </w:r>
      <w:r>
        <w:t>.</w:t>
      </w:r>
      <w:r w:rsidR="0077205A">
        <w:t xml:space="preserve"> </w:t>
      </w:r>
      <w:r w:rsidR="00614B88">
        <w:t>Approximately 0.01 kg of resveratrol-rich extract can be derived from 1 kg of dried grape marc and wine lees</w:t>
      </w:r>
      <w:r w:rsidR="00B46196">
        <w:t xml:space="preserve"> (</w:t>
      </w:r>
      <w:r w:rsidR="00B46196" w:rsidRPr="00A04D14">
        <w:rPr>
          <w:rFonts w:cs="Arial"/>
        </w:rPr>
        <w:t>Maroun et al.</w:t>
      </w:r>
      <w:r w:rsidR="00B46196">
        <w:rPr>
          <w:rFonts w:cs="Arial"/>
        </w:rPr>
        <w:t>,</w:t>
      </w:r>
      <w:r w:rsidR="00B46196" w:rsidRPr="00A04D14">
        <w:rPr>
          <w:rFonts w:cs="Arial"/>
        </w:rPr>
        <w:t xml:space="preserve"> 2017</w:t>
      </w:r>
      <w:r w:rsidR="00B46196">
        <w:rPr>
          <w:rFonts w:cs="Arial"/>
        </w:rPr>
        <w:t>)</w:t>
      </w:r>
      <w:r w:rsidR="00614B88">
        <w:t xml:space="preserve">. In the case of biomethane, 1 kg of residual organic matter yields about 0.07 kg of gas </w:t>
      </w:r>
      <w:r w:rsidR="00614B88">
        <w:fldChar w:fldCharType="begin"/>
      </w:r>
      <w:r w:rsidR="00614B88">
        <w:instrText xml:space="preserve"> ADDIN ZOTERO_ITEM CSL_CITATION {"citationID":"OWTY7Vjc","properties":{"formattedCitation":"(Iragavarapu et al., 2023)","plainCitation":"(Iragavarapu et al., 2023)","noteIndex":0},"citationItems":[{"id":4864,"uris":["http://zotero.org/users/10649518/items/7BMWEBEW"],"itemData":{"id":4864,"type":"article-journal","abstract":"The world’s rising energy needs, and the depletion of fossil resources demand a shift from fossil-based feedstocks to organic waste to develop a competitive, resource-efﬁcient, and low-carbon sustainable economy in the long run. It is well known that the production of fuels and chemicals via chemical routes is advantageous because it is a well-established technology with low production costs. However, the use of toxic/environmentally harmful and expensive catalysts generates toxic intermediates, making the process unsustainable. Alternatively, utilization of renewable resources for bioprocessing with a multi-product approach that aligns novel integration improves resource utilization and contributes to the “green economy”. The present review discusses organic waste bioprocessing through the anaerobic fermentation (AF) process to produce biohydrogen (H2), biomethane (CH4), volatile fatty acids (VFAs) and medium chain fatty acids (MCFA). Furthermore, the roles of photosynthetic bacteria and microalgae for biofuel production are discussed. In addition, a roadmap to create a fermentative bioreﬁnery approach in the framework of an AF-integrated bioprocessing format is deliberated, along with limitations and future scope. This novel bioprocessing approach signiﬁcantly contributes to promoting the circular bioeconomy by launching complete carbon turnover practices in accordance with sustainable development goals.","container-title":"Energies","DOI":"10.3390/en16093873","ISSN":"1996-1073","issue":"9","journalAbbreviation":"Energies","language":"en","license":"https://creativecommons.org/licenses/by/4.0/","page":"3873","source":"DOI.org (Crossref)","title":"Bioprocessing of Waste for Renewable Chemicals and Fuels to Promote Bioeconomy","volume":"16","author":[{"family":"Iragavarapu","given":"Gayathri Priya"},{"family":"Imam","given":"Syed Shahed"},{"family":"Sarkar","given":"Omprakash"},{"family":"Mohan","given":"Srinivasula Venkata"},{"family":"Chang","given":"Young-Cheol"},{"family":"Reddy","given":"Motakatla Venkateswar"},{"family":"Kim","given":"Sang-Hyoun"},{"family":"Amradi","given":"Naresh Kumar"}],"issued":{"date-parts":[["2023",5,3]]}}}],"schema":"https://github.com/citation-style-language/schema/raw/master/csl-citation.json"} </w:instrText>
      </w:r>
      <w:r w:rsidR="00614B88">
        <w:fldChar w:fldCharType="separate"/>
      </w:r>
      <w:r w:rsidR="00614B88" w:rsidRPr="00FD433C">
        <w:rPr>
          <w:rFonts w:cs="Arial"/>
        </w:rPr>
        <w:t>(Iragavarapu et al., 2023)</w:t>
      </w:r>
      <w:r w:rsidR="00614B88">
        <w:fldChar w:fldCharType="end"/>
      </w:r>
      <w:r w:rsidR="00614B88">
        <w:t xml:space="preserve">. Through pyrolysis, vine pruning residues can generate approximately 0.3 kg of biochar per kilogram of dry biomass </w:t>
      </w:r>
      <w:r w:rsidR="00B46196">
        <w:t>(</w:t>
      </w:r>
      <w:r w:rsidR="00614B88" w:rsidRPr="00A04D14">
        <w:rPr>
          <w:rFonts w:cs="Arial"/>
        </w:rPr>
        <w:t>Jesus et al.</w:t>
      </w:r>
      <w:r w:rsidR="00B46196">
        <w:rPr>
          <w:rFonts w:cs="Arial"/>
        </w:rPr>
        <w:t>,</w:t>
      </w:r>
      <w:r w:rsidR="00614B88" w:rsidRPr="00A04D14">
        <w:rPr>
          <w:rFonts w:cs="Arial"/>
        </w:rPr>
        <w:t xml:space="preserve"> 2022</w:t>
      </w:r>
      <w:r w:rsidR="00614B88">
        <w:rPr>
          <w:rFonts w:cs="Arial"/>
        </w:rPr>
        <w:t>)</w:t>
      </w:r>
      <w:r w:rsidR="00614B88">
        <w:t>. The market price of resveratrol was set at 50 €/kg, biomethane at 0.50 €/kg, and biochar at 1,500 €/t. Capital cost data for biorefineries were categorized by technology type</w:t>
      </w:r>
      <w:r w:rsidR="0028239F">
        <w:t xml:space="preserve"> </w:t>
      </w:r>
      <w:r w:rsidR="00614B88">
        <w:t xml:space="preserve">extraction, anaerobic digestion, and pyrolysis. Maintenance and operational expenses were estimated at 10% of the capital investment. Biomass supply costs were fixed at 100 €/t for harvesting. To estimate transportation costs from harvesting sites to biorefineries, the inter-municipality distances were calculated. Although this method may slightly overestimate distances, it remains essential for a comprehensive cost assessment. Wet waste transportation was assumed to be carried out using drawbar trailer trucks. </w:t>
      </w:r>
      <w:r w:rsidR="002153FB">
        <w:t>T</w:t>
      </w:r>
      <w:r w:rsidR="00614B88">
        <w:t>ransportation costs using this system amount to €2.64/t + €0.15/t·km</w:t>
      </w:r>
      <w:r w:rsidR="002153FB">
        <w:t xml:space="preserve"> (</w:t>
      </w:r>
      <w:r w:rsidR="002153FB">
        <w:fldChar w:fldCharType="begin"/>
      </w:r>
      <w:r w:rsidR="002153FB">
        <w:instrText xml:space="preserve"> ADDIN ZOTERO_ITEM CSL_CITATION {"citationID":"f5Wc30Jq","properties":{"formattedCitation":"(Rotter and Rohrhofer, 2014)","plainCitation":"(Rotter and Rohrhofer, 2014)","dontUpdate":true,"noteIndex":0},"citationItems":[{"id":3139,"uris":["http://zotero.org/users/10649518/items/68DY4RJ6"],"itemData":{"id":3139,"type":"article-journal","issue":"282873","title":"Logistics Concept","URL":"www.BioBoost.eu","author":[{"family":"Rotter","given":"Stefan"},{"family":"Rohrhofer","given":"Christian"}],"issued":{"date-parts":[["2014"]]}}}],"schema":"https://github.com/citation-style-language/schema/raw/master/csl-citation.json"} </w:instrText>
      </w:r>
      <w:r w:rsidR="002153FB">
        <w:fldChar w:fldCharType="separate"/>
      </w:r>
      <w:r w:rsidR="002153FB" w:rsidRPr="008E0F80">
        <w:rPr>
          <w:rFonts w:cs="Arial"/>
        </w:rPr>
        <w:t>Rotter and Rohrhofer</w:t>
      </w:r>
      <w:r w:rsidR="002153FB">
        <w:rPr>
          <w:rFonts w:cs="Arial"/>
        </w:rPr>
        <w:t>,</w:t>
      </w:r>
      <w:r w:rsidR="002153FB" w:rsidRPr="008E0F80">
        <w:rPr>
          <w:rFonts w:cs="Arial"/>
        </w:rPr>
        <w:t xml:space="preserve"> 2014)</w:t>
      </w:r>
      <w:r w:rsidR="002153FB">
        <w:fldChar w:fldCharType="end"/>
      </w:r>
      <w:r w:rsidR="00614B88">
        <w:t>. These values account for the handling and waiting times during loading and unloading</w:t>
      </w:r>
      <w:r w:rsidR="0075557A">
        <w:t xml:space="preserve"> </w:t>
      </w:r>
      <w:r w:rsidR="00614B88">
        <w:t xml:space="preserve">performed via telescopic handler for feedstock and pumping systems for bioproducts. Return trips with empty trucks were assumed to incur costs of 0.15 €/t km. Additional biomass management costs included baling, collection, stacking, and storage. For the latter, a storage cost of 16.9 €/t was applied </w:t>
      </w:r>
      <w:r w:rsidR="00614B88">
        <w:fldChar w:fldCharType="begin"/>
      </w:r>
      <w:r w:rsidR="00614B88">
        <w:instrText xml:space="preserve"> ADDIN ZOTERO_ITEM CSL_CITATION {"citationID":"ynSU0PZ9","properties":{"formattedCitation":"(Ortiz et al., 2011)","plainCitation":"(Ortiz et al., 2011)","noteIndex":0},"citationItems":[{"id":4865,"uris":["http://zotero.org/users/10649518/items/QI9L9H8G"],"itemData":{"id":4865,"type":"report","abstract":"Biomass is an increasingly important source of electricity, heat, and liquid fuel. One near-term option for using biomass to generate electricity is to cofire biomass in coal-fired electricity plants. This report focuses on two aspects of biomass use: plant-site modifications, changes in operations, and costs associated with cofiring biomass; and the logistical issues associated with delivering biomass to the plant.","language":"en","source":"www.rand.org","title":"Near-Term Opportunities for Integrating Biomass into the U.S. Electricity Supply: Technical Considerations","title-short":"Near-Term Opportunities for Integrating Biomass into the U.S. Electricity Supply","URL":"https://www.rand.org/pubs/technical_reports/TR984.html","author":[{"family":"Ortiz","given":"David S."},{"family":"Curtright","given":"Aimee E."},{"family":"Samaras","given":"Constantine"},{"family":"Litovitz","given":"Aviva"},{"family":"Burger","given":"Nicholas E."}],"accessed":{"date-parts":[["2025",7,2]]},"issued":{"date-parts":[["2011",7,29]]}}}],"schema":"https://github.com/citation-style-language/schema/raw/master/csl-citation.json"} </w:instrText>
      </w:r>
      <w:r w:rsidR="00614B88">
        <w:fldChar w:fldCharType="separate"/>
      </w:r>
      <w:r w:rsidR="00614B88" w:rsidRPr="00180D6E">
        <w:rPr>
          <w:rFonts w:cs="Arial"/>
        </w:rPr>
        <w:t>(Ortiz et al., 2011)</w:t>
      </w:r>
      <w:r w:rsidR="00614B88">
        <w:fldChar w:fldCharType="end"/>
      </w:r>
      <w:r w:rsidR="00614B88">
        <w:t>.</w:t>
      </w:r>
    </w:p>
    <w:p w14:paraId="0636B784" w14:textId="4A4FB99D" w:rsidR="00453E24" w:rsidRDefault="00441D34" w:rsidP="00453E24">
      <w:pPr>
        <w:pStyle w:val="CETheadingx"/>
      </w:pPr>
      <w:r w:rsidRPr="00441D34">
        <w:t>Supply chain modelling</w:t>
      </w:r>
    </w:p>
    <w:p w14:paraId="510972CC" w14:textId="2D78D80E" w:rsidR="00B84255" w:rsidRDefault="00044C5E" w:rsidP="00432A6A">
      <w:pPr>
        <w:pStyle w:val="CETBodytext"/>
        <w:keepNext/>
      </w:pPr>
      <w:r>
        <w:t>Residual biomass</w:t>
      </w:r>
      <w:r w:rsidR="00B84255" w:rsidRPr="00B84255">
        <w:t xml:space="preserve"> is</w:t>
      </w:r>
      <w:r w:rsidR="00057B2D">
        <w:t xml:space="preserve"> considered</w:t>
      </w:r>
      <w:r w:rsidR="00B84255" w:rsidRPr="00B84255">
        <w:t xml:space="preserve"> transported </w:t>
      </w:r>
      <w:r w:rsidR="00057B2D">
        <w:t xml:space="preserve">from the original municipality </w:t>
      </w:r>
      <w:r w:rsidR="00B84255" w:rsidRPr="00B84255">
        <w:t xml:space="preserve">to a biorefinery where it is converted into </w:t>
      </w:r>
      <w:r w:rsidR="00A506B9">
        <w:t>target products (resveratrol, biomethane, biochar)</w:t>
      </w:r>
      <w:r w:rsidR="00B84255" w:rsidRPr="00B84255">
        <w:t xml:space="preserve">. The problem is formulated as follows: </w:t>
      </w:r>
      <w:r w:rsidR="00620D88">
        <w:t>g</w:t>
      </w:r>
      <w:r w:rsidR="00B84255" w:rsidRPr="00B84255">
        <w:t xml:space="preserve">iven are a one year horizon divided into 12 months, the </w:t>
      </w:r>
      <w:r w:rsidR="00EB7BC0">
        <w:t>wastes</w:t>
      </w:r>
      <w:r w:rsidR="00B84255" w:rsidRPr="00B84255">
        <w:t xml:space="preserve"> and location each month, the type of bioproducts and the distance between all possible pairs of location. Each </w:t>
      </w:r>
      <w:r w:rsidR="00F126D1">
        <w:t>municipality</w:t>
      </w:r>
      <w:r w:rsidR="00B84255" w:rsidRPr="00B84255">
        <w:t xml:space="preserve"> is restricted to be able to facilitate only one biorefinery. The biorefineries locations and processing capacities, the storage capacities, the </w:t>
      </w:r>
      <w:r w:rsidR="00F126D1">
        <w:t>biomass</w:t>
      </w:r>
      <w:r w:rsidR="00B84255" w:rsidRPr="00B84255">
        <w:t xml:space="preserve"> flows from harvesting sites to biorefineries each month</w:t>
      </w:r>
      <w:r w:rsidR="00F126D1">
        <w:t xml:space="preserve"> </w:t>
      </w:r>
      <w:r w:rsidR="00B84255" w:rsidRPr="00B84255">
        <w:t>are decided in such way that the total annual profit is maximized.</w:t>
      </w:r>
      <w:r w:rsidR="00B84255">
        <w:t xml:space="preserve"> </w:t>
      </w:r>
      <w:r w:rsidR="00B84255" w:rsidRPr="00B84255">
        <w:t>Mathematical model</w:t>
      </w:r>
      <w:r w:rsidR="00620D88">
        <w:t xml:space="preserve"> consists in a MILP (Mixed Integer Linear Programming)</w:t>
      </w:r>
      <w:r w:rsidR="008779C5">
        <w:t>, by</w:t>
      </w:r>
      <w:r w:rsidR="00D4028B">
        <w:t xml:space="preserve"> following</w:t>
      </w:r>
      <w:r w:rsidR="00B84255" w:rsidRPr="00B84255">
        <w:t xml:space="preserve"> formulation</w:t>
      </w:r>
      <w:r w:rsidR="00B84255">
        <w:t xml:space="preserve"> </w:t>
      </w:r>
      <w:r w:rsidR="00D4028B">
        <w:t>(</w:t>
      </w:r>
      <w:r w:rsidR="00294157">
        <w:fldChar w:fldCharType="begin"/>
      </w:r>
      <w:r w:rsidR="00B9197D">
        <w:instrText xml:space="preserve"> ADDIN ZOTERO_ITEM CSL_CITATION {"citationID":"tRUbVw0t","properties":{"formattedCitation":"(Galanopoulos et al., 2018)","plainCitation":"(Galanopoulos et al., 2018)","dontUpdate":true,"noteIndex":0},"citationItems":[{"id":2963,"uris":["http://zotero.org/users/10649518/items/VY2V4N8B"],"itemData":{"id":2963,"type":"article-journal","abstract":"In this work, a biomass supply chain model, for the region of Lower Saxony and Bremen in northern Germany, has been developed. Because of Germany's high demand for biofuels, the production and distribution of levulinic acid and bioethanol by wheat straw is studied. An illustrative bio-based supply chain model is developed and implemented in the Advanced Interactive Multidimensional Modeling (AIMMS) software. Then, this model is used to study the logistics, network optimization, transportation and inventory management, and the resulting environmental and economic impacts. In the end, a sensitivity analysis is conducted to evaluate the influence of key model parameters on these impacts. The results showed that a wheat straw supply chain network is profitable in the area of Bremen and Lower Saxony even though the bioproducts demand is not fully covered and that the transportation costs did not have a strong impact on the supply chain network.","container-title":"Computers and Chemical Engineering","DOI":"10.1016/j.compchemeng.2018.03.024","ISSN":"00981354","note":"publisher: Elsevier Ltd","page":"233–242","title":"A decision support platform for a bio-based supply chain: Application to the region of Lower Saxony and Bremen (Germany).","volume":"115","author":[{"family":"Galanopoulos","given":"Christos"},{"family":"Barletta","given":"Diego"},{"family":"Zondervan","given":"Edwin"}],"issued":{"date-parts":[["2018"]]}}}],"schema":"https://github.com/citation-style-language/schema/raw/master/csl-citation.json"} </w:instrText>
      </w:r>
      <w:r w:rsidR="00294157">
        <w:fldChar w:fldCharType="separate"/>
      </w:r>
      <w:r w:rsidR="00294157" w:rsidRPr="00294157">
        <w:rPr>
          <w:rFonts w:cs="Arial"/>
        </w:rPr>
        <w:t>Galanopoulos et al.</w:t>
      </w:r>
      <w:r w:rsidR="00D4028B">
        <w:rPr>
          <w:rFonts w:cs="Arial"/>
        </w:rPr>
        <w:t xml:space="preserve">, </w:t>
      </w:r>
      <w:r w:rsidR="00294157" w:rsidRPr="00294157">
        <w:rPr>
          <w:rFonts w:cs="Arial"/>
        </w:rPr>
        <w:t>2018)</w:t>
      </w:r>
      <w:r w:rsidR="00294157">
        <w:fldChar w:fldCharType="end"/>
      </w:r>
      <w:r w:rsidR="00D418C3" w:rsidRPr="00294157">
        <w:rPr>
          <w:rFonts w:cs="Arial"/>
        </w:rPr>
        <w:t>:</w:t>
      </w:r>
    </w:p>
    <w:tbl>
      <w:tblPr>
        <w:tblW w:w="5000" w:type="pct"/>
        <w:tblLook w:val="04A0" w:firstRow="1" w:lastRow="0" w:firstColumn="1" w:lastColumn="0" w:noHBand="0" w:noVBand="1"/>
      </w:tblPr>
      <w:tblGrid>
        <w:gridCol w:w="7983"/>
        <w:gridCol w:w="804"/>
      </w:tblGrid>
      <w:tr w:rsidR="00E6324A" w:rsidRPr="00B57B36" w14:paraId="4898F57D" w14:textId="77777777" w:rsidTr="0003706C">
        <w:tc>
          <w:tcPr>
            <w:tcW w:w="7983" w:type="dxa"/>
            <w:shd w:val="clear" w:color="auto" w:fill="auto"/>
            <w:vAlign w:val="center"/>
          </w:tcPr>
          <w:p w14:paraId="44B7AC2F" w14:textId="51AA6BE4" w:rsidR="00E6324A" w:rsidRPr="0003706C" w:rsidRDefault="00405F00" w:rsidP="00432A6A">
            <w:pPr>
              <w:pStyle w:val="CETEquation"/>
              <w:keepNext/>
            </w:pPr>
            <m:oMathPara>
              <m:oMathParaPr>
                <m:jc m:val="left"/>
              </m:oMathParaPr>
              <m:oMath>
                <m:r>
                  <w:rPr>
                    <w:rFonts w:ascii="Cambria Math" w:hAnsi="Cambria Math"/>
                  </w:rPr>
                  <m:t>Max Z=f(x,y)</m:t>
                </m:r>
              </m:oMath>
            </m:oMathPara>
          </w:p>
        </w:tc>
        <w:tc>
          <w:tcPr>
            <w:tcW w:w="804" w:type="dxa"/>
            <w:shd w:val="clear" w:color="auto" w:fill="auto"/>
            <w:vAlign w:val="center"/>
          </w:tcPr>
          <w:p w14:paraId="5555688E" w14:textId="77777777" w:rsidR="00E6324A" w:rsidRPr="00B57B36" w:rsidRDefault="00E6324A" w:rsidP="00432A6A">
            <w:pPr>
              <w:pStyle w:val="CETEquation"/>
              <w:keepNext/>
              <w:jc w:val="right"/>
            </w:pPr>
            <w:r w:rsidRPr="00B57B36">
              <w:t>(1)</w:t>
            </w:r>
          </w:p>
        </w:tc>
      </w:tr>
      <w:tr w:rsidR="0003706C" w:rsidRPr="00B57B36" w14:paraId="3D91592B" w14:textId="77777777" w:rsidTr="0003706C">
        <w:tc>
          <w:tcPr>
            <w:tcW w:w="7983" w:type="dxa"/>
            <w:shd w:val="clear" w:color="auto" w:fill="auto"/>
            <w:vAlign w:val="center"/>
          </w:tcPr>
          <w:p w14:paraId="6B5B3C58" w14:textId="6315D488" w:rsidR="0003706C" w:rsidRPr="00D043ED" w:rsidRDefault="00D043ED" w:rsidP="00432A6A">
            <w:pPr>
              <w:pStyle w:val="CETEquation"/>
              <w:keepNext/>
            </w:pPr>
            <m:oMathPara>
              <m:oMathParaPr>
                <m:jc m:val="left"/>
              </m:oMathParaPr>
              <m:oMath>
                <m:r>
                  <w:rPr>
                    <w:rFonts w:ascii="Cambria Math" w:hAnsi="Cambria Math"/>
                  </w:rPr>
                  <m:t>h(x)=0</m:t>
                </m:r>
              </m:oMath>
            </m:oMathPara>
          </w:p>
        </w:tc>
        <w:tc>
          <w:tcPr>
            <w:tcW w:w="804" w:type="dxa"/>
            <w:shd w:val="clear" w:color="auto" w:fill="auto"/>
            <w:vAlign w:val="center"/>
          </w:tcPr>
          <w:p w14:paraId="2626E7A5" w14:textId="6AF7BF3C" w:rsidR="0003706C" w:rsidRPr="00B57B36" w:rsidRDefault="00D043ED" w:rsidP="00432A6A">
            <w:pPr>
              <w:pStyle w:val="CETEquation"/>
              <w:keepNext/>
              <w:jc w:val="right"/>
            </w:pPr>
            <w:r w:rsidRPr="00B57B36">
              <w:t>(</w:t>
            </w:r>
            <w:r>
              <w:t>2</w:t>
            </w:r>
            <w:r w:rsidRPr="00B57B36">
              <w:t>)</w:t>
            </w:r>
          </w:p>
        </w:tc>
      </w:tr>
      <w:tr w:rsidR="00D043ED" w:rsidRPr="00B57B36" w14:paraId="0BB11833" w14:textId="77777777" w:rsidTr="0003706C">
        <w:tc>
          <w:tcPr>
            <w:tcW w:w="7983" w:type="dxa"/>
            <w:shd w:val="clear" w:color="auto" w:fill="auto"/>
            <w:vAlign w:val="center"/>
          </w:tcPr>
          <w:p w14:paraId="5E473D5C" w14:textId="054DC39A" w:rsidR="00D043ED" w:rsidRPr="00D043ED" w:rsidRDefault="00D043ED" w:rsidP="00432A6A">
            <w:pPr>
              <w:pStyle w:val="CETEquation"/>
              <w:keepNext/>
            </w:pPr>
            <m:oMathPara>
              <m:oMathParaPr>
                <m:jc m:val="left"/>
              </m:oMathParaPr>
              <m:oMath>
                <m:r>
                  <w:rPr>
                    <w:rFonts w:ascii="Cambria Math" w:hAnsi="Cambria Math"/>
                  </w:rPr>
                  <m:t>g(x,y)≤0</m:t>
                </m:r>
              </m:oMath>
            </m:oMathPara>
          </w:p>
        </w:tc>
        <w:tc>
          <w:tcPr>
            <w:tcW w:w="804" w:type="dxa"/>
            <w:shd w:val="clear" w:color="auto" w:fill="auto"/>
            <w:vAlign w:val="center"/>
          </w:tcPr>
          <w:p w14:paraId="6E09DEB1" w14:textId="3CD7FF78" w:rsidR="00D043ED" w:rsidRPr="00B57B36" w:rsidRDefault="00504482" w:rsidP="00432A6A">
            <w:pPr>
              <w:pStyle w:val="CETEquation"/>
              <w:keepNext/>
              <w:jc w:val="right"/>
            </w:pPr>
            <w:r w:rsidRPr="00B57B36">
              <w:t>(</w:t>
            </w:r>
            <w:r>
              <w:t>3</w:t>
            </w:r>
            <w:r w:rsidRPr="00B57B36">
              <w:t>)</w:t>
            </w:r>
          </w:p>
        </w:tc>
      </w:tr>
      <w:tr w:rsidR="00504482" w:rsidRPr="00B57B36" w14:paraId="2A372D69" w14:textId="77777777" w:rsidTr="0003706C">
        <w:tc>
          <w:tcPr>
            <w:tcW w:w="7983" w:type="dxa"/>
            <w:shd w:val="clear" w:color="auto" w:fill="auto"/>
            <w:vAlign w:val="center"/>
          </w:tcPr>
          <w:p w14:paraId="2722D60A" w14:textId="2D43BE7A" w:rsidR="00504482" w:rsidRPr="00504482" w:rsidRDefault="00504482" w:rsidP="00130396">
            <w:pPr>
              <w:pStyle w:val="CETEquation"/>
            </w:pPr>
            <m:oMathPara>
              <m:oMathParaPr>
                <m:jc m:val="left"/>
              </m:oMathParaPr>
              <m:oMath>
                <m:r>
                  <w:rPr>
                    <w:rFonts w:ascii="Cambria Math" w:hAnsi="Cambria Math"/>
                  </w:rPr>
                  <m:t>x∈X,  y∈{0,1}</m:t>
                </m:r>
              </m:oMath>
            </m:oMathPara>
          </w:p>
        </w:tc>
        <w:tc>
          <w:tcPr>
            <w:tcW w:w="804" w:type="dxa"/>
            <w:shd w:val="clear" w:color="auto" w:fill="auto"/>
            <w:vAlign w:val="center"/>
          </w:tcPr>
          <w:p w14:paraId="7E7A05A3" w14:textId="724D80EF" w:rsidR="00504482" w:rsidRPr="00B57B36" w:rsidRDefault="008E30D4" w:rsidP="00130396">
            <w:pPr>
              <w:pStyle w:val="CETEquation"/>
              <w:jc w:val="right"/>
            </w:pPr>
            <w:r w:rsidRPr="00B57B36">
              <w:t>(</w:t>
            </w:r>
            <w:r>
              <w:t>4</w:t>
            </w:r>
            <w:r w:rsidRPr="00B57B36">
              <w:t>)</w:t>
            </w:r>
          </w:p>
        </w:tc>
      </w:tr>
    </w:tbl>
    <w:p w14:paraId="126DC876" w14:textId="07E1DB10" w:rsidR="00B84255" w:rsidRDefault="003C7E96" w:rsidP="00453E24">
      <w:pPr>
        <w:pStyle w:val="CETBodytext"/>
      </w:pPr>
      <w:r w:rsidRPr="00F81DD7">
        <w:t xml:space="preserve">Where </w:t>
      </w:r>
      <w:r w:rsidR="00DD0694" w:rsidRPr="00F81DD7">
        <w:rPr>
          <w:i/>
          <w:iCs/>
        </w:rPr>
        <w:t>Z</w:t>
      </w:r>
      <w:r w:rsidR="00DD0694" w:rsidRPr="00F81DD7">
        <w:t xml:space="preserve"> is the objective function (i.e. the annual profit), </w:t>
      </w:r>
      <w:r w:rsidR="00014E9F" w:rsidRPr="00F81DD7">
        <w:rPr>
          <w:i/>
          <w:iCs/>
        </w:rPr>
        <w:t>h(x)</w:t>
      </w:r>
      <w:r w:rsidR="00014E9F" w:rsidRPr="00F81DD7">
        <w:t xml:space="preserve"> are the linear equality constraints</w:t>
      </w:r>
      <w:r w:rsidR="00E626F8">
        <w:t xml:space="preserve"> </w:t>
      </w:r>
      <w:r w:rsidR="0028239F">
        <w:t>containing only real</w:t>
      </w:r>
      <w:r w:rsidR="00FC7CA4">
        <w:t xml:space="preserve"> vari</w:t>
      </w:r>
      <w:r w:rsidR="00DB3177">
        <w:t>a</w:t>
      </w:r>
      <w:r w:rsidR="00FC7CA4">
        <w:t>bles</w:t>
      </w:r>
      <w:r w:rsidR="00014E9F" w:rsidRPr="00F81DD7">
        <w:t xml:space="preserve">, </w:t>
      </w:r>
      <w:r w:rsidR="006B50B2" w:rsidRPr="00F81DD7">
        <w:rPr>
          <w:i/>
          <w:iCs/>
        </w:rPr>
        <w:t>g(x,y)</w:t>
      </w:r>
      <w:r w:rsidR="006B50B2" w:rsidRPr="00F81DD7">
        <w:t xml:space="preserve"> are the linear inequality constraints</w:t>
      </w:r>
      <w:r w:rsidR="00FC7CA4">
        <w:t xml:space="preserve"> containing the binary variables</w:t>
      </w:r>
      <w:r w:rsidR="006B50B2" w:rsidRPr="00F81DD7">
        <w:t xml:space="preserve">, </w:t>
      </w:r>
      <w:r w:rsidR="006B50B2" w:rsidRPr="00F81DD7">
        <w:rPr>
          <w:i/>
          <w:iCs/>
        </w:rPr>
        <w:t>X</w:t>
      </w:r>
      <w:r w:rsidR="006B50B2" w:rsidRPr="00F81DD7">
        <w:t xml:space="preserve"> </w:t>
      </w:r>
      <w:r w:rsidR="00EC3232" w:rsidRPr="00F81DD7">
        <w:t>is</w:t>
      </w:r>
      <w:r w:rsidR="006B50B2" w:rsidRPr="00F81DD7">
        <w:t xml:space="preserve"> the </w:t>
      </w:r>
      <w:r w:rsidR="00EC3232" w:rsidRPr="00F81DD7">
        <w:t xml:space="preserve">set of real numbers, </w:t>
      </w:r>
      <w:r w:rsidR="00FB6B7C">
        <w:rPr>
          <w:i/>
          <w:iCs/>
        </w:rPr>
        <w:t>y</w:t>
      </w:r>
      <w:r w:rsidR="00EC3232" w:rsidRPr="00F81DD7">
        <w:t xml:space="preserve"> </w:t>
      </w:r>
      <w:r w:rsidR="00FB6B7C">
        <w:t>are</w:t>
      </w:r>
      <w:r w:rsidR="00EC3232" w:rsidRPr="00F81DD7">
        <w:t xml:space="preserve"> the </w:t>
      </w:r>
      <w:r w:rsidR="00D96226" w:rsidRPr="00F81DD7">
        <w:t xml:space="preserve">binary </w:t>
      </w:r>
      <w:r w:rsidR="00FB6B7C">
        <w:t>variables</w:t>
      </w:r>
      <w:r w:rsidR="00B9197D" w:rsidRPr="00F81DD7">
        <w:t xml:space="preserve"> </w:t>
      </w:r>
      <w:r w:rsidR="00D4028B">
        <w:t>(</w:t>
      </w:r>
      <w:r w:rsidR="00B9197D" w:rsidRPr="00F81DD7">
        <w:rPr>
          <w:rFonts w:cs="Arial"/>
        </w:rPr>
        <w:t>Giuliano et al., 2014</w:t>
      </w:r>
      <w:r w:rsidR="00D4028B">
        <w:rPr>
          <w:rFonts w:cs="Arial"/>
        </w:rPr>
        <w:t>)</w:t>
      </w:r>
      <w:r w:rsidR="00D96226" w:rsidRPr="00F81DD7">
        <w:t>.</w:t>
      </w:r>
    </w:p>
    <w:p w14:paraId="677EBFF0" w14:textId="73E9CB79" w:rsidR="00600535" w:rsidRPr="00B57B36" w:rsidRDefault="003C1A1C" w:rsidP="00600535">
      <w:pPr>
        <w:pStyle w:val="CETHeading1"/>
        <w:tabs>
          <w:tab w:val="clear" w:pos="360"/>
          <w:tab w:val="right" w:pos="7100"/>
        </w:tabs>
        <w:jc w:val="both"/>
        <w:rPr>
          <w:lang w:val="en-GB"/>
        </w:rPr>
      </w:pPr>
      <w:r w:rsidRPr="003C1A1C">
        <w:rPr>
          <w:lang w:val="en-GB"/>
        </w:rPr>
        <w:t>Results and discussion</w:t>
      </w:r>
    </w:p>
    <w:p w14:paraId="04963A06" w14:textId="45D511AC" w:rsidR="00600535" w:rsidRPr="00B57B36" w:rsidRDefault="007D1A93" w:rsidP="00FA5F5F">
      <w:pPr>
        <w:pStyle w:val="CETheadingx"/>
      </w:pPr>
      <w:r>
        <w:t xml:space="preserve">Regional </w:t>
      </w:r>
      <w:r w:rsidR="008977C9">
        <w:t>feedstock availability</w:t>
      </w:r>
    </w:p>
    <w:p w14:paraId="2721A285" w14:textId="644F2051" w:rsidR="009F63D8" w:rsidRDefault="009F63D8" w:rsidP="009F63D8">
      <w:pPr>
        <w:pStyle w:val="CETBodytext"/>
      </w:pPr>
      <w:r w:rsidRPr="009F63D8">
        <w:rPr>
          <w:lang w:val="en-GB"/>
        </w:rPr>
        <w:t>The initial results focus on quantifying the residual biomass available in the selected regions. Figure 3 presents data from the “Atlante delle Biomasse” database (Pierro et al., 2021), which highlights particularly high levels of residues in Puglia—specifically, 120, 26, and 264 kt</w:t>
      </w:r>
      <w:r w:rsidRPr="00DB3177">
        <w:rPr>
          <w:vertAlign w:val="subscript"/>
          <w:lang w:val="en-GB"/>
        </w:rPr>
        <w:t>dry</w:t>
      </w:r>
      <w:r w:rsidRPr="009F63D8">
        <w:rPr>
          <w:lang w:val="en-GB"/>
        </w:rPr>
        <w:t>/y of grape marc, wine lees, and prunings, respectively. The second most abundant region is Campania, with corresponding totals of 39, 3, and 21 kt</w:t>
      </w:r>
      <w:r w:rsidRPr="00DB3177">
        <w:rPr>
          <w:vertAlign w:val="subscript"/>
          <w:lang w:val="en-GB"/>
        </w:rPr>
        <w:t>dry</w:t>
      </w:r>
      <w:r w:rsidRPr="009F63D8">
        <w:rPr>
          <w:lang w:val="en-GB"/>
        </w:rPr>
        <w:t>/y. Basilicata shows the lowest figures, with approximately 2, 0.5, and 5 kt</w:t>
      </w:r>
      <w:r w:rsidRPr="00DB3177">
        <w:rPr>
          <w:vertAlign w:val="subscript"/>
          <w:lang w:val="en-GB"/>
        </w:rPr>
        <w:t>dry</w:t>
      </w:r>
      <w:r w:rsidRPr="009F63D8">
        <w:rPr>
          <w:lang w:val="en-GB"/>
        </w:rPr>
        <w:t>/y.</w:t>
      </w:r>
      <w:r w:rsidR="0077205A">
        <w:rPr>
          <w:lang w:val="en-GB"/>
        </w:rPr>
        <w:t xml:space="preserve"> </w:t>
      </w:r>
      <w:r w:rsidRPr="009F63D8">
        <w:rPr>
          <w:lang w:val="en-GB"/>
        </w:rPr>
        <w:t>An essential factor in supply chain analysis is the spatial distribution of feedstock. The northern areas of Puglia and Campania emerge as the most resource-rich zones. Notably, the Taranto metropolitan area also exhibits significant quantities of prunings.</w:t>
      </w:r>
      <w:r w:rsidR="00070850">
        <w:rPr>
          <w:lang w:val="en-GB"/>
        </w:rPr>
        <w:t xml:space="preserve"> </w:t>
      </w:r>
      <w:r w:rsidR="00F529B1" w:rsidRPr="00F529B1">
        <w:t>This is due to the differing cultivation patterns of wine grapes, which produce grape marc and wine lees, whereas table grape farming generates waste primarily in the form of prunings.</w:t>
      </w:r>
    </w:p>
    <w:p w14:paraId="1328A9C0" w14:textId="77777777" w:rsidR="004F19D1" w:rsidRPr="00293470" w:rsidRDefault="004F19D1" w:rsidP="004F19D1">
      <w:pPr>
        <w:pStyle w:val="CETListbullets"/>
        <w:numPr>
          <w:ilvl w:val="0"/>
          <w:numId w:val="25"/>
        </w:numPr>
        <w:rPr>
          <w:i/>
          <w:iCs/>
        </w:rPr>
      </w:pPr>
      <w:r w:rsidRPr="00293470">
        <w:rPr>
          <w:i/>
          <w:iCs/>
        </w:rPr>
        <w:lastRenderedPageBreak/>
        <w:t xml:space="preserve">      </w:t>
      </w:r>
      <w:r w:rsidRPr="00293470">
        <w:rPr>
          <w:i/>
          <w:iCs/>
        </w:rPr>
        <w:tab/>
      </w:r>
      <w:r w:rsidRPr="00293470">
        <w:rPr>
          <w:i/>
          <w:iCs/>
        </w:rPr>
        <w:tab/>
      </w:r>
      <w:r w:rsidRPr="00293470">
        <w:rPr>
          <w:i/>
          <w:iCs/>
        </w:rPr>
        <w:tab/>
        <w:t xml:space="preserve">          </w:t>
      </w:r>
      <w:r w:rsidRPr="00293470">
        <w:rPr>
          <w:rStyle w:val="CETCaptionCarattere"/>
          <w:i w:val="0"/>
          <w:iCs/>
        </w:rPr>
        <w:t xml:space="preserve">(b)   </w:t>
      </w:r>
      <w:r w:rsidRPr="00293470">
        <w:rPr>
          <w:rStyle w:val="CETCaptionCarattere"/>
          <w:i w:val="0"/>
          <w:iCs/>
        </w:rPr>
        <w:tab/>
      </w:r>
      <w:r w:rsidRPr="00293470">
        <w:rPr>
          <w:rStyle w:val="CETCaptionCarattere"/>
          <w:i w:val="0"/>
          <w:iCs/>
        </w:rPr>
        <w:tab/>
      </w:r>
      <w:r w:rsidRPr="00293470">
        <w:rPr>
          <w:rStyle w:val="CETCaptionCarattere"/>
          <w:i w:val="0"/>
          <w:iCs/>
        </w:rPr>
        <w:tab/>
        <w:t xml:space="preserve">           (c)</w:t>
      </w:r>
    </w:p>
    <w:p w14:paraId="1A04F0E3" w14:textId="77777777" w:rsidR="004F19D1" w:rsidRDefault="004F19D1" w:rsidP="004F19D1">
      <w:pPr>
        <w:pStyle w:val="CETBodytext"/>
      </w:pPr>
      <w:r>
        <w:rPr>
          <w:noProof/>
        </w:rPr>
        <w:drawing>
          <wp:inline distT="0" distB="0" distL="0" distR="0" wp14:anchorId="0D7AD931" wp14:editId="3CEAE539">
            <wp:extent cx="1821600" cy="1224000"/>
            <wp:effectExtent l="0" t="0" r="7620" b="0"/>
            <wp:docPr id="962766376" name="Immagine 1" descr="Immagine che contiene testo, mappa, World,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66376" name="Immagine 1" descr="Immagine che contiene testo, mappa, World, schermata&#10;&#10;Il contenuto generato dall'IA potrebbe non essere corretto."/>
                    <pic:cNvPicPr/>
                  </pic:nvPicPr>
                  <pic:blipFill>
                    <a:blip r:embed="rId12"/>
                    <a:stretch>
                      <a:fillRect/>
                    </a:stretch>
                  </pic:blipFill>
                  <pic:spPr>
                    <a:xfrm>
                      <a:off x="0" y="0"/>
                      <a:ext cx="1821600" cy="1224000"/>
                    </a:xfrm>
                    <a:prstGeom prst="rect">
                      <a:avLst/>
                    </a:prstGeom>
                  </pic:spPr>
                </pic:pic>
              </a:graphicData>
            </a:graphic>
          </wp:inline>
        </w:drawing>
      </w:r>
      <w:r>
        <w:rPr>
          <w:noProof/>
        </w:rPr>
        <w:drawing>
          <wp:inline distT="0" distB="0" distL="0" distR="0" wp14:anchorId="1A688CEF" wp14:editId="37F35C68">
            <wp:extent cx="1821600" cy="1224000"/>
            <wp:effectExtent l="0" t="0" r="7620" b="0"/>
            <wp:docPr id="800374345" name="Immagine 3" descr="Immagine che contiene testo, mappa, atlant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74345" name="Immagine 3" descr="Immagine che contiene testo, mappa, atlante, schermata&#10;&#10;Il contenuto generato dall'IA potrebbe non essere corretto."/>
                    <pic:cNvPicPr/>
                  </pic:nvPicPr>
                  <pic:blipFill>
                    <a:blip r:embed="rId13"/>
                    <a:stretch>
                      <a:fillRect/>
                    </a:stretch>
                  </pic:blipFill>
                  <pic:spPr>
                    <a:xfrm>
                      <a:off x="0" y="0"/>
                      <a:ext cx="1821600" cy="1224000"/>
                    </a:xfrm>
                    <a:prstGeom prst="rect">
                      <a:avLst/>
                    </a:prstGeom>
                  </pic:spPr>
                </pic:pic>
              </a:graphicData>
            </a:graphic>
          </wp:inline>
        </w:drawing>
      </w:r>
      <w:r>
        <w:rPr>
          <w:noProof/>
        </w:rPr>
        <w:drawing>
          <wp:inline distT="0" distB="0" distL="0" distR="0" wp14:anchorId="0E2CC25F" wp14:editId="66298004">
            <wp:extent cx="1821600" cy="1224000"/>
            <wp:effectExtent l="0" t="0" r="7620" b="0"/>
            <wp:docPr id="432490754" name="Immagine 2" descr="Immagine che contiene testo, mappa,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90754" name="Immagine 2" descr="Immagine che contiene testo, mappa, atlante&#10;&#10;Il contenuto generato dall'IA potrebbe non essere corretto."/>
                    <pic:cNvPicPr/>
                  </pic:nvPicPr>
                  <pic:blipFill>
                    <a:blip r:embed="rId14"/>
                    <a:stretch>
                      <a:fillRect/>
                    </a:stretch>
                  </pic:blipFill>
                  <pic:spPr>
                    <a:xfrm>
                      <a:off x="0" y="0"/>
                      <a:ext cx="1821600" cy="1224000"/>
                    </a:xfrm>
                    <a:prstGeom prst="rect">
                      <a:avLst/>
                    </a:prstGeom>
                  </pic:spPr>
                </pic:pic>
              </a:graphicData>
            </a:graphic>
          </wp:inline>
        </w:drawing>
      </w:r>
    </w:p>
    <w:p w14:paraId="4A99E88A" w14:textId="77777777" w:rsidR="004F19D1" w:rsidRPr="002C5A90" w:rsidRDefault="004F19D1" w:rsidP="004F19D1">
      <w:pPr>
        <w:pStyle w:val="CETCaption"/>
      </w:pPr>
      <w:r w:rsidRPr="0015045D">
        <w:rPr>
          <w:rStyle w:val="CETCaptionCarattere"/>
          <w:i/>
        </w:rPr>
        <w:t>Figure 3: Grape marc (a), wine lees (b) and pruning (c) availability in the Southern Italy (tdry/y), from the “Atlante delle Biomas</w:t>
      </w:r>
      <w:r>
        <w:rPr>
          <w:rStyle w:val="CETCaptionCarattere"/>
          <w:i/>
        </w:rPr>
        <w:t xml:space="preserve">se” </w:t>
      </w:r>
      <w:r w:rsidRPr="00324711">
        <w:rPr>
          <w:rStyle w:val="CETCaptionCarattere"/>
          <w:i/>
        </w:rPr>
        <w:t>database (Pierro et al., 2021)</w:t>
      </w:r>
    </w:p>
    <w:p w14:paraId="1F96CA21" w14:textId="50325BF6" w:rsidR="00600535" w:rsidRPr="00B57B36" w:rsidRDefault="008977C9" w:rsidP="00FA5F5F">
      <w:pPr>
        <w:pStyle w:val="CETheadingx"/>
      </w:pPr>
      <w:r w:rsidRPr="008977C9">
        <w:t xml:space="preserve">Regional </w:t>
      </w:r>
      <w:r>
        <w:t>product</w:t>
      </w:r>
      <w:r w:rsidR="00925983">
        <w:t>ion</w:t>
      </w:r>
      <w:r>
        <w:t xml:space="preserve"> potentia</w:t>
      </w:r>
      <w:r w:rsidR="00925983">
        <w:t>l</w:t>
      </w:r>
    </w:p>
    <w:p w14:paraId="206FE454" w14:textId="7C8EA7A6" w:rsidR="00B042F8" w:rsidRDefault="00A230D4" w:rsidP="00B042F8">
      <w:pPr>
        <w:pStyle w:val="CETBodytext"/>
      </w:pPr>
      <w:r w:rsidRPr="00A230D4">
        <w:t xml:space="preserve">Through the analysis of residual availability, it was possible to implement the optimal supply chain model for each of the selected regions. Basilicata emerged as the region with the lowest productive potential, with only two sites identified as optimal. In northern Basilicata, the municipality of Venosa was deemed </w:t>
      </w:r>
      <w:r w:rsidRPr="000D65A0">
        <w:t>suitable for an anaerobic digestion plant coupled with polyphenol extraction. In the southern part of the region, the municipality of Bernalda was found optimal for a pyrolysis plant processing vine prunings, with a</w:t>
      </w:r>
      <w:r w:rsidR="00804B63" w:rsidRPr="000D65A0">
        <w:t xml:space="preserve"> biochar productivity</w:t>
      </w:r>
      <w:r w:rsidRPr="000D65A0">
        <w:t xml:space="preserve"> of </w:t>
      </w:r>
      <w:r w:rsidR="000E1CB7" w:rsidRPr="000D65A0">
        <w:t>1</w:t>
      </w:r>
      <w:r w:rsidR="006253DD" w:rsidRPr="000D65A0">
        <w:t>’</w:t>
      </w:r>
      <w:r w:rsidR="000E1CB7" w:rsidRPr="000D65A0">
        <w:t>4</w:t>
      </w:r>
      <w:r w:rsidRPr="000D65A0">
        <w:t>00 t</w:t>
      </w:r>
      <w:r w:rsidR="006253DD" w:rsidRPr="000D65A0">
        <w:t>/y</w:t>
      </w:r>
      <w:r w:rsidRPr="000D65A0">
        <w:t>.</w:t>
      </w:r>
      <w:r w:rsidR="000E1CB7" w:rsidRPr="000D65A0">
        <w:t xml:space="preserve"> </w:t>
      </w:r>
      <w:r w:rsidRPr="000D65A0">
        <w:t>The distance between these two optimal sites reflects the uneven distribution of grape cultivation within</w:t>
      </w:r>
      <w:r w:rsidRPr="00A230D4">
        <w:t xml:space="preserve"> Basilicata: wine grape production is concentrated in the northern municipalities, while table grape farming is prevalent in the south-east. Campania shows a less pronounced disparity between grape types, which explains a higher concentration of conversion facilities. In particular, the northern part of Campania features a single location</w:t>
      </w:r>
      <w:r w:rsidR="006253DD">
        <w:t xml:space="preserve">, </w:t>
      </w:r>
      <w:r w:rsidRPr="00A230D4">
        <w:t>San Lorenzo Maggiore</w:t>
      </w:r>
      <w:r w:rsidR="006253DD">
        <w:t xml:space="preserve">, </w:t>
      </w:r>
      <w:r w:rsidRPr="00A230D4">
        <w:t>where all three biorefinery technologies are best implemented together. Supply chain optimization therefore aims to concentrate all processing stages, from feedstock extraction to conversion, within a single site.</w:t>
      </w:r>
      <w:r w:rsidR="006253DD">
        <w:t xml:space="preserve"> In the southern part of Campania, within the province of Salerno, two neighboring municipalities, Bellizzi and Eboli, emerge as optimal. Bellizzi is suitable for pyrolysis of prunings</w:t>
      </w:r>
      <w:r w:rsidR="0069694A">
        <w:t xml:space="preserve"> (1’702 t/y of biochar)</w:t>
      </w:r>
      <w:r w:rsidR="006253DD">
        <w:t xml:space="preserve">, while Eboli offers potential for the valorization of grape marc and wine lees, yielding approximately </w:t>
      </w:r>
      <w:r w:rsidR="00812F51">
        <w:t>85</w:t>
      </w:r>
      <w:r w:rsidR="006253DD">
        <w:t xml:space="preserve"> </w:t>
      </w:r>
      <w:r w:rsidR="006253DD" w:rsidRPr="00A230D4">
        <w:t>t</w:t>
      </w:r>
      <w:r w:rsidR="006253DD">
        <w:t xml:space="preserve">/y of resveratrol and </w:t>
      </w:r>
      <w:r w:rsidR="0069694A">
        <w:t>598</w:t>
      </w:r>
      <w:r w:rsidR="006253DD">
        <w:t xml:space="preserve"> </w:t>
      </w:r>
      <w:r w:rsidR="006253DD" w:rsidRPr="00A230D4">
        <w:t>t</w:t>
      </w:r>
      <w:r w:rsidR="006253DD">
        <w:t>/y of biomethane through anaerobic digestion.</w:t>
      </w:r>
      <w:r w:rsidR="007E448F">
        <w:t xml:space="preserve"> </w:t>
      </w:r>
      <w:r w:rsidR="006253DD">
        <w:t xml:space="preserve">Puglia stands out as the region with the most diversified range of optimal solutions and the greatest availability of grape processing residues. Here, seven municipalities represent ideal sites for facility development. In the northern part of the region, where both wine and table grape residues are more abundant, San Severo and Cerignola are particularly suitable for implementing all technologies together, enabling larger-scale operations and fostering economies of scale. </w:t>
      </w:r>
      <w:r w:rsidR="00EC3C53">
        <w:t>Table 1 provides a quantitative overview of the productive potential of key biorefinery outputs</w:t>
      </w:r>
      <w:r w:rsidR="00B33265">
        <w:t xml:space="preserve">, </w:t>
      </w:r>
      <w:r w:rsidR="00EC3C53">
        <w:t>polyphenols, biomethane, and biochar</w:t>
      </w:r>
      <w:r w:rsidR="001E09CD">
        <w:t xml:space="preserve">, </w:t>
      </w:r>
      <w:r w:rsidR="00EC3C53">
        <w:t>as well as the corresponding potential CO</w:t>
      </w:r>
      <w:r w:rsidR="00EC3C53">
        <w:rPr>
          <w:rFonts w:ascii="Cambria Math" w:hAnsi="Cambria Math" w:cs="Cambria Math"/>
        </w:rPr>
        <w:t>₂</w:t>
      </w:r>
      <w:r w:rsidR="00EC3C53">
        <w:t xml:space="preserve"> emissions avoided in each of the selected regions. These values reflect the efficiency and strategic relevance of the optimal supply chain configurations previously identified.</w:t>
      </w:r>
      <w:r w:rsidR="00B042F8">
        <w:t xml:space="preserve"> </w:t>
      </w:r>
      <w:r w:rsidR="00EC3C53">
        <w:t xml:space="preserve">Basilicata, with the lowest biomass availability, shows modest output figures: 21 </w:t>
      </w:r>
      <w:r w:rsidR="002A6A32">
        <w:t xml:space="preserve">t/y </w:t>
      </w:r>
      <w:r w:rsidR="00EC3C53">
        <w:t>of polyphenols, 149 t/y of biomethane, and 1,431 t/y of biochar, leading to an estimated 5</w:t>
      </w:r>
      <w:r w:rsidR="00B042F8">
        <w:t>’</w:t>
      </w:r>
      <w:r w:rsidR="00EC3C53">
        <w:t>694 t</w:t>
      </w:r>
      <w:r w:rsidR="002A6A32">
        <w:t>/y</w:t>
      </w:r>
      <w:r w:rsidR="00EC3C53">
        <w:t xml:space="preserve"> of avoided CO</w:t>
      </w:r>
      <w:r w:rsidR="00EC3C53">
        <w:rPr>
          <w:rFonts w:ascii="Cambria Math" w:hAnsi="Cambria Math" w:cs="Cambria Math"/>
        </w:rPr>
        <w:t>₂</w:t>
      </w:r>
      <w:r w:rsidR="00EC3C53">
        <w:t xml:space="preserve"> emissions. Campania presents intermediate productivity, with 378 t/y of polyphenols, 2</w:t>
      </w:r>
      <w:r w:rsidR="001E09CD">
        <w:t>’</w:t>
      </w:r>
      <w:r w:rsidR="00EC3C53">
        <w:t>645 t/y of biomethane, and 5</w:t>
      </w:r>
      <w:r w:rsidR="002A6A32">
        <w:t>’</w:t>
      </w:r>
      <w:r w:rsidR="00EC3C53">
        <w:t>577 t/y of biochar. This results in a significant environmental benefit, with approximately 28</w:t>
      </w:r>
      <w:r w:rsidR="002A6A32">
        <w:t>’</w:t>
      </w:r>
      <w:r w:rsidR="00EC3C53">
        <w:t>384 t/y of CO</w:t>
      </w:r>
      <w:r w:rsidR="00EC3C53">
        <w:rPr>
          <w:rFonts w:ascii="Cambria Math" w:hAnsi="Cambria Math" w:cs="Cambria Math"/>
        </w:rPr>
        <w:t>₂</w:t>
      </w:r>
      <w:r w:rsidR="00EC3C53">
        <w:t xml:space="preserve"> emissions potentially avoided. These outputs are concentrated in fewer conversion sites thanks to the more homogeneous distribution of wine and table grape cultivations.</w:t>
      </w:r>
      <w:r w:rsidR="002A6A32">
        <w:t xml:space="preserve"> </w:t>
      </w:r>
      <w:r w:rsidR="00B042F8">
        <w:t>Puglia stands out clearly for both its biomass abundance and resulting product yields. With 1</w:t>
      </w:r>
      <w:r w:rsidR="002A6A32">
        <w:t>’</w:t>
      </w:r>
      <w:r w:rsidR="00B042F8">
        <w:t>425 t/y of polyphenols, nearly 10</w:t>
      </w:r>
      <w:r w:rsidR="002A6A32">
        <w:t>’</w:t>
      </w:r>
      <w:r w:rsidR="00B042F8">
        <w:t>000 t/y of biomethane, and over 76,000 t/y of biochar, the region offers exceptional capacity for biorefinery development. The estimated potential for avoided CO</w:t>
      </w:r>
      <w:r w:rsidR="00B042F8">
        <w:rPr>
          <w:rFonts w:ascii="Cambria Math" w:hAnsi="Cambria Math" w:cs="Cambria Math"/>
        </w:rPr>
        <w:t>₂</w:t>
      </w:r>
      <w:r w:rsidR="00B042F8">
        <w:t xml:space="preserve"> emissions reaches 311</w:t>
      </w:r>
      <w:r w:rsidR="002A6A32">
        <w:t>’</w:t>
      </w:r>
      <w:r w:rsidR="00B042F8">
        <w:t>581 t/y, marking Puglia as a key player in reducing environmental impact through circular bioeconomy strategies. These results further reinforce the need to prioritize integrated technological solutions in the municipalities previously identified, where economies of scale are most achievable.</w:t>
      </w:r>
    </w:p>
    <w:p w14:paraId="25CD6E1E" w14:textId="42AF0D36" w:rsidR="0032368F" w:rsidRPr="00B57B36" w:rsidRDefault="0032368F" w:rsidP="008908D3">
      <w:pPr>
        <w:pStyle w:val="CETTabletitle"/>
      </w:pPr>
      <w:r w:rsidRPr="00B57B36">
        <w:t xml:space="preserve">Table 1: </w:t>
      </w:r>
      <w:r w:rsidR="00271303">
        <w:t>Target product potential productivity in each selected Italian region</w:t>
      </w:r>
      <w:r w:rsidR="005A6B0B">
        <w:t xml:space="preserve"> and potential CO</w:t>
      </w:r>
      <w:r w:rsidR="005A6B0B" w:rsidRPr="0037197F">
        <w:rPr>
          <w:vertAlign w:val="subscript"/>
        </w:rPr>
        <w:t>2</w:t>
      </w:r>
      <w:r w:rsidR="005A6B0B">
        <w:t xml:space="preserve"> avoided emissions</w:t>
      </w:r>
    </w:p>
    <w:tbl>
      <w:tblPr>
        <w:tblW w:w="822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701"/>
        <w:gridCol w:w="1701"/>
        <w:gridCol w:w="1134"/>
        <w:gridCol w:w="1985"/>
      </w:tblGrid>
      <w:tr w:rsidR="00484E18" w:rsidRPr="00B57B36" w14:paraId="2978EDCB" w14:textId="08201AD0" w:rsidTr="0037197F">
        <w:tc>
          <w:tcPr>
            <w:tcW w:w="1701" w:type="dxa"/>
            <w:tcBorders>
              <w:top w:val="single" w:sz="12" w:space="0" w:color="008000"/>
              <w:bottom w:val="single" w:sz="6" w:space="0" w:color="008000"/>
            </w:tcBorders>
            <w:shd w:val="clear" w:color="auto" w:fill="FFFFFF"/>
          </w:tcPr>
          <w:p w14:paraId="550633B0" w14:textId="77777777" w:rsidR="00484E18" w:rsidRPr="00B57B36" w:rsidRDefault="00484E18" w:rsidP="008908D3">
            <w:pPr>
              <w:pStyle w:val="CETBodytext"/>
              <w:keepNext/>
              <w:rPr>
                <w:lang w:val="en-GB"/>
              </w:rPr>
            </w:pPr>
            <w:r>
              <w:rPr>
                <w:lang w:val="en-GB"/>
              </w:rPr>
              <w:t>Territory</w:t>
            </w:r>
          </w:p>
        </w:tc>
        <w:tc>
          <w:tcPr>
            <w:tcW w:w="1701" w:type="dxa"/>
            <w:tcBorders>
              <w:top w:val="single" w:sz="12" w:space="0" w:color="008000"/>
              <w:bottom w:val="single" w:sz="6" w:space="0" w:color="008000"/>
            </w:tcBorders>
            <w:shd w:val="clear" w:color="auto" w:fill="FFFFFF"/>
          </w:tcPr>
          <w:p w14:paraId="69F9C904" w14:textId="5E0CE426" w:rsidR="00484E18" w:rsidRPr="00B57B36" w:rsidRDefault="00484E18" w:rsidP="008908D3">
            <w:pPr>
              <w:pStyle w:val="CETBodytext"/>
              <w:keepNext/>
              <w:rPr>
                <w:lang w:val="en-GB"/>
              </w:rPr>
            </w:pPr>
            <w:r>
              <w:rPr>
                <w:lang w:val="en-GB"/>
              </w:rPr>
              <w:t>Polyphenols (t/y)</w:t>
            </w:r>
          </w:p>
        </w:tc>
        <w:tc>
          <w:tcPr>
            <w:tcW w:w="1701" w:type="dxa"/>
            <w:tcBorders>
              <w:top w:val="single" w:sz="12" w:space="0" w:color="008000"/>
              <w:bottom w:val="single" w:sz="6" w:space="0" w:color="008000"/>
            </w:tcBorders>
            <w:shd w:val="clear" w:color="auto" w:fill="FFFFFF"/>
          </w:tcPr>
          <w:p w14:paraId="2EA195BE" w14:textId="6202FBCB" w:rsidR="00484E18" w:rsidRPr="00B57B36" w:rsidRDefault="00484E18" w:rsidP="008908D3">
            <w:pPr>
              <w:pStyle w:val="CETBodytext"/>
              <w:keepNext/>
              <w:rPr>
                <w:lang w:val="en-GB"/>
              </w:rPr>
            </w:pPr>
            <w:r>
              <w:rPr>
                <w:lang w:val="en-GB"/>
              </w:rPr>
              <w:t>Biomethane (t/y)</w:t>
            </w:r>
          </w:p>
        </w:tc>
        <w:tc>
          <w:tcPr>
            <w:tcW w:w="1134" w:type="dxa"/>
            <w:tcBorders>
              <w:top w:val="single" w:sz="12" w:space="0" w:color="008000"/>
              <w:bottom w:val="single" w:sz="6" w:space="0" w:color="008000"/>
            </w:tcBorders>
            <w:shd w:val="clear" w:color="auto" w:fill="FFFFFF"/>
          </w:tcPr>
          <w:p w14:paraId="07FA5419" w14:textId="4EDD2942" w:rsidR="00484E18" w:rsidRPr="00B57B36" w:rsidRDefault="00484E18" w:rsidP="008908D3">
            <w:pPr>
              <w:pStyle w:val="CETBodytext"/>
              <w:keepNext/>
              <w:ind w:right="-1"/>
              <w:rPr>
                <w:rFonts w:cs="Arial"/>
                <w:szCs w:val="18"/>
                <w:lang w:val="en-GB"/>
              </w:rPr>
            </w:pPr>
            <w:r>
              <w:rPr>
                <w:rFonts w:cs="Arial"/>
                <w:szCs w:val="18"/>
                <w:lang w:val="en-GB"/>
              </w:rPr>
              <w:t>Biochar (t/y)</w:t>
            </w:r>
          </w:p>
        </w:tc>
        <w:tc>
          <w:tcPr>
            <w:tcW w:w="1985" w:type="dxa"/>
            <w:tcBorders>
              <w:top w:val="single" w:sz="12" w:space="0" w:color="008000"/>
              <w:bottom w:val="single" w:sz="6" w:space="0" w:color="008000"/>
            </w:tcBorders>
            <w:shd w:val="clear" w:color="auto" w:fill="FFFFFF"/>
          </w:tcPr>
          <w:p w14:paraId="52B1584E" w14:textId="3476F53D" w:rsidR="00484E18" w:rsidRDefault="00271303" w:rsidP="008908D3">
            <w:pPr>
              <w:pStyle w:val="CETBodytext"/>
              <w:keepNext/>
              <w:ind w:right="-1"/>
              <w:rPr>
                <w:rFonts w:cs="Arial"/>
                <w:szCs w:val="18"/>
                <w:lang w:val="en-GB"/>
              </w:rPr>
            </w:pPr>
            <w:r>
              <w:rPr>
                <w:rFonts w:cs="Arial"/>
                <w:szCs w:val="18"/>
                <w:lang w:val="en-GB"/>
              </w:rPr>
              <w:t>Po</w:t>
            </w:r>
            <w:r w:rsidR="005A6B0B">
              <w:rPr>
                <w:rFonts w:cs="Arial"/>
                <w:szCs w:val="18"/>
                <w:lang w:val="en-GB"/>
              </w:rPr>
              <w:t xml:space="preserve">tential </w:t>
            </w:r>
            <w:r w:rsidR="0037197F">
              <w:rPr>
                <w:rFonts w:cs="Arial"/>
                <w:szCs w:val="18"/>
                <w:lang w:val="en-GB"/>
              </w:rPr>
              <w:t>CO</w:t>
            </w:r>
            <w:r w:rsidR="0037197F" w:rsidRPr="0037197F">
              <w:rPr>
                <w:rFonts w:cs="Arial"/>
                <w:szCs w:val="18"/>
                <w:vertAlign w:val="subscript"/>
                <w:lang w:val="en-GB"/>
              </w:rPr>
              <w:t>2</w:t>
            </w:r>
            <w:r w:rsidR="0037197F">
              <w:rPr>
                <w:rFonts w:cs="Arial"/>
                <w:szCs w:val="18"/>
                <w:lang w:val="en-GB"/>
              </w:rPr>
              <w:t xml:space="preserve"> avoided emissions (t/y)</w:t>
            </w:r>
          </w:p>
        </w:tc>
      </w:tr>
      <w:tr w:rsidR="00484E18" w:rsidRPr="00B57B36" w14:paraId="2292224C" w14:textId="7E1C049C" w:rsidTr="0037197F">
        <w:tc>
          <w:tcPr>
            <w:tcW w:w="1701" w:type="dxa"/>
            <w:tcBorders>
              <w:top w:val="single" w:sz="4" w:space="0" w:color="00B050"/>
            </w:tcBorders>
            <w:shd w:val="clear" w:color="auto" w:fill="FFFFFF"/>
          </w:tcPr>
          <w:p w14:paraId="2EAC1547" w14:textId="398F0397" w:rsidR="00484E18" w:rsidRDefault="00484E18" w:rsidP="008908D3">
            <w:pPr>
              <w:pStyle w:val="CETBodytext"/>
              <w:keepNext/>
              <w:rPr>
                <w:lang w:val="en-GB"/>
              </w:rPr>
            </w:pPr>
            <w:r>
              <w:rPr>
                <w:lang w:val="en-GB"/>
              </w:rPr>
              <w:t>Basilicata region</w:t>
            </w:r>
          </w:p>
        </w:tc>
        <w:tc>
          <w:tcPr>
            <w:tcW w:w="1701" w:type="dxa"/>
            <w:tcBorders>
              <w:top w:val="nil"/>
              <w:left w:val="nil"/>
              <w:bottom w:val="nil"/>
              <w:right w:val="nil"/>
            </w:tcBorders>
            <w:shd w:val="clear" w:color="auto" w:fill="auto"/>
          </w:tcPr>
          <w:p w14:paraId="1AB911E6" w14:textId="3415AECD" w:rsidR="00484E18" w:rsidRPr="007D59F5" w:rsidRDefault="00484E18" w:rsidP="008908D3">
            <w:pPr>
              <w:pStyle w:val="CETBodytext"/>
              <w:keepNext/>
              <w:ind w:right="-1"/>
              <w:rPr>
                <w:rFonts w:cs="Arial"/>
                <w:szCs w:val="18"/>
                <w:lang w:val="en-GB"/>
              </w:rPr>
            </w:pPr>
            <w:r>
              <w:rPr>
                <w:lang w:val="en-GB"/>
              </w:rPr>
              <w:t>21</w:t>
            </w:r>
          </w:p>
        </w:tc>
        <w:tc>
          <w:tcPr>
            <w:tcW w:w="1701" w:type="dxa"/>
            <w:tcBorders>
              <w:top w:val="single" w:sz="4" w:space="0" w:color="00B050"/>
            </w:tcBorders>
            <w:shd w:val="clear" w:color="auto" w:fill="FFFFFF"/>
          </w:tcPr>
          <w:p w14:paraId="48F05482" w14:textId="1DFF8323" w:rsidR="00484E18" w:rsidRDefault="00484E18" w:rsidP="008908D3">
            <w:pPr>
              <w:pStyle w:val="CETBodytext"/>
              <w:keepNext/>
              <w:rPr>
                <w:lang w:val="en-GB"/>
              </w:rPr>
            </w:pPr>
            <w:r>
              <w:rPr>
                <w:lang w:val="en-GB"/>
              </w:rPr>
              <w:t>149</w:t>
            </w:r>
          </w:p>
        </w:tc>
        <w:tc>
          <w:tcPr>
            <w:tcW w:w="1134" w:type="dxa"/>
            <w:tcBorders>
              <w:top w:val="single" w:sz="4" w:space="0" w:color="00B050"/>
            </w:tcBorders>
            <w:shd w:val="clear" w:color="auto" w:fill="FFFFFF"/>
          </w:tcPr>
          <w:p w14:paraId="46E6E2A8" w14:textId="5F771F05" w:rsidR="00484E18" w:rsidRDefault="00484E18" w:rsidP="008908D3">
            <w:pPr>
              <w:pStyle w:val="CETBodytext"/>
              <w:keepNext/>
              <w:ind w:right="-1"/>
              <w:rPr>
                <w:rFonts w:cs="Arial"/>
                <w:szCs w:val="18"/>
                <w:lang w:val="en-GB"/>
              </w:rPr>
            </w:pPr>
            <w:r>
              <w:rPr>
                <w:rFonts w:cs="Arial"/>
                <w:szCs w:val="18"/>
                <w:lang w:val="en-GB"/>
              </w:rPr>
              <w:t>1’431</w:t>
            </w:r>
          </w:p>
        </w:tc>
        <w:tc>
          <w:tcPr>
            <w:tcW w:w="1985" w:type="dxa"/>
            <w:tcBorders>
              <w:top w:val="single" w:sz="4" w:space="0" w:color="00B050"/>
            </w:tcBorders>
            <w:shd w:val="clear" w:color="auto" w:fill="FFFFFF"/>
          </w:tcPr>
          <w:p w14:paraId="13E9D866" w14:textId="2EF5F2BB" w:rsidR="00484E18" w:rsidRDefault="00A20211" w:rsidP="008908D3">
            <w:pPr>
              <w:pStyle w:val="CETBodytext"/>
              <w:keepNext/>
              <w:ind w:right="-1"/>
              <w:rPr>
                <w:rFonts w:cs="Arial"/>
                <w:szCs w:val="18"/>
                <w:lang w:val="en-GB"/>
              </w:rPr>
            </w:pPr>
            <w:r>
              <w:rPr>
                <w:rFonts w:cs="Arial"/>
                <w:szCs w:val="18"/>
                <w:lang w:val="en-GB"/>
              </w:rPr>
              <w:t>5’694</w:t>
            </w:r>
          </w:p>
        </w:tc>
      </w:tr>
      <w:tr w:rsidR="00484E18" w:rsidRPr="00B57B36" w14:paraId="5979117A" w14:textId="543CF149" w:rsidTr="0037197F">
        <w:tc>
          <w:tcPr>
            <w:tcW w:w="1701" w:type="dxa"/>
            <w:shd w:val="clear" w:color="auto" w:fill="FFFFFF"/>
          </w:tcPr>
          <w:p w14:paraId="1F7BFAB9" w14:textId="76675AFA" w:rsidR="00484E18" w:rsidRDefault="00484E18" w:rsidP="008908D3">
            <w:pPr>
              <w:pStyle w:val="CETBodytext"/>
              <w:keepNext/>
              <w:rPr>
                <w:lang w:val="en-GB"/>
              </w:rPr>
            </w:pPr>
            <w:r>
              <w:rPr>
                <w:lang w:val="en-GB"/>
              </w:rPr>
              <w:t>Campania region</w:t>
            </w:r>
          </w:p>
        </w:tc>
        <w:tc>
          <w:tcPr>
            <w:tcW w:w="1701" w:type="dxa"/>
            <w:tcBorders>
              <w:top w:val="nil"/>
              <w:left w:val="nil"/>
              <w:bottom w:val="nil"/>
              <w:right w:val="nil"/>
            </w:tcBorders>
            <w:shd w:val="clear" w:color="auto" w:fill="auto"/>
          </w:tcPr>
          <w:p w14:paraId="724E4054" w14:textId="688E1F3D" w:rsidR="00484E18" w:rsidRPr="007D59F5" w:rsidRDefault="00484E18" w:rsidP="008908D3">
            <w:pPr>
              <w:pStyle w:val="CETBodytext"/>
              <w:keepNext/>
              <w:ind w:right="-1"/>
              <w:rPr>
                <w:rFonts w:cs="Arial"/>
                <w:szCs w:val="18"/>
                <w:lang w:val="en-GB"/>
              </w:rPr>
            </w:pPr>
            <w:r>
              <w:rPr>
                <w:lang w:val="en-GB"/>
              </w:rPr>
              <w:t>378</w:t>
            </w:r>
          </w:p>
        </w:tc>
        <w:tc>
          <w:tcPr>
            <w:tcW w:w="1701" w:type="dxa"/>
            <w:shd w:val="clear" w:color="auto" w:fill="FFFFFF"/>
          </w:tcPr>
          <w:p w14:paraId="3F06CE67" w14:textId="5B3C13A4" w:rsidR="00484E18" w:rsidRDefault="00484E18" w:rsidP="008908D3">
            <w:pPr>
              <w:pStyle w:val="CETBodytext"/>
              <w:keepNext/>
              <w:rPr>
                <w:lang w:val="en-GB"/>
              </w:rPr>
            </w:pPr>
            <w:r>
              <w:rPr>
                <w:lang w:val="en-GB"/>
              </w:rPr>
              <w:t>2’645</w:t>
            </w:r>
          </w:p>
        </w:tc>
        <w:tc>
          <w:tcPr>
            <w:tcW w:w="1134" w:type="dxa"/>
            <w:tcBorders>
              <w:top w:val="nil"/>
              <w:left w:val="nil"/>
              <w:bottom w:val="nil"/>
              <w:right w:val="nil"/>
            </w:tcBorders>
            <w:shd w:val="clear" w:color="auto" w:fill="auto"/>
          </w:tcPr>
          <w:p w14:paraId="032910E0" w14:textId="6F42A6CB" w:rsidR="00484E18" w:rsidRDefault="00484E18" w:rsidP="008908D3">
            <w:pPr>
              <w:pStyle w:val="CETBodytext"/>
              <w:keepNext/>
              <w:ind w:right="-1"/>
              <w:rPr>
                <w:rFonts w:cs="Arial"/>
                <w:szCs w:val="18"/>
                <w:lang w:val="en-GB"/>
              </w:rPr>
            </w:pPr>
            <w:r>
              <w:rPr>
                <w:rFonts w:cs="Arial"/>
                <w:szCs w:val="18"/>
                <w:lang w:val="en-GB"/>
              </w:rPr>
              <w:t>5’577</w:t>
            </w:r>
          </w:p>
        </w:tc>
        <w:tc>
          <w:tcPr>
            <w:tcW w:w="1985" w:type="dxa"/>
            <w:tcBorders>
              <w:top w:val="nil"/>
              <w:left w:val="nil"/>
              <w:bottom w:val="nil"/>
              <w:right w:val="nil"/>
            </w:tcBorders>
          </w:tcPr>
          <w:p w14:paraId="41016452" w14:textId="0EA8F5B4" w:rsidR="00484E18" w:rsidRDefault="00D910D7" w:rsidP="008908D3">
            <w:pPr>
              <w:pStyle w:val="CETBodytext"/>
              <w:keepNext/>
              <w:ind w:right="-1"/>
              <w:rPr>
                <w:rFonts w:cs="Arial"/>
                <w:szCs w:val="18"/>
                <w:lang w:val="en-GB"/>
              </w:rPr>
            </w:pPr>
            <w:r>
              <w:rPr>
                <w:rFonts w:cs="Arial"/>
                <w:szCs w:val="18"/>
                <w:lang w:val="en-GB"/>
              </w:rPr>
              <w:t>28’384</w:t>
            </w:r>
          </w:p>
        </w:tc>
      </w:tr>
      <w:tr w:rsidR="00484E18" w:rsidRPr="00B57B36" w14:paraId="15E1AF9C" w14:textId="32DA03A0" w:rsidTr="0037197F">
        <w:tc>
          <w:tcPr>
            <w:tcW w:w="1701" w:type="dxa"/>
            <w:shd w:val="clear" w:color="auto" w:fill="FFFFFF"/>
          </w:tcPr>
          <w:p w14:paraId="61D25678" w14:textId="3AD11235" w:rsidR="00484E18" w:rsidRDefault="00484E18" w:rsidP="00DC58DA">
            <w:pPr>
              <w:pStyle w:val="CETBodytext"/>
              <w:ind w:right="-1"/>
              <w:rPr>
                <w:rFonts w:cs="Arial"/>
                <w:szCs w:val="18"/>
                <w:lang w:val="en-GB"/>
              </w:rPr>
            </w:pPr>
            <w:r>
              <w:rPr>
                <w:rFonts w:cs="Arial"/>
                <w:szCs w:val="18"/>
                <w:lang w:val="en-GB"/>
              </w:rPr>
              <w:t xml:space="preserve">Puglia </w:t>
            </w:r>
            <w:r>
              <w:rPr>
                <w:lang w:val="en-GB"/>
              </w:rPr>
              <w:t>region</w:t>
            </w:r>
          </w:p>
        </w:tc>
        <w:tc>
          <w:tcPr>
            <w:tcW w:w="1701" w:type="dxa"/>
            <w:shd w:val="clear" w:color="auto" w:fill="FFFFFF"/>
          </w:tcPr>
          <w:p w14:paraId="5D4C3500" w14:textId="7A983E14" w:rsidR="00484E18" w:rsidRDefault="00484E18" w:rsidP="00DC58DA">
            <w:pPr>
              <w:pStyle w:val="CETBodytext"/>
              <w:ind w:right="-1"/>
              <w:rPr>
                <w:rFonts w:cs="Arial"/>
                <w:szCs w:val="18"/>
                <w:lang w:val="en-GB"/>
              </w:rPr>
            </w:pPr>
            <w:r>
              <w:rPr>
                <w:rFonts w:cs="Arial"/>
                <w:szCs w:val="18"/>
                <w:lang w:val="en-GB"/>
              </w:rPr>
              <w:t>1’425</w:t>
            </w:r>
          </w:p>
        </w:tc>
        <w:tc>
          <w:tcPr>
            <w:tcW w:w="1701" w:type="dxa"/>
            <w:shd w:val="clear" w:color="auto" w:fill="FFFFFF"/>
          </w:tcPr>
          <w:p w14:paraId="4F9A210F" w14:textId="16DB437A" w:rsidR="00484E18" w:rsidRDefault="00484E18" w:rsidP="00DC58DA">
            <w:pPr>
              <w:pStyle w:val="CETBodytext"/>
              <w:ind w:right="-1"/>
              <w:rPr>
                <w:rFonts w:cs="Arial"/>
                <w:szCs w:val="18"/>
                <w:lang w:val="en-GB"/>
              </w:rPr>
            </w:pPr>
            <w:r>
              <w:rPr>
                <w:rFonts w:cs="Arial"/>
                <w:szCs w:val="18"/>
                <w:lang w:val="en-GB"/>
              </w:rPr>
              <w:t>9’978</w:t>
            </w:r>
          </w:p>
        </w:tc>
        <w:tc>
          <w:tcPr>
            <w:tcW w:w="1134" w:type="dxa"/>
            <w:shd w:val="clear" w:color="auto" w:fill="FFFFFF"/>
          </w:tcPr>
          <w:p w14:paraId="66F3110B" w14:textId="0ADD61B6" w:rsidR="00484E18" w:rsidRDefault="00484E18" w:rsidP="00DC58DA">
            <w:pPr>
              <w:pStyle w:val="CETBodytext"/>
              <w:ind w:right="-1"/>
              <w:rPr>
                <w:rFonts w:cs="Arial"/>
                <w:szCs w:val="18"/>
                <w:lang w:val="en-GB"/>
              </w:rPr>
            </w:pPr>
            <w:r>
              <w:rPr>
                <w:rFonts w:cs="Arial"/>
                <w:szCs w:val="18"/>
                <w:lang w:val="en-GB"/>
              </w:rPr>
              <w:t>76’813</w:t>
            </w:r>
          </w:p>
        </w:tc>
        <w:tc>
          <w:tcPr>
            <w:tcW w:w="1985" w:type="dxa"/>
            <w:shd w:val="clear" w:color="auto" w:fill="FFFFFF"/>
          </w:tcPr>
          <w:p w14:paraId="70C9EF62" w14:textId="69C8DCE6" w:rsidR="00484E18" w:rsidRDefault="0026788B" w:rsidP="00DC58DA">
            <w:pPr>
              <w:pStyle w:val="CETBodytext"/>
              <w:ind w:right="-1"/>
              <w:rPr>
                <w:rFonts w:cs="Arial"/>
                <w:szCs w:val="18"/>
                <w:lang w:val="en-GB"/>
              </w:rPr>
            </w:pPr>
            <w:r>
              <w:rPr>
                <w:rFonts w:cs="Arial"/>
                <w:szCs w:val="18"/>
                <w:lang w:val="en-GB"/>
              </w:rPr>
              <w:t>311’581</w:t>
            </w:r>
          </w:p>
        </w:tc>
      </w:tr>
    </w:tbl>
    <w:p w14:paraId="088A134E" w14:textId="09BF425E" w:rsidR="00600535" w:rsidRDefault="00425CFA" w:rsidP="00AE4941">
      <w:pPr>
        <w:pStyle w:val="CETCaption"/>
        <w:keepNext/>
        <w:rPr>
          <w:noProof/>
        </w:rPr>
      </w:pPr>
      <w:r w:rsidRPr="0077205A">
        <w:rPr>
          <w:noProof/>
        </w:rPr>
        <w:lastRenderedPageBreak/>
        <w:drawing>
          <wp:inline distT="0" distB="0" distL="0" distR="0" wp14:anchorId="22B0A46C" wp14:editId="051E89BD">
            <wp:extent cx="2606378" cy="2204114"/>
            <wp:effectExtent l="0" t="0" r="3810" b="5715"/>
            <wp:docPr id="13973943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150" cy="2209841"/>
                    </a:xfrm>
                    <a:prstGeom prst="rect">
                      <a:avLst/>
                    </a:prstGeom>
                    <a:noFill/>
                  </pic:spPr>
                </pic:pic>
              </a:graphicData>
            </a:graphic>
          </wp:inline>
        </w:drawing>
      </w:r>
      <w:r w:rsidR="0077205A" w:rsidRPr="0077205A">
        <w:rPr>
          <w:rStyle w:val="CETCaptionCarattere"/>
          <w:i/>
        </w:rPr>
        <w:t>(a)</w:t>
      </w:r>
    </w:p>
    <w:p w14:paraId="669C1EB4" w14:textId="10BCF737" w:rsidR="0077205A" w:rsidRDefault="00A02B2D" w:rsidP="0077205A">
      <w:pPr>
        <w:pStyle w:val="CETCaption"/>
        <w:keepNext/>
        <w:rPr>
          <w:noProof/>
        </w:rPr>
      </w:pPr>
      <w:r>
        <w:rPr>
          <w:noProof/>
        </w:rPr>
        <w:drawing>
          <wp:inline distT="0" distB="0" distL="0" distR="0" wp14:anchorId="71307245" wp14:editId="23F93937">
            <wp:extent cx="2825497" cy="2190466"/>
            <wp:effectExtent l="0" t="0" r="0" b="635"/>
            <wp:docPr id="618108970" name="Immagine 3" descr="Immagine che contiene testo, schermata, diagramma,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08970" name="Immagine 3" descr="Immagine che contiene testo, schermata, diagramma, grafica&#10;&#10;Il contenuto generato dall'IA potrebbe non essere corret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3774" cy="2196883"/>
                    </a:xfrm>
                    <a:prstGeom prst="rect">
                      <a:avLst/>
                    </a:prstGeom>
                    <a:noFill/>
                  </pic:spPr>
                </pic:pic>
              </a:graphicData>
            </a:graphic>
          </wp:inline>
        </w:drawing>
      </w:r>
      <w:r w:rsidR="00811337">
        <w:rPr>
          <w:rStyle w:val="CETCaptionCarattere"/>
          <w:i/>
        </w:rPr>
        <w:t>(b</w:t>
      </w:r>
      <w:r w:rsidR="0077205A" w:rsidRPr="0077205A">
        <w:rPr>
          <w:rStyle w:val="CETCaptionCarattere"/>
          <w:i/>
        </w:rPr>
        <w:t>)</w:t>
      </w:r>
    </w:p>
    <w:p w14:paraId="3EC196DE" w14:textId="7EAE855C" w:rsidR="0077205A" w:rsidRDefault="006A1D26" w:rsidP="0077205A">
      <w:pPr>
        <w:pStyle w:val="CETCaption"/>
        <w:keepNext/>
        <w:rPr>
          <w:noProof/>
        </w:rPr>
      </w:pPr>
      <w:r>
        <w:rPr>
          <w:noProof/>
        </w:rPr>
        <w:drawing>
          <wp:inline distT="0" distB="0" distL="0" distR="0" wp14:anchorId="15BE2962" wp14:editId="23A8ADC8">
            <wp:extent cx="3031359" cy="2101755"/>
            <wp:effectExtent l="0" t="0" r="0" b="0"/>
            <wp:docPr id="3657200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2815" cy="2109698"/>
                    </a:xfrm>
                    <a:prstGeom prst="rect">
                      <a:avLst/>
                    </a:prstGeom>
                    <a:noFill/>
                  </pic:spPr>
                </pic:pic>
              </a:graphicData>
            </a:graphic>
          </wp:inline>
        </w:drawing>
      </w:r>
      <w:r w:rsidR="0077205A" w:rsidRPr="0077205A">
        <w:rPr>
          <w:rStyle w:val="CETCaptionCarattere"/>
          <w:i/>
        </w:rPr>
        <w:t>(</w:t>
      </w:r>
      <w:r w:rsidR="00811337">
        <w:rPr>
          <w:rStyle w:val="CETCaptionCarattere"/>
          <w:i/>
        </w:rPr>
        <w:t>c</w:t>
      </w:r>
      <w:r w:rsidR="0077205A" w:rsidRPr="0077205A">
        <w:rPr>
          <w:rStyle w:val="CETCaptionCarattere"/>
          <w:i/>
        </w:rPr>
        <w:t>)</w:t>
      </w:r>
    </w:p>
    <w:p w14:paraId="65E73FAD" w14:textId="27C60131" w:rsidR="00600535" w:rsidRPr="00BD077D" w:rsidRDefault="00600535" w:rsidP="00BD077D">
      <w:pPr>
        <w:pStyle w:val="CETCaption"/>
      </w:pPr>
      <w:r w:rsidRPr="0015045D">
        <w:rPr>
          <w:rStyle w:val="CETCaptionCarattere"/>
          <w:i/>
        </w:rPr>
        <w:t xml:space="preserve">Figure </w:t>
      </w:r>
      <w:r w:rsidR="00695A53" w:rsidRPr="0015045D">
        <w:rPr>
          <w:rStyle w:val="CETCaptionCarattere"/>
          <w:i/>
        </w:rPr>
        <w:t>4</w:t>
      </w:r>
      <w:r w:rsidRPr="0015045D">
        <w:rPr>
          <w:rStyle w:val="CETCaptionCarattere"/>
          <w:i/>
        </w:rPr>
        <w:t xml:space="preserve">: </w:t>
      </w:r>
      <w:r w:rsidR="00394D2E" w:rsidRPr="0015045D">
        <w:rPr>
          <w:rStyle w:val="CETCaptionCarattere"/>
          <w:i/>
        </w:rPr>
        <w:t xml:space="preserve">Optimal biorefinery </w:t>
      </w:r>
      <w:r w:rsidR="002459E6" w:rsidRPr="0015045D">
        <w:rPr>
          <w:rStyle w:val="CETCaptionCarattere"/>
          <w:i/>
        </w:rPr>
        <w:t xml:space="preserve">plant distribution in Basilicata (a), Campania (b) and Puglia </w:t>
      </w:r>
      <w:r w:rsidR="001608BF" w:rsidRPr="0015045D">
        <w:rPr>
          <w:rStyle w:val="CETCaptionCarattere"/>
          <w:i/>
        </w:rPr>
        <w:t>(c)</w:t>
      </w:r>
      <w:r w:rsidR="002459E6" w:rsidRPr="0015045D">
        <w:rPr>
          <w:rStyle w:val="CETCaptionCarattere"/>
          <w:i/>
        </w:rPr>
        <w:t xml:space="preserve">, </w:t>
      </w:r>
      <w:r w:rsidR="006A1D26" w:rsidRPr="0015045D">
        <w:rPr>
          <w:rStyle w:val="CETCaptionCarattere"/>
          <w:i/>
        </w:rPr>
        <w:t xml:space="preserve">with </w:t>
      </w:r>
      <w:r w:rsidR="00CB2014" w:rsidRPr="0015045D">
        <w:rPr>
          <w:rStyle w:val="CETCaptionCarattere"/>
          <w:i/>
        </w:rPr>
        <w:t>anaerobic digestion and solid-liquid extraction processes</w:t>
      </w:r>
      <w:r w:rsidR="00AE4941" w:rsidRPr="0015045D">
        <w:rPr>
          <w:rStyle w:val="CETCaptionCarattere"/>
          <w:i/>
        </w:rPr>
        <w:t xml:space="preserve">, in </w:t>
      </w:r>
      <w:r w:rsidR="00812364" w:rsidRPr="0015045D">
        <w:rPr>
          <w:rStyle w:val="CETCaptionCarattere"/>
          <w:i/>
        </w:rPr>
        <w:t xml:space="preserve">green, only pyrolysis process </w:t>
      </w:r>
      <w:r w:rsidR="00AE4941" w:rsidRPr="0015045D">
        <w:rPr>
          <w:rStyle w:val="CETCaptionCarattere"/>
          <w:i/>
        </w:rPr>
        <w:t xml:space="preserve">in </w:t>
      </w:r>
      <w:r w:rsidR="00812364" w:rsidRPr="0015045D">
        <w:rPr>
          <w:rStyle w:val="CETCaptionCarattere"/>
          <w:i/>
        </w:rPr>
        <w:t>orange and all three</w:t>
      </w:r>
      <w:r w:rsidR="00AE4941" w:rsidRPr="0015045D">
        <w:rPr>
          <w:rStyle w:val="CETCaptionCarattere"/>
          <w:i/>
        </w:rPr>
        <w:t xml:space="preserve"> biorefinery</w:t>
      </w:r>
      <w:r w:rsidR="00812364" w:rsidRPr="0015045D">
        <w:rPr>
          <w:rStyle w:val="CETCaptionCarattere"/>
          <w:i/>
        </w:rPr>
        <w:t xml:space="preserve"> treatment</w:t>
      </w:r>
      <w:r w:rsidR="00AE4941" w:rsidRPr="0015045D">
        <w:rPr>
          <w:rStyle w:val="CETCaptionCarattere"/>
          <w:i/>
        </w:rPr>
        <w:t>s in yellow</w:t>
      </w:r>
    </w:p>
    <w:p w14:paraId="68D26B83" w14:textId="77777777" w:rsidR="00600535" w:rsidRPr="00B57B36" w:rsidRDefault="00600535" w:rsidP="00600535">
      <w:pPr>
        <w:pStyle w:val="CETHeading1"/>
        <w:rPr>
          <w:lang w:val="en-GB"/>
        </w:rPr>
      </w:pPr>
      <w:r w:rsidRPr="00B57B36">
        <w:rPr>
          <w:lang w:val="en-GB"/>
        </w:rPr>
        <w:t>Conclusions</w:t>
      </w:r>
    </w:p>
    <w:p w14:paraId="5593A807" w14:textId="4DCB9B61" w:rsidR="008C2AE1" w:rsidRDefault="006E5256" w:rsidP="006E5256">
      <w:pPr>
        <w:pStyle w:val="CETBodytext"/>
        <w:rPr>
          <w:lang w:val="en-GB"/>
        </w:rPr>
      </w:pPr>
      <w:r w:rsidRPr="006E5256">
        <w:rPr>
          <w:lang w:val="en-GB"/>
        </w:rPr>
        <w:t>In this work, a supply chain optimization model was developed and solved to identify the most effective biorefinery configurations</w:t>
      </w:r>
      <w:r w:rsidR="009E561E">
        <w:rPr>
          <w:lang w:val="en-GB"/>
        </w:rPr>
        <w:t xml:space="preserve">, </w:t>
      </w:r>
      <w:r w:rsidRPr="006E5256">
        <w:rPr>
          <w:lang w:val="en-GB"/>
        </w:rPr>
        <w:t>both in terms of geographic location and plant scale</w:t>
      </w:r>
      <w:r w:rsidR="009E561E">
        <w:rPr>
          <w:lang w:val="en-GB"/>
        </w:rPr>
        <w:t xml:space="preserve">, </w:t>
      </w:r>
      <w:r w:rsidRPr="006E5256">
        <w:rPr>
          <w:lang w:val="en-GB"/>
        </w:rPr>
        <w:t>for the valorization of residual biomass from the wine industry. The results revealed region-specific strategies, with considerable variation across the Italian territories considered.</w:t>
      </w:r>
      <w:r w:rsidR="009E561E">
        <w:rPr>
          <w:lang w:val="en-GB"/>
        </w:rPr>
        <w:t xml:space="preserve"> </w:t>
      </w:r>
      <w:r w:rsidRPr="006E5256">
        <w:rPr>
          <w:lang w:val="en-GB"/>
        </w:rPr>
        <w:t xml:space="preserve">Overall, the </w:t>
      </w:r>
      <w:r w:rsidR="009E561E" w:rsidRPr="006E5256">
        <w:rPr>
          <w:lang w:val="en-GB"/>
        </w:rPr>
        <w:t>modelled</w:t>
      </w:r>
      <w:r w:rsidRPr="006E5256">
        <w:rPr>
          <w:lang w:val="en-GB"/>
        </w:rPr>
        <w:t xml:space="preserve"> supply chain enables an annual production of </w:t>
      </w:r>
      <w:r w:rsidRPr="006E5256">
        <w:rPr>
          <w:lang w:val="en-GB"/>
        </w:rPr>
        <w:lastRenderedPageBreak/>
        <w:t>approximately 1</w:t>
      </w:r>
      <w:r w:rsidR="009E561E">
        <w:rPr>
          <w:lang w:val="en-GB"/>
        </w:rPr>
        <w:t>’</w:t>
      </w:r>
      <w:r w:rsidRPr="006E5256">
        <w:rPr>
          <w:lang w:val="en-GB"/>
        </w:rPr>
        <w:t>824 tonnes of antioxidant compounds, 12</w:t>
      </w:r>
      <w:r w:rsidR="009E561E">
        <w:rPr>
          <w:lang w:val="en-GB"/>
        </w:rPr>
        <w:t>’</w:t>
      </w:r>
      <w:r w:rsidRPr="006E5256">
        <w:rPr>
          <w:lang w:val="en-GB"/>
        </w:rPr>
        <w:t>772 tonnes of biomethane, and 83</w:t>
      </w:r>
      <w:r w:rsidR="009E561E">
        <w:rPr>
          <w:lang w:val="en-GB"/>
        </w:rPr>
        <w:t>’</w:t>
      </w:r>
      <w:r w:rsidRPr="006E5256">
        <w:rPr>
          <w:lang w:val="en-GB"/>
        </w:rPr>
        <w:t>821 tonnes of biochar. To achieve these outputs, a total of four integrated plants combining solid-liquid extraction with anaerobic digestion were required. Additionally, four pyrolysis plants focused exclusively on vine prunings, and four multifunctional plants capable of processing all three types of residues</w:t>
      </w:r>
      <w:r>
        <w:rPr>
          <w:lang w:val="en-GB"/>
        </w:rPr>
        <w:t xml:space="preserve">, </w:t>
      </w:r>
      <w:r w:rsidRPr="006E5256">
        <w:rPr>
          <w:lang w:val="en-GB"/>
        </w:rPr>
        <w:t>grape marc, wine lees, and prunings</w:t>
      </w:r>
      <w:r>
        <w:rPr>
          <w:lang w:val="en-GB"/>
        </w:rPr>
        <w:t xml:space="preserve">, </w:t>
      </w:r>
      <w:r w:rsidRPr="006E5256">
        <w:rPr>
          <w:lang w:val="en-GB"/>
        </w:rPr>
        <w:t>were identified as optimal.</w:t>
      </w:r>
      <w:r w:rsidR="009E561E">
        <w:rPr>
          <w:lang w:val="en-GB"/>
        </w:rPr>
        <w:t xml:space="preserve"> </w:t>
      </w:r>
      <w:r w:rsidRPr="006E5256">
        <w:rPr>
          <w:lang w:val="en-GB"/>
        </w:rPr>
        <w:t>Average plant capacities were estimated at around 228 t/y for antioxidant extraction, 1</w:t>
      </w:r>
      <w:r w:rsidR="009E561E">
        <w:rPr>
          <w:lang w:val="en-GB"/>
        </w:rPr>
        <w:t>’</w:t>
      </w:r>
      <w:r w:rsidRPr="006E5256">
        <w:rPr>
          <w:lang w:val="en-GB"/>
        </w:rPr>
        <w:t>597 t/y for biomethane production, and 9</w:t>
      </w:r>
      <w:r w:rsidR="009E561E">
        <w:rPr>
          <w:lang w:val="en-GB"/>
        </w:rPr>
        <w:t>’</w:t>
      </w:r>
      <w:r w:rsidRPr="006E5256">
        <w:rPr>
          <w:lang w:val="en-GB"/>
        </w:rPr>
        <w:t>313 t/y for biochar. From an environmental standpoint, the latter two products contribute significantly to climate mitigation, with a combined potential to avoid up to 345 kilotonnes of CO</w:t>
      </w:r>
      <w:r w:rsidRPr="006E5256">
        <w:rPr>
          <w:rFonts w:ascii="Cambria Math" w:hAnsi="Cambria Math" w:cs="Cambria Math"/>
          <w:lang w:val="en-GB"/>
        </w:rPr>
        <w:t>₂</w:t>
      </w:r>
      <w:r w:rsidRPr="006E5256">
        <w:rPr>
          <w:lang w:val="en-GB"/>
        </w:rPr>
        <w:t xml:space="preserve"> emissions annually.</w:t>
      </w:r>
    </w:p>
    <w:p w14:paraId="459D05E6" w14:textId="77777777" w:rsidR="00600535" w:rsidRPr="00B57B36" w:rsidRDefault="00600535" w:rsidP="003E5CDD">
      <w:pPr>
        <w:pStyle w:val="CETAcknowledgementstitle"/>
        <w:keepNext/>
      </w:pPr>
      <w:r w:rsidRPr="00B57B36">
        <w:t>Acknowledgments</w:t>
      </w:r>
    </w:p>
    <w:p w14:paraId="33F8138F" w14:textId="608EE597" w:rsidR="00600535" w:rsidRPr="00B57B36" w:rsidRDefault="00C9335F" w:rsidP="00600535">
      <w:pPr>
        <w:pStyle w:val="CETBodytext"/>
        <w:rPr>
          <w:lang w:val="en-GB"/>
        </w:rPr>
      </w:pPr>
      <w:r w:rsidRPr="00C9335F">
        <w:rPr>
          <w:lang w:val="en-GB"/>
        </w:rPr>
        <w:t>The present work is part of the national project PERCIVAL funded through the program PON 2014-2020.</w:t>
      </w:r>
    </w:p>
    <w:p w14:paraId="4F1327F8" w14:textId="77777777" w:rsidR="00600535" w:rsidRPr="005F1AF4" w:rsidRDefault="00600535" w:rsidP="00600535">
      <w:pPr>
        <w:pStyle w:val="CETReference"/>
      </w:pPr>
      <w:r w:rsidRPr="005F1AF4">
        <w:t>References</w:t>
      </w:r>
    </w:p>
    <w:p w14:paraId="03507984" w14:textId="66E96C87" w:rsidR="00600535" w:rsidRPr="005F1AF4" w:rsidRDefault="00600535" w:rsidP="00C52C3C">
      <w:pPr>
        <w:pStyle w:val="CETBodytext"/>
        <w:ind w:left="360"/>
        <w:rPr>
          <w:lang w:val="en-GB"/>
        </w:rPr>
      </w:pPr>
    </w:p>
    <w:p w14:paraId="264AED6C" w14:textId="62A9496A" w:rsidR="00025912" w:rsidRPr="00025912" w:rsidRDefault="001A21AF" w:rsidP="00025912">
      <w:pPr>
        <w:pStyle w:val="Bibliografia"/>
        <w:rPr>
          <w:rFonts w:cs="Arial"/>
        </w:rPr>
      </w:pPr>
      <w:r>
        <w:fldChar w:fldCharType="begin"/>
      </w:r>
      <w:r w:rsidR="00DF21B5">
        <w:instrText xml:space="preserve"> ADDIN ZOTERO_BIBL {"uncited":[],"omitted":[],"custom":[]} CSL_BIBLIOGRAPHY </w:instrText>
      </w:r>
      <w:r>
        <w:fldChar w:fldCharType="separate"/>
      </w:r>
      <w:r w:rsidR="00025912" w:rsidRPr="00025912">
        <w:rPr>
          <w:rFonts w:cs="Arial"/>
        </w:rPr>
        <w:t>Alherbawi M., Mckay G., Mackey H.R., Al-Ansari T., 2022. Multi-biomass Refinery Siting: a Gis Geospatial Optimization Approach. Chemical Engineering Transactions 92, 73–78. https://doi.org/10.3303/CET2292013</w:t>
      </w:r>
    </w:p>
    <w:p w14:paraId="2383181C" w14:textId="38188E7B" w:rsidR="00025912" w:rsidRPr="00025912" w:rsidRDefault="00025912" w:rsidP="00025912">
      <w:pPr>
        <w:pStyle w:val="Bibliografia"/>
        <w:rPr>
          <w:rFonts w:cs="Arial"/>
          <w:lang w:val="it-IT"/>
        </w:rPr>
      </w:pPr>
      <w:r w:rsidRPr="00025912">
        <w:rPr>
          <w:rFonts w:cs="Arial"/>
        </w:rPr>
        <w:t xml:space="preserve">Ayala J.R., Rojano B.A., Coronado M.A., Alzate-Arbeláez A.F., Sagaste C.A., Vélez A.D., Montes D.G., 2025. Valorization Pathway for Grape Pruning and Pomace Waste from the Wine Industry: Energy and Non-Energy Applications. </w:t>
      </w:r>
      <w:r w:rsidRPr="00025912">
        <w:rPr>
          <w:rFonts w:cs="Arial"/>
          <w:lang w:val="it-IT"/>
        </w:rPr>
        <w:t>Molecules 30, 2332. https://doi.org/10.3390/molecules30112332</w:t>
      </w:r>
    </w:p>
    <w:p w14:paraId="7740B5C5" w14:textId="1F5602A0" w:rsidR="00025912" w:rsidRPr="00025912" w:rsidRDefault="00025912" w:rsidP="00025912">
      <w:pPr>
        <w:pStyle w:val="Bibliografia"/>
        <w:rPr>
          <w:rFonts w:cs="Arial"/>
        </w:rPr>
      </w:pPr>
      <w:r w:rsidRPr="00025912">
        <w:rPr>
          <w:rFonts w:cs="Arial"/>
          <w:lang w:val="it-IT"/>
        </w:rPr>
        <w:t>Fatta V., Petrone M.T., Giuliano A</w:t>
      </w:r>
      <w:r w:rsidR="0015045D">
        <w:rPr>
          <w:rFonts w:cs="Arial"/>
          <w:lang w:val="it-IT"/>
        </w:rPr>
        <w:t>.</w:t>
      </w:r>
      <w:r w:rsidRPr="00025912">
        <w:rPr>
          <w:rFonts w:cs="Arial"/>
          <w:lang w:val="it-IT"/>
        </w:rPr>
        <w:t xml:space="preserve">, De Bari I., Pierro N., Rosso V., Ocleppo E., 2024. </w:t>
      </w:r>
      <w:r w:rsidRPr="00025912">
        <w:rPr>
          <w:rFonts w:cs="Arial"/>
        </w:rPr>
        <w:t>Bioproducts Extraction from Agro-industrial By-products and Their Valorisation. Development of Process Layouts. Chemical Engineering Transactions 109, 421–426. https://doi.org/10.3303/CET24109071</w:t>
      </w:r>
    </w:p>
    <w:p w14:paraId="088A5156" w14:textId="2562361A" w:rsidR="00025912" w:rsidRPr="00025912" w:rsidRDefault="00025912" w:rsidP="00025912">
      <w:pPr>
        <w:pStyle w:val="Bibliografia"/>
        <w:rPr>
          <w:rFonts w:cs="Arial"/>
        </w:rPr>
      </w:pPr>
      <w:r w:rsidRPr="00025912">
        <w:rPr>
          <w:rFonts w:cs="Arial"/>
        </w:rPr>
        <w:t>Fernández-Puratich H., Hernández D., Tenreiro C., 2015. Analysis of energetic performance of vine biomass residues as an alternative fuel for Chilean wine industry. Renewable Energy 83, 1260–1267.</w:t>
      </w:r>
    </w:p>
    <w:p w14:paraId="3D5F1301" w14:textId="0871A135" w:rsidR="00025912" w:rsidRPr="00025912" w:rsidRDefault="00025912" w:rsidP="00025912">
      <w:pPr>
        <w:pStyle w:val="Bibliografia"/>
        <w:rPr>
          <w:rFonts w:cs="Arial"/>
        </w:rPr>
      </w:pPr>
      <w:r w:rsidRPr="00A4247C">
        <w:rPr>
          <w:rFonts w:cs="Arial"/>
          <w:lang w:val="en-US"/>
        </w:rPr>
        <w:t>Galanopoulos C., Barlett</w:t>
      </w:r>
      <w:r w:rsidR="0015045D" w:rsidRPr="00A4247C">
        <w:rPr>
          <w:rFonts w:cs="Arial"/>
          <w:lang w:val="en-US"/>
        </w:rPr>
        <w:t>a</w:t>
      </w:r>
      <w:r w:rsidRPr="00A4247C">
        <w:rPr>
          <w:rFonts w:cs="Arial"/>
          <w:lang w:val="en-US"/>
        </w:rPr>
        <w:t xml:space="preserve"> D., Zondervan E., 2018. </w:t>
      </w:r>
      <w:r w:rsidRPr="00025912">
        <w:rPr>
          <w:rFonts w:cs="Arial"/>
        </w:rPr>
        <w:t>A decision support platform for a bio-based supply chain: Application to the region of Lower Saxony and Bremen (Germany). Computers and Chemical Engineering 115, 233–242. https://doi.org/10.1016/j.compchemeng.2018.03.024</w:t>
      </w:r>
    </w:p>
    <w:p w14:paraId="0368E123" w14:textId="1326966B" w:rsidR="00025912" w:rsidRPr="00025912" w:rsidRDefault="00025912" w:rsidP="00025912">
      <w:pPr>
        <w:pStyle w:val="Bibliografia"/>
        <w:rPr>
          <w:rFonts w:cs="Arial"/>
        </w:rPr>
      </w:pPr>
      <w:r w:rsidRPr="00025912">
        <w:rPr>
          <w:rFonts w:cs="Arial"/>
        </w:rPr>
        <w:t>Haas I., Toaldo I., Burin V., Bordignon-Luiz M., 2018. Extraction optimization for polyphenolic profiling and bioactive enrichment of extractives of non-pomace residue from grape processing. Industrial Crops and Products 112, 593–601. https://doi.org/10.1016/j.indcrop.2017.12.058</w:t>
      </w:r>
    </w:p>
    <w:p w14:paraId="6991B209" w14:textId="242D8D19" w:rsidR="00025912" w:rsidRPr="00025912" w:rsidRDefault="00025912" w:rsidP="00025912">
      <w:pPr>
        <w:pStyle w:val="Bibliografia"/>
        <w:rPr>
          <w:rFonts w:cs="Arial"/>
        </w:rPr>
      </w:pPr>
      <w:r w:rsidRPr="00025912">
        <w:rPr>
          <w:rFonts w:cs="Arial"/>
        </w:rPr>
        <w:t>Iragavarapu G.P., Imam S.S., Sarkar O., Mohan S.V., Chang Y.-C., Reddy M.V., Kim S.-H., Amradi N.K., 2023. Bioprocessing of Waste for Renewable Chemicals and Fuels to Promote Bioeconomy. Energies 16, 3873. https://doi.org/10.3390/en16093873</w:t>
      </w:r>
    </w:p>
    <w:p w14:paraId="1567F790" w14:textId="210ECEA5" w:rsidR="00025912" w:rsidRPr="00025912" w:rsidRDefault="00025912" w:rsidP="00025912">
      <w:pPr>
        <w:pStyle w:val="Bibliografia"/>
        <w:rPr>
          <w:rFonts w:cs="Arial"/>
        </w:rPr>
      </w:pPr>
      <w:r w:rsidRPr="00025912">
        <w:rPr>
          <w:rFonts w:cs="Arial"/>
        </w:rPr>
        <w:t>Machin Ferrero L.M., Mele F.D., 2022. Optimal Design of Sugar-Cane-Based Biorefinery Networks in Argentina. ACS Sustainable Chem. Eng. 10, 7916–7928. https://doi.org/10.1021/acssuschemeng.2c00921</w:t>
      </w:r>
    </w:p>
    <w:p w14:paraId="5090FF31" w14:textId="7FA3A0C2" w:rsidR="00025912" w:rsidRPr="00025912" w:rsidRDefault="00025912" w:rsidP="00025912">
      <w:pPr>
        <w:pStyle w:val="Bibliografia"/>
        <w:rPr>
          <w:rFonts w:cs="Arial"/>
        </w:rPr>
      </w:pPr>
      <w:r w:rsidRPr="00025912">
        <w:rPr>
          <w:rFonts w:cs="Arial"/>
        </w:rPr>
        <w:t>Ortiz D.S., Curtright A.E., Samaras C., Litovitz A., Burger N.E., 2011. Near-Term Opportunities for Integrating Biomass into the U.S. Electricity Supply: Technical Considerations.</w:t>
      </w:r>
    </w:p>
    <w:p w14:paraId="659AD743" w14:textId="4E0795F1" w:rsidR="00025912" w:rsidRPr="00025912" w:rsidRDefault="00025912" w:rsidP="00025912">
      <w:pPr>
        <w:pStyle w:val="Bibliografia"/>
        <w:rPr>
          <w:rFonts w:cs="Arial"/>
        </w:rPr>
      </w:pPr>
      <w:r w:rsidRPr="00025912">
        <w:rPr>
          <w:rFonts w:cs="Arial"/>
          <w:lang w:val="it-IT"/>
        </w:rPr>
        <w:t xml:space="preserve">Pierro N., Giocoli A., Motola V., Dipinto S., 2021. Valutazione disponibilità biomasse agro-industriali a livello nazionale e loro pubblicazione sul portale Webgis atlante delle biomasse [WWW Document]. </w:t>
      </w:r>
      <w:r w:rsidRPr="00025912">
        <w:rPr>
          <w:rFonts w:cs="Arial"/>
        </w:rPr>
        <w:t>URL https://iris.enea.it/handle/20.500.12079/56881 (accessed 10.17.23).</w:t>
      </w:r>
    </w:p>
    <w:p w14:paraId="004104BA" w14:textId="489E64D6" w:rsidR="00025912" w:rsidRPr="00025912" w:rsidRDefault="00025912" w:rsidP="00025912">
      <w:pPr>
        <w:pStyle w:val="Bibliografia"/>
        <w:rPr>
          <w:rFonts w:cs="Arial"/>
        </w:rPr>
      </w:pPr>
      <w:r w:rsidRPr="00025912">
        <w:rPr>
          <w:rFonts w:cs="Arial"/>
        </w:rPr>
        <w:t>Rotter S., Rohrhofer C., 2014. Logistics Concept.</w:t>
      </w:r>
    </w:p>
    <w:p w14:paraId="595F0FD0" w14:textId="53A26E1E" w:rsidR="00025912" w:rsidRPr="00025912" w:rsidRDefault="00025912" w:rsidP="00025912">
      <w:pPr>
        <w:pStyle w:val="Bibliografia"/>
        <w:rPr>
          <w:rFonts w:cs="Arial"/>
        </w:rPr>
      </w:pPr>
      <w:r w:rsidRPr="00025912">
        <w:rPr>
          <w:rFonts w:cs="Arial"/>
        </w:rPr>
        <w:t>Tournour H.H., Segundo M.A., Magalhaes L.M., Barreiros L., Queiroz J., Cunha L.M., 2015. Valorization of grape pomace: Extraction of bioactive phenolics with antioxidant properties. https://doi.org/10.1016/j.indcrop.2015.05.055</w:t>
      </w:r>
    </w:p>
    <w:p w14:paraId="00BA3D4F" w14:textId="39D405F8" w:rsidR="00C52C3C" w:rsidRDefault="001A21AF" w:rsidP="00821553">
      <w:pPr>
        <w:pStyle w:val="CETReferencetext"/>
        <w:ind w:left="0" w:firstLine="0"/>
      </w:pPr>
      <w:r>
        <w:fldChar w:fldCharType="end"/>
      </w:r>
    </w:p>
    <w:sectPr w:rsidR="00C52C3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B3E07" w14:textId="77777777" w:rsidR="00E36770" w:rsidRDefault="00E36770" w:rsidP="004F5E36">
      <w:r>
        <w:separator/>
      </w:r>
    </w:p>
  </w:endnote>
  <w:endnote w:type="continuationSeparator" w:id="0">
    <w:p w14:paraId="5E3A5EE6" w14:textId="77777777" w:rsidR="00E36770" w:rsidRDefault="00E3677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2E508" w14:textId="77777777" w:rsidR="00E36770" w:rsidRDefault="00E36770" w:rsidP="004F5E36">
      <w:r>
        <w:separator/>
      </w:r>
    </w:p>
  </w:footnote>
  <w:footnote w:type="continuationSeparator" w:id="0">
    <w:p w14:paraId="0B271C7B" w14:textId="77777777" w:rsidR="00E36770" w:rsidRDefault="00E3677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8A620A"/>
    <w:multiLevelType w:val="hybridMultilevel"/>
    <w:tmpl w:val="74160D82"/>
    <w:lvl w:ilvl="0" w:tplc="FFFFFFFF">
      <w:start w:val="1"/>
      <w:numFmt w:val="lowerLetter"/>
      <w:lvlText w:val="(%1)"/>
      <w:lvlJc w:val="left"/>
      <w:pPr>
        <w:ind w:left="2824" w:hanging="360"/>
      </w:pPr>
      <w:rPr>
        <w:rFonts w:hint="default"/>
      </w:rPr>
    </w:lvl>
    <w:lvl w:ilvl="1" w:tplc="FFFFFFFF" w:tentative="1">
      <w:start w:val="1"/>
      <w:numFmt w:val="lowerLetter"/>
      <w:lvlText w:val="%2."/>
      <w:lvlJc w:val="left"/>
      <w:pPr>
        <w:ind w:left="3544" w:hanging="360"/>
      </w:pPr>
    </w:lvl>
    <w:lvl w:ilvl="2" w:tplc="FFFFFFFF" w:tentative="1">
      <w:start w:val="1"/>
      <w:numFmt w:val="lowerRoman"/>
      <w:lvlText w:val="%3."/>
      <w:lvlJc w:val="right"/>
      <w:pPr>
        <w:ind w:left="4264" w:hanging="180"/>
      </w:pPr>
    </w:lvl>
    <w:lvl w:ilvl="3" w:tplc="FFFFFFFF" w:tentative="1">
      <w:start w:val="1"/>
      <w:numFmt w:val="decimal"/>
      <w:lvlText w:val="%4."/>
      <w:lvlJc w:val="left"/>
      <w:pPr>
        <w:ind w:left="4984" w:hanging="360"/>
      </w:pPr>
    </w:lvl>
    <w:lvl w:ilvl="4" w:tplc="FFFFFFFF" w:tentative="1">
      <w:start w:val="1"/>
      <w:numFmt w:val="lowerLetter"/>
      <w:lvlText w:val="%5."/>
      <w:lvlJc w:val="left"/>
      <w:pPr>
        <w:ind w:left="5704" w:hanging="360"/>
      </w:pPr>
    </w:lvl>
    <w:lvl w:ilvl="5" w:tplc="FFFFFFFF" w:tentative="1">
      <w:start w:val="1"/>
      <w:numFmt w:val="lowerRoman"/>
      <w:lvlText w:val="%6."/>
      <w:lvlJc w:val="right"/>
      <w:pPr>
        <w:ind w:left="6424" w:hanging="180"/>
      </w:pPr>
    </w:lvl>
    <w:lvl w:ilvl="6" w:tplc="FFFFFFFF" w:tentative="1">
      <w:start w:val="1"/>
      <w:numFmt w:val="decimal"/>
      <w:lvlText w:val="%7."/>
      <w:lvlJc w:val="left"/>
      <w:pPr>
        <w:ind w:left="7144" w:hanging="360"/>
      </w:pPr>
    </w:lvl>
    <w:lvl w:ilvl="7" w:tplc="FFFFFFFF" w:tentative="1">
      <w:start w:val="1"/>
      <w:numFmt w:val="lowerLetter"/>
      <w:lvlText w:val="%8."/>
      <w:lvlJc w:val="left"/>
      <w:pPr>
        <w:ind w:left="7864" w:hanging="360"/>
      </w:pPr>
    </w:lvl>
    <w:lvl w:ilvl="8" w:tplc="FFFFFFFF" w:tentative="1">
      <w:start w:val="1"/>
      <w:numFmt w:val="lowerRoman"/>
      <w:lvlText w:val="%9."/>
      <w:lvlJc w:val="right"/>
      <w:pPr>
        <w:ind w:left="8584" w:hanging="180"/>
      </w:pPr>
    </w:lvl>
  </w:abstractNum>
  <w:abstractNum w:abstractNumId="12" w15:restartNumberingAfterBreak="0">
    <w:nsid w:val="2438217E"/>
    <w:multiLevelType w:val="multilevel"/>
    <w:tmpl w:val="6C125F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US"/>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F983D61"/>
    <w:multiLevelType w:val="hybridMultilevel"/>
    <w:tmpl w:val="74160D82"/>
    <w:lvl w:ilvl="0" w:tplc="DC16C74E">
      <w:start w:val="1"/>
      <w:numFmt w:val="lowerLetter"/>
      <w:lvlText w:val="(%1)"/>
      <w:lvlJc w:val="left"/>
      <w:pPr>
        <w:ind w:left="2824" w:hanging="360"/>
      </w:pPr>
      <w:rPr>
        <w:rFonts w:hint="default"/>
      </w:rPr>
    </w:lvl>
    <w:lvl w:ilvl="1" w:tplc="04100019" w:tentative="1">
      <w:start w:val="1"/>
      <w:numFmt w:val="lowerLetter"/>
      <w:lvlText w:val="%2."/>
      <w:lvlJc w:val="left"/>
      <w:pPr>
        <w:ind w:left="3544" w:hanging="360"/>
      </w:pPr>
    </w:lvl>
    <w:lvl w:ilvl="2" w:tplc="0410001B" w:tentative="1">
      <w:start w:val="1"/>
      <w:numFmt w:val="lowerRoman"/>
      <w:lvlText w:val="%3."/>
      <w:lvlJc w:val="right"/>
      <w:pPr>
        <w:ind w:left="4264" w:hanging="180"/>
      </w:pPr>
    </w:lvl>
    <w:lvl w:ilvl="3" w:tplc="0410000F" w:tentative="1">
      <w:start w:val="1"/>
      <w:numFmt w:val="decimal"/>
      <w:lvlText w:val="%4."/>
      <w:lvlJc w:val="left"/>
      <w:pPr>
        <w:ind w:left="4984" w:hanging="360"/>
      </w:pPr>
    </w:lvl>
    <w:lvl w:ilvl="4" w:tplc="04100019" w:tentative="1">
      <w:start w:val="1"/>
      <w:numFmt w:val="lowerLetter"/>
      <w:lvlText w:val="%5."/>
      <w:lvlJc w:val="left"/>
      <w:pPr>
        <w:ind w:left="5704" w:hanging="360"/>
      </w:pPr>
    </w:lvl>
    <w:lvl w:ilvl="5" w:tplc="0410001B" w:tentative="1">
      <w:start w:val="1"/>
      <w:numFmt w:val="lowerRoman"/>
      <w:lvlText w:val="%6."/>
      <w:lvlJc w:val="right"/>
      <w:pPr>
        <w:ind w:left="6424" w:hanging="180"/>
      </w:pPr>
    </w:lvl>
    <w:lvl w:ilvl="6" w:tplc="0410000F" w:tentative="1">
      <w:start w:val="1"/>
      <w:numFmt w:val="decimal"/>
      <w:lvlText w:val="%7."/>
      <w:lvlJc w:val="left"/>
      <w:pPr>
        <w:ind w:left="7144" w:hanging="360"/>
      </w:pPr>
    </w:lvl>
    <w:lvl w:ilvl="7" w:tplc="04100019" w:tentative="1">
      <w:start w:val="1"/>
      <w:numFmt w:val="lowerLetter"/>
      <w:lvlText w:val="%8."/>
      <w:lvlJc w:val="left"/>
      <w:pPr>
        <w:ind w:left="7864" w:hanging="360"/>
      </w:pPr>
    </w:lvl>
    <w:lvl w:ilvl="8" w:tplc="0410001B" w:tentative="1">
      <w:start w:val="1"/>
      <w:numFmt w:val="lowerRoman"/>
      <w:lvlText w:val="%9."/>
      <w:lvlJc w:val="right"/>
      <w:pPr>
        <w:ind w:left="8584" w:hanging="180"/>
      </w:p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0"/>
  </w:num>
  <w:num w:numId="24" w16cid:durableId="1110661662">
    <w:abstractNumId w:val="23"/>
  </w:num>
  <w:num w:numId="25" w16cid:durableId="19379036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4E9F"/>
    <w:rsid w:val="00015C9B"/>
    <w:rsid w:val="000167CE"/>
    <w:rsid w:val="00025912"/>
    <w:rsid w:val="0002655B"/>
    <w:rsid w:val="0002754D"/>
    <w:rsid w:val="0003148D"/>
    <w:rsid w:val="00031EEC"/>
    <w:rsid w:val="0003706C"/>
    <w:rsid w:val="0004083E"/>
    <w:rsid w:val="00043EC2"/>
    <w:rsid w:val="00044C5E"/>
    <w:rsid w:val="00046657"/>
    <w:rsid w:val="00051566"/>
    <w:rsid w:val="000562A9"/>
    <w:rsid w:val="00057B2D"/>
    <w:rsid w:val="00062A9A"/>
    <w:rsid w:val="00065058"/>
    <w:rsid w:val="00066C97"/>
    <w:rsid w:val="00070850"/>
    <w:rsid w:val="00086C39"/>
    <w:rsid w:val="000A03B2"/>
    <w:rsid w:val="000A0DAA"/>
    <w:rsid w:val="000A7E11"/>
    <w:rsid w:val="000C0E41"/>
    <w:rsid w:val="000D0268"/>
    <w:rsid w:val="000D34BE"/>
    <w:rsid w:val="000D65A0"/>
    <w:rsid w:val="000E096B"/>
    <w:rsid w:val="000E0B3C"/>
    <w:rsid w:val="000E102F"/>
    <w:rsid w:val="000E1CB7"/>
    <w:rsid w:val="000E323F"/>
    <w:rsid w:val="000E36F1"/>
    <w:rsid w:val="000E3A73"/>
    <w:rsid w:val="000E414A"/>
    <w:rsid w:val="000E75FD"/>
    <w:rsid w:val="000F093C"/>
    <w:rsid w:val="000F1596"/>
    <w:rsid w:val="000F787B"/>
    <w:rsid w:val="0010388F"/>
    <w:rsid w:val="00104F1A"/>
    <w:rsid w:val="00113FAC"/>
    <w:rsid w:val="0012091F"/>
    <w:rsid w:val="001267E9"/>
    <w:rsid w:val="00126BC2"/>
    <w:rsid w:val="001308B6"/>
    <w:rsid w:val="0013121F"/>
    <w:rsid w:val="00131FE6"/>
    <w:rsid w:val="0013263F"/>
    <w:rsid w:val="001331DF"/>
    <w:rsid w:val="00134DE4"/>
    <w:rsid w:val="001371E2"/>
    <w:rsid w:val="0014034D"/>
    <w:rsid w:val="00140FE3"/>
    <w:rsid w:val="00144D16"/>
    <w:rsid w:val="00144FC8"/>
    <w:rsid w:val="0015045D"/>
    <w:rsid w:val="00150E59"/>
    <w:rsid w:val="00152DE3"/>
    <w:rsid w:val="0015372A"/>
    <w:rsid w:val="001545A3"/>
    <w:rsid w:val="00157762"/>
    <w:rsid w:val="001608BF"/>
    <w:rsid w:val="00164CF9"/>
    <w:rsid w:val="001667A6"/>
    <w:rsid w:val="001679E0"/>
    <w:rsid w:val="00167E0B"/>
    <w:rsid w:val="00173834"/>
    <w:rsid w:val="00180D6E"/>
    <w:rsid w:val="0018171E"/>
    <w:rsid w:val="00184AD6"/>
    <w:rsid w:val="00185EA0"/>
    <w:rsid w:val="001A21AF"/>
    <w:rsid w:val="001A4AF7"/>
    <w:rsid w:val="001A521F"/>
    <w:rsid w:val="001B0349"/>
    <w:rsid w:val="001B09CB"/>
    <w:rsid w:val="001B1E93"/>
    <w:rsid w:val="001B65C1"/>
    <w:rsid w:val="001C260F"/>
    <w:rsid w:val="001C3433"/>
    <w:rsid w:val="001C5C3A"/>
    <w:rsid w:val="001C684B"/>
    <w:rsid w:val="001D0CFB"/>
    <w:rsid w:val="001D21AF"/>
    <w:rsid w:val="001D53FC"/>
    <w:rsid w:val="001E09CD"/>
    <w:rsid w:val="001F42A5"/>
    <w:rsid w:val="001F7B9D"/>
    <w:rsid w:val="00201C93"/>
    <w:rsid w:val="002123C9"/>
    <w:rsid w:val="0021366C"/>
    <w:rsid w:val="002153FB"/>
    <w:rsid w:val="00220504"/>
    <w:rsid w:val="002224B4"/>
    <w:rsid w:val="00222BF0"/>
    <w:rsid w:val="00227C56"/>
    <w:rsid w:val="002350A9"/>
    <w:rsid w:val="00237548"/>
    <w:rsid w:val="00237F21"/>
    <w:rsid w:val="00244158"/>
    <w:rsid w:val="002447EF"/>
    <w:rsid w:val="00245856"/>
    <w:rsid w:val="002459E6"/>
    <w:rsid w:val="00251550"/>
    <w:rsid w:val="00251B6A"/>
    <w:rsid w:val="00263B05"/>
    <w:rsid w:val="00265B6F"/>
    <w:rsid w:val="002669F4"/>
    <w:rsid w:val="00267424"/>
    <w:rsid w:val="0026788B"/>
    <w:rsid w:val="00271303"/>
    <w:rsid w:val="0027221A"/>
    <w:rsid w:val="002754F9"/>
    <w:rsid w:val="00275B61"/>
    <w:rsid w:val="00280818"/>
    <w:rsid w:val="00280B60"/>
    <w:rsid w:val="00280FAF"/>
    <w:rsid w:val="0028239F"/>
    <w:rsid w:val="00282656"/>
    <w:rsid w:val="00290758"/>
    <w:rsid w:val="00293470"/>
    <w:rsid w:val="00294157"/>
    <w:rsid w:val="00294A80"/>
    <w:rsid w:val="00296B83"/>
    <w:rsid w:val="002A6A32"/>
    <w:rsid w:val="002A758A"/>
    <w:rsid w:val="002B4015"/>
    <w:rsid w:val="002B64D9"/>
    <w:rsid w:val="002B78CE"/>
    <w:rsid w:val="002C2FB6"/>
    <w:rsid w:val="002C381C"/>
    <w:rsid w:val="002C42F6"/>
    <w:rsid w:val="002C5A90"/>
    <w:rsid w:val="002D78B5"/>
    <w:rsid w:val="002E1354"/>
    <w:rsid w:val="002E5FA7"/>
    <w:rsid w:val="002F3309"/>
    <w:rsid w:val="003008CE"/>
    <w:rsid w:val="003009B7"/>
    <w:rsid w:val="00300E56"/>
    <w:rsid w:val="0030152C"/>
    <w:rsid w:val="0030469C"/>
    <w:rsid w:val="00305DA1"/>
    <w:rsid w:val="00310726"/>
    <w:rsid w:val="003170F9"/>
    <w:rsid w:val="00321CA6"/>
    <w:rsid w:val="0032368F"/>
    <w:rsid w:val="00323763"/>
    <w:rsid w:val="00323C5F"/>
    <w:rsid w:val="00324711"/>
    <w:rsid w:val="003276E0"/>
    <w:rsid w:val="00334C09"/>
    <w:rsid w:val="0034484F"/>
    <w:rsid w:val="0037197F"/>
    <w:rsid w:val="003723D4"/>
    <w:rsid w:val="003734B3"/>
    <w:rsid w:val="00381905"/>
    <w:rsid w:val="003829D7"/>
    <w:rsid w:val="00384CC8"/>
    <w:rsid w:val="003871FD"/>
    <w:rsid w:val="003904D3"/>
    <w:rsid w:val="00394D2E"/>
    <w:rsid w:val="00397763"/>
    <w:rsid w:val="003A1E30"/>
    <w:rsid w:val="003A2829"/>
    <w:rsid w:val="003A316D"/>
    <w:rsid w:val="003A7D1C"/>
    <w:rsid w:val="003B304B"/>
    <w:rsid w:val="003B3146"/>
    <w:rsid w:val="003B49CD"/>
    <w:rsid w:val="003C1A1C"/>
    <w:rsid w:val="003C7E96"/>
    <w:rsid w:val="003D1E02"/>
    <w:rsid w:val="003D7C97"/>
    <w:rsid w:val="003E0FB8"/>
    <w:rsid w:val="003E5CDD"/>
    <w:rsid w:val="003F015E"/>
    <w:rsid w:val="00400414"/>
    <w:rsid w:val="00405F00"/>
    <w:rsid w:val="0041446B"/>
    <w:rsid w:val="00417F2E"/>
    <w:rsid w:val="00425CFA"/>
    <w:rsid w:val="00432A6A"/>
    <w:rsid w:val="00433411"/>
    <w:rsid w:val="0044071E"/>
    <w:rsid w:val="00440EE3"/>
    <w:rsid w:val="00441D34"/>
    <w:rsid w:val="0044329C"/>
    <w:rsid w:val="00453E24"/>
    <w:rsid w:val="00457456"/>
    <w:rsid w:val="004577FE"/>
    <w:rsid w:val="00457B9C"/>
    <w:rsid w:val="0046164A"/>
    <w:rsid w:val="004626DF"/>
    <w:rsid w:val="004628D2"/>
    <w:rsid w:val="00462DCD"/>
    <w:rsid w:val="004648AD"/>
    <w:rsid w:val="004703A9"/>
    <w:rsid w:val="004760DE"/>
    <w:rsid w:val="004763D7"/>
    <w:rsid w:val="00484E18"/>
    <w:rsid w:val="00486B2E"/>
    <w:rsid w:val="0049128F"/>
    <w:rsid w:val="00495BEC"/>
    <w:rsid w:val="004A004E"/>
    <w:rsid w:val="004A24CF"/>
    <w:rsid w:val="004B03CE"/>
    <w:rsid w:val="004C0499"/>
    <w:rsid w:val="004C3D1D"/>
    <w:rsid w:val="004C3D84"/>
    <w:rsid w:val="004C61B7"/>
    <w:rsid w:val="004C7913"/>
    <w:rsid w:val="004D33E3"/>
    <w:rsid w:val="004E183C"/>
    <w:rsid w:val="004E2B84"/>
    <w:rsid w:val="004E4DD6"/>
    <w:rsid w:val="004E7ED2"/>
    <w:rsid w:val="004F19D1"/>
    <w:rsid w:val="004F546D"/>
    <w:rsid w:val="004F5E36"/>
    <w:rsid w:val="00504482"/>
    <w:rsid w:val="00505064"/>
    <w:rsid w:val="00507B47"/>
    <w:rsid w:val="00507BEF"/>
    <w:rsid w:val="00507CC9"/>
    <w:rsid w:val="00507EFF"/>
    <w:rsid w:val="005102B1"/>
    <w:rsid w:val="00510A63"/>
    <w:rsid w:val="005119A5"/>
    <w:rsid w:val="005158C8"/>
    <w:rsid w:val="00521F0D"/>
    <w:rsid w:val="00523D49"/>
    <w:rsid w:val="00524A21"/>
    <w:rsid w:val="005278B7"/>
    <w:rsid w:val="00531BC2"/>
    <w:rsid w:val="00532016"/>
    <w:rsid w:val="00533C82"/>
    <w:rsid w:val="005346C8"/>
    <w:rsid w:val="00540FF9"/>
    <w:rsid w:val="00543E7D"/>
    <w:rsid w:val="0054489B"/>
    <w:rsid w:val="00547A68"/>
    <w:rsid w:val="005531C9"/>
    <w:rsid w:val="00554879"/>
    <w:rsid w:val="005555E9"/>
    <w:rsid w:val="00570C43"/>
    <w:rsid w:val="0057704C"/>
    <w:rsid w:val="0058296A"/>
    <w:rsid w:val="005849C0"/>
    <w:rsid w:val="005906D0"/>
    <w:rsid w:val="00592274"/>
    <w:rsid w:val="005A003B"/>
    <w:rsid w:val="005A634A"/>
    <w:rsid w:val="005A6B0B"/>
    <w:rsid w:val="005A6F36"/>
    <w:rsid w:val="005A75F7"/>
    <w:rsid w:val="005B2110"/>
    <w:rsid w:val="005B350B"/>
    <w:rsid w:val="005B61E6"/>
    <w:rsid w:val="005C77E1"/>
    <w:rsid w:val="005D46BD"/>
    <w:rsid w:val="005D668A"/>
    <w:rsid w:val="005D6A2F"/>
    <w:rsid w:val="005E0592"/>
    <w:rsid w:val="005E1A82"/>
    <w:rsid w:val="005E794C"/>
    <w:rsid w:val="005F0A28"/>
    <w:rsid w:val="005F0E5E"/>
    <w:rsid w:val="005F1AF4"/>
    <w:rsid w:val="005F35E9"/>
    <w:rsid w:val="00600535"/>
    <w:rsid w:val="00610CD6"/>
    <w:rsid w:val="00613FEE"/>
    <w:rsid w:val="00614B88"/>
    <w:rsid w:val="00620D88"/>
    <w:rsid w:val="00620DEE"/>
    <w:rsid w:val="00621F92"/>
    <w:rsid w:val="0062280A"/>
    <w:rsid w:val="006231E1"/>
    <w:rsid w:val="00623867"/>
    <w:rsid w:val="00624E8F"/>
    <w:rsid w:val="00624EAD"/>
    <w:rsid w:val="006253DD"/>
    <w:rsid w:val="00625639"/>
    <w:rsid w:val="0062617B"/>
    <w:rsid w:val="00631B33"/>
    <w:rsid w:val="006340A3"/>
    <w:rsid w:val="00634316"/>
    <w:rsid w:val="0064184D"/>
    <w:rsid w:val="006422CC"/>
    <w:rsid w:val="0064384B"/>
    <w:rsid w:val="00651D18"/>
    <w:rsid w:val="006600E5"/>
    <w:rsid w:val="00660E3E"/>
    <w:rsid w:val="00662E74"/>
    <w:rsid w:val="00663D73"/>
    <w:rsid w:val="00672568"/>
    <w:rsid w:val="006758BE"/>
    <w:rsid w:val="00680C23"/>
    <w:rsid w:val="006810C0"/>
    <w:rsid w:val="00683E23"/>
    <w:rsid w:val="006861A6"/>
    <w:rsid w:val="00686F23"/>
    <w:rsid w:val="00693766"/>
    <w:rsid w:val="00695A53"/>
    <w:rsid w:val="0069694A"/>
    <w:rsid w:val="006A1D26"/>
    <w:rsid w:val="006A3281"/>
    <w:rsid w:val="006A6DE5"/>
    <w:rsid w:val="006B4888"/>
    <w:rsid w:val="006B50B2"/>
    <w:rsid w:val="006C24C0"/>
    <w:rsid w:val="006C2E45"/>
    <w:rsid w:val="006C359C"/>
    <w:rsid w:val="006C429F"/>
    <w:rsid w:val="006C5579"/>
    <w:rsid w:val="006D4744"/>
    <w:rsid w:val="006D6E8B"/>
    <w:rsid w:val="006D7209"/>
    <w:rsid w:val="006E5256"/>
    <w:rsid w:val="006E737D"/>
    <w:rsid w:val="006F19FB"/>
    <w:rsid w:val="006F7A40"/>
    <w:rsid w:val="00705AD5"/>
    <w:rsid w:val="00707DD1"/>
    <w:rsid w:val="007128CE"/>
    <w:rsid w:val="00713973"/>
    <w:rsid w:val="007145B3"/>
    <w:rsid w:val="00714AAD"/>
    <w:rsid w:val="00720A24"/>
    <w:rsid w:val="00722737"/>
    <w:rsid w:val="00723A79"/>
    <w:rsid w:val="00732386"/>
    <w:rsid w:val="0073514D"/>
    <w:rsid w:val="007447F3"/>
    <w:rsid w:val="0074636E"/>
    <w:rsid w:val="0075499F"/>
    <w:rsid w:val="0075557A"/>
    <w:rsid w:val="00757CBE"/>
    <w:rsid w:val="00761412"/>
    <w:rsid w:val="007661C8"/>
    <w:rsid w:val="0077098D"/>
    <w:rsid w:val="0077205A"/>
    <w:rsid w:val="00772768"/>
    <w:rsid w:val="00781F85"/>
    <w:rsid w:val="00785BF9"/>
    <w:rsid w:val="00787698"/>
    <w:rsid w:val="00790F32"/>
    <w:rsid w:val="007931FA"/>
    <w:rsid w:val="007A4479"/>
    <w:rsid w:val="007A4861"/>
    <w:rsid w:val="007A4F09"/>
    <w:rsid w:val="007A7BBA"/>
    <w:rsid w:val="007B0C50"/>
    <w:rsid w:val="007B48F9"/>
    <w:rsid w:val="007B598E"/>
    <w:rsid w:val="007B71BD"/>
    <w:rsid w:val="007C1A43"/>
    <w:rsid w:val="007C79B2"/>
    <w:rsid w:val="007D0951"/>
    <w:rsid w:val="007D1A93"/>
    <w:rsid w:val="007D4E94"/>
    <w:rsid w:val="007D59F5"/>
    <w:rsid w:val="007D5CE2"/>
    <w:rsid w:val="007D610D"/>
    <w:rsid w:val="007E0E7C"/>
    <w:rsid w:val="007E448F"/>
    <w:rsid w:val="007F420B"/>
    <w:rsid w:val="0080013E"/>
    <w:rsid w:val="00801759"/>
    <w:rsid w:val="0080257A"/>
    <w:rsid w:val="00803C70"/>
    <w:rsid w:val="00804B63"/>
    <w:rsid w:val="00811337"/>
    <w:rsid w:val="00812364"/>
    <w:rsid w:val="00812F51"/>
    <w:rsid w:val="00813288"/>
    <w:rsid w:val="00813BA9"/>
    <w:rsid w:val="00813C66"/>
    <w:rsid w:val="008168FC"/>
    <w:rsid w:val="00821553"/>
    <w:rsid w:val="00830996"/>
    <w:rsid w:val="008345F1"/>
    <w:rsid w:val="00841468"/>
    <w:rsid w:val="0084219F"/>
    <w:rsid w:val="008512AD"/>
    <w:rsid w:val="00864B61"/>
    <w:rsid w:val="00865B07"/>
    <w:rsid w:val="008667EA"/>
    <w:rsid w:val="008754D0"/>
    <w:rsid w:val="0087637F"/>
    <w:rsid w:val="008779C5"/>
    <w:rsid w:val="00880683"/>
    <w:rsid w:val="0088149C"/>
    <w:rsid w:val="008829FA"/>
    <w:rsid w:val="008832AA"/>
    <w:rsid w:val="00883E7A"/>
    <w:rsid w:val="008908D3"/>
    <w:rsid w:val="00892AD5"/>
    <w:rsid w:val="008941FC"/>
    <w:rsid w:val="008977C9"/>
    <w:rsid w:val="008A1512"/>
    <w:rsid w:val="008A6E29"/>
    <w:rsid w:val="008A77BB"/>
    <w:rsid w:val="008A7B2B"/>
    <w:rsid w:val="008B54A2"/>
    <w:rsid w:val="008C2AE1"/>
    <w:rsid w:val="008C5B1F"/>
    <w:rsid w:val="008C7CE8"/>
    <w:rsid w:val="008D32B9"/>
    <w:rsid w:val="008D433B"/>
    <w:rsid w:val="008D4A16"/>
    <w:rsid w:val="008E0F80"/>
    <w:rsid w:val="008E30D4"/>
    <w:rsid w:val="008E5401"/>
    <w:rsid w:val="008E566E"/>
    <w:rsid w:val="008F49AF"/>
    <w:rsid w:val="00900BB2"/>
    <w:rsid w:val="0090161A"/>
    <w:rsid w:val="00901EB6"/>
    <w:rsid w:val="009041F8"/>
    <w:rsid w:val="00904C62"/>
    <w:rsid w:val="009152D9"/>
    <w:rsid w:val="00922BA8"/>
    <w:rsid w:val="0092362A"/>
    <w:rsid w:val="00924DAC"/>
    <w:rsid w:val="00925983"/>
    <w:rsid w:val="00927058"/>
    <w:rsid w:val="009319BC"/>
    <w:rsid w:val="00934EF7"/>
    <w:rsid w:val="00942750"/>
    <w:rsid w:val="009450CE"/>
    <w:rsid w:val="009459BB"/>
    <w:rsid w:val="00947179"/>
    <w:rsid w:val="0095164B"/>
    <w:rsid w:val="00954090"/>
    <w:rsid w:val="009560AA"/>
    <w:rsid w:val="009573E7"/>
    <w:rsid w:val="00963E05"/>
    <w:rsid w:val="00964A45"/>
    <w:rsid w:val="00967843"/>
    <w:rsid w:val="009678B5"/>
    <w:rsid w:val="00967D54"/>
    <w:rsid w:val="00971028"/>
    <w:rsid w:val="00971C23"/>
    <w:rsid w:val="00975C7C"/>
    <w:rsid w:val="00993B84"/>
    <w:rsid w:val="00994C6A"/>
    <w:rsid w:val="00996483"/>
    <w:rsid w:val="00996F5A"/>
    <w:rsid w:val="009A6DEC"/>
    <w:rsid w:val="009A6DF5"/>
    <w:rsid w:val="009B041A"/>
    <w:rsid w:val="009C35AF"/>
    <w:rsid w:val="009C37C3"/>
    <w:rsid w:val="009C789C"/>
    <w:rsid w:val="009C7C86"/>
    <w:rsid w:val="009D2FF7"/>
    <w:rsid w:val="009D422E"/>
    <w:rsid w:val="009D73D4"/>
    <w:rsid w:val="009E561E"/>
    <w:rsid w:val="009E7884"/>
    <w:rsid w:val="009E788A"/>
    <w:rsid w:val="009F0E08"/>
    <w:rsid w:val="009F63D8"/>
    <w:rsid w:val="00A02B2D"/>
    <w:rsid w:val="00A04D14"/>
    <w:rsid w:val="00A079AE"/>
    <w:rsid w:val="00A07B79"/>
    <w:rsid w:val="00A125DC"/>
    <w:rsid w:val="00A1297B"/>
    <w:rsid w:val="00A1763D"/>
    <w:rsid w:val="00A17CEC"/>
    <w:rsid w:val="00A20211"/>
    <w:rsid w:val="00A230D4"/>
    <w:rsid w:val="00A27EF0"/>
    <w:rsid w:val="00A30E2C"/>
    <w:rsid w:val="00A351F5"/>
    <w:rsid w:val="00A36705"/>
    <w:rsid w:val="00A42361"/>
    <w:rsid w:val="00A4247C"/>
    <w:rsid w:val="00A46541"/>
    <w:rsid w:val="00A506B9"/>
    <w:rsid w:val="00A50B20"/>
    <w:rsid w:val="00A51390"/>
    <w:rsid w:val="00A55E21"/>
    <w:rsid w:val="00A563BA"/>
    <w:rsid w:val="00A60D13"/>
    <w:rsid w:val="00A60F88"/>
    <w:rsid w:val="00A62601"/>
    <w:rsid w:val="00A71080"/>
    <w:rsid w:val="00A7223D"/>
    <w:rsid w:val="00A72745"/>
    <w:rsid w:val="00A76EFC"/>
    <w:rsid w:val="00A833EF"/>
    <w:rsid w:val="00A87D50"/>
    <w:rsid w:val="00A91010"/>
    <w:rsid w:val="00A94D89"/>
    <w:rsid w:val="00A97F29"/>
    <w:rsid w:val="00AA2A42"/>
    <w:rsid w:val="00AA6727"/>
    <w:rsid w:val="00AA702E"/>
    <w:rsid w:val="00AA7D26"/>
    <w:rsid w:val="00AB0964"/>
    <w:rsid w:val="00AB0C00"/>
    <w:rsid w:val="00AB5011"/>
    <w:rsid w:val="00AC5077"/>
    <w:rsid w:val="00AC7368"/>
    <w:rsid w:val="00AD16B9"/>
    <w:rsid w:val="00AD445A"/>
    <w:rsid w:val="00AD7F0C"/>
    <w:rsid w:val="00AE377D"/>
    <w:rsid w:val="00AE4941"/>
    <w:rsid w:val="00AE650D"/>
    <w:rsid w:val="00AF0775"/>
    <w:rsid w:val="00AF0EBA"/>
    <w:rsid w:val="00AF2463"/>
    <w:rsid w:val="00AF7670"/>
    <w:rsid w:val="00B004EE"/>
    <w:rsid w:val="00B02C8A"/>
    <w:rsid w:val="00B042F8"/>
    <w:rsid w:val="00B04A54"/>
    <w:rsid w:val="00B14286"/>
    <w:rsid w:val="00B16F16"/>
    <w:rsid w:val="00B17FBD"/>
    <w:rsid w:val="00B315A6"/>
    <w:rsid w:val="00B31813"/>
    <w:rsid w:val="00B33265"/>
    <w:rsid w:val="00B33365"/>
    <w:rsid w:val="00B432CF"/>
    <w:rsid w:val="00B46196"/>
    <w:rsid w:val="00B501CD"/>
    <w:rsid w:val="00B51BBA"/>
    <w:rsid w:val="00B54910"/>
    <w:rsid w:val="00B55AA7"/>
    <w:rsid w:val="00B57B36"/>
    <w:rsid w:val="00B57E6F"/>
    <w:rsid w:val="00B63B88"/>
    <w:rsid w:val="00B668D9"/>
    <w:rsid w:val="00B72F2A"/>
    <w:rsid w:val="00B76BDE"/>
    <w:rsid w:val="00B76FAC"/>
    <w:rsid w:val="00B84255"/>
    <w:rsid w:val="00B8686D"/>
    <w:rsid w:val="00B9197D"/>
    <w:rsid w:val="00B93F69"/>
    <w:rsid w:val="00B943B2"/>
    <w:rsid w:val="00BA434D"/>
    <w:rsid w:val="00BA65BA"/>
    <w:rsid w:val="00BB1DDC"/>
    <w:rsid w:val="00BC30C9"/>
    <w:rsid w:val="00BD077D"/>
    <w:rsid w:val="00BD653D"/>
    <w:rsid w:val="00BD72F7"/>
    <w:rsid w:val="00BD75FE"/>
    <w:rsid w:val="00BE16D3"/>
    <w:rsid w:val="00BE3E58"/>
    <w:rsid w:val="00BE44E0"/>
    <w:rsid w:val="00BF13CE"/>
    <w:rsid w:val="00BF745C"/>
    <w:rsid w:val="00C01616"/>
    <w:rsid w:val="00C0162B"/>
    <w:rsid w:val="00C068ED"/>
    <w:rsid w:val="00C06BF3"/>
    <w:rsid w:val="00C123A4"/>
    <w:rsid w:val="00C12A2B"/>
    <w:rsid w:val="00C1792A"/>
    <w:rsid w:val="00C224E6"/>
    <w:rsid w:val="00C22E0C"/>
    <w:rsid w:val="00C32C7D"/>
    <w:rsid w:val="00C33C1D"/>
    <w:rsid w:val="00C345B1"/>
    <w:rsid w:val="00C36A71"/>
    <w:rsid w:val="00C40142"/>
    <w:rsid w:val="00C413C5"/>
    <w:rsid w:val="00C5004E"/>
    <w:rsid w:val="00C52C3C"/>
    <w:rsid w:val="00C57182"/>
    <w:rsid w:val="00C57863"/>
    <w:rsid w:val="00C61BF9"/>
    <w:rsid w:val="00C640AF"/>
    <w:rsid w:val="00C655FD"/>
    <w:rsid w:val="00C75407"/>
    <w:rsid w:val="00C81E7D"/>
    <w:rsid w:val="00C841C6"/>
    <w:rsid w:val="00C864A3"/>
    <w:rsid w:val="00C870A8"/>
    <w:rsid w:val="00C9335F"/>
    <w:rsid w:val="00C94434"/>
    <w:rsid w:val="00C9684B"/>
    <w:rsid w:val="00CA0D75"/>
    <w:rsid w:val="00CA1C95"/>
    <w:rsid w:val="00CA5A9C"/>
    <w:rsid w:val="00CB2014"/>
    <w:rsid w:val="00CB3469"/>
    <w:rsid w:val="00CB5A78"/>
    <w:rsid w:val="00CB76A6"/>
    <w:rsid w:val="00CC4C20"/>
    <w:rsid w:val="00CC635C"/>
    <w:rsid w:val="00CD19C7"/>
    <w:rsid w:val="00CD3517"/>
    <w:rsid w:val="00CD5FE2"/>
    <w:rsid w:val="00CD7E0F"/>
    <w:rsid w:val="00CE3C14"/>
    <w:rsid w:val="00CE7C68"/>
    <w:rsid w:val="00CF377A"/>
    <w:rsid w:val="00CF4E4A"/>
    <w:rsid w:val="00CF6E6C"/>
    <w:rsid w:val="00D02B4C"/>
    <w:rsid w:val="00D040C4"/>
    <w:rsid w:val="00D0418A"/>
    <w:rsid w:val="00D043ED"/>
    <w:rsid w:val="00D045E5"/>
    <w:rsid w:val="00D20743"/>
    <w:rsid w:val="00D20AD1"/>
    <w:rsid w:val="00D239D0"/>
    <w:rsid w:val="00D2582C"/>
    <w:rsid w:val="00D351C6"/>
    <w:rsid w:val="00D4028B"/>
    <w:rsid w:val="00D418C3"/>
    <w:rsid w:val="00D46B7E"/>
    <w:rsid w:val="00D47A0C"/>
    <w:rsid w:val="00D5443C"/>
    <w:rsid w:val="00D55168"/>
    <w:rsid w:val="00D55F44"/>
    <w:rsid w:val="00D57C84"/>
    <w:rsid w:val="00D6057D"/>
    <w:rsid w:val="00D71640"/>
    <w:rsid w:val="00D73FD9"/>
    <w:rsid w:val="00D76869"/>
    <w:rsid w:val="00D81EA0"/>
    <w:rsid w:val="00D836C5"/>
    <w:rsid w:val="00D84576"/>
    <w:rsid w:val="00D910D7"/>
    <w:rsid w:val="00D96226"/>
    <w:rsid w:val="00D9733D"/>
    <w:rsid w:val="00DA0A26"/>
    <w:rsid w:val="00DA1399"/>
    <w:rsid w:val="00DA1CF8"/>
    <w:rsid w:val="00DA24C6"/>
    <w:rsid w:val="00DA4D7B"/>
    <w:rsid w:val="00DB3177"/>
    <w:rsid w:val="00DC2840"/>
    <w:rsid w:val="00DC407B"/>
    <w:rsid w:val="00DC58DA"/>
    <w:rsid w:val="00DC73EE"/>
    <w:rsid w:val="00DC78B6"/>
    <w:rsid w:val="00DD0694"/>
    <w:rsid w:val="00DD271C"/>
    <w:rsid w:val="00DD4145"/>
    <w:rsid w:val="00DE264A"/>
    <w:rsid w:val="00DF21B5"/>
    <w:rsid w:val="00DF5072"/>
    <w:rsid w:val="00E02D18"/>
    <w:rsid w:val="00E041E7"/>
    <w:rsid w:val="00E1324A"/>
    <w:rsid w:val="00E1671A"/>
    <w:rsid w:val="00E16E67"/>
    <w:rsid w:val="00E20EFA"/>
    <w:rsid w:val="00E232E7"/>
    <w:rsid w:val="00E23CA1"/>
    <w:rsid w:val="00E25EB4"/>
    <w:rsid w:val="00E32178"/>
    <w:rsid w:val="00E36770"/>
    <w:rsid w:val="00E409A8"/>
    <w:rsid w:val="00E43C5E"/>
    <w:rsid w:val="00E44515"/>
    <w:rsid w:val="00E46D16"/>
    <w:rsid w:val="00E50C12"/>
    <w:rsid w:val="00E547F1"/>
    <w:rsid w:val="00E57F55"/>
    <w:rsid w:val="00E626F8"/>
    <w:rsid w:val="00E6324A"/>
    <w:rsid w:val="00E65B91"/>
    <w:rsid w:val="00E6789B"/>
    <w:rsid w:val="00E70189"/>
    <w:rsid w:val="00E7209D"/>
    <w:rsid w:val="00E72625"/>
    <w:rsid w:val="00E72EAD"/>
    <w:rsid w:val="00E76827"/>
    <w:rsid w:val="00E77223"/>
    <w:rsid w:val="00E82217"/>
    <w:rsid w:val="00E8528B"/>
    <w:rsid w:val="00E85B94"/>
    <w:rsid w:val="00E978D0"/>
    <w:rsid w:val="00EA3746"/>
    <w:rsid w:val="00EA4613"/>
    <w:rsid w:val="00EA7F91"/>
    <w:rsid w:val="00EB1523"/>
    <w:rsid w:val="00EB4793"/>
    <w:rsid w:val="00EB721F"/>
    <w:rsid w:val="00EB7BC0"/>
    <w:rsid w:val="00EC0E49"/>
    <w:rsid w:val="00EC101F"/>
    <w:rsid w:val="00EC1D9F"/>
    <w:rsid w:val="00EC3232"/>
    <w:rsid w:val="00EC3C53"/>
    <w:rsid w:val="00ED0FA7"/>
    <w:rsid w:val="00EE0131"/>
    <w:rsid w:val="00EE01E2"/>
    <w:rsid w:val="00EE0D4D"/>
    <w:rsid w:val="00EE17B0"/>
    <w:rsid w:val="00EE4473"/>
    <w:rsid w:val="00EE6713"/>
    <w:rsid w:val="00EF06D9"/>
    <w:rsid w:val="00F06F09"/>
    <w:rsid w:val="00F126D1"/>
    <w:rsid w:val="00F12FA1"/>
    <w:rsid w:val="00F203DA"/>
    <w:rsid w:val="00F244B2"/>
    <w:rsid w:val="00F3049E"/>
    <w:rsid w:val="00F30C64"/>
    <w:rsid w:val="00F32BA2"/>
    <w:rsid w:val="00F32CDB"/>
    <w:rsid w:val="00F40226"/>
    <w:rsid w:val="00F41EE4"/>
    <w:rsid w:val="00F50601"/>
    <w:rsid w:val="00F529B1"/>
    <w:rsid w:val="00F534EC"/>
    <w:rsid w:val="00F565FE"/>
    <w:rsid w:val="00F63A70"/>
    <w:rsid w:val="00F63D8C"/>
    <w:rsid w:val="00F66189"/>
    <w:rsid w:val="00F7270D"/>
    <w:rsid w:val="00F7534E"/>
    <w:rsid w:val="00F808FE"/>
    <w:rsid w:val="00F81DD7"/>
    <w:rsid w:val="00F865F5"/>
    <w:rsid w:val="00F9300E"/>
    <w:rsid w:val="00F93EDF"/>
    <w:rsid w:val="00FA143C"/>
    <w:rsid w:val="00FA1802"/>
    <w:rsid w:val="00FA21D0"/>
    <w:rsid w:val="00FA5F5F"/>
    <w:rsid w:val="00FB0C98"/>
    <w:rsid w:val="00FB3B68"/>
    <w:rsid w:val="00FB6B7C"/>
    <w:rsid w:val="00FB730C"/>
    <w:rsid w:val="00FC2695"/>
    <w:rsid w:val="00FC3E03"/>
    <w:rsid w:val="00FC3FC1"/>
    <w:rsid w:val="00FC7CA4"/>
    <w:rsid w:val="00FD228C"/>
    <w:rsid w:val="00FD433C"/>
    <w:rsid w:val="00FF5AD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2767"/>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405F0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6403</Words>
  <Characters>36503</Characters>
  <Application>Microsoft Office Word</Application>
  <DocSecurity>0</DocSecurity>
  <Lines>304</Lines>
  <Paragraphs>85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Aristide Giuliano</cp:lastModifiedBy>
  <cp:revision>20</cp:revision>
  <cp:lastPrinted>2015-05-12T18:31:00Z</cp:lastPrinted>
  <dcterms:created xsi:type="dcterms:W3CDTF">2025-07-15T09:48:00Z</dcterms:created>
  <dcterms:modified xsi:type="dcterms:W3CDTF">2025-07-15T10:01:00Z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id="jGzwYZKI"/&gt;&lt;style id="http://www.zotero.org/styles/computers-and-chemical-engineering" hasBibliography="1" bibliographyStyleHasBeenSet="1"/&gt;&lt;prefs&gt;&lt;pref name="fieldType" value="Field"/&gt;&lt;pref name</vt:lpwstr>
  </property>
  <property fmtid="{D5CDD505-2E9C-101B-9397-08002B2CF9AE}" pid="3" name="ZOTERO_PREF_2">
    <vt:lpwstr>="storeReferences" value="true"/&gt;&lt;/prefs&gt;&lt;/data&gt;</vt:lpwstr>
  </property>
</Properties>
</file>