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2DDEBCE6" w:rsidR="00E978D0" w:rsidRPr="00B57B36" w:rsidRDefault="00C16282" w:rsidP="00E978D0">
      <w:pPr>
        <w:pStyle w:val="CETTitle"/>
      </w:pPr>
      <w:r w:rsidRPr="00C16282">
        <w:t xml:space="preserve">Optimization </w:t>
      </w:r>
      <w:r>
        <w:t>i</w:t>
      </w:r>
      <w:r w:rsidRPr="00C16282">
        <w:t xml:space="preserve">n Carbon Capture </w:t>
      </w:r>
      <w:r>
        <w:t>p</w:t>
      </w:r>
      <w:r w:rsidRPr="00C16282">
        <w:t xml:space="preserve">rocesses: Evaluating Heat Pumps </w:t>
      </w:r>
      <w:r>
        <w:t>f</w:t>
      </w:r>
      <w:r w:rsidRPr="00C16282">
        <w:t xml:space="preserve">or </w:t>
      </w:r>
      <w:r>
        <w:t>e</w:t>
      </w:r>
      <w:r w:rsidRPr="00C16282">
        <w:t xml:space="preserve">nhanced </w:t>
      </w:r>
      <w:r>
        <w:t>e</w:t>
      </w:r>
      <w:r w:rsidRPr="00C16282">
        <w:t>fficiency</w:t>
      </w:r>
    </w:p>
    <w:p w14:paraId="0488FED2" w14:textId="161DEBA6" w:rsidR="00B57E6F" w:rsidRPr="00C12A9D" w:rsidRDefault="00E328E0" w:rsidP="00B57E6F">
      <w:pPr>
        <w:pStyle w:val="CETAuthors"/>
        <w:rPr>
          <w:lang w:val="it-IT"/>
        </w:rPr>
      </w:pPr>
      <w:r w:rsidRPr="00C12A9D">
        <w:rPr>
          <w:lang w:val="it-IT"/>
        </w:rPr>
        <w:t>Orsetti A.</w:t>
      </w:r>
      <w:r w:rsidR="00564899" w:rsidRPr="00C12A9D">
        <w:rPr>
          <w:lang w:val="it-IT"/>
        </w:rPr>
        <w:t>, Ferrari. F.</w:t>
      </w:r>
      <w:r w:rsidR="003B6483" w:rsidRPr="00C12A9D">
        <w:rPr>
          <w:lang w:val="it-IT"/>
        </w:rPr>
        <w:t>E.G.</w:t>
      </w:r>
    </w:p>
    <w:p w14:paraId="6B2D21B3" w14:textId="154EC0BA" w:rsidR="00B57E6F" w:rsidRPr="00B57B36" w:rsidRDefault="00564899" w:rsidP="00B57E6F">
      <w:pPr>
        <w:pStyle w:val="CETAddress"/>
      </w:pPr>
      <w:r>
        <w:t xml:space="preserve">NextChem Tech, </w:t>
      </w:r>
      <w:r w:rsidR="0065477B">
        <w:t>Rom</w:t>
      </w:r>
      <w:r w:rsidR="00B043E7">
        <w:t>e, Italy</w:t>
      </w:r>
      <w:r w:rsidR="00B57E6F" w:rsidRPr="00B57B36">
        <w:t xml:space="preserve"> </w:t>
      </w:r>
    </w:p>
    <w:p w14:paraId="73F1267A" w14:textId="2DE1429B" w:rsidR="00B57E6F" w:rsidRPr="00B57B36" w:rsidRDefault="0065477B" w:rsidP="00B57E6F">
      <w:pPr>
        <w:pStyle w:val="CETemail"/>
      </w:pPr>
      <w:r>
        <w:t>a.orsetti</w:t>
      </w:r>
      <w:r w:rsidR="000E50B4">
        <w:t>@nextchem.it</w:t>
      </w:r>
      <w:r w:rsidR="00B57E6F" w:rsidRPr="00B57B36">
        <w:t xml:space="preserve"> </w:t>
      </w:r>
    </w:p>
    <w:p w14:paraId="1E3DF4B4" w14:textId="77777777" w:rsidR="0065477B" w:rsidRPr="0065477B" w:rsidRDefault="0065477B" w:rsidP="0065477B">
      <w:pPr>
        <w:pStyle w:val="CETBodytext"/>
        <w:rPr>
          <w:lang w:val="en-GB"/>
        </w:rPr>
      </w:pPr>
    </w:p>
    <w:p w14:paraId="49E160E7" w14:textId="77777777" w:rsidR="0065477B" w:rsidRPr="0065477B" w:rsidRDefault="0065477B" w:rsidP="0065477B">
      <w:pPr>
        <w:pStyle w:val="CETBodytext"/>
        <w:rPr>
          <w:lang w:val="en-GB"/>
        </w:rPr>
      </w:pPr>
      <w:r w:rsidRPr="0065477B">
        <w:rPr>
          <w:lang w:val="en-GB"/>
        </w:rPr>
        <w:t>The widespread adoption of Post-Combustion Carbon Capture (PCCC) technologies is critical for decarbonizing industrial production and reducing greenhouse gas emissions. However, these systems are often energy-intensive, particularly in the regeneration step, where thermal energy is required to release the captured CO</w:t>
      </w:r>
      <w:r w:rsidRPr="0065477B">
        <w:rPr>
          <w:rFonts w:ascii="Cambria Math" w:hAnsi="Cambria Math" w:cs="Cambria Math"/>
          <w:lang w:val="en-GB"/>
        </w:rPr>
        <w:t>₂</w:t>
      </w:r>
      <w:r w:rsidRPr="0065477B">
        <w:rPr>
          <w:lang w:val="en-GB"/>
        </w:rPr>
        <w:t xml:space="preserve"> from the solvent. The energy demand for steam generation remains one of the key challenges for widespread implementation, particularly in scenarios with limited access to low-carbon steam.</w:t>
      </w:r>
    </w:p>
    <w:p w14:paraId="664F4AA4" w14:textId="77777777" w:rsidR="0065477B" w:rsidRPr="0065477B" w:rsidRDefault="0065477B" w:rsidP="0065477B">
      <w:pPr>
        <w:pStyle w:val="CETBodytext"/>
        <w:rPr>
          <w:lang w:val="en-GB"/>
        </w:rPr>
      </w:pPr>
      <w:r w:rsidRPr="0065477B">
        <w:rPr>
          <w:lang w:val="en-GB"/>
        </w:rPr>
        <w:t>This study explores the role of heat pumps as a viable solution for improving the energy balance of carbon capture systems. By leveraging waste heat recovery from flue gas streams, heat pumps can supply the thermal energy needed for solvent regeneration while significantly reducing energy losses. Compared to traditional steam-based regeneration methods, this approach enables a more efficient and electrified carbon capture process, aligned with renewable energy sources.</w:t>
      </w:r>
    </w:p>
    <w:p w14:paraId="0AEF75C9" w14:textId="77777777" w:rsidR="0065477B" w:rsidRPr="0065477B" w:rsidRDefault="0065477B" w:rsidP="0065477B">
      <w:pPr>
        <w:pStyle w:val="CETBodytext"/>
        <w:rPr>
          <w:lang w:val="en-GB"/>
        </w:rPr>
      </w:pPr>
      <w:r w:rsidRPr="0065477B">
        <w:rPr>
          <w:lang w:val="en-GB"/>
        </w:rPr>
        <w:t>A techno-economic analysis is conducted to compare the performance of heat pump integration with conventional steam heating systems. The results indicate that heat pumps not only reduce operational emissions but also lower energy costs while maintaining system flexibility. Furthermore, their ability to recover and repurpose low-grade heat offers a scalable solution for industrial applications, particularly where carbon neutrality goals are prioritized.</w:t>
      </w:r>
    </w:p>
    <w:p w14:paraId="7B845328" w14:textId="0C1A6801" w:rsidR="003A7ED8" w:rsidRDefault="003C57C3" w:rsidP="0065477B">
      <w:pPr>
        <w:pStyle w:val="CETBodytext"/>
        <w:rPr>
          <w:lang w:val="en-GB"/>
        </w:rPr>
      </w:pPr>
      <w:proofErr w:type="spellStart"/>
      <w:r w:rsidRPr="0065477B">
        <w:rPr>
          <w:lang w:val="en-GB"/>
        </w:rPr>
        <w:t>Next</w:t>
      </w:r>
      <w:r>
        <w:rPr>
          <w:lang w:val="en-GB"/>
        </w:rPr>
        <w:t>C</w:t>
      </w:r>
      <w:r w:rsidRPr="0065477B">
        <w:rPr>
          <w:lang w:val="en-GB"/>
        </w:rPr>
        <w:t>hem's</w:t>
      </w:r>
      <w:proofErr w:type="spellEnd"/>
      <w:r w:rsidRPr="0065477B">
        <w:rPr>
          <w:lang w:val="en-GB"/>
        </w:rPr>
        <w:t xml:space="preserve"> </w:t>
      </w:r>
      <w:r w:rsidR="0065477B" w:rsidRPr="0065477B">
        <w:rPr>
          <w:lang w:val="en-GB"/>
        </w:rPr>
        <w:t>optimized design for heat pump integration demonstrates the potential for complete electrification of carbon capture systems, minimizing indirect emissions and reducing reliance on fossil fuels. This innovation represents a critical step toward sustainable and cost-effective carbon capture technologies, supporting industries in achieving ambitious decarbonization targets and addressing global climate challenges.</w:t>
      </w:r>
    </w:p>
    <w:p w14:paraId="5CBB85EF" w14:textId="6A201281" w:rsidR="003A7ED8" w:rsidRDefault="002F5572" w:rsidP="001D1B45">
      <w:pPr>
        <w:pStyle w:val="CETHeading1"/>
      </w:pPr>
      <w:r>
        <w:t>Introduction</w:t>
      </w:r>
    </w:p>
    <w:p w14:paraId="53232B67" w14:textId="4BF30254" w:rsidR="00745DAA" w:rsidRPr="00745DAA" w:rsidRDefault="00CA32CD" w:rsidP="00745DAA">
      <w:pPr>
        <w:pStyle w:val="CETBodytext"/>
        <w:rPr>
          <w:lang w:val="en-GB"/>
        </w:rPr>
      </w:pPr>
      <w:r w:rsidRPr="00CA32CD">
        <w:t xml:space="preserve">The Global Risks Report 2024 [1] identified climate change as the principal challenge the world will face over the next decade. In response, the European Union has committed to achieving carbon neutrality by 2050. This objective is not only outlined in the European Green </w:t>
      </w:r>
      <w:proofErr w:type="gramStart"/>
      <w:r w:rsidRPr="00CA32CD">
        <w:t>Deal [2]</w:t>
      </w:r>
      <w:r w:rsidR="00E526BD">
        <w:t>,</w:t>
      </w:r>
      <w:r w:rsidRPr="00CA32CD">
        <w:t xml:space="preserve"> but</w:t>
      </w:r>
      <w:proofErr w:type="gramEnd"/>
      <w:r w:rsidRPr="00CA32CD">
        <w:t xml:space="preserve"> has also been enshrined as a legally binding obligation under the European Climate Law [3].</w:t>
      </w:r>
      <w:r w:rsidR="00745DAA" w:rsidRPr="00745DAA">
        <w:rPr>
          <w:lang w:val="en-GB"/>
        </w:rPr>
        <w:t xml:space="preserve"> </w:t>
      </w:r>
      <w:r w:rsidR="00BD2042" w:rsidRPr="00BD2042">
        <w:t>Achieving this target requires the use of all available tools. The Intergovernmental Panel on Climate Change (IPCC) states that emission reductions alone will not be sufficient to reach net zero by 2050.</w:t>
      </w:r>
      <w:r w:rsidR="00745DAA" w:rsidRPr="00745DAA">
        <w:rPr>
          <w:lang w:val="en-GB"/>
        </w:rPr>
        <w:t xml:space="preserve"> The IPCC stated in a report that “All available studies require at least some kind of carbon dioxide removal to reach net zero; that is, there are no studies where absolute zero or even CO</w:t>
      </w:r>
      <w:r w:rsidR="00745DAA" w:rsidRPr="00BB060B">
        <w:rPr>
          <w:vertAlign w:val="subscript"/>
          <w:lang w:val="en-GB"/>
        </w:rPr>
        <w:t>2</w:t>
      </w:r>
      <w:r w:rsidR="00745DAA" w:rsidRPr="00745DAA">
        <w:rPr>
          <w:lang w:val="en-GB"/>
        </w:rPr>
        <w:t xml:space="preserve"> emissions are reached by deep emissions reductions alone”. [4]</w:t>
      </w:r>
    </w:p>
    <w:p w14:paraId="22EB335C" w14:textId="77777777" w:rsidR="00101E7D" w:rsidRDefault="00101E7D" w:rsidP="00101E7D">
      <w:r w:rsidRPr="00101E7D">
        <w:t xml:space="preserve">Carbon capture can achieve negative emissions when biogenic carbon sources are used in the process. It may also play a role in decarbonizing processes classified as “hard to abate,” which refers to sectors and industries </w:t>
      </w:r>
      <w:proofErr w:type="gramStart"/>
      <w:r w:rsidRPr="00101E7D">
        <w:t>where</w:t>
      </w:r>
      <w:proofErr w:type="gramEnd"/>
      <w:r w:rsidRPr="00101E7D">
        <w:t xml:space="preserve"> avoiding CO</w:t>
      </w:r>
      <w:r w:rsidRPr="00101E7D">
        <w:rPr>
          <w:rFonts w:ascii="Cambria Math" w:hAnsi="Cambria Math" w:cs="Cambria Math"/>
        </w:rPr>
        <w:t>₂</w:t>
      </w:r>
      <w:r w:rsidRPr="00101E7D">
        <w:t xml:space="preserve"> emissions is particularly difficult or impossible. Examples of hard-to-abate industries include cement, steel, and chemicals.</w:t>
      </w:r>
    </w:p>
    <w:p w14:paraId="7A1337B2" w14:textId="22188D23" w:rsidR="00745DAA" w:rsidRPr="00101E7D" w:rsidRDefault="00101E7D" w:rsidP="00101E7D">
      <w:r w:rsidRPr="00101E7D">
        <w:t>Industrial Carbon Capture and Storage (CCS) can remove 90–99% of CO</w:t>
      </w:r>
      <w:r w:rsidRPr="00101E7D">
        <w:rPr>
          <w:rFonts w:ascii="Cambria Math" w:hAnsi="Cambria Math" w:cs="Cambria Math"/>
        </w:rPr>
        <w:t>₂</w:t>
      </w:r>
      <w:r w:rsidRPr="00101E7D">
        <w:t xml:space="preserve"> emissions from industrial plants, addressing both energy-related and process emissions. Although the deployment of CCS technology in the industrial sector has been limited so far, it has the potential to achieve substantial reductions in greenhouse gas (GHG) emissions from industry.</w:t>
      </w:r>
    </w:p>
    <w:p w14:paraId="418F90E9" w14:textId="5B53BC00" w:rsidR="008E4378" w:rsidRDefault="008E4378" w:rsidP="008E4378">
      <w:r w:rsidRPr="008E4378">
        <w:lastRenderedPageBreak/>
        <w:t>Among the available Carbon Capture (CC) technologies, chemical absorption processes are recognized as proven and deployment-ready solutions for capturing CO</w:t>
      </w:r>
      <w:r w:rsidRPr="008E4378">
        <w:rPr>
          <w:rFonts w:ascii="Cambria Math" w:hAnsi="Cambria Math" w:cs="Cambria Math"/>
        </w:rPr>
        <w:t>₂</w:t>
      </w:r>
      <w:r w:rsidRPr="008E4378">
        <w:t xml:space="preserve"> from diluted gas streams [6] </w:t>
      </w:r>
      <w:r w:rsidR="008A31A8">
        <w:t xml:space="preserve">and </w:t>
      </w:r>
      <w:r w:rsidRPr="008E4378">
        <w:t>Amine-based CC is noted for its maturity and versatility. In Post-Combustion CO</w:t>
      </w:r>
      <w:r w:rsidRPr="008E4378">
        <w:rPr>
          <w:rFonts w:ascii="Cambria Math" w:hAnsi="Cambria Math" w:cs="Cambria Math"/>
        </w:rPr>
        <w:t>₂</w:t>
      </w:r>
      <w:r w:rsidRPr="008E4378">
        <w:t xml:space="preserve"> Capture, Carbon Dioxide is extracted from the flue gas of conventional plants after complete fuel combustion. At this stage, CO</w:t>
      </w:r>
      <w:r w:rsidRPr="008E4378">
        <w:rPr>
          <w:rFonts w:ascii="Cambria Math" w:hAnsi="Cambria Math" w:cs="Cambria Math"/>
        </w:rPr>
        <w:t>₂</w:t>
      </w:r>
      <w:r w:rsidRPr="008E4378">
        <w:t xml:space="preserve"> is separated from a mixture primarily composed of nitrogen (N</w:t>
      </w:r>
      <w:r w:rsidRPr="008E4378">
        <w:rPr>
          <w:rFonts w:ascii="Cambria Math" w:hAnsi="Cambria Math" w:cs="Cambria Math"/>
        </w:rPr>
        <w:t>₂</w:t>
      </w:r>
      <w:r w:rsidRPr="008E4378">
        <w:t>), water vapor (H</w:t>
      </w:r>
      <w:r w:rsidRPr="008E4378">
        <w:rPr>
          <w:rFonts w:ascii="Cambria Math" w:hAnsi="Cambria Math" w:cs="Cambria Math"/>
        </w:rPr>
        <w:t>₂</w:t>
      </w:r>
      <w:r w:rsidRPr="008E4378">
        <w:t>O), oxygen (O</w:t>
      </w:r>
      <w:r w:rsidRPr="008E4378">
        <w:rPr>
          <w:rFonts w:ascii="Cambria Math" w:hAnsi="Cambria Math" w:cs="Cambria Math"/>
        </w:rPr>
        <w:t>₂</w:t>
      </w:r>
      <w:r w:rsidRPr="008E4378">
        <w:t xml:space="preserve">), and trace components like NOx and </w:t>
      </w:r>
      <w:proofErr w:type="spellStart"/>
      <w:r w:rsidRPr="008E4378">
        <w:t>SOx</w:t>
      </w:r>
      <w:proofErr w:type="spellEnd"/>
      <w:r w:rsidRPr="008E4378">
        <w:t>. Reactive amine absorption technologies have a history of use in purifying natural gas and industrial gas streams, particularly for removing acid gases such as CO</w:t>
      </w:r>
      <w:r w:rsidRPr="008E4378">
        <w:rPr>
          <w:rFonts w:ascii="Cambria Math" w:hAnsi="Cambria Math" w:cs="Cambria Math"/>
        </w:rPr>
        <w:t>₂</w:t>
      </w:r>
      <w:r w:rsidRPr="008E4378">
        <w:t xml:space="preserve"> and H</w:t>
      </w:r>
      <w:r w:rsidRPr="008E4378">
        <w:rPr>
          <w:rFonts w:ascii="Cambria Math" w:hAnsi="Cambria Math" w:cs="Cambria Math"/>
        </w:rPr>
        <w:t>₂</w:t>
      </w:r>
      <w:r w:rsidRPr="008E4378">
        <w:t>S. This operational experience has facilitated the application of these processes to flue gas treatment.</w:t>
      </w:r>
    </w:p>
    <w:p w14:paraId="017195C9" w14:textId="7E105757" w:rsidR="008E4378" w:rsidRDefault="008E4378" w:rsidP="008E4378">
      <w:r w:rsidRPr="008E4378">
        <w:t>Performance indicators for carbon capture design include regeneration energy. Typically, CO</w:t>
      </w:r>
      <w:r w:rsidRPr="008E4378">
        <w:rPr>
          <w:rFonts w:ascii="Cambria Math" w:hAnsi="Cambria Math" w:cs="Cambria Math"/>
        </w:rPr>
        <w:t>₂</w:t>
      </w:r>
      <w:r w:rsidRPr="008E4378">
        <w:t xml:space="preserve"> capture units use heat (usually from steam) and electricity</w:t>
      </w:r>
      <w:r w:rsidR="00F348DF">
        <w:t>, where t</w:t>
      </w:r>
      <w:r w:rsidR="00F348DF" w:rsidRPr="008E4378">
        <w:t>he largest contributor to the regeneration energy is the duty at the reboiler</w:t>
      </w:r>
      <w:r w:rsidRPr="008E4378">
        <w:t>. The Key Performance Indicator (KPI) commonly used is the energy required per unit of CO</w:t>
      </w:r>
      <w:r w:rsidRPr="008E4378">
        <w:rPr>
          <w:rFonts w:ascii="Cambria Math" w:hAnsi="Cambria Math" w:cs="Cambria Math"/>
        </w:rPr>
        <w:t>₂</w:t>
      </w:r>
      <w:r w:rsidRPr="008E4378">
        <w:t xml:space="preserve"> captured. Efforts are being made to reduce this specific KPI, making Carbon Capture more economically viable.</w:t>
      </w:r>
    </w:p>
    <w:p w14:paraId="06EB1AAB" w14:textId="7A434316" w:rsidR="00745DAA" w:rsidRPr="008E4378" w:rsidRDefault="008E4378" w:rsidP="008E4378">
      <w:r w:rsidRPr="008E4378">
        <w:t>The goal of this document is to highlight how recovering heat in the flue gas using a heat pump can significantly reduce the energy required per unit of CO</w:t>
      </w:r>
      <w:r w:rsidRPr="008E4378">
        <w:rPr>
          <w:rFonts w:ascii="Cambria Math" w:hAnsi="Cambria Math" w:cs="Cambria Math"/>
        </w:rPr>
        <w:t>₂</w:t>
      </w:r>
      <w:r w:rsidRPr="008E4378">
        <w:t xml:space="preserve"> captured and increase the thermal efficiency of the overall process.</w:t>
      </w:r>
    </w:p>
    <w:p w14:paraId="26E53B23" w14:textId="5C5B7791" w:rsidR="00BF3480" w:rsidRDefault="00472F59" w:rsidP="00BF3480">
      <w:pPr>
        <w:pStyle w:val="CETHeading1"/>
      </w:pPr>
      <w:r>
        <w:t>Process</w:t>
      </w:r>
      <w:r w:rsidR="00BF3480">
        <w:t xml:space="preserve"> Description</w:t>
      </w:r>
    </w:p>
    <w:p w14:paraId="66B05F3A" w14:textId="4C74BE82" w:rsidR="00BF3480" w:rsidRDefault="00097AF2" w:rsidP="00C82423">
      <w:pPr>
        <w:pStyle w:val="CETheadingx"/>
      </w:pPr>
      <w:r>
        <w:t>Post-Combustion Amine Carbon capture</w:t>
      </w:r>
    </w:p>
    <w:p w14:paraId="61C6663B" w14:textId="77777777" w:rsidR="00472F59" w:rsidRPr="00472F59" w:rsidRDefault="00472F59" w:rsidP="00472F59">
      <w:pPr>
        <w:pStyle w:val="CETBodytext"/>
        <w:rPr>
          <w:lang w:val="en-GB"/>
        </w:rPr>
      </w:pPr>
      <w:r w:rsidRPr="00472F59">
        <w:rPr>
          <w:lang w:val="en-GB"/>
        </w:rPr>
        <w:t>The Amine Carbon Capture Unit examined in this paper comprises three primary sections: Flue Gas Pretreatment, CO</w:t>
      </w:r>
      <w:r w:rsidRPr="00472F59">
        <w:rPr>
          <w:rFonts w:ascii="Cambria Math" w:hAnsi="Cambria Math" w:cs="Cambria Math"/>
          <w:lang w:val="en-GB"/>
        </w:rPr>
        <w:t>₂</w:t>
      </w:r>
      <w:r w:rsidRPr="00472F59">
        <w:rPr>
          <w:lang w:val="en-GB"/>
        </w:rPr>
        <w:t xml:space="preserve"> Absorption, and Solvent Regeneration. Additionally, the amine absorption unit may include various auxiliary units that ensure efficient and sustained operation, such as Filter Units, Heat Recovery Systems, and Reclaiming Systems.</w:t>
      </w:r>
    </w:p>
    <w:p w14:paraId="134CC5A5" w14:textId="4F69F122" w:rsidR="00472F59" w:rsidRDefault="00472F59" w:rsidP="00472F59">
      <w:pPr>
        <w:pStyle w:val="CETBodytext"/>
        <w:rPr>
          <w:lang w:val="en-GB"/>
        </w:rPr>
      </w:pPr>
      <w:r w:rsidRPr="00472F59">
        <w:rPr>
          <w:lang w:val="en-GB"/>
        </w:rPr>
        <w:t>In the Flue Gas Pretreatment section, a Direct Contact Cooler (DCC) is utilized to reduce the flue gas temperature by directly mixing it with a cooling liquid, commonly quenching water. This process involves the interaction of flue gas with the quenching water, which absorbs heat from the gas, thereby lowering its temperature. The cooled water is generally recirculated through an external loop, where it is further cooled, often using cooling water.</w:t>
      </w:r>
    </w:p>
    <w:p w14:paraId="7CD4E5AA" w14:textId="77777777" w:rsidR="00BE060D" w:rsidRDefault="00BE060D" w:rsidP="00472F59">
      <w:pPr>
        <w:pStyle w:val="CETBodytext"/>
        <w:rPr>
          <w:lang w:val="en-GB"/>
        </w:rPr>
      </w:pPr>
    </w:p>
    <w:p w14:paraId="10ACCF13" w14:textId="77777777" w:rsidR="00BE060D" w:rsidRDefault="00BE060D" w:rsidP="00BE060D">
      <w:pPr>
        <w:pStyle w:val="ConfBodyText"/>
        <w:jc w:val="center"/>
        <w:rPr>
          <w:lang w:val="en-US"/>
        </w:rPr>
      </w:pPr>
      <w:r>
        <w:rPr>
          <w:noProof/>
        </w:rPr>
        <w:drawing>
          <wp:inline distT="0" distB="0" distL="0" distR="0" wp14:anchorId="5BC00145" wp14:editId="6FFDABE0">
            <wp:extent cx="3740150" cy="3109991"/>
            <wp:effectExtent l="0" t="0" r="0" b="0"/>
            <wp:docPr id="1997595970" name="Picture 1" descr="Chemengineering 08 00114 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mengineering 08 00114 g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40150" cy="3109991"/>
                    </a:xfrm>
                    <a:prstGeom prst="rect">
                      <a:avLst/>
                    </a:prstGeom>
                    <a:noFill/>
                    <a:ln>
                      <a:noFill/>
                    </a:ln>
                  </pic:spPr>
                </pic:pic>
              </a:graphicData>
            </a:graphic>
          </wp:inline>
        </w:drawing>
      </w:r>
    </w:p>
    <w:p w14:paraId="5090BD6E" w14:textId="77777777" w:rsidR="00BE060D" w:rsidRDefault="00BE060D" w:rsidP="00BE060D">
      <w:pPr>
        <w:pStyle w:val="CETCaption"/>
        <w:rPr>
          <w:noProof/>
        </w:rPr>
      </w:pPr>
      <w:r>
        <w:t xml:space="preserve">Figure </w:t>
      </w:r>
      <w:r>
        <w:fldChar w:fldCharType="begin"/>
      </w:r>
      <w:r>
        <w:instrText xml:space="preserve"> SEQ Figure \* ARABIC </w:instrText>
      </w:r>
      <w:r>
        <w:fldChar w:fldCharType="separate"/>
      </w:r>
      <w:r>
        <w:rPr>
          <w:noProof/>
        </w:rPr>
        <w:t>1</w:t>
      </w:r>
      <w:r>
        <w:fldChar w:fldCharType="end"/>
      </w:r>
      <w:r>
        <w:rPr>
          <w:noProof/>
        </w:rPr>
        <w:t xml:space="preserve"> - Schematic representation of amine carbon capture unit [7]</w:t>
      </w:r>
    </w:p>
    <w:p w14:paraId="6C50ECC0" w14:textId="737E45FB" w:rsidR="00472F59" w:rsidRDefault="00472F59" w:rsidP="00472F59">
      <w:pPr>
        <w:pStyle w:val="CETBodytext"/>
        <w:rPr>
          <w:lang w:val="en-GB"/>
        </w:rPr>
      </w:pPr>
      <w:r w:rsidRPr="00472F59">
        <w:rPr>
          <w:lang w:val="en-GB"/>
        </w:rPr>
        <w:t>Following initial cooling, the flue gas enters the absorption column from the bottom with the aid of a blower to mitigate the pressure losses along the flue gas path. As the gas ascends the column, CO</w:t>
      </w:r>
      <w:r w:rsidRPr="00472F59">
        <w:rPr>
          <w:rFonts w:ascii="Cambria Math" w:hAnsi="Cambria Math" w:cs="Cambria Math"/>
          <w:lang w:val="en-GB"/>
        </w:rPr>
        <w:t>₂</w:t>
      </w:r>
      <w:r w:rsidRPr="00472F59">
        <w:rPr>
          <w:lang w:val="en-GB"/>
        </w:rPr>
        <w:t xml:space="preserve"> is absorbed by an aqueous amine solvent in a counter-current flow arrangement. The column is equipped with random or structured packing materials to enhance the contact between the gas and liquid phases. At the top of the absorber, a washing section is incorporated to minimize solvent carryover by contacting the gas with cold water. </w:t>
      </w:r>
      <w:r w:rsidRPr="00472F59">
        <w:rPr>
          <w:lang w:val="en-GB"/>
        </w:rPr>
        <w:lastRenderedPageBreak/>
        <w:t>The treated flue gas is then expelled from the top, while the CO</w:t>
      </w:r>
      <w:r w:rsidRPr="00472F59">
        <w:rPr>
          <w:rFonts w:ascii="Cambria Math" w:hAnsi="Cambria Math" w:cs="Cambria Math"/>
          <w:lang w:val="en-GB"/>
        </w:rPr>
        <w:t>₂</w:t>
      </w:r>
      <w:r w:rsidRPr="00472F59">
        <w:rPr>
          <w:lang w:val="en-GB"/>
        </w:rPr>
        <w:t>-rich solution is collected at the bottom and pumped to the regenerator. In the regenerator, the solution passes through a heat exchanger to pre-heat it before entering the main regeneration stage.</w:t>
      </w:r>
    </w:p>
    <w:p w14:paraId="48F84C28" w14:textId="23709D57" w:rsidR="00C71571" w:rsidRDefault="00C71571" w:rsidP="00472F59">
      <w:pPr>
        <w:pStyle w:val="CETBodytext"/>
        <w:rPr>
          <w:lang w:val="en-GB"/>
        </w:rPr>
      </w:pPr>
      <w:r w:rsidRPr="00C71571">
        <w:rPr>
          <w:lang w:val="en-GB"/>
        </w:rPr>
        <w:t xml:space="preserve">In the regenerator </w:t>
      </w:r>
      <w:r w:rsidR="00836352">
        <w:rPr>
          <w:lang w:val="en-GB"/>
        </w:rPr>
        <w:t xml:space="preserve">the </w:t>
      </w:r>
      <w:r w:rsidRPr="00C71571">
        <w:rPr>
          <w:lang w:val="en-GB"/>
        </w:rPr>
        <w:t>CO</w:t>
      </w:r>
      <w:r w:rsidRPr="00C71571">
        <w:rPr>
          <w:rFonts w:ascii="Cambria Math" w:hAnsi="Cambria Math" w:cs="Cambria Math"/>
          <w:lang w:val="en-GB"/>
        </w:rPr>
        <w:t>₂</w:t>
      </w:r>
      <w:r w:rsidRPr="00C71571">
        <w:rPr>
          <w:lang w:val="en-GB"/>
        </w:rPr>
        <w:t>-rich solution flows downward, where CO</w:t>
      </w:r>
      <w:r w:rsidRPr="00C71571">
        <w:rPr>
          <w:rFonts w:ascii="Cambria Math" w:hAnsi="Cambria Math" w:cs="Cambria Math"/>
          <w:lang w:val="en-GB"/>
        </w:rPr>
        <w:t>₂</w:t>
      </w:r>
      <w:r w:rsidRPr="00C71571">
        <w:rPr>
          <w:lang w:val="en-GB"/>
        </w:rPr>
        <w:t xml:space="preserve"> is removed and separated at the column's top. The reboiler produces stripping vapor</w:t>
      </w:r>
      <w:r w:rsidR="00D25614">
        <w:rPr>
          <w:lang w:val="en-GB"/>
        </w:rPr>
        <w:t xml:space="preserve"> supplying heat for amine regeneration</w:t>
      </w:r>
      <w:r w:rsidRPr="00C71571">
        <w:rPr>
          <w:lang w:val="en-GB"/>
        </w:rPr>
        <w:t xml:space="preserve">, </w:t>
      </w:r>
      <w:r w:rsidR="00541D37">
        <w:rPr>
          <w:lang w:val="en-GB"/>
        </w:rPr>
        <w:t>while</w:t>
      </w:r>
      <w:r w:rsidRPr="00C71571">
        <w:rPr>
          <w:lang w:val="en-GB"/>
        </w:rPr>
        <w:t xml:space="preserve"> </w:t>
      </w:r>
      <w:r w:rsidR="00541D37">
        <w:rPr>
          <w:lang w:val="en-GB"/>
        </w:rPr>
        <w:t>l</w:t>
      </w:r>
      <w:r w:rsidR="00541D37" w:rsidRPr="00C71571">
        <w:rPr>
          <w:lang w:val="en-GB"/>
        </w:rPr>
        <w:t>ow</w:t>
      </w:r>
      <w:r w:rsidRPr="00C71571">
        <w:rPr>
          <w:lang w:val="en-GB"/>
        </w:rPr>
        <w:t xml:space="preserve">-pressure steam transfers its latent heat to the solution. </w:t>
      </w:r>
      <w:r w:rsidR="00213D2B">
        <w:rPr>
          <w:lang w:val="en-GB"/>
        </w:rPr>
        <w:t>At the top of the column t</w:t>
      </w:r>
      <w:r w:rsidRPr="00C71571">
        <w:rPr>
          <w:lang w:val="en-GB"/>
        </w:rPr>
        <w:t>he CO</w:t>
      </w:r>
      <w:r w:rsidRPr="00C71571">
        <w:rPr>
          <w:rFonts w:ascii="Cambria Math" w:hAnsi="Cambria Math" w:cs="Cambria Math"/>
          <w:lang w:val="en-GB"/>
        </w:rPr>
        <w:t>₂</w:t>
      </w:r>
      <w:r w:rsidRPr="00C71571">
        <w:rPr>
          <w:lang w:val="en-GB"/>
        </w:rPr>
        <w:t xml:space="preserve"> gas is </w:t>
      </w:r>
      <w:r w:rsidR="00213D2B">
        <w:rPr>
          <w:lang w:val="en-GB"/>
        </w:rPr>
        <w:t xml:space="preserve">cooled and </w:t>
      </w:r>
      <w:r w:rsidRPr="00C71571">
        <w:rPr>
          <w:lang w:val="en-GB"/>
        </w:rPr>
        <w:t>separated, return</w:t>
      </w:r>
      <w:r w:rsidR="00213D2B">
        <w:rPr>
          <w:lang w:val="en-GB"/>
        </w:rPr>
        <w:t>ing</w:t>
      </w:r>
      <w:r w:rsidR="00A37414">
        <w:rPr>
          <w:lang w:val="en-GB"/>
        </w:rPr>
        <w:t xml:space="preserve"> the water</w:t>
      </w:r>
      <w:r w:rsidRPr="00C71571">
        <w:rPr>
          <w:lang w:val="en-GB"/>
        </w:rPr>
        <w:t xml:space="preserve"> to the regenerator. The separated CO</w:t>
      </w:r>
      <w:r w:rsidRPr="00C71571">
        <w:rPr>
          <w:rFonts w:ascii="Cambria Math" w:hAnsi="Cambria Math" w:cs="Cambria Math"/>
          <w:lang w:val="en-GB"/>
        </w:rPr>
        <w:t>₂</w:t>
      </w:r>
      <w:r w:rsidRPr="00C71571">
        <w:rPr>
          <w:lang w:val="en-GB"/>
        </w:rPr>
        <w:t xml:space="preserve"> gas can</w:t>
      </w:r>
      <w:r w:rsidR="00A37414">
        <w:rPr>
          <w:lang w:val="en-GB"/>
        </w:rPr>
        <w:t xml:space="preserve"> then</w:t>
      </w:r>
      <w:r w:rsidRPr="00C71571">
        <w:rPr>
          <w:lang w:val="en-GB"/>
        </w:rPr>
        <w:t xml:space="preserve"> be dehydrated and compressed as </w:t>
      </w:r>
      <w:r w:rsidR="00935B40" w:rsidRPr="00C71571">
        <w:rPr>
          <w:lang w:val="en-GB"/>
        </w:rPr>
        <w:t>needed.</w:t>
      </w:r>
    </w:p>
    <w:p w14:paraId="46A21E59" w14:textId="5894B1B5" w:rsidR="0048292F" w:rsidRDefault="00C70A01" w:rsidP="00C82423">
      <w:pPr>
        <w:pStyle w:val="CETheadingx"/>
      </w:pPr>
      <w:r>
        <w:t>Heat Pump</w:t>
      </w:r>
    </w:p>
    <w:p w14:paraId="778F27C8" w14:textId="6FEE95D8" w:rsidR="00A30C3F" w:rsidRDefault="00A30C3F" w:rsidP="00A30C3F">
      <w:pPr>
        <w:pStyle w:val="CETBodytext"/>
      </w:pPr>
      <w:r>
        <w:t>Unlike traditional heating systems that generate heat by burning fuel, a heat pump transfers heat using a working fluid which undergoes phase changes between liquid and gas. The primary components of a heat pump include the evaporator, compressor, condenser, and expansion valve.</w:t>
      </w:r>
    </w:p>
    <w:p w14:paraId="7F9D0530" w14:textId="78F5F57B" w:rsidR="00A30C3F" w:rsidRDefault="00A30C3F" w:rsidP="00354CFB">
      <w:pPr>
        <w:pStyle w:val="CETBodytext"/>
      </w:pPr>
      <w:r>
        <w:t xml:space="preserve">In the evaporator, the </w:t>
      </w:r>
      <w:r w:rsidR="00745ABE">
        <w:t>working fluid</w:t>
      </w:r>
      <w:r>
        <w:t xml:space="preserve"> absorbs heat from a low-temperature source</w:t>
      </w:r>
      <w:r w:rsidR="000A085D">
        <w:t xml:space="preserve"> and</w:t>
      </w:r>
      <w:r w:rsidR="00B63AFC">
        <w:t xml:space="preserve"> e</w:t>
      </w:r>
      <w:r>
        <w:t>vaporates into a gas as it absorbs thermal energy. The refrigerant gas is</w:t>
      </w:r>
      <w:r w:rsidR="00354CFB">
        <w:t xml:space="preserve"> then</w:t>
      </w:r>
      <w:r>
        <w:t xml:space="preserve"> compressed by the compressor, raising its temperature and pressure. This process requires electrical energy.</w:t>
      </w:r>
    </w:p>
    <w:p w14:paraId="45DD118D" w14:textId="50C8AF08" w:rsidR="00A30C3F" w:rsidRDefault="00A30C3F" w:rsidP="00A30C3F">
      <w:pPr>
        <w:pStyle w:val="CETBodytext"/>
      </w:pPr>
      <w:r>
        <w:t>The hot, high-pressure refrigerant gas flows into the condenser, where it releases the absorbed heat to a target space. During this step, the refrigerant condenses back into a liquid.</w:t>
      </w:r>
    </w:p>
    <w:p w14:paraId="406CC3A0" w14:textId="1063DA38" w:rsidR="00A30C3F" w:rsidRDefault="00A30C3F" w:rsidP="00A30C3F">
      <w:pPr>
        <w:pStyle w:val="CETBodytext"/>
      </w:pPr>
      <w:r>
        <w:t>The liquid refrigerant passes through an expansion valve</w:t>
      </w:r>
      <w:r w:rsidR="00B06805">
        <w:t xml:space="preserve"> that</w:t>
      </w:r>
      <w:r>
        <w:t xml:space="preserve"> </w:t>
      </w:r>
      <w:r w:rsidR="00B06805">
        <w:t xml:space="preserve">reduces </w:t>
      </w:r>
      <w:r>
        <w:t>its pressure and temperature, preparing it to absorb heat again in the evaporator.</w:t>
      </w:r>
      <w:r w:rsidR="0092166F">
        <w:t xml:space="preserve"> </w:t>
      </w:r>
      <w:r>
        <w:t>This cycle repeats continuously to move heat from a colder area (heat source) to a warmer area (heat sink).</w:t>
      </w:r>
    </w:p>
    <w:p w14:paraId="2A225A57" w14:textId="69E4873B" w:rsidR="00CF6437" w:rsidRDefault="00A30C3F" w:rsidP="00A30C3F">
      <w:pPr>
        <w:pStyle w:val="CETBodytext"/>
      </w:pPr>
      <w:r>
        <w:t>The efficiency of a heat pump is measured by its Coefficient of Performance (COP), which represents the ratio of heat transferred to the energy consumed. Heat pumps are highly efficient because they transfer heat rather than generate it, making them a sustainable solution for heating and cooling.</w:t>
      </w:r>
    </w:p>
    <w:p w14:paraId="7E85AECE" w14:textId="4C0E3BB7" w:rsidR="00152093" w:rsidRDefault="00152093" w:rsidP="00C82423">
      <w:pPr>
        <w:pStyle w:val="CETheadingx"/>
      </w:pPr>
      <w:r>
        <w:t xml:space="preserve">Post-Combustion Amine Carbon capture with </w:t>
      </w:r>
      <w:r w:rsidR="000E1AA9">
        <w:t>H</w:t>
      </w:r>
      <w:r>
        <w:t xml:space="preserve">eat </w:t>
      </w:r>
      <w:r w:rsidR="000E1AA9">
        <w:t>P</w:t>
      </w:r>
      <w:r>
        <w:t>ump</w:t>
      </w:r>
      <w:r w:rsidR="000E1AA9">
        <w:t xml:space="preserve"> integration</w:t>
      </w:r>
    </w:p>
    <w:p w14:paraId="46C17D79" w14:textId="6B68A3D1" w:rsidR="002D4ED6" w:rsidRDefault="002D4ED6" w:rsidP="002D4ED6">
      <w:pPr>
        <w:pStyle w:val="CETBodytext"/>
      </w:pPr>
      <w:r>
        <w:t>Amine-based Carbon Capture</w:t>
      </w:r>
      <w:r w:rsidR="00B06805">
        <w:t xml:space="preserve"> technology</w:t>
      </w:r>
      <w:r>
        <w:t xml:space="preserve"> faces major challenges </w:t>
      </w:r>
      <w:r w:rsidR="003737EE">
        <w:t xml:space="preserve">in its application </w:t>
      </w:r>
      <w:r>
        <w:t xml:space="preserve">due to the high steam consumption needed for solvent regeneration, which can make up </w:t>
      </w:r>
      <w:r w:rsidR="00BF399F">
        <w:t xml:space="preserve">to </w:t>
      </w:r>
      <w:r>
        <w:t xml:space="preserve">40% of a </w:t>
      </w:r>
      <w:r w:rsidR="00721C20">
        <w:t>CO</w:t>
      </w:r>
      <w:r w:rsidR="00721C20" w:rsidRPr="003737EE">
        <w:rPr>
          <w:vertAlign w:val="subscript"/>
        </w:rPr>
        <w:t>2</w:t>
      </w:r>
      <w:r w:rsidR="00721C20">
        <w:t xml:space="preserve"> capture plant’s operating cost [8]</w:t>
      </w:r>
      <w:r>
        <w:t>. Many facilities, especially in hard-to-abate industries, lack readily available steam, leading to extra energy demands and costs if steam must be generated specifically for carbon capture</w:t>
      </w:r>
      <w:r w:rsidR="001107D0">
        <w:t xml:space="preserve"> regeneration</w:t>
      </w:r>
      <w:r>
        <w:t>. Using steam from an upstream process can decrease overall plant efficiency and energy production</w:t>
      </w:r>
      <w:r w:rsidR="001107D0">
        <w:t>, while</w:t>
      </w:r>
      <w:r w:rsidR="001C54A7">
        <w:t xml:space="preserve"> </w:t>
      </w:r>
      <w:r w:rsidR="001107D0">
        <w:t xml:space="preserve">generating </w:t>
      </w:r>
      <w:r>
        <w:t xml:space="preserve">steam </w:t>
      </w:r>
      <w:r w:rsidR="001107D0">
        <w:t xml:space="preserve">on purpose </w:t>
      </w:r>
      <w:r>
        <w:t>also raises CO</w:t>
      </w:r>
      <w:r>
        <w:rPr>
          <w:rFonts w:ascii="Cambria Math" w:hAnsi="Cambria Math" w:cs="Cambria Math"/>
        </w:rPr>
        <w:t>₂</w:t>
      </w:r>
      <w:r>
        <w:t xml:space="preserve"> emissions</w:t>
      </w:r>
      <w:r w:rsidR="001107D0">
        <w:t>,</w:t>
      </w:r>
      <w:r>
        <w:t xml:space="preserve"> since industrial plants often burn fuel gas or hydrocarbons for steam production, thus reducing actual CO</w:t>
      </w:r>
      <w:r>
        <w:rPr>
          <w:rFonts w:ascii="Cambria Math" w:hAnsi="Cambria Math" w:cs="Cambria Math"/>
        </w:rPr>
        <w:t>₂</w:t>
      </w:r>
      <w:r>
        <w:t xml:space="preserve"> removal efficiency.</w:t>
      </w:r>
      <w:r w:rsidR="00C33E5F">
        <w:rPr>
          <w:vertAlign w:val="subscript"/>
        </w:rPr>
        <w:t xml:space="preserve"> </w:t>
      </w:r>
      <w:r w:rsidR="00C33E5F" w:rsidRPr="008769F1">
        <w:t>To achieve the target net CO</w:t>
      </w:r>
      <w:r w:rsidR="00C33E5F" w:rsidRPr="008769F1">
        <w:rPr>
          <w:rFonts w:ascii="Cambria Math" w:hAnsi="Cambria Math" w:cs="Cambria Math"/>
        </w:rPr>
        <w:t>₂</w:t>
      </w:r>
      <w:r w:rsidR="00C33E5F" w:rsidRPr="008769F1">
        <w:t xml:space="preserve"> capture (the</w:t>
      </w:r>
      <w:r w:rsidR="00572821">
        <w:t xml:space="preserve"> difference between the</w:t>
      </w:r>
      <w:r w:rsidR="00C33E5F" w:rsidRPr="008769F1">
        <w:t xml:space="preserve"> CO</w:t>
      </w:r>
      <w:r w:rsidR="00C33E5F" w:rsidRPr="008769F1">
        <w:rPr>
          <w:rFonts w:ascii="Cambria Math" w:hAnsi="Cambria Math" w:cs="Cambria Math"/>
        </w:rPr>
        <w:t>₂</w:t>
      </w:r>
      <w:r w:rsidR="00C33E5F" w:rsidRPr="008769F1">
        <w:t xml:space="preserve"> captured </w:t>
      </w:r>
      <w:r w:rsidR="00572821">
        <w:t>and</w:t>
      </w:r>
      <w:r w:rsidR="00C33E5F" w:rsidRPr="008769F1">
        <w:t xml:space="preserve"> the </w:t>
      </w:r>
      <w:r w:rsidR="00240C0D" w:rsidRPr="007F7FE9">
        <w:t>CO</w:t>
      </w:r>
      <w:r w:rsidR="00240C0D" w:rsidRPr="007F7FE9">
        <w:rPr>
          <w:rFonts w:ascii="Cambria Math" w:hAnsi="Cambria Math" w:cs="Cambria Math"/>
        </w:rPr>
        <w:t>₂</w:t>
      </w:r>
      <w:r w:rsidR="00240C0D" w:rsidRPr="007F7FE9">
        <w:t xml:space="preserve"> </w:t>
      </w:r>
      <w:r w:rsidR="00C33E5F" w:rsidRPr="008769F1">
        <w:t xml:space="preserve">emitted </w:t>
      </w:r>
      <w:r w:rsidR="00240C0D">
        <w:t>to generate steam</w:t>
      </w:r>
      <w:r w:rsidR="00C33E5F" w:rsidRPr="008769F1">
        <w:t xml:space="preserve">), the carbon capture system must be </w:t>
      </w:r>
      <w:r w:rsidR="006A2883">
        <w:t>over</w:t>
      </w:r>
      <w:r w:rsidR="00C33E5F" w:rsidRPr="008769F1">
        <w:t>designed to handle also the extra CO</w:t>
      </w:r>
      <w:r w:rsidR="00C33E5F" w:rsidRPr="008769F1">
        <w:rPr>
          <w:rFonts w:ascii="Cambria Math" w:hAnsi="Cambria Math" w:cs="Cambria Math"/>
        </w:rPr>
        <w:t>₂</w:t>
      </w:r>
      <w:r w:rsidR="00C33E5F" w:rsidRPr="008769F1">
        <w:t xml:space="preserve"> generated for steam production.</w:t>
      </w:r>
      <w:r w:rsidR="006A2883">
        <w:t xml:space="preserve"> </w:t>
      </w:r>
      <w:r w:rsidR="00C33E5F" w:rsidRPr="008769F1">
        <w:t>Neglecting this consideration would result in a net capture lower than expected.</w:t>
      </w:r>
    </w:p>
    <w:p w14:paraId="41F610D8" w14:textId="1D1A8C79" w:rsidR="0017164A" w:rsidRDefault="006F78BB" w:rsidP="002D4ED6">
      <w:pPr>
        <w:pStyle w:val="CETBodytext"/>
        <w:rPr>
          <w:lang w:val="en-GB"/>
        </w:rPr>
      </w:pPr>
      <w:r w:rsidRPr="006F78BB">
        <w:rPr>
          <w:lang w:val="en-GB"/>
        </w:rPr>
        <w:t xml:space="preserve">One proposed solution is to electrify the boiler and use green power to generate steam, which would eliminate the emissions associated with steam production. However, </w:t>
      </w:r>
      <w:r w:rsidR="008E08DC">
        <w:rPr>
          <w:lang w:val="en-GB"/>
        </w:rPr>
        <w:t xml:space="preserve">with </w:t>
      </w:r>
      <w:r w:rsidRPr="006F78BB">
        <w:rPr>
          <w:lang w:val="en-GB"/>
        </w:rPr>
        <w:t>this approach the overall capital expenditure (</w:t>
      </w:r>
      <w:proofErr w:type="spellStart"/>
      <w:r w:rsidR="004B5C2D">
        <w:rPr>
          <w:lang w:val="en-GB"/>
        </w:rPr>
        <w:t>CapEx</w:t>
      </w:r>
      <w:proofErr w:type="spellEnd"/>
      <w:r w:rsidRPr="006F78BB">
        <w:rPr>
          <w:lang w:val="en-GB"/>
        </w:rPr>
        <w:t>) and operational expenditure (</w:t>
      </w:r>
      <w:proofErr w:type="spellStart"/>
      <w:r w:rsidR="004B5C2D">
        <w:rPr>
          <w:lang w:val="en-GB"/>
        </w:rPr>
        <w:t>OpEx</w:t>
      </w:r>
      <w:proofErr w:type="spellEnd"/>
      <w:r w:rsidRPr="006F78BB">
        <w:rPr>
          <w:lang w:val="en-GB"/>
        </w:rPr>
        <w:t xml:space="preserve">) would increase significantly, as electric boilers are inefficient beyond a certain design capacity, and the cost of green energy would be higher than that of conventional steam production. </w:t>
      </w:r>
    </w:p>
    <w:p w14:paraId="46EAB64B" w14:textId="4B5C8A31" w:rsidR="008B324B" w:rsidRPr="008B324B" w:rsidRDefault="0017164A" w:rsidP="002D4ED6">
      <w:pPr>
        <w:pStyle w:val="CETBodytext"/>
        <w:rPr>
          <w:lang w:val="en-GB"/>
        </w:rPr>
      </w:pPr>
      <w:r>
        <w:rPr>
          <w:lang w:val="en-GB"/>
        </w:rPr>
        <w:t>The</w:t>
      </w:r>
      <w:r w:rsidRPr="006F78BB">
        <w:rPr>
          <w:lang w:val="en-GB"/>
        </w:rPr>
        <w:t xml:space="preserve"> </w:t>
      </w:r>
      <w:r w:rsidR="006F78BB" w:rsidRPr="006F78BB">
        <w:rPr>
          <w:lang w:val="en-GB"/>
        </w:rPr>
        <w:t xml:space="preserve">alternative solution involves recovering the waste heat from the Direct Contact Cooler (DCC), despite it being available at lower temperatures. To make this feasible, a heat pump </w:t>
      </w:r>
      <w:r w:rsidR="00BB0E23">
        <w:rPr>
          <w:lang w:val="en-GB"/>
        </w:rPr>
        <w:t>supplied by renewable power</w:t>
      </w:r>
      <w:r w:rsidR="00F04116">
        <w:rPr>
          <w:lang w:val="en-GB"/>
        </w:rPr>
        <w:t xml:space="preserve"> (</w:t>
      </w:r>
      <w:proofErr w:type="gramStart"/>
      <w:r w:rsidR="00F04116">
        <w:rPr>
          <w:lang w:val="en-GB"/>
        </w:rPr>
        <w:t>in order to</w:t>
      </w:r>
      <w:proofErr w:type="gramEnd"/>
      <w:r w:rsidR="00F04116">
        <w:rPr>
          <w:lang w:val="en-GB"/>
        </w:rPr>
        <w:t xml:space="preserve"> have net zero emission linked to power production)</w:t>
      </w:r>
      <w:r w:rsidR="00BB0E23">
        <w:rPr>
          <w:lang w:val="en-GB"/>
        </w:rPr>
        <w:t xml:space="preserve">, </w:t>
      </w:r>
      <w:r w:rsidR="006F78BB" w:rsidRPr="006F78BB">
        <w:rPr>
          <w:lang w:val="en-GB"/>
        </w:rPr>
        <w:t>can be used to transfer this heat to the solvent regeneration section. In</w:t>
      </w:r>
      <w:r w:rsidR="006F78BB">
        <w:rPr>
          <w:lang w:val="en-GB"/>
        </w:rPr>
        <w:t xml:space="preserve"> most</w:t>
      </w:r>
      <w:r w:rsidR="006F78BB" w:rsidRPr="006F78BB">
        <w:rPr>
          <w:lang w:val="en-GB"/>
        </w:rPr>
        <w:t xml:space="preserve"> cases, the heat duty required to cool the flue gas exceeds the duty needed at the reboiler, making it possible to avoid steam production altogether.</w:t>
      </w:r>
    </w:p>
    <w:p w14:paraId="76E6CCFC" w14:textId="009B07EB" w:rsidR="00910AF9" w:rsidRPr="00910AF9" w:rsidRDefault="00877A3E" w:rsidP="00877A3E">
      <w:proofErr w:type="spellStart"/>
      <w:r w:rsidRPr="00877A3E">
        <w:t>NextChem's</w:t>
      </w:r>
      <w:proofErr w:type="spellEnd"/>
      <w:r w:rsidRPr="00877A3E">
        <w:t xml:space="preserve"> proposed Heat Pump Unit would recover heat from the Flue Gas Quencher's circulating water and supply it to the reboiler for solvent regeneration.</w:t>
      </w:r>
    </w:p>
    <w:p w14:paraId="0F52E00D" w14:textId="77777777" w:rsidR="00910AF9" w:rsidRDefault="00910AF9" w:rsidP="00910AF9">
      <w:pPr>
        <w:pStyle w:val="CETBodytext"/>
        <w:rPr>
          <w:lang w:val="en-GB"/>
        </w:rPr>
      </w:pPr>
      <w:r w:rsidRPr="00910AF9">
        <w:rPr>
          <w:lang w:val="en-GB"/>
        </w:rPr>
        <w:t>In figures 2 and 3 are reported typical BFD for CO</w:t>
      </w:r>
      <w:r w:rsidRPr="007479A5">
        <w:rPr>
          <w:vertAlign w:val="subscript"/>
          <w:lang w:val="en-GB"/>
        </w:rPr>
        <w:t>2</w:t>
      </w:r>
      <w:r w:rsidRPr="00910AF9">
        <w:rPr>
          <w:lang w:val="en-GB"/>
        </w:rPr>
        <w:t xml:space="preserve"> capture with or without the Heat Pump.</w:t>
      </w:r>
    </w:p>
    <w:p w14:paraId="7AFA7B44" w14:textId="77777777" w:rsidR="00057D95" w:rsidRPr="00910AF9" w:rsidRDefault="00057D95" w:rsidP="00910AF9">
      <w:pPr>
        <w:pStyle w:val="CETBodytext"/>
        <w:rPr>
          <w:lang w:val="en-GB"/>
        </w:rPr>
      </w:pPr>
    </w:p>
    <w:p w14:paraId="14BE5DA6" w14:textId="77777777" w:rsidR="00E8633A" w:rsidRDefault="00910AF9" w:rsidP="00E8633A">
      <w:pPr>
        <w:pStyle w:val="BodyText"/>
        <w:jc w:val="center"/>
      </w:pPr>
      <w:r>
        <w:rPr>
          <w:noProof/>
        </w:rPr>
        <w:drawing>
          <wp:inline distT="0" distB="0" distL="0" distR="0" wp14:anchorId="78A410BE" wp14:editId="73B7209B">
            <wp:extent cx="4831080" cy="1072650"/>
            <wp:effectExtent l="0" t="0" r="7620" b="0"/>
            <wp:docPr id="1471568632" name="Picture 1" descr="A diagram of a co2 absorption sol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568632" name="Picture 1" descr="A diagram of a co2 absorption solution&#10;&#10;Description automatically generated"/>
                    <pic:cNvPicPr/>
                  </pic:nvPicPr>
                  <pic:blipFill>
                    <a:blip r:embed="rId14"/>
                    <a:stretch>
                      <a:fillRect/>
                    </a:stretch>
                  </pic:blipFill>
                  <pic:spPr>
                    <a:xfrm>
                      <a:off x="0" y="0"/>
                      <a:ext cx="4831080" cy="1072650"/>
                    </a:xfrm>
                    <a:prstGeom prst="rect">
                      <a:avLst/>
                    </a:prstGeom>
                  </pic:spPr>
                </pic:pic>
              </a:graphicData>
            </a:graphic>
          </wp:inline>
        </w:drawing>
      </w:r>
    </w:p>
    <w:p w14:paraId="033C6869" w14:textId="20952522" w:rsidR="00877A3E" w:rsidRDefault="00877A3E" w:rsidP="00E8633A">
      <w:pPr>
        <w:pStyle w:val="CETCaption"/>
      </w:pPr>
      <w:r>
        <w:t xml:space="preserve">Figure </w:t>
      </w:r>
      <w:r>
        <w:fldChar w:fldCharType="begin"/>
      </w:r>
      <w:r>
        <w:instrText xml:space="preserve"> SEQ Figure \* ARABIC </w:instrText>
      </w:r>
      <w:r>
        <w:fldChar w:fldCharType="separate"/>
      </w:r>
      <w:r>
        <w:t>2</w:t>
      </w:r>
      <w:r>
        <w:fldChar w:fldCharType="end"/>
      </w:r>
      <w:r>
        <w:t xml:space="preserve"> - </w:t>
      </w:r>
      <w:r w:rsidRPr="00877A3E">
        <w:t>Typical CO</w:t>
      </w:r>
      <w:r w:rsidRPr="00D57617">
        <w:rPr>
          <w:vertAlign w:val="subscript"/>
        </w:rPr>
        <w:t>2</w:t>
      </w:r>
      <w:r w:rsidRPr="00877A3E">
        <w:t xml:space="preserve"> Capture BFD</w:t>
      </w:r>
    </w:p>
    <w:p w14:paraId="70D8A7F1" w14:textId="77777777" w:rsidR="00910AF9" w:rsidRDefault="00910AF9" w:rsidP="00910AF9">
      <w:pPr>
        <w:pStyle w:val="BodyText"/>
        <w:jc w:val="center"/>
        <w:rPr>
          <w:b/>
        </w:rPr>
      </w:pPr>
      <w:r>
        <w:rPr>
          <w:noProof/>
        </w:rPr>
        <w:lastRenderedPageBreak/>
        <w:drawing>
          <wp:inline distT="0" distB="0" distL="0" distR="0" wp14:anchorId="69D406C8" wp14:editId="1A9D61F5">
            <wp:extent cx="4754880" cy="1775734"/>
            <wp:effectExtent l="0" t="0" r="7620" b="0"/>
            <wp:docPr id="1201883432"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883432" name="Picture 1" descr="A diagram of a process&#10;&#10;Description automatically generated"/>
                    <pic:cNvPicPr/>
                  </pic:nvPicPr>
                  <pic:blipFill>
                    <a:blip r:embed="rId15"/>
                    <a:stretch>
                      <a:fillRect/>
                    </a:stretch>
                  </pic:blipFill>
                  <pic:spPr>
                    <a:xfrm>
                      <a:off x="0" y="0"/>
                      <a:ext cx="4793429" cy="1790130"/>
                    </a:xfrm>
                    <a:prstGeom prst="rect">
                      <a:avLst/>
                    </a:prstGeom>
                  </pic:spPr>
                </pic:pic>
              </a:graphicData>
            </a:graphic>
          </wp:inline>
        </w:drawing>
      </w:r>
    </w:p>
    <w:p w14:paraId="690F2FF7" w14:textId="2DA0315E" w:rsidR="00910AF9" w:rsidRDefault="00877A3E" w:rsidP="00877A3E">
      <w:pPr>
        <w:pStyle w:val="CETCaption"/>
      </w:pPr>
      <w:r>
        <w:t xml:space="preserve">Figure </w:t>
      </w:r>
      <w:r>
        <w:fldChar w:fldCharType="begin"/>
      </w:r>
      <w:r>
        <w:instrText xml:space="preserve"> SEQ Figure \* ARABIC </w:instrText>
      </w:r>
      <w:r>
        <w:fldChar w:fldCharType="separate"/>
      </w:r>
      <w:r>
        <w:rPr>
          <w:noProof/>
        </w:rPr>
        <w:t>3</w:t>
      </w:r>
      <w:r>
        <w:fldChar w:fldCharType="end"/>
      </w:r>
      <w:r>
        <w:rPr>
          <w:noProof/>
        </w:rPr>
        <w:t xml:space="preserve"> - </w:t>
      </w:r>
      <w:r w:rsidRPr="00877A3E">
        <w:rPr>
          <w:noProof/>
        </w:rPr>
        <w:t>CO</w:t>
      </w:r>
      <w:r w:rsidRPr="00D57617">
        <w:rPr>
          <w:noProof/>
          <w:vertAlign w:val="subscript"/>
        </w:rPr>
        <w:t>2</w:t>
      </w:r>
      <w:r w:rsidRPr="00877A3E">
        <w:rPr>
          <w:noProof/>
        </w:rPr>
        <w:t xml:space="preserve"> Capture with Heat Pump BFD</w:t>
      </w:r>
    </w:p>
    <w:p w14:paraId="06AFFAB0" w14:textId="768A85C6" w:rsidR="00910AF9" w:rsidRPr="0016679B" w:rsidRDefault="00D45009" w:rsidP="0016679B">
      <w:pPr>
        <w:pStyle w:val="CETBodytext"/>
        <w:rPr>
          <w:lang w:val="en-GB"/>
        </w:rPr>
      </w:pPr>
      <w:r w:rsidRPr="0016679B">
        <w:rPr>
          <w:lang w:val="en-GB"/>
        </w:rPr>
        <w:t xml:space="preserve">The Heat Pump Unit uses a refrigeration cycle with a service fluid to transfer heat from a </w:t>
      </w:r>
      <w:r w:rsidR="00476885">
        <w:rPr>
          <w:lang w:val="en-GB"/>
        </w:rPr>
        <w:t>heat</w:t>
      </w:r>
      <w:r w:rsidRPr="0016679B">
        <w:rPr>
          <w:lang w:val="en-GB"/>
        </w:rPr>
        <w:t xml:space="preserve"> source</w:t>
      </w:r>
      <w:r w:rsidR="001318B0">
        <w:rPr>
          <w:lang w:val="en-GB"/>
        </w:rPr>
        <w:t xml:space="preserve"> at low temperature</w:t>
      </w:r>
      <w:r w:rsidRPr="0016679B">
        <w:rPr>
          <w:lang w:val="en-GB"/>
        </w:rPr>
        <w:t xml:space="preserve"> to a </w:t>
      </w:r>
      <w:r w:rsidR="00476885">
        <w:rPr>
          <w:lang w:val="en-GB"/>
        </w:rPr>
        <w:t>heat sink</w:t>
      </w:r>
      <w:r w:rsidR="001318B0">
        <w:rPr>
          <w:lang w:val="en-GB"/>
        </w:rPr>
        <w:t xml:space="preserve"> at higher temperature</w:t>
      </w:r>
      <w:r w:rsidRPr="0016679B">
        <w:rPr>
          <w:lang w:val="en-GB"/>
        </w:rPr>
        <w:t>. Common hydrocarbon refrigerants like propane or butane can be used</w:t>
      </w:r>
      <w:r w:rsidR="009B3C4E" w:rsidRPr="0016679B">
        <w:rPr>
          <w:lang w:val="en-GB"/>
        </w:rPr>
        <w:t xml:space="preserve"> as service fluid</w:t>
      </w:r>
      <w:r w:rsidRPr="0016679B">
        <w:rPr>
          <w:lang w:val="en-GB"/>
        </w:rPr>
        <w:t xml:space="preserve">, depending on temperature levels or project needs. In Carbon Capture systems, the </w:t>
      </w:r>
      <w:r w:rsidR="00407F4B" w:rsidRPr="0016679B">
        <w:rPr>
          <w:lang w:val="en-GB"/>
        </w:rPr>
        <w:t>heat</w:t>
      </w:r>
      <w:r w:rsidRPr="0016679B">
        <w:rPr>
          <w:lang w:val="en-GB"/>
        </w:rPr>
        <w:t xml:space="preserve"> s</w:t>
      </w:r>
      <w:r w:rsidR="00407F4B" w:rsidRPr="0016679B">
        <w:rPr>
          <w:lang w:val="en-GB"/>
        </w:rPr>
        <w:t>ink</w:t>
      </w:r>
      <w:r w:rsidRPr="0016679B">
        <w:rPr>
          <w:lang w:val="en-GB"/>
        </w:rPr>
        <w:t xml:space="preserve"> can be the </w:t>
      </w:r>
      <w:r w:rsidR="00407F4B" w:rsidRPr="0016679B">
        <w:rPr>
          <w:lang w:val="en-GB"/>
        </w:rPr>
        <w:t>Reboiler</w:t>
      </w:r>
      <w:r w:rsidRPr="0016679B">
        <w:rPr>
          <w:lang w:val="en-GB"/>
        </w:rPr>
        <w:t xml:space="preserve"> at the Regenerator's bottom, and the </w:t>
      </w:r>
      <w:r w:rsidR="00407F4B" w:rsidRPr="0016679B">
        <w:rPr>
          <w:lang w:val="en-GB"/>
        </w:rPr>
        <w:t>heat</w:t>
      </w:r>
      <w:r w:rsidRPr="0016679B">
        <w:rPr>
          <w:lang w:val="en-GB"/>
        </w:rPr>
        <w:t xml:space="preserve"> source is the </w:t>
      </w:r>
      <w:r w:rsidR="00BC47D2" w:rsidRPr="0016679B">
        <w:rPr>
          <w:lang w:val="en-GB"/>
        </w:rPr>
        <w:t>heat exchanger</w:t>
      </w:r>
      <w:r w:rsidRPr="0016679B">
        <w:rPr>
          <w:lang w:val="en-GB"/>
        </w:rPr>
        <w:t xml:space="preserve"> in the Flue Gas DCC.</w:t>
      </w:r>
    </w:p>
    <w:p w14:paraId="2830F141" w14:textId="513427D2" w:rsidR="00910AF9" w:rsidRPr="0016679B" w:rsidRDefault="00910AF9" w:rsidP="0016679B">
      <w:pPr>
        <w:pStyle w:val="CETBodytext"/>
        <w:rPr>
          <w:lang w:val="en-GB"/>
        </w:rPr>
      </w:pPr>
      <w:r w:rsidRPr="0016679B">
        <w:rPr>
          <w:lang w:val="en-GB"/>
        </w:rPr>
        <w:t>The cold service fluid is heated and vaporized in the evaporator by exchanging heat with the circulating water in the DCC. After that, the service fluid is compressed in the Compressor. The final pressure level enables the service fluid to condense through exchange with the lean solvent at the bottom of the Regenerator. The liquid service fluid is ultimately laminated and brought to the initial conditions.</w:t>
      </w:r>
    </w:p>
    <w:p w14:paraId="56A83249" w14:textId="3958419C" w:rsidR="00BE0917" w:rsidRDefault="008D78BC" w:rsidP="00BE0917">
      <w:pPr>
        <w:pStyle w:val="CETHeading1"/>
        <w:tabs>
          <w:tab w:val="num" w:pos="360"/>
        </w:tabs>
      </w:pPr>
      <w:r>
        <w:t xml:space="preserve">Carbon capture </w:t>
      </w:r>
      <w:r w:rsidR="005C248C">
        <w:t>overdesign</w:t>
      </w:r>
    </w:p>
    <w:p w14:paraId="427E523F" w14:textId="248A47F7" w:rsidR="00E15D8C" w:rsidRDefault="00EE4FBC" w:rsidP="00E15D8C">
      <w:r>
        <w:t xml:space="preserve">As qualified in the previous paragraph, </w:t>
      </w:r>
      <w:r w:rsidR="00A958FF" w:rsidRPr="00A958FF">
        <w:t>Amine-based Carbon Capture systems are known to face significant challenges, primarily due to the high steam consumption required for solvent regeneration. An often-overlooked factor is the additional CO</w:t>
      </w:r>
      <w:r w:rsidR="00A958FF" w:rsidRPr="00A958FF">
        <w:rPr>
          <w:rFonts w:ascii="Cambria Math" w:hAnsi="Cambria Math" w:cs="Cambria Math"/>
        </w:rPr>
        <w:t>₂</w:t>
      </w:r>
      <w:r w:rsidR="00A958FF" w:rsidRPr="00A958FF">
        <w:t xml:space="preserve"> emissions generated from the production of steam itself, particularly in facilities that burn fuel gas or hydrocarbons. The need to capture CO</w:t>
      </w:r>
      <w:r w:rsidR="00A958FF" w:rsidRPr="00A958FF">
        <w:rPr>
          <w:rFonts w:ascii="Cambria Math" w:hAnsi="Cambria Math" w:cs="Cambria Math"/>
        </w:rPr>
        <w:t>₂</w:t>
      </w:r>
      <w:r w:rsidR="00A958FF" w:rsidRPr="00A958FF">
        <w:t xml:space="preserve"> emissions from steam production can lead to the overdesign of the carbon capture system, necessary to account for the additional CO</w:t>
      </w:r>
      <w:r w:rsidR="00A958FF" w:rsidRPr="00A958FF">
        <w:rPr>
          <w:rFonts w:ascii="Cambria Math" w:hAnsi="Cambria Math" w:cs="Cambria Math"/>
        </w:rPr>
        <w:t>₂</w:t>
      </w:r>
      <w:r w:rsidR="00A958FF" w:rsidRPr="00A958FF">
        <w:t xml:space="preserve"> generated by the boiler</w:t>
      </w:r>
      <w:r w:rsidR="000100BB">
        <w:t xml:space="preserve">. </w:t>
      </w:r>
      <w:r w:rsidR="00A958FF" w:rsidRPr="00A958FF">
        <w:t xml:space="preserve">In many industrial plants, </w:t>
      </w:r>
      <w:r w:rsidR="00807500">
        <w:t>natural gas</w:t>
      </w:r>
      <w:r w:rsidR="00A958FF" w:rsidRPr="00A958FF">
        <w:t xml:space="preserve"> is used as the fuel gas, producing CO</w:t>
      </w:r>
      <w:r w:rsidR="00A958FF" w:rsidRPr="00A958FF">
        <w:rPr>
          <w:rFonts w:ascii="Cambria Math" w:hAnsi="Cambria Math" w:cs="Cambria Math"/>
        </w:rPr>
        <w:t>₂</w:t>
      </w:r>
      <w:r w:rsidR="00A958FF" w:rsidRPr="00A958FF">
        <w:t xml:space="preserve"> during combustio</w:t>
      </w:r>
      <w:r w:rsidR="00F45312">
        <w:t>n and</w:t>
      </w:r>
      <w:r w:rsidR="007C1F66">
        <w:t xml:space="preserve"> </w:t>
      </w:r>
      <w:r w:rsidR="00A958FF" w:rsidRPr="00A958FF">
        <w:t xml:space="preserve">the system must be scaled up to handle </w:t>
      </w:r>
      <w:r w:rsidR="00820037" w:rsidRPr="00A958FF">
        <w:t xml:space="preserve">effectively </w:t>
      </w:r>
      <w:r w:rsidR="00A958FF" w:rsidRPr="00A958FF">
        <w:t xml:space="preserve">these </w:t>
      </w:r>
      <w:r w:rsidR="00820037">
        <w:t xml:space="preserve">additional </w:t>
      </w:r>
      <w:r w:rsidR="00A958FF" w:rsidRPr="00A958FF">
        <w:t>emissions.</w:t>
      </w:r>
    </w:p>
    <w:p w14:paraId="6F6C056B" w14:textId="77777777" w:rsidR="00F147EF" w:rsidRDefault="00F147EF" w:rsidP="00E15D8C"/>
    <w:p w14:paraId="3EFD396B" w14:textId="668B98C4" w:rsidR="008C758B" w:rsidRPr="008C758B" w:rsidRDefault="008C758B" w:rsidP="008C758B">
      <w:pPr>
        <w:pStyle w:val="CETBodytext"/>
        <w:jc w:val="center"/>
      </w:pPr>
      <w:r>
        <w:rPr>
          <w:noProof/>
        </w:rPr>
        <w:drawing>
          <wp:inline distT="0" distB="0" distL="0" distR="0" wp14:anchorId="1470788A" wp14:editId="24231097">
            <wp:extent cx="5199512" cy="1947545"/>
            <wp:effectExtent l="0" t="0" r="1270" b="14605"/>
            <wp:docPr id="399628183" name="Chart 1">
              <a:extLst xmlns:a="http://schemas.openxmlformats.org/drawingml/2006/main">
                <a:ext uri="{FF2B5EF4-FFF2-40B4-BE49-F238E27FC236}">
                  <a16:creationId xmlns:a16="http://schemas.microsoft.com/office/drawing/2014/main" id="{C304F135-A47C-4499-A86F-DCA2CBE219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236FC4" w14:textId="04CEF877" w:rsidR="00763316" w:rsidRDefault="00763316" w:rsidP="00763316">
      <w:pPr>
        <w:pStyle w:val="CETCaption"/>
      </w:pPr>
      <w:r>
        <w:t xml:space="preserve">Figure </w:t>
      </w:r>
      <w:r>
        <w:fldChar w:fldCharType="begin"/>
      </w:r>
      <w:r>
        <w:instrText xml:space="preserve"> SEQ Figure \* ARABIC </w:instrText>
      </w:r>
      <w:r>
        <w:fldChar w:fldCharType="separate"/>
      </w:r>
      <w:r>
        <w:rPr>
          <w:noProof/>
        </w:rPr>
        <w:t>4</w:t>
      </w:r>
      <w:r>
        <w:fldChar w:fldCharType="end"/>
      </w:r>
      <w:r>
        <w:rPr>
          <w:noProof/>
        </w:rPr>
        <w:t xml:space="preserve"> – Overdesign of the Carbon Capture U</w:t>
      </w:r>
      <w:r w:rsidR="00B70A9B">
        <w:rPr>
          <w:noProof/>
        </w:rPr>
        <w:t>nit with methane steam boiler</w:t>
      </w:r>
    </w:p>
    <w:p w14:paraId="5A066A1B" w14:textId="2DA970F5" w:rsidR="006601B1" w:rsidRDefault="006601B1" w:rsidP="006601B1">
      <w:r w:rsidRPr="00A958FF">
        <w:t>The energy required for solvent regeneration plays a critical role in determining the extent of overdesign. In a typical carbon capture plant, the solvent regeneration process requires a significant amount of heat, usually provided by steam. If the CO</w:t>
      </w:r>
      <w:r w:rsidRPr="00A958FF">
        <w:rPr>
          <w:rFonts w:ascii="Cambria Math" w:hAnsi="Cambria Math" w:cs="Cambria Math"/>
        </w:rPr>
        <w:t>₂</w:t>
      </w:r>
      <w:r w:rsidRPr="00A958FF">
        <w:t xml:space="preserve"> emissions from steam production are not considered, the design of the carbon capture system may be insufficient. The provided graph illustrates the calculated overdesign for a generic carbon capture plant based on the varying energy requirements for solvent regeneration. Key assumptions for this analysis include: the boiler's efficiency is </w:t>
      </w:r>
      <w:r>
        <w:t>85</w:t>
      </w:r>
      <w:r w:rsidRPr="00A958FF">
        <w:t>%, the fuel gas used is pure methane (CH</w:t>
      </w:r>
      <w:r w:rsidRPr="00A958FF">
        <w:rPr>
          <w:rFonts w:ascii="Cambria Math" w:hAnsi="Cambria Math" w:cs="Cambria Math"/>
        </w:rPr>
        <w:t>₄</w:t>
      </w:r>
      <w:r w:rsidRPr="00A958FF">
        <w:t>), which produces CO</w:t>
      </w:r>
      <w:r w:rsidRPr="00A958FF">
        <w:rPr>
          <w:rFonts w:ascii="Cambria Math" w:hAnsi="Cambria Math" w:cs="Cambria Math"/>
        </w:rPr>
        <w:t>₂</w:t>
      </w:r>
      <w:r w:rsidRPr="00A958FF">
        <w:t xml:space="preserve"> in stoichiometric quantities, and the CO</w:t>
      </w:r>
      <w:r w:rsidRPr="00A958FF">
        <w:rPr>
          <w:rFonts w:ascii="Cambria Math" w:hAnsi="Cambria Math" w:cs="Cambria Math"/>
        </w:rPr>
        <w:t>₂</w:t>
      </w:r>
      <w:r w:rsidRPr="00A958FF">
        <w:t xml:space="preserve"> capture efficiency is 90%.</w:t>
      </w:r>
      <w:r w:rsidR="0020176B">
        <w:t xml:space="preserve"> </w:t>
      </w:r>
    </w:p>
    <w:p w14:paraId="432178E2" w14:textId="2B9CC4D0" w:rsidR="006601B1" w:rsidRDefault="006601B1" w:rsidP="006601B1">
      <w:r w:rsidRPr="00A958FF">
        <w:lastRenderedPageBreak/>
        <w:t>The overdesign resulting from the need to capture</w:t>
      </w:r>
      <w:r>
        <w:t xml:space="preserve"> </w:t>
      </w:r>
      <w:r w:rsidRPr="00A958FF">
        <w:t>CO</w:t>
      </w:r>
      <w:r w:rsidRPr="00A958FF">
        <w:rPr>
          <w:rFonts w:ascii="Cambria Math" w:hAnsi="Cambria Math" w:cs="Cambria Math"/>
        </w:rPr>
        <w:t>₂</w:t>
      </w:r>
      <w:r w:rsidRPr="00A958FF">
        <w:t xml:space="preserve"> emissions</w:t>
      </w:r>
      <w:r>
        <w:t xml:space="preserve"> coming</w:t>
      </w:r>
      <w:r w:rsidRPr="00A958FF">
        <w:t xml:space="preserve"> from steam production can lead to increased capital expenditure (</w:t>
      </w:r>
      <w:proofErr w:type="spellStart"/>
      <w:r w:rsidR="00E0547B" w:rsidRPr="00A958FF">
        <w:t>C</w:t>
      </w:r>
      <w:r w:rsidR="00E0547B">
        <w:t>apEx</w:t>
      </w:r>
      <w:proofErr w:type="spellEnd"/>
      <w:r w:rsidRPr="00A958FF">
        <w:t>) and operational expenditure (</w:t>
      </w:r>
      <w:proofErr w:type="spellStart"/>
      <w:r w:rsidR="00E0547B">
        <w:t>OpEx</w:t>
      </w:r>
      <w:proofErr w:type="spellEnd"/>
      <w:r w:rsidRPr="00A958FF">
        <w:t>).</w:t>
      </w:r>
      <w:r w:rsidR="0020176B">
        <w:t xml:space="preserve"> If hydrocarbons heavier than methane are used, the increment is even higher.</w:t>
      </w:r>
    </w:p>
    <w:p w14:paraId="3CED799D" w14:textId="286185D5" w:rsidR="006E33B5" w:rsidRDefault="00C82423" w:rsidP="008769F1">
      <w:pPr>
        <w:pStyle w:val="CETheadingx"/>
      </w:pPr>
      <w:r>
        <w:t xml:space="preserve">Case study </w:t>
      </w:r>
      <w:r w:rsidR="003B06C4">
        <w:t>methodology</w:t>
      </w:r>
    </w:p>
    <w:p w14:paraId="4A0C6DC6" w14:textId="50C0F26C" w:rsidR="003A6227" w:rsidRDefault="003A6227" w:rsidP="003A6227">
      <w:r w:rsidRPr="003A6227">
        <w:t>We present some data from a case study of carbon capture in a cement plant</w:t>
      </w:r>
      <w:r w:rsidR="003831B7">
        <w:t xml:space="preserve"> designed to capture and</w:t>
      </w:r>
      <w:r w:rsidR="005A05F1">
        <w:t xml:space="preserve"> </w:t>
      </w:r>
      <w:r w:rsidR="00044F5C">
        <w:t xml:space="preserve">liquefy </w:t>
      </w:r>
      <w:r w:rsidR="005A05F1">
        <w:t xml:space="preserve">1600 </w:t>
      </w:r>
      <w:r w:rsidR="004B5C2D">
        <w:t>M</w:t>
      </w:r>
      <w:r w:rsidR="005A05F1">
        <w:t>TPD of CO</w:t>
      </w:r>
      <w:r w:rsidR="005A05F1">
        <w:rPr>
          <w:vertAlign w:val="subscript"/>
        </w:rPr>
        <w:t>2</w:t>
      </w:r>
      <w:r w:rsidRPr="003A6227">
        <w:t>, comparing three different scenarios. In Case A, a boiler is installed to produce steam from natural gas (methane), but the CO</w:t>
      </w:r>
      <w:r w:rsidRPr="003A6227">
        <w:rPr>
          <w:rFonts w:ascii="Cambria Math" w:hAnsi="Cambria Math" w:cs="Cambria Math"/>
        </w:rPr>
        <w:t>₂</w:t>
      </w:r>
      <w:r w:rsidRPr="003A6227">
        <w:t xml:space="preserve"> emissions generated by the</w:t>
      </w:r>
      <w:r w:rsidR="00E76680">
        <w:t xml:space="preserve"> steam</w:t>
      </w:r>
      <w:r w:rsidRPr="003A6227">
        <w:t xml:space="preserve"> boiler are not captured, and thus, the required CO</w:t>
      </w:r>
      <w:r w:rsidRPr="003A6227">
        <w:rPr>
          <w:rFonts w:ascii="Cambria Math" w:hAnsi="Cambria Math" w:cs="Cambria Math"/>
        </w:rPr>
        <w:t>₂</w:t>
      </w:r>
      <w:r w:rsidRPr="003A6227">
        <w:t xml:space="preserve"> capture target</w:t>
      </w:r>
      <w:r w:rsidR="00F56E8F">
        <w:t xml:space="preserve"> (1600 </w:t>
      </w:r>
      <w:r w:rsidR="004B5C2D">
        <w:t>M</w:t>
      </w:r>
      <w:r w:rsidR="00F56E8F">
        <w:t>TPD)</w:t>
      </w:r>
      <w:r w:rsidRPr="003A6227">
        <w:t xml:space="preserve"> is not met. In Case B, a heat pump is used to provide the necessary duty for the regenerator, achieving the required CO</w:t>
      </w:r>
      <w:r w:rsidRPr="003A6227">
        <w:rPr>
          <w:rFonts w:ascii="Cambria Math" w:hAnsi="Cambria Math" w:cs="Cambria Math"/>
        </w:rPr>
        <w:t>₂</w:t>
      </w:r>
      <w:r w:rsidRPr="003A6227">
        <w:t xml:space="preserve"> capture target. In Case C, the</w:t>
      </w:r>
      <w:r w:rsidR="00E76680">
        <w:t xml:space="preserve"> steam</w:t>
      </w:r>
      <w:r w:rsidRPr="003A6227">
        <w:t xml:space="preserve"> boiler is used again, but the carbon capture system is designed to also capture the additional CO</w:t>
      </w:r>
      <w:r w:rsidRPr="003A6227">
        <w:rPr>
          <w:rFonts w:ascii="Cambria Math" w:hAnsi="Cambria Math" w:cs="Cambria Math"/>
        </w:rPr>
        <w:t>₂</w:t>
      </w:r>
      <w:r w:rsidRPr="003A6227">
        <w:t xml:space="preserve"> emissions produced by the boiler.</w:t>
      </w:r>
      <w:r w:rsidR="0051569D">
        <w:t xml:space="preserve"> </w:t>
      </w:r>
      <w:r w:rsidR="00A4009E">
        <w:t xml:space="preserve">The </w:t>
      </w:r>
      <w:r w:rsidR="0051569D">
        <w:t>CO</w:t>
      </w:r>
      <w:r w:rsidR="0051569D" w:rsidRPr="00A50F6B">
        <w:rPr>
          <w:vertAlign w:val="subscript"/>
        </w:rPr>
        <w:t>2</w:t>
      </w:r>
      <w:r w:rsidR="0051569D">
        <w:t xml:space="preserve"> captured</w:t>
      </w:r>
      <w:r w:rsidR="00AA33ED">
        <w:t xml:space="preserve"> in</w:t>
      </w:r>
      <w:r w:rsidR="00734B30">
        <w:t xml:space="preserve"> the</w:t>
      </w:r>
      <w:r w:rsidR="00AA33ED">
        <w:t xml:space="preserve"> case study</w:t>
      </w:r>
      <w:r w:rsidR="0051569D">
        <w:t xml:space="preserve"> </w:t>
      </w:r>
      <w:proofErr w:type="gramStart"/>
      <w:r w:rsidR="00AA33ED">
        <w:t>has to</w:t>
      </w:r>
      <w:proofErr w:type="gramEnd"/>
      <w:r w:rsidR="0051569D">
        <w:t xml:space="preserve"> be liquefied and sent to sequestration. All costs associated with liquefaction (</w:t>
      </w:r>
      <w:proofErr w:type="spellStart"/>
      <w:r w:rsidR="00E0547B">
        <w:t>CapEx</w:t>
      </w:r>
      <w:proofErr w:type="spellEnd"/>
      <w:r w:rsidR="00E0547B">
        <w:t xml:space="preserve"> </w:t>
      </w:r>
      <w:r w:rsidR="0051569D">
        <w:t xml:space="preserve">and </w:t>
      </w:r>
      <w:proofErr w:type="spellStart"/>
      <w:r w:rsidR="00E0547B">
        <w:t>OpEx</w:t>
      </w:r>
      <w:proofErr w:type="spellEnd"/>
      <w:r w:rsidR="0051569D">
        <w:t>) have been included in the analysis</w:t>
      </w:r>
      <w:r w:rsidR="00A52F4A">
        <w:t>,</w:t>
      </w:r>
      <w:r w:rsidR="0051569D">
        <w:t xml:space="preserve"> considering a traditional </w:t>
      </w:r>
      <w:r w:rsidR="0081087B">
        <w:t xml:space="preserve">ammonia refrigeration cycle and </w:t>
      </w:r>
      <w:r w:rsidR="00564AD4">
        <w:t xml:space="preserve">the liquid </w:t>
      </w:r>
      <w:r w:rsidR="00564AD4" w:rsidRPr="00564AD4">
        <w:t>CO</w:t>
      </w:r>
      <w:r w:rsidR="00564AD4" w:rsidRPr="00564AD4">
        <w:rPr>
          <w:vertAlign w:val="subscript"/>
        </w:rPr>
        <w:t>2</w:t>
      </w:r>
      <w:r w:rsidR="00564AD4">
        <w:t xml:space="preserve"> </w:t>
      </w:r>
      <w:r w:rsidR="0081087B">
        <w:t>storage</w:t>
      </w:r>
      <w:r w:rsidR="009D2417">
        <w:t>, with the relevant boil-off management</w:t>
      </w:r>
      <w:r w:rsidR="00154378">
        <w:t>.</w:t>
      </w:r>
    </w:p>
    <w:p w14:paraId="61E9D481" w14:textId="2FCF0190" w:rsidR="007004A5" w:rsidRDefault="007004A5" w:rsidP="007004A5">
      <w:pPr>
        <w:pStyle w:val="CETTabletitle"/>
      </w:pPr>
      <w:r w:rsidRPr="00B57B36">
        <w:t xml:space="preserve">Table 1: </w:t>
      </w:r>
      <w:r w:rsidR="009037EF">
        <w:t>Case Study</w:t>
      </w:r>
      <w:r w:rsidR="00F07FEE">
        <w:t xml:space="preserve"> input</w:t>
      </w:r>
      <w:r w:rsidR="00BA14BD">
        <w:t xml:space="preserve"> data</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86"/>
        <w:gridCol w:w="701"/>
        <w:gridCol w:w="918"/>
        <w:gridCol w:w="1512"/>
        <w:gridCol w:w="1350"/>
      </w:tblGrid>
      <w:tr w:rsidR="005D7DE3" w:rsidRPr="00B57B36" w14:paraId="7B08142D" w14:textId="77777777" w:rsidTr="002905F9">
        <w:tc>
          <w:tcPr>
            <w:tcW w:w="2686" w:type="dxa"/>
            <w:tcBorders>
              <w:top w:val="single" w:sz="12" w:space="0" w:color="008000"/>
              <w:bottom w:val="single" w:sz="6" w:space="0" w:color="008000"/>
            </w:tcBorders>
            <w:shd w:val="clear" w:color="auto" w:fill="FFFFFF"/>
            <w:vAlign w:val="center"/>
          </w:tcPr>
          <w:p w14:paraId="628A406A" w14:textId="77777777" w:rsidR="005D7DE3" w:rsidRPr="00B57B36" w:rsidRDefault="005D7DE3" w:rsidP="002905F9">
            <w:pPr>
              <w:pStyle w:val="CETBodytext"/>
              <w:jc w:val="left"/>
              <w:rPr>
                <w:lang w:val="en-GB"/>
              </w:rPr>
            </w:pPr>
          </w:p>
        </w:tc>
        <w:tc>
          <w:tcPr>
            <w:tcW w:w="701" w:type="dxa"/>
            <w:tcBorders>
              <w:top w:val="single" w:sz="12" w:space="0" w:color="008000"/>
              <w:bottom w:val="single" w:sz="6" w:space="0" w:color="008000"/>
            </w:tcBorders>
            <w:shd w:val="clear" w:color="auto" w:fill="FFFFFF"/>
            <w:vAlign w:val="center"/>
          </w:tcPr>
          <w:p w14:paraId="71D41B25" w14:textId="77777777" w:rsidR="005D7DE3" w:rsidRDefault="005D7DE3" w:rsidP="002905F9">
            <w:pPr>
              <w:pStyle w:val="CETBodytext"/>
              <w:jc w:val="center"/>
              <w:rPr>
                <w:lang w:val="en-GB"/>
              </w:rPr>
            </w:pPr>
          </w:p>
        </w:tc>
        <w:tc>
          <w:tcPr>
            <w:tcW w:w="918" w:type="dxa"/>
            <w:tcBorders>
              <w:top w:val="single" w:sz="12" w:space="0" w:color="008000"/>
              <w:bottom w:val="single" w:sz="6" w:space="0" w:color="008000"/>
            </w:tcBorders>
            <w:shd w:val="clear" w:color="auto" w:fill="FFFFFF"/>
            <w:vAlign w:val="center"/>
          </w:tcPr>
          <w:p w14:paraId="6CD5FD65" w14:textId="1A600CB4" w:rsidR="005D7DE3" w:rsidRPr="00B57B36" w:rsidRDefault="005D7DE3" w:rsidP="002905F9">
            <w:pPr>
              <w:pStyle w:val="CETBodytext"/>
              <w:jc w:val="center"/>
              <w:rPr>
                <w:lang w:val="en-GB"/>
              </w:rPr>
            </w:pPr>
            <w:r>
              <w:rPr>
                <w:lang w:val="en-GB"/>
              </w:rPr>
              <w:t>Case A</w:t>
            </w:r>
          </w:p>
        </w:tc>
        <w:tc>
          <w:tcPr>
            <w:tcW w:w="1512" w:type="dxa"/>
            <w:tcBorders>
              <w:top w:val="single" w:sz="12" w:space="0" w:color="008000"/>
              <w:bottom w:val="single" w:sz="6" w:space="0" w:color="008000"/>
            </w:tcBorders>
            <w:shd w:val="clear" w:color="auto" w:fill="FFFFFF"/>
            <w:vAlign w:val="center"/>
          </w:tcPr>
          <w:p w14:paraId="6866F231" w14:textId="05BDB715" w:rsidR="005D7DE3" w:rsidRPr="00B57B36" w:rsidRDefault="005D7DE3" w:rsidP="002905F9">
            <w:pPr>
              <w:pStyle w:val="CETBodytext"/>
              <w:jc w:val="center"/>
              <w:rPr>
                <w:lang w:val="en-GB"/>
              </w:rPr>
            </w:pPr>
            <w:r>
              <w:rPr>
                <w:lang w:val="en-GB"/>
              </w:rPr>
              <w:t>Case B</w:t>
            </w:r>
          </w:p>
        </w:tc>
        <w:tc>
          <w:tcPr>
            <w:tcW w:w="1350" w:type="dxa"/>
            <w:tcBorders>
              <w:top w:val="single" w:sz="12" w:space="0" w:color="008000"/>
              <w:bottom w:val="single" w:sz="6" w:space="0" w:color="008000"/>
            </w:tcBorders>
            <w:shd w:val="clear" w:color="auto" w:fill="FFFFFF"/>
            <w:vAlign w:val="center"/>
          </w:tcPr>
          <w:p w14:paraId="50662E39" w14:textId="5D3BCC3A" w:rsidR="005D7DE3" w:rsidRPr="00B57B36" w:rsidRDefault="005D7DE3" w:rsidP="002905F9">
            <w:pPr>
              <w:pStyle w:val="CETBodytext"/>
              <w:ind w:right="-1"/>
              <w:jc w:val="center"/>
              <w:rPr>
                <w:rFonts w:cs="Arial"/>
                <w:szCs w:val="18"/>
                <w:lang w:val="en-GB"/>
              </w:rPr>
            </w:pPr>
            <w:r>
              <w:rPr>
                <w:rFonts w:cs="Arial"/>
                <w:szCs w:val="18"/>
                <w:lang w:val="en-GB"/>
              </w:rPr>
              <w:t>Case C</w:t>
            </w:r>
          </w:p>
        </w:tc>
      </w:tr>
      <w:tr w:rsidR="005D7DE3" w:rsidRPr="00B57B36" w14:paraId="3621DBA9" w14:textId="77777777" w:rsidTr="002905F9">
        <w:tc>
          <w:tcPr>
            <w:tcW w:w="2686" w:type="dxa"/>
            <w:shd w:val="clear" w:color="auto" w:fill="FFFFFF"/>
            <w:vAlign w:val="center"/>
          </w:tcPr>
          <w:p w14:paraId="7FFAE985" w14:textId="0EF59390" w:rsidR="005D7DE3" w:rsidRDefault="005D7DE3" w:rsidP="002905F9">
            <w:pPr>
              <w:pStyle w:val="CETBodytext"/>
              <w:jc w:val="left"/>
              <w:rPr>
                <w:lang w:val="en-GB"/>
              </w:rPr>
            </w:pPr>
            <w:r>
              <w:rPr>
                <w:lang w:val="en-GB"/>
              </w:rPr>
              <w:t>Heat Media</w:t>
            </w:r>
          </w:p>
        </w:tc>
        <w:tc>
          <w:tcPr>
            <w:tcW w:w="701" w:type="dxa"/>
            <w:shd w:val="clear" w:color="auto" w:fill="FFFFFF"/>
            <w:vAlign w:val="center"/>
          </w:tcPr>
          <w:p w14:paraId="669DD7A0" w14:textId="77777777" w:rsidR="005D7DE3" w:rsidRDefault="005D7DE3" w:rsidP="002905F9">
            <w:pPr>
              <w:pStyle w:val="CETBodytext"/>
              <w:jc w:val="center"/>
              <w:rPr>
                <w:rFonts w:cs="Arial"/>
                <w:lang w:val="en-GB"/>
              </w:rPr>
            </w:pPr>
          </w:p>
        </w:tc>
        <w:tc>
          <w:tcPr>
            <w:tcW w:w="918" w:type="dxa"/>
            <w:shd w:val="clear" w:color="auto" w:fill="FFFFFF"/>
            <w:vAlign w:val="center"/>
          </w:tcPr>
          <w:p w14:paraId="57DD982A" w14:textId="11FB093B" w:rsidR="005D7DE3" w:rsidRDefault="005D7DE3" w:rsidP="002905F9">
            <w:pPr>
              <w:pStyle w:val="CETBodytext"/>
              <w:jc w:val="center"/>
              <w:rPr>
                <w:lang w:val="en-GB"/>
              </w:rPr>
            </w:pPr>
            <w:r>
              <w:rPr>
                <w:rFonts w:cs="Arial"/>
                <w:lang w:val="en-GB"/>
              </w:rPr>
              <w:t>Steam</w:t>
            </w:r>
          </w:p>
        </w:tc>
        <w:tc>
          <w:tcPr>
            <w:tcW w:w="1512" w:type="dxa"/>
            <w:shd w:val="clear" w:color="auto" w:fill="FFFFFF"/>
            <w:vAlign w:val="center"/>
          </w:tcPr>
          <w:p w14:paraId="6B235F0B" w14:textId="07A17BC6" w:rsidR="005D7DE3" w:rsidRPr="00B57B36" w:rsidRDefault="005D7DE3" w:rsidP="002905F9">
            <w:pPr>
              <w:pStyle w:val="CETBodytext"/>
              <w:jc w:val="center"/>
              <w:rPr>
                <w:lang w:val="en-GB"/>
              </w:rPr>
            </w:pPr>
            <w:r>
              <w:rPr>
                <w:lang w:val="en-GB"/>
              </w:rPr>
              <w:t>Heat Pump</w:t>
            </w:r>
          </w:p>
        </w:tc>
        <w:tc>
          <w:tcPr>
            <w:tcW w:w="1350" w:type="dxa"/>
            <w:shd w:val="clear" w:color="auto" w:fill="FFFFFF"/>
            <w:vAlign w:val="center"/>
          </w:tcPr>
          <w:p w14:paraId="47021664" w14:textId="168F3931" w:rsidR="005D7DE3" w:rsidRPr="00B57B36" w:rsidRDefault="005D7DE3" w:rsidP="002905F9">
            <w:pPr>
              <w:pStyle w:val="CETBodytext"/>
              <w:ind w:right="-1"/>
              <w:jc w:val="center"/>
              <w:rPr>
                <w:rFonts w:cs="Arial"/>
                <w:szCs w:val="18"/>
                <w:lang w:val="en-GB"/>
              </w:rPr>
            </w:pPr>
            <w:r>
              <w:rPr>
                <w:rFonts w:cs="Arial"/>
                <w:szCs w:val="18"/>
                <w:lang w:val="en-GB"/>
              </w:rPr>
              <w:t>Steam</w:t>
            </w:r>
          </w:p>
        </w:tc>
      </w:tr>
      <w:tr w:rsidR="005D7DE3" w:rsidRPr="00B57B36" w14:paraId="3AA91788" w14:textId="77777777" w:rsidTr="002905F9">
        <w:tc>
          <w:tcPr>
            <w:tcW w:w="2686" w:type="dxa"/>
            <w:shd w:val="clear" w:color="auto" w:fill="FFFFFF"/>
            <w:vAlign w:val="center"/>
          </w:tcPr>
          <w:p w14:paraId="4BF4BA5C" w14:textId="407BE8D1" w:rsidR="005D7DE3" w:rsidRDefault="00386CB0" w:rsidP="002905F9">
            <w:pPr>
              <w:pStyle w:val="CETBodytext"/>
              <w:jc w:val="left"/>
              <w:rPr>
                <w:rFonts w:cs="Arial"/>
                <w:szCs w:val="18"/>
                <w:lang w:val="en-GB"/>
              </w:rPr>
            </w:pPr>
            <w:r>
              <w:rPr>
                <w:rFonts w:cs="Arial"/>
                <w:szCs w:val="18"/>
                <w:lang w:val="en-GB"/>
              </w:rPr>
              <w:t>Unit Design (</w:t>
            </w:r>
            <w:r w:rsidR="0050189B">
              <w:rPr>
                <w:rFonts w:cs="Arial"/>
                <w:szCs w:val="18"/>
                <w:lang w:val="en-GB"/>
              </w:rPr>
              <w:t>CO</w:t>
            </w:r>
            <w:r w:rsidR="0050189B" w:rsidRPr="00AA5786">
              <w:rPr>
                <w:rFonts w:cs="Arial"/>
                <w:szCs w:val="18"/>
                <w:vertAlign w:val="subscript"/>
                <w:lang w:val="en-GB"/>
              </w:rPr>
              <w:t>2</w:t>
            </w:r>
            <w:r w:rsidR="0050189B">
              <w:rPr>
                <w:rFonts w:cs="Arial"/>
                <w:szCs w:val="18"/>
                <w:lang w:val="en-GB"/>
              </w:rPr>
              <w:t xml:space="preserve"> Captured</w:t>
            </w:r>
            <w:r>
              <w:rPr>
                <w:rFonts w:cs="Arial"/>
                <w:szCs w:val="18"/>
                <w:lang w:val="en-GB"/>
              </w:rPr>
              <w:t>)</w:t>
            </w:r>
          </w:p>
        </w:tc>
        <w:tc>
          <w:tcPr>
            <w:tcW w:w="701" w:type="dxa"/>
            <w:shd w:val="clear" w:color="auto" w:fill="FFFFFF"/>
            <w:vAlign w:val="center"/>
          </w:tcPr>
          <w:p w14:paraId="5A287200" w14:textId="313DE2C2" w:rsidR="005D7DE3" w:rsidRDefault="00DB1AB4" w:rsidP="002905F9">
            <w:pPr>
              <w:pStyle w:val="CETBodytext"/>
              <w:jc w:val="center"/>
              <w:rPr>
                <w:rFonts w:cs="Arial"/>
                <w:szCs w:val="18"/>
                <w:lang w:val="en-GB"/>
              </w:rPr>
            </w:pPr>
            <w:r>
              <w:rPr>
                <w:rFonts w:cs="Arial"/>
                <w:szCs w:val="18"/>
                <w:lang w:val="en-GB"/>
              </w:rPr>
              <w:t>M</w:t>
            </w:r>
            <w:r w:rsidR="0050189B">
              <w:rPr>
                <w:rFonts w:cs="Arial"/>
                <w:szCs w:val="18"/>
                <w:lang w:val="en-GB"/>
              </w:rPr>
              <w:t>TPD</w:t>
            </w:r>
          </w:p>
        </w:tc>
        <w:tc>
          <w:tcPr>
            <w:tcW w:w="918" w:type="dxa"/>
            <w:shd w:val="clear" w:color="auto" w:fill="FFFFFF"/>
            <w:vAlign w:val="center"/>
          </w:tcPr>
          <w:p w14:paraId="069E3EB5" w14:textId="3E6F9809" w:rsidR="005D7DE3" w:rsidRDefault="005D7DE3" w:rsidP="002905F9">
            <w:pPr>
              <w:pStyle w:val="CETBodytext"/>
              <w:jc w:val="center"/>
              <w:rPr>
                <w:rFonts w:cs="Arial"/>
                <w:szCs w:val="18"/>
                <w:lang w:val="en-GB"/>
              </w:rPr>
            </w:pPr>
            <w:r>
              <w:rPr>
                <w:rFonts w:cs="Arial"/>
                <w:szCs w:val="18"/>
                <w:lang w:val="en-GB"/>
              </w:rPr>
              <w:t>1600</w:t>
            </w:r>
          </w:p>
        </w:tc>
        <w:tc>
          <w:tcPr>
            <w:tcW w:w="1512" w:type="dxa"/>
            <w:shd w:val="clear" w:color="auto" w:fill="FFFFFF"/>
            <w:vAlign w:val="center"/>
          </w:tcPr>
          <w:p w14:paraId="7FD84CB7" w14:textId="222017BC" w:rsidR="005D7DE3" w:rsidRDefault="005D7DE3" w:rsidP="002905F9">
            <w:pPr>
              <w:pStyle w:val="CETBodytext"/>
              <w:jc w:val="center"/>
              <w:rPr>
                <w:lang w:val="en-GB"/>
              </w:rPr>
            </w:pPr>
            <w:r>
              <w:rPr>
                <w:lang w:val="en-GB"/>
              </w:rPr>
              <w:t>1600</w:t>
            </w:r>
          </w:p>
        </w:tc>
        <w:tc>
          <w:tcPr>
            <w:tcW w:w="1350" w:type="dxa"/>
            <w:shd w:val="clear" w:color="auto" w:fill="FFFFFF"/>
            <w:vAlign w:val="center"/>
          </w:tcPr>
          <w:p w14:paraId="2803F3B4" w14:textId="5693D471" w:rsidR="005D7DE3" w:rsidRDefault="005D7DE3" w:rsidP="002905F9">
            <w:pPr>
              <w:pStyle w:val="CETBodytext"/>
              <w:ind w:right="-1"/>
              <w:jc w:val="center"/>
              <w:rPr>
                <w:rFonts w:cs="Arial"/>
                <w:szCs w:val="18"/>
                <w:lang w:val="en-GB"/>
              </w:rPr>
            </w:pPr>
            <w:r>
              <w:rPr>
                <w:rFonts w:cs="Arial"/>
                <w:szCs w:val="18"/>
                <w:lang w:val="en-GB"/>
              </w:rPr>
              <w:t>1600+20%</w:t>
            </w:r>
          </w:p>
        </w:tc>
      </w:tr>
      <w:tr w:rsidR="00AE419A" w:rsidRPr="00B57B36" w14:paraId="7F413273" w14:textId="77777777" w:rsidTr="002905F9">
        <w:tc>
          <w:tcPr>
            <w:tcW w:w="2686" w:type="dxa"/>
            <w:shd w:val="clear" w:color="auto" w:fill="FFFFFF"/>
            <w:vAlign w:val="center"/>
          </w:tcPr>
          <w:p w14:paraId="09E7A4E6" w14:textId="46AD2B7B" w:rsidR="00AE419A" w:rsidRDefault="00AE419A" w:rsidP="002905F9">
            <w:pPr>
              <w:pStyle w:val="CETBodytext"/>
              <w:jc w:val="left"/>
              <w:rPr>
                <w:rFonts w:cs="Arial"/>
                <w:szCs w:val="18"/>
                <w:lang w:val="en-GB"/>
              </w:rPr>
            </w:pPr>
            <w:r>
              <w:rPr>
                <w:rFonts w:cs="Arial"/>
                <w:szCs w:val="18"/>
                <w:lang w:val="en-GB"/>
              </w:rPr>
              <w:t>Net CO</w:t>
            </w:r>
            <w:r w:rsidRPr="00AA5786">
              <w:rPr>
                <w:rFonts w:cs="Arial"/>
                <w:szCs w:val="18"/>
                <w:vertAlign w:val="subscript"/>
                <w:lang w:val="en-GB"/>
              </w:rPr>
              <w:t>2</w:t>
            </w:r>
            <w:r>
              <w:rPr>
                <w:rFonts w:cs="Arial"/>
                <w:szCs w:val="18"/>
                <w:lang w:val="en-GB"/>
              </w:rPr>
              <w:t xml:space="preserve"> Captured</w:t>
            </w:r>
          </w:p>
        </w:tc>
        <w:tc>
          <w:tcPr>
            <w:tcW w:w="701" w:type="dxa"/>
            <w:shd w:val="clear" w:color="auto" w:fill="FFFFFF"/>
            <w:vAlign w:val="center"/>
          </w:tcPr>
          <w:p w14:paraId="16ADB2E5" w14:textId="356809B7" w:rsidR="00AE419A" w:rsidRDefault="00DB1AB4" w:rsidP="002905F9">
            <w:pPr>
              <w:pStyle w:val="CETBodytext"/>
              <w:jc w:val="center"/>
              <w:rPr>
                <w:rFonts w:cs="Arial"/>
                <w:szCs w:val="18"/>
                <w:lang w:val="en-GB"/>
              </w:rPr>
            </w:pPr>
            <w:r>
              <w:rPr>
                <w:rFonts w:cs="Arial"/>
                <w:szCs w:val="18"/>
                <w:lang w:val="en-GB"/>
              </w:rPr>
              <w:t>M</w:t>
            </w:r>
            <w:r w:rsidR="00AE419A">
              <w:rPr>
                <w:rFonts w:cs="Arial"/>
                <w:szCs w:val="18"/>
                <w:lang w:val="en-GB"/>
              </w:rPr>
              <w:t>TPD</w:t>
            </w:r>
          </w:p>
        </w:tc>
        <w:tc>
          <w:tcPr>
            <w:tcW w:w="918" w:type="dxa"/>
            <w:shd w:val="clear" w:color="auto" w:fill="FFFFFF"/>
            <w:vAlign w:val="center"/>
          </w:tcPr>
          <w:p w14:paraId="20B4BC88" w14:textId="0EDF370B" w:rsidR="00AE419A" w:rsidRDefault="00AE419A" w:rsidP="002905F9">
            <w:pPr>
              <w:pStyle w:val="CETBodytext"/>
              <w:jc w:val="center"/>
              <w:rPr>
                <w:rFonts w:cs="Arial"/>
                <w:szCs w:val="18"/>
                <w:lang w:val="en-GB"/>
              </w:rPr>
            </w:pPr>
            <w:r>
              <w:rPr>
                <w:rFonts w:cs="Arial"/>
                <w:szCs w:val="18"/>
                <w:lang w:val="en-GB"/>
              </w:rPr>
              <w:t>1600</w:t>
            </w:r>
          </w:p>
        </w:tc>
        <w:tc>
          <w:tcPr>
            <w:tcW w:w="1512" w:type="dxa"/>
            <w:shd w:val="clear" w:color="auto" w:fill="FFFFFF"/>
            <w:vAlign w:val="center"/>
          </w:tcPr>
          <w:p w14:paraId="50B16FDE" w14:textId="2DF1C09F" w:rsidR="00AE419A" w:rsidRDefault="00E0579A" w:rsidP="002905F9">
            <w:pPr>
              <w:pStyle w:val="CETBodytext"/>
              <w:jc w:val="center"/>
              <w:rPr>
                <w:lang w:val="en-GB"/>
              </w:rPr>
            </w:pPr>
            <w:r>
              <w:rPr>
                <w:lang w:val="en-GB"/>
              </w:rPr>
              <w:t>1300</w:t>
            </w:r>
          </w:p>
        </w:tc>
        <w:tc>
          <w:tcPr>
            <w:tcW w:w="1350" w:type="dxa"/>
            <w:shd w:val="clear" w:color="auto" w:fill="FFFFFF"/>
            <w:vAlign w:val="center"/>
          </w:tcPr>
          <w:p w14:paraId="421D75E9" w14:textId="7F0DF613" w:rsidR="00AE419A" w:rsidRDefault="00E0579A" w:rsidP="002905F9">
            <w:pPr>
              <w:pStyle w:val="CETBodytext"/>
              <w:ind w:right="-1"/>
              <w:jc w:val="center"/>
              <w:rPr>
                <w:rFonts w:cs="Arial"/>
                <w:szCs w:val="18"/>
                <w:lang w:val="en-GB"/>
              </w:rPr>
            </w:pPr>
            <w:r>
              <w:rPr>
                <w:rFonts w:cs="Arial"/>
                <w:szCs w:val="18"/>
                <w:lang w:val="en-GB"/>
              </w:rPr>
              <w:t>1600</w:t>
            </w:r>
          </w:p>
        </w:tc>
      </w:tr>
      <w:tr w:rsidR="005D7DE3" w:rsidRPr="00B57B36" w14:paraId="7BE528FE" w14:textId="77777777" w:rsidTr="002905F9">
        <w:tc>
          <w:tcPr>
            <w:tcW w:w="2686" w:type="dxa"/>
            <w:shd w:val="clear" w:color="auto" w:fill="FFFFFF"/>
            <w:vAlign w:val="center"/>
          </w:tcPr>
          <w:p w14:paraId="03F89FC4" w14:textId="0DC6000B" w:rsidR="005D7DE3" w:rsidRDefault="00A30965" w:rsidP="002905F9">
            <w:pPr>
              <w:pStyle w:val="CETBodytext"/>
              <w:jc w:val="left"/>
              <w:rPr>
                <w:rFonts w:cs="Arial"/>
                <w:szCs w:val="18"/>
                <w:lang w:val="en-GB"/>
              </w:rPr>
            </w:pPr>
            <w:r>
              <w:rPr>
                <w:rFonts w:cs="Arial"/>
                <w:szCs w:val="18"/>
                <w:lang w:val="en-GB"/>
              </w:rPr>
              <w:t>Amine Energy Requirement</w:t>
            </w:r>
          </w:p>
        </w:tc>
        <w:tc>
          <w:tcPr>
            <w:tcW w:w="701" w:type="dxa"/>
            <w:shd w:val="clear" w:color="auto" w:fill="FFFFFF"/>
            <w:vAlign w:val="center"/>
          </w:tcPr>
          <w:p w14:paraId="71B96A81" w14:textId="54DB4C79" w:rsidR="005D7DE3" w:rsidRDefault="0050189B" w:rsidP="002905F9">
            <w:pPr>
              <w:pStyle w:val="CETBodytext"/>
              <w:jc w:val="center"/>
              <w:rPr>
                <w:rFonts w:cs="Arial"/>
                <w:szCs w:val="18"/>
                <w:lang w:val="en-GB"/>
              </w:rPr>
            </w:pPr>
            <w:r>
              <w:rPr>
                <w:rFonts w:cs="Arial"/>
                <w:szCs w:val="18"/>
                <w:lang w:val="en-GB"/>
              </w:rPr>
              <w:t>GJ/tC</w:t>
            </w:r>
            <w:r w:rsidR="003774FE">
              <w:rPr>
                <w:rFonts w:cs="Arial"/>
                <w:szCs w:val="18"/>
                <w:lang w:val="en-GB"/>
              </w:rPr>
              <w:t>O2</w:t>
            </w:r>
          </w:p>
        </w:tc>
        <w:tc>
          <w:tcPr>
            <w:tcW w:w="918" w:type="dxa"/>
            <w:shd w:val="clear" w:color="auto" w:fill="FFFFFF"/>
            <w:vAlign w:val="center"/>
          </w:tcPr>
          <w:p w14:paraId="7415D022" w14:textId="0181508A" w:rsidR="005D7DE3" w:rsidRDefault="003774FE" w:rsidP="002905F9">
            <w:pPr>
              <w:pStyle w:val="CETBodytext"/>
              <w:jc w:val="center"/>
              <w:rPr>
                <w:rFonts w:cs="Arial"/>
                <w:szCs w:val="18"/>
                <w:lang w:val="en-GB"/>
              </w:rPr>
            </w:pPr>
            <w:r>
              <w:rPr>
                <w:rFonts w:cs="Arial"/>
                <w:szCs w:val="18"/>
                <w:lang w:val="en-GB"/>
              </w:rPr>
              <w:t>2.</w:t>
            </w:r>
            <w:r w:rsidR="00E82318">
              <w:rPr>
                <w:rFonts w:cs="Arial"/>
                <w:szCs w:val="18"/>
                <w:lang w:val="en-GB"/>
              </w:rPr>
              <w:t>9</w:t>
            </w:r>
          </w:p>
        </w:tc>
        <w:tc>
          <w:tcPr>
            <w:tcW w:w="1512" w:type="dxa"/>
            <w:shd w:val="clear" w:color="auto" w:fill="FFFFFF"/>
            <w:vAlign w:val="center"/>
          </w:tcPr>
          <w:p w14:paraId="03DE8F75" w14:textId="6D796E2C" w:rsidR="005D7DE3" w:rsidRDefault="00E82318" w:rsidP="002905F9">
            <w:pPr>
              <w:pStyle w:val="CETBodytext"/>
              <w:jc w:val="center"/>
              <w:rPr>
                <w:lang w:val="en-GB"/>
              </w:rPr>
            </w:pPr>
            <w:r>
              <w:rPr>
                <w:lang w:val="en-GB"/>
              </w:rPr>
              <w:t>2.9</w:t>
            </w:r>
          </w:p>
        </w:tc>
        <w:tc>
          <w:tcPr>
            <w:tcW w:w="1350" w:type="dxa"/>
            <w:shd w:val="clear" w:color="auto" w:fill="FFFFFF"/>
            <w:vAlign w:val="center"/>
          </w:tcPr>
          <w:p w14:paraId="0C322C96" w14:textId="707F9F11" w:rsidR="005D7DE3" w:rsidRDefault="00E82318" w:rsidP="002905F9">
            <w:pPr>
              <w:pStyle w:val="CETBodytext"/>
              <w:ind w:right="-1"/>
              <w:jc w:val="center"/>
              <w:rPr>
                <w:rFonts w:cs="Arial"/>
                <w:szCs w:val="18"/>
                <w:lang w:val="en-GB"/>
              </w:rPr>
            </w:pPr>
            <w:r>
              <w:rPr>
                <w:rFonts w:cs="Arial"/>
                <w:szCs w:val="18"/>
                <w:lang w:val="en-GB"/>
              </w:rPr>
              <w:t>2.9</w:t>
            </w:r>
          </w:p>
        </w:tc>
      </w:tr>
      <w:tr w:rsidR="004F6811" w:rsidRPr="00B57B36" w14:paraId="10C02EB8" w14:textId="77777777" w:rsidTr="002905F9">
        <w:tc>
          <w:tcPr>
            <w:tcW w:w="2686" w:type="dxa"/>
            <w:shd w:val="clear" w:color="auto" w:fill="FFFFFF"/>
            <w:vAlign w:val="center"/>
          </w:tcPr>
          <w:p w14:paraId="1FC4C167" w14:textId="10D2FFEC" w:rsidR="004F6811" w:rsidRDefault="004F6811" w:rsidP="002905F9">
            <w:pPr>
              <w:pStyle w:val="CETBodytext"/>
              <w:jc w:val="left"/>
              <w:rPr>
                <w:rFonts w:cs="Arial"/>
                <w:szCs w:val="18"/>
                <w:lang w:val="en-GB"/>
              </w:rPr>
            </w:pPr>
            <w:r>
              <w:rPr>
                <w:rFonts w:cs="Arial"/>
                <w:szCs w:val="18"/>
                <w:lang w:val="en-GB"/>
              </w:rPr>
              <w:t>Required Storage</w:t>
            </w:r>
          </w:p>
        </w:tc>
        <w:tc>
          <w:tcPr>
            <w:tcW w:w="701" w:type="dxa"/>
            <w:shd w:val="clear" w:color="auto" w:fill="FFFFFF"/>
            <w:vAlign w:val="center"/>
          </w:tcPr>
          <w:p w14:paraId="5A3C4EBA" w14:textId="24B8613A" w:rsidR="004F6811" w:rsidRDefault="004F6811" w:rsidP="002905F9">
            <w:pPr>
              <w:pStyle w:val="CETBodytext"/>
              <w:jc w:val="center"/>
              <w:rPr>
                <w:rFonts w:cs="Arial"/>
                <w:szCs w:val="18"/>
                <w:lang w:val="en-GB"/>
              </w:rPr>
            </w:pPr>
            <w:r>
              <w:rPr>
                <w:rFonts w:cs="Arial"/>
                <w:szCs w:val="18"/>
                <w:lang w:val="en-GB"/>
              </w:rPr>
              <w:t>Tons</w:t>
            </w:r>
          </w:p>
        </w:tc>
        <w:tc>
          <w:tcPr>
            <w:tcW w:w="918" w:type="dxa"/>
            <w:shd w:val="clear" w:color="auto" w:fill="FFFFFF"/>
            <w:vAlign w:val="center"/>
          </w:tcPr>
          <w:p w14:paraId="56A52C41" w14:textId="32E3FE88" w:rsidR="004F6811" w:rsidRDefault="00154378" w:rsidP="002905F9">
            <w:pPr>
              <w:pStyle w:val="CETBodytext"/>
              <w:jc w:val="center"/>
              <w:rPr>
                <w:rFonts w:cs="Arial"/>
                <w:szCs w:val="18"/>
                <w:lang w:val="en-GB"/>
              </w:rPr>
            </w:pPr>
            <w:r>
              <w:rPr>
                <w:rFonts w:cs="Arial"/>
                <w:szCs w:val="18"/>
                <w:lang w:val="en-GB"/>
              </w:rPr>
              <w:t>15,000</w:t>
            </w:r>
          </w:p>
        </w:tc>
        <w:tc>
          <w:tcPr>
            <w:tcW w:w="1512" w:type="dxa"/>
            <w:shd w:val="clear" w:color="auto" w:fill="FFFFFF"/>
            <w:vAlign w:val="center"/>
          </w:tcPr>
          <w:p w14:paraId="199FAF07" w14:textId="1ED0332F" w:rsidR="004F6811" w:rsidRDefault="00154378" w:rsidP="002905F9">
            <w:pPr>
              <w:pStyle w:val="CETBodytext"/>
              <w:jc w:val="center"/>
              <w:rPr>
                <w:lang w:val="en-GB"/>
              </w:rPr>
            </w:pPr>
            <w:r>
              <w:rPr>
                <w:lang w:val="en-GB"/>
              </w:rPr>
              <w:t>15,000</w:t>
            </w:r>
          </w:p>
        </w:tc>
        <w:tc>
          <w:tcPr>
            <w:tcW w:w="1350" w:type="dxa"/>
            <w:shd w:val="clear" w:color="auto" w:fill="FFFFFF"/>
            <w:vAlign w:val="center"/>
          </w:tcPr>
          <w:p w14:paraId="1E0A6B39" w14:textId="57E2A875" w:rsidR="004F6811" w:rsidRDefault="00154378" w:rsidP="002905F9">
            <w:pPr>
              <w:pStyle w:val="CETBodytext"/>
              <w:ind w:right="-1"/>
              <w:jc w:val="center"/>
              <w:rPr>
                <w:rFonts w:cs="Arial"/>
                <w:szCs w:val="18"/>
                <w:lang w:val="en-GB"/>
              </w:rPr>
            </w:pPr>
            <w:r>
              <w:rPr>
                <w:rFonts w:cs="Arial"/>
                <w:szCs w:val="18"/>
                <w:lang w:val="en-GB"/>
              </w:rPr>
              <w:t>15,000+20%</w:t>
            </w:r>
          </w:p>
        </w:tc>
      </w:tr>
    </w:tbl>
    <w:p w14:paraId="1F217748" w14:textId="554CE6B8" w:rsidR="007004A5" w:rsidRDefault="007004A5" w:rsidP="003A6227"/>
    <w:p w14:paraId="08E99551" w14:textId="3A9D08CC" w:rsidR="00B97989" w:rsidRDefault="00B97989" w:rsidP="00B97989">
      <w:r w:rsidRPr="000E58E9">
        <w:t>The cost estimate follows Class 4 Cost Estimate guidelines recommended by AACE International</w:t>
      </w:r>
      <w:r>
        <w:t xml:space="preserve"> [9]</w:t>
      </w:r>
      <w:r w:rsidRPr="000E58E9">
        <w:t>.</w:t>
      </w:r>
      <w:r w:rsidR="00CA2E31">
        <w:t xml:space="preserve"> (Typical </w:t>
      </w:r>
      <w:r w:rsidR="00CA2E31" w:rsidRPr="00CA2E31">
        <w:t>accuracy range: -30% to +50%</w:t>
      </w:r>
      <w:r w:rsidR="00CA2E31">
        <w:t>)</w:t>
      </w:r>
      <w:r w:rsidR="00CA2E31" w:rsidRPr="00CA2E31">
        <w:t>.</w:t>
      </w:r>
      <w:r>
        <w:t xml:space="preserve"> Costs for</w:t>
      </w:r>
      <w:r w:rsidRPr="00234DA8">
        <w:t xml:space="preserve"> Carbon Capture unit</w:t>
      </w:r>
      <w:r>
        <w:t xml:space="preserve"> and Utilities</w:t>
      </w:r>
      <w:r w:rsidRPr="00234DA8">
        <w:t xml:space="preserve"> </w:t>
      </w:r>
      <w:r>
        <w:t>are</w:t>
      </w:r>
      <w:r w:rsidRPr="00234DA8">
        <w:t xml:space="preserve"> based on equipment cost, while the CO</w:t>
      </w:r>
      <w:r w:rsidRPr="0019087E">
        <w:rPr>
          <w:vertAlign w:val="subscript"/>
        </w:rPr>
        <w:t>2</w:t>
      </w:r>
      <w:r w:rsidRPr="00234DA8">
        <w:t xml:space="preserve"> liquefaction and storage costs are derived from budgetary quotations from specialized suppliers</w:t>
      </w:r>
      <w:r>
        <w:t>. B</w:t>
      </w:r>
      <w:r w:rsidRPr="00EF2DE9">
        <w:t xml:space="preserve">ulk materials such as piping, instrumentation and control, electrical, steel structures, spare parts for commissioning, first fill of catalysts and chemicals, transportation </w:t>
      </w:r>
      <w:r>
        <w:t xml:space="preserve">and construction </w:t>
      </w:r>
      <w:r w:rsidRPr="00EF2DE9">
        <w:t xml:space="preserve">are </w:t>
      </w:r>
      <w:r w:rsidRPr="00881709">
        <w:t xml:space="preserve">estimated </w:t>
      </w:r>
      <w:r w:rsidRPr="00B02C2F">
        <w:t xml:space="preserve">using </w:t>
      </w:r>
      <w:proofErr w:type="spellStart"/>
      <w:r w:rsidRPr="00B02C2F">
        <w:t>NextChem's</w:t>
      </w:r>
      <w:proofErr w:type="spellEnd"/>
      <w:r w:rsidRPr="00B02C2F">
        <w:t xml:space="preserve"> in-house database</w:t>
      </w:r>
      <w:r>
        <w:t xml:space="preserve"> and references.</w:t>
      </w:r>
      <w:r w:rsidR="00847325">
        <w:t xml:space="preserve"> </w:t>
      </w:r>
      <w:r w:rsidR="00B6271A">
        <w:t xml:space="preserve">Plant site has been considered in northern Europe </w:t>
      </w:r>
      <w:r w:rsidR="00215C62">
        <w:t xml:space="preserve">where many Carbon Capture initiatives are taking place. </w:t>
      </w:r>
    </w:p>
    <w:p w14:paraId="0C99F610" w14:textId="123D399A" w:rsidR="00D31E64" w:rsidRDefault="00582B27" w:rsidP="00BE0917">
      <w:pPr>
        <w:pStyle w:val="CETBodytext"/>
      </w:pPr>
      <w:r>
        <w:t xml:space="preserve">The </w:t>
      </w:r>
      <w:r w:rsidR="00091D75">
        <w:t>amine energy requirement</w:t>
      </w:r>
      <w:r>
        <w:t xml:space="preserve"> has been</w:t>
      </w:r>
      <w:r w:rsidR="008D3D7D">
        <w:t xml:space="preserve"> conservatively</w:t>
      </w:r>
      <w:r>
        <w:t xml:space="preserve"> considered constant even though the flue gas coming from </w:t>
      </w:r>
      <w:r w:rsidR="00091D75">
        <w:t>steam boiler</w:t>
      </w:r>
      <w:r w:rsidR="008D3D7D">
        <w:t xml:space="preserve"> would </w:t>
      </w:r>
      <w:r w:rsidR="0041484F">
        <w:t>dilute the concentration of the CO</w:t>
      </w:r>
      <w:r w:rsidR="0041484F" w:rsidRPr="00AA5786">
        <w:rPr>
          <w:vertAlign w:val="subscript"/>
        </w:rPr>
        <w:t>2</w:t>
      </w:r>
      <w:r w:rsidR="0041484F">
        <w:t xml:space="preserve"> in the flue gas sent to the amine carbon capture unit</w:t>
      </w:r>
      <w:r w:rsidR="00247990">
        <w:t xml:space="preserve"> and increase the costs per unit of CO</w:t>
      </w:r>
      <w:r w:rsidR="00247990" w:rsidRPr="00F41C34">
        <w:rPr>
          <w:vertAlign w:val="subscript"/>
        </w:rPr>
        <w:t>2</w:t>
      </w:r>
      <w:r w:rsidR="00247990">
        <w:t xml:space="preserve"> </w:t>
      </w:r>
      <w:r w:rsidR="001F30FB">
        <w:t>of Case C</w:t>
      </w:r>
      <w:r w:rsidR="008D3D7D">
        <w:t>.</w:t>
      </w:r>
    </w:p>
    <w:p w14:paraId="2EE9B278" w14:textId="1A2A51E4" w:rsidR="00984C3E" w:rsidRDefault="00984C3E" w:rsidP="00984C3E">
      <w:pPr>
        <w:pStyle w:val="CETheadingx"/>
      </w:pPr>
      <w:r>
        <w:t>Case study results</w:t>
      </w:r>
    </w:p>
    <w:p w14:paraId="0FBF72D9" w14:textId="40580E6D" w:rsidR="000E58E9" w:rsidRDefault="00AA3F5E" w:rsidP="00AA3F5E">
      <w:r w:rsidRPr="00AA3F5E">
        <w:t>Investment costs for the three solutions have been compared</w:t>
      </w:r>
      <w:r w:rsidR="002D1B05">
        <w:t>:</w:t>
      </w:r>
      <w:r w:rsidRPr="00AA3F5E">
        <w:t xml:space="preserve"> Case B has a slightly higher </w:t>
      </w:r>
      <w:proofErr w:type="spellStart"/>
      <w:r w:rsidR="002D1B05">
        <w:t>CapEx</w:t>
      </w:r>
      <w:proofErr w:type="spellEnd"/>
      <w:r w:rsidR="002D1B05" w:rsidRPr="00AA3F5E">
        <w:t xml:space="preserve"> </w:t>
      </w:r>
      <w:r w:rsidRPr="00AA3F5E">
        <w:t xml:space="preserve">than Case A. This </w:t>
      </w:r>
      <w:r w:rsidR="007B7F20">
        <w:t>happens since</w:t>
      </w:r>
      <w:r w:rsidRPr="00AA3F5E">
        <w:t xml:space="preserve"> the heat pump system has a higher installation cost than the steam boiler, given the same duty to </w:t>
      </w:r>
      <w:r w:rsidR="002D1B05">
        <w:t xml:space="preserve">be </w:t>
      </w:r>
      <w:r w:rsidRPr="00AA3F5E">
        <w:t>provide</w:t>
      </w:r>
      <w:r w:rsidR="002D1B05">
        <w:t>d</w:t>
      </w:r>
      <w:r w:rsidRPr="00AA3F5E">
        <w:t xml:space="preserve"> to the reboiler. However, compared to Case C, Case A has a lower </w:t>
      </w:r>
      <w:proofErr w:type="spellStart"/>
      <w:r w:rsidR="002D1B05">
        <w:t>CapEx</w:t>
      </w:r>
      <w:proofErr w:type="spellEnd"/>
      <w:r w:rsidR="002D1B05" w:rsidRPr="00AA3F5E">
        <w:t xml:space="preserve"> </w:t>
      </w:r>
      <w:r w:rsidRPr="00AA3F5E">
        <w:t xml:space="preserve">due to the overall system overdesign. In Case C, the overdesign of the utilities system to produce more cooling water and </w:t>
      </w:r>
      <w:r w:rsidR="006A503D">
        <w:t xml:space="preserve">the </w:t>
      </w:r>
      <w:r w:rsidR="002D1B05">
        <w:t>B</w:t>
      </w:r>
      <w:r w:rsidR="002D1B05" w:rsidRPr="00AA3F5E">
        <w:t xml:space="preserve">oiler </w:t>
      </w:r>
      <w:r w:rsidR="002D1B05">
        <w:t>F</w:t>
      </w:r>
      <w:r w:rsidR="002D1B05" w:rsidRPr="00AA3F5E">
        <w:t xml:space="preserve">eed </w:t>
      </w:r>
      <w:r w:rsidR="002D1B05">
        <w:t>W</w:t>
      </w:r>
      <w:r w:rsidR="002D1B05" w:rsidRPr="00AA3F5E">
        <w:t xml:space="preserve">ater </w:t>
      </w:r>
      <w:r w:rsidRPr="00AA3F5E">
        <w:t xml:space="preserve">necessary for steam production has also been included. </w:t>
      </w:r>
      <w:r w:rsidR="000E58E9" w:rsidRPr="000E58E9">
        <w:t xml:space="preserve">Figure 5 shows the </w:t>
      </w:r>
      <w:r w:rsidR="006872B3">
        <w:t>b</w:t>
      </w:r>
      <w:r w:rsidR="00B02C2F">
        <w:t>r</w:t>
      </w:r>
      <w:r w:rsidR="006872B3">
        <w:t xml:space="preserve">eakdown </w:t>
      </w:r>
      <w:r w:rsidR="000E58E9" w:rsidRPr="000E58E9">
        <w:t xml:space="preserve">of </w:t>
      </w:r>
      <w:r w:rsidR="006872B3">
        <w:t xml:space="preserve">the </w:t>
      </w:r>
      <w:r w:rsidR="000E58E9" w:rsidRPr="000E58E9">
        <w:t>different units on the total capital expenditure (</w:t>
      </w:r>
      <w:proofErr w:type="spellStart"/>
      <w:r w:rsidR="006872B3">
        <w:t>CapEx</w:t>
      </w:r>
      <w:proofErr w:type="spellEnd"/>
      <w:r w:rsidR="000E58E9" w:rsidRPr="000E58E9">
        <w:t xml:space="preserve">) and </w:t>
      </w:r>
      <w:r w:rsidR="006872B3">
        <w:t>provides a comparis</w:t>
      </w:r>
      <w:r w:rsidR="0019087E">
        <w:t>on between the</w:t>
      </w:r>
      <w:r w:rsidR="006872B3" w:rsidRPr="000E58E9">
        <w:t xml:space="preserve"> </w:t>
      </w:r>
      <w:r w:rsidR="000E58E9" w:rsidRPr="000E58E9">
        <w:t>three cases.</w:t>
      </w:r>
    </w:p>
    <w:p w14:paraId="216B81B9" w14:textId="731DD3AD" w:rsidR="006E60A4" w:rsidRDefault="00FD02D4" w:rsidP="008769F1">
      <w:r>
        <w:rPr>
          <w:noProof/>
        </w:rPr>
        <w:drawing>
          <wp:inline distT="0" distB="0" distL="0" distR="0" wp14:anchorId="05738272" wp14:editId="222D439D">
            <wp:extent cx="5579745" cy="1653540"/>
            <wp:effectExtent l="0" t="0" r="0" b="0"/>
            <wp:docPr id="1966203687" name="Picture 1" descr="A pie chart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203687" name="Picture 1" descr="A pie chart with numbers and text&#10;&#10;AI-generated content may be incorrect."/>
                    <pic:cNvPicPr/>
                  </pic:nvPicPr>
                  <pic:blipFill>
                    <a:blip r:embed="rId17"/>
                    <a:stretch>
                      <a:fillRect/>
                    </a:stretch>
                  </pic:blipFill>
                  <pic:spPr>
                    <a:xfrm>
                      <a:off x="0" y="0"/>
                      <a:ext cx="5579745" cy="1653540"/>
                    </a:xfrm>
                    <a:prstGeom prst="rect">
                      <a:avLst/>
                    </a:prstGeom>
                  </pic:spPr>
                </pic:pic>
              </a:graphicData>
            </a:graphic>
          </wp:inline>
        </w:drawing>
      </w:r>
    </w:p>
    <w:p w14:paraId="5814D7F3" w14:textId="215B8718" w:rsidR="005016B8" w:rsidRDefault="005016B8" w:rsidP="005016B8">
      <w:pPr>
        <w:pStyle w:val="CETCaption"/>
      </w:pPr>
      <w:r>
        <w:t xml:space="preserve">Figure </w:t>
      </w:r>
      <w:r>
        <w:fldChar w:fldCharType="begin"/>
      </w:r>
      <w:r>
        <w:instrText xml:space="preserve"> SEQ Figure \* ARABIC </w:instrText>
      </w:r>
      <w:r>
        <w:fldChar w:fldCharType="separate"/>
      </w:r>
      <w:r>
        <w:rPr>
          <w:noProof/>
        </w:rPr>
        <w:t>5</w:t>
      </w:r>
      <w:r>
        <w:fldChar w:fldCharType="end"/>
      </w:r>
      <w:r>
        <w:rPr>
          <w:noProof/>
        </w:rPr>
        <w:t xml:space="preserve"> – Capex </w:t>
      </w:r>
      <w:r w:rsidR="00CA23B5">
        <w:rPr>
          <w:noProof/>
        </w:rPr>
        <w:t>for Case Study</w:t>
      </w:r>
    </w:p>
    <w:p w14:paraId="6AE0510F" w14:textId="717EBB35" w:rsidR="003E13BB" w:rsidRPr="005016B8" w:rsidRDefault="007D314B" w:rsidP="0064780B">
      <w:pPr>
        <w:pStyle w:val="CETBodytext"/>
        <w:rPr>
          <w:lang w:val="en-GB"/>
        </w:rPr>
      </w:pPr>
      <w:r>
        <w:rPr>
          <w:lang w:val="en-GB"/>
        </w:rPr>
        <w:lastRenderedPageBreak/>
        <w:t>The</w:t>
      </w:r>
      <w:r w:rsidR="00B60AD8">
        <w:rPr>
          <w:lang w:val="en-GB"/>
        </w:rPr>
        <w:t xml:space="preserve"> </w:t>
      </w:r>
      <w:r w:rsidR="00E70100">
        <w:rPr>
          <w:lang w:val="en-GB"/>
        </w:rPr>
        <w:t>operating expenses (</w:t>
      </w:r>
      <w:proofErr w:type="spellStart"/>
      <w:r w:rsidR="00FE7BE4">
        <w:rPr>
          <w:lang w:val="en-GB"/>
        </w:rPr>
        <w:t>OpEx</w:t>
      </w:r>
      <w:proofErr w:type="spellEnd"/>
      <w:r w:rsidR="00E70100">
        <w:rPr>
          <w:lang w:val="en-GB"/>
        </w:rPr>
        <w:t xml:space="preserve">) have been calculated </w:t>
      </w:r>
      <w:proofErr w:type="gramStart"/>
      <w:r w:rsidR="00DE24CF">
        <w:rPr>
          <w:lang w:val="en-GB"/>
        </w:rPr>
        <w:t>in order to</w:t>
      </w:r>
      <w:proofErr w:type="gramEnd"/>
      <w:r w:rsidR="00DE24CF">
        <w:rPr>
          <w:lang w:val="en-GB"/>
        </w:rPr>
        <w:t xml:space="preserve"> </w:t>
      </w:r>
      <w:r w:rsidR="00FE7BE4">
        <w:rPr>
          <w:lang w:val="en-GB"/>
        </w:rPr>
        <w:t xml:space="preserve">evaluate </w:t>
      </w:r>
      <w:r w:rsidR="00DE24CF">
        <w:rPr>
          <w:lang w:val="en-GB"/>
        </w:rPr>
        <w:t xml:space="preserve">the impact of the heat pump. </w:t>
      </w:r>
      <w:r w:rsidR="00060965" w:rsidRPr="00060965">
        <w:t>The power requirements for carbon capture, CO</w:t>
      </w:r>
      <w:r w:rsidR="00060965" w:rsidRPr="00060965">
        <w:rPr>
          <w:vertAlign w:val="subscript"/>
        </w:rPr>
        <w:t>2</w:t>
      </w:r>
      <w:r w:rsidR="00060965" w:rsidRPr="00060965">
        <w:t xml:space="preserve"> liquefaction and storage, as well as utilities production, have been considered</w:t>
      </w:r>
      <w:r w:rsidR="00FE7BE4">
        <w:t xml:space="preserve"> and included in the calculation</w:t>
      </w:r>
      <w:r w:rsidR="00060965" w:rsidRPr="00060965">
        <w:t>.</w:t>
      </w:r>
      <w:r w:rsidR="00F63C2B">
        <w:rPr>
          <w:lang w:val="en-GB"/>
        </w:rPr>
        <w:t xml:space="preserve"> </w:t>
      </w:r>
      <w:r w:rsidR="00BF3983">
        <w:rPr>
          <w:lang w:val="en-GB"/>
        </w:rPr>
        <w:t>Considering that t</w:t>
      </w:r>
      <w:r w:rsidR="00070B3F" w:rsidRPr="00070B3F">
        <w:rPr>
          <w:lang w:val="en-GB"/>
        </w:rPr>
        <w:t>he COP values</w:t>
      </w:r>
      <w:r w:rsidR="0064780B">
        <w:rPr>
          <w:lang w:val="en-GB"/>
        </w:rPr>
        <w:t xml:space="preserve"> of available </w:t>
      </w:r>
      <w:r w:rsidR="00FE7BE4">
        <w:rPr>
          <w:lang w:val="en-GB"/>
        </w:rPr>
        <w:t>technologies</w:t>
      </w:r>
      <w:r w:rsidR="00FE7BE4" w:rsidRPr="00070B3F">
        <w:rPr>
          <w:lang w:val="en-GB"/>
        </w:rPr>
        <w:t xml:space="preserve"> </w:t>
      </w:r>
      <w:r w:rsidR="00070B3F" w:rsidRPr="00070B3F">
        <w:rPr>
          <w:lang w:val="en-GB"/>
        </w:rPr>
        <w:t>range betwee</w:t>
      </w:r>
      <w:r w:rsidR="00070B3F">
        <w:rPr>
          <w:lang w:val="en-GB"/>
        </w:rPr>
        <w:t>n</w:t>
      </w:r>
      <w:r w:rsidR="00070B3F" w:rsidRPr="00070B3F">
        <w:rPr>
          <w:lang w:val="en-GB"/>
        </w:rPr>
        <w:t xml:space="preserve"> about 2.4 and 5.8 with a temperature lift of 95 to 40 K</w:t>
      </w:r>
      <w:r w:rsidR="00070B3F">
        <w:rPr>
          <w:lang w:val="en-GB"/>
        </w:rPr>
        <w:t xml:space="preserve"> </w:t>
      </w:r>
      <w:r w:rsidR="00BF3983">
        <w:rPr>
          <w:lang w:val="en-GB"/>
        </w:rPr>
        <w:t>[</w:t>
      </w:r>
      <w:r w:rsidR="00D14669">
        <w:rPr>
          <w:lang w:val="en-GB"/>
        </w:rPr>
        <w:t>10</w:t>
      </w:r>
      <w:r w:rsidR="00BF3983">
        <w:rPr>
          <w:lang w:val="en-GB"/>
        </w:rPr>
        <w:t>]</w:t>
      </w:r>
      <w:r w:rsidR="0064780B">
        <w:rPr>
          <w:lang w:val="en-GB"/>
        </w:rPr>
        <w:t xml:space="preserve"> for the Case Study</w:t>
      </w:r>
      <w:r w:rsidR="0088777A">
        <w:rPr>
          <w:lang w:val="en-GB"/>
        </w:rPr>
        <w:t xml:space="preserve"> a COP of 3</w:t>
      </w:r>
      <w:r w:rsidR="00983710" w:rsidRPr="00983710">
        <w:rPr>
          <w:lang w:val="en-GB"/>
        </w:rPr>
        <w:t xml:space="preserve"> </w:t>
      </w:r>
      <w:r w:rsidR="00983710">
        <w:rPr>
          <w:lang w:val="en-GB"/>
        </w:rPr>
        <w:t>has been considered</w:t>
      </w:r>
      <w:r w:rsidR="0064780B">
        <w:rPr>
          <w:lang w:val="en-GB"/>
        </w:rPr>
        <w:t>.</w:t>
      </w:r>
      <w:r w:rsidR="001D13A7">
        <w:rPr>
          <w:lang w:val="en-GB"/>
        </w:rPr>
        <w:t xml:space="preserve"> </w:t>
      </w:r>
      <w:r w:rsidR="00A3316B">
        <w:rPr>
          <w:lang w:val="en-GB"/>
        </w:rPr>
        <w:t>Input data for Case C have been taken as per Paragraph 3</w:t>
      </w:r>
      <w:r w:rsidR="00983710">
        <w:rPr>
          <w:lang w:val="en-GB"/>
        </w:rPr>
        <w:t xml:space="preserve"> and</w:t>
      </w:r>
      <w:r w:rsidR="00C4106C">
        <w:rPr>
          <w:lang w:val="en-GB"/>
        </w:rPr>
        <w:t xml:space="preserve"> </w:t>
      </w:r>
      <w:r w:rsidR="00983710">
        <w:rPr>
          <w:lang w:val="en-GB"/>
        </w:rPr>
        <w:t xml:space="preserve">the </w:t>
      </w:r>
      <w:r w:rsidR="00C4106C">
        <w:rPr>
          <w:lang w:val="en-GB"/>
        </w:rPr>
        <w:t>resulting data are shown in Table 2</w:t>
      </w:r>
      <w:r w:rsidR="00983710">
        <w:rPr>
          <w:lang w:val="en-GB"/>
        </w:rPr>
        <w:t>:</w:t>
      </w:r>
    </w:p>
    <w:p w14:paraId="7FCBAB38" w14:textId="6B49C3C1" w:rsidR="00C4106C" w:rsidRDefault="00C4106C" w:rsidP="00C4106C">
      <w:pPr>
        <w:pStyle w:val="CETTabletitle"/>
      </w:pPr>
      <w:r w:rsidRPr="00B57B36">
        <w:t xml:space="preserve">Table </w:t>
      </w:r>
      <w:r w:rsidR="005B4480">
        <w:t>2</w:t>
      </w:r>
      <w:r w:rsidRPr="00B57B36">
        <w:t xml:space="preserve">: </w:t>
      </w:r>
      <w:r>
        <w:t>Case Study output data</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86"/>
        <w:gridCol w:w="701"/>
        <w:gridCol w:w="918"/>
        <w:gridCol w:w="1512"/>
        <w:gridCol w:w="1350"/>
      </w:tblGrid>
      <w:tr w:rsidR="00C4106C" w:rsidRPr="00B57B36" w14:paraId="788E24B0" w14:textId="77777777" w:rsidTr="00E74991">
        <w:tc>
          <w:tcPr>
            <w:tcW w:w="2686" w:type="dxa"/>
            <w:tcBorders>
              <w:top w:val="single" w:sz="12" w:space="0" w:color="008000"/>
              <w:bottom w:val="single" w:sz="6" w:space="0" w:color="008000"/>
            </w:tcBorders>
            <w:shd w:val="clear" w:color="auto" w:fill="FFFFFF"/>
            <w:vAlign w:val="center"/>
          </w:tcPr>
          <w:p w14:paraId="43748BCA" w14:textId="77777777" w:rsidR="00C4106C" w:rsidRPr="00B57B36" w:rsidRDefault="00C4106C" w:rsidP="00E74991">
            <w:pPr>
              <w:pStyle w:val="CETBodytext"/>
              <w:jc w:val="left"/>
              <w:rPr>
                <w:lang w:val="en-GB"/>
              </w:rPr>
            </w:pPr>
          </w:p>
        </w:tc>
        <w:tc>
          <w:tcPr>
            <w:tcW w:w="701" w:type="dxa"/>
            <w:tcBorders>
              <w:top w:val="single" w:sz="12" w:space="0" w:color="008000"/>
              <w:bottom w:val="single" w:sz="6" w:space="0" w:color="008000"/>
            </w:tcBorders>
            <w:shd w:val="clear" w:color="auto" w:fill="FFFFFF"/>
            <w:vAlign w:val="center"/>
          </w:tcPr>
          <w:p w14:paraId="69239561" w14:textId="77777777" w:rsidR="00C4106C" w:rsidRDefault="00C4106C" w:rsidP="00E74991">
            <w:pPr>
              <w:pStyle w:val="CETBodytext"/>
              <w:jc w:val="center"/>
              <w:rPr>
                <w:lang w:val="en-GB"/>
              </w:rPr>
            </w:pPr>
          </w:p>
        </w:tc>
        <w:tc>
          <w:tcPr>
            <w:tcW w:w="918" w:type="dxa"/>
            <w:tcBorders>
              <w:top w:val="single" w:sz="12" w:space="0" w:color="008000"/>
              <w:bottom w:val="single" w:sz="6" w:space="0" w:color="008000"/>
            </w:tcBorders>
            <w:shd w:val="clear" w:color="auto" w:fill="FFFFFF"/>
            <w:vAlign w:val="center"/>
          </w:tcPr>
          <w:p w14:paraId="152691A4" w14:textId="77777777" w:rsidR="00C4106C" w:rsidRPr="00B57B36" w:rsidRDefault="00C4106C" w:rsidP="00E74991">
            <w:pPr>
              <w:pStyle w:val="CETBodytext"/>
              <w:jc w:val="center"/>
              <w:rPr>
                <w:lang w:val="en-GB"/>
              </w:rPr>
            </w:pPr>
            <w:r>
              <w:rPr>
                <w:lang w:val="en-GB"/>
              </w:rPr>
              <w:t>Case A</w:t>
            </w:r>
          </w:p>
        </w:tc>
        <w:tc>
          <w:tcPr>
            <w:tcW w:w="1512" w:type="dxa"/>
            <w:tcBorders>
              <w:top w:val="single" w:sz="12" w:space="0" w:color="008000"/>
              <w:bottom w:val="single" w:sz="6" w:space="0" w:color="008000"/>
            </w:tcBorders>
            <w:shd w:val="clear" w:color="auto" w:fill="FFFFFF"/>
            <w:vAlign w:val="center"/>
          </w:tcPr>
          <w:p w14:paraId="03AE0D89" w14:textId="77777777" w:rsidR="00C4106C" w:rsidRPr="00B57B36" w:rsidRDefault="00C4106C" w:rsidP="00E74991">
            <w:pPr>
              <w:pStyle w:val="CETBodytext"/>
              <w:jc w:val="center"/>
              <w:rPr>
                <w:lang w:val="en-GB"/>
              </w:rPr>
            </w:pPr>
            <w:r>
              <w:rPr>
                <w:lang w:val="en-GB"/>
              </w:rPr>
              <w:t>Case B</w:t>
            </w:r>
          </w:p>
        </w:tc>
        <w:tc>
          <w:tcPr>
            <w:tcW w:w="1350" w:type="dxa"/>
            <w:tcBorders>
              <w:top w:val="single" w:sz="12" w:space="0" w:color="008000"/>
              <w:bottom w:val="single" w:sz="6" w:space="0" w:color="008000"/>
            </w:tcBorders>
            <w:shd w:val="clear" w:color="auto" w:fill="FFFFFF"/>
            <w:vAlign w:val="center"/>
          </w:tcPr>
          <w:p w14:paraId="4749E2C9" w14:textId="77777777" w:rsidR="00C4106C" w:rsidRPr="00B57B36" w:rsidRDefault="00C4106C" w:rsidP="00E74991">
            <w:pPr>
              <w:pStyle w:val="CETBodytext"/>
              <w:ind w:right="-1"/>
              <w:jc w:val="center"/>
              <w:rPr>
                <w:rFonts w:cs="Arial"/>
                <w:szCs w:val="18"/>
                <w:lang w:val="en-GB"/>
              </w:rPr>
            </w:pPr>
            <w:r>
              <w:rPr>
                <w:rFonts w:cs="Arial"/>
                <w:szCs w:val="18"/>
                <w:lang w:val="en-GB"/>
              </w:rPr>
              <w:t>Case C</w:t>
            </w:r>
          </w:p>
        </w:tc>
      </w:tr>
      <w:tr w:rsidR="00C4106C" w:rsidRPr="00B57B36" w14:paraId="1F6BAF80" w14:textId="77777777" w:rsidTr="00E74991">
        <w:tc>
          <w:tcPr>
            <w:tcW w:w="2686" w:type="dxa"/>
            <w:shd w:val="clear" w:color="auto" w:fill="FFFFFF"/>
            <w:vAlign w:val="center"/>
          </w:tcPr>
          <w:p w14:paraId="002274D2" w14:textId="77777777" w:rsidR="00C4106C" w:rsidRDefault="00C4106C" w:rsidP="00E74991">
            <w:pPr>
              <w:pStyle w:val="CETBodytext"/>
              <w:jc w:val="left"/>
              <w:rPr>
                <w:lang w:val="en-GB"/>
              </w:rPr>
            </w:pPr>
            <w:r>
              <w:rPr>
                <w:lang w:val="en-GB"/>
              </w:rPr>
              <w:t>Heat Media</w:t>
            </w:r>
          </w:p>
        </w:tc>
        <w:tc>
          <w:tcPr>
            <w:tcW w:w="701" w:type="dxa"/>
            <w:shd w:val="clear" w:color="auto" w:fill="FFFFFF"/>
            <w:vAlign w:val="center"/>
          </w:tcPr>
          <w:p w14:paraId="44E83996" w14:textId="77777777" w:rsidR="00C4106C" w:rsidRDefault="00C4106C" w:rsidP="00E74991">
            <w:pPr>
              <w:pStyle w:val="CETBodytext"/>
              <w:jc w:val="center"/>
              <w:rPr>
                <w:rFonts w:cs="Arial"/>
                <w:lang w:val="en-GB"/>
              </w:rPr>
            </w:pPr>
          </w:p>
        </w:tc>
        <w:tc>
          <w:tcPr>
            <w:tcW w:w="918" w:type="dxa"/>
            <w:shd w:val="clear" w:color="auto" w:fill="FFFFFF"/>
            <w:vAlign w:val="center"/>
          </w:tcPr>
          <w:p w14:paraId="1BF60A29" w14:textId="77777777" w:rsidR="00C4106C" w:rsidRDefault="00C4106C" w:rsidP="00E74991">
            <w:pPr>
              <w:pStyle w:val="CETBodytext"/>
              <w:jc w:val="center"/>
              <w:rPr>
                <w:lang w:val="en-GB"/>
              </w:rPr>
            </w:pPr>
            <w:r>
              <w:rPr>
                <w:rFonts w:cs="Arial"/>
                <w:lang w:val="en-GB"/>
              </w:rPr>
              <w:t>Steam</w:t>
            </w:r>
          </w:p>
        </w:tc>
        <w:tc>
          <w:tcPr>
            <w:tcW w:w="1512" w:type="dxa"/>
            <w:shd w:val="clear" w:color="auto" w:fill="FFFFFF"/>
            <w:vAlign w:val="center"/>
          </w:tcPr>
          <w:p w14:paraId="48F08084" w14:textId="77777777" w:rsidR="00C4106C" w:rsidRPr="00B57B36" w:rsidRDefault="00C4106C" w:rsidP="00E74991">
            <w:pPr>
              <w:pStyle w:val="CETBodytext"/>
              <w:jc w:val="center"/>
              <w:rPr>
                <w:lang w:val="en-GB"/>
              </w:rPr>
            </w:pPr>
            <w:r>
              <w:rPr>
                <w:lang w:val="en-GB"/>
              </w:rPr>
              <w:t>Heat Pump</w:t>
            </w:r>
          </w:p>
        </w:tc>
        <w:tc>
          <w:tcPr>
            <w:tcW w:w="1350" w:type="dxa"/>
            <w:shd w:val="clear" w:color="auto" w:fill="FFFFFF"/>
            <w:vAlign w:val="center"/>
          </w:tcPr>
          <w:p w14:paraId="4D7F1594" w14:textId="77777777" w:rsidR="00C4106C" w:rsidRPr="00B57B36" w:rsidRDefault="00C4106C" w:rsidP="00E74991">
            <w:pPr>
              <w:pStyle w:val="CETBodytext"/>
              <w:ind w:right="-1"/>
              <w:jc w:val="center"/>
              <w:rPr>
                <w:rFonts w:cs="Arial"/>
                <w:szCs w:val="18"/>
                <w:lang w:val="en-GB"/>
              </w:rPr>
            </w:pPr>
            <w:r>
              <w:rPr>
                <w:rFonts w:cs="Arial"/>
                <w:szCs w:val="18"/>
                <w:lang w:val="en-GB"/>
              </w:rPr>
              <w:t>Steam</w:t>
            </w:r>
          </w:p>
        </w:tc>
      </w:tr>
      <w:tr w:rsidR="00DA7B1A" w:rsidRPr="00B57B36" w14:paraId="64AF10A0" w14:textId="77777777" w:rsidTr="00E74991">
        <w:tc>
          <w:tcPr>
            <w:tcW w:w="2686" w:type="dxa"/>
            <w:shd w:val="clear" w:color="auto" w:fill="FFFFFF"/>
            <w:vAlign w:val="center"/>
          </w:tcPr>
          <w:p w14:paraId="01388816" w14:textId="15D5E6E2" w:rsidR="00DA7B1A" w:rsidRDefault="00DA7B1A" w:rsidP="00DA7B1A">
            <w:pPr>
              <w:pStyle w:val="CETBodytext"/>
              <w:jc w:val="left"/>
              <w:rPr>
                <w:rFonts w:cs="Arial"/>
                <w:szCs w:val="18"/>
                <w:lang w:val="en-GB"/>
              </w:rPr>
            </w:pPr>
            <w:r>
              <w:rPr>
                <w:rFonts w:cs="Arial"/>
                <w:szCs w:val="18"/>
                <w:lang w:val="en-GB"/>
              </w:rPr>
              <w:t>Electric Power</w:t>
            </w:r>
          </w:p>
        </w:tc>
        <w:tc>
          <w:tcPr>
            <w:tcW w:w="701" w:type="dxa"/>
            <w:shd w:val="clear" w:color="auto" w:fill="FFFFFF"/>
            <w:vAlign w:val="center"/>
          </w:tcPr>
          <w:p w14:paraId="70C96B83" w14:textId="5308BBFA" w:rsidR="00DA7B1A" w:rsidRDefault="00DA7B1A" w:rsidP="00DA7B1A">
            <w:pPr>
              <w:pStyle w:val="CETBodytext"/>
              <w:jc w:val="center"/>
              <w:rPr>
                <w:rFonts w:cs="Arial"/>
                <w:szCs w:val="18"/>
                <w:lang w:val="en-GB"/>
              </w:rPr>
            </w:pPr>
            <w:r>
              <w:rPr>
                <w:rFonts w:cs="Arial"/>
                <w:szCs w:val="18"/>
                <w:lang w:val="en-GB"/>
              </w:rPr>
              <w:t>%</w:t>
            </w:r>
          </w:p>
        </w:tc>
        <w:tc>
          <w:tcPr>
            <w:tcW w:w="918" w:type="dxa"/>
            <w:shd w:val="clear" w:color="auto" w:fill="FFFFFF"/>
            <w:vAlign w:val="center"/>
          </w:tcPr>
          <w:p w14:paraId="7A2E7148" w14:textId="1238816B" w:rsidR="00DA7B1A" w:rsidRDefault="00DA7B1A" w:rsidP="00DA7B1A">
            <w:pPr>
              <w:pStyle w:val="CETBodytext"/>
              <w:jc w:val="center"/>
              <w:rPr>
                <w:rFonts w:cs="Arial"/>
                <w:szCs w:val="18"/>
                <w:lang w:val="en-GB"/>
              </w:rPr>
            </w:pPr>
            <w:r>
              <w:rPr>
                <w:lang w:val="en-GB"/>
              </w:rPr>
              <w:t>62</w:t>
            </w:r>
          </w:p>
        </w:tc>
        <w:tc>
          <w:tcPr>
            <w:tcW w:w="1512" w:type="dxa"/>
            <w:shd w:val="clear" w:color="auto" w:fill="FFFFFF"/>
            <w:vAlign w:val="center"/>
          </w:tcPr>
          <w:p w14:paraId="62BCC3BA" w14:textId="10A04B8E" w:rsidR="00DA7B1A" w:rsidRDefault="00DA7B1A" w:rsidP="00DA7B1A">
            <w:pPr>
              <w:pStyle w:val="CETBodytext"/>
              <w:jc w:val="center"/>
              <w:rPr>
                <w:lang w:val="en-GB"/>
              </w:rPr>
            </w:pPr>
            <w:r>
              <w:rPr>
                <w:rFonts w:cs="Arial"/>
                <w:szCs w:val="18"/>
                <w:lang w:val="en-GB"/>
              </w:rPr>
              <w:t>100</w:t>
            </w:r>
          </w:p>
        </w:tc>
        <w:tc>
          <w:tcPr>
            <w:tcW w:w="1350" w:type="dxa"/>
            <w:shd w:val="clear" w:color="auto" w:fill="FFFFFF"/>
            <w:vAlign w:val="center"/>
          </w:tcPr>
          <w:p w14:paraId="7EAD980C" w14:textId="4455A9C8" w:rsidR="00DA7B1A" w:rsidRDefault="00DA7B1A" w:rsidP="00DA7B1A">
            <w:pPr>
              <w:pStyle w:val="CETBodytext"/>
              <w:ind w:right="-1"/>
              <w:jc w:val="center"/>
              <w:rPr>
                <w:rFonts w:cs="Arial"/>
                <w:szCs w:val="18"/>
                <w:lang w:val="en-GB"/>
              </w:rPr>
            </w:pPr>
            <w:r>
              <w:rPr>
                <w:rFonts w:cs="Arial"/>
                <w:szCs w:val="18"/>
                <w:lang w:val="en-GB"/>
              </w:rPr>
              <w:t>51</w:t>
            </w:r>
          </w:p>
        </w:tc>
      </w:tr>
      <w:tr w:rsidR="00DA7B1A" w:rsidRPr="00B57B36" w14:paraId="3B7C532D" w14:textId="77777777" w:rsidTr="00E74991">
        <w:tc>
          <w:tcPr>
            <w:tcW w:w="2686" w:type="dxa"/>
            <w:shd w:val="clear" w:color="auto" w:fill="FFFFFF"/>
            <w:vAlign w:val="center"/>
          </w:tcPr>
          <w:p w14:paraId="2B1DA52A" w14:textId="3958E176" w:rsidR="00DA7B1A" w:rsidRDefault="00DA7B1A" w:rsidP="00DA7B1A">
            <w:pPr>
              <w:pStyle w:val="CETBodytext"/>
              <w:jc w:val="left"/>
              <w:rPr>
                <w:rFonts w:cs="Arial"/>
                <w:szCs w:val="18"/>
                <w:lang w:val="en-GB"/>
              </w:rPr>
            </w:pPr>
            <w:r>
              <w:rPr>
                <w:rFonts w:cs="Arial"/>
                <w:szCs w:val="18"/>
                <w:lang w:val="en-GB"/>
              </w:rPr>
              <w:t xml:space="preserve">Fuel Gas [MWh] </w:t>
            </w:r>
          </w:p>
        </w:tc>
        <w:tc>
          <w:tcPr>
            <w:tcW w:w="701" w:type="dxa"/>
            <w:shd w:val="clear" w:color="auto" w:fill="FFFFFF"/>
            <w:vAlign w:val="center"/>
          </w:tcPr>
          <w:p w14:paraId="2B560A56" w14:textId="1F4DB004" w:rsidR="00DA7B1A" w:rsidRDefault="00DA7B1A" w:rsidP="00DA7B1A">
            <w:pPr>
              <w:pStyle w:val="CETBodytext"/>
              <w:jc w:val="center"/>
              <w:rPr>
                <w:rFonts w:cs="Arial"/>
                <w:szCs w:val="18"/>
                <w:lang w:val="en-GB"/>
              </w:rPr>
            </w:pPr>
            <w:r>
              <w:rPr>
                <w:rFonts w:cs="Arial"/>
                <w:szCs w:val="18"/>
                <w:lang w:val="en-GB"/>
              </w:rPr>
              <w:t>%</w:t>
            </w:r>
          </w:p>
        </w:tc>
        <w:tc>
          <w:tcPr>
            <w:tcW w:w="918" w:type="dxa"/>
            <w:shd w:val="clear" w:color="auto" w:fill="FFFFFF"/>
            <w:vAlign w:val="center"/>
          </w:tcPr>
          <w:p w14:paraId="1ED7430F" w14:textId="7D9996AA" w:rsidR="00DA7B1A" w:rsidRDefault="00DA7B1A" w:rsidP="00DA7B1A">
            <w:pPr>
              <w:pStyle w:val="CETBodytext"/>
              <w:jc w:val="center"/>
              <w:rPr>
                <w:rFonts w:cs="Arial"/>
                <w:szCs w:val="18"/>
                <w:lang w:val="en-GB"/>
              </w:rPr>
            </w:pPr>
            <w:r>
              <w:rPr>
                <w:lang w:val="en-GB"/>
              </w:rPr>
              <w:t>100</w:t>
            </w:r>
          </w:p>
        </w:tc>
        <w:tc>
          <w:tcPr>
            <w:tcW w:w="1512" w:type="dxa"/>
            <w:shd w:val="clear" w:color="auto" w:fill="FFFFFF"/>
            <w:vAlign w:val="center"/>
          </w:tcPr>
          <w:p w14:paraId="43346AAB" w14:textId="5E3EEE53" w:rsidR="00DA7B1A" w:rsidRDefault="00DA7B1A" w:rsidP="00DA7B1A">
            <w:pPr>
              <w:pStyle w:val="CETBodytext"/>
              <w:jc w:val="center"/>
              <w:rPr>
                <w:lang w:val="en-GB"/>
              </w:rPr>
            </w:pPr>
            <w:r>
              <w:rPr>
                <w:rFonts w:cs="Arial"/>
                <w:szCs w:val="18"/>
                <w:lang w:val="en-GB"/>
              </w:rPr>
              <w:t>-</w:t>
            </w:r>
          </w:p>
        </w:tc>
        <w:tc>
          <w:tcPr>
            <w:tcW w:w="1350" w:type="dxa"/>
            <w:shd w:val="clear" w:color="auto" w:fill="FFFFFF"/>
            <w:vAlign w:val="center"/>
          </w:tcPr>
          <w:p w14:paraId="4CED0241" w14:textId="4DAD8169" w:rsidR="00DA7B1A" w:rsidRDefault="00DA7B1A" w:rsidP="00DA7B1A">
            <w:pPr>
              <w:pStyle w:val="CETBodytext"/>
              <w:ind w:right="-1"/>
              <w:jc w:val="center"/>
              <w:rPr>
                <w:rFonts w:cs="Arial"/>
                <w:szCs w:val="18"/>
                <w:lang w:val="en-GB"/>
              </w:rPr>
            </w:pPr>
            <w:r>
              <w:rPr>
                <w:rFonts w:cs="Arial"/>
                <w:szCs w:val="18"/>
                <w:lang w:val="en-GB"/>
              </w:rPr>
              <w:t>83</w:t>
            </w:r>
          </w:p>
        </w:tc>
      </w:tr>
      <w:tr w:rsidR="00DA7B1A" w:rsidRPr="00B57B36" w14:paraId="4D4C3FDE" w14:textId="77777777" w:rsidTr="00E74991">
        <w:tc>
          <w:tcPr>
            <w:tcW w:w="2686" w:type="dxa"/>
            <w:shd w:val="clear" w:color="auto" w:fill="FFFFFF"/>
            <w:vAlign w:val="center"/>
          </w:tcPr>
          <w:p w14:paraId="2B8FBDD7" w14:textId="60CF1651" w:rsidR="00DA7B1A" w:rsidRPr="007619DF" w:rsidRDefault="00DA7B1A" w:rsidP="00DA7B1A">
            <w:pPr>
              <w:pStyle w:val="CETBodytext"/>
              <w:jc w:val="left"/>
              <w:rPr>
                <w:rFonts w:cs="Arial"/>
                <w:szCs w:val="18"/>
                <w:lang w:val="en-GB"/>
              </w:rPr>
            </w:pPr>
            <w:r>
              <w:rPr>
                <w:rFonts w:cs="Arial"/>
                <w:szCs w:val="18"/>
                <w:lang w:val="en-GB"/>
              </w:rPr>
              <w:t>Overall Energy Consumption (1)</w:t>
            </w:r>
          </w:p>
        </w:tc>
        <w:tc>
          <w:tcPr>
            <w:tcW w:w="701" w:type="dxa"/>
            <w:shd w:val="clear" w:color="auto" w:fill="FFFFFF"/>
            <w:vAlign w:val="center"/>
          </w:tcPr>
          <w:p w14:paraId="4472A870" w14:textId="20095903" w:rsidR="00DA7B1A" w:rsidRDefault="00DA7B1A" w:rsidP="00DA7B1A">
            <w:pPr>
              <w:pStyle w:val="CETBodytext"/>
              <w:jc w:val="center"/>
              <w:rPr>
                <w:rFonts w:cs="Arial"/>
                <w:szCs w:val="18"/>
                <w:lang w:val="en-GB"/>
              </w:rPr>
            </w:pPr>
            <w:r>
              <w:rPr>
                <w:rFonts w:cs="Arial"/>
                <w:szCs w:val="18"/>
                <w:lang w:val="en-GB"/>
              </w:rPr>
              <w:t>%</w:t>
            </w:r>
          </w:p>
        </w:tc>
        <w:tc>
          <w:tcPr>
            <w:tcW w:w="918" w:type="dxa"/>
            <w:shd w:val="clear" w:color="auto" w:fill="FFFFFF"/>
            <w:vAlign w:val="center"/>
          </w:tcPr>
          <w:p w14:paraId="7DB4A787" w14:textId="686CDDA2" w:rsidR="00DA7B1A" w:rsidRDefault="008702A9" w:rsidP="00DA7B1A">
            <w:pPr>
              <w:pStyle w:val="CETBodytext"/>
              <w:jc w:val="center"/>
              <w:rPr>
                <w:rFonts w:cs="Arial"/>
                <w:szCs w:val="18"/>
                <w:lang w:val="en-GB"/>
              </w:rPr>
            </w:pPr>
            <w:r>
              <w:rPr>
                <w:rFonts w:cs="Arial"/>
                <w:szCs w:val="18"/>
                <w:lang w:val="en-GB"/>
              </w:rPr>
              <w:t>229</w:t>
            </w:r>
          </w:p>
        </w:tc>
        <w:tc>
          <w:tcPr>
            <w:tcW w:w="1512" w:type="dxa"/>
            <w:shd w:val="clear" w:color="auto" w:fill="FFFFFF"/>
            <w:vAlign w:val="center"/>
          </w:tcPr>
          <w:p w14:paraId="168BD3E4" w14:textId="2F49D07A" w:rsidR="00DA7B1A" w:rsidRDefault="00DA7B1A" w:rsidP="00DA7B1A">
            <w:pPr>
              <w:pStyle w:val="CETBodytext"/>
              <w:jc w:val="center"/>
              <w:rPr>
                <w:lang w:val="en-GB"/>
              </w:rPr>
            </w:pPr>
            <w:r>
              <w:rPr>
                <w:rFonts w:cs="Arial"/>
                <w:szCs w:val="18"/>
                <w:lang w:val="en-GB"/>
              </w:rPr>
              <w:t>100</w:t>
            </w:r>
          </w:p>
        </w:tc>
        <w:tc>
          <w:tcPr>
            <w:tcW w:w="1350" w:type="dxa"/>
            <w:shd w:val="clear" w:color="auto" w:fill="FFFFFF"/>
            <w:vAlign w:val="center"/>
          </w:tcPr>
          <w:p w14:paraId="0D4C9066" w14:textId="6C5F19DB" w:rsidR="00DA7B1A" w:rsidRDefault="008702A9" w:rsidP="00DA7B1A">
            <w:pPr>
              <w:pStyle w:val="CETBodytext"/>
              <w:ind w:right="-1"/>
              <w:jc w:val="center"/>
              <w:rPr>
                <w:rFonts w:cs="Arial"/>
                <w:szCs w:val="18"/>
                <w:lang w:val="en-GB"/>
              </w:rPr>
            </w:pPr>
            <w:r>
              <w:rPr>
                <w:rFonts w:cs="Arial"/>
                <w:szCs w:val="18"/>
                <w:lang w:val="en-GB"/>
              </w:rPr>
              <w:t>276</w:t>
            </w:r>
          </w:p>
        </w:tc>
      </w:tr>
      <w:tr w:rsidR="00DA7B1A" w:rsidRPr="00B57B36" w14:paraId="007F70B3" w14:textId="77777777" w:rsidTr="00E74991">
        <w:tc>
          <w:tcPr>
            <w:tcW w:w="2686" w:type="dxa"/>
            <w:shd w:val="clear" w:color="auto" w:fill="FFFFFF"/>
            <w:vAlign w:val="center"/>
          </w:tcPr>
          <w:p w14:paraId="013B04F0" w14:textId="7D073DE6" w:rsidR="00DA7B1A" w:rsidRDefault="00DA7B1A" w:rsidP="00DA7B1A">
            <w:pPr>
              <w:pStyle w:val="CETBodytext"/>
              <w:jc w:val="left"/>
              <w:rPr>
                <w:rFonts w:cs="Arial"/>
                <w:szCs w:val="18"/>
                <w:lang w:val="en-GB"/>
              </w:rPr>
            </w:pPr>
            <w:r>
              <w:rPr>
                <w:rFonts w:cs="Arial"/>
                <w:szCs w:val="18"/>
                <w:lang w:val="en-GB"/>
              </w:rPr>
              <w:t>Overall Energy Cost/tonCO</w:t>
            </w:r>
            <w:r>
              <w:rPr>
                <w:rFonts w:cs="Arial"/>
                <w:szCs w:val="18"/>
                <w:vertAlign w:val="subscript"/>
                <w:lang w:val="en-GB"/>
              </w:rPr>
              <w:t>2</w:t>
            </w:r>
            <w:r>
              <w:rPr>
                <w:rFonts w:cs="Arial"/>
                <w:szCs w:val="18"/>
                <w:lang w:val="en-GB"/>
              </w:rPr>
              <w:t xml:space="preserve"> (2)</w:t>
            </w:r>
          </w:p>
        </w:tc>
        <w:tc>
          <w:tcPr>
            <w:tcW w:w="701" w:type="dxa"/>
            <w:shd w:val="clear" w:color="auto" w:fill="FFFFFF"/>
            <w:vAlign w:val="center"/>
          </w:tcPr>
          <w:p w14:paraId="50392422" w14:textId="4F0A4402" w:rsidR="00DA7B1A" w:rsidRDefault="00DA7B1A" w:rsidP="00DA7B1A">
            <w:pPr>
              <w:pStyle w:val="CETBodytext"/>
              <w:jc w:val="center"/>
              <w:rPr>
                <w:rFonts w:cs="Arial"/>
                <w:szCs w:val="18"/>
                <w:lang w:val="en-GB"/>
              </w:rPr>
            </w:pPr>
            <w:r>
              <w:rPr>
                <w:rFonts w:cs="Arial"/>
                <w:szCs w:val="18"/>
                <w:lang w:val="en-GB"/>
              </w:rPr>
              <w:t>%</w:t>
            </w:r>
          </w:p>
        </w:tc>
        <w:tc>
          <w:tcPr>
            <w:tcW w:w="918" w:type="dxa"/>
            <w:shd w:val="clear" w:color="auto" w:fill="FFFFFF"/>
            <w:vAlign w:val="center"/>
          </w:tcPr>
          <w:p w14:paraId="3B2C07FE" w14:textId="320C482E" w:rsidR="00DA7B1A" w:rsidRDefault="00DA7B1A" w:rsidP="00DA7B1A">
            <w:pPr>
              <w:pStyle w:val="CETBodytext"/>
              <w:jc w:val="center"/>
              <w:rPr>
                <w:rFonts w:cs="Arial"/>
                <w:szCs w:val="18"/>
                <w:lang w:val="en-GB"/>
              </w:rPr>
            </w:pPr>
            <w:r>
              <w:rPr>
                <w:lang w:val="en-GB"/>
              </w:rPr>
              <w:t>140</w:t>
            </w:r>
          </w:p>
        </w:tc>
        <w:tc>
          <w:tcPr>
            <w:tcW w:w="1512" w:type="dxa"/>
            <w:shd w:val="clear" w:color="auto" w:fill="FFFFFF"/>
            <w:vAlign w:val="center"/>
          </w:tcPr>
          <w:p w14:paraId="233B5FD6" w14:textId="627FD13F" w:rsidR="00DA7B1A" w:rsidRDefault="00DA7B1A" w:rsidP="00DA7B1A">
            <w:pPr>
              <w:pStyle w:val="CETBodytext"/>
              <w:jc w:val="center"/>
              <w:rPr>
                <w:lang w:val="en-GB"/>
              </w:rPr>
            </w:pPr>
            <w:r>
              <w:rPr>
                <w:rFonts w:cs="Arial"/>
                <w:szCs w:val="18"/>
                <w:lang w:val="en-GB"/>
              </w:rPr>
              <w:t>100</w:t>
            </w:r>
          </w:p>
        </w:tc>
        <w:tc>
          <w:tcPr>
            <w:tcW w:w="1350" w:type="dxa"/>
            <w:shd w:val="clear" w:color="auto" w:fill="FFFFFF"/>
            <w:vAlign w:val="center"/>
          </w:tcPr>
          <w:p w14:paraId="37D84FF0" w14:textId="2706D2C0" w:rsidR="00DA7B1A" w:rsidRDefault="00DA7B1A" w:rsidP="00DA7B1A">
            <w:pPr>
              <w:pStyle w:val="CETBodytext"/>
              <w:ind w:right="-1"/>
              <w:jc w:val="center"/>
              <w:rPr>
                <w:rFonts w:cs="Arial"/>
                <w:szCs w:val="18"/>
                <w:lang w:val="en-GB"/>
              </w:rPr>
            </w:pPr>
            <w:r>
              <w:rPr>
                <w:rFonts w:cs="Arial"/>
                <w:szCs w:val="18"/>
                <w:lang w:val="en-GB"/>
              </w:rPr>
              <w:t>169</w:t>
            </w:r>
          </w:p>
        </w:tc>
      </w:tr>
    </w:tbl>
    <w:p w14:paraId="5AE70528" w14:textId="4C9A96A5" w:rsidR="00E053B5" w:rsidRDefault="00E053B5" w:rsidP="00E053B5">
      <w:pPr>
        <w:pStyle w:val="ListParagraph"/>
        <w:numPr>
          <w:ilvl w:val="0"/>
          <w:numId w:val="29"/>
        </w:numPr>
      </w:pPr>
      <w:r>
        <w:t xml:space="preserve">Overall Energy Consumption is the sum of </w:t>
      </w:r>
      <w:r w:rsidR="00CB04CC">
        <w:t xml:space="preserve">the Electric Power and the Fuel Gas power. </w:t>
      </w:r>
    </w:p>
    <w:p w14:paraId="0E22F4B5" w14:textId="183365CA" w:rsidR="00E053B5" w:rsidRDefault="00E053B5" w:rsidP="00E053B5">
      <w:pPr>
        <w:pStyle w:val="ListParagraph"/>
        <w:numPr>
          <w:ilvl w:val="0"/>
          <w:numId w:val="29"/>
        </w:numPr>
      </w:pPr>
      <w:r>
        <w:t>E</w:t>
      </w:r>
      <w:r w:rsidRPr="00A25F67">
        <w:t xml:space="preserve">stimated price of electric power is 60 </w:t>
      </w:r>
      <w:r w:rsidRPr="000729C3">
        <w:t>€</w:t>
      </w:r>
      <w:r w:rsidRPr="00A25F67">
        <w:t xml:space="preserve">/MW, and </w:t>
      </w:r>
      <w:r>
        <w:t>estimated</w:t>
      </w:r>
      <w:r w:rsidRPr="00A25F67">
        <w:t xml:space="preserve"> price of </w:t>
      </w:r>
      <w:r w:rsidR="002A7E01">
        <w:t xml:space="preserve">methane </w:t>
      </w:r>
      <w:r w:rsidRPr="00A25F67">
        <w:t>is 30</w:t>
      </w:r>
      <w:r w:rsidRPr="000729C3">
        <w:rPr>
          <w:rFonts w:ascii="Roboto" w:hAnsi="Roboto"/>
          <w:color w:val="111111"/>
          <w:shd w:val="clear" w:color="auto" w:fill="FFFFFF"/>
        </w:rPr>
        <w:t xml:space="preserve"> </w:t>
      </w:r>
      <w:r w:rsidRPr="000729C3">
        <w:t>€</w:t>
      </w:r>
      <w:r w:rsidRPr="00A25F67">
        <w:t>/MW.</w:t>
      </w:r>
    </w:p>
    <w:p w14:paraId="207F1118" w14:textId="502E05E9" w:rsidR="00E07865" w:rsidRPr="00E07865" w:rsidRDefault="00F850E3" w:rsidP="00F850E3">
      <w:pPr>
        <w:pStyle w:val="CETHeading1"/>
      </w:pPr>
      <w:r>
        <w:t>Conclusions</w:t>
      </w:r>
    </w:p>
    <w:p w14:paraId="2BBA4BEF" w14:textId="30E81AB4" w:rsidR="0032211E" w:rsidRDefault="0032211E" w:rsidP="00A0107E">
      <w:pPr>
        <w:pStyle w:val="CETBodytext"/>
        <w:rPr>
          <w:lang w:val="en-GB"/>
        </w:rPr>
      </w:pPr>
      <w:r w:rsidRPr="0032211E">
        <w:rPr>
          <w:lang w:val="en-GB"/>
        </w:rPr>
        <w:t>This study demonstrates that integrating heat pumps into CO</w:t>
      </w:r>
      <w:r w:rsidRPr="0032211E">
        <w:rPr>
          <w:rFonts w:ascii="Cambria Math" w:hAnsi="Cambria Math" w:cs="Cambria Math"/>
          <w:lang w:val="en-GB"/>
        </w:rPr>
        <w:t>₂</w:t>
      </w:r>
      <w:r w:rsidRPr="0032211E">
        <w:rPr>
          <w:lang w:val="en-GB"/>
        </w:rPr>
        <w:t xml:space="preserve"> capture systems represents an </w:t>
      </w:r>
      <w:r w:rsidR="00F210BA">
        <w:rPr>
          <w:lang w:val="en-GB"/>
        </w:rPr>
        <w:t>effective solution</w:t>
      </w:r>
      <w:r w:rsidRPr="0032211E">
        <w:rPr>
          <w:lang w:val="en-GB"/>
        </w:rPr>
        <w:t>, particularly for hard-to-abate industries like cement production, where steam availability is limited. The analysis of a plant with a CO</w:t>
      </w:r>
      <w:r w:rsidRPr="0032211E">
        <w:rPr>
          <w:rFonts w:ascii="Cambria Math" w:hAnsi="Cambria Math" w:cs="Cambria Math"/>
          <w:lang w:val="en-GB"/>
        </w:rPr>
        <w:t>₂</w:t>
      </w:r>
      <w:r w:rsidRPr="0032211E">
        <w:rPr>
          <w:lang w:val="en-GB"/>
        </w:rPr>
        <w:t xml:space="preserve"> capture requirement of 1,600 </w:t>
      </w:r>
      <w:r w:rsidR="00134E78">
        <w:rPr>
          <w:lang w:val="en-GB"/>
        </w:rPr>
        <w:t>MTPD</w:t>
      </w:r>
      <w:r w:rsidRPr="0032211E">
        <w:rPr>
          <w:lang w:val="en-GB"/>
        </w:rPr>
        <w:t xml:space="preserve"> highlights the significant advantages of the heat pump configuration over traditional steam-based technology. By leveraging heat pumps, the system achieves an overall energy consumption approximately </w:t>
      </w:r>
      <w:r w:rsidR="00C44F95" w:rsidRPr="00C44F95">
        <w:rPr>
          <w:lang w:val="en-GB"/>
        </w:rPr>
        <w:t>70</w:t>
      </w:r>
      <w:r w:rsidRPr="00C44F95">
        <w:rPr>
          <w:lang w:val="en-GB"/>
        </w:rPr>
        <w:t>% lower th</w:t>
      </w:r>
      <w:r w:rsidRPr="0032211E">
        <w:rPr>
          <w:lang w:val="en-GB"/>
        </w:rPr>
        <w:t>an the steam-based solution, while also avoiding additional CO</w:t>
      </w:r>
      <w:r w:rsidRPr="0032211E">
        <w:rPr>
          <w:rFonts w:ascii="Cambria Math" w:hAnsi="Cambria Math" w:cs="Cambria Math"/>
          <w:lang w:val="en-GB"/>
        </w:rPr>
        <w:t>₂</w:t>
      </w:r>
      <w:r w:rsidRPr="0032211E">
        <w:rPr>
          <w:lang w:val="en-GB"/>
        </w:rPr>
        <w:t xml:space="preserve"> emissions generated during steam production</w:t>
      </w:r>
      <w:r w:rsidR="00EA33A7">
        <w:rPr>
          <w:lang w:val="en-GB"/>
        </w:rPr>
        <w:t xml:space="preserve"> if powered by </w:t>
      </w:r>
      <w:r w:rsidR="00BD4DE7">
        <w:rPr>
          <w:lang w:val="en-GB"/>
        </w:rPr>
        <w:t>renewable sources</w:t>
      </w:r>
      <w:r w:rsidRPr="0032211E">
        <w:rPr>
          <w:lang w:val="en-GB"/>
        </w:rPr>
        <w:t xml:space="preserve">. In contrast, the traditional approach would require an overdesign </w:t>
      </w:r>
      <w:r w:rsidR="008427C8">
        <w:rPr>
          <w:lang w:val="en-GB"/>
        </w:rPr>
        <w:t>from 15%</w:t>
      </w:r>
      <w:r w:rsidRPr="0032211E">
        <w:rPr>
          <w:lang w:val="en-GB"/>
        </w:rPr>
        <w:t xml:space="preserve"> </w:t>
      </w:r>
      <w:r w:rsidR="008427C8">
        <w:rPr>
          <w:lang w:val="en-GB"/>
        </w:rPr>
        <w:t xml:space="preserve">to </w:t>
      </w:r>
      <w:r w:rsidRPr="0032211E">
        <w:rPr>
          <w:lang w:val="en-GB"/>
        </w:rPr>
        <w:t>30%</w:t>
      </w:r>
      <w:r w:rsidR="008427C8">
        <w:rPr>
          <w:lang w:val="en-GB"/>
        </w:rPr>
        <w:t xml:space="preserve">, depending on </w:t>
      </w:r>
      <w:r w:rsidR="0071504B">
        <w:rPr>
          <w:lang w:val="en-GB"/>
        </w:rPr>
        <w:t>solvent energy requirement</w:t>
      </w:r>
      <w:r w:rsidR="008427C8">
        <w:rPr>
          <w:lang w:val="en-GB"/>
        </w:rPr>
        <w:t>,</w:t>
      </w:r>
      <w:r w:rsidRPr="0032211E">
        <w:rPr>
          <w:lang w:val="en-GB"/>
        </w:rPr>
        <w:t xml:space="preserve"> to capture these extra emissions, resulting in higher capital (</w:t>
      </w:r>
      <w:proofErr w:type="spellStart"/>
      <w:r w:rsidR="00F210BA">
        <w:rPr>
          <w:lang w:val="en-GB"/>
        </w:rPr>
        <w:t>CapEx</w:t>
      </w:r>
      <w:proofErr w:type="spellEnd"/>
      <w:r w:rsidRPr="0032211E">
        <w:rPr>
          <w:lang w:val="en-GB"/>
        </w:rPr>
        <w:t>) and operational (</w:t>
      </w:r>
      <w:proofErr w:type="spellStart"/>
      <w:r w:rsidR="00F210BA">
        <w:rPr>
          <w:lang w:val="en-GB"/>
        </w:rPr>
        <w:t>OpEx</w:t>
      </w:r>
      <w:proofErr w:type="spellEnd"/>
      <w:r w:rsidRPr="0032211E">
        <w:rPr>
          <w:lang w:val="en-GB"/>
        </w:rPr>
        <w:t>) costs compared to the heat pump alternative. These findings underscore the energy efficiency and cost-effectiveness of heat pump integration. By eliminating indirect emissions and aligning with electrification goals, this approach provides a sustainable solution for carbon capture systems, contributing to global efforts to reduce greenhouse gas emissions and achieve carbon neutrality.</w:t>
      </w:r>
    </w:p>
    <w:p w14:paraId="02A1BB99" w14:textId="77777777" w:rsidR="000755B4" w:rsidRPr="00280FAF" w:rsidRDefault="000755B4" w:rsidP="00C82423">
      <w:pPr>
        <w:pStyle w:val="CETHeadingxx"/>
        <w:rPr>
          <w:lang w:val="en-GB"/>
        </w:rPr>
        <w:sectPr w:rsidR="000755B4" w:rsidRPr="00280FAF" w:rsidSect="000755B4">
          <w:type w:val="continuous"/>
          <w:pgSz w:w="11906" w:h="16838" w:code="9"/>
          <w:pgMar w:top="1701" w:right="1418" w:bottom="1701" w:left="1701" w:header="1701" w:footer="0" w:gutter="0"/>
          <w:cols w:space="708"/>
          <w:formProt w:val="0"/>
          <w:titlePg/>
          <w:docGrid w:linePitch="360"/>
        </w:sectPr>
      </w:pPr>
      <w:r>
        <w:t>Nomenclature</w:t>
      </w:r>
    </w:p>
    <w:p w14:paraId="56371AC1" w14:textId="6C2A1DE1" w:rsidR="000755B4" w:rsidRPr="00442B92" w:rsidRDefault="00442B92" w:rsidP="000755B4">
      <w:pPr>
        <w:pStyle w:val="CETBodytext"/>
        <w:jc w:val="left"/>
        <w:rPr>
          <w:rFonts w:eastAsia="SimSun"/>
        </w:rPr>
      </w:pPr>
      <w:r w:rsidRPr="00442B92">
        <w:rPr>
          <w:rFonts w:eastAsia="SimSun"/>
        </w:rPr>
        <w:t>CCS</w:t>
      </w:r>
      <w:r w:rsidR="000755B4" w:rsidRPr="00442B92">
        <w:rPr>
          <w:rFonts w:eastAsia="SimSun"/>
        </w:rPr>
        <w:t xml:space="preserve"> – </w:t>
      </w:r>
      <w:r w:rsidR="007A4BCC">
        <w:rPr>
          <w:rFonts w:eastAsia="SimSun"/>
        </w:rPr>
        <w:t>Carbon Capture</w:t>
      </w:r>
      <w:r w:rsidRPr="00442B92">
        <w:rPr>
          <w:rFonts w:eastAsia="SimSun"/>
        </w:rPr>
        <w:t xml:space="preserve"> and Storage</w:t>
      </w:r>
    </w:p>
    <w:p w14:paraId="1B0A4119" w14:textId="110E8130" w:rsidR="000755B4" w:rsidRPr="00442B92" w:rsidRDefault="00DB1AB4" w:rsidP="000755B4">
      <w:pPr>
        <w:pStyle w:val="CETBodytext"/>
        <w:jc w:val="left"/>
        <w:rPr>
          <w:rFonts w:eastAsia="SimSun"/>
        </w:rPr>
      </w:pPr>
      <w:r>
        <w:rPr>
          <w:rFonts w:eastAsia="SimSun"/>
        </w:rPr>
        <w:t>PCCC</w:t>
      </w:r>
      <w:r w:rsidR="000755B4" w:rsidRPr="00442B92">
        <w:rPr>
          <w:rFonts w:eastAsia="SimSun"/>
        </w:rPr>
        <w:t xml:space="preserve"> – </w:t>
      </w:r>
      <w:r>
        <w:rPr>
          <w:rFonts w:eastAsia="SimSun"/>
        </w:rPr>
        <w:t>Post Combustion Carbon Capture</w:t>
      </w:r>
    </w:p>
    <w:p w14:paraId="25AB77A7" w14:textId="15B6CB00" w:rsidR="000755B4" w:rsidRPr="00E377D0" w:rsidRDefault="00346BC4" w:rsidP="000755B4">
      <w:pPr>
        <w:pStyle w:val="CETBodytext"/>
        <w:jc w:val="left"/>
        <w:rPr>
          <w:rFonts w:eastAsia="SimSun"/>
        </w:rPr>
        <w:sectPr w:rsidR="000755B4" w:rsidRPr="00E377D0" w:rsidSect="000755B4">
          <w:type w:val="continuous"/>
          <w:pgSz w:w="11906" w:h="16838" w:code="9"/>
          <w:pgMar w:top="1701" w:right="1418" w:bottom="1701" w:left="1701" w:header="1701" w:footer="0" w:gutter="0"/>
          <w:cols w:num="2" w:space="708"/>
          <w:formProt w:val="0"/>
          <w:titlePg/>
          <w:docGrid w:linePitch="360"/>
        </w:sectPr>
      </w:pPr>
      <w:r w:rsidRPr="00442B92">
        <w:rPr>
          <w:rFonts w:eastAsia="SimSun"/>
        </w:rPr>
        <w:t>MTPD</w:t>
      </w:r>
      <w:r w:rsidR="000755B4" w:rsidRPr="00442B92">
        <w:rPr>
          <w:rFonts w:eastAsia="SimSun"/>
        </w:rPr>
        <w:t xml:space="preserve"> – </w:t>
      </w:r>
      <w:r w:rsidRPr="00442B92">
        <w:rPr>
          <w:rFonts w:eastAsia="SimSun"/>
        </w:rPr>
        <w:t>Metric Tons Per Day</w:t>
      </w:r>
      <w:r w:rsidR="000755B4" w:rsidRPr="00280FAF">
        <w:rPr>
          <w:rFonts w:eastAsia="SimSun"/>
        </w:rPr>
        <w:t xml:space="preserve"> </w:t>
      </w:r>
    </w:p>
    <w:p w14:paraId="031B65DF" w14:textId="77777777" w:rsidR="000755B4" w:rsidRPr="00B57B36" w:rsidRDefault="000755B4" w:rsidP="000755B4">
      <w:pPr>
        <w:pStyle w:val="CETReference"/>
      </w:pPr>
      <w:r w:rsidRPr="00B57B36">
        <w:t>References</w:t>
      </w:r>
    </w:p>
    <w:p w14:paraId="67A1ACDE" w14:textId="77777777" w:rsidR="00F33B63" w:rsidRPr="00F33B63" w:rsidRDefault="00F33B63" w:rsidP="00F33B63">
      <w:pPr>
        <w:pStyle w:val="ConfReferenceText"/>
        <w:rPr>
          <w:rFonts w:ascii="Arial" w:hAnsi="Arial" w:cs="Arial"/>
          <w:sz w:val="18"/>
          <w:szCs w:val="18"/>
        </w:rPr>
      </w:pPr>
      <w:r w:rsidRPr="00F33B63">
        <w:rPr>
          <w:rFonts w:ascii="Arial" w:hAnsi="Arial" w:cs="Arial"/>
          <w:sz w:val="18"/>
          <w:szCs w:val="18"/>
          <w:lang w:val="en-US"/>
        </w:rPr>
        <w:t xml:space="preserve">[1] </w:t>
      </w:r>
      <w:r w:rsidRPr="00F33B63">
        <w:rPr>
          <w:rFonts w:ascii="Arial" w:hAnsi="Arial" w:cs="Arial"/>
          <w:sz w:val="18"/>
          <w:szCs w:val="18"/>
        </w:rPr>
        <w:t xml:space="preserve">Global Risks Report 2024, World Economic Forum </w:t>
      </w:r>
      <w:hyperlink r:id="rId18" w:history="1">
        <w:r w:rsidRPr="00F33B63">
          <w:rPr>
            <w:rStyle w:val="Hyperlink"/>
            <w:rFonts w:ascii="Arial" w:hAnsi="Arial" w:cs="Arial"/>
            <w:sz w:val="18"/>
            <w:szCs w:val="18"/>
          </w:rPr>
          <w:t>Preface - Global Risks Report 2024 | World Economic Forum</w:t>
        </w:r>
      </w:hyperlink>
    </w:p>
    <w:p w14:paraId="4071A760" w14:textId="77777777" w:rsidR="00F33B63" w:rsidRPr="00F33B63" w:rsidRDefault="00F33B63" w:rsidP="00F33B63">
      <w:pPr>
        <w:pStyle w:val="ConfReferenceText"/>
        <w:rPr>
          <w:rFonts w:ascii="Arial" w:hAnsi="Arial" w:cs="Arial"/>
          <w:sz w:val="18"/>
          <w:szCs w:val="18"/>
        </w:rPr>
      </w:pPr>
      <w:r w:rsidRPr="00F33B63">
        <w:rPr>
          <w:rFonts w:ascii="Arial" w:hAnsi="Arial" w:cs="Arial"/>
          <w:sz w:val="18"/>
          <w:szCs w:val="18"/>
          <w:lang w:val="en-US"/>
        </w:rPr>
        <w:t>[2] European Green Deal, 2020,</w:t>
      </w:r>
      <w:r w:rsidRPr="00F33B63">
        <w:rPr>
          <w:rFonts w:ascii="Arial" w:hAnsi="Arial" w:cs="Arial"/>
          <w:sz w:val="18"/>
          <w:szCs w:val="18"/>
        </w:rPr>
        <w:t xml:space="preserve"> </w:t>
      </w:r>
      <w:hyperlink r:id="rId19" w:history="1">
        <w:r w:rsidRPr="00F33B63">
          <w:rPr>
            <w:rStyle w:val="Hyperlink"/>
            <w:rFonts w:ascii="Arial" w:hAnsi="Arial" w:cs="Arial"/>
            <w:sz w:val="18"/>
            <w:szCs w:val="18"/>
          </w:rPr>
          <w:t>The European Green Deal - European Commission</w:t>
        </w:r>
      </w:hyperlink>
    </w:p>
    <w:p w14:paraId="632EE8D6" w14:textId="77777777" w:rsidR="00F33B63" w:rsidRPr="00F33B63" w:rsidRDefault="00F33B63" w:rsidP="00F33B63">
      <w:pPr>
        <w:pStyle w:val="ConfReferenceText"/>
        <w:rPr>
          <w:rFonts w:ascii="Arial" w:hAnsi="Arial" w:cs="Arial"/>
          <w:sz w:val="18"/>
          <w:szCs w:val="18"/>
        </w:rPr>
      </w:pPr>
      <w:r w:rsidRPr="00F33B63">
        <w:rPr>
          <w:rFonts w:ascii="Arial" w:hAnsi="Arial" w:cs="Arial"/>
          <w:sz w:val="18"/>
          <w:szCs w:val="18"/>
          <w:lang w:val="en-US"/>
        </w:rPr>
        <w:t xml:space="preserve">[3] REGULATION (EU) 2021/1119 OF THE EUROPEAN PARLIAMENT AND OF THE COUNCIL of 30 June 2021 </w:t>
      </w:r>
      <w:hyperlink r:id="rId20" w:history="1">
        <w:r w:rsidRPr="00F33B63">
          <w:rPr>
            <w:rStyle w:val="Hyperlink"/>
            <w:rFonts w:ascii="Arial" w:hAnsi="Arial" w:cs="Arial"/>
            <w:sz w:val="18"/>
            <w:szCs w:val="18"/>
          </w:rPr>
          <w:t>Regulation - 2021/1119 - EN - EUR-Lex</w:t>
        </w:r>
      </w:hyperlink>
      <w:r w:rsidRPr="00F33B63">
        <w:rPr>
          <w:rFonts w:ascii="Arial" w:hAnsi="Arial" w:cs="Arial"/>
          <w:sz w:val="18"/>
          <w:szCs w:val="18"/>
        </w:rPr>
        <w:t xml:space="preserve"> </w:t>
      </w:r>
    </w:p>
    <w:p w14:paraId="19A74737" w14:textId="77777777" w:rsidR="00F33B63" w:rsidRPr="00F33B63" w:rsidRDefault="00F33B63" w:rsidP="00F33B63">
      <w:pPr>
        <w:pStyle w:val="ConfReferenceText"/>
        <w:rPr>
          <w:rFonts w:ascii="Arial" w:hAnsi="Arial" w:cs="Arial"/>
          <w:sz w:val="18"/>
          <w:szCs w:val="18"/>
        </w:rPr>
      </w:pPr>
      <w:r w:rsidRPr="00F33B63">
        <w:rPr>
          <w:rFonts w:ascii="Arial" w:hAnsi="Arial" w:cs="Arial"/>
          <w:sz w:val="18"/>
          <w:szCs w:val="18"/>
          <w:lang w:val="en-US"/>
        </w:rPr>
        <w:t xml:space="preserve">[4] Climate Change 2022: Mitigation of Climate Change report, </w:t>
      </w:r>
      <w:r w:rsidRPr="00F33B63">
        <w:rPr>
          <w:rFonts w:ascii="Arial" w:hAnsi="Arial" w:cs="Arial"/>
          <w:sz w:val="18"/>
          <w:szCs w:val="18"/>
        </w:rPr>
        <w:t xml:space="preserve">Intergovernmental Panel on Climate Change </w:t>
      </w:r>
      <w:hyperlink r:id="rId21" w:history="1">
        <w:r w:rsidRPr="00F33B63">
          <w:rPr>
            <w:rStyle w:val="Hyperlink"/>
            <w:rFonts w:ascii="Arial" w:hAnsi="Arial" w:cs="Arial"/>
            <w:sz w:val="18"/>
            <w:szCs w:val="18"/>
          </w:rPr>
          <w:t>Download: Climate Change 2022: Mitigation of Climate Change</w:t>
        </w:r>
      </w:hyperlink>
    </w:p>
    <w:p w14:paraId="4163CAEB" w14:textId="7D69D570" w:rsidR="00F33B63" w:rsidRPr="00F33B63" w:rsidRDefault="00F33B63" w:rsidP="00F33B63">
      <w:pPr>
        <w:pStyle w:val="ConfReferenceText"/>
        <w:rPr>
          <w:rFonts w:ascii="Arial" w:hAnsi="Arial" w:cs="Arial"/>
          <w:sz w:val="18"/>
          <w:szCs w:val="18"/>
          <w:lang w:val="en-US"/>
        </w:rPr>
      </w:pPr>
      <w:r w:rsidRPr="00F33B63">
        <w:rPr>
          <w:rFonts w:ascii="Arial" w:hAnsi="Arial" w:cs="Arial"/>
          <w:sz w:val="18"/>
          <w:szCs w:val="18"/>
        </w:rPr>
        <w:t xml:space="preserve">[5] S. </w:t>
      </w:r>
      <w:proofErr w:type="spellStart"/>
      <w:r w:rsidRPr="00F33B63">
        <w:rPr>
          <w:rFonts w:ascii="Arial" w:hAnsi="Arial" w:cs="Arial"/>
          <w:sz w:val="18"/>
          <w:szCs w:val="18"/>
        </w:rPr>
        <w:t>Paltsev</w:t>
      </w:r>
      <w:proofErr w:type="spellEnd"/>
      <w:r w:rsidRPr="00F33B63">
        <w:rPr>
          <w:rFonts w:ascii="Arial" w:hAnsi="Arial" w:cs="Arial"/>
          <w:sz w:val="18"/>
          <w:szCs w:val="18"/>
        </w:rPr>
        <w:t>, J. Morris, H. Kheshgi, H. Herzog.</w:t>
      </w:r>
      <w:r w:rsidRPr="00F33B63">
        <w:rPr>
          <w:rFonts w:ascii="Arial" w:hAnsi="Arial" w:cs="Arial"/>
          <w:sz w:val="18"/>
          <w:szCs w:val="18"/>
          <w:vertAlign w:val="superscript"/>
        </w:rPr>
        <w:t xml:space="preserve"> </w:t>
      </w:r>
      <w:r w:rsidRPr="00F33B63">
        <w:rPr>
          <w:rFonts w:ascii="Arial" w:hAnsi="Arial" w:cs="Arial"/>
          <w:sz w:val="18"/>
          <w:szCs w:val="18"/>
          <w:lang w:val="en-US"/>
        </w:rPr>
        <w:t xml:space="preserve">Hard-to-Abate Sectors: The role of industrial carbon capture and storage (CCS) in emission mitigation, Applied Energy Volume 300, Elsevier, 2021 </w:t>
      </w:r>
    </w:p>
    <w:p w14:paraId="2C6C6D38" w14:textId="602E35BA" w:rsidR="00F33B63" w:rsidRPr="00F33B63" w:rsidRDefault="00F33B63" w:rsidP="00F33B63">
      <w:pPr>
        <w:pStyle w:val="ConfReferenceText"/>
        <w:rPr>
          <w:rStyle w:val="Hyperlink"/>
          <w:rFonts w:ascii="Arial" w:hAnsi="Arial" w:cs="Arial"/>
          <w:sz w:val="18"/>
          <w:szCs w:val="18"/>
        </w:rPr>
      </w:pPr>
      <w:r w:rsidRPr="00F33B63">
        <w:rPr>
          <w:rFonts w:ascii="Arial" w:hAnsi="Arial" w:cs="Arial"/>
          <w:sz w:val="18"/>
          <w:szCs w:val="18"/>
          <w:lang w:val="de-DE"/>
        </w:rPr>
        <w:t xml:space="preserve">[6] Z. Zhang, T. N. Borhani, A. G. Olabi. </w:t>
      </w:r>
      <w:r w:rsidRPr="00F33B63">
        <w:rPr>
          <w:rFonts w:ascii="Arial" w:hAnsi="Arial" w:cs="Arial"/>
          <w:sz w:val="18"/>
          <w:szCs w:val="18"/>
          <w:lang w:val="en-US"/>
        </w:rPr>
        <w:t>Status and perspective of CO</w:t>
      </w:r>
      <w:r w:rsidRPr="00F33B63">
        <w:rPr>
          <w:rFonts w:ascii="Arial" w:hAnsi="Arial" w:cs="Arial"/>
          <w:sz w:val="18"/>
          <w:szCs w:val="18"/>
          <w:vertAlign w:val="subscript"/>
          <w:lang w:val="en-US"/>
        </w:rPr>
        <w:t>2</w:t>
      </w:r>
      <w:r w:rsidRPr="00F33B63">
        <w:rPr>
          <w:rFonts w:ascii="Arial" w:hAnsi="Arial" w:cs="Arial"/>
          <w:sz w:val="18"/>
          <w:szCs w:val="18"/>
          <w:lang w:val="en-US"/>
        </w:rPr>
        <w:t xml:space="preserve"> absorption process, Energy, Volume 205, Elsevier, 2020 </w:t>
      </w:r>
    </w:p>
    <w:p w14:paraId="56A6BAA2" w14:textId="77777777" w:rsidR="00F33B63" w:rsidRPr="00F33B63" w:rsidRDefault="00F33B63" w:rsidP="00F33B63">
      <w:pPr>
        <w:pStyle w:val="ConfReferenceText"/>
        <w:rPr>
          <w:rFonts w:ascii="Arial" w:hAnsi="Arial" w:cs="Arial"/>
          <w:sz w:val="18"/>
          <w:szCs w:val="18"/>
          <w:lang w:val="en-US"/>
        </w:rPr>
      </w:pPr>
      <w:r w:rsidRPr="00F33B63">
        <w:rPr>
          <w:rFonts w:ascii="Arial" w:hAnsi="Arial" w:cs="Arial"/>
          <w:sz w:val="18"/>
          <w:szCs w:val="18"/>
          <w:lang w:val="en-US"/>
        </w:rPr>
        <w:t xml:space="preserve">[7] </w:t>
      </w:r>
      <w:proofErr w:type="spellStart"/>
      <w:r w:rsidRPr="00F33B63">
        <w:rPr>
          <w:rFonts w:ascii="Arial" w:hAnsi="Arial" w:cs="Arial"/>
          <w:sz w:val="18"/>
          <w:szCs w:val="18"/>
          <w:lang w:val="en-US"/>
        </w:rPr>
        <w:t>Øi</w:t>
      </w:r>
      <w:proofErr w:type="spellEnd"/>
      <w:r w:rsidRPr="00F33B63">
        <w:rPr>
          <w:rFonts w:ascii="Arial" w:hAnsi="Arial" w:cs="Arial"/>
          <w:sz w:val="18"/>
          <w:szCs w:val="18"/>
          <w:lang w:val="en-US"/>
        </w:rPr>
        <w:t xml:space="preserve">, L.E.; Eldrup, N.; </w:t>
      </w:r>
      <w:proofErr w:type="spellStart"/>
      <w:r w:rsidRPr="00F33B63">
        <w:rPr>
          <w:rFonts w:ascii="Arial" w:hAnsi="Arial" w:cs="Arial"/>
          <w:sz w:val="18"/>
          <w:szCs w:val="18"/>
          <w:lang w:val="en-US"/>
        </w:rPr>
        <w:t>Aromada</w:t>
      </w:r>
      <w:proofErr w:type="spellEnd"/>
      <w:r w:rsidRPr="00F33B63">
        <w:rPr>
          <w:rFonts w:ascii="Arial" w:hAnsi="Arial" w:cs="Arial"/>
          <w:sz w:val="18"/>
          <w:szCs w:val="18"/>
          <w:lang w:val="en-US"/>
        </w:rPr>
        <w:t xml:space="preserve">, S.; Haukås, A.; </w:t>
      </w:r>
      <w:proofErr w:type="spellStart"/>
      <w:r w:rsidRPr="00F33B63">
        <w:rPr>
          <w:rFonts w:ascii="Arial" w:hAnsi="Arial" w:cs="Arial"/>
          <w:sz w:val="18"/>
          <w:szCs w:val="18"/>
          <w:lang w:val="en-US"/>
        </w:rPr>
        <w:t>Hæstad</w:t>
      </w:r>
      <w:proofErr w:type="spellEnd"/>
      <w:r w:rsidRPr="00F33B63">
        <w:rPr>
          <w:rFonts w:ascii="Arial" w:hAnsi="Arial" w:cs="Arial"/>
          <w:sz w:val="18"/>
          <w:szCs w:val="18"/>
          <w:lang w:val="en-US"/>
        </w:rPr>
        <w:t xml:space="preserve">, J.H.; Lande, A.M. Process Simulation, Cost Estimation and Optimization of CO2 Capture using Aspen HYSYS. In Proceedings of the SIMS Conference on Simulation and Modelling SIMS 2020, Virtual Conference, 22–24 September 2020; pp. 326–331. </w:t>
      </w:r>
    </w:p>
    <w:p w14:paraId="5552C905" w14:textId="77777777" w:rsidR="00F33B63" w:rsidRPr="00F33B63" w:rsidRDefault="00F33B63" w:rsidP="00F33B63">
      <w:pPr>
        <w:pStyle w:val="ConfReferenceText"/>
        <w:rPr>
          <w:rFonts w:ascii="Arial" w:hAnsi="Arial" w:cs="Arial"/>
          <w:sz w:val="18"/>
          <w:szCs w:val="18"/>
          <w:lang w:val="en-US"/>
        </w:rPr>
      </w:pPr>
      <w:r w:rsidRPr="00F33B63">
        <w:rPr>
          <w:rFonts w:ascii="Arial" w:hAnsi="Arial" w:cs="Arial"/>
          <w:sz w:val="18"/>
          <w:szCs w:val="18"/>
          <w:lang w:val="en-US"/>
        </w:rPr>
        <w:t xml:space="preserve">[8] </w:t>
      </w:r>
      <w:r w:rsidRPr="00F33B63">
        <w:rPr>
          <w:rFonts w:ascii="Arial" w:hAnsi="Arial" w:cs="Arial"/>
          <w:sz w:val="18"/>
          <w:szCs w:val="18"/>
        </w:rPr>
        <w:t>A. M. Zahra, Ph.D. Thesis. Delft University; 2009.</w:t>
      </w:r>
    </w:p>
    <w:p w14:paraId="0076C674" w14:textId="4D85FC6E" w:rsidR="002B364B" w:rsidRDefault="002B364B" w:rsidP="00B30E86">
      <w:pPr>
        <w:pStyle w:val="CETBodytext"/>
        <w:rPr>
          <w:lang w:val="en-GB"/>
        </w:rPr>
      </w:pPr>
      <w:r>
        <w:rPr>
          <w:lang w:val="en-GB"/>
        </w:rPr>
        <w:t xml:space="preserve">[9] </w:t>
      </w:r>
      <w:r w:rsidR="002B0BCB">
        <w:rPr>
          <w:lang w:val="en-GB"/>
        </w:rPr>
        <w:t xml:space="preserve">AACE International Recommended Practice </w:t>
      </w:r>
      <w:r w:rsidR="006869B3">
        <w:rPr>
          <w:lang w:val="en-GB"/>
        </w:rPr>
        <w:t xml:space="preserve">No. 18R-97 Cost Estimate Classification system – As applied in </w:t>
      </w:r>
      <w:r w:rsidR="005370AA">
        <w:rPr>
          <w:lang w:val="en-GB"/>
        </w:rPr>
        <w:t>engineering, procurement and construction for the process industries</w:t>
      </w:r>
      <w:r w:rsidR="00DC272E">
        <w:rPr>
          <w:lang w:val="en-GB"/>
        </w:rPr>
        <w:t>;</w:t>
      </w:r>
      <w:r w:rsidR="005370AA">
        <w:rPr>
          <w:lang w:val="en-GB"/>
        </w:rPr>
        <w:t xml:space="preserve"> </w:t>
      </w:r>
      <w:r w:rsidR="004226EF">
        <w:rPr>
          <w:lang w:val="en-GB"/>
        </w:rPr>
        <w:t>Rev August 7,2020</w:t>
      </w:r>
    </w:p>
    <w:p w14:paraId="08EAFD03" w14:textId="242F7144" w:rsidR="00413066" w:rsidRDefault="00F33B63" w:rsidP="00B30E86">
      <w:pPr>
        <w:pStyle w:val="CETBodytext"/>
        <w:rPr>
          <w:lang w:val="en-GB"/>
        </w:rPr>
      </w:pPr>
      <w:r>
        <w:rPr>
          <w:lang w:val="en-GB"/>
        </w:rPr>
        <w:t>[</w:t>
      </w:r>
      <w:r w:rsidR="002B364B">
        <w:rPr>
          <w:lang w:val="en-GB"/>
        </w:rPr>
        <w:t>10</w:t>
      </w:r>
      <w:r w:rsidR="00BF3983">
        <w:rPr>
          <w:lang w:val="en-GB"/>
        </w:rPr>
        <w:t xml:space="preserve">] </w:t>
      </w:r>
      <w:proofErr w:type="spellStart"/>
      <w:r w:rsidR="00C41A23" w:rsidRPr="00C41A23">
        <w:rPr>
          <w:lang w:val="en-GB"/>
        </w:rPr>
        <w:t>Arpagaus</w:t>
      </w:r>
      <w:proofErr w:type="spellEnd"/>
      <w:r w:rsidR="00C41A23" w:rsidRPr="00C41A23">
        <w:rPr>
          <w:lang w:val="en-GB"/>
        </w:rPr>
        <w:t>, C., Bless, F., Uhlmann, M., Schiffmann, J., 2018, High temperature heat pumps: Market overview, state of the art, research status, refrigerants, and application potentials, Energy, Vol. 152, pp. 985-1010.</w:t>
      </w:r>
    </w:p>
    <w:sectPr w:rsidR="00413066"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70340" w14:textId="77777777" w:rsidR="000F7AAD" w:rsidRDefault="000F7AAD" w:rsidP="004F5E36">
      <w:r>
        <w:separator/>
      </w:r>
    </w:p>
  </w:endnote>
  <w:endnote w:type="continuationSeparator" w:id="0">
    <w:p w14:paraId="08519316" w14:textId="77777777" w:rsidR="000F7AAD" w:rsidRDefault="000F7AAD" w:rsidP="004F5E36">
      <w:r>
        <w:continuationSeparator/>
      </w:r>
    </w:p>
  </w:endnote>
  <w:endnote w:type="continuationNotice" w:id="1">
    <w:p w14:paraId="40D44A51" w14:textId="77777777" w:rsidR="000F7AAD" w:rsidRDefault="000F7A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9F618" w14:textId="77777777" w:rsidR="000F7AAD" w:rsidRDefault="000F7AAD" w:rsidP="004F5E36">
      <w:r>
        <w:separator/>
      </w:r>
    </w:p>
  </w:footnote>
  <w:footnote w:type="continuationSeparator" w:id="0">
    <w:p w14:paraId="7D967757" w14:textId="77777777" w:rsidR="000F7AAD" w:rsidRDefault="000F7AAD" w:rsidP="004F5E36">
      <w:r>
        <w:continuationSeparator/>
      </w:r>
    </w:p>
  </w:footnote>
  <w:footnote w:type="continuationNotice" w:id="1">
    <w:p w14:paraId="482CAB05" w14:textId="77777777" w:rsidR="000F7AAD" w:rsidRDefault="000F7AA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2A600D1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BB74469"/>
    <w:multiLevelType w:val="hybridMultilevel"/>
    <w:tmpl w:val="751A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79C7ECE"/>
    <w:multiLevelType w:val="hybridMultilevel"/>
    <w:tmpl w:val="F72E2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7D1CB1"/>
    <w:multiLevelType w:val="hybridMultilevel"/>
    <w:tmpl w:val="322288A6"/>
    <w:lvl w:ilvl="0" w:tplc="E5AA2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172F13"/>
    <w:multiLevelType w:val="hybridMultilevel"/>
    <w:tmpl w:val="8602761E"/>
    <w:lvl w:ilvl="0" w:tplc="4EB029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2"/>
  </w:num>
  <w:num w:numId="16" w16cid:durableId="1977102699">
    <w:abstractNumId w:val="21"/>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84351335">
    <w:abstractNumId w:val="10"/>
  </w:num>
  <w:num w:numId="24" w16cid:durableId="1363899575">
    <w:abstractNumId w:val="11"/>
  </w:num>
  <w:num w:numId="25" w16cid:durableId="134808296">
    <w:abstractNumId w:val="12"/>
  </w:num>
  <w:num w:numId="26" w16cid:durableId="1705254596">
    <w:abstractNumId w:val="11"/>
  </w:num>
  <w:num w:numId="27" w16cid:durableId="987705503">
    <w:abstractNumId w:val="24"/>
  </w:num>
  <w:num w:numId="28" w16cid:durableId="1807157501">
    <w:abstractNumId w:val="23"/>
  </w:num>
  <w:num w:numId="29" w16cid:durableId="11502892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7EA"/>
    <w:rsid w:val="00000BD3"/>
    <w:rsid w:val="000022A9"/>
    <w:rsid w:val="000027C0"/>
    <w:rsid w:val="000052FB"/>
    <w:rsid w:val="00005A19"/>
    <w:rsid w:val="00006B32"/>
    <w:rsid w:val="000071AD"/>
    <w:rsid w:val="000077DB"/>
    <w:rsid w:val="00007E6D"/>
    <w:rsid w:val="000100BB"/>
    <w:rsid w:val="000117CB"/>
    <w:rsid w:val="00013CFE"/>
    <w:rsid w:val="00016881"/>
    <w:rsid w:val="00022568"/>
    <w:rsid w:val="00023C3F"/>
    <w:rsid w:val="000241FD"/>
    <w:rsid w:val="00024782"/>
    <w:rsid w:val="0003148D"/>
    <w:rsid w:val="000315EE"/>
    <w:rsid w:val="00031EEC"/>
    <w:rsid w:val="00033E5A"/>
    <w:rsid w:val="00036F0B"/>
    <w:rsid w:val="00040B49"/>
    <w:rsid w:val="00044F5C"/>
    <w:rsid w:val="0004533C"/>
    <w:rsid w:val="00045B5B"/>
    <w:rsid w:val="00051566"/>
    <w:rsid w:val="000527F0"/>
    <w:rsid w:val="0005620F"/>
    <w:rsid w:val="000562A9"/>
    <w:rsid w:val="000573F7"/>
    <w:rsid w:val="00057D95"/>
    <w:rsid w:val="00060961"/>
    <w:rsid w:val="00060965"/>
    <w:rsid w:val="00060A30"/>
    <w:rsid w:val="00061CDE"/>
    <w:rsid w:val="00062A9A"/>
    <w:rsid w:val="00065058"/>
    <w:rsid w:val="00065AF9"/>
    <w:rsid w:val="00066A78"/>
    <w:rsid w:val="00070B3F"/>
    <w:rsid w:val="000729C3"/>
    <w:rsid w:val="00072BB1"/>
    <w:rsid w:val="000736E7"/>
    <w:rsid w:val="00073C7A"/>
    <w:rsid w:val="00074E1B"/>
    <w:rsid w:val="000755B4"/>
    <w:rsid w:val="000839A9"/>
    <w:rsid w:val="00086B69"/>
    <w:rsid w:val="00086C39"/>
    <w:rsid w:val="00091D75"/>
    <w:rsid w:val="0009291A"/>
    <w:rsid w:val="00097286"/>
    <w:rsid w:val="00097AF2"/>
    <w:rsid w:val="000A03B2"/>
    <w:rsid w:val="000A085D"/>
    <w:rsid w:val="000A45E4"/>
    <w:rsid w:val="000B0426"/>
    <w:rsid w:val="000B1D4F"/>
    <w:rsid w:val="000B2D9C"/>
    <w:rsid w:val="000B440D"/>
    <w:rsid w:val="000B67BE"/>
    <w:rsid w:val="000B6AE7"/>
    <w:rsid w:val="000B6E5E"/>
    <w:rsid w:val="000C19CA"/>
    <w:rsid w:val="000C2270"/>
    <w:rsid w:val="000C4479"/>
    <w:rsid w:val="000C63EF"/>
    <w:rsid w:val="000D0268"/>
    <w:rsid w:val="000D28B2"/>
    <w:rsid w:val="000D34BE"/>
    <w:rsid w:val="000D5461"/>
    <w:rsid w:val="000D616D"/>
    <w:rsid w:val="000D69C4"/>
    <w:rsid w:val="000D6FB1"/>
    <w:rsid w:val="000D74CC"/>
    <w:rsid w:val="000E0B3C"/>
    <w:rsid w:val="000E102F"/>
    <w:rsid w:val="000E1AA9"/>
    <w:rsid w:val="000E29D2"/>
    <w:rsid w:val="000E323F"/>
    <w:rsid w:val="000E36F1"/>
    <w:rsid w:val="000E3A73"/>
    <w:rsid w:val="000E414A"/>
    <w:rsid w:val="000E50B4"/>
    <w:rsid w:val="000E58E9"/>
    <w:rsid w:val="000E756E"/>
    <w:rsid w:val="000E75FD"/>
    <w:rsid w:val="000F093C"/>
    <w:rsid w:val="000F102B"/>
    <w:rsid w:val="000F59A6"/>
    <w:rsid w:val="000F787B"/>
    <w:rsid w:val="000F7AAD"/>
    <w:rsid w:val="00100168"/>
    <w:rsid w:val="00101E7D"/>
    <w:rsid w:val="001107D0"/>
    <w:rsid w:val="00111412"/>
    <w:rsid w:val="001207AC"/>
    <w:rsid w:val="0012091F"/>
    <w:rsid w:val="00124277"/>
    <w:rsid w:val="00125830"/>
    <w:rsid w:val="00126BC2"/>
    <w:rsid w:val="00127C9B"/>
    <w:rsid w:val="001308B6"/>
    <w:rsid w:val="0013121F"/>
    <w:rsid w:val="001318B0"/>
    <w:rsid w:val="00131FE6"/>
    <w:rsid w:val="0013263F"/>
    <w:rsid w:val="001326DB"/>
    <w:rsid w:val="00132808"/>
    <w:rsid w:val="001331DF"/>
    <w:rsid w:val="00134DE4"/>
    <w:rsid w:val="00134E78"/>
    <w:rsid w:val="001365E3"/>
    <w:rsid w:val="00136B78"/>
    <w:rsid w:val="0014034D"/>
    <w:rsid w:val="00140FE3"/>
    <w:rsid w:val="001431BB"/>
    <w:rsid w:val="001441ED"/>
    <w:rsid w:val="00144D16"/>
    <w:rsid w:val="00144E85"/>
    <w:rsid w:val="00147770"/>
    <w:rsid w:val="00150E59"/>
    <w:rsid w:val="00152093"/>
    <w:rsid w:val="00152DE3"/>
    <w:rsid w:val="00154378"/>
    <w:rsid w:val="001545A3"/>
    <w:rsid w:val="00154B02"/>
    <w:rsid w:val="00157129"/>
    <w:rsid w:val="001573EC"/>
    <w:rsid w:val="0016273D"/>
    <w:rsid w:val="00164CF9"/>
    <w:rsid w:val="00165BB5"/>
    <w:rsid w:val="0016679B"/>
    <w:rsid w:val="001667A6"/>
    <w:rsid w:val="0017164A"/>
    <w:rsid w:val="00173054"/>
    <w:rsid w:val="0017339F"/>
    <w:rsid w:val="00175131"/>
    <w:rsid w:val="00176833"/>
    <w:rsid w:val="00177CA9"/>
    <w:rsid w:val="00180354"/>
    <w:rsid w:val="00181168"/>
    <w:rsid w:val="0018148D"/>
    <w:rsid w:val="0018171E"/>
    <w:rsid w:val="00182B07"/>
    <w:rsid w:val="00183F11"/>
    <w:rsid w:val="00184AD6"/>
    <w:rsid w:val="00186683"/>
    <w:rsid w:val="001869B6"/>
    <w:rsid w:val="00186C1D"/>
    <w:rsid w:val="0019087E"/>
    <w:rsid w:val="00195865"/>
    <w:rsid w:val="001962CA"/>
    <w:rsid w:val="001969A2"/>
    <w:rsid w:val="001A40D5"/>
    <w:rsid w:val="001A4AF7"/>
    <w:rsid w:val="001A62DE"/>
    <w:rsid w:val="001B0349"/>
    <w:rsid w:val="001B086A"/>
    <w:rsid w:val="001B1E93"/>
    <w:rsid w:val="001B2F8A"/>
    <w:rsid w:val="001B310C"/>
    <w:rsid w:val="001B52F4"/>
    <w:rsid w:val="001B5FB0"/>
    <w:rsid w:val="001B65C1"/>
    <w:rsid w:val="001C02E7"/>
    <w:rsid w:val="001C2032"/>
    <w:rsid w:val="001C260F"/>
    <w:rsid w:val="001C54A7"/>
    <w:rsid w:val="001C5C3A"/>
    <w:rsid w:val="001C684B"/>
    <w:rsid w:val="001C7DB7"/>
    <w:rsid w:val="001D069A"/>
    <w:rsid w:val="001D0CFB"/>
    <w:rsid w:val="001D13A7"/>
    <w:rsid w:val="001D1B45"/>
    <w:rsid w:val="001D21AF"/>
    <w:rsid w:val="001D2EB2"/>
    <w:rsid w:val="001D4476"/>
    <w:rsid w:val="001D4BA0"/>
    <w:rsid w:val="001D53FC"/>
    <w:rsid w:val="001D6DCB"/>
    <w:rsid w:val="001E176F"/>
    <w:rsid w:val="001E188D"/>
    <w:rsid w:val="001E5B57"/>
    <w:rsid w:val="001E69C9"/>
    <w:rsid w:val="001F1EEC"/>
    <w:rsid w:val="001F2D6F"/>
    <w:rsid w:val="001F30FB"/>
    <w:rsid w:val="001F42A5"/>
    <w:rsid w:val="001F4657"/>
    <w:rsid w:val="001F7185"/>
    <w:rsid w:val="001F7B9D"/>
    <w:rsid w:val="0020137B"/>
    <w:rsid w:val="0020176B"/>
    <w:rsid w:val="00201C93"/>
    <w:rsid w:val="00205002"/>
    <w:rsid w:val="002101A1"/>
    <w:rsid w:val="00213D2B"/>
    <w:rsid w:val="00215C62"/>
    <w:rsid w:val="00215D9F"/>
    <w:rsid w:val="00215E71"/>
    <w:rsid w:val="00215FD4"/>
    <w:rsid w:val="002168E7"/>
    <w:rsid w:val="002205F0"/>
    <w:rsid w:val="00220ADC"/>
    <w:rsid w:val="00220B41"/>
    <w:rsid w:val="0022132F"/>
    <w:rsid w:val="002224B4"/>
    <w:rsid w:val="0022346A"/>
    <w:rsid w:val="00230FD9"/>
    <w:rsid w:val="00234651"/>
    <w:rsid w:val="00234DA8"/>
    <w:rsid w:val="002366E7"/>
    <w:rsid w:val="00236905"/>
    <w:rsid w:val="00240C0D"/>
    <w:rsid w:val="0024308C"/>
    <w:rsid w:val="002447EF"/>
    <w:rsid w:val="00247198"/>
    <w:rsid w:val="00247990"/>
    <w:rsid w:val="00250186"/>
    <w:rsid w:val="00251550"/>
    <w:rsid w:val="00252E85"/>
    <w:rsid w:val="00255C8F"/>
    <w:rsid w:val="00255CE5"/>
    <w:rsid w:val="00257E6E"/>
    <w:rsid w:val="00260952"/>
    <w:rsid w:val="002621F0"/>
    <w:rsid w:val="00263397"/>
    <w:rsid w:val="00263B05"/>
    <w:rsid w:val="0026542F"/>
    <w:rsid w:val="0026598A"/>
    <w:rsid w:val="00271486"/>
    <w:rsid w:val="0027221A"/>
    <w:rsid w:val="002734C8"/>
    <w:rsid w:val="00275B61"/>
    <w:rsid w:val="0027656C"/>
    <w:rsid w:val="00280FAF"/>
    <w:rsid w:val="002810CE"/>
    <w:rsid w:val="00282656"/>
    <w:rsid w:val="00285E8E"/>
    <w:rsid w:val="002905F9"/>
    <w:rsid w:val="00291827"/>
    <w:rsid w:val="00296B83"/>
    <w:rsid w:val="002A0B43"/>
    <w:rsid w:val="002A279E"/>
    <w:rsid w:val="002A2B5F"/>
    <w:rsid w:val="002A6A06"/>
    <w:rsid w:val="002A7439"/>
    <w:rsid w:val="002A7E01"/>
    <w:rsid w:val="002B0BCB"/>
    <w:rsid w:val="002B364B"/>
    <w:rsid w:val="002B37BA"/>
    <w:rsid w:val="002B4015"/>
    <w:rsid w:val="002B4C36"/>
    <w:rsid w:val="002B5908"/>
    <w:rsid w:val="002B67B6"/>
    <w:rsid w:val="002B78CE"/>
    <w:rsid w:val="002C1753"/>
    <w:rsid w:val="002C2955"/>
    <w:rsid w:val="002C2FB6"/>
    <w:rsid w:val="002C3BF1"/>
    <w:rsid w:val="002C539D"/>
    <w:rsid w:val="002C6EC7"/>
    <w:rsid w:val="002D1B05"/>
    <w:rsid w:val="002D22A9"/>
    <w:rsid w:val="002D4ED6"/>
    <w:rsid w:val="002D50B0"/>
    <w:rsid w:val="002E3758"/>
    <w:rsid w:val="002E5361"/>
    <w:rsid w:val="002E5FA7"/>
    <w:rsid w:val="002F0EEC"/>
    <w:rsid w:val="002F3309"/>
    <w:rsid w:val="002F5572"/>
    <w:rsid w:val="002F72D7"/>
    <w:rsid w:val="003008CE"/>
    <w:rsid w:val="003009B7"/>
    <w:rsid w:val="00300E56"/>
    <w:rsid w:val="00301336"/>
    <w:rsid w:val="0030152C"/>
    <w:rsid w:val="003015F6"/>
    <w:rsid w:val="0030469C"/>
    <w:rsid w:val="00310AFC"/>
    <w:rsid w:val="00316466"/>
    <w:rsid w:val="00321CA6"/>
    <w:rsid w:val="0032211E"/>
    <w:rsid w:val="00323763"/>
    <w:rsid w:val="00323C5F"/>
    <w:rsid w:val="0033473A"/>
    <w:rsid w:val="00334C09"/>
    <w:rsid w:val="003417AC"/>
    <w:rsid w:val="003439D1"/>
    <w:rsid w:val="0034473D"/>
    <w:rsid w:val="0034546C"/>
    <w:rsid w:val="00346BC4"/>
    <w:rsid w:val="00350BE3"/>
    <w:rsid w:val="00351BBA"/>
    <w:rsid w:val="00351C09"/>
    <w:rsid w:val="00354CFB"/>
    <w:rsid w:val="003616E2"/>
    <w:rsid w:val="0036370A"/>
    <w:rsid w:val="0036565A"/>
    <w:rsid w:val="003723D4"/>
    <w:rsid w:val="003737EE"/>
    <w:rsid w:val="00374A8D"/>
    <w:rsid w:val="0037698F"/>
    <w:rsid w:val="003774FE"/>
    <w:rsid w:val="00381905"/>
    <w:rsid w:val="00382C27"/>
    <w:rsid w:val="003831B7"/>
    <w:rsid w:val="00384CC8"/>
    <w:rsid w:val="00386CB0"/>
    <w:rsid w:val="003871FD"/>
    <w:rsid w:val="003904D3"/>
    <w:rsid w:val="00390551"/>
    <w:rsid w:val="00394D1D"/>
    <w:rsid w:val="003957B6"/>
    <w:rsid w:val="003A1E30"/>
    <w:rsid w:val="003A2829"/>
    <w:rsid w:val="003A38A7"/>
    <w:rsid w:val="003A6227"/>
    <w:rsid w:val="003A6A78"/>
    <w:rsid w:val="003A6DF2"/>
    <w:rsid w:val="003A7B0F"/>
    <w:rsid w:val="003A7CA6"/>
    <w:rsid w:val="003A7D1C"/>
    <w:rsid w:val="003A7ED8"/>
    <w:rsid w:val="003B06C4"/>
    <w:rsid w:val="003B08ED"/>
    <w:rsid w:val="003B0D92"/>
    <w:rsid w:val="003B1770"/>
    <w:rsid w:val="003B304B"/>
    <w:rsid w:val="003B3146"/>
    <w:rsid w:val="003B49CD"/>
    <w:rsid w:val="003B5732"/>
    <w:rsid w:val="003B6483"/>
    <w:rsid w:val="003B6E0E"/>
    <w:rsid w:val="003C1B20"/>
    <w:rsid w:val="003C53F8"/>
    <w:rsid w:val="003C57C3"/>
    <w:rsid w:val="003D1E02"/>
    <w:rsid w:val="003E0969"/>
    <w:rsid w:val="003E13BB"/>
    <w:rsid w:val="003F015E"/>
    <w:rsid w:val="003F0E80"/>
    <w:rsid w:val="003F34AE"/>
    <w:rsid w:val="003F5219"/>
    <w:rsid w:val="003F6DB9"/>
    <w:rsid w:val="0040027B"/>
    <w:rsid w:val="00400413"/>
    <w:rsid w:val="00400414"/>
    <w:rsid w:val="00404488"/>
    <w:rsid w:val="00407F4B"/>
    <w:rsid w:val="00411313"/>
    <w:rsid w:val="00413066"/>
    <w:rsid w:val="0041446B"/>
    <w:rsid w:val="00414759"/>
    <w:rsid w:val="0041484F"/>
    <w:rsid w:val="00417044"/>
    <w:rsid w:val="004179C0"/>
    <w:rsid w:val="00420CE8"/>
    <w:rsid w:val="00421130"/>
    <w:rsid w:val="00421985"/>
    <w:rsid w:val="004226EF"/>
    <w:rsid w:val="00423684"/>
    <w:rsid w:val="004258A1"/>
    <w:rsid w:val="00426F51"/>
    <w:rsid w:val="00427254"/>
    <w:rsid w:val="00427A8E"/>
    <w:rsid w:val="00430795"/>
    <w:rsid w:val="0044071E"/>
    <w:rsid w:val="00440F26"/>
    <w:rsid w:val="0044137C"/>
    <w:rsid w:val="00442B92"/>
    <w:rsid w:val="0044329C"/>
    <w:rsid w:val="00446569"/>
    <w:rsid w:val="004467D6"/>
    <w:rsid w:val="00450717"/>
    <w:rsid w:val="004533CB"/>
    <w:rsid w:val="00453E24"/>
    <w:rsid w:val="00457456"/>
    <w:rsid w:val="004577FE"/>
    <w:rsid w:val="00457B9C"/>
    <w:rsid w:val="004601A6"/>
    <w:rsid w:val="0046124E"/>
    <w:rsid w:val="0046164A"/>
    <w:rsid w:val="004628D2"/>
    <w:rsid w:val="00462DCD"/>
    <w:rsid w:val="004637BE"/>
    <w:rsid w:val="00463972"/>
    <w:rsid w:val="004648AD"/>
    <w:rsid w:val="0046502E"/>
    <w:rsid w:val="00465422"/>
    <w:rsid w:val="00467D6D"/>
    <w:rsid w:val="004703A9"/>
    <w:rsid w:val="00470616"/>
    <w:rsid w:val="00472F59"/>
    <w:rsid w:val="004748A8"/>
    <w:rsid w:val="00475ABD"/>
    <w:rsid w:val="004760DE"/>
    <w:rsid w:val="004763D7"/>
    <w:rsid w:val="00476885"/>
    <w:rsid w:val="00480117"/>
    <w:rsid w:val="00480D6D"/>
    <w:rsid w:val="0048292F"/>
    <w:rsid w:val="004867F8"/>
    <w:rsid w:val="00492F7E"/>
    <w:rsid w:val="00493DC3"/>
    <w:rsid w:val="004958AC"/>
    <w:rsid w:val="004A004E"/>
    <w:rsid w:val="004A0355"/>
    <w:rsid w:val="004A1C1D"/>
    <w:rsid w:val="004A24CF"/>
    <w:rsid w:val="004A5250"/>
    <w:rsid w:val="004B0258"/>
    <w:rsid w:val="004B17D9"/>
    <w:rsid w:val="004B1F14"/>
    <w:rsid w:val="004B2065"/>
    <w:rsid w:val="004B5C2D"/>
    <w:rsid w:val="004B5E86"/>
    <w:rsid w:val="004C035A"/>
    <w:rsid w:val="004C0CC7"/>
    <w:rsid w:val="004C2733"/>
    <w:rsid w:val="004C3D1D"/>
    <w:rsid w:val="004C3D84"/>
    <w:rsid w:val="004C490A"/>
    <w:rsid w:val="004C57DF"/>
    <w:rsid w:val="004C64F6"/>
    <w:rsid w:val="004C665F"/>
    <w:rsid w:val="004C7913"/>
    <w:rsid w:val="004D0670"/>
    <w:rsid w:val="004D1A8E"/>
    <w:rsid w:val="004D3B9B"/>
    <w:rsid w:val="004D5D39"/>
    <w:rsid w:val="004E0543"/>
    <w:rsid w:val="004E15BA"/>
    <w:rsid w:val="004E1754"/>
    <w:rsid w:val="004E2B84"/>
    <w:rsid w:val="004E4DD6"/>
    <w:rsid w:val="004E513A"/>
    <w:rsid w:val="004F232B"/>
    <w:rsid w:val="004F29E4"/>
    <w:rsid w:val="004F5E36"/>
    <w:rsid w:val="004F6811"/>
    <w:rsid w:val="004F6C17"/>
    <w:rsid w:val="00500725"/>
    <w:rsid w:val="005016B8"/>
    <w:rsid w:val="0050189B"/>
    <w:rsid w:val="005067B6"/>
    <w:rsid w:val="005075C8"/>
    <w:rsid w:val="00507B47"/>
    <w:rsid w:val="00507BEF"/>
    <w:rsid w:val="00507CC9"/>
    <w:rsid w:val="005119A5"/>
    <w:rsid w:val="00511A2E"/>
    <w:rsid w:val="0051569D"/>
    <w:rsid w:val="00520DFC"/>
    <w:rsid w:val="00522DC7"/>
    <w:rsid w:val="005278B7"/>
    <w:rsid w:val="0052793B"/>
    <w:rsid w:val="00532016"/>
    <w:rsid w:val="00532C96"/>
    <w:rsid w:val="0053304C"/>
    <w:rsid w:val="005340F6"/>
    <w:rsid w:val="005346C8"/>
    <w:rsid w:val="0053656B"/>
    <w:rsid w:val="005370AA"/>
    <w:rsid w:val="005378A3"/>
    <w:rsid w:val="0054023B"/>
    <w:rsid w:val="00541143"/>
    <w:rsid w:val="00541D37"/>
    <w:rsid w:val="00542F82"/>
    <w:rsid w:val="00543E7D"/>
    <w:rsid w:val="00544AC5"/>
    <w:rsid w:val="0054552A"/>
    <w:rsid w:val="00547A68"/>
    <w:rsid w:val="00547D0F"/>
    <w:rsid w:val="0055225C"/>
    <w:rsid w:val="00552577"/>
    <w:rsid w:val="00552BC7"/>
    <w:rsid w:val="005531C9"/>
    <w:rsid w:val="00554879"/>
    <w:rsid w:val="005557EE"/>
    <w:rsid w:val="005558AD"/>
    <w:rsid w:val="00555C78"/>
    <w:rsid w:val="00556B89"/>
    <w:rsid w:val="00556E4E"/>
    <w:rsid w:val="00557455"/>
    <w:rsid w:val="005575C0"/>
    <w:rsid w:val="005634C2"/>
    <w:rsid w:val="00564899"/>
    <w:rsid w:val="00564AD4"/>
    <w:rsid w:val="00566E94"/>
    <w:rsid w:val="005677F6"/>
    <w:rsid w:val="00570C43"/>
    <w:rsid w:val="00571C5A"/>
    <w:rsid w:val="005723B5"/>
    <w:rsid w:val="00572588"/>
    <w:rsid w:val="00572821"/>
    <w:rsid w:val="00577903"/>
    <w:rsid w:val="00582B27"/>
    <w:rsid w:val="005849C0"/>
    <w:rsid w:val="00586687"/>
    <w:rsid w:val="00592274"/>
    <w:rsid w:val="0059493E"/>
    <w:rsid w:val="00594FD9"/>
    <w:rsid w:val="005971A4"/>
    <w:rsid w:val="005A05F1"/>
    <w:rsid w:val="005A42D6"/>
    <w:rsid w:val="005A7C23"/>
    <w:rsid w:val="005B2110"/>
    <w:rsid w:val="005B350B"/>
    <w:rsid w:val="005B4480"/>
    <w:rsid w:val="005B54B9"/>
    <w:rsid w:val="005B61E6"/>
    <w:rsid w:val="005B682E"/>
    <w:rsid w:val="005C172A"/>
    <w:rsid w:val="005C248C"/>
    <w:rsid w:val="005C2FC0"/>
    <w:rsid w:val="005C54F1"/>
    <w:rsid w:val="005C6956"/>
    <w:rsid w:val="005C6EC7"/>
    <w:rsid w:val="005C77E1"/>
    <w:rsid w:val="005D3D48"/>
    <w:rsid w:val="005D405A"/>
    <w:rsid w:val="005D668A"/>
    <w:rsid w:val="005D6A2F"/>
    <w:rsid w:val="005D7639"/>
    <w:rsid w:val="005D7DE3"/>
    <w:rsid w:val="005E0592"/>
    <w:rsid w:val="005E1A82"/>
    <w:rsid w:val="005E794C"/>
    <w:rsid w:val="005E7B74"/>
    <w:rsid w:val="005F0A28"/>
    <w:rsid w:val="005F0E5E"/>
    <w:rsid w:val="005F1D61"/>
    <w:rsid w:val="005F5A3A"/>
    <w:rsid w:val="00600535"/>
    <w:rsid w:val="00600AA8"/>
    <w:rsid w:val="006031B9"/>
    <w:rsid w:val="0060540E"/>
    <w:rsid w:val="00605E98"/>
    <w:rsid w:val="00607ED7"/>
    <w:rsid w:val="0061035B"/>
    <w:rsid w:val="00610CD6"/>
    <w:rsid w:val="006131FD"/>
    <w:rsid w:val="00614000"/>
    <w:rsid w:val="00620DEE"/>
    <w:rsid w:val="00621F92"/>
    <w:rsid w:val="0062280A"/>
    <w:rsid w:val="006231E1"/>
    <w:rsid w:val="00623EA7"/>
    <w:rsid w:val="00625639"/>
    <w:rsid w:val="00626972"/>
    <w:rsid w:val="006300D2"/>
    <w:rsid w:val="00631B33"/>
    <w:rsid w:val="00633AF9"/>
    <w:rsid w:val="00633B2B"/>
    <w:rsid w:val="0063448D"/>
    <w:rsid w:val="0064184D"/>
    <w:rsid w:val="00641A69"/>
    <w:rsid w:val="006422CC"/>
    <w:rsid w:val="00646E08"/>
    <w:rsid w:val="0064780B"/>
    <w:rsid w:val="00651D18"/>
    <w:rsid w:val="0065477B"/>
    <w:rsid w:val="00654AE4"/>
    <w:rsid w:val="00654FFF"/>
    <w:rsid w:val="006601B1"/>
    <w:rsid w:val="006606CD"/>
    <w:rsid w:val="00660E3E"/>
    <w:rsid w:val="00662015"/>
    <w:rsid w:val="00662E74"/>
    <w:rsid w:val="00667BB4"/>
    <w:rsid w:val="00675C7D"/>
    <w:rsid w:val="00680C23"/>
    <w:rsid w:val="00682CE8"/>
    <w:rsid w:val="00683E23"/>
    <w:rsid w:val="00685BCB"/>
    <w:rsid w:val="006869B3"/>
    <w:rsid w:val="006872B3"/>
    <w:rsid w:val="00693766"/>
    <w:rsid w:val="006951D5"/>
    <w:rsid w:val="0069658C"/>
    <w:rsid w:val="006A15FD"/>
    <w:rsid w:val="006A1DA0"/>
    <w:rsid w:val="006A2883"/>
    <w:rsid w:val="006A3281"/>
    <w:rsid w:val="006A4ECF"/>
    <w:rsid w:val="006A503D"/>
    <w:rsid w:val="006A532F"/>
    <w:rsid w:val="006A6DE5"/>
    <w:rsid w:val="006B4209"/>
    <w:rsid w:val="006B4888"/>
    <w:rsid w:val="006B61CD"/>
    <w:rsid w:val="006B6AA3"/>
    <w:rsid w:val="006B7DF2"/>
    <w:rsid w:val="006C0C30"/>
    <w:rsid w:val="006C15AA"/>
    <w:rsid w:val="006C2E45"/>
    <w:rsid w:val="006C359C"/>
    <w:rsid w:val="006C5579"/>
    <w:rsid w:val="006C6134"/>
    <w:rsid w:val="006C738E"/>
    <w:rsid w:val="006D04BB"/>
    <w:rsid w:val="006D31B8"/>
    <w:rsid w:val="006D5A75"/>
    <w:rsid w:val="006D6E8B"/>
    <w:rsid w:val="006D7209"/>
    <w:rsid w:val="006E33B5"/>
    <w:rsid w:val="006E4B18"/>
    <w:rsid w:val="006E60A4"/>
    <w:rsid w:val="006E633C"/>
    <w:rsid w:val="006E737D"/>
    <w:rsid w:val="006F1AEF"/>
    <w:rsid w:val="006F3166"/>
    <w:rsid w:val="006F78BB"/>
    <w:rsid w:val="007004A5"/>
    <w:rsid w:val="007023B0"/>
    <w:rsid w:val="00707DA9"/>
    <w:rsid w:val="00707DD1"/>
    <w:rsid w:val="00713973"/>
    <w:rsid w:val="0071424E"/>
    <w:rsid w:val="00714301"/>
    <w:rsid w:val="00714E0E"/>
    <w:rsid w:val="00714E69"/>
    <w:rsid w:val="0071504B"/>
    <w:rsid w:val="007174C6"/>
    <w:rsid w:val="0072014E"/>
    <w:rsid w:val="00720A24"/>
    <w:rsid w:val="00721C20"/>
    <w:rsid w:val="00723BAC"/>
    <w:rsid w:val="00727548"/>
    <w:rsid w:val="00732386"/>
    <w:rsid w:val="00732505"/>
    <w:rsid w:val="00734B30"/>
    <w:rsid w:val="00734CFD"/>
    <w:rsid w:val="0073514D"/>
    <w:rsid w:val="007369CC"/>
    <w:rsid w:val="00737722"/>
    <w:rsid w:val="0074218F"/>
    <w:rsid w:val="007447F3"/>
    <w:rsid w:val="00744E41"/>
    <w:rsid w:val="00745ABE"/>
    <w:rsid w:val="00745DAA"/>
    <w:rsid w:val="0074639E"/>
    <w:rsid w:val="007479A5"/>
    <w:rsid w:val="0075175C"/>
    <w:rsid w:val="0075499F"/>
    <w:rsid w:val="0075564D"/>
    <w:rsid w:val="00757269"/>
    <w:rsid w:val="00757B43"/>
    <w:rsid w:val="00760B8B"/>
    <w:rsid w:val="007619DF"/>
    <w:rsid w:val="00761E55"/>
    <w:rsid w:val="0076244A"/>
    <w:rsid w:val="00762E76"/>
    <w:rsid w:val="00763316"/>
    <w:rsid w:val="00764619"/>
    <w:rsid w:val="00764D85"/>
    <w:rsid w:val="00765053"/>
    <w:rsid w:val="007661C8"/>
    <w:rsid w:val="0076658D"/>
    <w:rsid w:val="00770681"/>
    <w:rsid w:val="0077098D"/>
    <w:rsid w:val="007710F7"/>
    <w:rsid w:val="00781DD7"/>
    <w:rsid w:val="00781E26"/>
    <w:rsid w:val="007839CD"/>
    <w:rsid w:val="00783BB2"/>
    <w:rsid w:val="00785BF9"/>
    <w:rsid w:val="0078618A"/>
    <w:rsid w:val="00787186"/>
    <w:rsid w:val="007931FA"/>
    <w:rsid w:val="007A0414"/>
    <w:rsid w:val="007A3CC8"/>
    <w:rsid w:val="007A4373"/>
    <w:rsid w:val="007A4861"/>
    <w:rsid w:val="007A4BCC"/>
    <w:rsid w:val="007A7BBA"/>
    <w:rsid w:val="007B0C50"/>
    <w:rsid w:val="007B0DCC"/>
    <w:rsid w:val="007B2837"/>
    <w:rsid w:val="007B38F6"/>
    <w:rsid w:val="007B4358"/>
    <w:rsid w:val="007B48F9"/>
    <w:rsid w:val="007B4B9D"/>
    <w:rsid w:val="007B7F20"/>
    <w:rsid w:val="007C0589"/>
    <w:rsid w:val="007C1A43"/>
    <w:rsid w:val="007C1F66"/>
    <w:rsid w:val="007C6CA3"/>
    <w:rsid w:val="007C7F02"/>
    <w:rsid w:val="007D0951"/>
    <w:rsid w:val="007D2BB9"/>
    <w:rsid w:val="007D314B"/>
    <w:rsid w:val="007D465D"/>
    <w:rsid w:val="007D524E"/>
    <w:rsid w:val="007D610D"/>
    <w:rsid w:val="007D7B0F"/>
    <w:rsid w:val="007E0F81"/>
    <w:rsid w:val="007E506F"/>
    <w:rsid w:val="007E6D1E"/>
    <w:rsid w:val="007F0BDE"/>
    <w:rsid w:val="007F1A4D"/>
    <w:rsid w:val="0080013E"/>
    <w:rsid w:val="00801759"/>
    <w:rsid w:val="00807500"/>
    <w:rsid w:val="0081087B"/>
    <w:rsid w:val="00813288"/>
    <w:rsid w:val="008168FC"/>
    <w:rsid w:val="00820037"/>
    <w:rsid w:val="00823414"/>
    <w:rsid w:val="00823ED4"/>
    <w:rsid w:val="0082568F"/>
    <w:rsid w:val="00825A6A"/>
    <w:rsid w:val="00830996"/>
    <w:rsid w:val="00832653"/>
    <w:rsid w:val="008345F1"/>
    <w:rsid w:val="00836352"/>
    <w:rsid w:val="008427C8"/>
    <w:rsid w:val="00847325"/>
    <w:rsid w:val="008479B8"/>
    <w:rsid w:val="0086332A"/>
    <w:rsid w:val="008650C1"/>
    <w:rsid w:val="00865B07"/>
    <w:rsid w:val="0086636C"/>
    <w:rsid w:val="008667EA"/>
    <w:rsid w:val="008702A9"/>
    <w:rsid w:val="008710E2"/>
    <w:rsid w:val="00872F60"/>
    <w:rsid w:val="00874BB0"/>
    <w:rsid w:val="0087597A"/>
    <w:rsid w:val="00875BC5"/>
    <w:rsid w:val="0087617A"/>
    <w:rsid w:val="0087637F"/>
    <w:rsid w:val="008769F1"/>
    <w:rsid w:val="00877A3E"/>
    <w:rsid w:val="008815F7"/>
    <w:rsid w:val="00881709"/>
    <w:rsid w:val="00881EC9"/>
    <w:rsid w:val="008832AA"/>
    <w:rsid w:val="0088777A"/>
    <w:rsid w:val="008914DF"/>
    <w:rsid w:val="00892AD5"/>
    <w:rsid w:val="008978FD"/>
    <w:rsid w:val="008A1512"/>
    <w:rsid w:val="008A2B08"/>
    <w:rsid w:val="008A31A8"/>
    <w:rsid w:val="008A4D1F"/>
    <w:rsid w:val="008B324B"/>
    <w:rsid w:val="008B5E32"/>
    <w:rsid w:val="008B5F48"/>
    <w:rsid w:val="008B640B"/>
    <w:rsid w:val="008C0A9C"/>
    <w:rsid w:val="008C758B"/>
    <w:rsid w:val="008C7AD6"/>
    <w:rsid w:val="008D0EDF"/>
    <w:rsid w:val="008D1030"/>
    <w:rsid w:val="008D32B9"/>
    <w:rsid w:val="008D3D7D"/>
    <w:rsid w:val="008D433B"/>
    <w:rsid w:val="008D491C"/>
    <w:rsid w:val="008D4A16"/>
    <w:rsid w:val="008D78BC"/>
    <w:rsid w:val="008E08DC"/>
    <w:rsid w:val="008E4378"/>
    <w:rsid w:val="008E43CA"/>
    <w:rsid w:val="008E5401"/>
    <w:rsid w:val="008E566E"/>
    <w:rsid w:val="008F3E7F"/>
    <w:rsid w:val="008F5C72"/>
    <w:rsid w:val="008F5D53"/>
    <w:rsid w:val="008F7D33"/>
    <w:rsid w:val="0090161A"/>
    <w:rsid w:val="00901EB6"/>
    <w:rsid w:val="0090237A"/>
    <w:rsid w:val="00902DF9"/>
    <w:rsid w:val="009037EF"/>
    <w:rsid w:val="00903A50"/>
    <w:rsid w:val="009041F8"/>
    <w:rsid w:val="00904C62"/>
    <w:rsid w:val="00905FA6"/>
    <w:rsid w:val="00906869"/>
    <w:rsid w:val="00910675"/>
    <w:rsid w:val="00910AF9"/>
    <w:rsid w:val="0091504B"/>
    <w:rsid w:val="0092166F"/>
    <w:rsid w:val="00922BA8"/>
    <w:rsid w:val="009249B7"/>
    <w:rsid w:val="00924DAC"/>
    <w:rsid w:val="00925D5D"/>
    <w:rsid w:val="00927058"/>
    <w:rsid w:val="00932E94"/>
    <w:rsid w:val="00935B40"/>
    <w:rsid w:val="00936948"/>
    <w:rsid w:val="00940136"/>
    <w:rsid w:val="009404F7"/>
    <w:rsid w:val="00941835"/>
    <w:rsid w:val="00942750"/>
    <w:rsid w:val="009450CE"/>
    <w:rsid w:val="009459BB"/>
    <w:rsid w:val="00946CCE"/>
    <w:rsid w:val="00947179"/>
    <w:rsid w:val="0095164B"/>
    <w:rsid w:val="00954090"/>
    <w:rsid w:val="009547F6"/>
    <w:rsid w:val="009573E7"/>
    <w:rsid w:val="00963CCD"/>
    <w:rsid w:val="00963E05"/>
    <w:rsid w:val="00964A45"/>
    <w:rsid w:val="00966D14"/>
    <w:rsid w:val="0096738F"/>
    <w:rsid w:val="00967843"/>
    <w:rsid w:val="00967D54"/>
    <w:rsid w:val="0097066C"/>
    <w:rsid w:val="00971028"/>
    <w:rsid w:val="00971503"/>
    <w:rsid w:val="00975ACB"/>
    <w:rsid w:val="00982479"/>
    <w:rsid w:val="00983710"/>
    <w:rsid w:val="0098482D"/>
    <w:rsid w:val="00984C3E"/>
    <w:rsid w:val="0098518A"/>
    <w:rsid w:val="00992246"/>
    <w:rsid w:val="00993B84"/>
    <w:rsid w:val="00994505"/>
    <w:rsid w:val="00994C6A"/>
    <w:rsid w:val="00996483"/>
    <w:rsid w:val="00996E71"/>
    <w:rsid w:val="00996F5A"/>
    <w:rsid w:val="009A0F23"/>
    <w:rsid w:val="009A171A"/>
    <w:rsid w:val="009A2BF6"/>
    <w:rsid w:val="009A2FE6"/>
    <w:rsid w:val="009A3D20"/>
    <w:rsid w:val="009A711E"/>
    <w:rsid w:val="009B041A"/>
    <w:rsid w:val="009B1171"/>
    <w:rsid w:val="009B3C4E"/>
    <w:rsid w:val="009B5A50"/>
    <w:rsid w:val="009B5F87"/>
    <w:rsid w:val="009B66AA"/>
    <w:rsid w:val="009C37C3"/>
    <w:rsid w:val="009C5C6B"/>
    <w:rsid w:val="009C7C86"/>
    <w:rsid w:val="009D2417"/>
    <w:rsid w:val="009D2FF7"/>
    <w:rsid w:val="009D310D"/>
    <w:rsid w:val="009E02B8"/>
    <w:rsid w:val="009E24AD"/>
    <w:rsid w:val="009E5C73"/>
    <w:rsid w:val="009E7884"/>
    <w:rsid w:val="009E788A"/>
    <w:rsid w:val="009F0E08"/>
    <w:rsid w:val="009F1D0C"/>
    <w:rsid w:val="009F4E6E"/>
    <w:rsid w:val="009F6144"/>
    <w:rsid w:val="009F6903"/>
    <w:rsid w:val="009F7C2C"/>
    <w:rsid w:val="00A0107E"/>
    <w:rsid w:val="00A010D5"/>
    <w:rsid w:val="00A0456C"/>
    <w:rsid w:val="00A079AE"/>
    <w:rsid w:val="00A13F20"/>
    <w:rsid w:val="00A14AFE"/>
    <w:rsid w:val="00A16C8C"/>
    <w:rsid w:val="00A1763D"/>
    <w:rsid w:val="00A17CEC"/>
    <w:rsid w:val="00A203D3"/>
    <w:rsid w:val="00A20C76"/>
    <w:rsid w:val="00A25F67"/>
    <w:rsid w:val="00A26943"/>
    <w:rsid w:val="00A27E4D"/>
    <w:rsid w:val="00A27EF0"/>
    <w:rsid w:val="00A302A7"/>
    <w:rsid w:val="00A30965"/>
    <w:rsid w:val="00A30C3F"/>
    <w:rsid w:val="00A31E77"/>
    <w:rsid w:val="00A32A84"/>
    <w:rsid w:val="00A3316B"/>
    <w:rsid w:val="00A34F9A"/>
    <w:rsid w:val="00A37414"/>
    <w:rsid w:val="00A4009E"/>
    <w:rsid w:val="00A42361"/>
    <w:rsid w:val="00A4462E"/>
    <w:rsid w:val="00A4465B"/>
    <w:rsid w:val="00A4551F"/>
    <w:rsid w:val="00A50B20"/>
    <w:rsid w:val="00A50F6B"/>
    <w:rsid w:val="00A51390"/>
    <w:rsid w:val="00A52F4A"/>
    <w:rsid w:val="00A604BE"/>
    <w:rsid w:val="00A60D13"/>
    <w:rsid w:val="00A658CA"/>
    <w:rsid w:val="00A65D29"/>
    <w:rsid w:val="00A66D10"/>
    <w:rsid w:val="00A67E76"/>
    <w:rsid w:val="00A7089B"/>
    <w:rsid w:val="00A7223D"/>
    <w:rsid w:val="00A72745"/>
    <w:rsid w:val="00A72DBC"/>
    <w:rsid w:val="00A76BB0"/>
    <w:rsid w:val="00A76EFC"/>
    <w:rsid w:val="00A83700"/>
    <w:rsid w:val="00A85736"/>
    <w:rsid w:val="00A8639A"/>
    <w:rsid w:val="00A87D50"/>
    <w:rsid w:val="00A91010"/>
    <w:rsid w:val="00A912F6"/>
    <w:rsid w:val="00A93394"/>
    <w:rsid w:val="00A958FF"/>
    <w:rsid w:val="00A9673B"/>
    <w:rsid w:val="00A97F29"/>
    <w:rsid w:val="00AA0131"/>
    <w:rsid w:val="00AA1945"/>
    <w:rsid w:val="00AA33ED"/>
    <w:rsid w:val="00AA3A67"/>
    <w:rsid w:val="00AA3F5E"/>
    <w:rsid w:val="00AA5786"/>
    <w:rsid w:val="00AA702E"/>
    <w:rsid w:val="00AA7D26"/>
    <w:rsid w:val="00AB0964"/>
    <w:rsid w:val="00AB5011"/>
    <w:rsid w:val="00AB7D48"/>
    <w:rsid w:val="00AC15AF"/>
    <w:rsid w:val="00AC2395"/>
    <w:rsid w:val="00AC334F"/>
    <w:rsid w:val="00AC3560"/>
    <w:rsid w:val="00AC6AEB"/>
    <w:rsid w:val="00AC7368"/>
    <w:rsid w:val="00AD16B9"/>
    <w:rsid w:val="00AD497E"/>
    <w:rsid w:val="00AD5DEF"/>
    <w:rsid w:val="00AD740F"/>
    <w:rsid w:val="00AD74AA"/>
    <w:rsid w:val="00AE1F63"/>
    <w:rsid w:val="00AE377D"/>
    <w:rsid w:val="00AE419A"/>
    <w:rsid w:val="00AF0EBA"/>
    <w:rsid w:val="00AF2463"/>
    <w:rsid w:val="00AF318F"/>
    <w:rsid w:val="00AF6C18"/>
    <w:rsid w:val="00B0119C"/>
    <w:rsid w:val="00B019BB"/>
    <w:rsid w:val="00B020B6"/>
    <w:rsid w:val="00B02C2F"/>
    <w:rsid w:val="00B02C8A"/>
    <w:rsid w:val="00B030B9"/>
    <w:rsid w:val="00B043E7"/>
    <w:rsid w:val="00B04C1A"/>
    <w:rsid w:val="00B0534B"/>
    <w:rsid w:val="00B06805"/>
    <w:rsid w:val="00B12D33"/>
    <w:rsid w:val="00B1497F"/>
    <w:rsid w:val="00B17FBD"/>
    <w:rsid w:val="00B20382"/>
    <w:rsid w:val="00B207DA"/>
    <w:rsid w:val="00B23F0C"/>
    <w:rsid w:val="00B2461A"/>
    <w:rsid w:val="00B27EC9"/>
    <w:rsid w:val="00B30E86"/>
    <w:rsid w:val="00B315A6"/>
    <w:rsid w:val="00B31813"/>
    <w:rsid w:val="00B33365"/>
    <w:rsid w:val="00B335ED"/>
    <w:rsid w:val="00B46D50"/>
    <w:rsid w:val="00B52803"/>
    <w:rsid w:val="00B55163"/>
    <w:rsid w:val="00B55BBC"/>
    <w:rsid w:val="00B57B36"/>
    <w:rsid w:val="00B57E6F"/>
    <w:rsid w:val="00B60AD8"/>
    <w:rsid w:val="00B6271A"/>
    <w:rsid w:val="00B63AFC"/>
    <w:rsid w:val="00B65DED"/>
    <w:rsid w:val="00B70082"/>
    <w:rsid w:val="00B70A9B"/>
    <w:rsid w:val="00B70D0B"/>
    <w:rsid w:val="00B71A02"/>
    <w:rsid w:val="00B72999"/>
    <w:rsid w:val="00B74996"/>
    <w:rsid w:val="00B76202"/>
    <w:rsid w:val="00B77A2B"/>
    <w:rsid w:val="00B8086B"/>
    <w:rsid w:val="00B845C0"/>
    <w:rsid w:val="00B8686D"/>
    <w:rsid w:val="00B93F69"/>
    <w:rsid w:val="00B97989"/>
    <w:rsid w:val="00B97EE5"/>
    <w:rsid w:val="00BA14BD"/>
    <w:rsid w:val="00BA5123"/>
    <w:rsid w:val="00BB060B"/>
    <w:rsid w:val="00BB0A21"/>
    <w:rsid w:val="00BB0E23"/>
    <w:rsid w:val="00BB1DDC"/>
    <w:rsid w:val="00BB47F0"/>
    <w:rsid w:val="00BB5928"/>
    <w:rsid w:val="00BB5CDF"/>
    <w:rsid w:val="00BB5E28"/>
    <w:rsid w:val="00BB77D4"/>
    <w:rsid w:val="00BC30C9"/>
    <w:rsid w:val="00BC47D2"/>
    <w:rsid w:val="00BC6FB7"/>
    <w:rsid w:val="00BD0224"/>
    <w:rsid w:val="00BD077D"/>
    <w:rsid w:val="00BD2042"/>
    <w:rsid w:val="00BD356A"/>
    <w:rsid w:val="00BD4DE7"/>
    <w:rsid w:val="00BD5BA5"/>
    <w:rsid w:val="00BE060D"/>
    <w:rsid w:val="00BE0917"/>
    <w:rsid w:val="00BE3E58"/>
    <w:rsid w:val="00BE44E0"/>
    <w:rsid w:val="00BE493D"/>
    <w:rsid w:val="00BF0986"/>
    <w:rsid w:val="00BF13CE"/>
    <w:rsid w:val="00BF1C7B"/>
    <w:rsid w:val="00BF3480"/>
    <w:rsid w:val="00BF3983"/>
    <w:rsid w:val="00BF399F"/>
    <w:rsid w:val="00BF7464"/>
    <w:rsid w:val="00C01616"/>
    <w:rsid w:val="00C0162B"/>
    <w:rsid w:val="00C03109"/>
    <w:rsid w:val="00C058C1"/>
    <w:rsid w:val="00C068ED"/>
    <w:rsid w:val="00C06E05"/>
    <w:rsid w:val="00C07DB1"/>
    <w:rsid w:val="00C12A9D"/>
    <w:rsid w:val="00C16282"/>
    <w:rsid w:val="00C16706"/>
    <w:rsid w:val="00C216AB"/>
    <w:rsid w:val="00C21AFF"/>
    <w:rsid w:val="00C220F5"/>
    <w:rsid w:val="00C22113"/>
    <w:rsid w:val="00C22E0C"/>
    <w:rsid w:val="00C32C7D"/>
    <w:rsid w:val="00C32CDC"/>
    <w:rsid w:val="00C33E5F"/>
    <w:rsid w:val="00C345B1"/>
    <w:rsid w:val="00C34E79"/>
    <w:rsid w:val="00C35556"/>
    <w:rsid w:val="00C35E3F"/>
    <w:rsid w:val="00C35E7A"/>
    <w:rsid w:val="00C379F2"/>
    <w:rsid w:val="00C40142"/>
    <w:rsid w:val="00C4106C"/>
    <w:rsid w:val="00C41379"/>
    <w:rsid w:val="00C41A23"/>
    <w:rsid w:val="00C44F95"/>
    <w:rsid w:val="00C52C3C"/>
    <w:rsid w:val="00C52FEB"/>
    <w:rsid w:val="00C545F9"/>
    <w:rsid w:val="00C557FE"/>
    <w:rsid w:val="00C57182"/>
    <w:rsid w:val="00C57863"/>
    <w:rsid w:val="00C63989"/>
    <w:rsid w:val="00C640AF"/>
    <w:rsid w:val="00C654FA"/>
    <w:rsid w:val="00C655FD"/>
    <w:rsid w:val="00C6757D"/>
    <w:rsid w:val="00C70A01"/>
    <w:rsid w:val="00C71571"/>
    <w:rsid w:val="00C75407"/>
    <w:rsid w:val="00C76F62"/>
    <w:rsid w:val="00C80DE2"/>
    <w:rsid w:val="00C81E7D"/>
    <w:rsid w:val="00C82423"/>
    <w:rsid w:val="00C841C6"/>
    <w:rsid w:val="00C8486F"/>
    <w:rsid w:val="00C864C3"/>
    <w:rsid w:val="00C870A8"/>
    <w:rsid w:val="00C9110F"/>
    <w:rsid w:val="00C92D22"/>
    <w:rsid w:val="00C92F49"/>
    <w:rsid w:val="00C94434"/>
    <w:rsid w:val="00CA0D75"/>
    <w:rsid w:val="00CA1C95"/>
    <w:rsid w:val="00CA23B5"/>
    <w:rsid w:val="00CA2E31"/>
    <w:rsid w:val="00CA32CD"/>
    <w:rsid w:val="00CA5234"/>
    <w:rsid w:val="00CA5A9C"/>
    <w:rsid w:val="00CA7EC4"/>
    <w:rsid w:val="00CB04CC"/>
    <w:rsid w:val="00CB2DF6"/>
    <w:rsid w:val="00CB3662"/>
    <w:rsid w:val="00CB6FBC"/>
    <w:rsid w:val="00CC1EE1"/>
    <w:rsid w:val="00CC4C20"/>
    <w:rsid w:val="00CC683A"/>
    <w:rsid w:val="00CC71DD"/>
    <w:rsid w:val="00CD2379"/>
    <w:rsid w:val="00CD3517"/>
    <w:rsid w:val="00CD390E"/>
    <w:rsid w:val="00CD39F3"/>
    <w:rsid w:val="00CD5A8C"/>
    <w:rsid w:val="00CD5FE2"/>
    <w:rsid w:val="00CD6A88"/>
    <w:rsid w:val="00CE0086"/>
    <w:rsid w:val="00CE179F"/>
    <w:rsid w:val="00CE30EA"/>
    <w:rsid w:val="00CE36FF"/>
    <w:rsid w:val="00CE4F81"/>
    <w:rsid w:val="00CE7C68"/>
    <w:rsid w:val="00CE7CB8"/>
    <w:rsid w:val="00CF062A"/>
    <w:rsid w:val="00CF6372"/>
    <w:rsid w:val="00CF63DC"/>
    <w:rsid w:val="00CF6437"/>
    <w:rsid w:val="00D0075C"/>
    <w:rsid w:val="00D02B4C"/>
    <w:rsid w:val="00D040B2"/>
    <w:rsid w:val="00D040C4"/>
    <w:rsid w:val="00D13887"/>
    <w:rsid w:val="00D1420C"/>
    <w:rsid w:val="00D14669"/>
    <w:rsid w:val="00D14B7D"/>
    <w:rsid w:val="00D20AD1"/>
    <w:rsid w:val="00D223DD"/>
    <w:rsid w:val="00D2259F"/>
    <w:rsid w:val="00D23213"/>
    <w:rsid w:val="00D2337F"/>
    <w:rsid w:val="00D25614"/>
    <w:rsid w:val="00D2582C"/>
    <w:rsid w:val="00D26A52"/>
    <w:rsid w:val="00D30626"/>
    <w:rsid w:val="00D31872"/>
    <w:rsid w:val="00D31E64"/>
    <w:rsid w:val="00D4026C"/>
    <w:rsid w:val="00D45009"/>
    <w:rsid w:val="00D46B7E"/>
    <w:rsid w:val="00D46EC4"/>
    <w:rsid w:val="00D47A0C"/>
    <w:rsid w:val="00D5017A"/>
    <w:rsid w:val="00D52E40"/>
    <w:rsid w:val="00D52FD7"/>
    <w:rsid w:val="00D5388D"/>
    <w:rsid w:val="00D55EE7"/>
    <w:rsid w:val="00D55EF6"/>
    <w:rsid w:val="00D57617"/>
    <w:rsid w:val="00D57C84"/>
    <w:rsid w:val="00D6023E"/>
    <w:rsid w:val="00D6057D"/>
    <w:rsid w:val="00D65E96"/>
    <w:rsid w:val="00D71640"/>
    <w:rsid w:val="00D7204B"/>
    <w:rsid w:val="00D73FD9"/>
    <w:rsid w:val="00D765CE"/>
    <w:rsid w:val="00D81198"/>
    <w:rsid w:val="00D82187"/>
    <w:rsid w:val="00D836C5"/>
    <w:rsid w:val="00D84576"/>
    <w:rsid w:val="00D871B9"/>
    <w:rsid w:val="00D92D69"/>
    <w:rsid w:val="00D94F38"/>
    <w:rsid w:val="00DA1399"/>
    <w:rsid w:val="00DA1CF8"/>
    <w:rsid w:val="00DA1E09"/>
    <w:rsid w:val="00DA24C6"/>
    <w:rsid w:val="00DA25D8"/>
    <w:rsid w:val="00DA4D7B"/>
    <w:rsid w:val="00DA5FC0"/>
    <w:rsid w:val="00DA65C4"/>
    <w:rsid w:val="00DA7B1A"/>
    <w:rsid w:val="00DB0959"/>
    <w:rsid w:val="00DB1754"/>
    <w:rsid w:val="00DB1AB4"/>
    <w:rsid w:val="00DB2730"/>
    <w:rsid w:val="00DB631D"/>
    <w:rsid w:val="00DC020E"/>
    <w:rsid w:val="00DC15CE"/>
    <w:rsid w:val="00DC272E"/>
    <w:rsid w:val="00DC2840"/>
    <w:rsid w:val="00DC49AE"/>
    <w:rsid w:val="00DC5E77"/>
    <w:rsid w:val="00DC73EE"/>
    <w:rsid w:val="00DD1239"/>
    <w:rsid w:val="00DD1F66"/>
    <w:rsid w:val="00DD271C"/>
    <w:rsid w:val="00DD61D2"/>
    <w:rsid w:val="00DE054C"/>
    <w:rsid w:val="00DE24CF"/>
    <w:rsid w:val="00DE264A"/>
    <w:rsid w:val="00DE269E"/>
    <w:rsid w:val="00DE601C"/>
    <w:rsid w:val="00DF4DED"/>
    <w:rsid w:val="00DF5072"/>
    <w:rsid w:val="00DF5D47"/>
    <w:rsid w:val="00DF72C6"/>
    <w:rsid w:val="00E025F6"/>
    <w:rsid w:val="00E02D18"/>
    <w:rsid w:val="00E041E7"/>
    <w:rsid w:val="00E043AB"/>
    <w:rsid w:val="00E04966"/>
    <w:rsid w:val="00E053B5"/>
    <w:rsid w:val="00E0547B"/>
    <w:rsid w:val="00E0579A"/>
    <w:rsid w:val="00E07865"/>
    <w:rsid w:val="00E1563E"/>
    <w:rsid w:val="00E15D8C"/>
    <w:rsid w:val="00E16829"/>
    <w:rsid w:val="00E23B0D"/>
    <w:rsid w:val="00E23CA1"/>
    <w:rsid w:val="00E23D3E"/>
    <w:rsid w:val="00E2656D"/>
    <w:rsid w:val="00E27F1E"/>
    <w:rsid w:val="00E326DA"/>
    <w:rsid w:val="00E328E0"/>
    <w:rsid w:val="00E409A8"/>
    <w:rsid w:val="00E413B2"/>
    <w:rsid w:val="00E418EC"/>
    <w:rsid w:val="00E420E6"/>
    <w:rsid w:val="00E43D7C"/>
    <w:rsid w:val="00E43EE7"/>
    <w:rsid w:val="00E44F6D"/>
    <w:rsid w:val="00E47D41"/>
    <w:rsid w:val="00E500D4"/>
    <w:rsid w:val="00E50C12"/>
    <w:rsid w:val="00E526BD"/>
    <w:rsid w:val="00E52F70"/>
    <w:rsid w:val="00E535C7"/>
    <w:rsid w:val="00E55F4E"/>
    <w:rsid w:val="00E566F0"/>
    <w:rsid w:val="00E57C64"/>
    <w:rsid w:val="00E62104"/>
    <w:rsid w:val="00E6301E"/>
    <w:rsid w:val="00E65B91"/>
    <w:rsid w:val="00E65BF8"/>
    <w:rsid w:val="00E70100"/>
    <w:rsid w:val="00E717E1"/>
    <w:rsid w:val="00E71B50"/>
    <w:rsid w:val="00E7209D"/>
    <w:rsid w:val="00E72EAD"/>
    <w:rsid w:val="00E74A23"/>
    <w:rsid w:val="00E76680"/>
    <w:rsid w:val="00E76AAC"/>
    <w:rsid w:val="00E77223"/>
    <w:rsid w:val="00E82318"/>
    <w:rsid w:val="00E8528B"/>
    <w:rsid w:val="00E85B94"/>
    <w:rsid w:val="00E8633A"/>
    <w:rsid w:val="00E92405"/>
    <w:rsid w:val="00E978D0"/>
    <w:rsid w:val="00EA10BE"/>
    <w:rsid w:val="00EA2377"/>
    <w:rsid w:val="00EA33A7"/>
    <w:rsid w:val="00EA3ABD"/>
    <w:rsid w:val="00EA4613"/>
    <w:rsid w:val="00EA4B2B"/>
    <w:rsid w:val="00EA6A06"/>
    <w:rsid w:val="00EA7F91"/>
    <w:rsid w:val="00EB1523"/>
    <w:rsid w:val="00EB1FA2"/>
    <w:rsid w:val="00EC0E49"/>
    <w:rsid w:val="00EC101F"/>
    <w:rsid w:val="00EC1D9F"/>
    <w:rsid w:val="00EC2E02"/>
    <w:rsid w:val="00EC3C08"/>
    <w:rsid w:val="00EC3E59"/>
    <w:rsid w:val="00EC4036"/>
    <w:rsid w:val="00EC5245"/>
    <w:rsid w:val="00EC650D"/>
    <w:rsid w:val="00EC7730"/>
    <w:rsid w:val="00ED05BD"/>
    <w:rsid w:val="00ED0730"/>
    <w:rsid w:val="00ED249F"/>
    <w:rsid w:val="00ED33F0"/>
    <w:rsid w:val="00ED6FC9"/>
    <w:rsid w:val="00EE0131"/>
    <w:rsid w:val="00EE17B0"/>
    <w:rsid w:val="00EE4401"/>
    <w:rsid w:val="00EE4FBC"/>
    <w:rsid w:val="00EE578C"/>
    <w:rsid w:val="00EF06D9"/>
    <w:rsid w:val="00EF2817"/>
    <w:rsid w:val="00EF2DE9"/>
    <w:rsid w:val="00F002F8"/>
    <w:rsid w:val="00F04116"/>
    <w:rsid w:val="00F059C8"/>
    <w:rsid w:val="00F07FEE"/>
    <w:rsid w:val="00F13F15"/>
    <w:rsid w:val="00F13FF6"/>
    <w:rsid w:val="00F147EF"/>
    <w:rsid w:val="00F15B2D"/>
    <w:rsid w:val="00F17D17"/>
    <w:rsid w:val="00F20614"/>
    <w:rsid w:val="00F210BA"/>
    <w:rsid w:val="00F21382"/>
    <w:rsid w:val="00F256BD"/>
    <w:rsid w:val="00F27C35"/>
    <w:rsid w:val="00F3049E"/>
    <w:rsid w:val="00F30C64"/>
    <w:rsid w:val="00F30D5D"/>
    <w:rsid w:val="00F3117C"/>
    <w:rsid w:val="00F32BA2"/>
    <w:rsid w:val="00F32CDB"/>
    <w:rsid w:val="00F33209"/>
    <w:rsid w:val="00F3349A"/>
    <w:rsid w:val="00F33B61"/>
    <w:rsid w:val="00F33B63"/>
    <w:rsid w:val="00F348DF"/>
    <w:rsid w:val="00F403C7"/>
    <w:rsid w:val="00F404D1"/>
    <w:rsid w:val="00F41C34"/>
    <w:rsid w:val="00F41EE4"/>
    <w:rsid w:val="00F4385A"/>
    <w:rsid w:val="00F45312"/>
    <w:rsid w:val="00F47A46"/>
    <w:rsid w:val="00F47F91"/>
    <w:rsid w:val="00F51F4F"/>
    <w:rsid w:val="00F527B0"/>
    <w:rsid w:val="00F52CC4"/>
    <w:rsid w:val="00F537A9"/>
    <w:rsid w:val="00F54CBF"/>
    <w:rsid w:val="00F55C8A"/>
    <w:rsid w:val="00F560C4"/>
    <w:rsid w:val="00F565FE"/>
    <w:rsid w:val="00F56E8F"/>
    <w:rsid w:val="00F57330"/>
    <w:rsid w:val="00F61544"/>
    <w:rsid w:val="00F623A5"/>
    <w:rsid w:val="00F63A70"/>
    <w:rsid w:val="00F63C2B"/>
    <w:rsid w:val="00F63D8C"/>
    <w:rsid w:val="00F67160"/>
    <w:rsid w:val="00F6746E"/>
    <w:rsid w:val="00F7534E"/>
    <w:rsid w:val="00F80798"/>
    <w:rsid w:val="00F83678"/>
    <w:rsid w:val="00F850E3"/>
    <w:rsid w:val="00F857D9"/>
    <w:rsid w:val="00F85DE9"/>
    <w:rsid w:val="00F9028F"/>
    <w:rsid w:val="00F93EDF"/>
    <w:rsid w:val="00F958CC"/>
    <w:rsid w:val="00F9744C"/>
    <w:rsid w:val="00FA1232"/>
    <w:rsid w:val="00FA1802"/>
    <w:rsid w:val="00FA19D7"/>
    <w:rsid w:val="00FA21D0"/>
    <w:rsid w:val="00FA2AC4"/>
    <w:rsid w:val="00FA46FC"/>
    <w:rsid w:val="00FA5F5F"/>
    <w:rsid w:val="00FB0228"/>
    <w:rsid w:val="00FB07C1"/>
    <w:rsid w:val="00FB1B7A"/>
    <w:rsid w:val="00FB730C"/>
    <w:rsid w:val="00FC2695"/>
    <w:rsid w:val="00FC3E03"/>
    <w:rsid w:val="00FC3FC1"/>
    <w:rsid w:val="00FC6E06"/>
    <w:rsid w:val="00FD02D4"/>
    <w:rsid w:val="00FD4980"/>
    <w:rsid w:val="00FD5470"/>
    <w:rsid w:val="00FE1227"/>
    <w:rsid w:val="00FE5FA0"/>
    <w:rsid w:val="00FE7BE4"/>
    <w:rsid w:val="00FF3F9F"/>
    <w:rsid w:val="00FF69BD"/>
    <w:rsid w:val="058344E3"/>
    <w:rsid w:val="099D09EE"/>
    <w:rsid w:val="09E349D0"/>
    <w:rsid w:val="10E6B717"/>
    <w:rsid w:val="15BF13C2"/>
    <w:rsid w:val="18982F98"/>
    <w:rsid w:val="2250AB62"/>
    <w:rsid w:val="24A45907"/>
    <w:rsid w:val="289C4E92"/>
    <w:rsid w:val="3064E2AE"/>
    <w:rsid w:val="333E99BB"/>
    <w:rsid w:val="47985161"/>
    <w:rsid w:val="5C783361"/>
    <w:rsid w:val="5E1A7D4A"/>
    <w:rsid w:val="611E65E8"/>
    <w:rsid w:val="6D70F67E"/>
    <w:rsid w:val="6D9C68B3"/>
    <w:rsid w:val="711745B2"/>
    <w:rsid w:val="78442421"/>
    <w:rsid w:val="7AB3674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974AFFF-5C5E-4C8D-ACF6-C9053120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82423"/>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82423"/>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unhideWhenUsed/>
    <w:rsid w:val="0003148D"/>
    <w:pPr>
      <w:spacing w:after="120"/>
    </w:pPr>
  </w:style>
  <w:style w:type="character" w:customStyle="1" w:styleId="BodyTextChar">
    <w:name w:val="Body Text Char"/>
    <w:basedOn w:val="DefaultParagraphFont"/>
    <w:link w:val="BodyText"/>
    <w:uiPriority w:val="99"/>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paragraph" w:styleId="Revision">
    <w:name w:val="Revision"/>
    <w:hidden/>
    <w:uiPriority w:val="99"/>
    <w:semiHidden/>
    <w:rsid w:val="00646E08"/>
    <w:pPr>
      <w:spacing w:after="0" w:line="240" w:lineRule="auto"/>
    </w:pPr>
    <w:rPr>
      <w:rFonts w:ascii="Arial" w:eastAsia="Times New Roman" w:hAnsi="Arial" w:cs="Times New Roman"/>
      <w:sz w:val="18"/>
      <w:szCs w:val="20"/>
      <w:lang w:val="en-GB"/>
    </w:rPr>
  </w:style>
  <w:style w:type="character" w:styleId="UnresolvedMention">
    <w:name w:val="Unresolved Mention"/>
    <w:basedOn w:val="DefaultParagraphFont"/>
    <w:uiPriority w:val="99"/>
    <w:semiHidden/>
    <w:unhideWhenUsed/>
    <w:rsid w:val="00605E98"/>
    <w:rPr>
      <w:color w:val="605E5C"/>
      <w:shd w:val="clear" w:color="auto" w:fill="E1DFDD"/>
    </w:rPr>
  </w:style>
  <w:style w:type="paragraph" w:customStyle="1" w:styleId="ConfBodyText">
    <w:name w:val="ConfBodyText"/>
    <w:rsid w:val="0046502E"/>
    <w:pPr>
      <w:spacing w:before="60" w:after="60" w:line="240" w:lineRule="auto"/>
      <w:jc w:val="both"/>
    </w:pPr>
    <w:rPr>
      <w:rFonts w:ascii="Arial Narrow" w:eastAsia="Times New Roman" w:hAnsi="Arial Narrow" w:cs="Times New Roman"/>
      <w:lang w:val="en-GB"/>
    </w:rPr>
  </w:style>
  <w:style w:type="paragraph" w:styleId="Title">
    <w:name w:val="Title"/>
    <w:basedOn w:val="Normal"/>
    <w:next w:val="Normal"/>
    <w:link w:val="TitleChar"/>
    <w:uiPriority w:val="10"/>
    <w:rsid w:val="00D5388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88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rsid w:val="00D5388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5388D"/>
    <w:rPr>
      <w:rFonts w:eastAsiaTheme="minorEastAsia"/>
      <w:color w:val="5A5A5A" w:themeColor="text1" w:themeTint="A5"/>
      <w:spacing w:val="15"/>
      <w:lang w:val="en-GB"/>
    </w:rPr>
  </w:style>
  <w:style w:type="paragraph" w:customStyle="1" w:styleId="ConfReferenceText">
    <w:name w:val="ConfReferenceText"/>
    <w:rsid w:val="00F33B63"/>
    <w:pPr>
      <w:tabs>
        <w:tab w:val="right" w:pos="284"/>
        <w:tab w:val="left" w:pos="425"/>
      </w:tabs>
      <w:spacing w:before="30" w:after="30" w:line="240" w:lineRule="auto"/>
      <w:ind w:left="425" w:hanging="425"/>
    </w:pPr>
    <w:rPr>
      <w:rFonts w:ascii="Arial Narrow" w:eastAsia="Times New Roman" w:hAnsi="Arial Narrow" w:cs="Times New Roman"/>
      <w:sz w:val="21"/>
      <w:szCs w:val="20"/>
      <w:lang w:val="en-GB"/>
    </w:rPr>
  </w:style>
  <w:style w:type="character" w:styleId="FollowedHyperlink">
    <w:name w:val="FollowedHyperlink"/>
    <w:basedOn w:val="DefaultParagraphFont"/>
    <w:uiPriority w:val="99"/>
    <w:semiHidden/>
    <w:unhideWhenUsed/>
    <w:rsid w:val="005D76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24029">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61637867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062042">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0614877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994143952">
      <w:bodyDiv w:val="1"/>
      <w:marLeft w:val="0"/>
      <w:marRight w:val="0"/>
      <w:marTop w:val="0"/>
      <w:marBottom w:val="0"/>
      <w:divBdr>
        <w:top w:val="none" w:sz="0" w:space="0" w:color="auto"/>
        <w:left w:val="none" w:sz="0" w:space="0" w:color="auto"/>
        <w:bottom w:val="none" w:sz="0" w:space="0" w:color="auto"/>
        <w:right w:val="none" w:sz="0" w:space="0" w:color="auto"/>
      </w:divBdr>
    </w:div>
    <w:div w:id="212437806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weforum.org/publications/global-risks-report-2024/in-full/" TargetMode="External"/><Relationship Id="rId3" Type="http://schemas.openxmlformats.org/officeDocument/2006/relationships/customXml" Target="../customXml/item3.xml"/><Relationship Id="rId21" Type="http://schemas.openxmlformats.org/officeDocument/2006/relationships/hyperlink" Target="https://www.ipcc.ch/report/ar6/wg3/download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s://eur-lex.europa.eu/legal-content/EN/TXT/?uri=CELEX:32021R11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mmission.europa.eu/strategy-and-policy/priorities-2019-2024/european-green-deal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tecnimont.sharepoint.com/sites/CarbonEmissionReduction-ProcessGroup/Shared%20Documents/General/09-Development/05-PEQ/CC/Heat%20Pump/Overdesign%20Calculation/CC%20Overdesig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cap="rnd">
              <a:solidFill>
                <a:schemeClr val="accent1"/>
              </a:solidFill>
              <a:round/>
            </a:ln>
            <a:effectLst/>
          </c:spPr>
          <c:marker>
            <c:symbol val="none"/>
          </c:marker>
          <c:xVal>
            <c:numRef>
              <c:f>'Sheet1 (2)'!$B$59:$J$59</c:f>
              <c:numCache>
                <c:formatCode>0.0%</c:formatCode>
                <c:ptCount val="9"/>
                <c:pt idx="0">
                  <c:v>0.14108178949620354</c:v>
                </c:pt>
                <c:pt idx="1">
                  <c:v>0.15923503659895966</c:v>
                </c:pt>
                <c:pt idx="2">
                  <c:v>0.174171257922481</c:v>
                </c:pt>
                <c:pt idx="3">
                  <c:v>0.18178152589861574</c:v>
                </c:pt>
                <c:pt idx="4">
                  <c:v>0.18948868936196761</c:v>
                </c:pt>
                <c:pt idx="5">
                  <c:v>0.21725040463322309</c:v>
                </c:pt>
                <c:pt idx="6">
                  <c:v>0.2378587471039264</c:v>
                </c:pt>
                <c:pt idx="7">
                  <c:v>0.25914651030007341</c:v>
                </c:pt>
                <c:pt idx="8">
                  <c:v>0.28114166395144213</c:v>
                </c:pt>
              </c:numCache>
            </c:numRef>
          </c:xVal>
          <c:yVal>
            <c:numRef>
              <c:f>'Sheet1 (2)'!$B$23:$J$23</c:f>
              <c:numCache>
                <c:formatCode>General</c:formatCode>
                <c:ptCount val="9"/>
                <c:pt idx="0">
                  <c:v>2.25</c:v>
                </c:pt>
                <c:pt idx="1">
                  <c:v>2.5</c:v>
                </c:pt>
                <c:pt idx="2">
                  <c:v>2.7</c:v>
                </c:pt>
                <c:pt idx="3">
                  <c:v>2.8</c:v>
                </c:pt>
                <c:pt idx="4">
                  <c:v>2.9</c:v>
                </c:pt>
                <c:pt idx="5">
                  <c:v>3.25</c:v>
                </c:pt>
                <c:pt idx="6">
                  <c:v>3.5</c:v>
                </c:pt>
                <c:pt idx="7">
                  <c:v>3.75</c:v>
                </c:pt>
                <c:pt idx="8">
                  <c:v>4</c:v>
                </c:pt>
              </c:numCache>
            </c:numRef>
          </c:yVal>
          <c:smooth val="0"/>
          <c:extLst>
            <c:ext xmlns:c16="http://schemas.microsoft.com/office/drawing/2014/chart" uri="{C3380CC4-5D6E-409C-BE32-E72D297353CC}">
              <c16:uniqueId val="{00000000-9F7B-4C66-B30D-29DB2BEE1139}"/>
            </c:ext>
          </c:extLst>
        </c:ser>
        <c:dLbls>
          <c:showLegendKey val="0"/>
          <c:showVal val="0"/>
          <c:showCatName val="0"/>
          <c:showSerName val="0"/>
          <c:showPercent val="0"/>
          <c:showBubbleSize val="0"/>
        </c:dLbls>
        <c:axId val="1026055744"/>
        <c:axId val="1026056824"/>
      </c:scatterChart>
      <c:valAx>
        <c:axId val="1026055744"/>
        <c:scaling>
          <c:orientation val="minMax"/>
          <c:min val="0.1"/>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Overdesign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056824"/>
        <c:crosses val="autoZero"/>
        <c:crossBetween val="midCat"/>
      </c:valAx>
      <c:valAx>
        <c:axId val="1026056824"/>
        <c:scaling>
          <c:orientation val="minMax"/>
          <c:max val="4.2"/>
          <c:min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Energy </a:t>
                </a:r>
                <a:r>
                  <a:rPr lang="en-US" sz="900"/>
                  <a:t>Requirement</a:t>
                </a:r>
                <a:r>
                  <a:rPr lang="en-US"/>
                  <a:t> [</a:t>
                </a:r>
                <a:r>
                  <a:rPr lang="en-US" sz="900">
                    <a:latin typeface="Arial" panose="020B0604020202020204" pitchFamily="34" charset="0"/>
                    <a:cs typeface="Arial" panose="020B0604020202020204" pitchFamily="34" charset="0"/>
                  </a:rPr>
                  <a:t>GJ</a:t>
                </a:r>
                <a:r>
                  <a:rPr lang="en-US"/>
                  <a:t>/tCO</a:t>
                </a:r>
                <a:r>
                  <a:rPr lang="en-US" baseline="-25000"/>
                  <a:t>2</a:t>
                </a: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05574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da0ee4-96db-4ff3-bc32-b20af218176f">
      <Terms xmlns="http://schemas.microsoft.com/office/infopath/2007/PartnerControls"/>
    </lcf76f155ced4ddcb4097134ff3c332f>
    <TaxCatchAll xmlns="0844b5b3-4e21-4f0c-8892-99d882f5a25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6712FA0D642F4AA1E1A1A510AE81C0" ma:contentTypeVersion="17" ma:contentTypeDescription="Create a new document." ma:contentTypeScope="" ma:versionID="6bfb564fdc4375dd0094fc23d3a442cd">
  <xsd:schema xmlns:xsd="http://www.w3.org/2001/XMLSchema" xmlns:xs="http://www.w3.org/2001/XMLSchema" xmlns:p="http://schemas.microsoft.com/office/2006/metadata/properties" xmlns:ns2="42da0ee4-96db-4ff3-bc32-b20af218176f" xmlns:ns3="0844b5b3-4e21-4f0c-8892-99d882f5a257" targetNamespace="http://schemas.microsoft.com/office/2006/metadata/properties" ma:root="true" ma:fieldsID="21a96592f15d11a96cb9ce9f97896a79" ns2:_="" ns3:_="">
    <xsd:import namespace="42da0ee4-96db-4ff3-bc32-b20af218176f"/>
    <xsd:import namespace="0844b5b3-4e21-4f0c-8892-99d882f5a2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a0ee4-96db-4ff3-bc32-b20af2181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448396-408b-4432-96f7-7c4181d1c83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44b5b3-4e21-4f0c-8892-99d882f5a2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4e40d7-b806-42cc-969c-9168c41d00b4}" ma:internalName="TaxCatchAll" ma:showField="CatchAllData" ma:web="0844b5b3-4e21-4f0c-8892-99d882f5a2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B9EBB-626D-47D0-8AA0-244945222FB3}">
  <ds:schemaRefs>
    <ds:schemaRef ds:uri="http://schemas.microsoft.com/office/2006/metadata/properties"/>
    <ds:schemaRef ds:uri="http://schemas.microsoft.com/office/infopath/2007/PartnerControls"/>
    <ds:schemaRef ds:uri="42da0ee4-96db-4ff3-bc32-b20af218176f"/>
    <ds:schemaRef ds:uri="0844b5b3-4e21-4f0c-8892-99d882f5a257"/>
  </ds:schemaRefs>
</ds:datastoreItem>
</file>

<file path=customXml/itemProps2.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customXml/itemProps3.xml><?xml version="1.0" encoding="utf-8"?>
<ds:datastoreItem xmlns:ds="http://schemas.openxmlformats.org/officeDocument/2006/customXml" ds:itemID="{D9057091-D697-4D63-8A14-25897BBDC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a0ee4-96db-4ff3-bc32-b20af218176f"/>
    <ds:schemaRef ds:uri="0844b5b3-4e21-4f0c-8892-99d882f5a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76FAB8-DF93-48AC-8A79-C0EDCB4C8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6</Pages>
  <Words>3156</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Dipartimento CMIC - Politecnico di Milano</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Orsetti Andrea</cp:lastModifiedBy>
  <cp:revision>50</cp:revision>
  <cp:lastPrinted>2015-05-12T18:31:00Z</cp:lastPrinted>
  <dcterms:created xsi:type="dcterms:W3CDTF">2025-03-14T10:41:00Z</dcterms:created>
  <dcterms:modified xsi:type="dcterms:W3CDTF">2025-06-17T15:47:00Z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0x010100E06712FA0D642F4AA1E1A1A510AE81C0</vt:lpwstr>
  </property>
  <property fmtid="{D5CDD505-2E9C-101B-9397-08002B2CF9AE}" pid="5" name="MSIP_Label_e18d9558-26a3-4f93-8788-04a494c05692_Enabled">
    <vt:lpwstr>true</vt:lpwstr>
  </property>
  <property fmtid="{D5CDD505-2E9C-101B-9397-08002B2CF9AE}" pid="6" name="MSIP_Label_e18d9558-26a3-4f93-8788-04a494c05692_SetDate">
    <vt:lpwstr>2025-02-05T10:55:43Z</vt:lpwstr>
  </property>
  <property fmtid="{D5CDD505-2E9C-101B-9397-08002B2CF9AE}" pid="7" name="MSIP_Label_e18d9558-26a3-4f93-8788-04a494c05692_Method">
    <vt:lpwstr>Standard</vt:lpwstr>
  </property>
  <property fmtid="{D5CDD505-2E9C-101B-9397-08002B2CF9AE}" pid="8" name="MSIP_Label_e18d9558-26a3-4f93-8788-04a494c05692_Name">
    <vt:lpwstr>e18d9558-26a3-4f93-8788-04a494c05692</vt:lpwstr>
  </property>
  <property fmtid="{D5CDD505-2E9C-101B-9397-08002B2CF9AE}" pid="9" name="MSIP_Label_e18d9558-26a3-4f93-8788-04a494c05692_SiteId">
    <vt:lpwstr>7cc91888-5aa0-49e5-a836-22cda2eae0fc</vt:lpwstr>
  </property>
  <property fmtid="{D5CDD505-2E9C-101B-9397-08002B2CF9AE}" pid="10" name="MSIP_Label_e18d9558-26a3-4f93-8788-04a494c05692_ActionId">
    <vt:lpwstr>5353edee-5c87-46cd-9c7f-1dc225c7addb</vt:lpwstr>
  </property>
  <property fmtid="{D5CDD505-2E9C-101B-9397-08002B2CF9AE}" pid="11" name="MSIP_Label_e18d9558-26a3-4f93-8788-04a494c05692_ContentBits">
    <vt:lpwstr>0</vt:lpwstr>
  </property>
  <property fmtid="{D5CDD505-2E9C-101B-9397-08002B2CF9AE}" pid="12" name="MediaServiceImageTags">
    <vt:lpwstr/>
  </property>
</Properties>
</file>