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578F9E73" w:rsidR="000A03B2" w:rsidRPr="00B57B36" w:rsidRDefault="00B969BD" w:rsidP="00DE264A">
            <w:pPr>
              <w:tabs>
                <w:tab w:val="left" w:pos="-108"/>
              </w:tabs>
              <w:ind w:left="-108"/>
              <w:jc w:val="left"/>
              <w:rPr>
                <w:rFonts w:cs="Arial"/>
                <w:b/>
                <w:bCs/>
                <w:i/>
                <w:iCs/>
                <w:color w:val="000066"/>
                <w:sz w:val="12"/>
                <w:szCs w:val="12"/>
                <w:lang w:eastAsia="it-IT"/>
              </w:rPr>
            </w:pPr>
            <w:bookmarkStart w:id="0" w:name="_Hlk145068772"/>
            <w:permStart w:id="1406037548" w:edGrp="everyone"/>
            <w:r>
              <w:rPr>
                <w:rFonts w:ascii="AdvP6960" w:hAnsi="AdvP6960" w:cs="AdvP6960"/>
                <w:color w:val="241F20"/>
                <w:szCs w:val="18"/>
                <w:lang w:eastAsia="it-IT"/>
              </w:rPr>
              <w:t xml:space="preserve"> </w:t>
            </w:r>
            <w:r w:rsidR="000A03B2"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permEnd w:id="1406037548"/>
            <w:r w:rsidR="000A03B2" w:rsidRPr="00B57B36">
              <w:rPr>
                <w:rFonts w:ascii="AdvP6960" w:hAnsi="AdvP6960" w:cs="AdvP6960"/>
                <w:color w:val="241F20"/>
                <w:szCs w:val="18"/>
                <w:lang w:eastAsia="it-IT"/>
              </w:rPr>
              <w:t xml:space="preserve"> </w:t>
            </w:r>
            <w:r w:rsidR="000A03B2" w:rsidRPr="00B57B36">
              <w:rPr>
                <w:rFonts w:cs="Arial"/>
                <w:b/>
                <w:bCs/>
                <w:i/>
                <w:iCs/>
                <w:color w:val="000066"/>
                <w:sz w:val="24"/>
                <w:szCs w:val="24"/>
                <w:lang w:eastAsia="it-IT"/>
              </w:rPr>
              <w:t>CHEMICAL ENGINEERING</w:t>
            </w:r>
            <w:r w:rsidR="000A03B2" w:rsidRPr="00B57B36">
              <w:rPr>
                <w:rFonts w:cs="Arial"/>
                <w:b/>
                <w:bCs/>
                <w:i/>
                <w:iCs/>
                <w:color w:val="0033FF"/>
                <w:sz w:val="24"/>
                <w:szCs w:val="24"/>
                <w:lang w:eastAsia="it-IT"/>
              </w:rPr>
              <w:t xml:space="preserve"> </w:t>
            </w:r>
            <w:r w:rsidR="000A03B2" w:rsidRPr="00B57B36">
              <w:rPr>
                <w:rFonts w:cs="Arial"/>
                <w:b/>
                <w:bCs/>
                <w:i/>
                <w:iCs/>
                <w:color w:val="666666"/>
                <w:sz w:val="24"/>
                <w:szCs w:val="24"/>
                <w:lang w:eastAsia="it-IT"/>
              </w:rPr>
              <w:t>TRANSACTIONS</w:t>
            </w:r>
            <w:r w:rsidR="000A03B2" w:rsidRPr="00B57B36">
              <w:rPr>
                <w:color w:val="333333"/>
                <w:sz w:val="24"/>
                <w:szCs w:val="24"/>
                <w:lang w:eastAsia="it-IT"/>
              </w:rPr>
              <w:t xml:space="preserve"> </w:t>
            </w:r>
            <w:r w:rsidR="000A03B2"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Servizi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76F80AAD" w:rsidR="00E978D0" w:rsidRPr="00B57B36" w:rsidRDefault="003B660B" w:rsidP="00E978D0">
      <w:pPr>
        <w:pStyle w:val="CETTitle"/>
      </w:pPr>
      <w:r>
        <w:t xml:space="preserve">Circular and </w:t>
      </w:r>
      <w:r w:rsidR="006646BB">
        <w:t>S</w:t>
      </w:r>
      <w:r>
        <w:t xml:space="preserve">ustainable </w:t>
      </w:r>
      <w:r w:rsidR="006646BB">
        <w:t>A</w:t>
      </w:r>
      <w:r>
        <w:t xml:space="preserve">pproaches for the </w:t>
      </w:r>
      <w:r w:rsidR="006646BB">
        <w:t>M</w:t>
      </w:r>
      <w:r>
        <w:t xml:space="preserve">anagement and </w:t>
      </w:r>
      <w:r w:rsidR="006646BB">
        <w:t>T</w:t>
      </w:r>
      <w:r>
        <w:t xml:space="preserve">reatment of </w:t>
      </w:r>
      <w:r w:rsidR="006646BB">
        <w:t>I</w:t>
      </w:r>
      <w:r>
        <w:t xml:space="preserve">ncineration </w:t>
      </w:r>
      <w:r w:rsidR="006646BB">
        <w:t>B</w:t>
      </w:r>
      <w:r>
        <w:t xml:space="preserve">ottom </w:t>
      </w:r>
      <w:r w:rsidR="006646BB">
        <w:t>A</w:t>
      </w:r>
      <w:r>
        <w:t>sh</w:t>
      </w:r>
    </w:p>
    <w:p w14:paraId="0488FED2" w14:textId="24809597" w:rsidR="00B57E6F" w:rsidRPr="00672BDA" w:rsidRDefault="00243690" w:rsidP="00B57E6F">
      <w:pPr>
        <w:pStyle w:val="CETAuthors"/>
        <w:rPr>
          <w:lang w:val="it-IT"/>
        </w:rPr>
      </w:pPr>
      <w:r w:rsidRPr="00672BDA">
        <w:rPr>
          <w:lang w:val="it-IT"/>
        </w:rPr>
        <w:t>Dalila Bonanno</w:t>
      </w:r>
      <w:r w:rsidR="00B57E6F" w:rsidRPr="00672BDA">
        <w:rPr>
          <w:vertAlign w:val="superscript"/>
          <w:lang w:val="it-IT"/>
        </w:rPr>
        <w:t>a</w:t>
      </w:r>
      <w:r w:rsidR="00B57E6F" w:rsidRPr="00672BDA">
        <w:rPr>
          <w:lang w:val="it-IT"/>
        </w:rPr>
        <w:t xml:space="preserve">, </w:t>
      </w:r>
      <w:bookmarkStart w:id="1" w:name="_Hlk184922564"/>
      <w:r w:rsidRPr="00672BDA">
        <w:rPr>
          <w:lang w:val="it-IT"/>
        </w:rPr>
        <w:t>Antonella Luciano</w:t>
      </w:r>
      <w:r w:rsidR="00B57E6F" w:rsidRPr="00672BDA">
        <w:rPr>
          <w:vertAlign w:val="superscript"/>
          <w:lang w:val="it-IT"/>
        </w:rPr>
        <w:t>b</w:t>
      </w:r>
      <w:bookmarkEnd w:id="1"/>
      <w:r w:rsidR="00654BD7" w:rsidRPr="00672BDA">
        <w:rPr>
          <w:vertAlign w:val="superscript"/>
          <w:lang w:val="it-IT"/>
        </w:rPr>
        <w:t>,*</w:t>
      </w:r>
      <w:r w:rsidR="00B57E6F" w:rsidRPr="00672BDA">
        <w:rPr>
          <w:lang w:val="it-IT"/>
        </w:rPr>
        <w:t>,</w:t>
      </w:r>
      <w:r w:rsidRPr="00672BDA">
        <w:rPr>
          <w:lang w:val="it-IT"/>
        </w:rPr>
        <w:t xml:space="preserve"> </w:t>
      </w:r>
      <w:r w:rsidR="003B660B">
        <w:rPr>
          <w:lang w:val="it-IT"/>
        </w:rPr>
        <w:t>Claudia Gatto</w:t>
      </w:r>
      <w:r w:rsidR="003B660B" w:rsidRPr="003B660B">
        <w:rPr>
          <w:vertAlign w:val="superscript"/>
          <w:lang w:val="it-IT"/>
        </w:rPr>
        <w:t>a</w:t>
      </w:r>
      <w:r w:rsidR="003B660B">
        <w:rPr>
          <w:lang w:val="it-IT"/>
        </w:rPr>
        <w:t xml:space="preserve">, </w:t>
      </w:r>
      <w:r w:rsidRPr="00672BDA">
        <w:rPr>
          <w:lang w:val="it-IT"/>
        </w:rPr>
        <w:t>Giuseppe Benina</w:t>
      </w:r>
      <w:r w:rsidR="003B660B">
        <w:rPr>
          <w:vertAlign w:val="superscript"/>
          <w:lang w:val="it-IT"/>
        </w:rPr>
        <w:t>c</w:t>
      </w:r>
      <w:r w:rsidRPr="00672BDA">
        <w:rPr>
          <w:lang w:val="it-IT"/>
        </w:rPr>
        <w:t xml:space="preserve">, </w:t>
      </w:r>
      <w:r w:rsidR="003B660B">
        <w:rPr>
          <w:lang w:val="it-IT"/>
        </w:rPr>
        <w:t>Luigi Gurreri</w:t>
      </w:r>
      <w:r w:rsidR="003B660B" w:rsidRPr="003B660B">
        <w:rPr>
          <w:vertAlign w:val="superscript"/>
          <w:lang w:val="it-IT"/>
        </w:rPr>
        <w:t>a</w:t>
      </w:r>
      <w:r w:rsidR="003B660B">
        <w:rPr>
          <w:lang w:val="it-IT"/>
        </w:rPr>
        <w:t xml:space="preserve">, </w:t>
      </w:r>
      <w:r w:rsidRPr="00672BDA">
        <w:rPr>
          <w:lang w:val="it-IT"/>
        </w:rPr>
        <w:t>Giuseppe Mancini</w:t>
      </w:r>
      <w:r w:rsidRPr="00672BDA">
        <w:rPr>
          <w:vertAlign w:val="superscript"/>
          <w:lang w:val="it-IT"/>
        </w:rPr>
        <w:t>a</w:t>
      </w:r>
      <w:r w:rsidRPr="00672BDA">
        <w:rPr>
          <w:lang w:val="it-IT"/>
        </w:rPr>
        <w:t xml:space="preserve"> </w:t>
      </w:r>
      <w:r w:rsidR="00B57E6F" w:rsidRPr="00672BDA">
        <w:rPr>
          <w:lang w:val="it-IT"/>
        </w:rPr>
        <w:t xml:space="preserve"> </w:t>
      </w:r>
    </w:p>
    <w:p w14:paraId="6B2D21B3" w14:textId="651AB0B6" w:rsidR="00B57E6F" w:rsidRPr="00B57B36" w:rsidRDefault="00B57E6F" w:rsidP="00B57E6F">
      <w:pPr>
        <w:pStyle w:val="CETAddress"/>
      </w:pPr>
      <w:bookmarkStart w:id="2" w:name="_Hlk184922996"/>
      <w:r w:rsidRPr="00B57B36">
        <w:rPr>
          <w:vertAlign w:val="superscript"/>
        </w:rPr>
        <w:t>a</w:t>
      </w:r>
      <w:r w:rsidR="00243690">
        <w:t>Department of Electrical, Electronic, and Computer Engineering, University of Catania, viale Andrea Doria 6, 95125, Catania, Italy</w:t>
      </w:r>
    </w:p>
    <w:bookmarkEnd w:id="2"/>
    <w:p w14:paraId="3D72B0B0" w14:textId="655A0C81" w:rsidR="00B57E6F" w:rsidRPr="00B57B36" w:rsidRDefault="00B57E6F" w:rsidP="00B57E6F">
      <w:pPr>
        <w:pStyle w:val="CETAddress"/>
      </w:pPr>
      <w:r w:rsidRPr="00B57B36">
        <w:rPr>
          <w:vertAlign w:val="superscript"/>
        </w:rPr>
        <w:t>b</w:t>
      </w:r>
      <w:r w:rsidR="00243690">
        <w:t>ENEA – Italian National Agency for the New Technologies, Energy and Sustainable Economic</w:t>
      </w:r>
      <w:r w:rsidR="00654BD7">
        <w:t xml:space="preserve"> Development – Department for Sustainability, Casaccia Research Center – Via Anguillarese 301, 00123, Rome, Italy</w:t>
      </w:r>
    </w:p>
    <w:p w14:paraId="6D9DFEE3" w14:textId="6E460341" w:rsidR="00654BD7" w:rsidRPr="00672BDA" w:rsidRDefault="00654BD7" w:rsidP="00654BD7">
      <w:pPr>
        <w:pStyle w:val="CETAddress"/>
        <w:rPr>
          <w:lang w:val="it-IT"/>
        </w:rPr>
      </w:pPr>
      <w:r w:rsidRPr="00672BDA">
        <w:rPr>
          <w:vertAlign w:val="superscript"/>
          <w:lang w:val="it-IT"/>
        </w:rPr>
        <w:t>c</w:t>
      </w:r>
      <w:r w:rsidRPr="00672BDA">
        <w:rPr>
          <w:lang w:val="it-IT"/>
        </w:rPr>
        <w:t>SIRAM – Cisma Ambiente S.p.A., Contrada Bagali, 96100</w:t>
      </w:r>
      <w:r w:rsidR="008B768E">
        <w:rPr>
          <w:lang w:val="it-IT"/>
        </w:rPr>
        <w:t>,</w:t>
      </w:r>
      <w:r w:rsidRPr="00672BDA">
        <w:rPr>
          <w:lang w:val="it-IT"/>
        </w:rPr>
        <w:t xml:space="preserve"> Melilli</w:t>
      </w:r>
      <w:r w:rsidR="008B768E">
        <w:rPr>
          <w:lang w:val="it-IT"/>
        </w:rPr>
        <w:t>, Italy</w:t>
      </w:r>
      <w:r w:rsidRPr="00672BDA">
        <w:rPr>
          <w:lang w:val="it-IT"/>
        </w:rPr>
        <w:t xml:space="preserve"> </w:t>
      </w:r>
    </w:p>
    <w:p w14:paraId="73F1267A" w14:textId="0EF7C203" w:rsidR="00B57E6F" w:rsidRDefault="00654BD7" w:rsidP="00B90611">
      <w:pPr>
        <w:pStyle w:val="CETAddress"/>
      </w:pPr>
      <w:r w:rsidRPr="008B768E">
        <w:rPr>
          <w:lang w:val="it-IT"/>
        </w:rPr>
        <w:t xml:space="preserve"> </w:t>
      </w:r>
      <w:r>
        <w:t>*</w:t>
      </w:r>
      <w:r w:rsidR="006646BB">
        <w:t>antonella.luciano@enea.it</w:t>
      </w:r>
    </w:p>
    <w:p w14:paraId="5860E4F0" w14:textId="77777777" w:rsidR="00B90611" w:rsidRPr="00B57B36" w:rsidRDefault="00B90611" w:rsidP="00B90611">
      <w:pPr>
        <w:pStyle w:val="CETAddress"/>
      </w:pPr>
    </w:p>
    <w:p w14:paraId="6D056D4D" w14:textId="2FBB3EE4" w:rsidR="000153C2" w:rsidRDefault="000153C2" w:rsidP="00837E9E">
      <w:pPr>
        <w:pStyle w:val="CETBodytext"/>
        <w:rPr>
          <w:lang w:val="en-GB"/>
        </w:rPr>
      </w:pPr>
      <w:bookmarkStart w:id="3" w:name="_Hlk187326187"/>
      <w:r>
        <w:t>Hazardous wastes containing heavy metals, such as incineration bottom ash (</w:t>
      </w:r>
      <w:r w:rsidR="00571E1B">
        <w:t>IBA</w:t>
      </w:r>
      <w:r>
        <w:t xml:space="preserve">) from industrial waste incinerators, typically require stabilization with costly chemical reagents prior to disposal in non-hazardous waste landfills. This study explores a more sustainable and circular treatment strategy aimed at rendering IBA suitable for disposal in landfills designated for stable, non-reactive waste. The proposed process involves an initial extraction step using sodium hydroxide (NaOH) at varying concentrations (0.5 M, 1 M, and 2 M), followed by a washing phase. Uniquely, landfill leachate—a waste by-product itself—was employed both as a diluent in the extraction solution and as a washing agent, thereby minimizing the use of freshwater resources. Experimental results confirmed the effectiveness of the treatment in meeting regulatory limits, </w:t>
      </w:r>
      <w:r w:rsidR="00F3420B">
        <w:rPr>
          <w:lang w:val="en-GB"/>
        </w:rPr>
        <w:t>paving the way for the development of circular and sustainable approaches for the management of hazardous industrial waste</w:t>
      </w:r>
      <w:r>
        <w:t>.</w:t>
      </w:r>
    </w:p>
    <w:p w14:paraId="476B2F2E" w14:textId="1EF36065" w:rsidR="00600535" w:rsidRPr="00B57B36" w:rsidRDefault="00600535" w:rsidP="00600535">
      <w:pPr>
        <w:pStyle w:val="CETHeading1"/>
        <w:rPr>
          <w:lang w:val="en-GB"/>
        </w:rPr>
      </w:pPr>
      <w:r w:rsidRPr="00B57B36">
        <w:rPr>
          <w:lang w:val="en-GB"/>
        </w:rPr>
        <w:t>Introduction</w:t>
      </w:r>
    </w:p>
    <w:p w14:paraId="26AA2A9B" w14:textId="1971C8BD" w:rsidR="009277C8" w:rsidRDefault="002F701C" w:rsidP="00C03013">
      <w:bookmarkStart w:id="4" w:name="_Hlk193296449"/>
      <w:bookmarkEnd w:id="3"/>
      <w:r>
        <w:t xml:space="preserve">The </w:t>
      </w:r>
      <w:r w:rsidR="007E7C43">
        <w:t>demand</w:t>
      </w:r>
      <w:r>
        <w:t xml:space="preserve"> for </w:t>
      </w:r>
      <w:r w:rsidR="007E7C43">
        <w:t xml:space="preserve">the safe disposal of </w:t>
      </w:r>
      <w:r>
        <w:t xml:space="preserve">multisource </w:t>
      </w:r>
      <w:r w:rsidR="00F32061">
        <w:t xml:space="preserve">solid </w:t>
      </w:r>
      <w:r>
        <w:t>waste</w:t>
      </w:r>
      <w:r w:rsidR="00A509E4">
        <w:t>,</w:t>
      </w:r>
      <w:r>
        <w:t xml:space="preserve"> such as municipal sludge, medical waste, and industrial </w:t>
      </w:r>
      <w:r w:rsidR="00F32061">
        <w:t>residues</w:t>
      </w:r>
      <w:r w:rsidR="004A6987">
        <w:t>,</w:t>
      </w:r>
      <w:r>
        <w:t xml:space="preserve"> is increasing</w:t>
      </w:r>
      <w:bookmarkEnd w:id="4"/>
      <w:r w:rsidR="004B1C7C">
        <w:t xml:space="preserve"> </w:t>
      </w:r>
      <w:r>
        <w:fldChar w:fldCharType="begin" w:fldLock="1"/>
      </w:r>
      <w:r w:rsidR="0023349E">
        <w:instrText>ADDIN CSL_CITATION {"citationItems":[{"id":"ITEM-1","itemData":{"DOI":"10.1016/j.resconrec.2024.108069","ISSN":"18790658","abstract":"Multi-source solid waste co-incineration in waste-to-energy plants with excess capacity offers a promising symbiotic model, though its environmental impact and resource sustainability are uncertain, especially related to other disposal methods. This study evaluates for co-disposal scenarios of multi-source waste (food waste, municipal sludge, medical waste, and industrial waste) using life cycle analysis and comparing with ten traditional disposal methods. Results show co-disposal achieves over 95 % waste reduction, with energy recovery rates from 27.6 % to 63.3 %. Food waste co-disposal exhibits environmental benefits, while municipal sludge co-disposal shows impacts across all environmental indicators. Medical and industrial waste co-disposal produces significant fossil CO2 emissions but mitigates other environmental impacts. From an economic perspective, co-disposal shows IRRs from 16.8 % to over 2000 %, reducing waste disposal fees by 23.7 % to 90.5 %. This study recommends co-disposal as a supplementary approach, advocating for clearer industry standards, aligned regional planning, and refined operational practices to enhance sustainability.","author":[{"dropping-particle":"","family":"Zhang","given":"Jiayue","non-dropping-particle":"","parse-names":false,"suffix":""},{"dropping-particle":"","family":"Fei","given":"Fan","non-dropping-particle":"","parse-names":false,"suffix":""},{"dropping-particle":"","family":"Jiang","given":"Zixuan","non-dropping-particle":"","parse-names":false,"suffix":""},{"dropping-particle":"","family":"Vorada","given":"Kosajan","non-dropping-particle":"","parse-names":false,"suffix":""},{"dropping-particle":"","family":"Leong","given":"Zheng Hao","non-dropping-particle":"","parse-names":false,"suffix":""},{"dropping-particle":"","family":"Wen","given":"Zongguo","non-dropping-particle":"","parse-names":false,"suffix":""},{"dropping-particle":"","family":"Zhang","given":"Hongbo","non-dropping-particle":"","parse-names":false,"suffix":""},{"dropping-particle":"","family":"Han","given":"Shufei","non-dropping-particle":"","parse-names":false,"suffix":""}],"container-title":"Resources, Conservation and Recycling","id":"ITEM-1","issued":{"date-parts":[["2025","4","1"]]},"page":"108069","publisher":"Elsevier","title":"Is multi-source solid waste co-disposal practices in waste-to-energy plants sustainable???A comparative life cycle assessment","type":"article-journal","volume":"215"},"uris":["http://www.mendeley.com/documents/?uuid=1cf5ec75-7c7b-3491-b0a6-5d5271deb0d4"]}],"mendeley":{"formattedCitation":"(Zhang et al., 2025)","plainTextFormattedCitation":"(Zhang et al., 2025)","previouslyFormattedCitation":"(Zhang et al., 2025)"},"properties":{"noteIndex":0},"schema":"https://github.com/citation-style-language/schema/raw/master/csl-citation.json"}</w:instrText>
      </w:r>
      <w:r>
        <w:fldChar w:fldCharType="separate"/>
      </w:r>
      <w:r w:rsidRPr="002F701C">
        <w:rPr>
          <w:noProof/>
        </w:rPr>
        <w:t>(Zhang et al., 2025)</w:t>
      </w:r>
      <w:r>
        <w:fldChar w:fldCharType="end"/>
      </w:r>
      <w:r>
        <w:t xml:space="preserve">. </w:t>
      </w:r>
      <w:bookmarkStart w:id="5" w:name="_Hlk193296508"/>
      <w:r>
        <w:t xml:space="preserve">Waste-to-energy </w:t>
      </w:r>
      <w:r w:rsidR="00DB3559">
        <w:t>technologies offer the advantage</w:t>
      </w:r>
      <w:r w:rsidR="007950BD">
        <w:t>s</w:t>
      </w:r>
      <w:r w:rsidR="00DB3559">
        <w:t xml:space="preserve"> </w:t>
      </w:r>
      <w:r w:rsidR="00896183">
        <w:t>of reducing</w:t>
      </w:r>
      <w:r w:rsidR="00DB3559">
        <w:t xml:space="preserve"> the </w:t>
      </w:r>
      <w:r w:rsidR="00D26921">
        <w:t xml:space="preserve">volume of waste to be landfilled </w:t>
      </w:r>
      <w:r w:rsidR="0009589A">
        <w:t>and recovering energy</w:t>
      </w:r>
      <w:r w:rsidR="00B1766B">
        <w:t>. Among them, waste incin</w:t>
      </w:r>
      <w:r w:rsidR="00087890">
        <w:t>e</w:t>
      </w:r>
      <w:r w:rsidR="00B1766B">
        <w:t>ration</w:t>
      </w:r>
      <w:r>
        <w:t xml:space="preserve"> </w:t>
      </w:r>
      <w:r w:rsidR="00087890">
        <w:t>recorded</w:t>
      </w:r>
      <w:r>
        <w:t xml:space="preserve"> a global capacity </w:t>
      </w:r>
      <w:r w:rsidR="005B5A8A">
        <w:t>of</w:t>
      </w:r>
      <w:r>
        <w:t xml:space="preserve"> 1.70 million tons per day in 2022 </w:t>
      </w:r>
      <w:bookmarkEnd w:id="5"/>
      <w:r w:rsidR="0023349E">
        <w:fldChar w:fldCharType="begin" w:fldLock="1"/>
      </w:r>
      <w:r w:rsidR="0023349E">
        <w:instrText>ADDIN CSL_CITATION {"citationItems":[{"id":"ITEM-1","itemData":{"DOI":"10.12030/j.cjee.202307041","ISSN":"16739108","abstract":"The scale of municipal solid waste (MSW) incineration of China accounts for 66.1% of the global total. The environmental risks cannot be neglected and appropriate emission limits and relevant supervision for exhaust gas pollutants should be established. Valuable experiences from countries (regions) that had earlier applications of waste incineration, such as European Union, the United States and Japan, can be considered. However, existing domestic and international comparative studies have only focused on the differences in emission limits stated by the standards, overlooking the differences and reasons for the historical evolution, baseline conditions, applicable targets, and severity of implementation. Based on the achievements of the rectification in waste incineration industry in China since 2017, this study thoroughly analyzed the differences and reasons for standards in China and foreign countries (regions), and drew the following conclusions. 1) The implementation of emission standards requires accompanying supervision measures. Automated monitoring methods were advantageous for achieving round-the-clock supervision of pollutants in exhaust gas. They have been widely adopted in Europe and the United States, and positive success was achieved in China as well. 2) Compared to foreign standards, the emission limit values for MSW incineration exhaust gas in China did not take into account the influences of scale differentiation. Small scale incinerators haven’t been adequately considered in standards for emissions and supervision. But it was necessary to provide moderate and rational differentiated requirements for them, in order to regulate the market and enhance the seriousness of environmental supervision. 3) Compared to foreign standards, the emission limit values for MSW incineration exhaust gas in China are relatively strict, with strong rigidity but insufficient flexibility. Some regional standards were more stringent than those in the European Union. However, there was a lack of benchmark assessment similar to the limits of Class B in EU standards. It was necessary to explore more flexible approaches such as \"white lists\" while further optimizing and expanding current emission standards and supervision methods based on the precision demonstrated by automated monitoring methods. This article is beneficial for clarifying the confidence in China’s supervision system in realms of waste incineration, and it provides a basis for further optimization…","author":[{"dropping-particle":"","family":"Xie","given":"Bing","non-dropping-particle":"","parse-names":false,"suffix":""},{"dropping-particle":"","family":"Shi","given":"Lizheng","non-dropping-particle":"","parse-names":false,"suffix":""},{"dropping-particle":"","family":"Hong","given":"Chengyang","non-dropping-particle":"","parse-names":false,"suffix":""},{"dropping-particle":"","family":"Xie","given":"Yingshi","non-dropping-particle":"","parse-names":false,"suffix":""},{"dropping-particle":"","family":"Hai","given":"Jing","non-dropping-particle":"","parse-names":false,"suffix":""},{"dropping-particle":"","family":"Lu","given":"Jiawei","non-dropping-particle":"","parse-names":false,"suffix":""}],"container-title":"Chinese Journal of Environmental Engineering","id":"ITEM-1","issue":"10","issued":{"date-parts":[["2023","1","1"]]},"page":"3434 - 3443","publisher":"Science Press","title":"A comparison of emission and supervision standards on exhaust gas from municipal solid waste incineration in China and developed countries[</w:instrText>
      </w:r>
      <w:r w:rsidR="0023349E">
        <w:rPr>
          <w:rFonts w:ascii="MS Gothic" w:eastAsia="MS Gothic" w:hAnsi="MS Gothic" w:cs="MS Gothic" w:hint="eastAsia"/>
        </w:rPr>
        <w:instrText>国内外生活垃圾焚</w:instrText>
      </w:r>
      <w:r w:rsidR="0023349E">
        <w:rPr>
          <w:rFonts w:ascii="Microsoft JhengHei" w:eastAsia="Microsoft JhengHei" w:hAnsi="Microsoft JhengHei" w:cs="Microsoft JhengHei" w:hint="eastAsia"/>
        </w:rPr>
        <w:instrText>烧烟气排放与监管标准比较分析</w:instrText>
      </w:r>
      <w:r w:rsidR="0023349E">
        <w:instrText>]","type":"article-journal","volume":"17"},"uris":["http://www.mendeley.com/documents/?uuid=1f63209d-f728-3296-a8dd-cda10605db38"]}],"mendeley":{"formattedCitation":"(Xie et al., 2023)","plainTextFormattedCitation":"(Xie et al., 2023)","previouslyFormattedCitation":"(Xie et al., 2023)"},"properties":{"noteIndex":0},"schema":"https://github.com/citation-style-language/schema/raw/master/csl-citation.json"}</w:instrText>
      </w:r>
      <w:r w:rsidR="0023349E">
        <w:fldChar w:fldCharType="separate"/>
      </w:r>
      <w:r w:rsidR="0023349E" w:rsidRPr="0023349E">
        <w:rPr>
          <w:noProof/>
        </w:rPr>
        <w:t>(Xie et al., 2023)</w:t>
      </w:r>
      <w:r w:rsidR="0023349E">
        <w:fldChar w:fldCharType="end"/>
      </w:r>
      <w:r w:rsidR="0023349E">
        <w:t xml:space="preserve">. </w:t>
      </w:r>
      <w:r w:rsidR="00374C30">
        <w:t xml:space="preserve">However, </w:t>
      </w:r>
      <w:r w:rsidR="0023349E">
        <w:t xml:space="preserve">incineration generates three </w:t>
      </w:r>
      <w:r w:rsidR="00791ECF">
        <w:t xml:space="preserve">primary </w:t>
      </w:r>
      <w:r w:rsidR="0023349E">
        <w:t>residues: bottom ash, fly ash</w:t>
      </w:r>
      <w:r w:rsidR="00AA2E72">
        <w:t>,</w:t>
      </w:r>
      <w:r w:rsidR="0023349E">
        <w:t xml:space="preserve"> and air pollution residues</w:t>
      </w:r>
      <w:r w:rsidR="006C789F">
        <w:t>.</w:t>
      </w:r>
      <w:r w:rsidR="0023349E" w:rsidRPr="0023349E">
        <w:t xml:space="preserve"> </w:t>
      </w:r>
      <w:r w:rsidR="00293501">
        <w:t>Incineration</w:t>
      </w:r>
      <w:r w:rsidR="0023349E">
        <w:t xml:space="preserve"> bottom ash </w:t>
      </w:r>
      <w:r w:rsidR="00293501">
        <w:t xml:space="preserve">(IBA) </w:t>
      </w:r>
      <w:r w:rsidR="00EB4872">
        <w:t xml:space="preserve">is of particular concern </w:t>
      </w:r>
      <w:r w:rsidR="00A420E2">
        <w:t>due to its content of</w:t>
      </w:r>
      <w:r w:rsidR="0023349E">
        <w:t xml:space="preserve"> heavy metals and other hazardous pollutants </w:t>
      </w:r>
      <w:r w:rsidR="0023349E">
        <w:fldChar w:fldCharType="begin" w:fldLock="1"/>
      </w:r>
      <w:r w:rsidR="00D5760C">
        <w:instrText>ADDIN CSL_CITATION {"citationItems":[{"id":"ITEM-1","itemData":{"DOI":"10.1007/s11356-019-05217-8","ISSN":"16147499","PMID":"31041714","abstract":"Municipal solid waste incineration (MSWI) generates bottom ash, fly ash (FA), and air pollution control (APC) residues as by-products. FA and APC residues are considered hazardous due to the presence of soluble salts and a high concentration of heavy metals, and they should be appropriately treated before disposal. Physicochemical characterization using inductively coupled plasma mass spectroscopy (ICP-MS), X-ray diffraction (XRD), and X-ray fluorescence (XRF) have shown that FA and APC have potential for reuse after treatment as these contain CaO, SiO2, and Al2O3. Studies conducted on treatment of FA and APC are categorized into three groups: (i) separation processes, (ii) solidification/stabilization (S/S) processes, and (iii) thermal processes. Separation processes such as washing, leaching, and electrochemical treatment improve the quality and homogeneity of the ash. S/S processes such as chemical stabilization, accelerate carbonation, and cement solidification modify hazardous species into less toxic constituents. Thermal processes such as sintering, vitrification, and melting are effective at reducing volume and producing a more stable product. In this review paper, the treatment processes are analyzed in relation to ash characteristics. Issues concerning mixing FA and APC residues before treatment, true treatment costs, and challenges are also discussed to provide further insights on the implications and possibilities of utilizing FA and APC as secondary materials.","author":[{"dropping-particle":"","family":"Phua","given":"Zhenghui","non-dropping-particle":"","parse-names":false,"suffix":""},{"dropping-particle":"","family":"Giannis","given":"Apostolos","non-dropping-particle":"","parse-names":false,"suffix":""},{"dropping-particle":"","family":"Dong","given":"Zhi Li","non-dropping-particle":"","parse-names":false,"suffix":""},{"dropping-particle":"","family":"Lisak","given":"Grzegorz","non-dropping-particle":"","parse-names":false,"suffix":""},{"dropping-particle":"","family":"Ng","given":"Wun Jern","non-dropping-particle":"","parse-names":false,"suffix":""}],"container-title":"Environmental Science and Pollution Research","id":"ITEM-1","issue":"17","issued":{"date-parts":[["2019"]]},"page":"16974-16997","publisher":"Environmental Science and Pollution Research","title":"Characteristics of incineration ash for sustainable treatment and reutilization","type":"article-journal","volume":"26"},"uris":["http://www.mendeley.com/documents/?uuid=2c0edba8-8708-4f1d-96e8-0c6f2f1054d1"]}],"mendeley":{"formattedCitation":"(Phua et al., 2019)","plainTextFormattedCitation":"(Phua et al., 2019)","previouslyFormattedCitation":"(Phua et al., 2019)"},"properties":{"noteIndex":0},"schema":"https://github.com/citation-style-language/schema/raw/master/csl-citation.json"}</w:instrText>
      </w:r>
      <w:r w:rsidR="0023349E">
        <w:fldChar w:fldCharType="separate"/>
      </w:r>
      <w:r w:rsidR="0023349E" w:rsidRPr="0023349E">
        <w:rPr>
          <w:noProof/>
        </w:rPr>
        <w:t>(Phua et al., 2019)</w:t>
      </w:r>
      <w:r w:rsidR="0023349E">
        <w:fldChar w:fldCharType="end"/>
      </w:r>
      <w:r w:rsidR="0023349E">
        <w:t>.</w:t>
      </w:r>
    </w:p>
    <w:p w14:paraId="09CDF757" w14:textId="77777777" w:rsidR="008A5964" w:rsidRDefault="0023349E" w:rsidP="00C03013">
      <w:r>
        <w:t>IBA is a highly heterogeneous material</w:t>
      </w:r>
      <w:r w:rsidR="00D5760C">
        <w:t xml:space="preserve"> </w:t>
      </w:r>
      <w:r w:rsidR="00EF0F85">
        <w:t xml:space="preserve">with </w:t>
      </w:r>
      <w:r w:rsidR="00556D6B">
        <w:t xml:space="preserve">a </w:t>
      </w:r>
      <w:r w:rsidR="00EF0F85">
        <w:t>highly variable</w:t>
      </w:r>
      <w:r w:rsidR="00D5760C">
        <w:t xml:space="preserve"> composition</w:t>
      </w:r>
      <w:r w:rsidR="000B3D2C">
        <w:t>,</w:t>
      </w:r>
      <w:r w:rsidR="00D5760C">
        <w:t xml:space="preserve"> depending on the incinerated waste, </w:t>
      </w:r>
      <w:r w:rsidR="000B3D2C">
        <w:t xml:space="preserve">and </w:t>
      </w:r>
      <w:r>
        <w:t>contain</w:t>
      </w:r>
      <w:r w:rsidR="000B3D2C">
        <w:t>s</w:t>
      </w:r>
      <w:r>
        <w:t xml:space="preserve"> particles ranging from </w:t>
      </w:r>
      <w:proofErr w:type="spellStart"/>
      <w:r>
        <w:t>micro</w:t>
      </w:r>
      <w:r w:rsidR="00787817">
        <w:t>meters</w:t>
      </w:r>
      <w:proofErr w:type="spellEnd"/>
      <w:r>
        <w:t xml:space="preserve"> to several </w:t>
      </w:r>
      <w:proofErr w:type="spellStart"/>
      <w:r>
        <w:t>centimeters</w:t>
      </w:r>
      <w:proofErr w:type="spellEnd"/>
      <w:r w:rsidR="00D5760C">
        <w:t xml:space="preserve">. </w:t>
      </w:r>
      <w:r w:rsidR="00A60CCD">
        <w:t xml:space="preserve">The characteristics of IBA can </w:t>
      </w:r>
      <w:r w:rsidR="00EF382D">
        <w:t>also be</w:t>
      </w:r>
      <w:r w:rsidR="00A60CCD">
        <w:t xml:space="preserve"> affected by t</w:t>
      </w:r>
      <w:r w:rsidR="00D5760C">
        <w:t>he operating conditions of waste incineration, such as the type of combustion</w:t>
      </w:r>
      <w:r w:rsidR="00A60CCD">
        <w:t xml:space="preserve"> </w:t>
      </w:r>
      <w:r w:rsidR="00D5760C">
        <w:fldChar w:fldCharType="begin" w:fldLock="1"/>
      </w:r>
      <w:r w:rsidR="00D5760C">
        <w:instrText>ADDIN CSL_CITATION {"citationItems":[{"id":"ITEM-1","itemData":{"DOI":"10.1016/j.wasman.2024.10.020","ISSN":"18792456","abstract":"The paper provides a summary of findings regarding the composition of the fine fraction of incineration bottom ash. While the recovery of metals is common practice for particles larger than 2 mm, it has been less common for finer particles, despite them constituting 30–40 % of the overall bottom ash mass flow. Detailed knowledge of the material composition of this fraction is essential for successful metal recovery. The study utilizes a TIMA electron microscope, originally designed for the mining industry, to analyze the bottom ash. The microscope allows for the identification of chemical speciation and was used to obtain detailed information about particles containing copper (Cu), aluminum (Al), iron (Fe), zinc (Zn), and gold (Au) in the fine fraction below 2,000 µm. Results revealed that metallic aluminum accounts for approximately 15 % of the overall aluminum content, with Al grains often coated by a thin layer of Al2O3. Metallic Cu and its alloys make up around 60 % of the copper content, while another 30 % is in the form of Cu oxides. In contrast, there is minimal presence of metallic Fe and Zn in the fine fraction. All metallic Au was bound to a single particle, corresponding to an Au content of 4 mg/kg in the bulk sample. The implications of these results are also discussed in relation to particle size distribution and liberation, as these factors play a vital role in the recovery process.","author":[{"dropping-particle":"","family":"Šyc","given":"Michal","non-dropping-particle":"","parse-names":false,"suffix":""},{"dropping-particle":"","family":"Výravský","given":"Jakub","non-dropping-particle":"","parse-names":false,"suffix":""},{"dropping-particle":"","family":"Muñiz Sierra","given":"Héctor","non-dropping-particle":"","parse-names":false,"suffix":""},{"dropping-particle":"","family":"Korotenko","given":"Ekaterina","non-dropping-particle":"","parse-names":false,"suffix":""},{"dropping-particle":"","family":"Kameníková","given":"Petra","non-dropping-particle":"","parse-names":false,"suffix":""}],"container-title":"Waste Management","id":"ITEM-1","issue":"July","issued":{"date-parts":[["2024"]]},"page":"569-577","title":"Resource recovery potential of incineration bottom ash fine fraction","type":"article-journal","volume":"190"},"uris":["http://www.mendeley.com/documents/?uuid=b1cef8b9-1e82-40e2-b5e3-7a3f8127a347"]}],"mendeley":{"formattedCitation":"(Šyc et al., 2024)","plainTextFormattedCitation":"(Šyc et al., 2024)","previouslyFormattedCitation":"(Šyc et al., 2024)"},"properties":{"noteIndex":0},"schema":"https://github.com/citation-style-language/schema/raw/master/csl-citation.json"}</w:instrText>
      </w:r>
      <w:r w:rsidR="00D5760C">
        <w:fldChar w:fldCharType="separate"/>
      </w:r>
      <w:r w:rsidR="00D5760C" w:rsidRPr="00D5760C">
        <w:rPr>
          <w:noProof/>
        </w:rPr>
        <w:t>(Šyc et al., 2024)</w:t>
      </w:r>
      <w:r w:rsidR="00D5760C">
        <w:fldChar w:fldCharType="end"/>
      </w:r>
      <w:r w:rsidR="00D5760C">
        <w:t xml:space="preserve">. </w:t>
      </w:r>
      <w:r w:rsidR="00746C21">
        <w:t>C</w:t>
      </w:r>
      <w:r w:rsidR="00D5760C">
        <w:t xml:space="preserve">hemical speciation of heavy metals is critical </w:t>
      </w:r>
      <w:r w:rsidR="004B6EEF">
        <w:t>for</w:t>
      </w:r>
      <w:r w:rsidR="00D5760C">
        <w:t xml:space="preserve"> assess</w:t>
      </w:r>
      <w:r w:rsidR="00E3402B">
        <w:t>ing</w:t>
      </w:r>
      <w:r w:rsidR="00D5760C">
        <w:t xml:space="preserve"> </w:t>
      </w:r>
      <w:r w:rsidR="004B6EEF">
        <w:t>IBA</w:t>
      </w:r>
      <w:r w:rsidR="004B6EEF">
        <w:t>’s</w:t>
      </w:r>
      <w:r w:rsidR="004B6EEF">
        <w:t xml:space="preserve"> </w:t>
      </w:r>
      <w:r w:rsidR="00D5760C">
        <w:t>hazardous properties and determin</w:t>
      </w:r>
      <w:r w:rsidR="00E3402B">
        <w:t>ing</w:t>
      </w:r>
      <w:r w:rsidR="00D5760C">
        <w:t xml:space="preserve"> its appropriate classification </w:t>
      </w:r>
      <w:r w:rsidR="00D5760C">
        <w:fldChar w:fldCharType="begin" w:fldLock="1"/>
      </w:r>
      <w:r w:rsidR="00D5760C">
        <w:instrText>ADDIN CSL_CITATION {"citationItems":[{"id":"ITEM-1","itemData":{"DOI":"10.1016/j.wasman.2014.05.021","ISSN":"18792456","PMID":"24994468","abstract":"Hazard classification of waste is a necessity, but the hazard properties (named \"H\" and soon \"HP\") are still not all defined in a practical and operational manner at EU level. Following discussion of subsequent draft proposals from the Commission there is still no final decision. Methods to implement the proposals have recently been proposed: tests methods for physical risks, test batteries for aquatic and terrestrial ecotoxicity, an analytical package for exhaustive determination of organic substances and mineral elements, surrogate methods for the speciation of mineral elements in mineral substances in waste, and calculation methods for human toxicity and ecotoxicity with M factors. In this paper the different proposed methods have been applied to a large assortment of solid and liquid wastes (&gt;1. 0. 0).Data for 45 wastes - documented with extensive chemical analysis and flammability test - were assessed in terms of the different HP criteria and results were compared to LoW for lack of an independent classification. For most waste streams the classification matches with the designation provided in the LoW. This indicates that the criteria used by LoW are similar to the HP limit values.This data set showed HP 14 'Ecotoxic chronic' is the most discriminating HP. All wastes classified as acute ecotoxic are also chronic ecotoxic and the assessment of acute ecotoxicity separately is therefore not needed. The high number of HP 14 classified wastes is due to the very low limit values when stringent M factors are applied to total concentrations (worst case method). With M factor set to 1 the classification method is not sufficiently discriminating between hazardous and non-hazardous materials. The second most frequent hazard is HP 7 'Carcinogenic'. The third most frequent hazard is HP 10 'Toxic for reproduction' and the fourth most frequent hazard is HP 4 \"Irritant - skin irritation and eye damage\". In a stepwise approach, it seems relevant to assess HP 14 first, then, if the waste is not classified as hazardous, to assess subsequently HP 7, HP 10 and HP 4, and then if still not classified as hazardous, to assess the remaining properties. The elements triggering the HP 14 classification in order of importance are Zn, Cu, Pb, Cr, Cd and Hg. Progress in the speciation of Zn and Cu is essential for HP 14. Organics were quantified by the proposed method (AFNOR XP X30-489) and need no speciation. Organics can contribute significantly to intrinsic toxicity in many …","author":[{"dropping-particle":"","family":"Hennebert","given":"Pierre","non-dropping-particle":"","parse-names":false,"suffix":""},{"dropping-particle":"","family":"Sloot","given":"Hans A.","non-dropping-particle":"van der","parse-names":false,"suffix":""},{"dropping-particle":"","family":"Rebischung","given":"Flore","non-dropping-particle":"","parse-names":false,"suffix":""},{"dropping-particle":"","family":"Weltens","given":"Reinhilde","non-dropping-particle":"","parse-names":false,"suffix":""},{"dropping-particle":"","family":"Geerts","given":"Lieve","non-dropping-particle":"","parse-names":false,"suffix":""},{"dropping-particle":"","family":"Hjelmar","given":"Ole","non-dropping-particle":"","parse-names":false,"suffix":""}],"container-title":"Waste Management","id":"ITEM-1","issue":"10","issued":{"date-parts":[["2014"]]},"page":"1739-1751","publisher":"Elsevier Ltd","title":"Hazard property classification of waste according to the recent propositions of the EC using different methods","type":"article-journal","volume":"34"},"uris":["http://www.mendeley.com/documents/?uuid=580c270d-9ec6-42ed-b305-6ae0adbd9f01"]}],"mendeley":{"formattedCitation":"(Hennebert et al., 2014)","plainTextFormattedCitation":"(Hennebert et al., 2014)","previouslyFormattedCitation":"(Hennebert et al., 2014)"},"properties":{"noteIndex":0},"schema":"https://github.com/citation-style-language/schema/raw/master/csl-citation.json"}</w:instrText>
      </w:r>
      <w:r w:rsidR="00D5760C">
        <w:fldChar w:fldCharType="separate"/>
      </w:r>
      <w:r w:rsidR="00D5760C" w:rsidRPr="00D5760C">
        <w:rPr>
          <w:noProof/>
        </w:rPr>
        <w:t>(Hennebert et al., 2014)</w:t>
      </w:r>
      <w:r w:rsidR="00D5760C">
        <w:fldChar w:fldCharType="end"/>
      </w:r>
      <w:r w:rsidR="00D5760C">
        <w:t>.</w:t>
      </w:r>
      <w:r w:rsidR="004B1C7C">
        <w:t xml:space="preserve"> </w:t>
      </w:r>
      <w:r w:rsidR="00CE2F60">
        <w:t>A</w:t>
      </w:r>
      <w:r w:rsidR="00CE2F60">
        <w:t>lthough municipal solid waste IBA is commonly landfilled, treatment is often required to stabilize contaminants and enable its disposal in non-hazardous waste landfills. This treatment aims to reduce the long-term leaching potential of toxic elements such as heavy metals and persistent organic compounds</w:t>
      </w:r>
      <w:r w:rsidR="004B1C7C">
        <w:t>.</w:t>
      </w:r>
    </w:p>
    <w:p w14:paraId="052C0CB9" w14:textId="0A8B0F96" w:rsidR="008F43F3" w:rsidRDefault="008A5964" w:rsidP="00C03013">
      <w:pPr>
        <w:rPr>
          <w:lang w:val="it-IT"/>
        </w:rPr>
      </w:pPr>
      <w:r>
        <w:t xml:space="preserve">Stabilization becomes particularly challenging due to the distinct leaching </w:t>
      </w:r>
      <w:r>
        <w:t>behaviours</w:t>
      </w:r>
      <w:r>
        <w:t xml:space="preserve"> of different metals</w:t>
      </w:r>
      <w:r w:rsidR="00875C14">
        <w:t xml:space="preserve">. For example, </w:t>
      </w:r>
      <w:r w:rsidR="003B0F6C">
        <w:t xml:space="preserve">while many metals exhibit </w:t>
      </w:r>
      <w:r w:rsidR="00513951">
        <w:t>lower</w:t>
      </w:r>
      <w:r w:rsidR="003B0F6C">
        <w:t xml:space="preserve"> solubility under alkaline conditions</w:t>
      </w:r>
      <w:r w:rsidR="003B0F6C">
        <w:t xml:space="preserve"> </w:t>
      </w:r>
      <w:r w:rsidR="00020D5E">
        <w:fldChar w:fldCharType="begin" w:fldLock="1"/>
      </w:r>
      <w:r w:rsidR="007D2885">
        <w:instrText>ADDIN CSL_CITATION {"citationItems":[{"id":"ITEM-1","itemData":{"DOI":"10.1080/10934520601144576","ISSN":"1093-4529","PMID":"17365298","abstract":"This study was carried out to determine the appropriate treatment of electric arc furnace (EAF) dust prior to permanent disposal. The total heavy metal content as well as heavy metal leaching from EAF dust was investigated in five composite samples obtained from three Croatian and Slovenian steelworks. In order to recover zinc and reduce its leaching from the dust, all five samples were submitted to alkaline extraction with 10 M NaOH. Reduction of Cr (VI) to Cr(III) was conducted using FeSO4·7H2O solution. The elements Mn, Fe, Cu, Ni, and notably Zn and Pb, exhibited highest mobility during toxicity characteristic leaching procedure (TCLP). Comparing to TCLP extracts of initial EAF dust, zinc was found to be over 15 times lower and lead over 200 times lower in TCLP extracts of EAF dust processed by the alkaline leaching method. Since Cr (VI) exceeded its permissible level in the DIN 38414-S4 extracts of both initial and alkaline digested dust, its reduction to Cr (III) prior to permanent disposal is necessary. The recovery of zinc from EAF dust treated with alkaline agent ranged from 50.3% to 73.2%. According to phase analysis, recovery yield showed dependence on zincite/franklinite ratio. The results of the study indicate that permanent disposal of EAF dust require the following procedure: alkaline digestion (followed by leachate purification and alkaline zinc electrolyses), chromate reduction (if necessary), solidification of leaching residue and its testing using the leaching analyses. Copyright © Taylor &amp; Francis Group, LLC.","author":[{"dropping-particle":"","family":"Oreščanin","given":"Višsnja","non-dropping-particle":"","parse-names":false,"suffix":""},{"dropping-particle":"","family":"Mikelić","given":"Luka","non-dropping-particle":"","parse-names":false,"suffix":""},{"dropping-particle":"","family":"Sofilić","given":"Tahir","non-dropping-particle":"","parse-names":false,"suffix":""},{"dropping-particle":"","family":"Rastovčan-Mioč","given":"Alenka","non-dropping-particle":"","parse-names":false,"suffix":""},{"dropping-particle":"","family":"Užarević","given":"Krunoslav","non-dropping-particle":"","parse-names":false,"suffix":""},{"dropping-particle":"","family":"Medunić","given":"Gordana","non-dropping-particle":"","parse-names":false,"suffix":""},{"dropping-particle":"","family":"Elez","given":"Loris","non-dropping-particle":"","parse-names":false,"suffix":""},{"dropping-particle":"","family":"Lulić","given":"Stipe","non-dropping-particle":"","parse-names":false,"suffix":""}],"container-title":"Journal of environmental science and health. Part A, Toxic/hazardous substances &amp; environmental engineering","id":"ITEM-1","issue":"3","issued":{"date-parts":[["2007","1"]]},"page":"323-329","publisher":"J Environ Sci Health A Tox Hazard Subst Environ Eng","title":"Leaching properties of electric arc furnace dust prior/following alkaline extraction","type":"article-journal","volume":"42"},"uris":["http://www.mendeley.com/documents/?uuid=ba1d6b83-ae37-3bc0-8bf0-894da2216a3d"]},{"id":"ITEM-2","itemData":{"DOI":"10.1016/j.fuproc.2010.03.015","ISSN":"03783820","abstract":"It is known that the concentration of elements of fly ash varies due to the used-coal and the used-lime qualities varying in different periods. In the Çan Thermal Power Plant (CTPP) located at northwestern Turkey, Çan (Çanakkale) basin coals, which are classified as lignite to sub-bituminous C coal with high total sulphur (0.4-12.22%) and a broad range of ash contents (3.2-44.6%) are mainly used. Performed studies reveal that some toxic elements exit in the coal, including As, U and V. Also, while the As, Cu, Co and Hg contents in coal increases, the sulphur contents in coal also increase. Additionally, trace elements that have inorganic compounds in coal are mobilized into air during the combustion process. This poses a big risk for human health and keeping the environment when Çan Basins low quality lignite is burned, it's the fly ash that contains several toxic elements which can leach out and contaminate the water resources. In this study, toxicity tests were conducted on the fly ash samples that were obtained from the fluidized bed combustion of Çan Thermal Power Plant. The results showed that water temperature, pH and the quality of the limestone used were the most important factors affecting the leaching properties. Concentration of some toxic elements found in the fly ash, such as; As, Cd, Cr, Pb, Se and Zn were analyzed. Concentration richness of some heavy metals were attributed to the increase of water temperature, especially when pH is lower than 5. At pH=5 value, there is no clear explanation of each heavy metal presence in the fly ash from fluidized bed combustion thermal power plant. © 2010 Elsevier B.V. All rights reserved.","author":[{"dropping-particle":"","family":"Baba","given":"Alper","non-dropping-particle":"","parse-names":false,"suffix":""},{"dropping-particle":"","family":"Gurdal","given":"Gulbin","non-dropping-particle":"","parse-names":false,"suffix":""},{"dropping-particle":"","family":"Sengunalp","given":"Fatma","non-dropping-particle":"","parse-names":false,"suffix":""}],"container-title":"Fuel Processing Technology","id":"ITEM-2","issue":"9","issued":{"date-parts":[["2010"]]},"page":"1073-1080","publisher":"Elsevier B.V.","title":"Leaching characteristics of fly ash from fluidized bed combustion thermal power plant: Case study: Çan (Çanakkale-Turkey)","type":"article-journal","volume":"91"},"uris":["http://www.mendeley.com/documents/?uuid=e4b624a3-e984-48f2-828a-00ac93b8d30b"]},{"id":"ITEM-3","itemData":{"DOI":"10.1016/j.coal.2011.10.006","ISSN":"01665162","abstract":"Coal-based power generation produces over 750. Mt of coal ash per year globally, but under 50% of world production is utilised. Large amounts of fly ash are either stored temporarily in stockpiles, disposed of in ash landfills or lagooned. Coal ash is viewed as a major potential source of release of many environmentally sensitive elements to the environment. This paper encompasses over 90 publications on coal fly ash and demonstrates that a large number of elements are tightly bound to fly ash and may not be easily released to the environment, regardless of the nature of the ash. This review provides an extensive look at the extent to which major and trace elements are leached from coal fly ash. It also gives an insight into the factors underlying the leachability of elements and addresses the causes of the mobility. The mode of occurrence of a given element in the parent coal was found to play an important role in the leaching behaviour of fly ash. The amount of calcium in fly ash exerts a dominant influence on the pH of the ash-water system. The mobility of most elements contained in ash is markedly pH sensitive. The alkalinity of fly ash attenuates the release of a large number of elements of concern such as Cd, Co, Cu, Hg, Ni, Pb, Sn or Zn among others, but at the same time, it enhances the release of oxyanionic species such as As, B, Cr, Mo, Sb, Se, V and W. The precipitation of secondary phases such as ettringite may capture and bind several pollutants such ash As, B, Cr, Sb, Se and V. © 2011 Elsevier B.V.","author":[{"dropping-particle":"","family":"Izquierdo","given":"Maria","non-dropping-particle":"","parse-names":false,"suffix":""},{"dropping-particle":"","family":"Querol","given":"Xavier","non-dropping-particle":"","parse-names":false,"suffix":""}],"container-title":"International Journal of Coal Geology","id":"ITEM-3","issued":{"date-parts":[["2012"]]},"page":"54-66","publisher":"Elsevier B.V.","title":"Leaching behaviour of elements from coal combustion fly ash: An overview","type":"article-journal","volume":"94"},"uris":["http://www.mendeley.com/documents/?uuid=e4924c5a-ed77-4fd2-89ec-e4583b5514ac"]}],"mendeley":{"formattedCitation":"(Baba et al., 2010; Izquierdo and Querol, 2012; Oreščanin et al., 2007)","plainTextFormattedCitation":"(Baba et al., 2010; Izquierdo and Querol, 2012; Oreščanin et al., 2007)","previouslyFormattedCitation":"(Baba et al., 2010; Izquierdo and Querol, 2012; Oreščanin et al., 2007)"},"properties":{"noteIndex":0},"schema":"https://github.com/citation-style-language/schema/raw/master/csl-citation.json"}</w:instrText>
      </w:r>
      <w:r w:rsidR="00020D5E">
        <w:fldChar w:fldCharType="separate"/>
      </w:r>
      <w:r w:rsidR="00020D5E" w:rsidRPr="00020D5E">
        <w:rPr>
          <w:noProof/>
        </w:rPr>
        <w:t>(Baba et al., 2010; Izquierdo and Querol, 2012; Oreščanin et al., 2007)</w:t>
      </w:r>
      <w:r w:rsidR="00020D5E">
        <w:fldChar w:fldCharType="end"/>
      </w:r>
      <w:r w:rsidR="00CD392B">
        <w:t>,</w:t>
      </w:r>
      <w:r w:rsidR="002F701C" w:rsidRPr="00F270F3">
        <w:t xml:space="preserve"> </w:t>
      </w:r>
      <w:r w:rsidR="00B61D81">
        <w:t>molybdenum (Mo) forms highly soluble molybdate ions</w:t>
      </w:r>
      <w:r w:rsidR="00D52AAD">
        <w:t xml:space="preserve"> (</w:t>
      </w:r>
      <m:oMath>
        <m:r>
          <m:rPr>
            <m:sty m:val="p"/>
          </m:rPr>
          <w:rPr>
            <w:rFonts w:ascii="Cambria Math" w:hAnsi="Cambria Math"/>
          </w:rPr>
          <m:t>Mo</m:t>
        </m:r>
        <m:sSubSup>
          <m:sSubSupPr>
            <m:ctrlPr>
              <w:rPr>
                <w:rFonts w:ascii="Cambria Math" w:hAnsi="Cambria Math"/>
                <w:iCs/>
              </w:rPr>
            </m:ctrlPr>
          </m:sSubSupPr>
          <m:e>
            <m:r>
              <m:rPr>
                <m:sty m:val="p"/>
              </m:rPr>
              <w:rPr>
                <w:rFonts w:ascii="Cambria Math" w:hAnsi="Cambria Math"/>
              </w:rPr>
              <m:t>O</m:t>
            </m:r>
          </m:e>
          <m:sub>
            <m:r>
              <m:rPr>
                <m:sty m:val="p"/>
              </m:rPr>
              <w:rPr>
                <w:rFonts w:ascii="Cambria Math" w:hAnsi="Cambria Math"/>
              </w:rPr>
              <m:t>4</m:t>
            </m:r>
          </m:sub>
          <m:sup>
            <m:r>
              <m:rPr>
                <m:sty m:val="p"/>
              </m:rPr>
              <w:rPr>
                <w:rFonts w:ascii="Cambria Math" w:hAnsi="Cambria Math"/>
              </w:rPr>
              <m:t>2-</m:t>
            </m:r>
          </m:sup>
        </m:sSubSup>
      </m:oMath>
      <w:r w:rsidR="00D52AAD">
        <w:t xml:space="preserve">), </w:t>
      </w:r>
      <w:r w:rsidR="00B61D81">
        <w:t>which remain mobile even at high pH</w:t>
      </w:r>
      <w:r w:rsidR="00B61D81">
        <w:t xml:space="preserve"> </w:t>
      </w:r>
      <w:r w:rsidR="004B1C7C">
        <w:fldChar w:fldCharType="begin" w:fldLock="1"/>
      </w:r>
      <w:r w:rsidR="00020D5E">
        <w:instrText>ADDIN CSL_CITATION {"citationItems":[{"id":"ITEM-1","itemData":{"DOI":"10.1080/15320383.2013.770438","ISSN":"15320383","abstract":"Molybdenum(Mo) is widely distributed in nature. It is found in the minerals molybdenite, wulfenite, ferrimolybdate, jordisite, and powellite. Most molybdenum compounds are derived from molybdenum t...","author":[{"dropping-particle":"","family":"Xu","given":"Nan","non-dropping-particle":"","parse-names":false,"suffix":""},{"dropping-particle":"","family":"Braida","given":"Washington","non-dropping-particle":"","parse-names":false,"suffix":""},{"dropping-particle":"","family":"Christodoulatos","given":"Christos","non-dropping-particle":"","parse-names":false,"suffix":""},{"dropping-particle":"","family":"Chen","given":"Jianping","non-dropping-particle":"","parse-names":false,"suffix":""}],"container-title":"Soil and Sediment Contamination: An International Journal","id":"ITEM-1","issue":"8","issued":{"date-parts":[["2013","11"]]},"page":"912-929","publisher":"Taylor &amp; Francis Group","title":"A Review of Molybdenum Adsorption in Soils/Bed Sediments: Speciation, Mechanism, and Model Applications","type":"article-journal","volume":"22"},"uris":["http://www.mendeley.com/documents/?uuid=241dbbc3-e6db-3d4d-8a0c-b9ca2cf355bd"]}],"mendeley":{"formattedCitation":"(Xu et al., 2013)","plainTextFormattedCitation":"(Xu et al., 2013)","previouslyFormattedCitation":"(Xu et al., 2013)"},"properties":{"noteIndex":0},"schema":"https://github.com/citation-style-language/schema/raw/master/csl-citation.json"}</w:instrText>
      </w:r>
      <w:r w:rsidR="004B1C7C">
        <w:fldChar w:fldCharType="separate"/>
      </w:r>
      <w:r w:rsidR="004B1C7C" w:rsidRPr="004B1C7C">
        <w:rPr>
          <w:noProof/>
        </w:rPr>
        <w:t>(Xu et al., 2013)</w:t>
      </w:r>
      <w:r w:rsidR="004B1C7C">
        <w:fldChar w:fldCharType="end"/>
      </w:r>
      <w:r w:rsidR="004B1C7C">
        <w:t xml:space="preserve">. </w:t>
      </w:r>
      <w:r w:rsidR="008F43F3">
        <w:t>As a result, conventional alkaline stabilization methods may be insufficient for Mo-rich residues, complicating treatment strategies and increasing costs</w:t>
      </w:r>
      <w:r w:rsidR="008F43F3">
        <w:t xml:space="preserve"> </w:t>
      </w:r>
      <w:r w:rsidR="00D5760C">
        <w:fldChar w:fldCharType="begin" w:fldLock="1"/>
      </w:r>
      <w:r w:rsidR="00D5760C">
        <w:instrText>ADDIN CSL_CITATION {"citationItems":[{"id":"ITEM-1","itemData":{"DOI":"10.1016/j.scp.2022.100733","ISSN":"23525541","abstract":"Hazardous wastes containing heavy metals must be stabilized through the addition of appropriate and costly chemical reagents before they can be safely disposed in non-hazardous waste landfill. Although effective, this practice can also significantly increase the waste final mass. This work focuses on the possibility of using another Mo contaminated waste, as an alternative reagent, to partially stabilize critical contaminant leaching trough chemical-physical interactions. Thanks to its unusual properties, spent fluid catalytic cracking (FCCSC) catalyst, classified as hazardous waste, was tested here as good candidate for Mo-contaminated waste partial stabilization. Results highlighted that FCCSC can be effective in drastically reducing the Molybdenum leaching below the legal limit for non-hazardous waste landfill disposal while significantly limiting the increase of the final mass of waste to be disposed with a substantial reduction of the industrial treatment cost, landfill volume requirement and overall environmental burden. By minimizing the waste to be landfilled, this research supports both the European directives and policies on sustainable waste management strategies and BAT (Best</w:instrText>
      </w:r>
      <w:r w:rsidR="00D5760C" w:rsidRPr="008F43F3">
        <w:instrText xml:space="preserve"> Available T</w:instrText>
      </w:r>
      <w:r w:rsidR="00D5760C" w:rsidRPr="00DA2767">
        <w:rPr>
          <w:lang w:val="it-IT"/>
        </w:rPr>
        <w:instrText>echniques) for the treatment of industrial wastes within a circular economy framework.","author":[{"dropping-particle":"","family":"Mancini","given":"G.","non-dropping-particle":"","parse-names":false,"suffix":""},{"dropping-particle":"","family":"Palmeri","given":"F.","non-dropping-particle":"","parse-names":false,"suffix":""},{"dropping-particle":"","family":"Benina","given":"G.","non-dropping-particle":"","parse-names":false,"suffix":""},{"dropping-particle":"","family":"Cacciola","given":"S.","non-dropping-particle":"","parse-names":false,"suffix":""},{"dropping-particle":"","family":"Luciano","given":"A.","non-dropping-particle":"","parse-names":false,"suffix":""},{"dropping-particle":"","family":"Fino","given":"D.","non-dropping-particle":"","parse-names":false,"suffix":""}],"container-title":"Sustainable Chemistry and Pharmacy","id":"ITEM-1","issue":"January","issued":{"date-parts":[["2022"]]},"page":"100733","publisher":"Elsevier B.V.","title":"FCC spent catalyst as an alternative reagent in Mo-contaminated hazardous waste enhanced stabilization","type":"article-journal","volume":"28"},"uris":["http://www.mendeley.com/documents/?uuid=6fe30266-44e7-4326-aab8-5faafc56f707"]}],"mendeley":{"formattedCitation":"(Mancini et al., 2022)","plainTextFormattedCitation":"(Mancini et al., 2022)","previouslyFormattedCitation":"(Mancini et al., 2022)"},"properties":{"noteIndex":0},"schema":"https://github.com/citation-style-language/schema/raw/master/csl-citation.json"}</w:instrText>
      </w:r>
      <w:r w:rsidR="00D5760C">
        <w:fldChar w:fldCharType="separate"/>
      </w:r>
      <w:r w:rsidR="00D5760C" w:rsidRPr="00DA2767">
        <w:rPr>
          <w:noProof/>
          <w:lang w:val="it-IT"/>
        </w:rPr>
        <w:t>(Mancini et al., 2022)</w:t>
      </w:r>
      <w:r w:rsidR="00D5760C">
        <w:fldChar w:fldCharType="end"/>
      </w:r>
      <w:r w:rsidR="00D5760C" w:rsidRPr="00DA2767">
        <w:rPr>
          <w:lang w:val="it-IT"/>
        </w:rPr>
        <w:t>.</w:t>
      </w:r>
    </w:p>
    <w:p w14:paraId="36BE1D60" w14:textId="60C61ABE" w:rsidR="00C03013" w:rsidRDefault="00D5760C" w:rsidP="00C03013">
      <w:r>
        <w:fldChar w:fldCharType="begin" w:fldLock="1"/>
      </w:r>
      <w:r w:rsidR="00C9229D" w:rsidRPr="00EB642B">
        <w:instrText>ADDIN CSL_CITATION {"citationItems":[{"id":"ITEM-1","itemData":{"DOI":"10.1016/j.scp.2022.100733","ISSN":"23525541","abstract":"Hazardous wastes containing heavy metals must be stabilized through the addition of appropriate and costly chemical reagents before they can be safely disposed in non-hazardous waste landfill. Although effective, this practice can also significantly increase the waste final mass. This work focuses on the possibility of using another Mo contaminated waste, as an alternative reagent, to partially stabilize critical contaminant leaching trough chemical-physical interactions. Thanks to its unusual properties, spent fluid catalytic cracking (FCCSC) catalyst, classified as hazardous waste, was tested here as good candidate for Mo-contaminated waste partial stabilization. Results highlighted that FCCSC can be effective in drastically reducing the Molybdenum leaching below the legal limit for non-hazardous waste landfill disposal while significantly limiting the increase of the final mass of waste to be disposed with a substantial reduction of the industrial treatment cost, landfill volume requirement and overall environmental burden. By minimizing the waste to be landfilled, this research supports both the European directives and policies on sustainable waste management strategies and BAT (Best Available Techniques) for the treatment of industrial wastes within a circular economy framework.","author":[{"dropping-particle":"","family":"Mancini","given":"G.","non-dropping-particle":"","parse-names":false,"suffix":""},{"dropping-particle":"","family":"Palmeri","given":"F.","non-dropping-particle":"","parse-names":false,"suffix":""},{"dropping-particle":"","family":"Benina","given":"G.","non-dropping-particle":"","parse-names":false,"suffix":""},{"dropping-particle":"","family":"Cacciola","given":"S.","non-dropping-particle":"","parse-names":false,"suffix":""},{"dropping-particle":"","family":"Luciano","given":"A.","non-dropping-particle":"","parse-names":false,"suffix":""},{"dropping-particle":"","family":"Fino","given":"D.","non-dropping-particle":"","parse-names":false,"suffix":""}],"container-title":"Sustainable Chemistry and Pharmacy","id":"ITEM-1","issue":"January","issued":{"date-parts":[["2022"]]},"page":"100733","publisher":"Elsevier B.V.","title":"FCC spent catalyst as an alternative reagent in Mo-contaminated hazardous waste enhanced stabilization","type":"article-journal","volume":"28"},"uris":["http://www.mendeley.com/documents/?uuid=6fe30266-44e7-4326-aab8-5faafc56f707"]}],"mendeley":{"formattedCitation":"(Mancini et al., 2022)","manualFormatting":"Mancini et al.","plainTextFormattedCitation":"(Mancini et al., 2022)","previouslyFormattedCitation":"(Mancini et al., 2022)"},"properties":{"noteIndex":0},"schema":"https://github.com/citation-style-language/schema/raw/master/csl-citation.json"}</w:instrText>
      </w:r>
      <w:r>
        <w:fldChar w:fldCharType="separate"/>
      </w:r>
      <w:r w:rsidRPr="00EB642B">
        <w:rPr>
          <w:noProof/>
        </w:rPr>
        <w:t>Mancini et al.</w:t>
      </w:r>
      <w:r>
        <w:fldChar w:fldCharType="end"/>
      </w:r>
      <w:r w:rsidR="00C9229D" w:rsidRPr="00EB642B">
        <w:t xml:space="preserve"> </w:t>
      </w:r>
      <w:r w:rsidR="00724F54" w:rsidRPr="00EB642B">
        <w:t xml:space="preserve">(2022) </w:t>
      </w:r>
      <w:r w:rsidR="001C4588" w:rsidRPr="00EB642B">
        <w:t>proposed to immobilize molybdate ions with</w:t>
      </w:r>
      <w:r w:rsidR="00DF6EE3" w:rsidRPr="00EB642B">
        <w:t xml:space="preserve"> a</w:t>
      </w:r>
      <w:r w:rsidR="001C4588" w:rsidRPr="00EB642B">
        <w:t xml:space="preserve"> ferrous </w:t>
      </w:r>
      <w:proofErr w:type="spellStart"/>
      <w:r w:rsidR="001C4588" w:rsidRPr="00EB642B">
        <w:t>sulfate</w:t>
      </w:r>
      <w:proofErr w:type="spellEnd"/>
      <w:r w:rsidR="001C4588" w:rsidRPr="00EB642B">
        <w:rPr>
          <w:rFonts w:ascii="Cambria Math" w:hAnsi="Cambria Math" w:cs="Cambria Math"/>
        </w:rPr>
        <w:t>‑</w:t>
      </w:r>
      <w:r w:rsidR="001C4588" w:rsidRPr="00EB642B">
        <w:t>based additive using the reducing properties of the Fe</w:t>
      </w:r>
      <w:r w:rsidR="001C4588" w:rsidRPr="00EB642B">
        <w:rPr>
          <w:vertAlign w:val="superscript"/>
        </w:rPr>
        <w:t>2+</w:t>
      </w:r>
      <w:r w:rsidR="001C4588" w:rsidRPr="00EB642B">
        <w:t xml:space="preserve"> ion, in compliance with specific pH and redox potential conditions, which </w:t>
      </w:r>
      <w:r w:rsidR="00424D68" w:rsidRPr="00EB642B">
        <w:t>were</w:t>
      </w:r>
      <w:r w:rsidR="001C4588" w:rsidRPr="00EB642B">
        <w:t xml:space="preserve"> crucial for the partial stabilization and immobilization of Mo. </w:t>
      </w:r>
      <w:r w:rsidR="001C4588">
        <w:t>They also investigated the use of other wastes (i.e.</w:t>
      </w:r>
      <w:r w:rsidR="002A0BD3">
        <w:t>,</w:t>
      </w:r>
      <w:r w:rsidR="001C4588">
        <w:t xml:space="preserve"> </w:t>
      </w:r>
      <w:r w:rsidR="001C4588" w:rsidRPr="00DA3341">
        <w:t>spent fluid catalytic cracking catalyst)</w:t>
      </w:r>
      <w:r w:rsidR="001C4588">
        <w:t xml:space="preserve"> </w:t>
      </w:r>
      <w:r w:rsidR="001C4588" w:rsidRPr="00DA3341">
        <w:t>as alternative reagent</w:t>
      </w:r>
      <w:r w:rsidR="00D87533">
        <w:t>s</w:t>
      </w:r>
      <w:r w:rsidR="001C4588" w:rsidRPr="00DA3341">
        <w:t xml:space="preserve"> in </w:t>
      </w:r>
      <w:r w:rsidR="00D87533">
        <w:t>Mo</w:t>
      </w:r>
      <w:r w:rsidR="001C4588" w:rsidRPr="00DA3341">
        <w:t>-contaminated hazardous waste enhanced stabilization</w:t>
      </w:r>
      <w:r w:rsidR="007C4FA9">
        <w:t>.</w:t>
      </w:r>
      <w:r w:rsidR="00900584">
        <w:t xml:space="preserve"> </w:t>
      </w:r>
      <w:r w:rsidR="0065348A" w:rsidRPr="0065348A">
        <w:t xml:space="preserve">In recent years, </w:t>
      </w:r>
      <w:r w:rsidR="00D75638">
        <w:t>novel techniques</w:t>
      </w:r>
      <w:r w:rsidR="0065348A" w:rsidRPr="0065348A">
        <w:t xml:space="preserve"> have been developed for the recovery of valuable metals</w:t>
      </w:r>
      <w:r w:rsidR="001B578F">
        <w:t>, though</w:t>
      </w:r>
      <w:r w:rsidR="0065348A" w:rsidRPr="0065348A">
        <w:t xml:space="preserve"> economic </w:t>
      </w:r>
      <w:r w:rsidR="001B578F">
        <w:t>viability</w:t>
      </w:r>
      <w:r w:rsidR="0065348A" w:rsidRPr="0065348A">
        <w:t xml:space="preserve"> </w:t>
      </w:r>
      <w:r w:rsidR="0023123B">
        <w:t>is</w:t>
      </w:r>
      <w:r w:rsidR="0065348A" w:rsidRPr="0065348A">
        <w:t xml:space="preserve"> not always </w:t>
      </w:r>
      <w:r w:rsidR="00894225">
        <w:t>met</w:t>
      </w:r>
      <w:r w:rsidR="0065348A">
        <w:t xml:space="preserve">. </w:t>
      </w:r>
      <w:r w:rsidR="00AF4D50" w:rsidRPr="00AF4D50">
        <w:t xml:space="preserve">Studies on the </w:t>
      </w:r>
      <w:r w:rsidR="0065348A">
        <w:t>recovery</w:t>
      </w:r>
      <w:r w:rsidR="00AF4D50" w:rsidRPr="00AF4D50">
        <w:t xml:space="preserve"> of heavy metal</w:t>
      </w:r>
      <w:r w:rsidR="0014393F">
        <w:t>s</w:t>
      </w:r>
      <w:r w:rsidR="00AF4D50" w:rsidRPr="00AF4D50">
        <w:t xml:space="preserve"> have focused on chemical extraction </w:t>
      </w:r>
      <w:r w:rsidR="00CA274A">
        <w:t>using inorganic or organic leaching agents</w:t>
      </w:r>
      <w:r w:rsidR="00C9229D">
        <w:t xml:space="preserve"> </w:t>
      </w:r>
      <w:r w:rsidR="00473704">
        <w:fldChar w:fldCharType="begin" w:fldLock="1"/>
      </w:r>
      <w:r w:rsidR="00473704">
        <w:instrText>ADDIN CSL_CITATION {"citationItems":[{"id":"ITEM-1","itemData":{"DOI":"10.1016/j.jhazmat.2005.06.041","ISSN":"03043894","PMID":"16122872","abstract":"This study performed pilot-scale washing of soil contaminated with both oxyanion and cations as a recalcitrant remediation case due to their different chemical behavior. The soil contaminated with As, Zn and Ni, partially recalcitrant due to their strong binding properties, was obtained near a closed iron/serpentine mining area. This study monitored the variation of chemical speciation of As, Zn and Ni for acid solutions and particle size fraction using the BCR sequential extraction and evaluated the optimal condition of physical separation of highly contaminated fine particles for enhanced washing. H 2SO4 and H3PO4, including competitive oxyanions, enhanced removal of As with the simultaneous extraction of Zn and Ni. Less nickel from the residual fraction in coarse particles was extracted than As and Zn due to the recalcitrant serpentine. Fe/Mn oxide, organic/sulfides and residual fractions in fine particles were enriched with contaminants due to the high surface areas and recalcitrant minerals. The chemical extraction of As was also restricted in the fine particles, whereas the chemical extraction of Zn and Ni was determined by the residual form of various particle size fractions. Further extraction was limited in the exchangeable and residual fractions and retained a gradual extraction from Fe/Mn oxide and organic/sulfides fractions, which indicated an instant detachment from the easily bound fraction. Correspondingly, extraction from the acid-attackable fraction was related to the exchangeable Fe/Mn oxide and organic/sulfides fractions. Due to the limitation of chemical extraction, the physical separation of fine particles could enhance the effectiveness of acid washing. In addition, the chemical properties of the soil were affected by strong acid washing. The treated soil then needed to be regenerated. © 2005 Elsevier B.V. All rights reserved.","author":[{"dropping-particle":"","family":"Ko","given":"Ilwon","non-dropping-particle":"","parse-names":false,"suffix":""},{"dropping-particle":"","family":"Chang","given":"Yoon Young","non-dropping-particle":"","parse-names":false,"suffix":""},{"dropping-particle":"","family":"Lee","given":"Cheol Hyo","non-dropping-particle":"","parse-names":false,"suffix":""},{"dropping-particle":"","family":"Kim","given":"Kyoung Woong","non-dropping-particle":"","parse-names":false,"suffix":""}],"container-title":"Journal of Hazardous Materials","id":"ITEM-1","issue":"1-3","issued":{"date-parts":[["2005"]]},"page":"1-13","title":"Assessment of pilot-scale acid washing of soil contaminated with As, Zn and Ni using the BCR three-step sequential extraction","type":"article-journal","volume":"127"},"uris":["http://www.mendeley.com/documents/?uuid=2d5fca50-bc9d-4bcc-a34e-2f43ee967bff"]},{"id":"ITEM-2","itemData":{"DOI":"10.1016/S0304-3894(01)00233-3","ISSN":"03043894","PMID":"11406313","abstract":"A leaching process based on the use of a HCl-CaCl2 solution, with total chloride concentration 4M, was investigated for the removal of contaminant metals from fine acidic soils. The possibility to apply this treatment on piles constructed on-site was also examined as a low cost treatment option. The soil sample used in the study was fine in texture, i.e. clay loam, acidic (pH 5.6), and contaminated mainly with Pb, up to 16000mg Pb/kg dry soil, due to past mining activities. The experimental work comprised all the treatment stages, including agglomeration of fine soil particles to increase the permeability of soil, leaching of the agglomerated soil in a laboratory column, removal of metals from the leachate, regeneration and recycling of the leaching solution and final washing of the treated soil.The initial agglomeration treatment resulted in the formation of coarse aggregates and the percolation of leaching solution through the soil column was maintained at high levels, i.e.75ml/cm2 per day, during the whole treatment. A low amount of HCl acid was required for the removal contaminants from this particular soil, i.e. 0.44mol HCl/kg soil, due to the absence of acid consuming minerals. The extractions achieved were 94% for Pb, 78% for Zn and more than 70% for Cd. The co-dissolution of soil matrix was very limited, with a total weight loss about 3.5%. The final pH of the soil after washing was found to be 5.15, i.e. slightly lower compared to the initial pH of the soil. The results of this study indicate that chloride leaching, in combination with agglomeration and pile leaching techniques, can be a cost effective option for the removal of metal contaminants from fine acidic soils. Copyright © 2001 Elsevier Science B.V.","author":[{"dropping-particle":"","family":"Tampouris","given":"S.","non-dropping-particle":"","parse-names":false,"suffix":""},{"dropping-particle":"","family":"Papassiopi","given":"N.","non-dropping-particle":"","parse-names":false,"suffix":""},{"dropping-particle":"","family":"Paspaliaris","given":"I.","non-dropping-particle":"","parse-names":false,"suffix":""}],"container-title":"Journal of Hazardous Materials","id":"ITEM-2","issue":"2-3","issued":{"date-parts":[["2001"]]},"page":"297-319","title":"Removal of contaminant metals from fine grained soils, using agglomeration, chloride solutions and pile leaching techniques","type":"article-journal","volume":"84"},"uris":["http://www.mendeley.com/documents/?uuid=7a22f241-852c-4f70-8ecc-2272443dbe9a"]},{"id":"ITEM-3","itemData":{"DOI":"10.3390/agronomy13071754","ISSN":"20734395","abstract":"The bioavailability and mobility of copper (Cu) in soil play a crucial role in its toxicity and impact on soil organisms. Humic substances, with their abundant functional groups and unique pore structure, have demonstrated the ability to effectively mitigate the toxic effects of heavy metals in soil. This study explores the potential of a soluble humic substance (HS) derived from leonardite for Cu removal from contaminated soils. The effects of various washing conditions, such as concentration and washing cycles, on removal efficiency were assessed. The results showed that a single washing with HS solution achieved an optimal removal efficiency of 37.5% for Cu in soil, with a subsequent reuse achieving a removal efficiency of over 30.5%. To further enhance Cu removal efficiency, a two-step soil washing approach using a chemical reductant NH2OH·HCl coupled with an HS solution (NH2OH·HCl + HS) was employed, resulting in an increased removal efficiency to 53.0%. Furthermore, this approach significantly reduced the plant availability and bioaccessibility of Cu by 13.6% and 11.4%, respectively. Compared to a single washing with NH2OH·HCl, both HS and NH2OH·HCl + HS increased the soil pH and organic matter content. These findings suggest that the two-step soil-washing approach using NH2OH·HCl + HS effectively removed Cu from polluted soil. This study demonstrates the potential of humic substances as environmentally friendly materials for remediating heavy metal-polluted soil, promoting green and sustainable applications in soil remediation practices.","author":[{"dropping-particle":"","family":"Wang","given":"Lina","non-dropping-particle":"","parse-names":false,"suffix":""},{"dropping-particle":"","family":"Wei","given":"Jing","non-dropping-particle":"","parse-names":false,"suffix":""},{"dropping-particle":"","family":"Yang","given":"Lu","non-dropping-particle":"","parse-names":false,"suffix":""},{"dropping-particle":"","family":"Chen","given":"Yun","non-dropping-particle":"","parse-names":false,"suffix":""},{"dropping-particle":"","family":"Wang","given":"Mengjie","non-dropping-particle":"","parse-names":false,"suffix":""},{"dropping-particle":"","family":"Xiao","given":"Liang","non-dropping-particle":"","parse-names":false,"suffix":""},{"dropping-particle":"","family":"Yuan","given":"Guodong","non-dropping-particle":"","parse-names":false,"suffix":""}],"container-title":"Agronomy","id":"ITEM-3","issue":"7","issued":{"date-parts":[["2023"]]},"title":"Enhancing Soil Remediation of Copper-Contaminated Soil through Washing with a Soluble Humic Substance and Chemical Reductant","type":"article-journal","volume":"13"},"uris":["http://www.mendeley.com/documents/?uuid=3a35fd15-75d5-463a-87e1-ab28991fbf55"]},{"id":"ITEM-4","itemData":{"DOI":"10.1016/j.ecoenv.2023.115108","ISSN":"10902414","PMID":"37285674","abstract":"Wood vinegar (WV) is a renewable organic compound, possessing characteristics such as high oxygenated compound content and low negative impact on soil. Based on its weak acid properties and complexing ability to potentially toxic elements (PTEs), WV was used to leach Ni, Zn, and Cu contaminated soil in electroplating sites. In addition, the response surface methodology (RSM) based on the Box-Behnken design (BBD) was established to clarify the interaction between each single factor, and finally completed the risk assessment of the soil. The amounts of PTEs leached from the soil climbed with the increase of WV concentration, liquid-solid ratio, and leaching time, while they surged with the decrease of pH. Under optimal leaching circumstances (the concentration of WV= 100 %; washing time= 919 min; pH= 1.00), the removal rates of Ni, Zn, and Cu could reach 91.7 %, 57.8 %, and 65.0 %, respectively, and the WV-extracted PTEs were mainly from the Fe-Mn oxides fraction. After leaching, the Nemerow integrated pollution index (NIPI) decreased from an initial value of 7.08 (indicating severe pollution) to 0.450 (indicating no pollution). The potential ecological risk index (RI) dropped from 274 (medium level) to 39.1 (low level). Additionally, the potential carcinogenic risk (CR) values reduced by 93.9 % for both adults and children. The results revealed that the washing process significantly reduced the pollution level, potential ecological risk, and health risk. Coupled with FTIR and SEM-EDS analysis, the mechanism of WV removal of PTEs could be explained from three aspects: acid activation, H+ ion exchange, and functional group complexation. In summary, WV is an eco-friendly and high-efficiency leaching material for the remediation of PTEs polluted sites, which will maintain soil function and protect human health.","author":[{"dropping-particle":"","family":"Lv","given":"Tianying","non-dropping-particle":"","parse-names":false,"suffix":""},{"dropping-particle":"","family":"Xu","given":"Xiaoxun","non-dropping-particle":"","parse-names":false,"suffix":""},{"dropping-particle":"","family":"Lv","given":"Guochun","non-dropping-particle":"","parse-names":false,"suffix":""},{"dropping-particle":"","family":"Xu","given":"Changlian","non-dropping-particle":"","parse-names":false,"suffix":""},{"dropping-particle":"","family":"Wang","given":"Guiyin","non-dropping-particle":"","parse-names":false,"suffix":""},{"dropping-particle":"","family":"Zhang","given":"Shirong","non-dropping-particle":"","parse-names":false,"suffix":""},{"dropping-particle":"","family":"Yang","given":"Zhanbiao","non-dropping-particle":"","parse-names":false,"suffix":""},{"dropping-particle":"","family":"Cheng","given":"Zhang","non-dropping-particle":"","parse-names":false,"suffix":""},{"dropping-particle":"","family":"Cai","given":"Junzhuo","non-dropping-particle":"","parse-names":false,"suffix":""},{"dropping-particle":"","family":"Li","given":"Ting","non-dropping-particle":"","parse-names":false,"suffix":""},{"dropping-particle":"","family":"Pu","given":"Yulin","non-dropping-particle":"","parse-names":false,"suffix":""},{"dropping-particle":"","family":"Gan","given":"Wenzhi","non-dropping-particle":"","parse-names":false,"suffix":""},{"dropping-particle":"","family":"Pu","given":"Zhien","non-dropping-particle":"","parse-names":false,"suffix":""},{"dropping-particle":"","family":"Xiao","given":"Guangli","non-dropping-particle":"","parse-names":false,"suffix":""}],"container-title":"Ecotoxicology and Environmental Safety","id":"ITEM-4","issue":"June","issued":{"date-parts":[["2023"]]},"page":"115108","publisher":"Elsevier Inc.","title":"Green remediation of Ni, Zn, and Cu in an electroplating contaminated site by wood vinegar with optimization and risk assessment","type":"article-journal","volume":"261"},"uris":["http://www.mendeley.com/documents/?uuid=80fd0f95-9cab-475d-841c-a247896b832f"]}],"mendeley":{"formattedCitation":"(Ko et al., 2005; Lv et al., 2023; Tampouris et al., 2001; Wang et al., 2023)","plainTextFormattedCitation":"(Ko et al., 2005; Lv et al., 2023; Tampouris et al., 2001; Wang et al., 2023)","previouslyFormattedCitation":"(Ko et al., 2005; Lv et al., 2023; Tampouris et al., 2001; Wang et al., 2023)"},"properties":{"noteIndex":0},"schema":"https://github.com/citation-style-language/schema/raw/master/csl-citation.json"}</w:instrText>
      </w:r>
      <w:r w:rsidR="00473704">
        <w:fldChar w:fldCharType="separate"/>
      </w:r>
      <w:r w:rsidR="00473704" w:rsidRPr="00473704">
        <w:rPr>
          <w:noProof/>
        </w:rPr>
        <w:t>(Ko et al., 2005; Lv et al., 2023; Tampouris et al., 2001; Wang et al., 2023)</w:t>
      </w:r>
      <w:r w:rsidR="00473704">
        <w:fldChar w:fldCharType="end"/>
      </w:r>
      <w:r w:rsidR="00473704">
        <w:t xml:space="preserve"> </w:t>
      </w:r>
      <w:r w:rsidR="00DE78D3" w:rsidRPr="00DA2767">
        <w:t>or chelating agents</w:t>
      </w:r>
      <w:r w:rsidR="00473704" w:rsidRPr="00DA2767">
        <w:t xml:space="preserve"> </w:t>
      </w:r>
      <w:r w:rsidR="00473704" w:rsidRPr="00DA2767">
        <w:fldChar w:fldCharType="begin" w:fldLock="1"/>
      </w:r>
      <w:r w:rsidR="008750A3">
        <w:instrText xml:space="preserve">ADDIN CSL_CITATION {"citationItems":[{"id":"ITEM-1","itemData":{"DOI":"10.1016/j.chemosphere.2004.09.046","ISSN":"00456535","PMID":"15664611","abstract":"This study aimed to establish an optimized, closed loop application of ethylenediaminetetraacetic acid (EDTA) in heavy metal removals from a contaminated soil through integrating EDTA recovery/regeneration and metal precipitation processes in the treatment train. Three divalent heavy metals were investigated, namely, Pb, Cd, and Ni. The extractability of the metals by EDTA followed the decreasing order of Cd ≥ Pb </w:instrText>
      </w:r>
      <w:r w:rsidR="008750A3">
        <w:rPr>
          <w:rFonts w:ascii="Cambria Math" w:hAnsi="Cambria Math" w:cs="Cambria Math"/>
        </w:rPr>
        <w:instrText>≫</w:instrText>
      </w:r>
      <w:r w:rsidR="008750A3">
        <w:instrText xml:space="preserve"> Ni. The first part of this study was to search for the optimal use of the fresh EDTA in removing these heavy metals from the contaminated soil. The second part of this study was devoted to the recovery/regeneration of the spent EDTA which followed the sequential processes involving (1) complex destabilization by adding ferric ion (Fe(III)) to liberate Pb, Cd, and Ni, (2) precipitation of the liberated Pb, Cd, and Ni in phosphate (PO43-) forms, and (3) precipitation of the excess Fe(III) which eventually produced free EDTA for reuse. The process variables were dosages of Fe(III) and PO43-, pH and reaction times. Laborious trial experiments would be needed in searching for the optimum conditions for the above processes. To expedite this exercise, a geochemical equilibrium model, MINTEQA2, was used to find the thermodynamically favorable conditions for recoveries of both EDTA and heavy metals. This was then followed by experimental examination of the process kinetics to observe for the optimal reaction time for each thermodynamically favorable process. This study revealed that 2 h of reaction time each for the complex destabilization reaction and the metal phosphate precipitation reaction was sufficient to achieve equilibrium. With the optimized process condition identified in this study, a total of 95%, 89% and 90% of the extracted Pb, Cd and Ni, respectively, could be precipitated from the spent EDTA solution, with 84% EDTA recovery. The reused EDTA maintained more than 90% of its preceding extraction power in each cycle of reuse. © 2004 Elsevier Ltd. All rights reserved.","author":[{"dropping-particle":"","family":"Lim","given":"Teik Thye","non-dropping-particle":"","parse-names":false,"suffix":""},{"dropping-particle":"","family":"Chui","given":"Peng Cheong","non-dropping-particle":"","parse-names":false,"suffix":""},{"dropping-particle":"","family":"Goh","given":"Kok Hui","non-dropping-particle":"","parse-names":false,"suffix":""}],"container-title":"Chemosphere","id":"ITEM-1","issue":"8","issued":{"date-parts":[["2005"]]},"page":"1031-1040","title":"Process evaluation for optimization of EDTA use and recovery for heavy metal removal from a contaminated soil","type":"article-journal","volume":"58"},"uris":["http://www.mendeley.com/documents/?uuid=06454908-8a2b-468c-9022-bd6cf1246392"]},{"id":"ITEM-2","itemData":{"DOI":"10.1016/j.chemosphere.2012.02.032","ISSN":"18791298","PMID":"22391046","abstract":"Ex situ soil washing with synthetic extractants such as, aminopolycarboxylate chelants (APCs) is a viable treatment alternative for metal-contaminated site remediation. EDTA and its homologs are widely used among the APCs in the ex situ soil washing processes. These APCs are merely biodegradable and highly persistent in the aquatic environments leading to the post-use toxic effects. Therefore, an increasing interest is focused on the development and use of the eco-friendly APCs having better biodegradability and less environmental toxicity. The paper deals with the results from the lab-scale washing treatments of a real sample of metal-contaminated soil for the removal of the ecotoxic metal ions (Cd, Cu, Ni, Pb, and Zn) using five biodegradable APCs, namely [S,S]-ethylenediaminedisuccinic acid, imminodisuccinic acid, methylglycinediacetic acid, DL-2-(2-carboxymethyl) nitrilotriacetic acid (GLDA), and 3-hydroxy-2,2'-iminodisuccinic acid. The performance of those biodegradable APCs was evaluated for their interaction with the soil mineral constituents in terms of the solution pH and metal-chelant stability constants, and compared with that of EDTA. Speciation calculations were performed to identify the optimal conditions for the washing process in terms of the metal-chelant interactions as well as to understand the selectivity in the separation ability of the biodegradable chelants towards the metal ions. A linear relationship between the metal extraction capacity of the individual chelants towards each of the metal ions from the soil matrix and metal-chelant conditional stability constants for a solution pH greater than 6 was observed. Additional considerations were derived from the behavior of the major potentially interfering cations (Al, Ca, Fe, Mg, and Mn), and it was hypothesized that use of an excess of chelant may minimize the possible competition effects during the single-step washing treatments. Sequential extraction procedure was used to determine the metal distribution in the soil before and after the extractive decontamination using biodegradable APCs, and the capability of the APCs in removing the metal ions even from the theoretically immobilized fraction of the contaminated soil was observed. GLDA appeared to possess the greatest potential to decontaminate the soil through ex situ washing treatment compared to the other biodegradable chelants used in the study. © 2012 Elsevier Ltd.","author":[{"dropping-particle":"","family":"Begum","given":"Zinnat A.","non-dropping-particle":"","parse-names":false,"suffix":""},{"dropping-particle":"","family":"Rahman","given":"Ismail M.M.","non-dropping-particle":"","parse-names":false,"suffix":""},{"dropping-particle":"","family":"Tate","given":"Yousuke","non-dropping-particle":"","parse-names":false,"suffix":""},{"dropping-particle":"","family":"Sawai","given":"Hikaru","non-dropping-particle":"","parse-names":false,"suffix":""},{"dropping-particle":"","family":"Maki","given":"Teruya","non-dropping-particle":"","parse-names":false,"suffix":""},{"dropping-particle":"","family":"Hasegawa","given":"Hiroshi","non-dropping-particle":"","parse-names":false,"suffix":""}],"container-title":"Chemosphere","id":"ITEM-2","issue":"10","issued":{"date-parts":[["2012"]]},"page":"1161-1170","publisher":"Elsevier Ltd","title":"Remediation of toxic metal contaminated soil by washing with biodegradable aminopolycarboxylate chelants","type":"article-journal","volume":"87"},"uris":["http://www.mendeley.com/documents/?uuid=1e647283-e742-428a-a261-8ad80423ba34"]}],"mendeley":{"formattedCitation":"(Begum et al., 2012; Lim et al., 2005)","plainTextFormattedCitation":"(Begum et al., 2012; Lim et al., 2005)","previouslyFormattedCitation":"(Begum et al., 2012; Lim et al., 2005)"},"properties":{"noteIndex":0},"schema":"https://github.com/citation-style-language/schema/raw/master/csl-citation.json"}</w:instrText>
      </w:r>
      <w:r w:rsidR="00473704" w:rsidRPr="00DA2767">
        <w:fldChar w:fldCharType="separate"/>
      </w:r>
      <w:r w:rsidR="00473704" w:rsidRPr="00DA2767">
        <w:rPr>
          <w:noProof/>
        </w:rPr>
        <w:t>(Begum et al., 2012; Lim et al., 2005)</w:t>
      </w:r>
      <w:r w:rsidR="00473704" w:rsidRPr="00DA2767">
        <w:fldChar w:fldCharType="end"/>
      </w:r>
      <w:r w:rsidR="00AF4D50" w:rsidRPr="00473704">
        <w:t>.</w:t>
      </w:r>
      <w:r w:rsidR="00AF4D50" w:rsidRPr="00AF4D50">
        <w:t xml:space="preserve"> In some studies</w:t>
      </w:r>
      <w:r w:rsidR="00AF3FFE">
        <w:t>,</w:t>
      </w:r>
      <w:r w:rsidR="00AF4D50" w:rsidRPr="00AF4D50">
        <w:t xml:space="preserve"> EDTA has been used for the removal of heavy metal</w:t>
      </w:r>
      <w:r w:rsidR="003117C4">
        <w:t>s</w:t>
      </w:r>
      <w:r w:rsidR="00AF4D50" w:rsidRPr="00AF4D50">
        <w:t xml:space="preserve"> from contaminated soils</w:t>
      </w:r>
      <w:r w:rsidR="00AF4D50">
        <w:t xml:space="preserve"> </w:t>
      </w:r>
      <w:r w:rsidR="008750A3">
        <w:fldChar w:fldCharType="begin" w:fldLock="1"/>
      </w:r>
      <w:r w:rsidR="008750A3">
        <w:instrText>ADDIN CSL_CITATION {"citationItems":[{"id":"ITEM-1","itemData":{"DOI":"10.1007/s11368-012-0567-0","ISSN":"16147480","abstract":"Purpose: Soil flushing can represent a suitable technology in remediation of soils, sediments and sludge contaminated by persistent species (e. g. toxic metal). This paper presents a model specifically developed to evaluate the feasibility of chelating agent-enhanced flushing. The model, here applied to the remediation of real Pb-contaminated soils, was conceived also to simulate an innovative pulse-mode soil flushing technique. Materials and methods: The soil flushing application was firstly carried out through columns laboratory experiments. Columns were filled with a real Pb-contaminated soil (3,000 mg kg-1 of dry soil) and flushing was operated in a pulse mode with different chelating agent dosages (3 and 4. 3 mmol kg-1soil). Experimental results were used to calibrate and validate the developed reactive transport model that accounts for transport of ethylenediamine tetraacetic acid (EDTA) and EDTA-Pb chelate complexes, Pb residual concentration on soil and the reduction in permeability by soil dissolution. Determination of hydrodynamic and hydro-dispersive parameters was carried out through a numerical approach incorporating the use of neural network as interpolating function of breakthrough data obtained by a tracer test. Results and discussion: The EDTA dosage strongly influenced the efficiency in Pb extraction and soil permeability. Cumulative extractions of Pb were found to be 20 and 29 % for the EDTA concentrations of 3 and 4. 3 mmol/kg of dry soil, respectively. The soil dissolution caused a significant flow rate decrease, as a consequence of the increase in chelating agent concentration. Therefore the recovery phase duration increased from 738 to 2,080 h. The ability of the model in simulating all the examined phenomena is confirmed by a good fit with experimental results in terms of (a) soil permeability reduction, (b) eluted Pb and (c) residual Pb in the soil. Conclusions: Results highlighted as the model, supported by a preliminary and careful characterization of the soil, can be useful to assess the feasibility of the flushing treatment (avoiding soil clogging) and to address the choice of the operating parameters (flow rate, chelating agent dosage and application method). On the basis of the present research results, a protocol is suggested for in situ soil pulse-flushing application. © 2012 Springer-Verlag.","author":[{"dropping-particle":"","family":"Luciano","given":"Antonella","non-dropping-particle":"","parse-names":false,"suffix":""},{"dropping-particle":"","family":"Viotti","given":"Paolo","non-dropping-particle":"","parse-names":false,"suffix":""},{"dropping-particle":"","family":"Torretta","given":"Vincenzo","non-dropping-particle":"","parse-names":false,"suffix":""},{"dropping-particle":"","family":"Mancini","given":"Giuseppe","non-dropping-particle":"","parse-names":false,"suffix":""}],"container-title":"Journal of Soils and Sediments","id":"ITEM-1","issue":"1","issued":{"date-parts":[["2013"]]},"page":"43-55","title":"Numerical approach to modelling pulse-mode soil flushing on a Pb-contaminated soil","type":"article-journal","volume":"13"},"uris":["http://www.mendeley.com/documents/?uuid=dfca9a86-03c1-4691-ba47-423150903a08"]},{"id":"ITEM-2","itemData":{"author":[{"dropping-particle":"","family":"Luciano","given":"A.","non-dropping-particle":"","parse-names":false,"suffix":""},{"dropping-particle":"","family":"Viotti","given":"P.","non-dropping-particle":"","parse-names":false,"suffix":""},{"dropping-particle":"","family":"Mancini","given":"G.","non-dropping-particle":"","parse-names":false,"suffix":""}],"container-title":"Chemical engineering transactions","id":"ITEM-2","issued":{"date-parts":[["2012"]]},"title":"A numerical model to study pulsing soil flushing: Validation and application to a real contaminated soil","type":"article-journal"},"uris":["http://www.mendeley.com/documents/?uuid=3da6ceb3-1342-3b5c-a9aa-4cc8c5360c2c"]}],"mendeley":{"formattedCitation":"(Luciano et al., 2013, 2012)","plainTextFormattedCitation":"(Luciano et al., 2013, 2012)","previouslyFormattedCitation":"(Luciano et al., 2013, 2012)"},"properties":{"noteIndex":0},"schema":"https://github.com/citation-style-language/schema/raw/master/csl-citation.json"}</w:instrText>
      </w:r>
      <w:r w:rsidR="008750A3">
        <w:fldChar w:fldCharType="separate"/>
      </w:r>
      <w:r w:rsidR="008750A3" w:rsidRPr="008750A3">
        <w:rPr>
          <w:noProof/>
        </w:rPr>
        <w:t>(Luciano et al., 2013, 2012)</w:t>
      </w:r>
      <w:r w:rsidR="008750A3">
        <w:fldChar w:fldCharType="end"/>
      </w:r>
      <w:r w:rsidR="008750A3">
        <w:t>.</w:t>
      </w:r>
      <w:r w:rsidR="00AF4D50" w:rsidRPr="00AF4D50">
        <w:t xml:space="preserve"> </w:t>
      </w:r>
      <w:r w:rsidR="00DE78D3">
        <w:t xml:space="preserve">Depending on the target metal, </w:t>
      </w:r>
      <w:r w:rsidR="00AF4D50" w:rsidRPr="00AF4D50">
        <w:t xml:space="preserve">acid </w:t>
      </w:r>
      <w:r w:rsidR="008750A3">
        <w:fldChar w:fldCharType="begin" w:fldLock="1"/>
      </w:r>
      <w:r w:rsidR="008750A3">
        <w:instrText>ADDIN CSL_CITATION {"citationItems":[{"id":"ITEM-1","itemData":{"DOI":"10.1016/j.jece.2016.05.031","ISSN":"22133437","abstract":"This study demonstrated that soil washing using ethylenediaminedisuccinic acid (EDDS) as a chelating agent was efficient at removing copper and zinc from real polluted soils. Only the exchangeable and reducible fractions of Cu and Zn were extracted by EDDS. Intra-particle diffusion was the main rate controlling step in this extraction of heavy metals from the solid matrix. Different contributions were found by applying the Weber and Morris intraparticle diffusion model resulting from the different roles of superficial and intra-particle diffusive processes.The diffusion coefficients of the Cu/EDDS and Zn/EDDS complexes in real contaminated soils were estimated using simplified diffusive models (based on Crank's and Vermeulen's approximations). The relationship between the grain size and diffusion coefficient was also evaluated. In particular, the intraparticle diffusion coefficients increased with increasing the particle size, thus indicating that the smallest granulometric fractions are characterized by a higher percentage of micropores than the largest fractions.","author":[{"dropping-particle":"","family":"Race","given":"Marco","non-dropping-particle":"","parse-names":false,"suffix":""},{"dropping-particle":"","family":"Marotta","given":"Raffaele","non-dropping-particle":"","parse-names":false,"suffix":""},{"dropping-particle":"","family":"Fabbricino","given":"Massimiliano","non-dropping-particle":"","parse-names":false,"suffix":""},{"dropping-particle":"","family":"Pirozzi","given":"Francesco","non-dropping-particle":"","parse-names":false,"suffix":""},{"dropping-particle":"","family":"Andreozzi","given":"Roberto","non-dropping-particle":"","parse-names":false,"suffix":""},{"dropping-particle":"","family":"Cortese","given":"Luciano","non-dropping-particle":"","parse-names":false,"suffix":""},{"dropping-particle":"","family":"Giudicianni","given":"Paola","non-dropping-particle":"","parse-names":false,"suffix":""}],"container-title":"Journal of Environmental Chemical Engineering","id":"ITEM-1","issue":"3","issued":{"date-parts":[["2016"]]},"page":"2878-2891","publisher":"Elsevier B.V.","title":"Copper and zinc removal from contaminated soils through soil washing process using ethylenediaminedisuccinic acid as a chelating agent: A modeling investigation","type":"article-journal","volume":"4"},"uris":["http://www.mendeley.com/documents/?uuid=68c5996f-6106-4dbb-84eb-b3ef6c4ae2af"]},{"id":"ITEM-2","itemData":{"DOI":"10.3390/agronomy13071754","ISSN":"20734395","abstract":"The bioavailability and mobility of copper (Cu) in soil play a crucial role in its toxicity and impact on soil organisms. Humic substances, with their abundant functional groups and unique pore structure, have demonstrated the ability to effectively mitigate the toxic effects of heavy metals in soil. This study explores the potential of a soluble humic substance (HS) derived from leonardite for Cu removal from contaminated soils. The effects of various washing conditions, such as concentration and washing cycles, on removal efficiency were assessed. The results showed that a single washing with HS solution achieved an optimal removal efficiency of 37.5% for Cu in soil, with a subsequent reuse achieving a removal efficiency of over 30.5%. To further enhance Cu removal efficiency, a two-step soil washing approach using a chemical reductant NH2OH·HCl coupled with an HS solution (NH2OH·HCl + HS) was employed, resulting in an increased removal efficiency to 53.0%. Furthermore, this approach significantly reduced the plant availability and bioaccessibility of Cu by 13.6% and 11.4%, respectively. Compared to a single washing with NH2OH·HCl, both HS and NH2OH·HCl + HS increased the soil pH and organic matter content. These findings suggest that the two-step soil-washing approach using NH2OH·HCl + HS effectively removed Cu from polluted soil. This study demonstrates the potential of humic substances as environmentally friendly materials for remediating heavy metal-polluted soil, promoting green and sustainable applications in soil remediation practices.","author":[{"dropping-particle":"","family":"Wang","given":"Lina","non-dropping-particle":"","parse-names":false,"suffix":""},{"dropping-particle":"","family":"Wei","given":"Jing","non-dropping-particle":"","parse-names":false,"suffix":""},{"dropping-particle":"","family":"Yang","given":"Lu","non-dropping-particle":"","parse-names":false,"suffix":""},{"dropping-particle":"","family":"Chen","given":"Yun","non-dropping-particle":"","parse-names":false,"suffix":""},{"dropping-particle":"","family":"Wang","given":"Mengjie","non-dropping-particle":"","parse-names":false,"suffix":""},{"dropping-particle":"","family":"Xiao","given":"Liang","non-dropping-particle":"","parse-names":false,"suffix":""},{"dropping-particle":"","family":"Yuan","given":"Guodong","non-dropping-particle":"","parse-names":false,"suffix":""}],"container-title":"Agronomy","id":"ITEM-2","issue":"7","issued":{"date-parts":[["2023"]]},"title":"Enhancing Soil Remediation of Copper-Contaminated Soil through Washing with a Soluble Humic Substance and Chemical Reductant","type":"article-journal","volume":"13"},"uris":["http://www.mendeley.com/documents/?uuid=3a35fd15-75d5-463a-87e1-ab28991fbf55"]},{"id":"ITEM-3","itemData":{"DOI":"10.1016/j.scitotenv.2018.04.119","ISSN":"18791026","PMID":"29660731","abstract":"The remediation of heavy metal-contaminated soils is a great challenge for global environmental sciences and engineering. To control the ecological risks of heavy metal-contaminated soil more effectively, the present study focused on the combination of soil washing (with FeCl3) and in situ immobilization (with lime, biochar, and black carbon). The results showed that the removal rate of Cd, Pb, Zn, and Cu was 62.9%, 52.1%, 30.0%, and 16.7%, respectively, when washed with FeCl3. After the combined remediation (immobilization with 1% (w/w) lime), the contaminated soils showed 36.5%, 73.6%, 70.9%, and 53.4% reductions in the bioavailability of Cd, Cu, Pb, and Zn (extracted with 0.11 M acetic acid), respectively, than those of the soils washed with FeCl3 only. However, the immobilization with 1% (w/w) biochar or 1% (w/w) carbon black after washing exhibited low effects on stabilizing the metals. The differences in effects between the immobilization with lime, biochar, and carbon black indicated that the soil pH had a significant influence on the lability of heavy metals during the combined remediation process. The activity of the soil enzymes (urease, sucrase, and catalase) showed that the addition of all the materials, including lime, biochar, and carbon black, exhibited positive effects on microbial remediation after soil washing. Furthermore, lime was the most effective material, indicating that low soil pH and high acid-soluble metal concentrations might restrain the activity of soil enzymes. Soil pH and nutrition were the major considerations for microbial remediation during the combined remediation. These findings suggest that the combination of soil washing and in situ immobilization is an effective method to amend the soils contaminated with multiple heavy metals.","author":[{"dropping-particle":"","family":"Zhai","given":"Xiuqing","non-dropping-particle":"","parse-names":false,"suffix":""},{"dropping-particle":"","family":"Li","given":"Zhongwu","non-dropping-particle":"","parse-names":false,"suffix":""},{"dropping-particle":"","family":"Huang","given":"Bin","non-dropping-particle":"","parse-names":false,"suffix":""},{"dropping-particle":"","family":"Luo","given":"Ninglin","non-dropping-particle":"","parse-names":false,"suffix":""},{"dropping-particle":"","family":"Huang","given":"Mei","non-dropping-particle":"","parse-names":false,"suffix":""},{"dropping-particle":"","family":"Zhang","given":"Qiu","non-dropping-particle":"","parse-names":false,"suffix":""},{"dropping-particle":"","family":"Zeng","given":"Guangming","non-dropping-particle":"","parse-names":false,"suffix":""}],"container-title":"Science of the Total Environment","id":"ITEM-3","issued":{"date-parts":[["2018"]]},"page":"92-99","publisher":"Elsevier B.V.","title":"Remediation of multiple heavy metal-contaminated soil through the combination of soil washing and in situ immobilization","type":"article-journal","volume":"635"},"uris":["http://www.mendeley.com/documents/?uuid=b02da4f6-67ad-44fc-863c-31e6737441df"]}],"mendeley":{"formattedCitation":"(Race et al., 2016; Wang et al., 2023; Zhai et al., 2018)","plainTextFormattedCitation":"(Race et al., 2016; Wang et al., 2023; Zhai et al., 2018)","previouslyFormattedCitation":"(Race et al., 2016; Wang et al., 2023; Zhai et al., 2018)"},"properties":{"noteIndex":0},"schema":"https://github.com/citation-style-language/schema/raw/master/csl-citation.json"}</w:instrText>
      </w:r>
      <w:r w:rsidR="008750A3">
        <w:fldChar w:fldCharType="separate"/>
      </w:r>
      <w:r w:rsidR="008750A3" w:rsidRPr="008750A3">
        <w:rPr>
          <w:noProof/>
        </w:rPr>
        <w:t>(Race et al., 2016; Wang et al., 2023; Zhai et al., 2018)</w:t>
      </w:r>
      <w:r w:rsidR="008750A3">
        <w:fldChar w:fldCharType="end"/>
      </w:r>
      <w:r w:rsidR="008750A3">
        <w:t xml:space="preserve">, </w:t>
      </w:r>
      <w:r w:rsidR="00DE78D3">
        <w:t xml:space="preserve">or </w:t>
      </w:r>
      <w:r w:rsidR="00AF4D50" w:rsidRPr="00AF4D50">
        <w:t xml:space="preserve">alkaline solutions </w:t>
      </w:r>
      <w:r w:rsidR="008750A3">
        <w:fldChar w:fldCharType="begin" w:fldLock="1"/>
      </w:r>
      <w:r w:rsidR="004B1C7C">
        <w:instrText>ADDIN CSL_CITATION {"citationItems":[{"id":"ITEM-1","itemData":{"DOI":"10.1016/j.jhazmat.2021.125849","ISSN":"18733336","PMID":"33894437","abstract":"Spent hydrodesulfurization (HDS) catalysts, containing considerable amount of pollutants and metals including vanadium (V), molybdenum (Mo), aluminum (Al), and nickel (Ni), are considered as hazardous wastes which will result in not only ecosystem damage but also squandering resource. Herein, a process featuring blank roasting-alkaline leaching is proposed to recover spent HDS catalyst. During roasting, low-valence compounds convert to high-valence oxides which can be leached out by NaOH solution. Afterwards, leaching solution is subjected to crystallization to separate metals. The results show that for samples roasted at 650 °C, 97% V, 96% Mo, and 88% Al are leached out at optimal condition; for samples roasted at 1000 °C, selective leaching of 91% V and 96% Mo respectively, are realized, with negligible Al being dissolved. NiO is insoluble in strong alkali leaving in residue. The advantages of this process are that first, the leaching of V, Mo, and Al can be manipulated by controlling roasting conditions, providing flexible process design. Second, leaching solution can be fully recycled. Finally, mild leaching condition and clean separation of V, Mo, and Al is achieved, proving fundamental information for peer researches to facilitate their future research on the development of more efficient and cleaner technologies.","author":[{"dropping-particle":"","family":"Wang","given":"Jianzhang","non-dropping-particle":"","parse-names":false,"suffix":""},{"dropping-particle":"","family":"Wang","given":"Shaona","non-dropping-particle":"","parse-names":false,"suffix":""},{"dropping-particle":"","family":"Olayiwola","given":"Afolabi","non-dropping-particle":"","parse-names":false,"suffix":""},{"dropping-particle":"","family":"Yang","given":"Na","non-dropping-particle":"","parse-names":false,"suffix":""},{"dropping-particle":"","family":"Liu","given":"Biao","non-dropping-particle":"","parse-names":false,"suffix":""},{"dropping-particle":"","family":"Weigand","given":"Jan J.","non-dropping-particle":"","parse-names":false,"suffix":""},{"dropping-particle":"","family":"Wenzel","given":"Marco","non-dropping-particle":"","parse-names":false,"suffix":""},{"dropping-particle":"","family":"Du","given":"Hao","non-dropping-particle":"","parse-names":false,"suffix":""}],"container-title":"Journal of Hazardous Materials","id":"ITEM-1","issue":"April","issued":{"date-parts":[["2021"]]},"page":"125849","publisher":"Elsevier B.V.","title":"Recovering valuable metals from spent hydrodesulfurization catalyst via blank roasting and alkaline leaching","type":"article-journal","volume":"416"},"uris":["http://www.mendeley.com/documents/?uuid=a1342985-01d0-4640-8922-acfeb7b24d06"]}],"mendeley":{"formattedCitation":"(Wang et al., 2021)","plainTextFormattedCitation":"(Wang et al., 2021)","previouslyFormattedCitation":"(Wang et al., 2021)"},"properties":{"noteIndex":0},"schema":"https://github.com/citation-style-language/schema/raw/master/csl-citation.json"}</w:instrText>
      </w:r>
      <w:r w:rsidR="008750A3">
        <w:fldChar w:fldCharType="separate"/>
      </w:r>
      <w:r w:rsidR="008750A3" w:rsidRPr="008750A3">
        <w:rPr>
          <w:noProof/>
        </w:rPr>
        <w:t>(Wang et al., 2021)</w:t>
      </w:r>
      <w:r w:rsidR="008750A3">
        <w:fldChar w:fldCharType="end"/>
      </w:r>
      <w:r w:rsidR="008750A3">
        <w:t xml:space="preserve"> </w:t>
      </w:r>
      <w:r w:rsidR="00DE78D3">
        <w:t>are used</w:t>
      </w:r>
      <w:r w:rsidR="0021794B">
        <w:t>.</w:t>
      </w:r>
      <w:r w:rsidR="00664CEC">
        <w:t xml:space="preserve"> </w:t>
      </w:r>
    </w:p>
    <w:p w14:paraId="24903164" w14:textId="528C7675" w:rsidR="00A319C9" w:rsidRDefault="00664CEC" w:rsidP="00571E1B">
      <w:r w:rsidRPr="00664CEC">
        <w:t xml:space="preserve">In this </w:t>
      </w:r>
      <w:r w:rsidR="00DB14C2">
        <w:t>study</w:t>
      </w:r>
      <w:r w:rsidR="00E621FD">
        <w:t>,</w:t>
      </w:r>
      <w:r w:rsidR="00C03013">
        <w:t xml:space="preserve"> a</w:t>
      </w:r>
      <w:r w:rsidR="00DD6FBB" w:rsidRPr="00C03013">
        <w:t xml:space="preserve"> </w:t>
      </w:r>
      <w:r w:rsidR="0021794B" w:rsidRPr="00C03013">
        <w:t>sustainable treatment of IBA</w:t>
      </w:r>
      <w:r w:rsidR="005B7B22" w:rsidRPr="00C03013">
        <w:t>, classified as hazardous waste,</w:t>
      </w:r>
      <w:r w:rsidR="0021794B" w:rsidRPr="00C03013">
        <w:t xml:space="preserve"> has been developed and tested </w:t>
      </w:r>
      <w:r w:rsidR="004A052C" w:rsidRPr="00C03013">
        <w:t>(</w:t>
      </w:r>
      <w:r w:rsidR="0082245E">
        <w:t>as (</w:t>
      </w:r>
      <w:r w:rsidR="004A052C" w:rsidRPr="00C03013">
        <w:t xml:space="preserve">a) </w:t>
      </w:r>
      <w:r w:rsidR="001C0D86">
        <w:t>a direct</w:t>
      </w:r>
      <w:r w:rsidR="005A01AF" w:rsidRPr="00C03013">
        <w:t xml:space="preserve"> treat</w:t>
      </w:r>
      <w:r w:rsidR="001C0D86">
        <w:t>ment to render</w:t>
      </w:r>
      <w:r w:rsidR="0021794B" w:rsidRPr="00C03013">
        <w:t xml:space="preserve"> </w:t>
      </w:r>
      <w:r w:rsidR="005A01AF" w:rsidRPr="00C03013">
        <w:t>IBA</w:t>
      </w:r>
      <w:r w:rsidR="0021794B" w:rsidRPr="00C03013">
        <w:t xml:space="preserve"> compatible with the limits of admissibility in landfills for non-hazardous waste, or </w:t>
      </w:r>
      <w:r w:rsidR="00D71470" w:rsidRPr="00C03013">
        <w:t xml:space="preserve">at least </w:t>
      </w:r>
      <w:r w:rsidR="00B55F0D" w:rsidRPr="00C03013">
        <w:t xml:space="preserve">(b) a </w:t>
      </w:r>
      <w:r w:rsidR="0021794B" w:rsidRPr="00C03013">
        <w:t xml:space="preserve">pre-treatment </w:t>
      </w:r>
      <w:r w:rsidR="00C91374">
        <w:t xml:space="preserve">step </w:t>
      </w:r>
      <w:r w:rsidR="0021794B" w:rsidRPr="00C03013">
        <w:t xml:space="preserve">before </w:t>
      </w:r>
      <w:r w:rsidR="004A052C" w:rsidRPr="00C03013">
        <w:t>a</w:t>
      </w:r>
      <w:r w:rsidR="0021794B" w:rsidRPr="00C03013">
        <w:t xml:space="preserve"> stabilization process. </w:t>
      </w:r>
      <w:r w:rsidR="006918F7" w:rsidRPr="00C03013">
        <w:t xml:space="preserve">The </w:t>
      </w:r>
      <w:r w:rsidR="0014202D" w:rsidRPr="00C03013">
        <w:t xml:space="preserve">key </w:t>
      </w:r>
      <w:r w:rsidR="00EE19F5" w:rsidRPr="00C03013">
        <w:t>aspect</w:t>
      </w:r>
      <w:r w:rsidR="0021794B" w:rsidRPr="00C03013">
        <w:t xml:space="preserve"> </w:t>
      </w:r>
      <w:r w:rsidR="00DD6FBB" w:rsidRPr="00C03013">
        <w:t xml:space="preserve">and the novelty </w:t>
      </w:r>
      <w:r w:rsidR="0021794B" w:rsidRPr="00C03013">
        <w:t>of the proposed process</w:t>
      </w:r>
      <w:r w:rsidR="006918F7" w:rsidRPr="00C03013">
        <w:t xml:space="preserve"> is the</w:t>
      </w:r>
      <w:r w:rsidR="00404DEF" w:rsidRPr="00C03013">
        <w:t xml:space="preserve"> use of </w:t>
      </w:r>
      <w:r w:rsidR="00D271AE">
        <w:t>a</w:t>
      </w:r>
      <w:r w:rsidR="00404DEF" w:rsidRPr="00C03013">
        <w:t xml:space="preserve"> waste</w:t>
      </w:r>
      <w:r w:rsidR="00D271AE">
        <w:t>-derived liquid</w:t>
      </w:r>
      <w:r w:rsidR="00596B1F">
        <w:t xml:space="preserve"> (</w:t>
      </w:r>
      <w:r w:rsidR="00404DEF" w:rsidRPr="00C03013">
        <w:t>landfill leachate</w:t>
      </w:r>
      <w:r w:rsidR="00596B1F">
        <w:t>)</w:t>
      </w:r>
      <w:r w:rsidR="00404DEF" w:rsidRPr="00C03013">
        <w:t xml:space="preserve"> </w:t>
      </w:r>
      <w:r w:rsidR="005B7B22" w:rsidRPr="00C03013">
        <w:t xml:space="preserve">as </w:t>
      </w:r>
      <w:r w:rsidR="004A052C" w:rsidRPr="00C03013">
        <w:t xml:space="preserve">a </w:t>
      </w:r>
      <w:r w:rsidR="005B7B22" w:rsidRPr="00C03013">
        <w:t xml:space="preserve">diluent </w:t>
      </w:r>
      <w:r w:rsidR="00DD6FBB" w:rsidRPr="00C03013">
        <w:t xml:space="preserve">and washing </w:t>
      </w:r>
      <w:r w:rsidR="005B7B22" w:rsidRPr="00C03013">
        <w:t>solution</w:t>
      </w:r>
      <w:r w:rsidR="003144F7" w:rsidRPr="00C03013">
        <w:t>.</w:t>
      </w:r>
      <w:r w:rsidR="00A319C9">
        <w:t xml:space="preserve"> </w:t>
      </w:r>
      <w:r w:rsidR="003144F7" w:rsidRPr="00C03013">
        <w:t xml:space="preserve">This leads to greater efficiency and circularity in the use of resources and the possibility </w:t>
      </w:r>
      <w:r w:rsidR="00CD392B">
        <w:t>of implementing</w:t>
      </w:r>
      <w:r w:rsidR="003144F7" w:rsidRPr="00C03013">
        <w:t xml:space="preserve"> industrial symbiosis exchanges among companies.</w:t>
      </w:r>
    </w:p>
    <w:p w14:paraId="5741900F" w14:textId="0D5D6FDB" w:rsidR="00453E24" w:rsidRPr="00C03013" w:rsidRDefault="00837E9E" w:rsidP="00C03013">
      <w:pPr>
        <w:pStyle w:val="CETHeading1"/>
      </w:pPr>
      <w:r w:rsidRPr="00C03013">
        <w:t xml:space="preserve">Materials and methods </w:t>
      </w:r>
    </w:p>
    <w:p w14:paraId="04661CAA" w14:textId="220E23D5" w:rsidR="00B63FD2" w:rsidRDefault="001D1828" w:rsidP="00A96FD2">
      <w:pPr>
        <w:pStyle w:val="CETBodytext"/>
        <w:rPr>
          <w:rFonts w:cs="Arial"/>
          <w:color w:val="1F1F1F"/>
        </w:rPr>
      </w:pPr>
      <w:bookmarkStart w:id="6" w:name="_Hlk184925054"/>
      <w:r>
        <w:t xml:space="preserve">The incineration bottom ash (IBA) used in this study was obtained from an industrial waste incineration plant. The samples appeared </w:t>
      </w:r>
      <w:r w:rsidR="007A045D">
        <w:t>grey</w:t>
      </w:r>
      <w:r>
        <w:t xml:space="preserve"> to dark </w:t>
      </w:r>
      <w:r w:rsidR="007A045D">
        <w:t>grey</w:t>
      </w:r>
      <w:r>
        <w:t xml:space="preserve"> in color and exhibited high heterogeneity, reflecting the </w:t>
      </w:r>
      <w:r w:rsidR="007A045D">
        <w:t>complexity</w:t>
      </w:r>
      <w:r>
        <w:t xml:space="preserve"> of the incinerated feedstock.</w:t>
      </w:r>
      <w:r w:rsidR="00D45A45">
        <w:t xml:space="preserve"> </w:t>
      </w:r>
      <w:r w:rsidR="00B63FD2">
        <w:t xml:space="preserve">Table </w:t>
      </w:r>
      <w:r w:rsidR="001C694E">
        <w:t>1</w:t>
      </w:r>
      <w:r w:rsidR="000A1B9C" w:rsidRPr="00B63FD2">
        <w:t xml:space="preserve"> </w:t>
      </w:r>
      <w:r w:rsidR="00860AB8">
        <w:t>presents the elemental composition of the analyzed IBA and compares it with values reported for IBA from automotive shredder residue</w:t>
      </w:r>
      <w:r w:rsidR="00860AB8">
        <w:t xml:space="preserve"> </w:t>
      </w:r>
      <w:r w:rsidR="008E1F68" w:rsidRPr="00DA2767">
        <w:t>(ASR)</w:t>
      </w:r>
      <w:r w:rsidR="00D45A45">
        <w:rPr>
          <w:rFonts w:ascii="Georgia" w:hAnsi="Georgia"/>
          <w:color w:val="1F1F1F"/>
        </w:rPr>
        <w:t xml:space="preserve"> </w:t>
      </w:r>
      <w:r w:rsidR="004C3760" w:rsidRPr="00DA2767">
        <w:rPr>
          <w:rFonts w:cs="Arial"/>
          <w:color w:val="1F1F1F"/>
        </w:rPr>
        <w:fldChar w:fldCharType="begin" w:fldLock="1"/>
      </w:r>
      <w:r w:rsidR="004C3760" w:rsidRPr="00DA2767">
        <w:rPr>
          <w:rFonts w:cs="Arial"/>
          <w:color w:val="1F1F1F"/>
        </w:rPr>
        <w:instrText>ADDIN CSL_CITATION {"citationItems":[{"id":"ITEM-1","itemData":{"DOI":"10.1016/j.wasman.2013.11.002","ISSN":"0956053X","PMID":"24290536","abstract":"In order to obtain 85% recycling, several procedures on Automotive Shredder Residue (ASR) could be implemented, such as advanced metal and polymer recovery, mechanical recycling, pyrolysis, the direct use of ASR in the cement industry, and/or the direct use of ASR as a secondary raw material. However, many of these recovery options appear to be limited, due to the possible low acceptability of ASR based products on the market. The recovery of bottom ash and slag after an ASR thermal treatment is an option that is not usually considered in most countries (e.g. Italy) due to the excessive amount of contaminants, especially metals. The purpose of this paper is to provide information on the characteristics of ASR and its full-scale incineration residues. Experiments have been carried out, in two different experimental campaigns, in a full-scale tyre incineration plant specifically modified to treat ASR waste.Detailed analysis of ASR samples and combustion residues were carried out and compared with literature data. On the basis of the analytical results, the slag and bottom ash from the combustion process have been classified as non-hazardous wastes, according to the EU waste acceptance criteria (WAC), and therefore after further tests could be used in future in the construction industry. It has also been concluded that ASR bottom ash (EWC - European Waste Catalogue - code 19 01 12) could be landfilled in SNRHW (stabilized non-reactive hazardous waste) cells or used as raw material for road construction, with or without further treatment for the removal of heavy metals. In the case of fly ash from boiler or Air Pollution Control (APC) residues, it has been found that the Cd, Pb and Zn concentrations exceeded regulatory leaching test limits therefore their removal, or a stabilization process, would be essential prior to landfilling the use of these residues as construction material. © 2013 Elsevier Ltd.","author":[{"dropping-particle":"","family":"Mancini","given":"G.","non-dropping-particle":"","parse-names":false,"suffix":""},{"dropping-particle":"","family":"Viotti","given":"P.","non-dropping-particle":"","parse-names":false,"suffix":""},{"dropping-particle":"","family":"Luciano","given":"A.","non-dropping-particle":"","parse-names":false,"suffix":""},{"dropping-particle":"","family":"Fino","given":"D.","non-dropping-particle":"","parse-names":false,"suffix":""}],"container-title":"Waste Management","id":"ITEM-1","issue":"2","issued":{"date-parts":[["2014"]]},"page":"448-457","publisher":"Elsevier Ltd","title":"On the ASR and ASR thermal residues characterization of full scale treatment plant","type":"article-journal","volume":"34"},"uris":["http://www.mendeley.com/documents/?uuid=7aa20671-0ead-46a0-87a8-923a78f0cb10"]}],"mendeley":{"formattedCitation":"(Mancini et al., 2014)","plainTextFormattedCitation":"(Mancini et al., 2014)","previouslyFormattedCitation":"(Mancini et al., 2014)"},"properties":{"noteIndex":0},"schema":"https://github.com/citation-style-language/schema/raw/master/csl-citation.json"}</w:instrText>
      </w:r>
      <w:r w:rsidR="004C3760" w:rsidRPr="00DA2767">
        <w:rPr>
          <w:rFonts w:cs="Arial"/>
          <w:color w:val="1F1F1F"/>
        </w:rPr>
        <w:fldChar w:fldCharType="separate"/>
      </w:r>
      <w:r w:rsidR="004C3760" w:rsidRPr="00DA2767">
        <w:rPr>
          <w:rFonts w:cs="Arial"/>
          <w:color w:val="1F1F1F"/>
        </w:rPr>
        <w:t>(Mancini et al., 2014)</w:t>
      </w:r>
      <w:r w:rsidR="004C3760" w:rsidRPr="00DA2767">
        <w:rPr>
          <w:rFonts w:cs="Arial"/>
          <w:color w:val="1F1F1F"/>
        </w:rPr>
        <w:fldChar w:fldCharType="end"/>
      </w:r>
      <w:r w:rsidR="004C3760" w:rsidRPr="004C3760">
        <w:rPr>
          <w:rFonts w:cs="Arial"/>
          <w:color w:val="1F1F1F"/>
        </w:rPr>
        <w:t xml:space="preserve"> </w:t>
      </w:r>
      <w:r w:rsidR="008E1F68">
        <w:rPr>
          <w:rFonts w:cs="Arial"/>
          <w:color w:val="1F1F1F"/>
        </w:rPr>
        <w:t>and</w:t>
      </w:r>
      <w:r w:rsidR="003659DE">
        <w:rPr>
          <w:rFonts w:cs="Arial"/>
          <w:color w:val="1F1F1F"/>
        </w:rPr>
        <w:t xml:space="preserve"> </w:t>
      </w:r>
      <w:r w:rsidR="00240C73">
        <w:t>municipal solid waste incinerators</w:t>
      </w:r>
      <w:r w:rsidR="001D0D9F">
        <w:rPr>
          <w:rFonts w:cs="Arial"/>
          <w:color w:val="1F1F1F"/>
        </w:rPr>
        <w:t xml:space="preserve"> </w:t>
      </w:r>
      <w:r w:rsidR="004C3760">
        <w:rPr>
          <w:rFonts w:cs="Arial"/>
          <w:color w:val="1F1F1F"/>
        </w:rPr>
        <w:fldChar w:fldCharType="begin" w:fldLock="1"/>
      </w:r>
      <w:r w:rsidR="00E10330">
        <w:rPr>
          <w:rFonts w:cs="Arial"/>
          <w:color w:val="1F1F1F"/>
        </w:rPr>
        <w:instrText>ADDIN CSL_CITATION {"citationItems":[{"id":"ITEM-1","itemData":{"DOI":"10.1016/J.JHAZMAT.2020.122433","ISSN":"0304-3894","PMID":"32143166","abstract":"Municipal solid waste incineration (MSWI) is one of the leading technologies for municipal solid waste (MSW) treatment in Europe. Incineration bottom ash (IBA) is the main solid residue from MSWI, and its annual European production is about 20 million tons. The composition of IBA depends on the composition of the incinerated waste; therefore, it may contain significant amounts of ferrous and non-ferrous (NFe) metals as well as glass that can be recovered. Technologies for NFe metals recovery have emerged in IBA treatment since the 1990s and became common practice in many developed countries. Although the principles and used apparatus are nearly the same in all treatment trains, the differences in technological approaches to recovery of valuable components from IBA – with a special focus on NFe metals recovery – are summarized in this paper.","author":[{"dropping-particle":"","family":"Šyc","given":"Michal","non-dropping-particle":"","parse-names":false,"suffix":""},{"dropping-particle":"","family":"Simon","given":"Franz Georg","non-dropping-particle":"","parse-names":false,"suffix":""},{"dropping-particle":"","family":"Hykš","given":"Jiri","non-dropping-particle":"","parse-names":false,"suffix":""},{"dropping-particle":"","family":"Braga","given":"Roberto","non-dropping-particle":"","parse-names":false,"suffix":""},{"dropping-particle":"","family":"Biganzoli","given":"Laura","non-dropping-particle":"","parse-names":false,"suffix":""},{"dropping-particle":"","family":"Costa","given":"Giulia","non-dropping-particle":"","parse-names":false,"suffix":""},{"dropping-particle":"","family":"Funari","given":"Valerio","non-dropping-particle":"","parse-names":false,"suffix":""},{"dropping-particle":"","family":"Grosso","given":"Mario","non-dropping-particle":"","parse-names":false,"suffix":""}],"container-title":"Journal of Hazardous Materials","id":"ITEM-1","issued":{"date-parts":[["2020","7","5"]]},"page":"122433","publisher":"Elsevier","title":"Metal recovery from incineration bottom ash: State-of-the-art and recent developments","type":"article-journal","volume":"393"},"uris":["http://www.mendeley.com/documents/?uuid=a975ffed-31c2-3148-a08c-e4e2db1bbb23"]}],"mendeley":{"formattedCitation":"(Šyc et al., 2020)","plainTextFormattedCitation":"(Šyc et al., 2020)","previouslyFormattedCitation":"(Šyc et al., 2020)"},"properties":{"noteIndex":0},"schema":"https://github.com/citation-style-language/schema/raw/master/csl-citation.json"}</w:instrText>
      </w:r>
      <w:r w:rsidR="004C3760">
        <w:rPr>
          <w:rFonts w:cs="Arial"/>
          <w:color w:val="1F1F1F"/>
        </w:rPr>
        <w:fldChar w:fldCharType="separate"/>
      </w:r>
      <w:r w:rsidR="004C3760" w:rsidRPr="004C3760">
        <w:rPr>
          <w:rFonts w:cs="Arial"/>
          <w:noProof/>
          <w:color w:val="1F1F1F"/>
        </w:rPr>
        <w:t>(Šyc et al., 2020)</w:t>
      </w:r>
      <w:r w:rsidR="004C3760">
        <w:rPr>
          <w:rFonts w:cs="Arial"/>
          <w:color w:val="1F1F1F"/>
        </w:rPr>
        <w:fldChar w:fldCharType="end"/>
      </w:r>
      <w:r w:rsidR="004C3760">
        <w:rPr>
          <w:rFonts w:cs="Arial"/>
          <w:color w:val="1F1F1F"/>
        </w:rPr>
        <w:t>.</w:t>
      </w:r>
      <w:r w:rsidR="008E1F68">
        <w:rPr>
          <w:rFonts w:cs="Arial"/>
          <w:color w:val="1F1F1F"/>
        </w:rPr>
        <w:t xml:space="preserve"> </w:t>
      </w:r>
    </w:p>
    <w:p w14:paraId="3286428E" w14:textId="24F85283" w:rsidR="00D26798" w:rsidRDefault="00240C73" w:rsidP="00D26798">
      <w:pPr>
        <w:pStyle w:val="CETBodytext"/>
      </w:pPr>
      <w:r>
        <w:t>Due to limited literature on IBA from special industrial wastes, most comparative data are derived from municipal solid waste studies.</w:t>
      </w:r>
      <w:r w:rsidR="00D26798" w:rsidRPr="00C07722">
        <w:t xml:space="preserve"> </w:t>
      </w:r>
      <w:r w:rsidR="00315536">
        <w:t>Nevertheless, metals</w:t>
      </w:r>
      <w:r w:rsidR="006843D7">
        <w:t xml:space="preserve"> </w:t>
      </w:r>
      <w:r w:rsidR="00315536">
        <w:t>such as Zn, Cr, and Cd</w:t>
      </w:r>
      <w:r w:rsidR="006843D7">
        <w:t xml:space="preserve"> </w:t>
      </w:r>
      <w:r w:rsidR="00315536">
        <w:t>were found at similar concentrations to those in</w:t>
      </w:r>
      <w:r w:rsidR="00315536">
        <w:t xml:space="preserve"> </w:t>
      </w:r>
      <w:r w:rsidR="006843D7">
        <w:t>ASR, a</w:t>
      </w:r>
      <w:r w:rsidR="00D26798" w:rsidRPr="00C07722">
        <w:t xml:space="preserve">s </w:t>
      </w:r>
      <w:r w:rsidR="00D26798">
        <w:t>shown in Table 1</w:t>
      </w:r>
      <w:r w:rsidR="00D26798" w:rsidRPr="00C07722">
        <w:t xml:space="preserve">. </w:t>
      </w:r>
      <w:r w:rsidR="00C6137F">
        <w:t>In contrast, the tested IBA exhibited lower Pb but higher Se content compared to typical municipal waste-derived ash.</w:t>
      </w:r>
    </w:p>
    <w:p w14:paraId="3E40A120" w14:textId="77777777" w:rsidR="00CE1112" w:rsidRDefault="00CE1112" w:rsidP="00CE1112">
      <w:pPr>
        <w:pStyle w:val="CETTabletitle"/>
      </w:pPr>
      <w:r w:rsidRPr="00B57B36">
        <w:t xml:space="preserve">Table </w:t>
      </w:r>
      <w:r>
        <w:t>1</w:t>
      </w:r>
      <w:r w:rsidRPr="00B57B36">
        <w:t>:</w:t>
      </w:r>
      <w:r w:rsidRPr="001B65EC">
        <w:t xml:space="preserve"> </w:t>
      </w:r>
      <w:r>
        <w:t>Elemental composition of IBAs [ppm].</w:t>
      </w:r>
    </w:p>
    <w:tbl>
      <w:tblPr>
        <w:tblW w:w="8873"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672"/>
        <w:gridCol w:w="596"/>
        <w:gridCol w:w="567"/>
        <w:gridCol w:w="426"/>
        <w:gridCol w:w="704"/>
        <w:gridCol w:w="618"/>
        <w:gridCol w:w="520"/>
        <w:gridCol w:w="709"/>
        <w:gridCol w:w="619"/>
        <w:gridCol w:w="618"/>
        <w:gridCol w:w="619"/>
        <w:gridCol w:w="554"/>
        <w:gridCol w:w="651"/>
      </w:tblGrid>
      <w:tr w:rsidR="00CE1112" w:rsidRPr="00B57B36" w14:paraId="42331FBD" w14:textId="77777777" w:rsidTr="00DC23F5">
        <w:tc>
          <w:tcPr>
            <w:tcW w:w="1672" w:type="dxa"/>
            <w:tcBorders>
              <w:top w:val="single" w:sz="12" w:space="0" w:color="008000"/>
              <w:bottom w:val="single" w:sz="6" w:space="0" w:color="008000"/>
            </w:tcBorders>
            <w:shd w:val="clear" w:color="auto" w:fill="FFFFFF"/>
          </w:tcPr>
          <w:p w14:paraId="50722CBB" w14:textId="77777777" w:rsidR="00CE1112" w:rsidRPr="00B57B36" w:rsidRDefault="00CE1112" w:rsidP="00D87B60">
            <w:pPr>
              <w:pStyle w:val="CETBodytext"/>
              <w:rPr>
                <w:lang w:val="en-GB"/>
              </w:rPr>
            </w:pPr>
          </w:p>
        </w:tc>
        <w:tc>
          <w:tcPr>
            <w:tcW w:w="596" w:type="dxa"/>
            <w:tcBorders>
              <w:top w:val="single" w:sz="12" w:space="0" w:color="008000"/>
              <w:bottom w:val="single" w:sz="6" w:space="0" w:color="008000"/>
            </w:tcBorders>
            <w:shd w:val="clear" w:color="auto" w:fill="FFFFFF"/>
          </w:tcPr>
          <w:p w14:paraId="472ADCD2" w14:textId="77777777" w:rsidR="00CE1112" w:rsidRPr="00B57B36" w:rsidRDefault="00CE1112" w:rsidP="00D87B60">
            <w:pPr>
              <w:pStyle w:val="CETBodytext"/>
              <w:jc w:val="left"/>
              <w:rPr>
                <w:lang w:val="en-GB"/>
              </w:rPr>
            </w:pPr>
            <w:r>
              <w:rPr>
                <w:lang w:val="en-GB"/>
              </w:rPr>
              <w:t>As</w:t>
            </w:r>
          </w:p>
        </w:tc>
        <w:tc>
          <w:tcPr>
            <w:tcW w:w="567" w:type="dxa"/>
            <w:tcBorders>
              <w:top w:val="single" w:sz="12" w:space="0" w:color="008000"/>
              <w:bottom w:val="single" w:sz="6" w:space="0" w:color="008000"/>
            </w:tcBorders>
            <w:shd w:val="clear" w:color="auto" w:fill="FFFFFF"/>
          </w:tcPr>
          <w:p w14:paraId="52664ACA" w14:textId="77777777" w:rsidR="00CE1112" w:rsidRPr="00B57B36" w:rsidRDefault="00CE1112" w:rsidP="00D87B60">
            <w:pPr>
              <w:pStyle w:val="CETBodytext"/>
              <w:jc w:val="left"/>
              <w:rPr>
                <w:lang w:val="en-GB"/>
              </w:rPr>
            </w:pPr>
            <w:r>
              <w:rPr>
                <w:lang w:val="en-GB"/>
              </w:rPr>
              <w:t>Ba</w:t>
            </w:r>
          </w:p>
        </w:tc>
        <w:tc>
          <w:tcPr>
            <w:tcW w:w="426" w:type="dxa"/>
            <w:tcBorders>
              <w:top w:val="single" w:sz="12" w:space="0" w:color="008000"/>
              <w:bottom w:val="single" w:sz="6" w:space="0" w:color="008000"/>
            </w:tcBorders>
            <w:shd w:val="clear" w:color="auto" w:fill="FFFFFF"/>
          </w:tcPr>
          <w:p w14:paraId="395013CE" w14:textId="77777777" w:rsidR="00CE1112" w:rsidRPr="00B57B36" w:rsidRDefault="00CE1112" w:rsidP="00D87B60">
            <w:pPr>
              <w:pStyle w:val="CETBodytext"/>
              <w:ind w:right="-1"/>
              <w:jc w:val="left"/>
              <w:rPr>
                <w:rFonts w:cs="Arial"/>
                <w:szCs w:val="18"/>
                <w:lang w:val="en-GB"/>
              </w:rPr>
            </w:pPr>
            <w:r>
              <w:rPr>
                <w:lang w:val="en-GB"/>
              </w:rPr>
              <w:t>Cd</w:t>
            </w:r>
          </w:p>
        </w:tc>
        <w:tc>
          <w:tcPr>
            <w:tcW w:w="704" w:type="dxa"/>
            <w:tcBorders>
              <w:top w:val="single" w:sz="12" w:space="0" w:color="008000"/>
              <w:bottom w:val="single" w:sz="6" w:space="0" w:color="008000"/>
            </w:tcBorders>
            <w:shd w:val="clear" w:color="auto" w:fill="FFFFFF"/>
          </w:tcPr>
          <w:p w14:paraId="5014994E" w14:textId="77777777" w:rsidR="00CE1112" w:rsidRPr="00B57B36" w:rsidRDefault="00CE1112" w:rsidP="00D87B60">
            <w:pPr>
              <w:pStyle w:val="CETBodytext"/>
              <w:ind w:right="-1"/>
              <w:jc w:val="left"/>
              <w:rPr>
                <w:rFonts w:cs="Arial"/>
                <w:szCs w:val="18"/>
                <w:lang w:val="en-GB"/>
              </w:rPr>
            </w:pPr>
            <w:r>
              <w:rPr>
                <w:lang w:val="en-GB"/>
              </w:rPr>
              <w:t>Cr</w:t>
            </w:r>
          </w:p>
        </w:tc>
        <w:tc>
          <w:tcPr>
            <w:tcW w:w="618" w:type="dxa"/>
            <w:tcBorders>
              <w:top w:val="single" w:sz="12" w:space="0" w:color="008000"/>
              <w:bottom w:val="single" w:sz="6" w:space="0" w:color="008000"/>
            </w:tcBorders>
            <w:shd w:val="clear" w:color="auto" w:fill="FFFFFF"/>
          </w:tcPr>
          <w:p w14:paraId="414A2C83" w14:textId="77777777" w:rsidR="00CE1112" w:rsidRDefault="00CE1112" w:rsidP="00D87B60">
            <w:pPr>
              <w:pStyle w:val="CETBodytext"/>
              <w:ind w:right="-1"/>
              <w:jc w:val="left"/>
              <w:rPr>
                <w:rFonts w:cs="Arial"/>
                <w:szCs w:val="18"/>
                <w:lang w:val="en-GB"/>
              </w:rPr>
            </w:pPr>
            <w:r>
              <w:rPr>
                <w:lang w:val="en-GB"/>
              </w:rPr>
              <w:t>Cu</w:t>
            </w:r>
          </w:p>
        </w:tc>
        <w:tc>
          <w:tcPr>
            <w:tcW w:w="520" w:type="dxa"/>
            <w:tcBorders>
              <w:top w:val="single" w:sz="12" w:space="0" w:color="008000"/>
              <w:bottom w:val="single" w:sz="6" w:space="0" w:color="008000"/>
            </w:tcBorders>
            <w:shd w:val="clear" w:color="auto" w:fill="FFFFFF"/>
          </w:tcPr>
          <w:p w14:paraId="559A7C00" w14:textId="77777777" w:rsidR="00CE1112" w:rsidRDefault="00CE1112" w:rsidP="00D87B60">
            <w:pPr>
              <w:pStyle w:val="CETBodytext"/>
              <w:ind w:right="-1"/>
              <w:jc w:val="left"/>
              <w:rPr>
                <w:rFonts w:cs="Arial"/>
                <w:szCs w:val="18"/>
                <w:lang w:val="en-GB"/>
              </w:rPr>
            </w:pPr>
            <w:r>
              <w:rPr>
                <w:lang w:val="en-GB"/>
              </w:rPr>
              <w:t>Hg</w:t>
            </w:r>
          </w:p>
        </w:tc>
        <w:tc>
          <w:tcPr>
            <w:tcW w:w="709" w:type="dxa"/>
            <w:tcBorders>
              <w:top w:val="single" w:sz="12" w:space="0" w:color="008000"/>
              <w:bottom w:val="single" w:sz="6" w:space="0" w:color="008000"/>
            </w:tcBorders>
            <w:shd w:val="clear" w:color="auto" w:fill="FFFFFF"/>
          </w:tcPr>
          <w:p w14:paraId="2293E0BF" w14:textId="77777777" w:rsidR="00CE1112" w:rsidRDefault="00CE1112" w:rsidP="00D87B60">
            <w:pPr>
              <w:pStyle w:val="CETBodytext"/>
              <w:ind w:right="-1"/>
              <w:jc w:val="left"/>
              <w:rPr>
                <w:rFonts w:cs="Arial"/>
                <w:szCs w:val="18"/>
                <w:lang w:val="en-GB"/>
              </w:rPr>
            </w:pPr>
            <w:r>
              <w:rPr>
                <w:lang w:val="en-GB"/>
              </w:rPr>
              <w:t>Mo</w:t>
            </w:r>
          </w:p>
        </w:tc>
        <w:tc>
          <w:tcPr>
            <w:tcW w:w="619" w:type="dxa"/>
            <w:tcBorders>
              <w:top w:val="single" w:sz="12" w:space="0" w:color="008000"/>
              <w:bottom w:val="single" w:sz="6" w:space="0" w:color="008000"/>
            </w:tcBorders>
            <w:shd w:val="clear" w:color="auto" w:fill="FFFFFF"/>
          </w:tcPr>
          <w:p w14:paraId="1E21C393" w14:textId="77777777" w:rsidR="00CE1112" w:rsidRDefault="00CE1112" w:rsidP="00D87B60">
            <w:pPr>
              <w:pStyle w:val="CETBodytext"/>
              <w:ind w:right="-1"/>
              <w:jc w:val="left"/>
              <w:rPr>
                <w:rFonts w:cs="Arial"/>
                <w:szCs w:val="18"/>
                <w:lang w:val="en-GB"/>
              </w:rPr>
            </w:pPr>
            <w:r>
              <w:rPr>
                <w:lang w:val="en-GB"/>
              </w:rPr>
              <w:t>Ni</w:t>
            </w:r>
          </w:p>
        </w:tc>
        <w:tc>
          <w:tcPr>
            <w:tcW w:w="618" w:type="dxa"/>
            <w:tcBorders>
              <w:top w:val="single" w:sz="12" w:space="0" w:color="008000"/>
              <w:bottom w:val="single" w:sz="6" w:space="0" w:color="008000"/>
            </w:tcBorders>
            <w:shd w:val="clear" w:color="auto" w:fill="FFFFFF"/>
          </w:tcPr>
          <w:p w14:paraId="10589D1F" w14:textId="77777777" w:rsidR="00CE1112" w:rsidRDefault="00CE1112" w:rsidP="00D87B60">
            <w:pPr>
              <w:pStyle w:val="CETBodytext"/>
              <w:ind w:right="-1"/>
              <w:jc w:val="left"/>
              <w:rPr>
                <w:rFonts w:cs="Arial"/>
                <w:szCs w:val="18"/>
                <w:lang w:val="en-GB"/>
              </w:rPr>
            </w:pPr>
            <w:r>
              <w:rPr>
                <w:lang w:val="en-GB"/>
              </w:rPr>
              <w:t>Pb</w:t>
            </w:r>
          </w:p>
        </w:tc>
        <w:tc>
          <w:tcPr>
            <w:tcW w:w="619" w:type="dxa"/>
            <w:tcBorders>
              <w:top w:val="single" w:sz="12" w:space="0" w:color="008000"/>
              <w:bottom w:val="single" w:sz="6" w:space="0" w:color="008000"/>
            </w:tcBorders>
            <w:shd w:val="clear" w:color="auto" w:fill="FFFFFF"/>
          </w:tcPr>
          <w:p w14:paraId="32906303" w14:textId="77777777" w:rsidR="00CE1112" w:rsidRDefault="00CE1112" w:rsidP="00D87B60">
            <w:pPr>
              <w:pStyle w:val="CETBodytext"/>
              <w:ind w:right="-1"/>
              <w:jc w:val="left"/>
              <w:rPr>
                <w:rFonts w:cs="Arial"/>
                <w:szCs w:val="18"/>
                <w:lang w:val="en-GB"/>
              </w:rPr>
            </w:pPr>
            <w:r>
              <w:rPr>
                <w:lang w:val="en-GB"/>
              </w:rPr>
              <w:t>Sb</w:t>
            </w:r>
          </w:p>
        </w:tc>
        <w:tc>
          <w:tcPr>
            <w:tcW w:w="554" w:type="dxa"/>
            <w:tcBorders>
              <w:top w:val="single" w:sz="12" w:space="0" w:color="008000"/>
              <w:bottom w:val="single" w:sz="6" w:space="0" w:color="008000"/>
            </w:tcBorders>
            <w:shd w:val="clear" w:color="auto" w:fill="FFFFFF"/>
          </w:tcPr>
          <w:p w14:paraId="68333F22" w14:textId="77777777" w:rsidR="00CE1112" w:rsidRDefault="00CE1112" w:rsidP="00D87B60">
            <w:pPr>
              <w:pStyle w:val="CETBodytext"/>
              <w:ind w:right="-1"/>
              <w:jc w:val="left"/>
              <w:rPr>
                <w:rFonts w:cs="Arial"/>
                <w:szCs w:val="18"/>
                <w:lang w:val="en-GB"/>
              </w:rPr>
            </w:pPr>
            <w:r>
              <w:rPr>
                <w:lang w:val="en-GB"/>
              </w:rPr>
              <w:t>Se</w:t>
            </w:r>
          </w:p>
        </w:tc>
        <w:tc>
          <w:tcPr>
            <w:tcW w:w="651" w:type="dxa"/>
            <w:tcBorders>
              <w:top w:val="single" w:sz="12" w:space="0" w:color="008000"/>
              <w:bottom w:val="single" w:sz="6" w:space="0" w:color="008000"/>
            </w:tcBorders>
            <w:shd w:val="clear" w:color="auto" w:fill="FFFFFF"/>
          </w:tcPr>
          <w:p w14:paraId="1109DB6A" w14:textId="77777777" w:rsidR="00CE1112" w:rsidRDefault="00CE1112" w:rsidP="00D87B60">
            <w:pPr>
              <w:pStyle w:val="CETBodytext"/>
              <w:ind w:right="-1"/>
              <w:jc w:val="left"/>
              <w:rPr>
                <w:rFonts w:cs="Arial"/>
                <w:szCs w:val="18"/>
                <w:lang w:val="en-GB"/>
              </w:rPr>
            </w:pPr>
            <w:r>
              <w:rPr>
                <w:lang w:val="en-GB"/>
              </w:rPr>
              <w:t>Zn</w:t>
            </w:r>
          </w:p>
        </w:tc>
      </w:tr>
      <w:tr w:rsidR="00CE1112" w:rsidRPr="00B57B36" w14:paraId="4F558BEF" w14:textId="77777777" w:rsidTr="00DC23F5">
        <w:tc>
          <w:tcPr>
            <w:tcW w:w="1672" w:type="dxa"/>
            <w:shd w:val="clear" w:color="auto" w:fill="FFFFFF"/>
          </w:tcPr>
          <w:p w14:paraId="3E557246" w14:textId="77777777" w:rsidR="00CE1112" w:rsidRPr="00B57B36" w:rsidRDefault="00CE1112" w:rsidP="00D87B60">
            <w:pPr>
              <w:pStyle w:val="CETBodytext"/>
              <w:rPr>
                <w:lang w:val="en-GB"/>
              </w:rPr>
            </w:pPr>
            <w:r>
              <w:rPr>
                <w:lang w:val="en-GB"/>
              </w:rPr>
              <w:t>This work</w:t>
            </w:r>
          </w:p>
        </w:tc>
        <w:tc>
          <w:tcPr>
            <w:tcW w:w="596" w:type="dxa"/>
            <w:shd w:val="clear" w:color="auto" w:fill="FFFFFF"/>
          </w:tcPr>
          <w:p w14:paraId="6F0DAE62" w14:textId="77777777" w:rsidR="00CE1112" w:rsidRPr="00B57B36" w:rsidRDefault="00CE1112" w:rsidP="00D87B60">
            <w:pPr>
              <w:pStyle w:val="CETBodytext"/>
              <w:jc w:val="left"/>
              <w:rPr>
                <w:lang w:val="en-GB"/>
              </w:rPr>
            </w:pPr>
            <w:r>
              <w:rPr>
                <w:lang w:val="en-GB"/>
              </w:rPr>
              <w:t>12.79</w:t>
            </w:r>
          </w:p>
        </w:tc>
        <w:tc>
          <w:tcPr>
            <w:tcW w:w="567" w:type="dxa"/>
            <w:shd w:val="clear" w:color="auto" w:fill="FFFFFF"/>
          </w:tcPr>
          <w:p w14:paraId="7AE7E653" w14:textId="77777777" w:rsidR="00CE1112" w:rsidRPr="00B57B36" w:rsidRDefault="00CE1112" w:rsidP="00D87B60">
            <w:pPr>
              <w:pStyle w:val="CETBodytext"/>
              <w:jc w:val="left"/>
              <w:rPr>
                <w:lang w:val="en-GB"/>
              </w:rPr>
            </w:pPr>
            <w:r>
              <w:rPr>
                <w:lang w:val="en-GB"/>
              </w:rPr>
              <w:t>55.55</w:t>
            </w:r>
          </w:p>
        </w:tc>
        <w:tc>
          <w:tcPr>
            <w:tcW w:w="426" w:type="dxa"/>
            <w:shd w:val="clear" w:color="auto" w:fill="FFFFFF"/>
          </w:tcPr>
          <w:p w14:paraId="2D7C00C1" w14:textId="77777777" w:rsidR="00CE1112" w:rsidRPr="00B57B36" w:rsidRDefault="00CE1112" w:rsidP="00D87B60">
            <w:pPr>
              <w:pStyle w:val="CETBodytext"/>
              <w:ind w:right="-1"/>
              <w:jc w:val="left"/>
              <w:rPr>
                <w:rFonts w:cs="Arial"/>
                <w:szCs w:val="18"/>
                <w:lang w:val="en-GB"/>
              </w:rPr>
            </w:pPr>
            <w:r>
              <w:rPr>
                <w:lang w:val="en-GB"/>
              </w:rPr>
              <w:t>5.76</w:t>
            </w:r>
          </w:p>
        </w:tc>
        <w:tc>
          <w:tcPr>
            <w:tcW w:w="704" w:type="dxa"/>
            <w:shd w:val="clear" w:color="auto" w:fill="FFFFFF"/>
          </w:tcPr>
          <w:p w14:paraId="0935B6AC" w14:textId="77777777" w:rsidR="00CE1112" w:rsidRPr="00B57B36" w:rsidRDefault="00CE1112" w:rsidP="00D87B60">
            <w:pPr>
              <w:pStyle w:val="CETBodytext"/>
              <w:ind w:right="-1"/>
              <w:jc w:val="left"/>
              <w:rPr>
                <w:rFonts w:cs="Arial"/>
                <w:szCs w:val="18"/>
                <w:lang w:val="en-GB"/>
              </w:rPr>
            </w:pPr>
            <w:r>
              <w:rPr>
                <w:lang w:val="en-GB"/>
              </w:rPr>
              <w:t>182.23</w:t>
            </w:r>
          </w:p>
        </w:tc>
        <w:tc>
          <w:tcPr>
            <w:tcW w:w="618" w:type="dxa"/>
            <w:shd w:val="clear" w:color="auto" w:fill="FFFFFF"/>
          </w:tcPr>
          <w:p w14:paraId="6CAD8DB1" w14:textId="77777777" w:rsidR="00CE1112" w:rsidRPr="00B57B36" w:rsidRDefault="00CE1112" w:rsidP="00D87B60">
            <w:pPr>
              <w:pStyle w:val="CETBodytext"/>
              <w:ind w:right="-1"/>
              <w:jc w:val="left"/>
              <w:rPr>
                <w:rFonts w:cs="Arial"/>
                <w:szCs w:val="18"/>
                <w:lang w:val="en-GB"/>
              </w:rPr>
            </w:pPr>
            <w:r>
              <w:rPr>
                <w:lang w:val="en-GB"/>
              </w:rPr>
              <w:t>1.36</w:t>
            </w:r>
          </w:p>
        </w:tc>
        <w:tc>
          <w:tcPr>
            <w:tcW w:w="520" w:type="dxa"/>
            <w:shd w:val="clear" w:color="auto" w:fill="FFFFFF"/>
          </w:tcPr>
          <w:p w14:paraId="5921BBC1" w14:textId="77777777" w:rsidR="00CE1112" w:rsidRPr="00B57B36" w:rsidRDefault="00CE1112" w:rsidP="00D87B60">
            <w:pPr>
              <w:pStyle w:val="CETBodytext"/>
              <w:ind w:right="-1"/>
              <w:jc w:val="left"/>
              <w:rPr>
                <w:rFonts w:cs="Arial"/>
                <w:szCs w:val="18"/>
                <w:lang w:val="en-GB"/>
              </w:rPr>
            </w:pPr>
            <w:r>
              <w:rPr>
                <w:lang w:val="en-GB"/>
              </w:rPr>
              <w:t>0.85</w:t>
            </w:r>
          </w:p>
        </w:tc>
        <w:tc>
          <w:tcPr>
            <w:tcW w:w="709" w:type="dxa"/>
            <w:shd w:val="clear" w:color="auto" w:fill="FFFFFF"/>
          </w:tcPr>
          <w:p w14:paraId="7E2CD013" w14:textId="77777777" w:rsidR="00CE1112" w:rsidRPr="00B57B36" w:rsidRDefault="00CE1112" w:rsidP="00D87B60">
            <w:pPr>
              <w:pStyle w:val="CETBodytext"/>
              <w:ind w:right="-1"/>
              <w:jc w:val="left"/>
              <w:rPr>
                <w:rFonts w:cs="Arial"/>
                <w:szCs w:val="18"/>
                <w:lang w:val="en-GB"/>
              </w:rPr>
            </w:pPr>
            <w:r>
              <w:rPr>
                <w:lang w:val="en-GB"/>
              </w:rPr>
              <w:t>125.68</w:t>
            </w:r>
          </w:p>
        </w:tc>
        <w:tc>
          <w:tcPr>
            <w:tcW w:w="619" w:type="dxa"/>
            <w:shd w:val="clear" w:color="auto" w:fill="FFFFFF"/>
          </w:tcPr>
          <w:p w14:paraId="18375780" w14:textId="77777777" w:rsidR="00CE1112" w:rsidRPr="00B57B36" w:rsidRDefault="00CE1112" w:rsidP="00D87B60">
            <w:pPr>
              <w:pStyle w:val="CETBodytext"/>
              <w:ind w:right="-1"/>
              <w:jc w:val="left"/>
              <w:rPr>
                <w:rFonts w:cs="Arial"/>
                <w:szCs w:val="18"/>
                <w:lang w:val="en-GB"/>
              </w:rPr>
            </w:pPr>
            <w:r>
              <w:rPr>
                <w:lang w:val="en-GB"/>
              </w:rPr>
              <w:t>294.80</w:t>
            </w:r>
          </w:p>
        </w:tc>
        <w:tc>
          <w:tcPr>
            <w:tcW w:w="618" w:type="dxa"/>
            <w:shd w:val="clear" w:color="auto" w:fill="FFFFFF"/>
          </w:tcPr>
          <w:p w14:paraId="1E2480E0" w14:textId="77777777" w:rsidR="00CE1112" w:rsidRPr="00B57B36" w:rsidRDefault="00CE1112" w:rsidP="00D87B60">
            <w:pPr>
              <w:pStyle w:val="CETBodytext"/>
              <w:ind w:right="-1"/>
              <w:jc w:val="left"/>
              <w:rPr>
                <w:rFonts w:cs="Arial"/>
                <w:szCs w:val="18"/>
                <w:lang w:val="en-GB"/>
              </w:rPr>
            </w:pPr>
            <w:r>
              <w:rPr>
                <w:lang w:val="en-GB"/>
              </w:rPr>
              <w:t>0.27</w:t>
            </w:r>
          </w:p>
        </w:tc>
        <w:tc>
          <w:tcPr>
            <w:tcW w:w="619" w:type="dxa"/>
            <w:shd w:val="clear" w:color="auto" w:fill="FFFFFF"/>
          </w:tcPr>
          <w:p w14:paraId="7970CDC4" w14:textId="77777777" w:rsidR="00CE1112" w:rsidRPr="00B57B36" w:rsidRDefault="00CE1112" w:rsidP="00D87B60">
            <w:pPr>
              <w:pStyle w:val="CETBodytext"/>
              <w:ind w:right="-1"/>
              <w:jc w:val="left"/>
              <w:rPr>
                <w:rFonts w:cs="Arial"/>
                <w:szCs w:val="18"/>
                <w:lang w:val="en-GB"/>
              </w:rPr>
            </w:pPr>
            <w:r>
              <w:rPr>
                <w:lang w:val="en-GB"/>
              </w:rPr>
              <w:t>107.58</w:t>
            </w:r>
          </w:p>
        </w:tc>
        <w:tc>
          <w:tcPr>
            <w:tcW w:w="554" w:type="dxa"/>
            <w:shd w:val="clear" w:color="auto" w:fill="FFFFFF"/>
          </w:tcPr>
          <w:p w14:paraId="7792C179" w14:textId="77777777" w:rsidR="00CE1112" w:rsidRPr="00B57B36" w:rsidRDefault="00CE1112" w:rsidP="00D87B60">
            <w:pPr>
              <w:pStyle w:val="CETBodytext"/>
              <w:ind w:right="-1"/>
              <w:jc w:val="left"/>
              <w:rPr>
                <w:rFonts w:cs="Arial"/>
                <w:szCs w:val="18"/>
                <w:lang w:val="en-GB"/>
              </w:rPr>
            </w:pPr>
            <w:r>
              <w:rPr>
                <w:lang w:val="en-GB"/>
              </w:rPr>
              <w:t>14.85</w:t>
            </w:r>
          </w:p>
        </w:tc>
        <w:tc>
          <w:tcPr>
            <w:tcW w:w="651" w:type="dxa"/>
            <w:shd w:val="clear" w:color="auto" w:fill="FFFFFF"/>
          </w:tcPr>
          <w:p w14:paraId="5415471A" w14:textId="77777777" w:rsidR="00CE1112" w:rsidRPr="00B57B36" w:rsidRDefault="00CE1112" w:rsidP="00D87B60">
            <w:pPr>
              <w:pStyle w:val="CETBodytext"/>
              <w:ind w:right="-1"/>
              <w:jc w:val="left"/>
              <w:rPr>
                <w:rFonts w:cs="Arial"/>
                <w:szCs w:val="18"/>
                <w:lang w:val="en-GB"/>
              </w:rPr>
            </w:pPr>
            <w:r>
              <w:rPr>
                <w:lang w:val="en-GB"/>
              </w:rPr>
              <w:t>3275.44</w:t>
            </w:r>
          </w:p>
        </w:tc>
      </w:tr>
      <w:tr w:rsidR="00CE1112" w:rsidRPr="00B57B36" w14:paraId="3B273E0F" w14:textId="77777777" w:rsidTr="00DC23F5">
        <w:tc>
          <w:tcPr>
            <w:tcW w:w="1672" w:type="dxa"/>
            <w:shd w:val="clear" w:color="auto" w:fill="FFFFFF"/>
          </w:tcPr>
          <w:p w14:paraId="1FE62159" w14:textId="77777777" w:rsidR="00CE1112" w:rsidRPr="00B57B36" w:rsidRDefault="00CE1112" w:rsidP="00D87B60">
            <w:pPr>
              <w:pStyle w:val="CETBodytext"/>
              <w:ind w:right="-1"/>
              <w:rPr>
                <w:rFonts w:cs="Arial"/>
                <w:szCs w:val="18"/>
                <w:lang w:val="en-GB"/>
              </w:rPr>
            </w:pPr>
            <w:r>
              <w:rPr>
                <w:lang w:val="en-GB"/>
              </w:rPr>
              <w:fldChar w:fldCharType="begin" w:fldLock="1"/>
            </w:r>
            <w:r>
              <w:rPr>
                <w:lang w:val="en-GB"/>
              </w:rPr>
              <w:instrText>ADDIN CSL_CITATION {"citationItems":[{"id":"ITEM-1","itemData":{"DOI":"10.1016/j.wasman.2013.11.002","ISSN":"0956053X","PMID":"24290536","abstract":"In order to obtain 85% recycling, several procedures on Automotive Shredder Residue (ASR) could be implemented, such as advanced metal and polymer recovery, mechanical recycling, pyrolysis, the direct use of ASR in the cement industry, and/or the direct use of ASR as a secondary raw material. However, many of these recovery options appear to be limited, due to the possible low acceptability of ASR based products on the market. The recovery of bottom ash and slag after an ASR thermal treatment is an option that is not usually considered in most countries (e.g. Italy) due to the excessive amount of contaminants, especially metals. The purpose of this paper is to provide information on the characteristics of ASR and its full-scale incineration residues. Experiments have been carried out, in two different experimental campaigns, in a full-scale tyre incineration plant specifically modified to treat ASR waste.Detailed analysis of ASR samples and combustion residues were carried out and compared with literature data. On the basis of the analytical results, the slag and bottom ash from the combustion process have been classified as non-hazardous wastes, according to the EU waste acceptance criteria (WAC), and therefore after further tests could be used in future in the construction industry. It has also been concluded that ASR bottom ash (EWC - European Waste Catalogue - code 19 01 12) could be landfilled in SNRHW (stabilized non-reactive hazardous waste) cells or used as raw material for road construction, with or without further treatment for the removal of heavy metals. In the case of fly ash from boiler or Air Pollution Control (APC) residues, it has been found that the Cd, Pb and Zn concentrations exceeded regulatory leaching test limits therefore their removal, or a stabilization process, would be essential prior to landfilling the use of these residues as construction material. © 2013 Elsevier Ltd.","author":[{"dropping-particle":"","family":"Mancini","given":"G.","non-dropping-particle":"","parse-names":false,"suffix":""},{"dropping-particle":"","family":"Viotti","given":"P.","non-dropping-particle":"","parse-names":false,"suffix":""},{"dropping-particle":"","family":"Luciano","given":"A.","non-dropping-particle":"","parse-names":false,"suffix":""},{"dropping-particle":"","family":"Fino","given":"D.","non-dropping-particle":"","parse-names":false,"suffix":""}],"container-title":"Waste Management","id":"ITEM-1","issue":"2","issued":{"date-parts":[["2014"]]},"page":"448-457","publisher":"Elsevier Ltd","title":"On the ASR and ASR thermal residues characterization of full scale treatment plant","type":"article-journal","volume":"34"},"uris":["http://www.mendeley.com/documents/?uuid=7aa20671-0ead-46a0-87a8-923a78f0cb10"]}],"mendeley":{"formattedCitation":"(Mancini et al., 2014)","manualFormatting":"Mancini et al.,2014","plainTextFormattedCitation":"(Mancini et al., 2014)","previouslyFormattedCitation":"(Mancini et al., 2014)"},"properties":{"noteIndex":0},"schema":"https://github.com/citation-style-language/schema/raw/master/csl-citation.json"}</w:instrText>
            </w:r>
            <w:r>
              <w:rPr>
                <w:lang w:val="en-GB"/>
              </w:rPr>
              <w:fldChar w:fldCharType="separate"/>
            </w:r>
            <w:r w:rsidRPr="00393397">
              <w:rPr>
                <w:noProof/>
                <w:lang w:val="en-GB"/>
              </w:rPr>
              <w:t>Mancini et al.</w:t>
            </w:r>
            <w:r>
              <w:rPr>
                <w:noProof/>
                <w:lang w:val="en-GB"/>
              </w:rPr>
              <w:t xml:space="preserve"> (2014</w:t>
            </w:r>
            <w:r>
              <w:rPr>
                <w:lang w:val="en-GB"/>
              </w:rPr>
              <w:fldChar w:fldCharType="end"/>
            </w:r>
            <w:r>
              <w:rPr>
                <w:lang w:val="en-GB"/>
              </w:rPr>
              <w:t>)</w:t>
            </w:r>
          </w:p>
        </w:tc>
        <w:tc>
          <w:tcPr>
            <w:tcW w:w="596" w:type="dxa"/>
            <w:shd w:val="clear" w:color="auto" w:fill="FFFFFF"/>
          </w:tcPr>
          <w:p w14:paraId="5A9A1EC9" w14:textId="77777777" w:rsidR="00CE1112" w:rsidRPr="00B57B36" w:rsidRDefault="00CE1112" w:rsidP="00D87B60">
            <w:pPr>
              <w:pStyle w:val="CETBodytext"/>
              <w:ind w:right="-1"/>
              <w:jc w:val="left"/>
              <w:rPr>
                <w:rFonts w:cs="Arial"/>
                <w:szCs w:val="18"/>
                <w:lang w:val="en-GB"/>
              </w:rPr>
            </w:pPr>
            <w:r>
              <w:rPr>
                <w:lang w:val="en-GB"/>
              </w:rPr>
              <w:t>22.53</w:t>
            </w:r>
          </w:p>
        </w:tc>
        <w:tc>
          <w:tcPr>
            <w:tcW w:w="567" w:type="dxa"/>
            <w:shd w:val="clear" w:color="auto" w:fill="FFFFFF"/>
          </w:tcPr>
          <w:p w14:paraId="659BDB7C" w14:textId="77777777" w:rsidR="00CE1112" w:rsidRPr="00B57B36" w:rsidRDefault="00CE1112" w:rsidP="00D87B60">
            <w:pPr>
              <w:pStyle w:val="CETBodytext"/>
              <w:ind w:right="-1"/>
              <w:jc w:val="left"/>
              <w:rPr>
                <w:rFonts w:cs="Arial"/>
                <w:szCs w:val="18"/>
                <w:lang w:val="en-GB"/>
              </w:rPr>
            </w:pPr>
            <w:r>
              <w:rPr>
                <w:lang w:val="en-GB"/>
              </w:rPr>
              <w:t>-</w:t>
            </w:r>
          </w:p>
        </w:tc>
        <w:tc>
          <w:tcPr>
            <w:tcW w:w="426" w:type="dxa"/>
            <w:shd w:val="clear" w:color="auto" w:fill="FFFFFF"/>
          </w:tcPr>
          <w:p w14:paraId="2740156A" w14:textId="77777777" w:rsidR="00CE1112" w:rsidRPr="00B57B36" w:rsidRDefault="00CE1112" w:rsidP="00D87B60">
            <w:pPr>
              <w:pStyle w:val="CETBodytext"/>
              <w:ind w:right="-1"/>
              <w:jc w:val="left"/>
              <w:rPr>
                <w:rFonts w:cs="Arial"/>
                <w:szCs w:val="18"/>
                <w:lang w:val="en-GB"/>
              </w:rPr>
            </w:pPr>
            <w:r>
              <w:rPr>
                <w:lang w:val="en-GB"/>
              </w:rPr>
              <w:t>2.55</w:t>
            </w:r>
          </w:p>
        </w:tc>
        <w:tc>
          <w:tcPr>
            <w:tcW w:w="704" w:type="dxa"/>
            <w:shd w:val="clear" w:color="auto" w:fill="FFFFFF"/>
          </w:tcPr>
          <w:p w14:paraId="60825687" w14:textId="77777777" w:rsidR="00CE1112" w:rsidRPr="00B57B36" w:rsidRDefault="00CE1112" w:rsidP="00D87B60">
            <w:pPr>
              <w:pStyle w:val="CETBodytext"/>
              <w:ind w:right="-1"/>
              <w:jc w:val="left"/>
              <w:rPr>
                <w:rFonts w:cs="Arial"/>
                <w:szCs w:val="18"/>
                <w:lang w:val="en-GB"/>
              </w:rPr>
            </w:pPr>
            <w:r>
              <w:rPr>
                <w:lang w:val="en-GB"/>
              </w:rPr>
              <w:t>306.2</w:t>
            </w:r>
          </w:p>
        </w:tc>
        <w:tc>
          <w:tcPr>
            <w:tcW w:w="618" w:type="dxa"/>
            <w:shd w:val="clear" w:color="auto" w:fill="FFFFFF"/>
          </w:tcPr>
          <w:p w14:paraId="033E5CC7" w14:textId="77777777" w:rsidR="00CE1112" w:rsidRPr="00B57B36" w:rsidRDefault="00CE1112" w:rsidP="00D87B60">
            <w:pPr>
              <w:pStyle w:val="CETBodytext"/>
              <w:ind w:right="-1"/>
              <w:jc w:val="left"/>
              <w:rPr>
                <w:rFonts w:cs="Arial"/>
                <w:szCs w:val="18"/>
                <w:lang w:val="en-GB"/>
              </w:rPr>
            </w:pPr>
            <w:r>
              <w:rPr>
                <w:lang w:val="en-GB"/>
              </w:rPr>
              <w:t>32.42</w:t>
            </w:r>
          </w:p>
        </w:tc>
        <w:tc>
          <w:tcPr>
            <w:tcW w:w="520" w:type="dxa"/>
            <w:shd w:val="clear" w:color="auto" w:fill="FFFFFF"/>
          </w:tcPr>
          <w:p w14:paraId="0A79E8B5" w14:textId="77777777" w:rsidR="00CE1112" w:rsidRPr="00B57B36" w:rsidRDefault="00CE1112" w:rsidP="00D87B60">
            <w:pPr>
              <w:pStyle w:val="CETBodytext"/>
              <w:ind w:right="-1"/>
              <w:jc w:val="left"/>
              <w:rPr>
                <w:rFonts w:cs="Arial"/>
                <w:szCs w:val="18"/>
                <w:lang w:val="en-GB"/>
              </w:rPr>
            </w:pPr>
            <w:r>
              <w:rPr>
                <w:lang w:val="en-GB"/>
              </w:rPr>
              <w:t>&lt;0.1</w:t>
            </w:r>
          </w:p>
        </w:tc>
        <w:tc>
          <w:tcPr>
            <w:tcW w:w="709" w:type="dxa"/>
            <w:shd w:val="clear" w:color="auto" w:fill="FFFFFF"/>
          </w:tcPr>
          <w:p w14:paraId="01E113E5" w14:textId="77777777" w:rsidR="00CE1112" w:rsidRPr="00B57B36" w:rsidRDefault="00CE1112" w:rsidP="00D87B60">
            <w:pPr>
              <w:pStyle w:val="CETBodytext"/>
              <w:ind w:right="-1"/>
              <w:jc w:val="left"/>
              <w:rPr>
                <w:rFonts w:cs="Arial"/>
                <w:szCs w:val="18"/>
                <w:lang w:val="en-GB"/>
              </w:rPr>
            </w:pPr>
            <w:r>
              <w:rPr>
                <w:lang w:val="en-GB"/>
              </w:rPr>
              <w:t>-</w:t>
            </w:r>
          </w:p>
        </w:tc>
        <w:tc>
          <w:tcPr>
            <w:tcW w:w="619" w:type="dxa"/>
            <w:shd w:val="clear" w:color="auto" w:fill="FFFFFF"/>
          </w:tcPr>
          <w:p w14:paraId="32C4DBC6" w14:textId="77777777" w:rsidR="00CE1112" w:rsidRPr="00B57B36" w:rsidRDefault="00CE1112" w:rsidP="00D87B60">
            <w:pPr>
              <w:pStyle w:val="CETBodytext"/>
              <w:ind w:right="-1"/>
              <w:jc w:val="left"/>
              <w:rPr>
                <w:rFonts w:cs="Arial"/>
                <w:szCs w:val="18"/>
                <w:lang w:val="en-GB"/>
              </w:rPr>
            </w:pPr>
            <w:r>
              <w:rPr>
                <w:lang w:val="en-GB"/>
              </w:rPr>
              <w:t>265.5</w:t>
            </w:r>
          </w:p>
        </w:tc>
        <w:tc>
          <w:tcPr>
            <w:tcW w:w="618" w:type="dxa"/>
            <w:shd w:val="clear" w:color="auto" w:fill="FFFFFF"/>
          </w:tcPr>
          <w:p w14:paraId="4530103B" w14:textId="77777777" w:rsidR="00CE1112" w:rsidRPr="00B57B36" w:rsidRDefault="00CE1112" w:rsidP="00D87B60">
            <w:pPr>
              <w:pStyle w:val="CETBodytext"/>
              <w:ind w:right="-1"/>
              <w:jc w:val="left"/>
              <w:rPr>
                <w:rFonts w:cs="Arial"/>
                <w:szCs w:val="18"/>
                <w:lang w:val="en-GB"/>
              </w:rPr>
            </w:pPr>
            <w:r>
              <w:rPr>
                <w:lang w:val="en-GB"/>
              </w:rPr>
              <w:t>3824</w:t>
            </w:r>
          </w:p>
        </w:tc>
        <w:tc>
          <w:tcPr>
            <w:tcW w:w="619" w:type="dxa"/>
            <w:shd w:val="clear" w:color="auto" w:fill="FFFFFF"/>
          </w:tcPr>
          <w:p w14:paraId="5FEB6E17" w14:textId="77777777" w:rsidR="00CE1112" w:rsidRPr="00B57B36" w:rsidRDefault="00CE1112" w:rsidP="00D87B60">
            <w:pPr>
              <w:pStyle w:val="CETBodytext"/>
              <w:ind w:right="-1"/>
              <w:jc w:val="left"/>
              <w:rPr>
                <w:rFonts w:cs="Arial"/>
                <w:szCs w:val="18"/>
                <w:lang w:val="en-GB"/>
              </w:rPr>
            </w:pPr>
            <w:r>
              <w:rPr>
                <w:lang w:val="en-GB"/>
              </w:rPr>
              <w:t>-</w:t>
            </w:r>
          </w:p>
        </w:tc>
        <w:tc>
          <w:tcPr>
            <w:tcW w:w="554" w:type="dxa"/>
            <w:shd w:val="clear" w:color="auto" w:fill="FFFFFF"/>
          </w:tcPr>
          <w:p w14:paraId="65EB4D35" w14:textId="77777777" w:rsidR="00CE1112" w:rsidRPr="00B57B36" w:rsidRDefault="00CE1112" w:rsidP="00D87B60">
            <w:pPr>
              <w:pStyle w:val="CETBodytext"/>
              <w:ind w:right="-1"/>
              <w:jc w:val="left"/>
              <w:rPr>
                <w:rFonts w:cs="Arial"/>
                <w:szCs w:val="18"/>
                <w:lang w:val="en-GB"/>
              </w:rPr>
            </w:pPr>
            <w:r>
              <w:rPr>
                <w:lang w:val="en-GB"/>
              </w:rPr>
              <w:t>3.78</w:t>
            </w:r>
          </w:p>
        </w:tc>
        <w:tc>
          <w:tcPr>
            <w:tcW w:w="651" w:type="dxa"/>
            <w:shd w:val="clear" w:color="auto" w:fill="FFFFFF"/>
          </w:tcPr>
          <w:p w14:paraId="0EFDD6D4" w14:textId="77777777" w:rsidR="00CE1112" w:rsidRPr="00B57B36" w:rsidRDefault="00CE1112" w:rsidP="00D87B60">
            <w:pPr>
              <w:pStyle w:val="CETBodytext"/>
              <w:ind w:right="-1"/>
              <w:jc w:val="left"/>
              <w:rPr>
                <w:rFonts w:cs="Arial"/>
                <w:szCs w:val="18"/>
                <w:lang w:val="en-GB"/>
              </w:rPr>
            </w:pPr>
            <w:r>
              <w:rPr>
                <w:lang w:val="en-GB"/>
              </w:rPr>
              <w:t>14.73</w:t>
            </w:r>
          </w:p>
        </w:tc>
      </w:tr>
      <w:tr w:rsidR="00CE1112" w:rsidRPr="00B57B36" w14:paraId="7908DDB0" w14:textId="77777777" w:rsidTr="00DC23F5">
        <w:tc>
          <w:tcPr>
            <w:tcW w:w="1672" w:type="dxa"/>
            <w:shd w:val="clear" w:color="auto" w:fill="FFFFFF"/>
          </w:tcPr>
          <w:p w14:paraId="6B84A462" w14:textId="77777777" w:rsidR="00CE1112" w:rsidRPr="00B57B36" w:rsidRDefault="00CE1112" w:rsidP="00D87B60">
            <w:pPr>
              <w:pStyle w:val="CETBodytext"/>
              <w:ind w:right="-1"/>
              <w:rPr>
                <w:rFonts w:cs="Arial"/>
                <w:szCs w:val="18"/>
                <w:lang w:val="en-GB"/>
              </w:rPr>
            </w:pPr>
            <w:r>
              <w:rPr>
                <w:lang w:val="en-GB"/>
              </w:rPr>
              <w:fldChar w:fldCharType="begin" w:fldLock="1"/>
            </w:r>
            <w:r>
              <w:rPr>
                <w:lang w:val="en-GB"/>
              </w:rPr>
              <w:instrText>ADDIN CSL_CITATION {"citationItems":[{"id":"ITEM-1","itemData":{"DOI":"10.1016/J.JHAZMAT.2020.122433","ISSN":"0304-3894","PMID":"32143166","abstract":"Municipal solid waste incineration (MSWI) is one of the leading technologies for municipal solid waste (MSW) treatment in Europe. Incineration bottom ash (IBA) is the main solid residue from MSWI, and its annual European production is about 20 million tons. The composition of IBA depends on the composition of the incinerated waste; therefore, it may contain significant amounts of ferrous and non-ferrous (NFe) metals as well as glass that can be recovered. Technologies for NFe metals recovery have emerged in IBA treatment since the 1990s and became common practice in many developed countries. Although the principles and used apparatus are nearly the same in all treatment trains, the differences in technological approaches to recovery of valuable components from IBA – with a special focus on NFe metals recovery – are summarized in this paper.","author":[{"dropping-particle":"","family":"Šyc","given":"Michal","non-dropping-particle":"","parse-names":false,"suffix":""},{"dropping-particle":"","family":"Simon","given":"Franz Georg","non-dropping-particle":"","parse-names":false,"suffix":""},{"dropping-particle":"","family":"Hykš","given":"Jiri","non-dropping-particle":"","parse-names":false,"suffix":""},{"dropping-particle":"","family":"Braga","given":"Roberto","non-dropping-particle":"","parse-names":false,"suffix":""},{"dropping-particle":"","family":"Biganzoli","given":"Laura","non-dropping-particle":"","parse-names":false,"suffix":""},{"dropping-particle":"","family":"Costa","given":"Giulia","non-dropping-particle":"","parse-names":false,"suffix":""},{"dropping-particle":"","family":"Funari","given":"Valerio","non-dropping-particle":"","parse-names":false,"suffix":""},{"dropping-particle":"","family":"Grosso","given":"Mario","non-dropping-particle":"","parse-names":false,"suffix":""}],"container-title":"Journal of Hazardous Materials","id":"ITEM-1","issued":{"date-parts":[["2020","7","5"]]},"page":"122433","publisher":"Elsevier","title":"Metal recovery from incineration bottom ash: State-of-the-art and recent developments","type":"article-journal","volume":"393"},"uris":["http://www.mendeley.com/documents/?uuid=a975ffed-31c2-3148-a08c-e4e2db1bbb23"]}],"mendeley":{"formattedCitation":"(Šyc et al., 2020)","manualFormatting":"Šyc et al.2020","plainTextFormattedCitation":"(Šyc et al., 2020)","previouslyFormattedCitation":"(Šyc et al., 2020)"},"properties":{"noteIndex":0},"schema":"https://github.com/citation-style-language/schema/raw/master/csl-citation.json"}</w:instrText>
            </w:r>
            <w:r>
              <w:rPr>
                <w:lang w:val="en-GB"/>
              </w:rPr>
              <w:fldChar w:fldCharType="separate"/>
            </w:r>
            <w:r w:rsidRPr="00393397">
              <w:rPr>
                <w:noProof/>
                <w:lang w:val="en-GB"/>
              </w:rPr>
              <w:t>Šyc et al.</w:t>
            </w:r>
            <w:r>
              <w:rPr>
                <w:noProof/>
                <w:lang w:val="en-GB"/>
              </w:rPr>
              <w:t xml:space="preserve"> (2020</w:t>
            </w:r>
            <w:r>
              <w:rPr>
                <w:lang w:val="en-GB"/>
              </w:rPr>
              <w:fldChar w:fldCharType="end"/>
            </w:r>
            <w:r>
              <w:rPr>
                <w:lang w:val="en-GB"/>
              </w:rPr>
              <w:t>)</w:t>
            </w:r>
          </w:p>
        </w:tc>
        <w:tc>
          <w:tcPr>
            <w:tcW w:w="596" w:type="dxa"/>
            <w:shd w:val="clear" w:color="auto" w:fill="FFFFFF"/>
          </w:tcPr>
          <w:p w14:paraId="5AA322C2" w14:textId="77777777" w:rsidR="00CE1112" w:rsidRDefault="00CE1112" w:rsidP="00D87B60">
            <w:pPr>
              <w:pStyle w:val="CETBodytext"/>
              <w:jc w:val="left"/>
              <w:rPr>
                <w:lang w:val="en-GB"/>
              </w:rPr>
            </w:pPr>
            <w:r>
              <w:rPr>
                <w:lang w:val="en-GB"/>
              </w:rPr>
              <w:t>0.12-</w:t>
            </w:r>
          </w:p>
          <w:p w14:paraId="3F7960B1" w14:textId="77777777" w:rsidR="00CE1112" w:rsidRPr="00B57B36" w:rsidRDefault="00CE1112" w:rsidP="00D87B60">
            <w:pPr>
              <w:pStyle w:val="CETBodytext"/>
              <w:ind w:right="-1"/>
              <w:jc w:val="left"/>
              <w:rPr>
                <w:rFonts w:cs="Arial"/>
                <w:szCs w:val="18"/>
                <w:lang w:val="en-GB"/>
              </w:rPr>
            </w:pPr>
            <w:r>
              <w:rPr>
                <w:lang w:val="en-GB"/>
              </w:rPr>
              <w:t>190</w:t>
            </w:r>
          </w:p>
        </w:tc>
        <w:tc>
          <w:tcPr>
            <w:tcW w:w="567" w:type="dxa"/>
            <w:shd w:val="clear" w:color="auto" w:fill="FFFFFF"/>
          </w:tcPr>
          <w:p w14:paraId="2E7F3594" w14:textId="77777777" w:rsidR="00CE1112" w:rsidRDefault="00CE1112" w:rsidP="00D87B60">
            <w:pPr>
              <w:pStyle w:val="CETBodytext"/>
              <w:jc w:val="left"/>
              <w:rPr>
                <w:lang w:val="en-GB"/>
              </w:rPr>
            </w:pPr>
            <w:r>
              <w:rPr>
                <w:lang w:val="en-GB"/>
              </w:rPr>
              <w:t>69-</w:t>
            </w:r>
          </w:p>
          <w:p w14:paraId="613728FC" w14:textId="77777777" w:rsidR="00CE1112" w:rsidRPr="00B57B36" w:rsidRDefault="00CE1112" w:rsidP="00D87B60">
            <w:pPr>
              <w:pStyle w:val="CETBodytext"/>
              <w:ind w:right="-1"/>
              <w:jc w:val="left"/>
              <w:rPr>
                <w:rFonts w:cs="Arial"/>
                <w:szCs w:val="18"/>
                <w:lang w:val="en-GB"/>
              </w:rPr>
            </w:pPr>
            <w:r>
              <w:rPr>
                <w:lang w:val="en-GB"/>
              </w:rPr>
              <w:t>5700</w:t>
            </w:r>
          </w:p>
        </w:tc>
        <w:tc>
          <w:tcPr>
            <w:tcW w:w="426" w:type="dxa"/>
            <w:shd w:val="clear" w:color="auto" w:fill="FFFFFF"/>
          </w:tcPr>
          <w:p w14:paraId="1C2C2A8F" w14:textId="77777777" w:rsidR="00CE1112" w:rsidRDefault="00CE1112" w:rsidP="00D87B60">
            <w:pPr>
              <w:pStyle w:val="CETBodytext"/>
              <w:jc w:val="left"/>
              <w:rPr>
                <w:lang w:val="en-GB"/>
              </w:rPr>
            </w:pPr>
            <w:r>
              <w:rPr>
                <w:lang w:val="en-GB"/>
              </w:rPr>
              <w:t>0.3-</w:t>
            </w:r>
          </w:p>
          <w:p w14:paraId="65696FB6" w14:textId="77777777" w:rsidR="00CE1112" w:rsidRPr="00B57B36" w:rsidRDefault="00CE1112" w:rsidP="00D87B60">
            <w:pPr>
              <w:pStyle w:val="CETBodytext"/>
              <w:ind w:right="-1"/>
              <w:jc w:val="left"/>
              <w:rPr>
                <w:rFonts w:cs="Arial"/>
                <w:szCs w:val="18"/>
                <w:lang w:val="en-GB"/>
              </w:rPr>
            </w:pPr>
            <w:r>
              <w:rPr>
                <w:lang w:val="en-GB"/>
              </w:rPr>
              <w:t>70</w:t>
            </w:r>
          </w:p>
        </w:tc>
        <w:tc>
          <w:tcPr>
            <w:tcW w:w="704" w:type="dxa"/>
            <w:shd w:val="clear" w:color="auto" w:fill="FFFFFF"/>
          </w:tcPr>
          <w:p w14:paraId="18EF8910" w14:textId="77777777" w:rsidR="00CE1112" w:rsidRDefault="00CE1112" w:rsidP="00D87B60">
            <w:pPr>
              <w:pStyle w:val="CETBodytext"/>
              <w:jc w:val="left"/>
              <w:rPr>
                <w:lang w:val="en-GB"/>
              </w:rPr>
            </w:pPr>
            <w:r>
              <w:rPr>
                <w:lang w:val="en-GB"/>
              </w:rPr>
              <w:t>20-</w:t>
            </w:r>
          </w:p>
          <w:p w14:paraId="3869EC87" w14:textId="77777777" w:rsidR="00CE1112" w:rsidRPr="00B57B36" w:rsidRDefault="00CE1112" w:rsidP="00D87B60">
            <w:pPr>
              <w:pStyle w:val="CETBodytext"/>
              <w:ind w:right="-1"/>
              <w:jc w:val="left"/>
              <w:rPr>
                <w:rFonts w:cs="Arial"/>
                <w:szCs w:val="18"/>
                <w:lang w:val="en-GB"/>
              </w:rPr>
            </w:pPr>
            <w:r>
              <w:rPr>
                <w:lang w:val="en-GB"/>
              </w:rPr>
              <w:t>3400</w:t>
            </w:r>
          </w:p>
        </w:tc>
        <w:tc>
          <w:tcPr>
            <w:tcW w:w="618" w:type="dxa"/>
            <w:shd w:val="clear" w:color="auto" w:fill="FFFFFF"/>
          </w:tcPr>
          <w:p w14:paraId="52A3B5FB" w14:textId="77777777" w:rsidR="00CE1112" w:rsidRPr="00B57B36" w:rsidRDefault="00CE1112" w:rsidP="00D87B60">
            <w:pPr>
              <w:pStyle w:val="CETBodytext"/>
              <w:ind w:right="-1"/>
              <w:jc w:val="left"/>
              <w:rPr>
                <w:rFonts w:cs="Arial"/>
                <w:szCs w:val="18"/>
                <w:lang w:val="en-GB"/>
              </w:rPr>
            </w:pPr>
            <w:r>
              <w:rPr>
                <w:lang w:val="en-GB"/>
              </w:rPr>
              <w:t>-</w:t>
            </w:r>
          </w:p>
        </w:tc>
        <w:tc>
          <w:tcPr>
            <w:tcW w:w="520" w:type="dxa"/>
            <w:shd w:val="clear" w:color="auto" w:fill="FFFFFF"/>
          </w:tcPr>
          <w:p w14:paraId="6D894E33" w14:textId="77777777" w:rsidR="00CE1112" w:rsidRPr="00B57B36" w:rsidRDefault="00CE1112" w:rsidP="00D87B60">
            <w:pPr>
              <w:pStyle w:val="CETBodytext"/>
              <w:ind w:right="-1"/>
              <w:jc w:val="left"/>
              <w:rPr>
                <w:rFonts w:cs="Arial"/>
                <w:szCs w:val="18"/>
                <w:lang w:val="en-GB"/>
              </w:rPr>
            </w:pPr>
            <w:r>
              <w:rPr>
                <w:lang w:val="en-GB"/>
              </w:rPr>
              <w:t>-</w:t>
            </w:r>
          </w:p>
        </w:tc>
        <w:tc>
          <w:tcPr>
            <w:tcW w:w="709" w:type="dxa"/>
            <w:shd w:val="clear" w:color="auto" w:fill="FFFFFF"/>
          </w:tcPr>
          <w:p w14:paraId="4D697EA2" w14:textId="77777777" w:rsidR="00DC23F5" w:rsidRDefault="00CE1112" w:rsidP="00D87B60">
            <w:pPr>
              <w:pStyle w:val="CETBodytext"/>
              <w:ind w:right="-1"/>
              <w:jc w:val="left"/>
              <w:rPr>
                <w:lang w:val="en-GB"/>
              </w:rPr>
            </w:pPr>
            <w:r>
              <w:rPr>
                <w:lang w:val="en-GB"/>
              </w:rPr>
              <w:t>2.5-</w:t>
            </w:r>
          </w:p>
          <w:p w14:paraId="4789E992" w14:textId="2CBF9951" w:rsidR="00CE1112" w:rsidRPr="00B57B36" w:rsidRDefault="00CE1112" w:rsidP="00D87B60">
            <w:pPr>
              <w:pStyle w:val="CETBodytext"/>
              <w:ind w:right="-1"/>
              <w:jc w:val="left"/>
              <w:rPr>
                <w:rFonts w:cs="Arial"/>
                <w:szCs w:val="18"/>
                <w:lang w:val="en-GB"/>
              </w:rPr>
            </w:pPr>
            <w:r>
              <w:rPr>
                <w:lang w:val="en-GB"/>
              </w:rPr>
              <w:t>280</w:t>
            </w:r>
          </w:p>
        </w:tc>
        <w:tc>
          <w:tcPr>
            <w:tcW w:w="619" w:type="dxa"/>
            <w:shd w:val="clear" w:color="auto" w:fill="FFFFFF"/>
          </w:tcPr>
          <w:p w14:paraId="10D26760" w14:textId="77777777" w:rsidR="00CE1112" w:rsidRDefault="00CE1112" w:rsidP="00D87B60">
            <w:pPr>
              <w:pStyle w:val="CETBodytext"/>
              <w:jc w:val="left"/>
              <w:rPr>
                <w:lang w:val="en-GB"/>
              </w:rPr>
            </w:pPr>
            <w:r>
              <w:rPr>
                <w:lang w:val="en-GB"/>
              </w:rPr>
              <w:t>7-</w:t>
            </w:r>
          </w:p>
          <w:p w14:paraId="72D47F7A" w14:textId="77777777" w:rsidR="00CE1112" w:rsidRPr="00B57B36" w:rsidRDefault="00CE1112" w:rsidP="00D87B60">
            <w:pPr>
              <w:pStyle w:val="CETBodytext"/>
              <w:ind w:right="-1"/>
              <w:jc w:val="left"/>
              <w:rPr>
                <w:rFonts w:cs="Arial"/>
                <w:szCs w:val="18"/>
                <w:lang w:val="en-GB"/>
              </w:rPr>
            </w:pPr>
            <w:r>
              <w:rPr>
                <w:lang w:val="en-GB"/>
              </w:rPr>
              <w:t>4300</w:t>
            </w:r>
          </w:p>
        </w:tc>
        <w:tc>
          <w:tcPr>
            <w:tcW w:w="618" w:type="dxa"/>
            <w:shd w:val="clear" w:color="auto" w:fill="FFFFFF"/>
          </w:tcPr>
          <w:p w14:paraId="5D2B4E99" w14:textId="77777777" w:rsidR="00CE1112" w:rsidRPr="00B57B36" w:rsidRDefault="00CE1112" w:rsidP="00D87B60">
            <w:pPr>
              <w:pStyle w:val="CETBodytext"/>
              <w:ind w:right="-1"/>
              <w:jc w:val="left"/>
              <w:rPr>
                <w:rFonts w:cs="Arial"/>
                <w:szCs w:val="18"/>
                <w:lang w:val="en-GB"/>
              </w:rPr>
            </w:pPr>
            <w:r>
              <w:rPr>
                <w:lang w:val="en-GB"/>
              </w:rPr>
              <w:t>74-14000</w:t>
            </w:r>
          </w:p>
        </w:tc>
        <w:tc>
          <w:tcPr>
            <w:tcW w:w="619" w:type="dxa"/>
            <w:shd w:val="clear" w:color="auto" w:fill="FFFFFF"/>
          </w:tcPr>
          <w:p w14:paraId="61733758" w14:textId="77777777" w:rsidR="00CE1112" w:rsidRPr="00B57B36" w:rsidRDefault="00CE1112" w:rsidP="00D87B60">
            <w:pPr>
              <w:pStyle w:val="CETBodytext"/>
              <w:ind w:right="-1"/>
              <w:jc w:val="left"/>
              <w:rPr>
                <w:rFonts w:cs="Arial"/>
                <w:szCs w:val="18"/>
                <w:lang w:val="en-GB"/>
              </w:rPr>
            </w:pPr>
            <w:r>
              <w:rPr>
                <w:lang w:val="en-GB"/>
              </w:rPr>
              <w:t>-</w:t>
            </w:r>
          </w:p>
        </w:tc>
        <w:tc>
          <w:tcPr>
            <w:tcW w:w="554" w:type="dxa"/>
            <w:shd w:val="clear" w:color="auto" w:fill="FFFFFF"/>
          </w:tcPr>
          <w:p w14:paraId="1C1F1D29" w14:textId="77777777" w:rsidR="00CE1112" w:rsidRPr="00B57B36" w:rsidRDefault="00CE1112" w:rsidP="00D87B60">
            <w:pPr>
              <w:pStyle w:val="CETBodytext"/>
              <w:ind w:right="-1"/>
              <w:jc w:val="left"/>
              <w:rPr>
                <w:rFonts w:cs="Arial"/>
                <w:szCs w:val="18"/>
                <w:lang w:val="en-GB"/>
              </w:rPr>
            </w:pPr>
            <w:r>
              <w:rPr>
                <w:lang w:val="en-GB"/>
              </w:rPr>
              <w:t>0.05-10</w:t>
            </w:r>
          </w:p>
        </w:tc>
        <w:tc>
          <w:tcPr>
            <w:tcW w:w="651" w:type="dxa"/>
            <w:shd w:val="clear" w:color="auto" w:fill="FFFFFF"/>
          </w:tcPr>
          <w:p w14:paraId="70AE80D6" w14:textId="77777777" w:rsidR="00CE1112" w:rsidRDefault="00CE1112" w:rsidP="00D87B60">
            <w:pPr>
              <w:pStyle w:val="CETBodytext"/>
              <w:jc w:val="left"/>
              <w:rPr>
                <w:lang w:val="en-GB"/>
              </w:rPr>
            </w:pPr>
            <w:r>
              <w:rPr>
                <w:lang w:val="en-GB"/>
              </w:rPr>
              <w:t>10-</w:t>
            </w:r>
          </w:p>
          <w:p w14:paraId="719194DD" w14:textId="77777777" w:rsidR="00CE1112" w:rsidRPr="00B57B36" w:rsidRDefault="00CE1112" w:rsidP="00D87B60">
            <w:pPr>
              <w:pStyle w:val="CETBodytext"/>
              <w:ind w:right="-1"/>
              <w:jc w:val="left"/>
              <w:rPr>
                <w:rFonts w:cs="Arial"/>
                <w:szCs w:val="18"/>
                <w:lang w:val="en-GB"/>
              </w:rPr>
            </w:pPr>
            <w:r>
              <w:rPr>
                <w:lang w:val="en-GB"/>
              </w:rPr>
              <w:t>20000</w:t>
            </w:r>
          </w:p>
        </w:tc>
      </w:tr>
    </w:tbl>
    <w:p w14:paraId="067EC6D9" w14:textId="77777777" w:rsidR="00CE1112" w:rsidRDefault="00CE1112" w:rsidP="00084F5D">
      <w:pPr>
        <w:pStyle w:val="CETBodytext"/>
      </w:pPr>
    </w:p>
    <w:p w14:paraId="07DE27B9" w14:textId="0F3BDC4A" w:rsidR="00084F5D" w:rsidRDefault="00084F5D" w:rsidP="00084F5D">
      <w:pPr>
        <w:pStyle w:val="CETBodytext"/>
      </w:pPr>
      <w:r w:rsidRPr="000357F4">
        <w:t xml:space="preserve">The </w:t>
      </w:r>
      <w:r>
        <w:t xml:space="preserve">proposed treatment </w:t>
      </w:r>
      <w:r w:rsidR="00D462B7">
        <w:t>was designated in</w:t>
      </w:r>
      <w:r w:rsidRPr="000357F4">
        <w:t xml:space="preserve"> three phases</w:t>
      </w:r>
      <w:r>
        <w:t xml:space="preserve"> (Figure 1)</w:t>
      </w:r>
      <w:r w:rsidRPr="000357F4">
        <w:t>:</w:t>
      </w:r>
    </w:p>
    <w:p w14:paraId="70A69881" w14:textId="0340EF2D" w:rsidR="00084F5D" w:rsidRDefault="0094350C" w:rsidP="00ED5D13">
      <w:pPr>
        <w:pStyle w:val="CETBodytext"/>
        <w:numPr>
          <w:ilvl w:val="0"/>
          <w:numId w:val="27"/>
        </w:numPr>
      </w:pPr>
      <w:r>
        <w:t>E</w:t>
      </w:r>
      <w:r w:rsidR="00084F5D" w:rsidRPr="000357F4">
        <w:t>xtraction</w:t>
      </w:r>
      <w:r>
        <w:t xml:space="preserve"> phase: </w:t>
      </w:r>
      <w:r w:rsidR="00286FAD">
        <w:t xml:space="preserve">IBA was contacted </w:t>
      </w:r>
      <w:r w:rsidR="00084F5D" w:rsidRPr="000357F4">
        <w:t xml:space="preserve">with an extracting </w:t>
      </w:r>
      <w:r w:rsidR="004865DC">
        <w:t xml:space="preserve">alkaline solution (NaOH) at different concentrations (0.5 M, 1.0 </w:t>
      </w:r>
      <w:r w:rsidR="006318E2">
        <w:t xml:space="preserve">M, and 2.0 M) prepared using landfill leachate as the solvent. </w:t>
      </w:r>
      <w:r w:rsidR="005E44D1">
        <w:t>T</w:t>
      </w:r>
      <w:r w:rsidR="005E44D1">
        <w:t xml:space="preserve">he solid-to-liquid </w:t>
      </w:r>
      <w:r w:rsidR="007373B0">
        <w:t xml:space="preserve">(S/L) </w:t>
      </w:r>
      <w:r w:rsidR="005E44D1">
        <w:t>ratio was maintained at 1:5, with 100 g of IBA mixed with 500 mL of solution. Samples were agitated in a rotary shaker for 2 hour</w:t>
      </w:r>
      <w:r w:rsidR="00ED5D13">
        <w:t>s.</w:t>
      </w:r>
    </w:p>
    <w:p w14:paraId="423584D3" w14:textId="4225C85C" w:rsidR="00084F5D" w:rsidRDefault="00ED5D13" w:rsidP="00ED5D13">
      <w:pPr>
        <w:pStyle w:val="CETBodytext"/>
        <w:numPr>
          <w:ilvl w:val="0"/>
          <w:numId w:val="27"/>
        </w:numPr>
      </w:pPr>
      <w:r>
        <w:t>S</w:t>
      </w:r>
      <w:r w:rsidR="00084F5D">
        <w:t xml:space="preserve">olid-liquid </w:t>
      </w:r>
      <w:r w:rsidR="00084F5D" w:rsidRPr="000357F4">
        <w:t>separation</w:t>
      </w:r>
      <w:r>
        <w:t xml:space="preserve">: </w:t>
      </w:r>
      <w:r w:rsidR="00C93B18">
        <w:t>T</w:t>
      </w:r>
      <w:r w:rsidR="000E49B9">
        <w:t xml:space="preserve">he mixture was filtered under vacuum using a Büchner funnel, </w:t>
      </w:r>
      <w:r w:rsidR="00DC769D">
        <w:t xml:space="preserve">a </w:t>
      </w:r>
      <w:r w:rsidR="000E49B9">
        <w:t xml:space="preserve">conical flask, and </w:t>
      </w:r>
      <w:r w:rsidR="00DC769D">
        <w:t xml:space="preserve">a </w:t>
      </w:r>
      <w:r w:rsidR="000E49B9">
        <w:t>vacuum pump to separate the solid residue from the extraction liquid</w:t>
      </w:r>
      <w:r w:rsidR="00B04551">
        <w:t>.</w:t>
      </w:r>
    </w:p>
    <w:p w14:paraId="1A356527" w14:textId="3B4EEFA0" w:rsidR="00084F5D" w:rsidRDefault="00B04551" w:rsidP="00ED5D13">
      <w:pPr>
        <w:pStyle w:val="CETBodytext"/>
        <w:numPr>
          <w:ilvl w:val="0"/>
          <w:numId w:val="27"/>
        </w:numPr>
      </w:pPr>
      <w:r>
        <w:t>W</w:t>
      </w:r>
      <w:r w:rsidR="00084F5D" w:rsidRPr="0093767D">
        <w:t xml:space="preserve">ashing </w:t>
      </w:r>
      <w:r>
        <w:t xml:space="preserve">phase: </w:t>
      </w:r>
      <w:r w:rsidR="00C93B18">
        <w:t>The</w:t>
      </w:r>
      <w:r>
        <w:t xml:space="preserve"> recovered solid was washed using landfill leachate with an S/L ratio of 1:2. </w:t>
      </w:r>
      <w:r w:rsidR="001D274C">
        <w:t>T</w:t>
      </w:r>
      <w:r>
        <w:t xml:space="preserve">hree washing cycles were performed. </w:t>
      </w:r>
      <w:r w:rsidR="00984684">
        <w:t>Additionally, f</w:t>
      </w:r>
      <w:r>
        <w:t xml:space="preserve">or 0.5 M NaOH extraction, </w:t>
      </w:r>
      <w:r w:rsidR="00EA2DA1">
        <w:t>the</w:t>
      </w:r>
      <w:r>
        <w:t xml:space="preserve"> single-cycle washing </w:t>
      </w:r>
      <w:r w:rsidR="00EA2DA1">
        <w:t>was also</w:t>
      </w:r>
      <w:r>
        <w:t xml:space="preserve"> evaluated</w:t>
      </w:r>
      <w:r w:rsidR="00084F5D">
        <w:t>.</w:t>
      </w:r>
    </w:p>
    <w:p w14:paraId="3A6C441E" w14:textId="77777777" w:rsidR="00265231" w:rsidRDefault="00265231" w:rsidP="006142E9">
      <w:pPr>
        <w:pStyle w:val="CETCaption"/>
        <w:rPr>
          <w:noProof/>
        </w:rPr>
      </w:pPr>
      <w:r>
        <w:rPr>
          <w:noProof/>
        </w:rPr>
        <w:drawing>
          <wp:inline distT="0" distB="0" distL="0" distR="0" wp14:anchorId="0CCCBF8F" wp14:editId="7BBCEEB1">
            <wp:extent cx="5436000" cy="1218722"/>
            <wp:effectExtent l="0" t="0" r="0" b="635"/>
            <wp:docPr id="1586672317" name="Immagine 1" descr="Immagine che contiene schermata, diagramm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672317" name="Immagine 1" descr="Immagine che contiene schermata, diagramma&#10;&#10;Il contenuto generato dall'IA potrebbe non essere corretto."/>
                    <pic:cNvPicPr/>
                  </pic:nvPicPr>
                  <pic:blipFill>
                    <a:blip r:embed="rId10"/>
                    <a:stretch>
                      <a:fillRect/>
                    </a:stretch>
                  </pic:blipFill>
                  <pic:spPr>
                    <a:xfrm>
                      <a:off x="0" y="0"/>
                      <a:ext cx="5436000" cy="1218722"/>
                    </a:xfrm>
                    <a:prstGeom prst="rect">
                      <a:avLst/>
                    </a:prstGeom>
                  </pic:spPr>
                </pic:pic>
              </a:graphicData>
            </a:graphic>
          </wp:inline>
        </w:drawing>
      </w:r>
    </w:p>
    <w:p w14:paraId="667E0D2F" w14:textId="77777777" w:rsidR="00265231" w:rsidRDefault="00265231" w:rsidP="00F1073E">
      <w:pPr>
        <w:pStyle w:val="CETCaption"/>
      </w:pPr>
      <w:r>
        <w:t>Figure 1: Experimental design and s</w:t>
      </w:r>
      <w:r w:rsidRPr="00D00A52">
        <w:t>tages of the treatment process</w:t>
      </w:r>
      <w:r>
        <w:t>.</w:t>
      </w:r>
    </w:p>
    <w:p w14:paraId="2C7DBFE9" w14:textId="3AC97A36" w:rsidR="00E44932" w:rsidRPr="00DA2767" w:rsidRDefault="00A97D96" w:rsidP="00A97D96">
      <w:pPr>
        <w:pStyle w:val="CETBodytext"/>
      </w:pPr>
      <w:r>
        <w:t xml:space="preserve">Table 2 </w:t>
      </w:r>
      <w:r w:rsidR="00E44932">
        <w:t>summarizes the key experimental conditions, including NaOH concentration, reagent-to-waste ratio, and number of washing cycles.</w:t>
      </w:r>
    </w:p>
    <w:p w14:paraId="71153C13" w14:textId="1838B8B7" w:rsidR="00022185" w:rsidRDefault="00022185" w:rsidP="00022185">
      <w:pPr>
        <w:pStyle w:val="CETTabletitle"/>
      </w:pPr>
      <w:r w:rsidRPr="00D162FB">
        <w:t xml:space="preserve">Table </w:t>
      </w:r>
      <w:r>
        <w:t>2</w:t>
      </w:r>
      <w:r w:rsidR="006746B6">
        <w:t>:</w:t>
      </w:r>
      <w:r>
        <w:t xml:space="preserve"> Experiment</w:t>
      </w:r>
      <w:r w:rsidR="00795A1A">
        <w:t>al</w:t>
      </w:r>
      <w:r>
        <w:t xml:space="preserve"> conditions</w:t>
      </w:r>
      <w:r w:rsidR="000D76E3">
        <w:t xml:space="preserve"> of the </w:t>
      </w:r>
      <w:r w:rsidR="006746B6">
        <w:t xml:space="preserve">industrial waste IBA treatment </w:t>
      </w:r>
      <w:r w:rsidR="009021C4">
        <w:t>process with NaOH-based extraction and landfill leachate</w:t>
      </w:r>
      <w:r w:rsidR="006746B6">
        <w:t xml:space="preserve"> solution-based washing.</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2127"/>
        <w:gridCol w:w="1701"/>
        <w:gridCol w:w="708"/>
      </w:tblGrid>
      <w:tr w:rsidR="005618FD" w:rsidRPr="00B57B36" w14:paraId="18236B60" w14:textId="77777777" w:rsidTr="00FF2401">
        <w:tc>
          <w:tcPr>
            <w:tcW w:w="1134" w:type="dxa"/>
            <w:tcBorders>
              <w:top w:val="single" w:sz="12" w:space="0" w:color="008000"/>
              <w:bottom w:val="single" w:sz="6" w:space="0" w:color="008000"/>
            </w:tcBorders>
            <w:shd w:val="clear" w:color="auto" w:fill="FFFFFF"/>
          </w:tcPr>
          <w:p w14:paraId="63725CA4" w14:textId="614BE903" w:rsidR="005618FD" w:rsidRPr="00B57B36" w:rsidRDefault="005618FD" w:rsidP="00B25F62">
            <w:pPr>
              <w:pStyle w:val="CETBodytext"/>
              <w:rPr>
                <w:lang w:val="en-GB"/>
              </w:rPr>
            </w:pPr>
            <w:r>
              <w:rPr>
                <w:lang w:val="en-GB"/>
              </w:rPr>
              <w:t>Experiment</w:t>
            </w:r>
          </w:p>
        </w:tc>
        <w:tc>
          <w:tcPr>
            <w:tcW w:w="2127" w:type="dxa"/>
            <w:tcBorders>
              <w:top w:val="single" w:sz="12" w:space="0" w:color="008000"/>
              <w:bottom w:val="single" w:sz="6" w:space="0" w:color="008000"/>
            </w:tcBorders>
            <w:shd w:val="clear" w:color="auto" w:fill="FFFFFF"/>
          </w:tcPr>
          <w:p w14:paraId="3558EE66" w14:textId="69EDC443" w:rsidR="005618FD" w:rsidRPr="00B57B36" w:rsidRDefault="005618FD" w:rsidP="00B25F62">
            <w:pPr>
              <w:pStyle w:val="CETBodytext"/>
              <w:rPr>
                <w:lang w:val="en-GB"/>
              </w:rPr>
            </w:pPr>
            <w:r>
              <w:rPr>
                <w:lang w:val="en-GB"/>
              </w:rPr>
              <w:t>NaOH concentration [M]</w:t>
            </w:r>
          </w:p>
        </w:tc>
        <w:tc>
          <w:tcPr>
            <w:tcW w:w="1701" w:type="dxa"/>
            <w:tcBorders>
              <w:top w:val="single" w:sz="12" w:space="0" w:color="008000"/>
              <w:bottom w:val="single" w:sz="6" w:space="0" w:color="008000"/>
            </w:tcBorders>
            <w:shd w:val="clear" w:color="auto" w:fill="FFFFFF"/>
          </w:tcPr>
          <w:p w14:paraId="2FBE8B55" w14:textId="64193644" w:rsidR="005618FD" w:rsidRPr="00B57B36" w:rsidRDefault="005618FD" w:rsidP="00B25F62">
            <w:pPr>
              <w:pStyle w:val="CETBodytext"/>
              <w:rPr>
                <w:lang w:val="en-GB"/>
              </w:rPr>
            </w:pPr>
            <w:r w:rsidRPr="00FD72D0">
              <w:rPr>
                <w:lang w:val="en-GB"/>
              </w:rPr>
              <w:t>Reagent/waste [</w:t>
            </w:r>
            <w:r w:rsidRPr="00632EDF">
              <w:rPr>
                <w:lang w:val="en-GB"/>
              </w:rPr>
              <w:t>%</w:t>
            </w:r>
            <w:r w:rsidRPr="00F32E3D">
              <w:rPr>
                <w:lang w:val="en-GB"/>
              </w:rPr>
              <w:t>]</w:t>
            </w:r>
          </w:p>
        </w:tc>
        <w:tc>
          <w:tcPr>
            <w:tcW w:w="708" w:type="dxa"/>
            <w:tcBorders>
              <w:top w:val="single" w:sz="12" w:space="0" w:color="008000"/>
              <w:bottom w:val="single" w:sz="6" w:space="0" w:color="008000"/>
            </w:tcBorders>
            <w:shd w:val="clear" w:color="auto" w:fill="FFFFFF"/>
          </w:tcPr>
          <w:p w14:paraId="1D6DCB78" w14:textId="50184908" w:rsidR="005618FD" w:rsidRPr="00B57B36" w:rsidRDefault="005618FD" w:rsidP="00B25F62">
            <w:pPr>
              <w:pStyle w:val="CETBodytext"/>
              <w:ind w:right="-1"/>
              <w:rPr>
                <w:rFonts w:cs="Arial"/>
                <w:szCs w:val="18"/>
                <w:lang w:val="en-GB"/>
              </w:rPr>
            </w:pPr>
            <w:r>
              <w:rPr>
                <w:lang w:val="en-GB"/>
              </w:rPr>
              <w:t>C</w:t>
            </w:r>
            <w:r w:rsidRPr="00CB3599">
              <w:rPr>
                <w:lang w:val="en-GB"/>
              </w:rPr>
              <w:t>ycles</w:t>
            </w:r>
          </w:p>
        </w:tc>
      </w:tr>
      <w:tr w:rsidR="005618FD" w:rsidRPr="00B57B36" w14:paraId="09266272" w14:textId="77777777" w:rsidTr="00FF2401">
        <w:tc>
          <w:tcPr>
            <w:tcW w:w="1134" w:type="dxa"/>
            <w:shd w:val="clear" w:color="auto" w:fill="FFFFFF"/>
          </w:tcPr>
          <w:p w14:paraId="21DAFEDE" w14:textId="4D6B5C42" w:rsidR="005618FD" w:rsidRPr="00B57B36" w:rsidRDefault="005618FD" w:rsidP="00B25F62">
            <w:pPr>
              <w:pStyle w:val="CETBodytext"/>
              <w:rPr>
                <w:lang w:val="en-GB"/>
              </w:rPr>
            </w:pPr>
            <w:r w:rsidRPr="00B57B36">
              <w:rPr>
                <w:lang w:val="en-GB"/>
              </w:rPr>
              <w:t>A</w:t>
            </w:r>
            <w:r>
              <w:rPr>
                <w:lang w:val="en-GB"/>
              </w:rPr>
              <w:t>1</w:t>
            </w:r>
          </w:p>
        </w:tc>
        <w:tc>
          <w:tcPr>
            <w:tcW w:w="2127" w:type="dxa"/>
            <w:shd w:val="clear" w:color="auto" w:fill="FFFFFF"/>
          </w:tcPr>
          <w:p w14:paraId="69705EF1" w14:textId="3DA4A3B9" w:rsidR="005618FD" w:rsidRPr="00B57B36" w:rsidRDefault="005618FD" w:rsidP="00B25F62">
            <w:pPr>
              <w:pStyle w:val="CETBodytext"/>
              <w:rPr>
                <w:lang w:val="en-GB"/>
              </w:rPr>
            </w:pPr>
            <w:r>
              <w:rPr>
                <w:lang w:val="en-GB"/>
              </w:rPr>
              <w:t>0.5</w:t>
            </w:r>
          </w:p>
        </w:tc>
        <w:tc>
          <w:tcPr>
            <w:tcW w:w="1701" w:type="dxa"/>
            <w:shd w:val="clear" w:color="auto" w:fill="FFFFFF"/>
          </w:tcPr>
          <w:p w14:paraId="16F72AA8" w14:textId="4EFA04A0" w:rsidR="005618FD" w:rsidRPr="00B57B36" w:rsidRDefault="005618FD" w:rsidP="00B25F62">
            <w:pPr>
              <w:pStyle w:val="CETBodytext"/>
              <w:rPr>
                <w:lang w:val="en-GB"/>
              </w:rPr>
            </w:pPr>
            <w:r>
              <w:rPr>
                <w:lang w:val="en-GB"/>
              </w:rPr>
              <w:t>10</w:t>
            </w:r>
          </w:p>
        </w:tc>
        <w:tc>
          <w:tcPr>
            <w:tcW w:w="708" w:type="dxa"/>
            <w:shd w:val="clear" w:color="auto" w:fill="FFFFFF"/>
          </w:tcPr>
          <w:p w14:paraId="6ED8AB09" w14:textId="60605B0C" w:rsidR="005618FD" w:rsidRPr="00B57B36" w:rsidRDefault="00FF2401" w:rsidP="00B25F62">
            <w:pPr>
              <w:pStyle w:val="CETBodytext"/>
              <w:ind w:right="-1"/>
              <w:rPr>
                <w:rFonts w:cs="Arial"/>
                <w:szCs w:val="18"/>
                <w:lang w:val="en-GB"/>
              </w:rPr>
            </w:pPr>
            <w:r>
              <w:rPr>
                <w:rFonts w:cs="Arial"/>
                <w:szCs w:val="18"/>
                <w:lang w:val="en-GB"/>
              </w:rPr>
              <w:t>1</w:t>
            </w:r>
          </w:p>
        </w:tc>
      </w:tr>
      <w:tr w:rsidR="005618FD" w:rsidRPr="00B57B36" w14:paraId="1A9DC5AE" w14:textId="77777777" w:rsidTr="00FF2401">
        <w:tc>
          <w:tcPr>
            <w:tcW w:w="1134" w:type="dxa"/>
            <w:shd w:val="clear" w:color="auto" w:fill="FFFFFF"/>
          </w:tcPr>
          <w:p w14:paraId="2E54724A" w14:textId="1D69AD1A" w:rsidR="005618FD" w:rsidRPr="00B57B36" w:rsidRDefault="005618FD" w:rsidP="00B25F62">
            <w:pPr>
              <w:pStyle w:val="CETBodytext"/>
              <w:rPr>
                <w:lang w:val="en-GB"/>
              </w:rPr>
            </w:pPr>
            <w:r>
              <w:rPr>
                <w:lang w:val="en-GB"/>
              </w:rPr>
              <w:t>A2</w:t>
            </w:r>
          </w:p>
        </w:tc>
        <w:tc>
          <w:tcPr>
            <w:tcW w:w="2127" w:type="dxa"/>
            <w:shd w:val="clear" w:color="auto" w:fill="FFFFFF"/>
          </w:tcPr>
          <w:p w14:paraId="78B13FBF" w14:textId="1A58369A" w:rsidR="005618FD" w:rsidRDefault="005618FD" w:rsidP="00B25F62">
            <w:pPr>
              <w:pStyle w:val="CETBodytext"/>
              <w:rPr>
                <w:lang w:val="en-GB"/>
              </w:rPr>
            </w:pPr>
            <w:r>
              <w:rPr>
                <w:lang w:val="en-GB"/>
              </w:rPr>
              <w:t>0.5</w:t>
            </w:r>
          </w:p>
        </w:tc>
        <w:tc>
          <w:tcPr>
            <w:tcW w:w="1701" w:type="dxa"/>
            <w:shd w:val="clear" w:color="auto" w:fill="FFFFFF"/>
          </w:tcPr>
          <w:p w14:paraId="42E76B70" w14:textId="01A1665B" w:rsidR="005618FD" w:rsidRPr="00B57B36" w:rsidRDefault="005618FD" w:rsidP="00B25F62">
            <w:pPr>
              <w:pStyle w:val="CETBodytext"/>
              <w:rPr>
                <w:lang w:val="en-GB"/>
              </w:rPr>
            </w:pPr>
            <w:r>
              <w:rPr>
                <w:lang w:val="en-GB"/>
              </w:rPr>
              <w:t>10</w:t>
            </w:r>
          </w:p>
        </w:tc>
        <w:tc>
          <w:tcPr>
            <w:tcW w:w="708" w:type="dxa"/>
            <w:shd w:val="clear" w:color="auto" w:fill="FFFFFF"/>
          </w:tcPr>
          <w:p w14:paraId="0FB47FF6" w14:textId="04109053" w:rsidR="005618FD" w:rsidRPr="00B57B36" w:rsidRDefault="00FF2401" w:rsidP="00B25F62">
            <w:pPr>
              <w:pStyle w:val="CETBodytext"/>
              <w:ind w:right="-1"/>
              <w:rPr>
                <w:rFonts w:cs="Arial"/>
                <w:szCs w:val="18"/>
                <w:lang w:val="en-GB"/>
              </w:rPr>
            </w:pPr>
            <w:r>
              <w:rPr>
                <w:rFonts w:cs="Arial"/>
                <w:szCs w:val="18"/>
                <w:lang w:val="en-GB"/>
              </w:rPr>
              <w:t>3</w:t>
            </w:r>
          </w:p>
        </w:tc>
      </w:tr>
      <w:tr w:rsidR="005618FD" w:rsidRPr="00B57B36" w14:paraId="7B300703" w14:textId="77777777" w:rsidTr="00FF2401">
        <w:tc>
          <w:tcPr>
            <w:tcW w:w="1134" w:type="dxa"/>
            <w:shd w:val="clear" w:color="auto" w:fill="FFFFFF"/>
          </w:tcPr>
          <w:p w14:paraId="63DE9CF8" w14:textId="43A3DB93" w:rsidR="005618FD" w:rsidRPr="00B57B36" w:rsidRDefault="005618FD" w:rsidP="00B25F62">
            <w:pPr>
              <w:pStyle w:val="CETBodytext"/>
              <w:rPr>
                <w:lang w:val="en-GB"/>
              </w:rPr>
            </w:pPr>
            <w:r>
              <w:rPr>
                <w:lang w:val="en-GB"/>
              </w:rPr>
              <w:t>B</w:t>
            </w:r>
          </w:p>
        </w:tc>
        <w:tc>
          <w:tcPr>
            <w:tcW w:w="2127" w:type="dxa"/>
            <w:shd w:val="clear" w:color="auto" w:fill="FFFFFF"/>
          </w:tcPr>
          <w:p w14:paraId="6E38C3B6" w14:textId="50C53648" w:rsidR="005618FD" w:rsidRDefault="005618FD" w:rsidP="00B25F62">
            <w:pPr>
              <w:pStyle w:val="CETBodytext"/>
              <w:rPr>
                <w:lang w:val="en-GB"/>
              </w:rPr>
            </w:pPr>
            <w:r>
              <w:rPr>
                <w:lang w:val="en-GB"/>
              </w:rPr>
              <w:t>1.0</w:t>
            </w:r>
          </w:p>
        </w:tc>
        <w:tc>
          <w:tcPr>
            <w:tcW w:w="1701" w:type="dxa"/>
            <w:shd w:val="clear" w:color="auto" w:fill="FFFFFF"/>
          </w:tcPr>
          <w:p w14:paraId="12B9135B" w14:textId="66163219" w:rsidR="005618FD" w:rsidRPr="00B57B36" w:rsidRDefault="005618FD" w:rsidP="00B25F62">
            <w:pPr>
              <w:pStyle w:val="CETBodytext"/>
              <w:rPr>
                <w:lang w:val="en-GB"/>
              </w:rPr>
            </w:pPr>
            <w:r>
              <w:rPr>
                <w:lang w:val="en-GB"/>
              </w:rPr>
              <w:t>20</w:t>
            </w:r>
          </w:p>
        </w:tc>
        <w:tc>
          <w:tcPr>
            <w:tcW w:w="708" w:type="dxa"/>
            <w:shd w:val="clear" w:color="auto" w:fill="FFFFFF"/>
          </w:tcPr>
          <w:p w14:paraId="6370D88A" w14:textId="0A7D6D90" w:rsidR="005618FD" w:rsidRPr="00B57B36" w:rsidRDefault="00FF2401" w:rsidP="00B25F62">
            <w:pPr>
              <w:pStyle w:val="CETBodytext"/>
              <w:ind w:right="-1"/>
              <w:rPr>
                <w:rFonts w:cs="Arial"/>
                <w:szCs w:val="18"/>
                <w:lang w:val="en-GB"/>
              </w:rPr>
            </w:pPr>
            <w:r>
              <w:rPr>
                <w:rFonts w:cs="Arial"/>
                <w:szCs w:val="18"/>
                <w:lang w:val="en-GB"/>
              </w:rPr>
              <w:t>3</w:t>
            </w:r>
          </w:p>
        </w:tc>
      </w:tr>
      <w:tr w:rsidR="005618FD" w:rsidRPr="00B57B36" w14:paraId="43E5B18F" w14:textId="77777777" w:rsidTr="00FF2401">
        <w:tc>
          <w:tcPr>
            <w:tcW w:w="1134" w:type="dxa"/>
            <w:shd w:val="clear" w:color="auto" w:fill="FFFFFF"/>
          </w:tcPr>
          <w:p w14:paraId="209B71BA" w14:textId="1E0EFE78" w:rsidR="005618FD" w:rsidRPr="00B57B36" w:rsidRDefault="005618FD" w:rsidP="00B25F62">
            <w:pPr>
              <w:pStyle w:val="CETBodytext"/>
              <w:ind w:right="-1"/>
              <w:rPr>
                <w:rFonts w:cs="Arial"/>
                <w:szCs w:val="18"/>
                <w:lang w:val="en-GB"/>
              </w:rPr>
            </w:pPr>
            <w:r>
              <w:rPr>
                <w:rFonts w:cs="Arial"/>
                <w:szCs w:val="18"/>
                <w:lang w:val="en-GB"/>
              </w:rPr>
              <w:t>C</w:t>
            </w:r>
          </w:p>
        </w:tc>
        <w:tc>
          <w:tcPr>
            <w:tcW w:w="2127" w:type="dxa"/>
            <w:shd w:val="clear" w:color="auto" w:fill="FFFFFF"/>
          </w:tcPr>
          <w:p w14:paraId="0666BCE6" w14:textId="65C6FE19" w:rsidR="005618FD" w:rsidRPr="00B57B36" w:rsidRDefault="005618FD" w:rsidP="00B25F62">
            <w:pPr>
              <w:pStyle w:val="CETBodytext"/>
              <w:ind w:right="-1"/>
              <w:rPr>
                <w:rFonts w:cs="Arial"/>
                <w:szCs w:val="18"/>
                <w:lang w:val="en-GB"/>
              </w:rPr>
            </w:pPr>
            <w:r>
              <w:rPr>
                <w:rFonts w:cs="Arial"/>
                <w:szCs w:val="18"/>
                <w:lang w:val="en-GB"/>
              </w:rPr>
              <w:t>2.0</w:t>
            </w:r>
          </w:p>
        </w:tc>
        <w:tc>
          <w:tcPr>
            <w:tcW w:w="1701" w:type="dxa"/>
            <w:shd w:val="clear" w:color="auto" w:fill="FFFFFF"/>
          </w:tcPr>
          <w:p w14:paraId="2E696C3E" w14:textId="40032F2A" w:rsidR="005618FD" w:rsidRPr="00B57B36" w:rsidRDefault="005618FD" w:rsidP="00B25F62">
            <w:pPr>
              <w:pStyle w:val="CETBodytext"/>
              <w:ind w:right="-1"/>
              <w:rPr>
                <w:rFonts w:cs="Arial"/>
                <w:szCs w:val="18"/>
                <w:lang w:val="en-GB"/>
              </w:rPr>
            </w:pPr>
            <w:r>
              <w:rPr>
                <w:rFonts w:cs="Arial"/>
                <w:szCs w:val="18"/>
                <w:lang w:val="en-GB"/>
              </w:rPr>
              <w:t>40</w:t>
            </w:r>
          </w:p>
        </w:tc>
        <w:tc>
          <w:tcPr>
            <w:tcW w:w="708" w:type="dxa"/>
            <w:shd w:val="clear" w:color="auto" w:fill="FFFFFF"/>
          </w:tcPr>
          <w:p w14:paraId="12E059E7" w14:textId="08E0E3A4" w:rsidR="005618FD" w:rsidRPr="00B57B36" w:rsidRDefault="00FF2401" w:rsidP="00B25F62">
            <w:pPr>
              <w:pStyle w:val="CETBodytext"/>
              <w:ind w:right="-1"/>
              <w:rPr>
                <w:rFonts w:cs="Arial"/>
                <w:szCs w:val="18"/>
                <w:lang w:val="en-GB"/>
              </w:rPr>
            </w:pPr>
            <w:r>
              <w:rPr>
                <w:rFonts w:cs="Arial"/>
                <w:szCs w:val="18"/>
                <w:lang w:val="en-GB"/>
              </w:rPr>
              <w:t>3</w:t>
            </w:r>
          </w:p>
        </w:tc>
      </w:tr>
    </w:tbl>
    <w:p w14:paraId="6A2D4D5E" w14:textId="77777777" w:rsidR="006142E9" w:rsidRDefault="006142E9" w:rsidP="00A96FD2">
      <w:pPr>
        <w:pStyle w:val="CETBodytext"/>
      </w:pPr>
    </w:p>
    <w:p w14:paraId="00DE62C5" w14:textId="1A2DCD65" w:rsidR="00FE15FE" w:rsidRDefault="00FE15FE" w:rsidP="00A96FD2">
      <w:pPr>
        <w:pStyle w:val="CETBodytext"/>
      </w:pPr>
      <w:r>
        <w:t xml:space="preserve">The landfill leachate used as a solvent and washing agent was characterized prior to use. Table 3 reports the concentrations of </w:t>
      </w:r>
      <w:r w:rsidR="00BB0B90">
        <w:t>the main components</w:t>
      </w:r>
      <w:r>
        <w:t xml:space="preserve">. The leachate exhibited a basic pH </w:t>
      </w:r>
      <w:r w:rsidR="00BB0B90">
        <w:t>(</w:t>
      </w:r>
      <w:r>
        <w:t>10.8</w:t>
      </w:r>
      <w:r w:rsidR="00BB0B90">
        <w:t>)</w:t>
      </w:r>
      <w:r>
        <w:t xml:space="preserve"> and contained notable concentrations of chlorides and sulphates</w:t>
      </w:r>
      <w:r w:rsidR="00E9016C">
        <w:t>.</w:t>
      </w:r>
    </w:p>
    <w:p w14:paraId="7162D4BC" w14:textId="77777777" w:rsidR="006E55C2" w:rsidRDefault="006E55C2" w:rsidP="006E55C2">
      <w:pPr>
        <w:pStyle w:val="CETTabletitle"/>
        <w:spacing w:before="120"/>
      </w:pPr>
      <w:bookmarkStart w:id="7" w:name="_Hlk193359412"/>
      <w:r w:rsidRPr="00B57B36">
        <w:t xml:space="preserve">Table </w:t>
      </w:r>
      <w:r>
        <w:t>3</w:t>
      </w:r>
      <w:r w:rsidRPr="00B57B36">
        <w:t>:</w:t>
      </w:r>
      <w:r w:rsidRPr="001B65EC">
        <w:t xml:space="preserve"> </w:t>
      </w:r>
      <w:r>
        <w:t>C</w:t>
      </w:r>
      <w:r w:rsidRPr="00D00A52">
        <w:t>haracteristics of the</w:t>
      </w:r>
      <w:r>
        <w:t xml:space="preserve"> landfill</w:t>
      </w:r>
      <w:r w:rsidRPr="00D00A52">
        <w:t xml:space="preserve"> leachate</w:t>
      </w:r>
      <w:r>
        <w:t xml:space="preserve"> [mg/l].</w:t>
      </w:r>
    </w:p>
    <w:tbl>
      <w:tblPr>
        <w:tblW w:w="4284" w:type="pct"/>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986"/>
        <w:gridCol w:w="426"/>
        <w:gridCol w:w="766"/>
        <w:gridCol w:w="577"/>
        <w:gridCol w:w="379"/>
        <w:gridCol w:w="806"/>
        <w:gridCol w:w="599"/>
        <w:gridCol w:w="703"/>
        <w:gridCol w:w="572"/>
        <w:gridCol w:w="572"/>
        <w:gridCol w:w="572"/>
        <w:gridCol w:w="571"/>
      </w:tblGrid>
      <w:tr w:rsidR="006E55C2" w:rsidRPr="00B57B36" w14:paraId="23299044" w14:textId="77777777" w:rsidTr="00D87B60">
        <w:trPr>
          <w:trHeight w:val="130"/>
        </w:trPr>
        <w:tc>
          <w:tcPr>
            <w:tcW w:w="654" w:type="pct"/>
            <w:shd w:val="clear" w:color="auto" w:fill="FFFFFF"/>
          </w:tcPr>
          <w:p w14:paraId="778828DA" w14:textId="77777777" w:rsidR="006E55C2" w:rsidRDefault="006E55C2" w:rsidP="00D87B60">
            <w:pPr>
              <w:pStyle w:val="CETBodytext"/>
              <w:jc w:val="center"/>
              <w:rPr>
                <w:lang w:val="en-GB"/>
              </w:rPr>
            </w:pPr>
            <w:bookmarkStart w:id="8" w:name="_Hlk202964825"/>
            <w:r>
              <w:rPr>
                <w:lang w:val="en-GB"/>
              </w:rPr>
              <w:t xml:space="preserve">As </w:t>
            </w:r>
          </w:p>
        </w:tc>
        <w:tc>
          <w:tcPr>
            <w:tcW w:w="283" w:type="pct"/>
            <w:shd w:val="clear" w:color="auto" w:fill="FFFFFF"/>
          </w:tcPr>
          <w:p w14:paraId="3D943D70" w14:textId="77777777" w:rsidR="006E55C2" w:rsidRDefault="006E55C2" w:rsidP="00D87B60">
            <w:pPr>
              <w:pStyle w:val="CETBodytext"/>
              <w:jc w:val="center"/>
              <w:rPr>
                <w:lang w:val="en-GB"/>
              </w:rPr>
            </w:pPr>
            <w:r>
              <w:rPr>
                <w:lang w:val="en-GB"/>
              </w:rPr>
              <w:t>Ba</w:t>
            </w:r>
          </w:p>
        </w:tc>
        <w:tc>
          <w:tcPr>
            <w:tcW w:w="509" w:type="pct"/>
            <w:shd w:val="clear" w:color="auto" w:fill="FFFFFF"/>
          </w:tcPr>
          <w:p w14:paraId="7B05D078" w14:textId="77777777" w:rsidR="006E55C2" w:rsidRDefault="006E55C2" w:rsidP="00D87B60">
            <w:pPr>
              <w:pStyle w:val="CETBodytext"/>
              <w:jc w:val="center"/>
              <w:rPr>
                <w:lang w:val="en-GB"/>
              </w:rPr>
            </w:pPr>
            <w:r>
              <w:rPr>
                <w:lang w:val="en-GB"/>
              </w:rPr>
              <w:t>Cd</w:t>
            </w:r>
          </w:p>
        </w:tc>
        <w:tc>
          <w:tcPr>
            <w:tcW w:w="383" w:type="pct"/>
            <w:shd w:val="clear" w:color="auto" w:fill="FFFFFF"/>
          </w:tcPr>
          <w:p w14:paraId="291B832E" w14:textId="77777777" w:rsidR="006E55C2" w:rsidRDefault="006E55C2" w:rsidP="00D87B60">
            <w:pPr>
              <w:pStyle w:val="CETBodytext"/>
              <w:jc w:val="center"/>
              <w:rPr>
                <w:lang w:val="en-GB"/>
              </w:rPr>
            </w:pPr>
            <w:r>
              <w:rPr>
                <w:lang w:val="en-GB"/>
              </w:rPr>
              <w:t>Cr</w:t>
            </w:r>
          </w:p>
        </w:tc>
        <w:tc>
          <w:tcPr>
            <w:tcW w:w="252" w:type="pct"/>
            <w:shd w:val="clear" w:color="auto" w:fill="FFFFFF"/>
          </w:tcPr>
          <w:p w14:paraId="1F8451A8" w14:textId="77777777" w:rsidR="006E55C2" w:rsidRDefault="006E55C2" w:rsidP="00D87B60">
            <w:pPr>
              <w:pStyle w:val="CETBodytext"/>
              <w:jc w:val="center"/>
              <w:rPr>
                <w:lang w:val="en-GB"/>
              </w:rPr>
            </w:pPr>
            <w:r>
              <w:rPr>
                <w:lang w:val="en-GB"/>
              </w:rPr>
              <w:t>Cu</w:t>
            </w:r>
          </w:p>
        </w:tc>
        <w:tc>
          <w:tcPr>
            <w:tcW w:w="535" w:type="pct"/>
            <w:shd w:val="clear" w:color="auto" w:fill="FFFFFF"/>
          </w:tcPr>
          <w:p w14:paraId="323D5A9F" w14:textId="77777777" w:rsidR="006E55C2" w:rsidRDefault="006E55C2" w:rsidP="00D87B60">
            <w:pPr>
              <w:pStyle w:val="CETBodytext"/>
              <w:jc w:val="center"/>
              <w:rPr>
                <w:lang w:val="en-GB"/>
              </w:rPr>
            </w:pPr>
            <w:r>
              <w:rPr>
                <w:lang w:val="en-GB"/>
              </w:rPr>
              <w:t>Hg</w:t>
            </w:r>
          </w:p>
        </w:tc>
        <w:tc>
          <w:tcPr>
            <w:tcW w:w="398" w:type="pct"/>
            <w:shd w:val="clear" w:color="auto" w:fill="FFFFFF"/>
          </w:tcPr>
          <w:p w14:paraId="76CA4F43" w14:textId="77777777" w:rsidR="006E55C2" w:rsidRDefault="006E55C2" w:rsidP="00D87B60">
            <w:pPr>
              <w:pStyle w:val="CETBodytext"/>
              <w:jc w:val="center"/>
              <w:rPr>
                <w:lang w:val="en-GB"/>
              </w:rPr>
            </w:pPr>
            <w:r>
              <w:rPr>
                <w:lang w:val="en-GB"/>
              </w:rPr>
              <w:t>Mo</w:t>
            </w:r>
          </w:p>
        </w:tc>
        <w:tc>
          <w:tcPr>
            <w:tcW w:w="467" w:type="pct"/>
            <w:shd w:val="clear" w:color="auto" w:fill="FFFFFF"/>
          </w:tcPr>
          <w:p w14:paraId="4A4FC4CF" w14:textId="77777777" w:rsidR="006E55C2" w:rsidRDefault="006E55C2" w:rsidP="00D87B60">
            <w:pPr>
              <w:pStyle w:val="CETBodytext"/>
              <w:jc w:val="center"/>
              <w:rPr>
                <w:lang w:val="en-GB"/>
              </w:rPr>
            </w:pPr>
            <w:r>
              <w:rPr>
                <w:lang w:val="en-GB"/>
              </w:rPr>
              <w:t>Ni</w:t>
            </w:r>
          </w:p>
        </w:tc>
        <w:tc>
          <w:tcPr>
            <w:tcW w:w="380" w:type="pct"/>
            <w:shd w:val="clear" w:color="auto" w:fill="FFFFFF"/>
          </w:tcPr>
          <w:p w14:paraId="713E229F" w14:textId="77777777" w:rsidR="006E55C2" w:rsidRDefault="006E55C2" w:rsidP="00D87B60">
            <w:pPr>
              <w:pStyle w:val="CETBodytext"/>
              <w:jc w:val="center"/>
              <w:rPr>
                <w:lang w:val="en-GB"/>
              </w:rPr>
            </w:pPr>
            <w:r>
              <w:rPr>
                <w:lang w:val="en-GB"/>
              </w:rPr>
              <w:t>Pb</w:t>
            </w:r>
          </w:p>
        </w:tc>
        <w:tc>
          <w:tcPr>
            <w:tcW w:w="380" w:type="pct"/>
            <w:shd w:val="clear" w:color="auto" w:fill="FFFFFF"/>
          </w:tcPr>
          <w:p w14:paraId="77C31D67" w14:textId="77777777" w:rsidR="006E55C2" w:rsidRDefault="006E55C2" w:rsidP="00D87B60">
            <w:pPr>
              <w:pStyle w:val="CETBodytext"/>
              <w:jc w:val="center"/>
              <w:rPr>
                <w:lang w:val="en-GB"/>
              </w:rPr>
            </w:pPr>
            <w:r>
              <w:rPr>
                <w:lang w:val="en-GB"/>
              </w:rPr>
              <w:t>Sb</w:t>
            </w:r>
          </w:p>
        </w:tc>
        <w:tc>
          <w:tcPr>
            <w:tcW w:w="380" w:type="pct"/>
            <w:shd w:val="clear" w:color="auto" w:fill="FFFFFF"/>
          </w:tcPr>
          <w:p w14:paraId="134BEB23" w14:textId="77777777" w:rsidR="006E55C2" w:rsidRDefault="006E55C2" w:rsidP="00D87B60">
            <w:pPr>
              <w:pStyle w:val="CETBodytext"/>
              <w:jc w:val="center"/>
              <w:rPr>
                <w:lang w:val="en-GB"/>
              </w:rPr>
            </w:pPr>
            <w:r>
              <w:rPr>
                <w:lang w:val="en-GB"/>
              </w:rPr>
              <w:t>Se</w:t>
            </w:r>
          </w:p>
        </w:tc>
        <w:tc>
          <w:tcPr>
            <w:tcW w:w="380" w:type="pct"/>
            <w:shd w:val="clear" w:color="auto" w:fill="FFFFFF"/>
          </w:tcPr>
          <w:p w14:paraId="628854C9" w14:textId="77777777" w:rsidR="006E55C2" w:rsidRDefault="006E55C2" w:rsidP="00D87B60">
            <w:pPr>
              <w:pStyle w:val="CETBodytext"/>
              <w:jc w:val="center"/>
              <w:rPr>
                <w:lang w:val="en-GB"/>
              </w:rPr>
            </w:pPr>
            <w:r>
              <w:rPr>
                <w:lang w:val="en-GB"/>
              </w:rPr>
              <w:t>Zn</w:t>
            </w:r>
          </w:p>
        </w:tc>
      </w:tr>
      <w:tr w:rsidR="006E55C2" w:rsidRPr="00B57B36" w14:paraId="7E87C01E" w14:textId="77777777" w:rsidTr="00D87B60">
        <w:trPr>
          <w:trHeight w:val="355"/>
        </w:trPr>
        <w:tc>
          <w:tcPr>
            <w:tcW w:w="654" w:type="pct"/>
            <w:shd w:val="clear" w:color="auto" w:fill="FFFFFF"/>
          </w:tcPr>
          <w:p w14:paraId="0C90541A" w14:textId="77777777" w:rsidR="006E55C2" w:rsidRDefault="006E55C2" w:rsidP="00D87B60">
            <w:pPr>
              <w:pStyle w:val="CETBodytext"/>
              <w:jc w:val="center"/>
              <w:rPr>
                <w:lang w:val="en-GB"/>
              </w:rPr>
            </w:pPr>
            <w:r>
              <w:rPr>
                <w:lang w:val="en-GB"/>
              </w:rPr>
              <w:t xml:space="preserve">0.2 </w:t>
            </w:r>
          </w:p>
        </w:tc>
        <w:tc>
          <w:tcPr>
            <w:tcW w:w="283" w:type="pct"/>
            <w:shd w:val="clear" w:color="auto" w:fill="FFFFFF"/>
          </w:tcPr>
          <w:p w14:paraId="17F7234B" w14:textId="77777777" w:rsidR="006E55C2" w:rsidRDefault="006E55C2" w:rsidP="00D87B60">
            <w:pPr>
              <w:pStyle w:val="CETBodytext"/>
              <w:jc w:val="center"/>
              <w:rPr>
                <w:lang w:val="en-GB"/>
              </w:rPr>
            </w:pPr>
            <w:r>
              <w:rPr>
                <w:lang w:val="en-GB"/>
              </w:rPr>
              <w:t>0.13</w:t>
            </w:r>
          </w:p>
        </w:tc>
        <w:tc>
          <w:tcPr>
            <w:tcW w:w="509" w:type="pct"/>
            <w:shd w:val="clear" w:color="auto" w:fill="FFFFFF"/>
          </w:tcPr>
          <w:p w14:paraId="7F11B069" w14:textId="77777777" w:rsidR="006E55C2" w:rsidRDefault="006E55C2" w:rsidP="00D87B60">
            <w:pPr>
              <w:pStyle w:val="CETBodytext"/>
              <w:jc w:val="center"/>
              <w:rPr>
                <w:lang w:val="en-GB"/>
              </w:rPr>
            </w:pPr>
            <w:r>
              <w:rPr>
                <w:lang w:val="en-GB"/>
              </w:rPr>
              <w:t>0.01</w:t>
            </w:r>
          </w:p>
        </w:tc>
        <w:tc>
          <w:tcPr>
            <w:tcW w:w="383" w:type="pct"/>
            <w:shd w:val="clear" w:color="auto" w:fill="FFFFFF"/>
          </w:tcPr>
          <w:p w14:paraId="64A9A6E0" w14:textId="77777777" w:rsidR="006E55C2" w:rsidRDefault="006E55C2" w:rsidP="00D87B60">
            <w:pPr>
              <w:pStyle w:val="CETBodytext"/>
              <w:jc w:val="center"/>
              <w:rPr>
                <w:lang w:val="en-GB"/>
              </w:rPr>
            </w:pPr>
            <w:r>
              <w:rPr>
                <w:lang w:val="en-GB"/>
              </w:rPr>
              <w:t>0.02</w:t>
            </w:r>
          </w:p>
        </w:tc>
        <w:tc>
          <w:tcPr>
            <w:tcW w:w="252" w:type="pct"/>
            <w:shd w:val="clear" w:color="auto" w:fill="FFFFFF"/>
          </w:tcPr>
          <w:p w14:paraId="5B73CD98" w14:textId="77777777" w:rsidR="006E55C2" w:rsidRDefault="006E55C2" w:rsidP="00D87B60">
            <w:pPr>
              <w:pStyle w:val="CETBodytext"/>
              <w:jc w:val="center"/>
              <w:rPr>
                <w:lang w:val="en-GB"/>
              </w:rPr>
            </w:pPr>
            <w:r>
              <w:rPr>
                <w:lang w:val="en-GB"/>
              </w:rPr>
              <w:t>0</w:t>
            </w:r>
          </w:p>
        </w:tc>
        <w:tc>
          <w:tcPr>
            <w:tcW w:w="535" w:type="pct"/>
            <w:shd w:val="clear" w:color="auto" w:fill="FFFFFF"/>
          </w:tcPr>
          <w:p w14:paraId="04A3217B" w14:textId="77777777" w:rsidR="006E55C2" w:rsidRDefault="006E55C2" w:rsidP="00D87B60">
            <w:pPr>
              <w:pStyle w:val="CETBodytext"/>
              <w:jc w:val="center"/>
              <w:rPr>
                <w:lang w:val="en-GB"/>
              </w:rPr>
            </w:pPr>
            <w:r>
              <w:rPr>
                <w:lang w:val="en-GB"/>
              </w:rPr>
              <w:t>0.03</w:t>
            </w:r>
          </w:p>
        </w:tc>
        <w:tc>
          <w:tcPr>
            <w:tcW w:w="398" w:type="pct"/>
            <w:shd w:val="clear" w:color="auto" w:fill="FFFFFF"/>
          </w:tcPr>
          <w:p w14:paraId="01481652" w14:textId="77777777" w:rsidR="006E55C2" w:rsidRDefault="006E55C2" w:rsidP="00D87B60">
            <w:pPr>
              <w:pStyle w:val="CETBodytext"/>
              <w:jc w:val="center"/>
              <w:rPr>
                <w:lang w:val="en-GB"/>
              </w:rPr>
            </w:pPr>
            <w:r>
              <w:rPr>
                <w:lang w:val="en-GB"/>
              </w:rPr>
              <w:t>4.5</w:t>
            </w:r>
          </w:p>
        </w:tc>
        <w:tc>
          <w:tcPr>
            <w:tcW w:w="467" w:type="pct"/>
            <w:shd w:val="clear" w:color="auto" w:fill="FFFFFF"/>
          </w:tcPr>
          <w:p w14:paraId="458D08D4" w14:textId="77777777" w:rsidR="006E55C2" w:rsidRDefault="006E55C2" w:rsidP="00D87B60">
            <w:pPr>
              <w:pStyle w:val="CETBodytext"/>
              <w:jc w:val="center"/>
              <w:rPr>
                <w:lang w:val="en-GB"/>
              </w:rPr>
            </w:pPr>
            <w:r>
              <w:rPr>
                <w:lang w:val="en-GB"/>
              </w:rPr>
              <w:t>0.22</w:t>
            </w:r>
          </w:p>
        </w:tc>
        <w:tc>
          <w:tcPr>
            <w:tcW w:w="380" w:type="pct"/>
            <w:shd w:val="clear" w:color="auto" w:fill="FFFFFF"/>
          </w:tcPr>
          <w:p w14:paraId="4E9879F8" w14:textId="77777777" w:rsidR="006E55C2" w:rsidRDefault="006E55C2" w:rsidP="00D87B60">
            <w:pPr>
              <w:pStyle w:val="CETBodytext"/>
              <w:jc w:val="center"/>
              <w:rPr>
                <w:lang w:val="en-GB"/>
              </w:rPr>
            </w:pPr>
            <w:r>
              <w:rPr>
                <w:lang w:val="en-GB"/>
              </w:rPr>
              <w:t>0.02</w:t>
            </w:r>
          </w:p>
        </w:tc>
        <w:tc>
          <w:tcPr>
            <w:tcW w:w="380" w:type="pct"/>
            <w:shd w:val="clear" w:color="auto" w:fill="FFFFFF"/>
          </w:tcPr>
          <w:p w14:paraId="4A8BF2F0" w14:textId="77777777" w:rsidR="006E55C2" w:rsidRDefault="006E55C2" w:rsidP="00D87B60">
            <w:pPr>
              <w:pStyle w:val="CETBodytext"/>
              <w:jc w:val="center"/>
              <w:rPr>
                <w:lang w:val="en-GB"/>
              </w:rPr>
            </w:pPr>
            <w:r>
              <w:rPr>
                <w:lang w:val="en-GB"/>
              </w:rPr>
              <w:t>0.11</w:t>
            </w:r>
          </w:p>
        </w:tc>
        <w:tc>
          <w:tcPr>
            <w:tcW w:w="380" w:type="pct"/>
            <w:shd w:val="clear" w:color="auto" w:fill="FFFFFF"/>
          </w:tcPr>
          <w:p w14:paraId="75F3C4D7" w14:textId="77777777" w:rsidR="006E55C2" w:rsidRDefault="006E55C2" w:rsidP="00D87B60">
            <w:pPr>
              <w:pStyle w:val="CETBodytext"/>
              <w:jc w:val="center"/>
              <w:rPr>
                <w:lang w:val="en-GB"/>
              </w:rPr>
            </w:pPr>
            <w:r>
              <w:rPr>
                <w:lang w:val="en-GB"/>
              </w:rPr>
              <w:t>0.07</w:t>
            </w:r>
          </w:p>
        </w:tc>
        <w:tc>
          <w:tcPr>
            <w:tcW w:w="380" w:type="pct"/>
            <w:shd w:val="clear" w:color="auto" w:fill="FFFFFF"/>
          </w:tcPr>
          <w:p w14:paraId="23D35C46" w14:textId="77777777" w:rsidR="006E55C2" w:rsidRDefault="006E55C2" w:rsidP="00D87B60">
            <w:pPr>
              <w:pStyle w:val="CETBodytext"/>
              <w:jc w:val="center"/>
              <w:rPr>
                <w:lang w:val="en-GB"/>
              </w:rPr>
            </w:pPr>
            <w:r>
              <w:rPr>
                <w:lang w:val="en-GB"/>
              </w:rPr>
              <w:t>0.80</w:t>
            </w:r>
          </w:p>
        </w:tc>
      </w:tr>
      <w:tr w:rsidR="006E55C2" w:rsidRPr="00B57B36" w14:paraId="39012E23" w14:textId="77777777" w:rsidTr="00D87B60">
        <w:trPr>
          <w:trHeight w:val="226"/>
        </w:trPr>
        <w:tc>
          <w:tcPr>
            <w:tcW w:w="654" w:type="pct"/>
            <w:shd w:val="clear" w:color="auto" w:fill="FFFFFF"/>
          </w:tcPr>
          <w:p w14:paraId="38E2452C" w14:textId="77777777" w:rsidR="006E55C2" w:rsidRDefault="006E55C2" w:rsidP="00D87B60">
            <w:pPr>
              <w:pStyle w:val="CETBodytext"/>
              <w:jc w:val="center"/>
              <w:rPr>
                <w:lang w:val="en-GB"/>
              </w:rPr>
            </w:pPr>
            <w:r>
              <w:rPr>
                <w:lang w:val="en-GB"/>
              </w:rPr>
              <w:t>Chlorides</w:t>
            </w:r>
          </w:p>
        </w:tc>
        <w:tc>
          <w:tcPr>
            <w:tcW w:w="283" w:type="pct"/>
            <w:shd w:val="clear" w:color="auto" w:fill="FFFFFF"/>
          </w:tcPr>
          <w:p w14:paraId="5B846FA4" w14:textId="77777777" w:rsidR="006E55C2" w:rsidRDefault="006E55C2" w:rsidP="00D87B60">
            <w:pPr>
              <w:pStyle w:val="CETBodytext"/>
              <w:jc w:val="center"/>
              <w:rPr>
                <w:lang w:val="en-GB"/>
              </w:rPr>
            </w:pPr>
          </w:p>
        </w:tc>
        <w:tc>
          <w:tcPr>
            <w:tcW w:w="509" w:type="pct"/>
            <w:shd w:val="clear" w:color="auto" w:fill="FFFFFF"/>
          </w:tcPr>
          <w:p w14:paraId="02BBCB70" w14:textId="77777777" w:rsidR="006E55C2" w:rsidRDefault="006E55C2" w:rsidP="00D87B60">
            <w:pPr>
              <w:pStyle w:val="CETBodytext"/>
              <w:jc w:val="center"/>
              <w:rPr>
                <w:lang w:val="en-GB"/>
              </w:rPr>
            </w:pPr>
            <w:r>
              <w:rPr>
                <w:lang w:val="en-GB"/>
              </w:rPr>
              <w:t>Fluorides</w:t>
            </w:r>
          </w:p>
        </w:tc>
        <w:tc>
          <w:tcPr>
            <w:tcW w:w="383" w:type="pct"/>
            <w:shd w:val="clear" w:color="auto" w:fill="FFFFFF"/>
          </w:tcPr>
          <w:p w14:paraId="79782787" w14:textId="77777777" w:rsidR="006E55C2" w:rsidRDefault="006E55C2" w:rsidP="00D87B60">
            <w:pPr>
              <w:pStyle w:val="CETBodytext"/>
              <w:jc w:val="center"/>
              <w:rPr>
                <w:lang w:val="en-GB"/>
              </w:rPr>
            </w:pPr>
          </w:p>
        </w:tc>
        <w:tc>
          <w:tcPr>
            <w:tcW w:w="252" w:type="pct"/>
            <w:shd w:val="clear" w:color="auto" w:fill="FFFFFF"/>
          </w:tcPr>
          <w:p w14:paraId="11916DD2" w14:textId="77777777" w:rsidR="006E55C2" w:rsidRDefault="006E55C2" w:rsidP="00D87B60">
            <w:pPr>
              <w:pStyle w:val="CETBodytext"/>
              <w:jc w:val="center"/>
              <w:rPr>
                <w:lang w:val="en-GB"/>
              </w:rPr>
            </w:pPr>
          </w:p>
        </w:tc>
        <w:tc>
          <w:tcPr>
            <w:tcW w:w="535" w:type="pct"/>
            <w:shd w:val="clear" w:color="auto" w:fill="FFFFFF"/>
          </w:tcPr>
          <w:p w14:paraId="132EBA94" w14:textId="77777777" w:rsidR="006E55C2" w:rsidRDefault="006E55C2" w:rsidP="00D87B60">
            <w:pPr>
              <w:pStyle w:val="CETBodytext"/>
              <w:jc w:val="center"/>
              <w:rPr>
                <w:lang w:val="en-GB"/>
              </w:rPr>
            </w:pPr>
            <w:r>
              <w:rPr>
                <w:lang w:val="en-GB"/>
              </w:rPr>
              <w:t xml:space="preserve">Sulphate </w:t>
            </w:r>
          </w:p>
        </w:tc>
        <w:tc>
          <w:tcPr>
            <w:tcW w:w="398" w:type="pct"/>
            <w:shd w:val="clear" w:color="auto" w:fill="FFFFFF"/>
          </w:tcPr>
          <w:p w14:paraId="02B87678" w14:textId="77777777" w:rsidR="006E55C2" w:rsidRDefault="006E55C2" w:rsidP="00D87B60">
            <w:pPr>
              <w:pStyle w:val="CETBodytext"/>
              <w:jc w:val="center"/>
              <w:rPr>
                <w:lang w:val="en-GB"/>
              </w:rPr>
            </w:pPr>
          </w:p>
        </w:tc>
        <w:tc>
          <w:tcPr>
            <w:tcW w:w="467" w:type="pct"/>
            <w:shd w:val="clear" w:color="auto" w:fill="FFFFFF"/>
          </w:tcPr>
          <w:p w14:paraId="79A57DA2" w14:textId="77777777" w:rsidR="006E55C2" w:rsidRDefault="006E55C2" w:rsidP="00D87B60">
            <w:pPr>
              <w:pStyle w:val="CETBodytext"/>
              <w:jc w:val="center"/>
              <w:rPr>
                <w:lang w:val="en-GB"/>
              </w:rPr>
            </w:pPr>
            <w:r>
              <w:rPr>
                <w:lang w:val="en-GB"/>
              </w:rPr>
              <w:t>DOC</w:t>
            </w:r>
          </w:p>
        </w:tc>
        <w:tc>
          <w:tcPr>
            <w:tcW w:w="380" w:type="pct"/>
            <w:shd w:val="clear" w:color="auto" w:fill="FFFFFF"/>
          </w:tcPr>
          <w:p w14:paraId="5CD197DA" w14:textId="77777777" w:rsidR="006E55C2" w:rsidRDefault="006E55C2" w:rsidP="00D87B60">
            <w:pPr>
              <w:pStyle w:val="CETBodytext"/>
              <w:jc w:val="center"/>
              <w:rPr>
                <w:lang w:val="en-GB"/>
              </w:rPr>
            </w:pPr>
          </w:p>
        </w:tc>
        <w:tc>
          <w:tcPr>
            <w:tcW w:w="380" w:type="pct"/>
            <w:shd w:val="clear" w:color="auto" w:fill="FFFFFF"/>
          </w:tcPr>
          <w:p w14:paraId="6FBB7B9B" w14:textId="77777777" w:rsidR="006E55C2" w:rsidRDefault="006E55C2" w:rsidP="00D87B60">
            <w:pPr>
              <w:pStyle w:val="CETBodytext"/>
              <w:jc w:val="center"/>
              <w:rPr>
                <w:lang w:val="en-GB"/>
              </w:rPr>
            </w:pPr>
            <w:r>
              <w:rPr>
                <w:lang w:val="en-GB"/>
              </w:rPr>
              <w:t>TDS</w:t>
            </w:r>
          </w:p>
        </w:tc>
        <w:tc>
          <w:tcPr>
            <w:tcW w:w="380" w:type="pct"/>
            <w:shd w:val="clear" w:color="auto" w:fill="FFFFFF"/>
          </w:tcPr>
          <w:p w14:paraId="0681DB5A" w14:textId="77777777" w:rsidR="006E55C2" w:rsidRDefault="006E55C2" w:rsidP="00D87B60">
            <w:pPr>
              <w:pStyle w:val="CETBodytext"/>
              <w:jc w:val="center"/>
              <w:rPr>
                <w:lang w:val="en-GB"/>
              </w:rPr>
            </w:pPr>
          </w:p>
        </w:tc>
        <w:tc>
          <w:tcPr>
            <w:tcW w:w="380" w:type="pct"/>
            <w:shd w:val="clear" w:color="auto" w:fill="FFFFFF"/>
          </w:tcPr>
          <w:p w14:paraId="3EC8D0DB" w14:textId="77777777" w:rsidR="006E55C2" w:rsidRDefault="006E55C2" w:rsidP="00D87B60">
            <w:pPr>
              <w:pStyle w:val="CETBodytext"/>
              <w:jc w:val="center"/>
              <w:rPr>
                <w:lang w:val="en-GB"/>
              </w:rPr>
            </w:pPr>
          </w:p>
        </w:tc>
      </w:tr>
      <w:tr w:rsidR="006E55C2" w:rsidRPr="00B57B36" w14:paraId="6163B7C3" w14:textId="77777777" w:rsidTr="00D87B60">
        <w:trPr>
          <w:trHeight w:val="301"/>
        </w:trPr>
        <w:tc>
          <w:tcPr>
            <w:tcW w:w="654" w:type="pct"/>
            <w:shd w:val="clear" w:color="auto" w:fill="FFFFFF"/>
          </w:tcPr>
          <w:p w14:paraId="7D53C09D" w14:textId="77777777" w:rsidR="006E55C2" w:rsidRDefault="006E55C2" w:rsidP="00D87B60">
            <w:pPr>
              <w:pStyle w:val="CETBodytext"/>
              <w:jc w:val="center"/>
              <w:rPr>
                <w:lang w:val="en-GB"/>
              </w:rPr>
            </w:pPr>
            <w:r>
              <w:rPr>
                <w:lang w:val="en-GB"/>
              </w:rPr>
              <w:t>47054.74</w:t>
            </w:r>
          </w:p>
        </w:tc>
        <w:tc>
          <w:tcPr>
            <w:tcW w:w="283" w:type="pct"/>
            <w:shd w:val="clear" w:color="auto" w:fill="FFFFFF"/>
          </w:tcPr>
          <w:p w14:paraId="11114751" w14:textId="77777777" w:rsidR="006E55C2" w:rsidRDefault="006E55C2" w:rsidP="00D87B60">
            <w:pPr>
              <w:pStyle w:val="CETBodytext"/>
              <w:jc w:val="center"/>
              <w:rPr>
                <w:lang w:val="en-GB"/>
              </w:rPr>
            </w:pPr>
          </w:p>
        </w:tc>
        <w:tc>
          <w:tcPr>
            <w:tcW w:w="509" w:type="pct"/>
            <w:shd w:val="clear" w:color="auto" w:fill="FFFFFF"/>
          </w:tcPr>
          <w:p w14:paraId="5EE9A0B3" w14:textId="77777777" w:rsidR="006E55C2" w:rsidRDefault="006E55C2" w:rsidP="00D87B60">
            <w:pPr>
              <w:pStyle w:val="CETBodytext"/>
              <w:jc w:val="center"/>
              <w:rPr>
                <w:lang w:val="en-GB"/>
              </w:rPr>
            </w:pPr>
            <w:r>
              <w:rPr>
                <w:lang w:val="en-GB"/>
              </w:rPr>
              <w:t>0</w:t>
            </w:r>
          </w:p>
        </w:tc>
        <w:tc>
          <w:tcPr>
            <w:tcW w:w="383" w:type="pct"/>
            <w:shd w:val="clear" w:color="auto" w:fill="FFFFFF"/>
          </w:tcPr>
          <w:p w14:paraId="43C6EEA9" w14:textId="77777777" w:rsidR="006E55C2" w:rsidRDefault="006E55C2" w:rsidP="00D87B60">
            <w:pPr>
              <w:pStyle w:val="CETBodytext"/>
              <w:jc w:val="center"/>
              <w:rPr>
                <w:lang w:val="en-GB"/>
              </w:rPr>
            </w:pPr>
          </w:p>
        </w:tc>
        <w:tc>
          <w:tcPr>
            <w:tcW w:w="252" w:type="pct"/>
            <w:shd w:val="clear" w:color="auto" w:fill="FFFFFF"/>
          </w:tcPr>
          <w:p w14:paraId="41BE97FF" w14:textId="77777777" w:rsidR="006E55C2" w:rsidRDefault="006E55C2" w:rsidP="00D87B60">
            <w:pPr>
              <w:pStyle w:val="CETBodytext"/>
              <w:jc w:val="center"/>
              <w:rPr>
                <w:lang w:val="en-GB"/>
              </w:rPr>
            </w:pPr>
          </w:p>
        </w:tc>
        <w:tc>
          <w:tcPr>
            <w:tcW w:w="535" w:type="pct"/>
            <w:shd w:val="clear" w:color="auto" w:fill="FFFFFF"/>
          </w:tcPr>
          <w:p w14:paraId="47D9D9DE" w14:textId="77777777" w:rsidR="006E55C2" w:rsidRDefault="006E55C2" w:rsidP="00D87B60">
            <w:pPr>
              <w:pStyle w:val="CETBodytext"/>
              <w:jc w:val="center"/>
              <w:rPr>
                <w:lang w:val="en-GB"/>
              </w:rPr>
            </w:pPr>
            <w:r>
              <w:rPr>
                <w:lang w:val="en-GB"/>
              </w:rPr>
              <w:t>7870.047</w:t>
            </w:r>
          </w:p>
        </w:tc>
        <w:tc>
          <w:tcPr>
            <w:tcW w:w="398" w:type="pct"/>
            <w:shd w:val="clear" w:color="auto" w:fill="FFFFFF"/>
          </w:tcPr>
          <w:p w14:paraId="0B87F763" w14:textId="77777777" w:rsidR="006E55C2" w:rsidRDefault="006E55C2" w:rsidP="00D87B60">
            <w:pPr>
              <w:pStyle w:val="CETBodytext"/>
              <w:jc w:val="center"/>
              <w:rPr>
                <w:lang w:val="en-GB"/>
              </w:rPr>
            </w:pPr>
          </w:p>
        </w:tc>
        <w:tc>
          <w:tcPr>
            <w:tcW w:w="467" w:type="pct"/>
            <w:shd w:val="clear" w:color="auto" w:fill="FFFFFF"/>
          </w:tcPr>
          <w:p w14:paraId="7A2A4D5B" w14:textId="77777777" w:rsidR="006E55C2" w:rsidRDefault="006E55C2" w:rsidP="00D87B60">
            <w:pPr>
              <w:pStyle w:val="CETBodytext"/>
              <w:jc w:val="center"/>
              <w:rPr>
                <w:lang w:val="en-GB"/>
              </w:rPr>
            </w:pPr>
            <w:r>
              <w:rPr>
                <w:lang w:val="en-GB"/>
              </w:rPr>
              <w:t>225.165</w:t>
            </w:r>
          </w:p>
        </w:tc>
        <w:tc>
          <w:tcPr>
            <w:tcW w:w="380" w:type="pct"/>
            <w:shd w:val="clear" w:color="auto" w:fill="FFFFFF"/>
          </w:tcPr>
          <w:p w14:paraId="43E68555" w14:textId="77777777" w:rsidR="006E55C2" w:rsidRDefault="006E55C2" w:rsidP="00D87B60">
            <w:pPr>
              <w:pStyle w:val="CETBodytext"/>
              <w:jc w:val="center"/>
              <w:rPr>
                <w:lang w:val="en-GB"/>
              </w:rPr>
            </w:pPr>
          </w:p>
        </w:tc>
        <w:tc>
          <w:tcPr>
            <w:tcW w:w="380" w:type="pct"/>
            <w:shd w:val="clear" w:color="auto" w:fill="FFFFFF"/>
          </w:tcPr>
          <w:p w14:paraId="7D95EFA8" w14:textId="77777777" w:rsidR="006E55C2" w:rsidRDefault="006E55C2" w:rsidP="00D87B60">
            <w:pPr>
              <w:pStyle w:val="CETBodytext"/>
              <w:jc w:val="center"/>
              <w:rPr>
                <w:lang w:val="en-GB"/>
              </w:rPr>
            </w:pPr>
            <w:r>
              <w:rPr>
                <w:lang w:val="en-GB"/>
              </w:rPr>
              <w:t>85360</w:t>
            </w:r>
          </w:p>
        </w:tc>
        <w:tc>
          <w:tcPr>
            <w:tcW w:w="380" w:type="pct"/>
            <w:shd w:val="clear" w:color="auto" w:fill="FFFFFF"/>
          </w:tcPr>
          <w:p w14:paraId="7C1801CE" w14:textId="77777777" w:rsidR="006E55C2" w:rsidRDefault="006E55C2" w:rsidP="00D87B60">
            <w:pPr>
              <w:pStyle w:val="CETBodytext"/>
              <w:jc w:val="center"/>
              <w:rPr>
                <w:lang w:val="en-GB"/>
              </w:rPr>
            </w:pPr>
          </w:p>
        </w:tc>
        <w:tc>
          <w:tcPr>
            <w:tcW w:w="380" w:type="pct"/>
            <w:shd w:val="clear" w:color="auto" w:fill="FFFFFF"/>
          </w:tcPr>
          <w:p w14:paraId="400A2CC1" w14:textId="77777777" w:rsidR="006E55C2" w:rsidRDefault="006E55C2" w:rsidP="00D87B60">
            <w:pPr>
              <w:pStyle w:val="CETBodytext"/>
              <w:jc w:val="center"/>
              <w:rPr>
                <w:lang w:val="en-GB"/>
              </w:rPr>
            </w:pPr>
          </w:p>
        </w:tc>
      </w:tr>
      <w:bookmarkEnd w:id="7"/>
      <w:bookmarkEnd w:id="8"/>
    </w:tbl>
    <w:p w14:paraId="73E28826" w14:textId="77777777" w:rsidR="006E55C2" w:rsidRDefault="006E55C2" w:rsidP="00A96FD2">
      <w:pPr>
        <w:pStyle w:val="CETBodytext"/>
      </w:pPr>
    </w:p>
    <w:p w14:paraId="5A709913" w14:textId="3CF33795" w:rsidR="00DE154A" w:rsidRDefault="003144F7" w:rsidP="004E355E">
      <w:pPr>
        <w:pStyle w:val="CETBodytext"/>
        <w:rPr>
          <w:color w:val="000000" w:themeColor="text1"/>
          <w:lang w:val="en-GB"/>
        </w:rPr>
      </w:pPr>
      <w:r>
        <w:rPr>
          <w:color w:val="000000" w:themeColor="text1"/>
          <w:lang w:val="en-GB"/>
        </w:rPr>
        <w:t>L</w:t>
      </w:r>
      <w:r w:rsidRPr="00E83A85">
        <w:rPr>
          <w:color w:val="000000" w:themeColor="text1"/>
          <w:lang w:val="en-GB"/>
        </w:rPr>
        <w:t>eaching test</w:t>
      </w:r>
      <w:r>
        <w:rPr>
          <w:color w:val="000000" w:themeColor="text1"/>
          <w:lang w:val="en-GB"/>
        </w:rPr>
        <w:t>s</w:t>
      </w:r>
      <w:r w:rsidRPr="00E83A85">
        <w:rPr>
          <w:color w:val="000000" w:themeColor="text1"/>
          <w:lang w:val="en-GB"/>
        </w:rPr>
        <w:t xml:space="preserve"> </w:t>
      </w:r>
      <w:r>
        <w:rPr>
          <w:color w:val="000000" w:themeColor="text1"/>
          <w:lang w:val="en-GB"/>
        </w:rPr>
        <w:t>were</w:t>
      </w:r>
      <w:r w:rsidRPr="00E83A85">
        <w:rPr>
          <w:color w:val="000000" w:themeColor="text1"/>
          <w:lang w:val="en-GB"/>
        </w:rPr>
        <w:t xml:space="preserve"> performed</w:t>
      </w:r>
      <w:r w:rsidR="002834DD">
        <w:rPr>
          <w:color w:val="000000" w:themeColor="text1"/>
          <w:lang w:val="en-GB"/>
        </w:rPr>
        <w:t xml:space="preserve">, </w:t>
      </w:r>
      <w:r w:rsidR="002834DD">
        <w:rPr>
          <w:color w:val="000000" w:themeColor="text1"/>
          <w:lang w:val="en-GB"/>
        </w:rPr>
        <w:t>before and after the treatment</w:t>
      </w:r>
      <w:r w:rsidR="002834DD">
        <w:rPr>
          <w:color w:val="000000" w:themeColor="text1"/>
          <w:lang w:val="en-GB"/>
        </w:rPr>
        <w:t xml:space="preserve">, </w:t>
      </w:r>
      <w:r w:rsidR="00CA7907">
        <w:rPr>
          <w:color w:val="000000" w:themeColor="text1"/>
          <w:lang w:val="en-GB"/>
        </w:rPr>
        <w:t>t</w:t>
      </w:r>
      <w:r w:rsidR="00CA7907">
        <w:t xml:space="preserve">o determine the suitability of the treated IBA for disposal in landfills for stable non-reactive waste, in accordance with the limits defined </w:t>
      </w:r>
      <w:r w:rsidR="00E8734B">
        <w:t>by the Italian law</w:t>
      </w:r>
      <w:r w:rsidR="00CA7907">
        <w:t xml:space="preserve"> </w:t>
      </w:r>
      <w:r w:rsidR="00E8734B">
        <w:t>(</w:t>
      </w:r>
      <w:r w:rsidR="00CA7907">
        <w:t>DM 27/09/2010</w:t>
      </w:r>
      <w:r w:rsidR="00E8734B">
        <w:t>).</w:t>
      </w:r>
      <w:r w:rsidR="007A5C3C">
        <w:t xml:space="preserve"> </w:t>
      </w:r>
      <w:r w:rsidR="000701CE">
        <w:t xml:space="preserve">Dissolved organic carbon (DOC) </w:t>
      </w:r>
      <w:r w:rsidR="008E7D08">
        <w:t xml:space="preserve">in the leachate </w:t>
      </w:r>
      <w:r w:rsidR="001614DB">
        <w:t xml:space="preserve">was measured </w:t>
      </w:r>
      <w:r w:rsidR="001614DB" w:rsidRPr="00DA2767">
        <w:rPr>
          <w:lang w:val="en-GB"/>
        </w:rPr>
        <w:t xml:space="preserve">using the </w:t>
      </w:r>
      <w:proofErr w:type="spellStart"/>
      <w:r w:rsidR="001614DB" w:rsidRPr="00DA2767">
        <w:rPr>
          <w:lang w:val="en-GB"/>
        </w:rPr>
        <w:t>Elementar</w:t>
      </w:r>
      <w:proofErr w:type="spellEnd"/>
      <w:r w:rsidR="001614DB" w:rsidRPr="00DA2767">
        <w:rPr>
          <w:lang w:val="en-GB"/>
        </w:rPr>
        <w:t xml:space="preserve"> Enviro TOC </w:t>
      </w:r>
      <w:proofErr w:type="spellStart"/>
      <w:r w:rsidR="001614DB">
        <w:rPr>
          <w:lang w:val="en-GB"/>
        </w:rPr>
        <w:t>analyzer</w:t>
      </w:r>
      <w:proofErr w:type="spellEnd"/>
      <w:r w:rsidR="001614DB" w:rsidRPr="00DA2767">
        <w:rPr>
          <w:lang w:val="en-GB"/>
        </w:rPr>
        <w:t xml:space="preserve"> according to UNI EN ISO 16192:2012 and UNI EN 1484:99</w:t>
      </w:r>
      <w:r w:rsidR="001614DB">
        <w:rPr>
          <w:lang w:val="en-GB"/>
        </w:rPr>
        <w:t xml:space="preserve">. </w:t>
      </w:r>
      <w:r w:rsidR="004C45CD">
        <w:rPr>
          <w:lang w:val="en-GB"/>
        </w:rPr>
        <w:t xml:space="preserve">Total dissolved solids (TDS) </w:t>
      </w:r>
      <w:r w:rsidR="004C45CD">
        <w:t xml:space="preserve">were determined by </w:t>
      </w:r>
      <w:r w:rsidR="004C45CD">
        <w:t>oven-</w:t>
      </w:r>
      <w:r w:rsidR="004C45CD">
        <w:t xml:space="preserve">drying 25 mL of 0.45 </w:t>
      </w:r>
      <w:proofErr w:type="spellStart"/>
      <w:r w:rsidR="004C45CD">
        <w:t>μm</w:t>
      </w:r>
      <w:proofErr w:type="spellEnd"/>
      <w:r w:rsidR="004C45CD">
        <w:t>-filtered leachate at 105 °C (UNI EN ISO 16192:2012; UNI EN 15216:202).</w:t>
      </w:r>
      <w:r w:rsidR="008E7D08">
        <w:t xml:space="preserve"> </w:t>
      </w:r>
      <w:r w:rsidR="008E7D08" w:rsidRPr="00DA2767">
        <w:rPr>
          <w:lang w:val="en-GB"/>
        </w:rPr>
        <w:t xml:space="preserve">Metals </w:t>
      </w:r>
      <w:r w:rsidR="008E7D08">
        <w:rPr>
          <w:lang w:val="en-GB"/>
        </w:rPr>
        <w:t xml:space="preserve">and anions </w:t>
      </w:r>
      <w:r w:rsidR="008E7D08" w:rsidRPr="00DA2767">
        <w:rPr>
          <w:lang w:val="en-GB"/>
        </w:rPr>
        <w:t>were determined using the ICP</w:t>
      </w:r>
      <w:r w:rsidR="00692B9F">
        <w:rPr>
          <w:lang w:val="en-GB"/>
        </w:rPr>
        <w:t>-MS</w:t>
      </w:r>
      <w:r w:rsidR="008E7D08" w:rsidRPr="00DA2767">
        <w:rPr>
          <w:lang w:val="en-GB"/>
        </w:rPr>
        <w:t xml:space="preserve"> </w:t>
      </w:r>
      <w:r w:rsidR="00692B9F">
        <w:rPr>
          <w:lang w:val="en-GB"/>
        </w:rPr>
        <w:t>(</w:t>
      </w:r>
      <w:proofErr w:type="spellStart"/>
      <w:r w:rsidR="00692B9F">
        <w:rPr>
          <w:lang w:val="en-GB"/>
        </w:rPr>
        <w:t>N</w:t>
      </w:r>
      <w:r w:rsidR="008E7D08" w:rsidRPr="00DA2767">
        <w:rPr>
          <w:lang w:val="en-GB"/>
        </w:rPr>
        <w:t>exION</w:t>
      </w:r>
      <w:proofErr w:type="spellEnd"/>
      <w:r w:rsidR="008E7D08" w:rsidRPr="00DA2767">
        <w:rPr>
          <w:lang w:val="en-GB"/>
        </w:rPr>
        <w:t xml:space="preserve"> 350x</w:t>
      </w:r>
      <w:r w:rsidR="00692B9F">
        <w:rPr>
          <w:lang w:val="en-GB"/>
        </w:rPr>
        <w:t>)</w:t>
      </w:r>
      <w:r w:rsidR="008E7D08" w:rsidRPr="00DA2767">
        <w:rPr>
          <w:lang w:val="en-GB"/>
        </w:rPr>
        <w:t xml:space="preserve">, </w:t>
      </w:r>
      <w:r w:rsidR="00C12088">
        <w:rPr>
          <w:lang w:val="en-GB"/>
        </w:rPr>
        <w:t>following the</w:t>
      </w:r>
      <w:r w:rsidR="008E7D08" w:rsidRPr="00DA2767">
        <w:rPr>
          <w:lang w:val="en-GB"/>
        </w:rPr>
        <w:t xml:space="preserve"> UNI EN ISO 17294-2:2023 method.</w:t>
      </w:r>
    </w:p>
    <w:p w14:paraId="74682DE7" w14:textId="6AA9614D" w:rsidR="00A96FD2" w:rsidRPr="006A7916" w:rsidRDefault="00E83A85" w:rsidP="00A96FD2">
      <w:pPr>
        <w:pStyle w:val="CETBodytext"/>
      </w:pPr>
      <w:r w:rsidRPr="00E83A85">
        <w:rPr>
          <w:color w:val="000000" w:themeColor="text1"/>
          <w:lang w:val="en-GB"/>
        </w:rPr>
        <w:t xml:space="preserve">Furthermore, </w:t>
      </w:r>
      <w:r w:rsidR="009C120B">
        <w:rPr>
          <w:color w:val="000000" w:themeColor="text1"/>
          <w:lang w:val="en-GB"/>
        </w:rPr>
        <w:t>metal</w:t>
      </w:r>
      <w:r w:rsidRPr="00E83A85">
        <w:rPr>
          <w:color w:val="000000" w:themeColor="text1"/>
          <w:lang w:val="en-GB"/>
        </w:rPr>
        <w:t xml:space="preserve"> concentration</w:t>
      </w:r>
      <w:r w:rsidR="009C120B">
        <w:rPr>
          <w:color w:val="000000" w:themeColor="text1"/>
          <w:lang w:val="en-GB"/>
        </w:rPr>
        <w:t>s</w:t>
      </w:r>
      <w:r w:rsidRPr="00E83A85">
        <w:rPr>
          <w:color w:val="000000" w:themeColor="text1"/>
          <w:lang w:val="en-GB"/>
        </w:rPr>
        <w:t xml:space="preserve"> </w:t>
      </w:r>
      <w:r w:rsidR="009B6550">
        <w:rPr>
          <w:color w:val="000000" w:themeColor="text1"/>
          <w:lang w:val="en-GB"/>
        </w:rPr>
        <w:t>in</w:t>
      </w:r>
      <w:r w:rsidRPr="00E83A85">
        <w:rPr>
          <w:color w:val="000000" w:themeColor="text1"/>
          <w:lang w:val="en-GB"/>
        </w:rPr>
        <w:t xml:space="preserve"> the solid matrix </w:t>
      </w:r>
      <w:r w:rsidR="00860919">
        <w:rPr>
          <w:color w:val="000000" w:themeColor="text1"/>
          <w:lang w:val="en-GB"/>
        </w:rPr>
        <w:t xml:space="preserve">(before and after treatment) </w:t>
      </w:r>
      <w:r w:rsidR="009C120B">
        <w:rPr>
          <w:color w:val="000000" w:themeColor="text1"/>
          <w:lang w:val="en-GB"/>
        </w:rPr>
        <w:t>were</w:t>
      </w:r>
      <w:r w:rsidRPr="00E83A85">
        <w:rPr>
          <w:color w:val="000000" w:themeColor="text1"/>
          <w:lang w:val="en-GB"/>
        </w:rPr>
        <w:t xml:space="preserve"> </w:t>
      </w:r>
      <w:r w:rsidR="00B4452E">
        <w:rPr>
          <w:color w:val="000000" w:themeColor="text1"/>
          <w:lang w:val="en-GB"/>
        </w:rPr>
        <w:t>determined</w:t>
      </w:r>
      <w:r w:rsidRPr="00E83A85">
        <w:rPr>
          <w:color w:val="000000" w:themeColor="text1"/>
          <w:lang w:val="en-GB"/>
        </w:rPr>
        <w:t xml:space="preserve"> through acid digestion in aqua regia</w:t>
      </w:r>
      <w:r w:rsidR="00B4452E">
        <w:rPr>
          <w:color w:val="000000" w:themeColor="text1"/>
          <w:lang w:val="en-GB"/>
        </w:rPr>
        <w:t xml:space="preserve"> followe</w:t>
      </w:r>
      <w:r w:rsidR="00532558">
        <w:rPr>
          <w:color w:val="000000" w:themeColor="text1"/>
          <w:lang w:val="en-GB"/>
        </w:rPr>
        <w:t>d by ICP-MS</w:t>
      </w:r>
      <w:r>
        <w:rPr>
          <w:color w:val="000000" w:themeColor="text1"/>
          <w:lang w:val="en-GB"/>
        </w:rPr>
        <w:t xml:space="preserve"> </w:t>
      </w:r>
      <w:r w:rsidR="00E01DC2">
        <w:rPr>
          <w:color w:val="000000" w:themeColor="text1"/>
          <w:lang w:val="en-GB"/>
        </w:rPr>
        <w:t xml:space="preserve">analysis </w:t>
      </w:r>
      <w:r w:rsidRPr="00E83A85">
        <w:rPr>
          <w:color w:val="000000" w:themeColor="text1"/>
          <w:lang w:val="en-GB"/>
        </w:rPr>
        <w:t xml:space="preserve">to </w:t>
      </w:r>
      <w:r w:rsidR="00532558">
        <w:rPr>
          <w:color w:val="000000" w:themeColor="text1"/>
          <w:lang w:val="en-GB"/>
        </w:rPr>
        <w:t xml:space="preserve">evaluate </w:t>
      </w:r>
      <w:r w:rsidRPr="00E83A85">
        <w:rPr>
          <w:color w:val="000000" w:themeColor="text1"/>
          <w:lang w:val="en-GB"/>
        </w:rPr>
        <w:t>the reduction</w:t>
      </w:r>
      <w:r w:rsidR="00785D51">
        <w:rPr>
          <w:color w:val="000000" w:themeColor="text1"/>
          <w:lang w:val="en-GB"/>
        </w:rPr>
        <w:t xml:space="preserve"> efficiency</w:t>
      </w:r>
      <w:r w:rsidRPr="00E83A85">
        <w:rPr>
          <w:color w:val="000000" w:themeColor="text1"/>
          <w:lang w:val="en-GB"/>
        </w:rPr>
        <w:t>.</w:t>
      </w:r>
    </w:p>
    <w:bookmarkEnd w:id="6"/>
    <w:p w14:paraId="677EBFF0" w14:textId="413CAC95" w:rsidR="00600535" w:rsidRPr="00B57B36" w:rsidRDefault="00D30BE2" w:rsidP="00600535">
      <w:pPr>
        <w:pStyle w:val="CETHeading1"/>
        <w:tabs>
          <w:tab w:val="right" w:pos="7100"/>
        </w:tabs>
        <w:jc w:val="both"/>
        <w:rPr>
          <w:lang w:val="en-GB"/>
        </w:rPr>
      </w:pPr>
      <w:r>
        <w:rPr>
          <w:lang w:val="en-GB"/>
        </w:rPr>
        <w:t>Results and discussion</w:t>
      </w:r>
    </w:p>
    <w:p w14:paraId="1B87048D" w14:textId="1B22FC0D" w:rsidR="00D4252F" w:rsidRDefault="00072D67">
      <w:pPr>
        <w:pStyle w:val="CETBodytext"/>
        <w:rPr>
          <w:lang w:val="en-GB"/>
        </w:rPr>
      </w:pPr>
      <w:bookmarkStart w:id="9" w:name="_Hlk185255753"/>
      <w:r w:rsidRPr="00072D67">
        <w:t xml:space="preserve">The results of the </w:t>
      </w:r>
      <w:r w:rsidR="00AB1B54">
        <w:t>treatment experiments</w:t>
      </w:r>
      <w:r w:rsidR="00F55FD9">
        <w:t xml:space="preserve"> using</w:t>
      </w:r>
      <w:r w:rsidRPr="00A97D96">
        <w:t xml:space="preserve"> NaOH concentrations of 0.5</w:t>
      </w:r>
      <w:r w:rsidR="00F55FD9">
        <w:t xml:space="preserve"> </w:t>
      </w:r>
      <w:r w:rsidRPr="00A97D96">
        <w:t>M, 1</w:t>
      </w:r>
      <w:r w:rsidR="00F55FD9">
        <w:t xml:space="preserve"> </w:t>
      </w:r>
      <w:r w:rsidRPr="00A97D96">
        <w:t>M</w:t>
      </w:r>
      <w:r w:rsidR="00F55FD9">
        <w:t>,</w:t>
      </w:r>
      <w:r w:rsidRPr="00A97D96">
        <w:t xml:space="preserve"> and 2</w:t>
      </w:r>
      <w:r w:rsidR="00F55FD9">
        <w:t xml:space="preserve"> </w:t>
      </w:r>
      <w:r w:rsidRPr="00A97D96">
        <w:t xml:space="preserve">M </w:t>
      </w:r>
      <w:r w:rsidR="00782910" w:rsidRPr="00A97D96">
        <w:t xml:space="preserve">are </w:t>
      </w:r>
      <w:r w:rsidR="00782910">
        <w:t>summarized</w:t>
      </w:r>
      <w:r w:rsidR="00782910" w:rsidRPr="00A97D96">
        <w:t xml:space="preserve"> in Table 4</w:t>
      </w:r>
      <w:r w:rsidR="00782910">
        <w:t xml:space="preserve"> </w:t>
      </w:r>
      <w:r w:rsidRPr="00A97D96">
        <w:t xml:space="preserve">for the critical metals present </w:t>
      </w:r>
      <w:r w:rsidR="004875D8">
        <w:t>at</w:t>
      </w:r>
      <w:r w:rsidRPr="00A97D96">
        <w:t xml:space="preserve"> high concentration in the IBA. </w:t>
      </w:r>
      <w:r w:rsidR="003144F7" w:rsidRPr="00A97D96">
        <w:rPr>
          <w:lang w:val="en-GB"/>
        </w:rPr>
        <w:t xml:space="preserve">The pH remained </w:t>
      </w:r>
      <w:r w:rsidR="004875D8">
        <w:rPr>
          <w:lang w:val="en-GB"/>
        </w:rPr>
        <w:t xml:space="preserve">stable </w:t>
      </w:r>
      <w:r w:rsidR="003144F7" w:rsidRPr="00A97D96">
        <w:rPr>
          <w:lang w:val="en-GB"/>
        </w:rPr>
        <w:t>around the initial value of 12.6</w:t>
      </w:r>
      <w:r w:rsidR="00FF166F">
        <w:rPr>
          <w:lang w:val="en-GB"/>
        </w:rPr>
        <w:t xml:space="preserve"> throughout the extraction process.</w:t>
      </w:r>
    </w:p>
    <w:p w14:paraId="1669E6AC" w14:textId="77777777" w:rsidR="006E0F39" w:rsidRPr="00B323BA" w:rsidRDefault="006E0F39" w:rsidP="006E0F39">
      <w:pPr>
        <w:pStyle w:val="CETTabletitle"/>
        <w:spacing w:before="0"/>
      </w:pPr>
      <w:r w:rsidRPr="00B323BA">
        <w:t xml:space="preserve">Table 4: </w:t>
      </w:r>
      <w:r>
        <w:t>Metal</w:t>
      </w:r>
      <w:r w:rsidRPr="00B323BA">
        <w:t xml:space="preserve"> concentration [ppm] in the solid matrix of each sample</w:t>
      </w:r>
      <w: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27"/>
        <w:gridCol w:w="850"/>
        <w:gridCol w:w="709"/>
        <w:gridCol w:w="850"/>
        <w:gridCol w:w="709"/>
        <w:gridCol w:w="709"/>
      </w:tblGrid>
      <w:tr w:rsidR="006E0F39" w:rsidRPr="00B57B36" w14:paraId="14D9D23A" w14:textId="77777777" w:rsidTr="00D87B60">
        <w:tc>
          <w:tcPr>
            <w:tcW w:w="2127" w:type="dxa"/>
            <w:tcBorders>
              <w:top w:val="single" w:sz="12" w:space="0" w:color="008000"/>
              <w:bottom w:val="single" w:sz="6" w:space="0" w:color="008000"/>
            </w:tcBorders>
            <w:shd w:val="clear" w:color="auto" w:fill="FFFFFF"/>
          </w:tcPr>
          <w:p w14:paraId="77C30D94" w14:textId="77777777" w:rsidR="006E0F39" w:rsidRPr="00B57B36" w:rsidRDefault="006E0F39" w:rsidP="00D87B60">
            <w:pPr>
              <w:pStyle w:val="CETBodytext"/>
              <w:rPr>
                <w:lang w:val="en-GB"/>
              </w:rPr>
            </w:pPr>
            <w:r w:rsidRPr="00B323BA">
              <w:rPr>
                <w:lang w:val="en-GB"/>
              </w:rPr>
              <w:t>NaOH concentration [</w:t>
            </w:r>
            <w:r>
              <w:rPr>
                <w:lang w:val="en-GB"/>
              </w:rPr>
              <w:t>M</w:t>
            </w:r>
            <w:r w:rsidRPr="00B323BA">
              <w:rPr>
                <w:lang w:val="en-GB"/>
              </w:rPr>
              <w:t>]</w:t>
            </w:r>
          </w:p>
        </w:tc>
        <w:tc>
          <w:tcPr>
            <w:tcW w:w="850" w:type="dxa"/>
            <w:tcBorders>
              <w:top w:val="single" w:sz="12" w:space="0" w:color="008000"/>
              <w:bottom w:val="single" w:sz="6" w:space="0" w:color="008000"/>
            </w:tcBorders>
            <w:shd w:val="clear" w:color="auto" w:fill="FFFFFF"/>
          </w:tcPr>
          <w:p w14:paraId="10ECD058" w14:textId="77777777" w:rsidR="006E0F39" w:rsidRPr="00B57B36" w:rsidRDefault="006E0F39" w:rsidP="00D87B60">
            <w:pPr>
              <w:pStyle w:val="CETBodytext"/>
              <w:rPr>
                <w:lang w:val="en-GB"/>
              </w:rPr>
            </w:pPr>
            <w:r w:rsidRPr="00B323BA">
              <w:rPr>
                <w:lang w:val="en-GB"/>
              </w:rPr>
              <w:t>Cr</w:t>
            </w:r>
          </w:p>
        </w:tc>
        <w:tc>
          <w:tcPr>
            <w:tcW w:w="709" w:type="dxa"/>
            <w:tcBorders>
              <w:top w:val="single" w:sz="12" w:space="0" w:color="008000"/>
              <w:bottom w:val="single" w:sz="6" w:space="0" w:color="008000"/>
            </w:tcBorders>
            <w:shd w:val="clear" w:color="auto" w:fill="FFFFFF"/>
          </w:tcPr>
          <w:p w14:paraId="680170E5" w14:textId="77777777" w:rsidR="006E0F39" w:rsidRPr="00B57B36" w:rsidRDefault="006E0F39" w:rsidP="00D87B60">
            <w:pPr>
              <w:pStyle w:val="CETBodytext"/>
              <w:rPr>
                <w:lang w:val="en-GB"/>
              </w:rPr>
            </w:pPr>
            <w:r w:rsidRPr="00B323BA">
              <w:rPr>
                <w:lang w:val="en-GB"/>
              </w:rPr>
              <w:t>Mo</w:t>
            </w:r>
          </w:p>
        </w:tc>
        <w:tc>
          <w:tcPr>
            <w:tcW w:w="850" w:type="dxa"/>
            <w:tcBorders>
              <w:top w:val="single" w:sz="12" w:space="0" w:color="008000"/>
              <w:bottom w:val="single" w:sz="6" w:space="0" w:color="008000"/>
            </w:tcBorders>
            <w:shd w:val="clear" w:color="auto" w:fill="FFFFFF"/>
          </w:tcPr>
          <w:p w14:paraId="1A54F27C" w14:textId="77777777" w:rsidR="006E0F39" w:rsidRPr="00B57B36" w:rsidRDefault="006E0F39" w:rsidP="00D87B60">
            <w:pPr>
              <w:pStyle w:val="CETBodytext"/>
              <w:ind w:right="-1"/>
              <w:rPr>
                <w:rFonts w:cs="Arial"/>
                <w:szCs w:val="18"/>
                <w:lang w:val="en-GB"/>
              </w:rPr>
            </w:pPr>
            <w:r w:rsidRPr="00B323BA">
              <w:rPr>
                <w:lang w:val="en-GB"/>
              </w:rPr>
              <w:t>Sb</w:t>
            </w:r>
          </w:p>
        </w:tc>
        <w:tc>
          <w:tcPr>
            <w:tcW w:w="709" w:type="dxa"/>
            <w:tcBorders>
              <w:top w:val="single" w:sz="12" w:space="0" w:color="008000"/>
              <w:bottom w:val="single" w:sz="6" w:space="0" w:color="008000"/>
            </w:tcBorders>
            <w:shd w:val="clear" w:color="auto" w:fill="FFFFFF"/>
          </w:tcPr>
          <w:p w14:paraId="47E74B19" w14:textId="77777777" w:rsidR="006E0F39" w:rsidRPr="00B57B36" w:rsidRDefault="006E0F39" w:rsidP="00D87B60">
            <w:pPr>
              <w:pStyle w:val="CETBodytext"/>
              <w:ind w:right="-1"/>
              <w:rPr>
                <w:rFonts w:cs="Arial"/>
                <w:szCs w:val="18"/>
                <w:lang w:val="en-GB"/>
              </w:rPr>
            </w:pPr>
            <w:r w:rsidRPr="00B323BA">
              <w:rPr>
                <w:lang w:val="en-GB"/>
              </w:rPr>
              <w:t>Se</w:t>
            </w:r>
          </w:p>
        </w:tc>
        <w:tc>
          <w:tcPr>
            <w:tcW w:w="709" w:type="dxa"/>
            <w:tcBorders>
              <w:top w:val="single" w:sz="12" w:space="0" w:color="008000"/>
              <w:bottom w:val="single" w:sz="6" w:space="0" w:color="008000"/>
            </w:tcBorders>
            <w:shd w:val="clear" w:color="auto" w:fill="FFFFFF"/>
          </w:tcPr>
          <w:p w14:paraId="0F38E5F0" w14:textId="77777777" w:rsidR="006E0F39" w:rsidRDefault="006E0F39" w:rsidP="00D87B60">
            <w:pPr>
              <w:pStyle w:val="CETBodytext"/>
              <w:ind w:right="-1"/>
              <w:rPr>
                <w:rFonts w:cs="Arial"/>
                <w:szCs w:val="18"/>
                <w:lang w:val="en-GB"/>
              </w:rPr>
            </w:pPr>
            <w:r w:rsidRPr="00B323BA">
              <w:rPr>
                <w:lang w:val="en-GB"/>
              </w:rPr>
              <w:t>Zn</w:t>
            </w:r>
          </w:p>
        </w:tc>
      </w:tr>
      <w:tr w:rsidR="006E0F39" w:rsidRPr="00B57B36" w14:paraId="6E7A2C85" w14:textId="77777777" w:rsidTr="00D87B60">
        <w:tc>
          <w:tcPr>
            <w:tcW w:w="2127" w:type="dxa"/>
            <w:shd w:val="clear" w:color="auto" w:fill="FFFFFF"/>
          </w:tcPr>
          <w:p w14:paraId="0362AABB" w14:textId="77777777" w:rsidR="006E0F39" w:rsidRPr="00B57B36" w:rsidRDefault="006E0F39" w:rsidP="00D87B60">
            <w:pPr>
              <w:pStyle w:val="CETBodytext"/>
              <w:rPr>
                <w:lang w:val="en-GB"/>
              </w:rPr>
            </w:pPr>
            <w:r>
              <w:rPr>
                <w:lang w:val="en-GB"/>
              </w:rPr>
              <w:t>0.5</w:t>
            </w:r>
          </w:p>
        </w:tc>
        <w:tc>
          <w:tcPr>
            <w:tcW w:w="850" w:type="dxa"/>
            <w:shd w:val="clear" w:color="auto" w:fill="FFFFFF"/>
          </w:tcPr>
          <w:p w14:paraId="7B3C6920" w14:textId="77777777" w:rsidR="006E0F39" w:rsidRPr="00B57B36" w:rsidRDefault="006E0F39" w:rsidP="00D87B60">
            <w:pPr>
              <w:pStyle w:val="CETBodytext"/>
              <w:rPr>
                <w:lang w:val="en-GB"/>
              </w:rPr>
            </w:pPr>
            <w:r w:rsidRPr="005D0C35">
              <w:rPr>
                <w:lang w:val="en-GB"/>
              </w:rPr>
              <w:t>161.22</w:t>
            </w:r>
          </w:p>
        </w:tc>
        <w:tc>
          <w:tcPr>
            <w:tcW w:w="709" w:type="dxa"/>
            <w:shd w:val="clear" w:color="auto" w:fill="FFFFFF"/>
          </w:tcPr>
          <w:p w14:paraId="5799DC5F" w14:textId="77777777" w:rsidR="006E0F39" w:rsidRPr="00B57B36" w:rsidRDefault="006E0F39" w:rsidP="00D87B60">
            <w:pPr>
              <w:pStyle w:val="CETBodytext"/>
              <w:rPr>
                <w:lang w:val="en-GB"/>
              </w:rPr>
            </w:pPr>
            <w:r w:rsidRPr="005D0C35">
              <w:rPr>
                <w:lang w:val="en-GB"/>
              </w:rPr>
              <w:t>90.51</w:t>
            </w:r>
          </w:p>
        </w:tc>
        <w:tc>
          <w:tcPr>
            <w:tcW w:w="850" w:type="dxa"/>
            <w:shd w:val="clear" w:color="auto" w:fill="FFFFFF"/>
          </w:tcPr>
          <w:p w14:paraId="44A80A25" w14:textId="77777777" w:rsidR="006E0F39" w:rsidRPr="00B57B36" w:rsidRDefault="006E0F39" w:rsidP="00D87B60">
            <w:pPr>
              <w:pStyle w:val="CETBodytext"/>
              <w:ind w:right="-1"/>
              <w:rPr>
                <w:rFonts w:cs="Arial"/>
                <w:szCs w:val="18"/>
                <w:lang w:val="en-GB"/>
              </w:rPr>
            </w:pPr>
            <w:r w:rsidRPr="005D0C35">
              <w:rPr>
                <w:lang w:val="en-GB"/>
              </w:rPr>
              <w:t>83.32</w:t>
            </w:r>
          </w:p>
        </w:tc>
        <w:tc>
          <w:tcPr>
            <w:tcW w:w="709" w:type="dxa"/>
            <w:shd w:val="clear" w:color="auto" w:fill="FFFFFF"/>
          </w:tcPr>
          <w:p w14:paraId="7D99FAEA" w14:textId="77777777" w:rsidR="006E0F39" w:rsidRPr="00B57B36" w:rsidRDefault="006E0F39" w:rsidP="00D87B60">
            <w:pPr>
              <w:pStyle w:val="CETBodytext"/>
              <w:ind w:right="-1"/>
              <w:rPr>
                <w:rFonts w:cs="Arial"/>
                <w:szCs w:val="18"/>
                <w:lang w:val="en-GB"/>
              </w:rPr>
            </w:pPr>
            <w:r w:rsidRPr="005D0C35">
              <w:rPr>
                <w:lang w:val="en-GB"/>
              </w:rPr>
              <w:t>12.03</w:t>
            </w:r>
          </w:p>
        </w:tc>
        <w:tc>
          <w:tcPr>
            <w:tcW w:w="709" w:type="dxa"/>
            <w:shd w:val="clear" w:color="auto" w:fill="FFFFFF"/>
          </w:tcPr>
          <w:p w14:paraId="173BDC2B" w14:textId="77777777" w:rsidR="006E0F39" w:rsidRPr="00B57B36" w:rsidRDefault="006E0F39" w:rsidP="00D87B60">
            <w:pPr>
              <w:pStyle w:val="CETBodytext"/>
              <w:ind w:right="-1"/>
              <w:rPr>
                <w:rFonts w:cs="Arial"/>
                <w:szCs w:val="18"/>
                <w:lang w:val="en-GB"/>
              </w:rPr>
            </w:pPr>
            <w:r w:rsidRPr="005D0C35">
              <w:rPr>
                <w:lang w:val="en-GB"/>
              </w:rPr>
              <w:t>3210.14</w:t>
            </w:r>
          </w:p>
        </w:tc>
      </w:tr>
      <w:tr w:rsidR="006E0F39" w:rsidRPr="00B57B36" w14:paraId="7323854F" w14:textId="77777777" w:rsidTr="00D87B60">
        <w:tc>
          <w:tcPr>
            <w:tcW w:w="2127" w:type="dxa"/>
            <w:shd w:val="clear" w:color="auto" w:fill="FFFFFF"/>
          </w:tcPr>
          <w:p w14:paraId="600ACE6B" w14:textId="77777777" w:rsidR="006E0F39" w:rsidRDefault="006E0F39" w:rsidP="00D87B60">
            <w:pPr>
              <w:pStyle w:val="CETBodytext"/>
              <w:rPr>
                <w:lang w:val="en-GB"/>
              </w:rPr>
            </w:pPr>
            <w:r>
              <w:rPr>
                <w:lang w:val="en-GB"/>
              </w:rPr>
              <w:t>1.0</w:t>
            </w:r>
          </w:p>
        </w:tc>
        <w:tc>
          <w:tcPr>
            <w:tcW w:w="850" w:type="dxa"/>
            <w:shd w:val="clear" w:color="auto" w:fill="FFFFFF"/>
          </w:tcPr>
          <w:p w14:paraId="199DD27D" w14:textId="77777777" w:rsidR="006E0F39" w:rsidRPr="00B57B36" w:rsidRDefault="006E0F39" w:rsidP="00D87B60">
            <w:pPr>
              <w:pStyle w:val="CETBodytext"/>
              <w:rPr>
                <w:lang w:val="en-GB"/>
              </w:rPr>
            </w:pPr>
            <w:r w:rsidRPr="005D0C35">
              <w:rPr>
                <w:lang w:val="en-GB"/>
              </w:rPr>
              <w:t>142.01</w:t>
            </w:r>
          </w:p>
        </w:tc>
        <w:tc>
          <w:tcPr>
            <w:tcW w:w="709" w:type="dxa"/>
            <w:shd w:val="clear" w:color="auto" w:fill="FFFFFF"/>
          </w:tcPr>
          <w:p w14:paraId="56A0C34D" w14:textId="77777777" w:rsidR="006E0F39" w:rsidRPr="00B57B36" w:rsidRDefault="006E0F39" w:rsidP="00D87B60">
            <w:pPr>
              <w:pStyle w:val="CETBodytext"/>
              <w:rPr>
                <w:lang w:val="en-GB"/>
              </w:rPr>
            </w:pPr>
            <w:r w:rsidRPr="005D0C35">
              <w:rPr>
                <w:lang w:val="en-GB"/>
              </w:rPr>
              <w:t>90.94</w:t>
            </w:r>
          </w:p>
        </w:tc>
        <w:tc>
          <w:tcPr>
            <w:tcW w:w="850" w:type="dxa"/>
            <w:shd w:val="clear" w:color="auto" w:fill="FFFFFF"/>
          </w:tcPr>
          <w:p w14:paraId="70713C28" w14:textId="77777777" w:rsidR="006E0F39" w:rsidRPr="00B57B36" w:rsidRDefault="006E0F39" w:rsidP="00D87B60">
            <w:pPr>
              <w:pStyle w:val="CETBodytext"/>
              <w:ind w:right="-1"/>
              <w:rPr>
                <w:rFonts w:cs="Arial"/>
                <w:szCs w:val="18"/>
                <w:lang w:val="en-GB"/>
              </w:rPr>
            </w:pPr>
            <w:r w:rsidRPr="005D0C35">
              <w:rPr>
                <w:lang w:val="en-GB"/>
              </w:rPr>
              <w:t>70.98</w:t>
            </w:r>
          </w:p>
        </w:tc>
        <w:tc>
          <w:tcPr>
            <w:tcW w:w="709" w:type="dxa"/>
            <w:shd w:val="clear" w:color="auto" w:fill="FFFFFF"/>
          </w:tcPr>
          <w:p w14:paraId="431DCCE8" w14:textId="77777777" w:rsidR="006E0F39" w:rsidRPr="00B57B36" w:rsidRDefault="006E0F39" w:rsidP="00D87B60">
            <w:pPr>
              <w:pStyle w:val="CETBodytext"/>
              <w:ind w:right="-1"/>
              <w:rPr>
                <w:rFonts w:cs="Arial"/>
                <w:szCs w:val="18"/>
                <w:lang w:val="en-GB"/>
              </w:rPr>
            </w:pPr>
            <w:r w:rsidRPr="005D0C35">
              <w:rPr>
                <w:lang w:val="en-GB"/>
              </w:rPr>
              <w:t>8.92</w:t>
            </w:r>
          </w:p>
        </w:tc>
        <w:tc>
          <w:tcPr>
            <w:tcW w:w="709" w:type="dxa"/>
            <w:shd w:val="clear" w:color="auto" w:fill="FFFFFF"/>
          </w:tcPr>
          <w:p w14:paraId="694ABC37" w14:textId="77777777" w:rsidR="006E0F39" w:rsidRPr="00B57B36" w:rsidRDefault="006E0F39" w:rsidP="00D87B60">
            <w:pPr>
              <w:pStyle w:val="CETBodytext"/>
              <w:ind w:right="-1"/>
              <w:rPr>
                <w:rFonts w:cs="Arial"/>
                <w:szCs w:val="18"/>
                <w:lang w:val="en-GB"/>
              </w:rPr>
            </w:pPr>
            <w:r w:rsidRPr="005D0C35">
              <w:rPr>
                <w:lang w:val="en-GB"/>
              </w:rPr>
              <w:t>3025.98</w:t>
            </w:r>
          </w:p>
        </w:tc>
      </w:tr>
      <w:tr w:rsidR="006E0F39" w:rsidRPr="00B57B36" w14:paraId="1B701EE9" w14:textId="77777777" w:rsidTr="00D87B60">
        <w:tc>
          <w:tcPr>
            <w:tcW w:w="2127" w:type="dxa"/>
            <w:shd w:val="clear" w:color="auto" w:fill="FFFFFF"/>
          </w:tcPr>
          <w:p w14:paraId="34BE2727" w14:textId="77777777" w:rsidR="006E0F39" w:rsidRPr="00B57B36" w:rsidRDefault="006E0F39" w:rsidP="00D87B60">
            <w:pPr>
              <w:pStyle w:val="CETBodytext"/>
              <w:ind w:right="-1"/>
              <w:rPr>
                <w:rFonts w:cs="Arial"/>
                <w:szCs w:val="18"/>
                <w:lang w:val="en-GB"/>
              </w:rPr>
            </w:pPr>
            <w:r>
              <w:rPr>
                <w:rFonts w:cs="Arial"/>
                <w:szCs w:val="18"/>
                <w:lang w:val="en-GB"/>
              </w:rPr>
              <w:t>2.0</w:t>
            </w:r>
          </w:p>
        </w:tc>
        <w:tc>
          <w:tcPr>
            <w:tcW w:w="850" w:type="dxa"/>
            <w:shd w:val="clear" w:color="auto" w:fill="FFFFFF"/>
          </w:tcPr>
          <w:p w14:paraId="7DF0DBF4" w14:textId="77777777" w:rsidR="006E0F39" w:rsidRPr="00B57B36" w:rsidRDefault="006E0F39" w:rsidP="00D87B60">
            <w:pPr>
              <w:pStyle w:val="CETBodytext"/>
              <w:ind w:right="-1"/>
              <w:rPr>
                <w:rFonts w:cs="Arial"/>
                <w:szCs w:val="18"/>
                <w:lang w:val="en-GB"/>
              </w:rPr>
            </w:pPr>
            <w:r w:rsidRPr="005D0C35">
              <w:rPr>
                <w:lang w:val="en-GB"/>
              </w:rPr>
              <w:t>126.78</w:t>
            </w:r>
          </w:p>
        </w:tc>
        <w:tc>
          <w:tcPr>
            <w:tcW w:w="709" w:type="dxa"/>
            <w:shd w:val="clear" w:color="auto" w:fill="FFFFFF"/>
          </w:tcPr>
          <w:p w14:paraId="1C332936" w14:textId="77777777" w:rsidR="006E0F39" w:rsidRPr="00B57B36" w:rsidRDefault="006E0F39" w:rsidP="00D87B60">
            <w:pPr>
              <w:pStyle w:val="CETBodytext"/>
              <w:ind w:right="-1"/>
              <w:rPr>
                <w:rFonts w:cs="Arial"/>
                <w:szCs w:val="18"/>
                <w:lang w:val="en-GB"/>
              </w:rPr>
            </w:pPr>
            <w:r w:rsidRPr="005D0C35">
              <w:rPr>
                <w:lang w:val="en-GB"/>
              </w:rPr>
              <w:t>53.18</w:t>
            </w:r>
          </w:p>
        </w:tc>
        <w:tc>
          <w:tcPr>
            <w:tcW w:w="850" w:type="dxa"/>
            <w:shd w:val="clear" w:color="auto" w:fill="FFFFFF"/>
          </w:tcPr>
          <w:p w14:paraId="71C0C2F9" w14:textId="77777777" w:rsidR="006E0F39" w:rsidRPr="00B57B36" w:rsidRDefault="006E0F39" w:rsidP="00D87B60">
            <w:pPr>
              <w:pStyle w:val="CETBodytext"/>
              <w:ind w:right="-1"/>
              <w:rPr>
                <w:rFonts w:cs="Arial"/>
                <w:szCs w:val="18"/>
                <w:lang w:val="en-GB"/>
              </w:rPr>
            </w:pPr>
            <w:r w:rsidRPr="005D0C35">
              <w:rPr>
                <w:lang w:val="en-GB"/>
              </w:rPr>
              <w:t>107.58</w:t>
            </w:r>
          </w:p>
        </w:tc>
        <w:tc>
          <w:tcPr>
            <w:tcW w:w="709" w:type="dxa"/>
            <w:shd w:val="clear" w:color="auto" w:fill="FFFFFF"/>
          </w:tcPr>
          <w:p w14:paraId="0B04B9CE" w14:textId="77777777" w:rsidR="006E0F39" w:rsidRPr="00B57B36" w:rsidRDefault="006E0F39" w:rsidP="00D87B60">
            <w:pPr>
              <w:pStyle w:val="CETBodytext"/>
              <w:ind w:right="-1"/>
              <w:rPr>
                <w:rFonts w:cs="Arial"/>
                <w:szCs w:val="18"/>
                <w:lang w:val="en-GB"/>
              </w:rPr>
            </w:pPr>
            <w:r w:rsidRPr="005D0C35">
              <w:rPr>
                <w:lang w:val="en-GB"/>
              </w:rPr>
              <w:t>9.62</w:t>
            </w:r>
          </w:p>
        </w:tc>
        <w:tc>
          <w:tcPr>
            <w:tcW w:w="709" w:type="dxa"/>
            <w:shd w:val="clear" w:color="auto" w:fill="FFFFFF"/>
          </w:tcPr>
          <w:p w14:paraId="4F58C450" w14:textId="77777777" w:rsidR="006E0F39" w:rsidRPr="00B57B36" w:rsidRDefault="006E0F39" w:rsidP="00D87B60">
            <w:pPr>
              <w:pStyle w:val="CETBodytext"/>
              <w:ind w:right="-1"/>
              <w:rPr>
                <w:rFonts w:cs="Arial"/>
                <w:szCs w:val="18"/>
                <w:lang w:val="en-GB"/>
              </w:rPr>
            </w:pPr>
            <w:r w:rsidRPr="005D0C35">
              <w:rPr>
                <w:lang w:val="en-GB"/>
              </w:rPr>
              <w:t>2732.03</w:t>
            </w:r>
          </w:p>
        </w:tc>
      </w:tr>
    </w:tbl>
    <w:p w14:paraId="22E9B0E2" w14:textId="77777777" w:rsidR="006E0F39" w:rsidRDefault="006E0F39">
      <w:pPr>
        <w:pStyle w:val="CETBodytext"/>
      </w:pPr>
    </w:p>
    <w:p w14:paraId="452D497D" w14:textId="07DDFB78" w:rsidR="00D4252F" w:rsidRDefault="000047B5" w:rsidP="00DA2767">
      <w:pPr>
        <w:pStyle w:val="CETBodytext"/>
      </w:pPr>
      <w:r>
        <w:rPr>
          <w:lang w:val="en-GB"/>
        </w:rPr>
        <w:t>A c</w:t>
      </w:r>
      <w:r w:rsidR="00D4252F">
        <w:rPr>
          <w:lang w:val="en-GB"/>
        </w:rPr>
        <w:t>ompari</w:t>
      </w:r>
      <w:r>
        <w:rPr>
          <w:lang w:val="en-GB"/>
        </w:rPr>
        <w:t>son of</w:t>
      </w:r>
      <w:r w:rsidR="00D4252F">
        <w:rPr>
          <w:lang w:val="en-GB"/>
        </w:rPr>
        <w:t xml:space="preserve"> Table 4 </w:t>
      </w:r>
      <w:r w:rsidR="001D6E8D">
        <w:rPr>
          <w:lang w:val="en-GB"/>
        </w:rPr>
        <w:t xml:space="preserve">(post-treatment metal concentrations) </w:t>
      </w:r>
      <w:r w:rsidR="00D4252F">
        <w:rPr>
          <w:lang w:val="en-GB"/>
        </w:rPr>
        <w:t>with Table 1</w:t>
      </w:r>
      <w:r w:rsidR="001D6E8D">
        <w:rPr>
          <w:lang w:val="en-GB"/>
        </w:rPr>
        <w:t xml:space="preserve"> (initial composition</w:t>
      </w:r>
      <w:r>
        <w:rPr>
          <w:lang w:val="en-GB"/>
        </w:rPr>
        <w:t xml:space="preserve">) reveals </w:t>
      </w:r>
      <w:r w:rsidR="00D4252F">
        <w:rPr>
          <w:lang w:val="en-GB"/>
        </w:rPr>
        <w:t xml:space="preserve">that </w:t>
      </w:r>
      <w:r w:rsidR="0011737B">
        <w:t>metal removal efficiency varied according to both the type of metal and the concentration of the extracting agent</w:t>
      </w:r>
      <w:r w:rsidR="003144F7" w:rsidRPr="00590C97">
        <w:rPr>
          <w:lang w:val="en-GB"/>
        </w:rPr>
        <w:t xml:space="preserve">. </w:t>
      </w:r>
      <w:r w:rsidR="007F5B4C">
        <w:rPr>
          <w:lang w:val="en-GB"/>
        </w:rPr>
        <w:t>The m</w:t>
      </w:r>
      <w:r w:rsidR="003144F7" w:rsidRPr="00590C97">
        <w:rPr>
          <w:lang w:val="en-GB"/>
        </w:rPr>
        <w:t>aximum removal efficiencies obtained with 2</w:t>
      </w:r>
      <w:r w:rsidR="0064079D">
        <w:rPr>
          <w:lang w:val="en-GB"/>
        </w:rPr>
        <w:t xml:space="preserve"> </w:t>
      </w:r>
      <w:r w:rsidR="003144F7" w:rsidRPr="00590C97">
        <w:rPr>
          <w:lang w:val="en-GB"/>
        </w:rPr>
        <w:t>M NaOH solution</w:t>
      </w:r>
      <w:r w:rsidR="003144F7" w:rsidRPr="00590C97">
        <w:rPr>
          <w:rStyle w:val="CommentReference"/>
          <w:lang w:val="en-GB"/>
        </w:rPr>
        <w:t xml:space="preserve"> </w:t>
      </w:r>
      <w:r w:rsidR="003144F7" w:rsidRPr="00590C97">
        <w:rPr>
          <w:lang w:val="en-GB"/>
        </w:rPr>
        <w:t>were 58% and 40% for Mo and Se</w:t>
      </w:r>
      <w:r w:rsidR="009D0C46">
        <w:rPr>
          <w:lang w:val="en-GB"/>
        </w:rPr>
        <w:t>,</w:t>
      </w:r>
      <w:r w:rsidR="003144F7" w:rsidRPr="00590C97">
        <w:rPr>
          <w:lang w:val="en-GB"/>
        </w:rPr>
        <w:t xml:space="preserve"> respectively</w:t>
      </w:r>
      <w:r w:rsidR="00D4252F">
        <w:rPr>
          <w:lang w:val="en-GB"/>
        </w:rPr>
        <w:t xml:space="preserve">. </w:t>
      </w:r>
      <w:r w:rsidR="006F657B">
        <w:rPr>
          <w:lang w:val="en-GB"/>
        </w:rPr>
        <w:t>T</w:t>
      </w:r>
      <w:proofErr w:type="spellStart"/>
      <w:r w:rsidR="006F657B">
        <w:t>hese</w:t>
      </w:r>
      <w:proofErr w:type="spellEnd"/>
      <w:r w:rsidR="006F657B">
        <w:t xml:space="preserve"> elements are of particular concern, as their concentrations in </w:t>
      </w:r>
      <w:r w:rsidR="00762474">
        <w:t xml:space="preserve">the leachate from </w:t>
      </w:r>
      <w:r w:rsidR="006F657B">
        <w:t xml:space="preserve">untreated IBA exceeded the regulatory thresholds for landfilling non-hazardous waste, as </w:t>
      </w:r>
      <w:r w:rsidR="00272074">
        <w:t>shown</w:t>
      </w:r>
      <w:r w:rsidR="006F657B">
        <w:t xml:space="preserve"> in Table 5 (DM 27/09/2010)</w:t>
      </w:r>
      <w:r w:rsidR="00D4252F">
        <w:rPr>
          <w:lang w:val="en-GB"/>
        </w:rPr>
        <w:t>, which reports the results of the leaching tests</w:t>
      </w:r>
      <w:r w:rsidR="00D4252F" w:rsidRPr="000E5CEE">
        <w:rPr>
          <w:lang w:val="en-GB"/>
        </w:rPr>
        <w:t xml:space="preserve"> </w:t>
      </w:r>
      <w:r w:rsidR="00272074">
        <w:rPr>
          <w:lang w:val="en-GB"/>
        </w:rPr>
        <w:t>and</w:t>
      </w:r>
      <w:r w:rsidR="00D4252F" w:rsidRPr="000E5CEE">
        <w:rPr>
          <w:lang w:val="en-GB"/>
        </w:rPr>
        <w:t xml:space="preserve"> </w:t>
      </w:r>
      <w:r w:rsidR="00D4252F">
        <w:rPr>
          <w:lang w:val="en-GB"/>
        </w:rPr>
        <w:t xml:space="preserve">the </w:t>
      </w:r>
      <w:r w:rsidR="00272074">
        <w:rPr>
          <w:lang w:val="en-GB"/>
        </w:rPr>
        <w:t xml:space="preserve">regulatory </w:t>
      </w:r>
      <w:r w:rsidR="00D4252F">
        <w:t>l</w:t>
      </w:r>
      <w:r w:rsidR="00D4252F" w:rsidRPr="00D162FB">
        <w:t>imits</w:t>
      </w:r>
      <w:r w:rsidR="00D4252F">
        <w:t>.</w:t>
      </w:r>
    </w:p>
    <w:p w14:paraId="5A79CF4A" w14:textId="77777777" w:rsidR="00122483" w:rsidRPr="00B57B36" w:rsidRDefault="00122483" w:rsidP="00122483">
      <w:pPr>
        <w:pStyle w:val="CETTabletitle"/>
        <w:spacing w:before="0"/>
      </w:pPr>
      <w:bookmarkStart w:id="10" w:name="_Hlk185322560"/>
      <w:bookmarkStart w:id="11" w:name="_Hlk187242901"/>
      <w:r w:rsidRPr="00B57B36">
        <w:t xml:space="preserve">Table </w:t>
      </w:r>
      <w:r>
        <w:t>5</w:t>
      </w:r>
      <w:r w:rsidRPr="00B57B36">
        <w:t>:</w:t>
      </w:r>
      <w:bookmarkStart w:id="12" w:name="_Hlk192233889"/>
      <w:bookmarkEnd w:id="10"/>
      <w:r w:rsidRPr="001B65EC">
        <w:t xml:space="preserve"> </w:t>
      </w:r>
      <w:r>
        <w:t>C</w:t>
      </w:r>
      <w:r w:rsidRPr="00D162FB">
        <w:t>oncentration</w:t>
      </w:r>
      <w:r>
        <w:t>s</w:t>
      </w:r>
      <w:r w:rsidRPr="00D162FB">
        <w:t xml:space="preserve"> </w:t>
      </w:r>
      <w:r>
        <w:t xml:space="preserve">[mg/l] </w:t>
      </w:r>
      <w:r w:rsidRPr="00D162FB">
        <w:t xml:space="preserve">in the eluate </w:t>
      </w:r>
      <w:r>
        <w:t xml:space="preserve">from leaching tests and comparison with the threshold values </w:t>
      </w:r>
      <w:r w:rsidRPr="00D162FB">
        <w:t>for the acceptability in landfills for non-hazardous waste</w:t>
      </w:r>
      <w:r>
        <w:t xml:space="preserve"> (DM 27/09/2010, Table 5A).</w:t>
      </w:r>
      <w:bookmarkEnd w:id="12"/>
    </w:p>
    <w:bookmarkEnd w:id="11"/>
    <w:tbl>
      <w:tblPr>
        <w:tblW w:w="4845" w:type="pct"/>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275"/>
        <w:gridCol w:w="851"/>
        <w:gridCol w:w="567"/>
        <w:gridCol w:w="852"/>
        <w:gridCol w:w="284"/>
        <w:gridCol w:w="426"/>
        <w:gridCol w:w="852"/>
        <w:gridCol w:w="422"/>
        <w:gridCol w:w="702"/>
        <w:gridCol w:w="571"/>
        <w:gridCol w:w="571"/>
        <w:gridCol w:w="571"/>
        <w:gridCol w:w="571"/>
      </w:tblGrid>
      <w:tr w:rsidR="00122483" w:rsidRPr="00B57B36" w14:paraId="2CBF66E4" w14:textId="77777777" w:rsidTr="00D87B60">
        <w:trPr>
          <w:trHeight w:val="130"/>
        </w:trPr>
        <w:tc>
          <w:tcPr>
            <w:tcW w:w="749" w:type="pct"/>
            <w:shd w:val="clear" w:color="auto" w:fill="FFFFFF"/>
          </w:tcPr>
          <w:p w14:paraId="0E123C14" w14:textId="77777777" w:rsidR="00122483" w:rsidRDefault="00122483" w:rsidP="00D87B60">
            <w:pPr>
              <w:pStyle w:val="CETBodytext"/>
              <w:jc w:val="center"/>
              <w:rPr>
                <w:lang w:val="en-GB"/>
              </w:rPr>
            </w:pPr>
          </w:p>
        </w:tc>
        <w:tc>
          <w:tcPr>
            <w:tcW w:w="500" w:type="pct"/>
            <w:shd w:val="clear" w:color="auto" w:fill="FFFFFF"/>
          </w:tcPr>
          <w:p w14:paraId="6C9777D8" w14:textId="77777777" w:rsidR="00122483" w:rsidRDefault="00122483" w:rsidP="00D87B60">
            <w:pPr>
              <w:pStyle w:val="CETBodytext"/>
              <w:jc w:val="center"/>
              <w:rPr>
                <w:lang w:val="en-GB"/>
              </w:rPr>
            </w:pPr>
            <w:r>
              <w:rPr>
                <w:lang w:val="en-GB"/>
              </w:rPr>
              <w:t xml:space="preserve">As </w:t>
            </w:r>
          </w:p>
        </w:tc>
        <w:tc>
          <w:tcPr>
            <w:tcW w:w="333" w:type="pct"/>
            <w:shd w:val="clear" w:color="auto" w:fill="FFFFFF"/>
          </w:tcPr>
          <w:p w14:paraId="09DD9C99" w14:textId="77777777" w:rsidR="00122483" w:rsidRDefault="00122483" w:rsidP="00D87B60">
            <w:pPr>
              <w:pStyle w:val="CETBodytext"/>
              <w:jc w:val="center"/>
              <w:rPr>
                <w:lang w:val="en-GB"/>
              </w:rPr>
            </w:pPr>
            <w:r>
              <w:rPr>
                <w:lang w:val="en-GB"/>
              </w:rPr>
              <w:t>Ba</w:t>
            </w:r>
          </w:p>
        </w:tc>
        <w:tc>
          <w:tcPr>
            <w:tcW w:w="500" w:type="pct"/>
            <w:shd w:val="clear" w:color="auto" w:fill="FFFFFF"/>
          </w:tcPr>
          <w:p w14:paraId="15CD4844" w14:textId="77777777" w:rsidR="00122483" w:rsidRDefault="00122483" w:rsidP="00D87B60">
            <w:pPr>
              <w:pStyle w:val="CETBodytext"/>
              <w:jc w:val="center"/>
              <w:rPr>
                <w:lang w:val="en-GB"/>
              </w:rPr>
            </w:pPr>
            <w:r>
              <w:rPr>
                <w:lang w:val="en-GB"/>
              </w:rPr>
              <w:t>Cd</w:t>
            </w:r>
          </w:p>
        </w:tc>
        <w:tc>
          <w:tcPr>
            <w:tcW w:w="167" w:type="pct"/>
            <w:shd w:val="clear" w:color="auto" w:fill="FFFFFF"/>
          </w:tcPr>
          <w:p w14:paraId="7F5A1265" w14:textId="77777777" w:rsidR="00122483" w:rsidRDefault="00122483" w:rsidP="00D87B60">
            <w:pPr>
              <w:pStyle w:val="CETBodytext"/>
              <w:jc w:val="center"/>
              <w:rPr>
                <w:lang w:val="en-GB"/>
              </w:rPr>
            </w:pPr>
            <w:r>
              <w:rPr>
                <w:lang w:val="en-GB"/>
              </w:rPr>
              <w:t>Cr</w:t>
            </w:r>
          </w:p>
        </w:tc>
        <w:tc>
          <w:tcPr>
            <w:tcW w:w="250" w:type="pct"/>
            <w:shd w:val="clear" w:color="auto" w:fill="FFFFFF"/>
          </w:tcPr>
          <w:p w14:paraId="3D80A7A6" w14:textId="77777777" w:rsidR="00122483" w:rsidRDefault="00122483" w:rsidP="00D87B60">
            <w:pPr>
              <w:pStyle w:val="CETBodytext"/>
              <w:jc w:val="center"/>
              <w:rPr>
                <w:lang w:val="en-GB"/>
              </w:rPr>
            </w:pPr>
            <w:r>
              <w:rPr>
                <w:lang w:val="en-GB"/>
              </w:rPr>
              <w:t>Cu</w:t>
            </w:r>
          </w:p>
        </w:tc>
        <w:tc>
          <w:tcPr>
            <w:tcW w:w="500" w:type="pct"/>
            <w:shd w:val="clear" w:color="auto" w:fill="FFFFFF"/>
          </w:tcPr>
          <w:p w14:paraId="0BAC67FF" w14:textId="77777777" w:rsidR="00122483" w:rsidRDefault="00122483" w:rsidP="00D87B60">
            <w:pPr>
              <w:pStyle w:val="CETBodytext"/>
              <w:jc w:val="center"/>
              <w:rPr>
                <w:lang w:val="en-GB"/>
              </w:rPr>
            </w:pPr>
            <w:r>
              <w:rPr>
                <w:lang w:val="en-GB"/>
              </w:rPr>
              <w:t>Hg</w:t>
            </w:r>
          </w:p>
        </w:tc>
        <w:tc>
          <w:tcPr>
            <w:tcW w:w="248" w:type="pct"/>
            <w:shd w:val="clear" w:color="auto" w:fill="FFFFFF"/>
          </w:tcPr>
          <w:p w14:paraId="701E4932" w14:textId="77777777" w:rsidR="00122483" w:rsidRDefault="00122483" w:rsidP="00D87B60">
            <w:pPr>
              <w:pStyle w:val="CETBodytext"/>
              <w:jc w:val="center"/>
              <w:rPr>
                <w:lang w:val="en-GB"/>
              </w:rPr>
            </w:pPr>
            <w:r>
              <w:rPr>
                <w:lang w:val="en-GB"/>
              </w:rPr>
              <w:t>Mo</w:t>
            </w:r>
          </w:p>
        </w:tc>
        <w:tc>
          <w:tcPr>
            <w:tcW w:w="412" w:type="pct"/>
            <w:shd w:val="clear" w:color="auto" w:fill="FFFFFF"/>
          </w:tcPr>
          <w:p w14:paraId="54EAFFC5" w14:textId="77777777" w:rsidR="00122483" w:rsidRDefault="00122483" w:rsidP="00D87B60">
            <w:pPr>
              <w:pStyle w:val="CETBodytext"/>
              <w:jc w:val="center"/>
              <w:rPr>
                <w:lang w:val="en-GB"/>
              </w:rPr>
            </w:pPr>
            <w:r>
              <w:rPr>
                <w:lang w:val="en-GB"/>
              </w:rPr>
              <w:t>Ni</w:t>
            </w:r>
          </w:p>
        </w:tc>
        <w:tc>
          <w:tcPr>
            <w:tcW w:w="335" w:type="pct"/>
            <w:shd w:val="clear" w:color="auto" w:fill="FFFFFF"/>
          </w:tcPr>
          <w:p w14:paraId="5663051A" w14:textId="77777777" w:rsidR="00122483" w:rsidRDefault="00122483" w:rsidP="00D87B60">
            <w:pPr>
              <w:pStyle w:val="CETBodytext"/>
              <w:jc w:val="center"/>
              <w:rPr>
                <w:lang w:val="en-GB"/>
              </w:rPr>
            </w:pPr>
            <w:r>
              <w:rPr>
                <w:lang w:val="en-GB"/>
              </w:rPr>
              <w:t>Pb</w:t>
            </w:r>
          </w:p>
        </w:tc>
        <w:tc>
          <w:tcPr>
            <w:tcW w:w="335" w:type="pct"/>
            <w:shd w:val="clear" w:color="auto" w:fill="FFFFFF"/>
          </w:tcPr>
          <w:p w14:paraId="2FC79CCC" w14:textId="77777777" w:rsidR="00122483" w:rsidRDefault="00122483" w:rsidP="00D87B60">
            <w:pPr>
              <w:pStyle w:val="CETBodytext"/>
              <w:jc w:val="center"/>
              <w:rPr>
                <w:lang w:val="en-GB"/>
              </w:rPr>
            </w:pPr>
            <w:r>
              <w:rPr>
                <w:lang w:val="en-GB"/>
              </w:rPr>
              <w:t>Sb</w:t>
            </w:r>
          </w:p>
        </w:tc>
        <w:tc>
          <w:tcPr>
            <w:tcW w:w="335" w:type="pct"/>
            <w:shd w:val="clear" w:color="auto" w:fill="FFFFFF"/>
          </w:tcPr>
          <w:p w14:paraId="17D71C99" w14:textId="77777777" w:rsidR="00122483" w:rsidRDefault="00122483" w:rsidP="00D87B60">
            <w:pPr>
              <w:pStyle w:val="CETBodytext"/>
              <w:jc w:val="center"/>
              <w:rPr>
                <w:lang w:val="en-GB"/>
              </w:rPr>
            </w:pPr>
            <w:r>
              <w:rPr>
                <w:lang w:val="en-GB"/>
              </w:rPr>
              <w:t>Se</w:t>
            </w:r>
          </w:p>
        </w:tc>
        <w:tc>
          <w:tcPr>
            <w:tcW w:w="335" w:type="pct"/>
            <w:shd w:val="clear" w:color="auto" w:fill="FFFFFF"/>
          </w:tcPr>
          <w:p w14:paraId="3270CEEF" w14:textId="77777777" w:rsidR="00122483" w:rsidRDefault="00122483" w:rsidP="00D87B60">
            <w:pPr>
              <w:pStyle w:val="CETBodytext"/>
              <w:jc w:val="center"/>
              <w:rPr>
                <w:lang w:val="en-GB"/>
              </w:rPr>
            </w:pPr>
            <w:r>
              <w:rPr>
                <w:lang w:val="en-GB"/>
              </w:rPr>
              <w:t>Zn</w:t>
            </w:r>
          </w:p>
        </w:tc>
      </w:tr>
      <w:tr w:rsidR="00122483" w:rsidRPr="00B57B36" w14:paraId="4CD12A1A" w14:textId="77777777" w:rsidTr="00D87B60">
        <w:trPr>
          <w:trHeight w:val="355"/>
        </w:trPr>
        <w:tc>
          <w:tcPr>
            <w:tcW w:w="749" w:type="pct"/>
            <w:shd w:val="clear" w:color="auto" w:fill="FFFFFF"/>
          </w:tcPr>
          <w:p w14:paraId="45DAF7EB" w14:textId="77777777" w:rsidR="00122483" w:rsidRDefault="00122483" w:rsidP="00D87B60">
            <w:pPr>
              <w:pStyle w:val="CETBodytext"/>
              <w:jc w:val="center"/>
              <w:rPr>
                <w:lang w:val="en-GB"/>
              </w:rPr>
            </w:pPr>
            <w:r>
              <w:rPr>
                <w:lang w:val="en-GB"/>
              </w:rPr>
              <w:t>Untreated IBA</w:t>
            </w:r>
          </w:p>
        </w:tc>
        <w:tc>
          <w:tcPr>
            <w:tcW w:w="500" w:type="pct"/>
            <w:shd w:val="clear" w:color="auto" w:fill="FFFFFF"/>
          </w:tcPr>
          <w:p w14:paraId="7C65C9F5" w14:textId="77777777" w:rsidR="00122483" w:rsidRDefault="00122483" w:rsidP="00D87B60">
            <w:pPr>
              <w:pStyle w:val="CETBodytext"/>
              <w:jc w:val="center"/>
              <w:rPr>
                <w:lang w:val="en-GB"/>
              </w:rPr>
            </w:pPr>
            <w:r>
              <w:rPr>
                <w:lang w:val="en-GB"/>
              </w:rPr>
              <w:t xml:space="preserve">0.002 </w:t>
            </w:r>
          </w:p>
        </w:tc>
        <w:tc>
          <w:tcPr>
            <w:tcW w:w="333" w:type="pct"/>
            <w:shd w:val="clear" w:color="auto" w:fill="FFFFFF"/>
          </w:tcPr>
          <w:p w14:paraId="6801C92B" w14:textId="77777777" w:rsidR="00122483" w:rsidRDefault="00122483" w:rsidP="00D87B60">
            <w:pPr>
              <w:pStyle w:val="CETBodytext"/>
              <w:jc w:val="center"/>
              <w:rPr>
                <w:lang w:val="en-GB"/>
              </w:rPr>
            </w:pPr>
            <w:r>
              <w:rPr>
                <w:lang w:val="en-GB"/>
              </w:rPr>
              <w:t>0.359</w:t>
            </w:r>
          </w:p>
        </w:tc>
        <w:tc>
          <w:tcPr>
            <w:tcW w:w="500" w:type="pct"/>
            <w:shd w:val="clear" w:color="auto" w:fill="FFFFFF"/>
          </w:tcPr>
          <w:p w14:paraId="278F588E" w14:textId="77777777" w:rsidR="00122483" w:rsidRDefault="00122483" w:rsidP="00D87B60">
            <w:pPr>
              <w:pStyle w:val="CETBodytext"/>
              <w:jc w:val="center"/>
              <w:rPr>
                <w:lang w:val="en-GB"/>
              </w:rPr>
            </w:pPr>
            <w:r>
              <w:rPr>
                <w:lang w:val="en-GB"/>
              </w:rPr>
              <w:t>0</w:t>
            </w:r>
          </w:p>
        </w:tc>
        <w:tc>
          <w:tcPr>
            <w:tcW w:w="167" w:type="pct"/>
            <w:shd w:val="clear" w:color="auto" w:fill="FFFFFF"/>
          </w:tcPr>
          <w:p w14:paraId="41450292" w14:textId="77777777" w:rsidR="00122483" w:rsidRDefault="00122483" w:rsidP="00D87B60">
            <w:pPr>
              <w:pStyle w:val="CETBodytext"/>
              <w:jc w:val="center"/>
              <w:rPr>
                <w:lang w:val="en-GB"/>
              </w:rPr>
            </w:pPr>
            <w:r>
              <w:rPr>
                <w:lang w:val="en-GB"/>
              </w:rPr>
              <w:t>0</w:t>
            </w:r>
          </w:p>
        </w:tc>
        <w:tc>
          <w:tcPr>
            <w:tcW w:w="250" w:type="pct"/>
            <w:shd w:val="clear" w:color="auto" w:fill="FFFFFF"/>
          </w:tcPr>
          <w:p w14:paraId="0F8083B8" w14:textId="77777777" w:rsidR="00122483" w:rsidRDefault="00122483" w:rsidP="00D87B60">
            <w:pPr>
              <w:pStyle w:val="CETBodytext"/>
              <w:jc w:val="center"/>
              <w:rPr>
                <w:lang w:val="en-GB"/>
              </w:rPr>
            </w:pPr>
            <w:r>
              <w:rPr>
                <w:lang w:val="en-GB"/>
              </w:rPr>
              <w:t>0</w:t>
            </w:r>
          </w:p>
        </w:tc>
        <w:tc>
          <w:tcPr>
            <w:tcW w:w="500" w:type="pct"/>
            <w:shd w:val="clear" w:color="auto" w:fill="FFFFFF"/>
          </w:tcPr>
          <w:p w14:paraId="5049D3CE" w14:textId="77777777" w:rsidR="00122483" w:rsidRDefault="00122483" w:rsidP="00D87B60">
            <w:pPr>
              <w:pStyle w:val="CETBodytext"/>
              <w:jc w:val="center"/>
              <w:rPr>
                <w:lang w:val="en-GB"/>
              </w:rPr>
            </w:pPr>
            <w:r>
              <w:rPr>
                <w:lang w:val="en-GB"/>
              </w:rPr>
              <w:t>0.006</w:t>
            </w:r>
          </w:p>
        </w:tc>
        <w:tc>
          <w:tcPr>
            <w:tcW w:w="248" w:type="pct"/>
            <w:shd w:val="clear" w:color="auto" w:fill="FFFFFF"/>
          </w:tcPr>
          <w:p w14:paraId="3B4F54E3" w14:textId="77777777" w:rsidR="00122483" w:rsidRDefault="00122483" w:rsidP="00D87B60">
            <w:pPr>
              <w:pStyle w:val="CETBodytext"/>
              <w:jc w:val="center"/>
              <w:rPr>
                <w:lang w:val="en-GB"/>
              </w:rPr>
            </w:pPr>
            <w:r>
              <w:rPr>
                <w:lang w:val="en-GB"/>
              </w:rPr>
              <w:t>2.21</w:t>
            </w:r>
          </w:p>
        </w:tc>
        <w:tc>
          <w:tcPr>
            <w:tcW w:w="412" w:type="pct"/>
            <w:shd w:val="clear" w:color="auto" w:fill="FFFFFF"/>
          </w:tcPr>
          <w:p w14:paraId="6D785424" w14:textId="77777777" w:rsidR="00122483" w:rsidRDefault="00122483" w:rsidP="00D87B60">
            <w:pPr>
              <w:pStyle w:val="CETBodytext"/>
              <w:jc w:val="center"/>
              <w:rPr>
                <w:lang w:val="en-GB"/>
              </w:rPr>
            </w:pPr>
            <w:r>
              <w:rPr>
                <w:lang w:val="en-GB"/>
              </w:rPr>
              <w:t>0</w:t>
            </w:r>
          </w:p>
        </w:tc>
        <w:tc>
          <w:tcPr>
            <w:tcW w:w="335" w:type="pct"/>
            <w:shd w:val="clear" w:color="auto" w:fill="FFFFFF"/>
          </w:tcPr>
          <w:p w14:paraId="3C40D473" w14:textId="77777777" w:rsidR="00122483" w:rsidRDefault="00122483" w:rsidP="00D87B60">
            <w:pPr>
              <w:pStyle w:val="CETBodytext"/>
              <w:jc w:val="center"/>
              <w:rPr>
                <w:lang w:val="en-GB"/>
              </w:rPr>
            </w:pPr>
            <w:r>
              <w:rPr>
                <w:lang w:val="en-GB"/>
              </w:rPr>
              <w:t>0.011</w:t>
            </w:r>
          </w:p>
        </w:tc>
        <w:tc>
          <w:tcPr>
            <w:tcW w:w="335" w:type="pct"/>
            <w:shd w:val="clear" w:color="auto" w:fill="FFFFFF"/>
          </w:tcPr>
          <w:p w14:paraId="1E2324DC" w14:textId="77777777" w:rsidR="00122483" w:rsidRDefault="00122483" w:rsidP="00D87B60">
            <w:pPr>
              <w:pStyle w:val="CETBodytext"/>
              <w:jc w:val="center"/>
              <w:rPr>
                <w:lang w:val="en-GB"/>
              </w:rPr>
            </w:pPr>
            <w:r>
              <w:rPr>
                <w:lang w:val="en-GB"/>
              </w:rPr>
              <w:t>0.004</w:t>
            </w:r>
          </w:p>
        </w:tc>
        <w:tc>
          <w:tcPr>
            <w:tcW w:w="335" w:type="pct"/>
            <w:shd w:val="clear" w:color="auto" w:fill="FFFFFF"/>
          </w:tcPr>
          <w:p w14:paraId="4549C0AC" w14:textId="77777777" w:rsidR="00122483" w:rsidRDefault="00122483" w:rsidP="00D87B60">
            <w:pPr>
              <w:pStyle w:val="CETBodytext"/>
              <w:jc w:val="center"/>
              <w:rPr>
                <w:lang w:val="en-GB"/>
              </w:rPr>
            </w:pPr>
            <w:r>
              <w:rPr>
                <w:lang w:val="en-GB"/>
              </w:rPr>
              <w:t>0.124</w:t>
            </w:r>
          </w:p>
        </w:tc>
        <w:tc>
          <w:tcPr>
            <w:tcW w:w="335" w:type="pct"/>
            <w:shd w:val="clear" w:color="auto" w:fill="FFFFFF"/>
          </w:tcPr>
          <w:p w14:paraId="39715B87" w14:textId="77777777" w:rsidR="00122483" w:rsidRDefault="00122483" w:rsidP="00D87B60">
            <w:pPr>
              <w:pStyle w:val="CETBodytext"/>
              <w:jc w:val="center"/>
              <w:rPr>
                <w:lang w:val="en-GB"/>
              </w:rPr>
            </w:pPr>
            <w:r>
              <w:rPr>
                <w:lang w:val="en-GB"/>
              </w:rPr>
              <w:t>0.147</w:t>
            </w:r>
          </w:p>
        </w:tc>
      </w:tr>
      <w:tr w:rsidR="00122483" w:rsidRPr="00B57B36" w14:paraId="359F0714" w14:textId="77777777" w:rsidTr="00D87B60">
        <w:trPr>
          <w:trHeight w:val="226"/>
        </w:trPr>
        <w:tc>
          <w:tcPr>
            <w:tcW w:w="749" w:type="pct"/>
            <w:shd w:val="clear" w:color="auto" w:fill="FFFFFF"/>
          </w:tcPr>
          <w:p w14:paraId="0F48FC0B" w14:textId="77777777" w:rsidR="00122483" w:rsidRDefault="00122483" w:rsidP="00D87B60">
            <w:pPr>
              <w:pStyle w:val="CETBodytext"/>
              <w:jc w:val="center"/>
              <w:rPr>
                <w:lang w:val="en-GB"/>
              </w:rPr>
            </w:pPr>
            <w:r>
              <w:rPr>
                <w:lang w:val="en-GB"/>
              </w:rPr>
              <w:t>DM 27/09/2010</w:t>
            </w:r>
          </w:p>
        </w:tc>
        <w:tc>
          <w:tcPr>
            <w:tcW w:w="500" w:type="pct"/>
            <w:shd w:val="clear" w:color="auto" w:fill="FFFFFF"/>
          </w:tcPr>
          <w:p w14:paraId="7DF9E83E" w14:textId="77777777" w:rsidR="00122483" w:rsidRDefault="00122483" w:rsidP="00D87B60">
            <w:pPr>
              <w:pStyle w:val="CETBodytext"/>
              <w:jc w:val="center"/>
              <w:rPr>
                <w:lang w:val="en-GB"/>
              </w:rPr>
            </w:pPr>
            <w:r>
              <w:rPr>
                <w:lang w:val="en-GB"/>
              </w:rPr>
              <w:t>0.2</w:t>
            </w:r>
          </w:p>
        </w:tc>
        <w:tc>
          <w:tcPr>
            <w:tcW w:w="333" w:type="pct"/>
            <w:shd w:val="clear" w:color="auto" w:fill="FFFFFF"/>
          </w:tcPr>
          <w:p w14:paraId="774F7FD7" w14:textId="77777777" w:rsidR="00122483" w:rsidRDefault="00122483" w:rsidP="00D87B60">
            <w:pPr>
              <w:pStyle w:val="CETBodytext"/>
              <w:jc w:val="center"/>
              <w:rPr>
                <w:lang w:val="en-GB"/>
              </w:rPr>
            </w:pPr>
            <w:r>
              <w:rPr>
                <w:lang w:val="en-GB"/>
              </w:rPr>
              <w:t>10</w:t>
            </w:r>
          </w:p>
        </w:tc>
        <w:tc>
          <w:tcPr>
            <w:tcW w:w="500" w:type="pct"/>
            <w:shd w:val="clear" w:color="auto" w:fill="FFFFFF"/>
          </w:tcPr>
          <w:p w14:paraId="3FE85BE8" w14:textId="77777777" w:rsidR="00122483" w:rsidRDefault="00122483" w:rsidP="00D87B60">
            <w:pPr>
              <w:pStyle w:val="CETBodytext"/>
              <w:jc w:val="center"/>
              <w:rPr>
                <w:lang w:val="en-GB"/>
              </w:rPr>
            </w:pPr>
            <w:r>
              <w:rPr>
                <w:lang w:val="en-GB"/>
              </w:rPr>
              <w:t>0.1</w:t>
            </w:r>
          </w:p>
        </w:tc>
        <w:tc>
          <w:tcPr>
            <w:tcW w:w="167" w:type="pct"/>
            <w:shd w:val="clear" w:color="auto" w:fill="FFFFFF"/>
          </w:tcPr>
          <w:p w14:paraId="501AB669" w14:textId="77777777" w:rsidR="00122483" w:rsidRDefault="00122483" w:rsidP="00D87B60">
            <w:pPr>
              <w:pStyle w:val="CETBodytext"/>
              <w:jc w:val="center"/>
              <w:rPr>
                <w:lang w:val="en-GB"/>
              </w:rPr>
            </w:pPr>
            <w:r>
              <w:rPr>
                <w:lang w:val="en-GB"/>
              </w:rPr>
              <w:t>1</w:t>
            </w:r>
          </w:p>
        </w:tc>
        <w:tc>
          <w:tcPr>
            <w:tcW w:w="250" w:type="pct"/>
            <w:shd w:val="clear" w:color="auto" w:fill="FFFFFF"/>
          </w:tcPr>
          <w:p w14:paraId="2BD4BFE6" w14:textId="77777777" w:rsidR="00122483" w:rsidRDefault="00122483" w:rsidP="00D87B60">
            <w:pPr>
              <w:pStyle w:val="CETBodytext"/>
              <w:jc w:val="center"/>
              <w:rPr>
                <w:lang w:val="en-GB"/>
              </w:rPr>
            </w:pPr>
            <w:r>
              <w:rPr>
                <w:lang w:val="en-GB"/>
              </w:rPr>
              <w:t>5</w:t>
            </w:r>
          </w:p>
        </w:tc>
        <w:tc>
          <w:tcPr>
            <w:tcW w:w="500" w:type="pct"/>
            <w:shd w:val="clear" w:color="auto" w:fill="FFFFFF"/>
          </w:tcPr>
          <w:p w14:paraId="1BD2A7A9" w14:textId="77777777" w:rsidR="00122483" w:rsidRDefault="00122483" w:rsidP="00D87B60">
            <w:pPr>
              <w:pStyle w:val="CETBodytext"/>
              <w:jc w:val="center"/>
              <w:rPr>
                <w:lang w:val="en-GB"/>
              </w:rPr>
            </w:pPr>
            <w:r>
              <w:rPr>
                <w:lang w:val="en-GB"/>
              </w:rPr>
              <w:t xml:space="preserve">0.02 </w:t>
            </w:r>
          </w:p>
        </w:tc>
        <w:tc>
          <w:tcPr>
            <w:tcW w:w="248" w:type="pct"/>
            <w:shd w:val="clear" w:color="auto" w:fill="FFFFFF"/>
          </w:tcPr>
          <w:p w14:paraId="7B76AE58" w14:textId="77777777" w:rsidR="00122483" w:rsidRDefault="00122483" w:rsidP="00D87B60">
            <w:pPr>
              <w:pStyle w:val="CETBodytext"/>
              <w:jc w:val="center"/>
              <w:rPr>
                <w:lang w:val="en-GB"/>
              </w:rPr>
            </w:pPr>
            <w:r>
              <w:rPr>
                <w:lang w:val="en-GB"/>
              </w:rPr>
              <w:t>1</w:t>
            </w:r>
          </w:p>
        </w:tc>
        <w:tc>
          <w:tcPr>
            <w:tcW w:w="412" w:type="pct"/>
            <w:shd w:val="clear" w:color="auto" w:fill="FFFFFF"/>
          </w:tcPr>
          <w:p w14:paraId="130B6FC4" w14:textId="77777777" w:rsidR="00122483" w:rsidRDefault="00122483" w:rsidP="00D87B60">
            <w:pPr>
              <w:pStyle w:val="CETBodytext"/>
              <w:jc w:val="center"/>
              <w:rPr>
                <w:lang w:val="en-GB"/>
              </w:rPr>
            </w:pPr>
            <w:r>
              <w:rPr>
                <w:lang w:val="en-GB"/>
              </w:rPr>
              <w:t>1</w:t>
            </w:r>
          </w:p>
        </w:tc>
        <w:tc>
          <w:tcPr>
            <w:tcW w:w="335" w:type="pct"/>
            <w:shd w:val="clear" w:color="auto" w:fill="FFFFFF"/>
          </w:tcPr>
          <w:p w14:paraId="38CB672E" w14:textId="77777777" w:rsidR="00122483" w:rsidRDefault="00122483" w:rsidP="00D87B60">
            <w:pPr>
              <w:pStyle w:val="CETBodytext"/>
              <w:jc w:val="center"/>
              <w:rPr>
                <w:lang w:val="en-GB"/>
              </w:rPr>
            </w:pPr>
            <w:r>
              <w:rPr>
                <w:lang w:val="en-GB"/>
              </w:rPr>
              <w:t>1</w:t>
            </w:r>
          </w:p>
        </w:tc>
        <w:tc>
          <w:tcPr>
            <w:tcW w:w="335" w:type="pct"/>
            <w:shd w:val="clear" w:color="auto" w:fill="FFFFFF"/>
          </w:tcPr>
          <w:p w14:paraId="6E42134B" w14:textId="77777777" w:rsidR="00122483" w:rsidRDefault="00122483" w:rsidP="00D87B60">
            <w:pPr>
              <w:pStyle w:val="CETBodytext"/>
              <w:jc w:val="center"/>
              <w:rPr>
                <w:lang w:val="en-GB"/>
              </w:rPr>
            </w:pPr>
            <w:r>
              <w:rPr>
                <w:lang w:val="en-GB"/>
              </w:rPr>
              <w:t>0.07</w:t>
            </w:r>
          </w:p>
        </w:tc>
        <w:tc>
          <w:tcPr>
            <w:tcW w:w="335" w:type="pct"/>
            <w:shd w:val="clear" w:color="auto" w:fill="FFFFFF"/>
          </w:tcPr>
          <w:p w14:paraId="77EB1E4D" w14:textId="77777777" w:rsidR="00122483" w:rsidRDefault="00122483" w:rsidP="00D87B60">
            <w:pPr>
              <w:pStyle w:val="CETBodytext"/>
              <w:jc w:val="center"/>
              <w:rPr>
                <w:lang w:val="en-GB"/>
              </w:rPr>
            </w:pPr>
            <w:r>
              <w:rPr>
                <w:lang w:val="en-GB"/>
              </w:rPr>
              <w:t>0.05</w:t>
            </w:r>
          </w:p>
        </w:tc>
        <w:tc>
          <w:tcPr>
            <w:tcW w:w="335" w:type="pct"/>
            <w:shd w:val="clear" w:color="auto" w:fill="FFFFFF"/>
          </w:tcPr>
          <w:p w14:paraId="11F66C22" w14:textId="77777777" w:rsidR="00122483" w:rsidRDefault="00122483" w:rsidP="00D87B60">
            <w:pPr>
              <w:pStyle w:val="CETBodytext"/>
              <w:jc w:val="center"/>
              <w:rPr>
                <w:lang w:val="en-GB"/>
              </w:rPr>
            </w:pPr>
            <w:r>
              <w:rPr>
                <w:lang w:val="en-GB"/>
              </w:rPr>
              <w:t>5</w:t>
            </w:r>
          </w:p>
        </w:tc>
      </w:tr>
      <w:tr w:rsidR="00122483" w:rsidRPr="00B57B36" w14:paraId="474134D7" w14:textId="77777777" w:rsidTr="00D87B60">
        <w:trPr>
          <w:trHeight w:val="301"/>
        </w:trPr>
        <w:tc>
          <w:tcPr>
            <w:tcW w:w="749" w:type="pct"/>
            <w:shd w:val="clear" w:color="auto" w:fill="FFFFFF"/>
          </w:tcPr>
          <w:p w14:paraId="30DF62FB" w14:textId="77777777" w:rsidR="00122483" w:rsidRDefault="00122483" w:rsidP="00D87B60">
            <w:pPr>
              <w:pStyle w:val="CETBodytext"/>
              <w:jc w:val="center"/>
              <w:rPr>
                <w:lang w:val="en-GB"/>
              </w:rPr>
            </w:pPr>
          </w:p>
        </w:tc>
        <w:tc>
          <w:tcPr>
            <w:tcW w:w="500" w:type="pct"/>
            <w:shd w:val="clear" w:color="auto" w:fill="FFFFFF"/>
          </w:tcPr>
          <w:p w14:paraId="04E5136D" w14:textId="77777777" w:rsidR="00122483" w:rsidRDefault="00122483" w:rsidP="00D87B60">
            <w:pPr>
              <w:pStyle w:val="CETBodytext"/>
              <w:jc w:val="center"/>
              <w:rPr>
                <w:lang w:val="en-GB"/>
              </w:rPr>
            </w:pPr>
            <w:r>
              <w:rPr>
                <w:lang w:val="en-GB"/>
              </w:rPr>
              <w:t>Chlorides</w:t>
            </w:r>
          </w:p>
        </w:tc>
        <w:tc>
          <w:tcPr>
            <w:tcW w:w="333" w:type="pct"/>
            <w:shd w:val="clear" w:color="auto" w:fill="FFFFFF"/>
          </w:tcPr>
          <w:p w14:paraId="6326E0B6" w14:textId="77777777" w:rsidR="00122483" w:rsidRDefault="00122483" w:rsidP="00D87B60">
            <w:pPr>
              <w:pStyle w:val="CETBodytext"/>
              <w:jc w:val="center"/>
              <w:rPr>
                <w:lang w:val="en-GB"/>
              </w:rPr>
            </w:pPr>
          </w:p>
        </w:tc>
        <w:tc>
          <w:tcPr>
            <w:tcW w:w="500" w:type="pct"/>
            <w:shd w:val="clear" w:color="auto" w:fill="FFFFFF"/>
          </w:tcPr>
          <w:p w14:paraId="65879516" w14:textId="77777777" w:rsidR="00122483" w:rsidRDefault="00122483" w:rsidP="00D87B60">
            <w:pPr>
              <w:pStyle w:val="CETBodytext"/>
              <w:jc w:val="center"/>
              <w:rPr>
                <w:lang w:val="en-GB"/>
              </w:rPr>
            </w:pPr>
            <w:r>
              <w:rPr>
                <w:lang w:val="en-GB"/>
              </w:rPr>
              <w:t>Fluorides</w:t>
            </w:r>
          </w:p>
        </w:tc>
        <w:tc>
          <w:tcPr>
            <w:tcW w:w="167" w:type="pct"/>
            <w:shd w:val="clear" w:color="auto" w:fill="FFFFFF"/>
          </w:tcPr>
          <w:p w14:paraId="1D6F4735" w14:textId="77777777" w:rsidR="00122483" w:rsidRDefault="00122483" w:rsidP="00D87B60">
            <w:pPr>
              <w:pStyle w:val="CETBodytext"/>
              <w:jc w:val="center"/>
              <w:rPr>
                <w:lang w:val="en-GB"/>
              </w:rPr>
            </w:pPr>
          </w:p>
        </w:tc>
        <w:tc>
          <w:tcPr>
            <w:tcW w:w="250" w:type="pct"/>
            <w:shd w:val="clear" w:color="auto" w:fill="FFFFFF"/>
          </w:tcPr>
          <w:p w14:paraId="510B8A67" w14:textId="77777777" w:rsidR="00122483" w:rsidRDefault="00122483" w:rsidP="00D87B60">
            <w:pPr>
              <w:pStyle w:val="CETBodytext"/>
              <w:jc w:val="center"/>
              <w:rPr>
                <w:lang w:val="en-GB"/>
              </w:rPr>
            </w:pPr>
          </w:p>
        </w:tc>
        <w:tc>
          <w:tcPr>
            <w:tcW w:w="500" w:type="pct"/>
            <w:shd w:val="clear" w:color="auto" w:fill="FFFFFF"/>
          </w:tcPr>
          <w:p w14:paraId="42C97C91" w14:textId="77777777" w:rsidR="00122483" w:rsidRDefault="00122483" w:rsidP="00D87B60">
            <w:pPr>
              <w:pStyle w:val="CETBodytext"/>
              <w:jc w:val="center"/>
              <w:rPr>
                <w:lang w:val="en-GB"/>
              </w:rPr>
            </w:pPr>
            <w:r>
              <w:rPr>
                <w:lang w:val="en-GB"/>
              </w:rPr>
              <w:t>Sulphate</w:t>
            </w:r>
          </w:p>
        </w:tc>
        <w:tc>
          <w:tcPr>
            <w:tcW w:w="248" w:type="pct"/>
            <w:shd w:val="clear" w:color="auto" w:fill="FFFFFF"/>
          </w:tcPr>
          <w:p w14:paraId="46BC96C6" w14:textId="77777777" w:rsidR="00122483" w:rsidRDefault="00122483" w:rsidP="00D87B60">
            <w:pPr>
              <w:pStyle w:val="CETBodytext"/>
              <w:jc w:val="center"/>
              <w:rPr>
                <w:lang w:val="en-GB"/>
              </w:rPr>
            </w:pPr>
          </w:p>
        </w:tc>
        <w:tc>
          <w:tcPr>
            <w:tcW w:w="412" w:type="pct"/>
            <w:shd w:val="clear" w:color="auto" w:fill="FFFFFF"/>
          </w:tcPr>
          <w:p w14:paraId="4BF10A70" w14:textId="77777777" w:rsidR="00122483" w:rsidRDefault="00122483" w:rsidP="00D87B60">
            <w:pPr>
              <w:pStyle w:val="CETBodytext"/>
              <w:jc w:val="center"/>
              <w:rPr>
                <w:lang w:val="en-GB"/>
              </w:rPr>
            </w:pPr>
            <w:r>
              <w:rPr>
                <w:lang w:val="en-GB"/>
              </w:rPr>
              <w:t>DOC</w:t>
            </w:r>
          </w:p>
        </w:tc>
        <w:tc>
          <w:tcPr>
            <w:tcW w:w="335" w:type="pct"/>
            <w:shd w:val="clear" w:color="auto" w:fill="FFFFFF"/>
          </w:tcPr>
          <w:p w14:paraId="792A42BA" w14:textId="77777777" w:rsidR="00122483" w:rsidRDefault="00122483" w:rsidP="00D87B60">
            <w:pPr>
              <w:pStyle w:val="CETBodytext"/>
              <w:jc w:val="center"/>
              <w:rPr>
                <w:lang w:val="en-GB"/>
              </w:rPr>
            </w:pPr>
          </w:p>
        </w:tc>
        <w:tc>
          <w:tcPr>
            <w:tcW w:w="335" w:type="pct"/>
            <w:shd w:val="clear" w:color="auto" w:fill="FFFFFF"/>
          </w:tcPr>
          <w:p w14:paraId="654EC3D1" w14:textId="77777777" w:rsidR="00122483" w:rsidRDefault="00122483" w:rsidP="00D87B60">
            <w:pPr>
              <w:pStyle w:val="CETBodytext"/>
              <w:jc w:val="center"/>
              <w:rPr>
                <w:lang w:val="en-GB"/>
              </w:rPr>
            </w:pPr>
            <w:r>
              <w:rPr>
                <w:lang w:val="en-GB"/>
              </w:rPr>
              <w:t>TDS</w:t>
            </w:r>
          </w:p>
        </w:tc>
        <w:tc>
          <w:tcPr>
            <w:tcW w:w="335" w:type="pct"/>
            <w:shd w:val="clear" w:color="auto" w:fill="FFFFFF"/>
          </w:tcPr>
          <w:p w14:paraId="19BB18A6" w14:textId="77777777" w:rsidR="00122483" w:rsidRDefault="00122483" w:rsidP="00D87B60">
            <w:pPr>
              <w:pStyle w:val="CETBodytext"/>
              <w:jc w:val="center"/>
              <w:rPr>
                <w:lang w:val="en-GB"/>
              </w:rPr>
            </w:pPr>
          </w:p>
        </w:tc>
        <w:tc>
          <w:tcPr>
            <w:tcW w:w="335" w:type="pct"/>
            <w:shd w:val="clear" w:color="auto" w:fill="FFFFFF"/>
          </w:tcPr>
          <w:p w14:paraId="39AD451D" w14:textId="77777777" w:rsidR="00122483" w:rsidRDefault="00122483" w:rsidP="00D87B60">
            <w:pPr>
              <w:pStyle w:val="CETBodytext"/>
              <w:jc w:val="center"/>
              <w:rPr>
                <w:lang w:val="en-GB"/>
              </w:rPr>
            </w:pPr>
          </w:p>
        </w:tc>
      </w:tr>
      <w:tr w:rsidR="00122483" w:rsidRPr="00B57B36" w14:paraId="7B00073F" w14:textId="77777777" w:rsidTr="00D87B60">
        <w:trPr>
          <w:trHeight w:val="301"/>
        </w:trPr>
        <w:tc>
          <w:tcPr>
            <w:tcW w:w="749" w:type="pct"/>
            <w:shd w:val="clear" w:color="auto" w:fill="FFFFFF"/>
          </w:tcPr>
          <w:p w14:paraId="2B94E4A3" w14:textId="77777777" w:rsidR="00122483" w:rsidRDefault="00122483" w:rsidP="00D87B60">
            <w:pPr>
              <w:pStyle w:val="CETBodytext"/>
              <w:jc w:val="center"/>
              <w:rPr>
                <w:lang w:val="en-GB"/>
              </w:rPr>
            </w:pPr>
            <w:r>
              <w:rPr>
                <w:lang w:val="en-GB"/>
              </w:rPr>
              <w:t>Untreated IBA</w:t>
            </w:r>
          </w:p>
        </w:tc>
        <w:tc>
          <w:tcPr>
            <w:tcW w:w="500" w:type="pct"/>
            <w:shd w:val="clear" w:color="auto" w:fill="FFFFFF"/>
          </w:tcPr>
          <w:p w14:paraId="0A141477" w14:textId="77777777" w:rsidR="00122483" w:rsidRDefault="00122483" w:rsidP="00D87B60">
            <w:pPr>
              <w:pStyle w:val="CETBodytext"/>
              <w:jc w:val="center"/>
              <w:rPr>
                <w:lang w:val="en-GB"/>
              </w:rPr>
            </w:pPr>
            <w:r>
              <w:rPr>
                <w:lang w:val="en-GB"/>
              </w:rPr>
              <w:t>720.024</w:t>
            </w:r>
          </w:p>
        </w:tc>
        <w:tc>
          <w:tcPr>
            <w:tcW w:w="333" w:type="pct"/>
            <w:shd w:val="clear" w:color="auto" w:fill="FFFFFF"/>
          </w:tcPr>
          <w:p w14:paraId="3F61C524" w14:textId="77777777" w:rsidR="00122483" w:rsidRDefault="00122483" w:rsidP="00D87B60">
            <w:pPr>
              <w:pStyle w:val="CETBodytext"/>
              <w:jc w:val="center"/>
              <w:rPr>
                <w:lang w:val="en-GB"/>
              </w:rPr>
            </w:pPr>
          </w:p>
        </w:tc>
        <w:tc>
          <w:tcPr>
            <w:tcW w:w="500" w:type="pct"/>
            <w:shd w:val="clear" w:color="auto" w:fill="FFFFFF"/>
          </w:tcPr>
          <w:p w14:paraId="24D4BA7D" w14:textId="77777777" w:rsidR="00122483" w:rsidRDefault="00122483" w:rsidP="00D87B60">
            <w:pPr>
              <w:pStyle w:val="CETBodytext"/>
              <w:jc w:val="center"/>
              <w:rPr>
                <w:lang w:val="en-GB"/>
              </w:rPr>
            </w:pPr>
            <w:r>
              <w:rPr>
                <w:lang w:val="en-GB"/>
              </w:rPr>
              <w:t>0.427</w:t>
            </w:r>
          </w:p>
        </w:tc>
        <w:tc>
          <w:tcPr>
            <w:tcW w:w="167" w:type="pct"/>
            <w:shd w:val="clear" w:color="auto" w:fill="FFFFFF"/>
          </w:tcPr>
          <w:p w14:paraId="10032109" w14:textId="77777777" w:rsidR="00122483" w:rsidRDefault="00122483" w:rsidP="00D87B60">
            <w:pPr>
              <w:pStyle w:val="CETBodytext"/>
              <w:jc w:val="center"/>
              <w:rPr>
                <w:lang w:val="en-GB"/>
              </w:rPr>
            </w:pPr>
          </w:p>
        </w:tc>
        <w:tc>
          <w:tcPr>
            <w:tcW w:w="250" w:type="pct"/>
            <w:shd w:val="clear" w:color="auto" w:fill="FFFFFF"/>
          </w:tcPr>
          <w:p w14:paraId="6316FEA7" w14:textId="77777777" w:rsidR="00122483" w:rsidRDefault="00122483" w:rsidP="00D87B60">
            <w:pPr>
              <w:pStyle w:val="CETBodytext"/>
              <w:jc w:val="center"/>
              <w:rPr>
                <w:lang w:val="en-GB"/>
              </w:rPr>
            </w:pPr>
          </w:p>
        </w:tc>
        <w:tc>
          <w:tcPr>
            <w:tcW w:w="500" w:type="pct"/>
            <w:shd w:val="clear" w:color="auto" w:fill="FFFFFF"/>
          </w:tcPr>
          <w:p w14:paraId="04344934" w14:textId="77777777" w:rsidR="00122483" w:rsidRDefault="00122483" w:rsidP="00D87B60">
            <w:pPr>
              <w:pStyle w:val="CETBodytext"/>
              <w:jc w:val="center"/>
              <w:rPr>
                <w:lang w:val="en-GB"/>
              </w:rPr>
            </w:pPr>
            <w:r>
              <w:rPr>
                <w:lang w:val="en-GB"/>
              </w:rPr>
              <w:t>1472.07</w:t>
            </w:r>
          </w:p>
        </w:tc>
        <w:tc>
          <w:tcPr>
            <w:tcW w:w="248" w:type="pct"/>
            <w:shd w:val="clear" w:color="auto" w:fill="FFFFFF"/>
          </w:tcPr>
          <w:p w14:paraId="64E8FF05" w14:textId="77777777" w:rsidR="00122483" w:rsidRDefault="00122483" w:rsidP="00D87B60">
            <w:pPr>
              <w:pStyle w:val="CETBodytext"/>
              <w:jc w:val="center"/>
              <w:rPr>
                <w:lang w:val="en-GB"/>
              </w:rPr>
            </w:pPr>
          </w:p>
        </w:tc>
        <w:tc>
          <w:tcPr>
            <w:tcW w:w="412" w:type="pct"/>
            <w:shd w:val="clear" w:color="auto" w:fill="FFFFFF"/>
          </w:tcPr>
          <w:p w14:paraId="598C4652" w14:textId="77777777" w:rsidR="00122483" w:rsidRDefault="00122483" w:rsidP="00D87B60">
            <w:pPr>
              <w:pStyle w:val="CETBodytext"/>
              <w:jc w:val="center"/>
              <w:rPr>
                <w:lang w:val="en-GB"/>
              </w:rPr>
            </w:pPr>
            <w:r>
              <w:rPr>
                <w:lang w:val="en-GB"/>
              </w:rPr>
              <w:t>16.6</w:t>
            </w:r>
          </w:p>
        </w:tc>
        <w:tc>
          <w:tcPr>
            <w:tcW w:w="335" w:type="pct"/>
            <w:shd w:val="clear" w:color="auto" w:fill="FFFFFF"/>
          </w:tcPr>
          <w:p w14:paraId="75729A04" w14:textId="77777777" w:rsidR="00122483" w:rsidRDefault="00122483" w:rsidP="00D87B60">
            <w:pPr>
              <w:pStyle w:val="CETBodytext"/>
              <w:jc w:val="center"/>
              <w:rPr>
                <w:lang w:val="en-GB"/>
              </w:rPr>
            </w:pPr>
          </w:p>
        </w:tc>
        <w:tc>
          <w:tcPr>
            <w:tcW w:w="335" w:type="pct"/>
            <w:shd w:val="clear" w:color="auto" w:fill="FFFFFF"/>
          </w:tcPr>
          <w:p w14:paraId="488B90AD" w14:textId="77777777" w:rsidR="00122483" w:rsidRDefault="00122483" w:rsidP="00D87B60">
            <w:pPr>
              <w:pStyle w:val="CETBodytext"/>
              <w:jc w:val="center"/>
              <w:rPr>
                <w:lang w:val="en-GB"/>
              </w:rPr>
            </w:pPr>
            <w:r>
              <w:rPr>
                <w:lang w:val="en-GB"/>
              </w:rPr>
              <w:t>4372</w:t>
            </w:r>
          </w:p>
        </w:tc>
        <w:tc>
          <w:tcPr>
            <w:tcW w:w="335" w:type="pct"/>
            <w:shd w:val="clear" w:color="auto" w:fill="FFFFFF"/>
          </w:tcPr>
          <w:p w14:paraId="2D3A1531" w14:textId="77777777" w:rsidR="00122483" w:rsidRDefault="00122483" w:rsidP="00D87B60">
            <w:pPr>
              <w:pStyle w:val="CETBodytext"/>
              <w:jc w:val="center"/>
              <w:rPr>
                <w:lang w:val="en-GB"/>
              </w:rPr>
            </w:pPr>
          </w:p>
        </w:tc>
        <w:tc>
          <w:tcPr>
            <w:tcW w:w="335" w:type="pct"/>
            <w:shd w:val="clear" w:color="auto" w:fill="FFFFFF"/>
          </w:tcPr>
          <w:p w14:paraId="284BB233" w14:textId="77777777" w:rsidR="00122483" w:rsidRDefault="00122483" w:rsidP="00D87B60">
            <w:pPr>
              <w:pStyle w:val="CETBodytext"/>
              <w:jc w:val="center"/>
              <w:rPr>
                <w:lang w:val="en-GB"/>
              </w:rPr>
            </w:pPr>
          </w:p>
        </w:tc>
      </w:tr>
      <w:tr w:rsidR="00122483" w:rsidRPr="00B57B36" w14:paraId="53C81C62" w14:textId="77777777" w:rsidTr="00D87B60">
        <w:trPr>
          <w:trHeight w:val="301"/>
        </w:trPr>
        <w:tc>
          <w:tcPr>
            <w:tcW w:w="749" w:type="pct"/>
            <w:shd w:val="clear" w:color="auto" w:fill="FFFFFF"/>
          </w:tcPr>
          <w:p w14:paraId="4B22E8FB" w14:textId="77777777" w:rsidR="00122483" w:rsidRDefault="00122483" w:rsidP="00D87B60">
            <w:pPr>
              <w:pStyle w:val="CETBodytext"/>
              <w:jc w:val="center"/>
              <w:rPr>
                <w:lang w:val="en-GB"/>
              </w:rPr>
            </w:pPr>
            <w:r>
              <w:rPr>
                <w:lang w:val="en-GB"/>
              </w:rPr>
              <w:t>DM 27/09/2010</w:t>
            </w:r>
          </w:p>
        </w:tc>
        <w:tc>
          <w:tcPr>
            <w:tcW w:w="500" w:type="pct"/>
            <w:shd w:val="clear" w:color="auto" w:fill="FFFFFF"/>
          </w:tcPr>
          <w:p w14:paraId="1550D102" w14:textId="77777777" w:rsidR="00122483" w:rsidRDefault="00122483" w:rsidP="00D87B60">
            <w:pPr>
              <w:pStyle w:val="CETBodytext"/>
              <w:jc w:val="center"/>
              <w:rPr>
                <w:lang w:val="en-GB"/>
              </w:rPr>
            </w:pPr>
            <w:r>
              <w:rPr>
                <w:lang w:val="en-GB"/>
              </w:rPr>
              <w:t>1500</w:t>
            </w:r>
          </w:p>
        </w:tc>
        <w:tc>
          <w:tcPr>
            <w:tcW w:w="333" w:type="pct"/>
            <w:shd w:val="clear" w:color="auto" w:fill="FFFFFF"/>
          </w:tcPr>
          <w:p w14:paraId="586EFBD0" w14:textId="77777777" w:rsidR="00122483" w:rsidRDefault="00122483" w:rsidP="00D87B60">
            <w:pPr>
              <w:pStyle w:val="CETBodytext"/>
              <w:jc w:val="center"/>
              <w:rPr>
                <w:lang w:val="en-GB"/>
              </w:rPr>
            </w:pPr>
          </w:p>
        </w:tc>
        <w:tc>
          <w:tcPr>
            <w:tcW w:w="500" w:type="pct"/>
            <w:shd w:val="clear" w:color="auto" w:fill="FFFFFF"/>
          </w:tcPr>
          <w:p w14:paraId="34BF3C58" w14:textId="77777777" w:rsidR="00122483" w:rsidRDefault="00122483" w:rsidP="00D87B60">
            <w:pPr>
              <w:pStyle w:val="CETBodytext"/>
              <w:jc w:val="center"/>
              <w:rPr>
                <w:lang w:val="en-GB"/>
              </w:rPr>
            </w:pPr>
            <w:r>
              <w:rPr>
                <w:lang w:val="en-GB"/>
              </w:rPr>
              <w:t>15</w:t>
            </w:r>
          </w:p>
        </w:tc>
        <w:tc>
          <w:tcPr>
            <w:tcW w:w="167" w:type="pct"/>
            <w:shd w:val="clear" w:color="auto" w:fill="FFFFFF"/>
          </w:tcPr>
          <w:p w14:paraId="277AD762" w14:textId="77777777" w:rsidR="00122483" w:rsidRDefault="00122483" w:rsidP="00D87B60">
            <w:pPr>
              <w:pStyle w:val="CETBodytext"/>
              <w:jc w:val="center"/>
              <w:rPr>
                <w:lang w:val="en-GB"/>
              </w:rPr>
            </w:pPr>
          </w:p>
        </w:tc>
        <w:tc>
          <w:tcPr>
            <w:tcW w:w="250" w:type="pct"/>
            <w:shd w:val="clear" w:color="auto" w:fill="FFFFFF"/>
          </w:tcPr>
          <w:p w14:paraId="2EA59528" w14:textId="77777777" w:rsidR="00122483" w:rsidRDefault="00122483" w:rsidP="00D87B60">
            <w:pPr>
              <w:pStyle w:val="CETBodytext"/>
              <w:jc w:val="center"/>
              <w:rPr>
                <w:lang w:val="en-GB"/>
              </w:rPr>
            </w:pPr>
          </w:p>
        </w:tc>
        <w:tc>
          <w:tcPr>
            <w:tcW w:w="500" w:type="pct"/>
            <w:shd w:val="clear" w:color="auto" w:fill="FFFFFF"/>
          </w:tcPr>
          <w:p w14:paraId="2157EF1B" w14:textId="77777777" w:rsidR="00122483" w:rsidRDefault="00122483" w:rsidP="00D87B60">
            <w:pPr>
              <w:pStyle w:val="CETBodytext"/>
              <w:jc w:val="center"/>
              <w:rPr>
                <w:lang w:val="en-GB"/>
              </w:rPr>
            </w:pPr>
            <w:r>
              <w:rPr>
                <w:lang w:val="en-GB"/>
              </w:rPr>
              <w:t>2000</w:t>
            </w:r>
          </w:p>
        </w:tc>
        <w:tc>
          <w:tcPr>
            <w:tcW w:w="248" w:type="pct"/>
            <w:shd w:val="clear" w:color="auto" w:fill="FFFFFF"/>
          </w:tcPr>
          <w:p w14:paraId="457CB4E7" w14:textId="77777777" w:rsidR="00122483" w:rsidRDefault="00122483" w:rsidP="00D87B60">
            <w:pPr>
              <w:pStyle w:val="CETBodytext"/>
              <w:jc w:val="center"/>
              <w:rPr>
                <w:lang w:val="en-GB"/>
              </w:rPr>
            </w:pPr>
          </w:p>
        </w:tc>
        <w:tc>
          <w:tcPr>
            <w:tcW w:w="412" w:type="pct"/>
            <w:shd w:val="clear" w:color="auto" w:fill="FFFFFF"/>
          </w:tcPr>
          <w:p w14:paraId="5C34D071" w14:textId="77777777" w:rsidR="00122483" w:rsidRDefault="00122483" w:rsidP="00D87B60">
            <w:pPr>
              <w:pStyle w:val="CETBodytext"/>
              <w:jc w:val="center"/>
              <w:rPr>
                <w:lang w:val="en-GB"/>
              </w:rPr>
            </w:pPr>
            <w:r>
              <w:rPr>
                <w:lang w:val="en-GB"/>
              </w:rPr>
              <w:t>80</w:t>
            </w:r>
          </w:p>
        </w:tc>
        <w:tc>
          <w:tcPr>
            <w:tcW w:w="335" w:type="pct"/>
            <w:shd w:val="clear" w:color="auto" w:fill="FFFFFF"/>
          </w:tcPr>
          <w:p w14:paraId="712D66AD" w14:textId="77777777" w:rsidR="00122483" w:rsidRDefault="00122483" w:rsidP="00D87B60">
            <w:pPr>
              <w:pStyle w:val="CETBodytext"/>
              <w:jc w:val="center"/>
              <w:rPr>
                <w:lang w:val="en-GB"/>
              </w:rPr>
            </w:pPr>
          </w:p>
        </w:tc>
        <w:tc>
          <w:tcPr>
            <w:tcW w:w="335" w:type="pct"/>
            <w:shd w:val="clear" w:color="auto" w:fill="FFFFFF"/>
          </w:tcPr>
          <w:p w14:paraId="75C8DCB3" w14:textId="77777777" w:rsidR="00122483" w:rsidRDefault="00122483" w:rsidP="00D87B60">
            <w:pPr>
              <w:pStyle w:val="CETBodytext"/>
              <w:jc w:val="center"/>
              <w:rPr>
                <w:lang w:val="en-GB"/>
              </w:rPr>
            </w:pPr>
            <w:r>
              <w:rPr>
                <w:lang w:val="en-GB"/>
              </w:rPr>
              <w:t>6000</w:t>
            </w:r>
          </w:p>
        </w:tc>
        <w:tc>
          <w:tcPr>
            <w:tcW w:w="335" w:type="pct"/>
            <w:shd w:val="clear" w:color="auto" w:fill="FFFFFF"/>
          </w:tcPr>
          <w:p w14:paraId="35C7C7EC" w14:textId="77777777" w:rsidR="00122483" w:rsidRDefault="00122483" w:rsidP="00D87B60">
            <w:pPr>
              <w:pStyle w:val="CETBodytext"/>
              <w:jc w:val="center"/>
              <w:rPr>
                <w:lang w:val="en-GB"/>
              </w:rPr>
            </w:pPr>
          </w:p>
        </w:tc>
        <w:tc>
          <w:tcPr>
            <w:tcW w:w="335" w:type="pct"/>
            <w:shd w:val="clear" w:color="auto" w:fill="FFFFFF"/>
          </w:tcPr>
          <w:p w14:paraId="4C4D7D2E" w14:textId="77777777" w:rsidR="00122483" w:rsidRDefault="00122483" w:rsidP="00D87B60">
            <w:pPr>
              <w:pStyle w:val="CETBodytext"/>
              <w:jc w:val="center"/>
              <w:rPr>
                <w:lang w:val="en-GB"/>
              </w:rPr>
            </w:pPr>
          </w:p>
        </w:tc>
      </w:tr>
    </w:tbl>
    <w:p w14:paraId="14475AC7" w14:textId="4B7D9273" w:rsidR="003144F7" w:rsidRDefault="00B101D5" w:rsidP="003144F7">
      <w:pPr>
        <w:pStyle w:val="CETBodytext"/>
        <w:rPr>
          <w:lang w:val="en-GB"/>
        </w:rPr>
      </w:pPr>
      <w:r>
        <w:rPr>
          <w:lang w:val="en-GB"/>
        </w:rPr>
        <w:t xml:space="preserve">The </w:t>
      </w:r>
      <w:r w:rsidR="006F4451">
        <w:rPr>
          <w:lang w:val="en-GB"/>
        </w:rPr>
        <w:t xml:space="preserve">Mo </w:t>
      </w:r>
      <w:r>
        <w:rPr>
          <w:lang w:val="en-GB"/>
        </w:rPr>
        <w:t>r</w:t>
      </w:r>
      <w:r w:rsidR="003144F7" w:rsidRPr="006E4C97">
        <w:rPr>
          <w:lang w:val="en-GB"/>
        </w:rPr>
        <w:t xml:space="preserve">emoval efficiency </w:t>
      </w:r>
      <w:r w:rsidR="006A0C49">
        <w:rPr>
          <w:lang w:val="en-GB"/>
        </w:rPr>
        <w:t>from</w:t>
      </w:r>
      <w:r w:rsidR="003144F7" w:rsidRPr="006E4C97">
        <w:rPr>
          <w:lang w:val="en-GB"/>
        </w:rPr>
        <w:t xml:space="preserve"> the solid matrix </w:t>
      </w:r>
      <w:r w:rsidR="006A0C49">
        <w:rPr>
          <w:lang w:val="en-GB"/>
        </w:rPr>
        <w:t xml:space="preserve">achieved in this study (58%) </w:t>
      </w:r>
      <w:r>
        <w:rPr>
          <w:lang w:val="en-GB"/>
        </w:rPr>
        <w:t>was</w:t>
      </w:r>
      <w:r w:rsidR="003144F7" w:rsidRPr="006E4C97">
        <w:rPr>
          <w:lang w:val="en-GB"/>
        </w:rPr>
        <w:t xml:space="preserve"> compared with </w:t>
      </w:r>
      <w:r w:rsidR="006A0C49">
        <w:rPr>
          <w:lang w:val="en-GB"/>
        </w:rPr>
        <w:t>results reported in the literature</w:t>
      </w:r>
      <w:r w:rsidR="00BC75AB">
        <w:rPr>
          <w:lang w:val="en-GB"/>
        </w:rPr>
        <w:t xml:space="preserve"> for </w:t>
      </w:r>
      <w:r w:rsidR="003144F7" w:rsidRPr="006E4C97">
        <w:rPr>
          <w:lang w:val="en-GB"/>
        </w:rPr>
        <w:t xml:space="preserve">other </w:t>
      </w:r>
      <w:r w:rsidR="00757ED4">
        <w:rPr>
          <w:lang w:val="en-GB"/>
        </w:rPr>
        <w:t>Mo-contaminated</w:t>
      </w:r>
      <w:r w:rsidR="003144F7" w:rsidRPr="006E4C97">
        <w:rPr>
          <w:lang w:val="en-GB"/>
        </w:rPr>
        <w:t xml:space="preserve"> </w:t>
      </w:r>
      <w:r w:rsidR="00757ED4" w:rsidRPr="006E4C97">
        <w:rPr>
          <w:lang w:val="en-GB"/>
        </w:rPr>
        <w:t xml:space="preserve">hazardous </w:t>
      </w:r>
      <w:r w:rsidR="003144F7" w:rsidRPr="006E4C97">
        <w:rPr>
          <w:lang w:val="en-GB"/>
        </w:rPr>
        <w:t>waste treat</w:t>
      </w:r>
      <w:r w:rsidR="00BC75AB">
        <w:rPr>
          <w:lang w:val="en-GB"/>
        </w:rPr>
        <w:t>ments</w:t>
      </w:r>
      <w:r w:rsidR="00532428">
        <w:rPr>
          <w:lang w:val="en-GB"/>
        </w:rPr>
        <w:t>,</w:t>
      </w:r>
      <w:r w:rsidR="003144F7" w:rsidRPr="006E4C97">
        <w:rPr>
          <w:lang w:val="en-GB"/>
        </w:rPr>
        <w:t xml:space="preserve"> as </w:t>
      </w:r>
      <w:r w:rsidR="00BC75AB">
        <w:rPr>
          <w:lang w:val="en-GB"/>
        </w:rPr>
        <w:t>summarized</w:t>
      </w:r>
      <w:r w:rsidR="003144F7" w:rsidRPr="006E4C97">
        <w:rPr>
          <w:lang w:val="en-GB"/>
        </w:rPr>
        <w:t xml:space="preserve"> in Table 6. </w:t>
      </w:r>
    </w:p>
    <w:p w14:paraId="147B7758" w14:textId="77777777" w:rsidR="00F33890" w:rsidRDefault="00F33890" w:rsidP="00F33890">
      <w:pPr>
        <w:pStyle w:val="CETTabletitle"/>
        <w:spacing w:before="0"/>
      </w:pPr>
      <w:r>
        <w:t>Table 6: Mo removal efficiency (%).</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985"/>
        <w:gridCol w:w="1701"/>
        <w:gridCol w:w="1701"/>
        <w:gridCol w:w="1559"/>
        <w:gridCol w:w="1843"/>
      </w:tblGrid>
      <w:tr w:rsidR="00F33890" w:rsidRPr="00B57B36" w14:paraId="59A33600" w14:textId="77777777" w:rsidTr="00D87B60">
        <w:tc>
          <w:tcPr>
            <w:tcW w:w="1985" w:type="dxa"/>
            <w:tcBorders>
              <w:top w:val="single" w:sz="12" w:space="0" w:color="008000"/>
              <w:bottom w:val="single" w:sz="6" w:space="0" w:color="008000"/>
            </w:tcBorders>
            <w:shd w:val="clear" w:color="auto" w:fill="FFFFFF"/>
          </w:tcPr>
          <w:p w14:paraId="5F9E32E6" w14:textId="77777777" w:rsidR="00F33890" w:rsidRPr="00B57B36" w:rsidRDefault="00F33890" w:rsidP="00D87B60">
            <w:pPr>
              <w:pStyle w:val="CETBodytext"/>
              <w:jc w:val="center"/>
              <w:rPr>
                <w:lang w:val="en-GB"/>
              </w:rPr>
            </w:pPr>
            <w:r>
              <w:rPr>
                <w:lang w:val="en-GB"/>
              </w:rPr>
              <w:t>This work</w:t>
            </w:r>
          </w:p>
        </w:tc>
        <w:tc>
          <w:tcPr>
            <w:tcW w:w="1701" w:type="dxa"/>
            <w:tcBorders>
              <w:top w:val="single" w:sz="12" w:space="0" w:color="008000"/>
              <w:bottom w:val="single" w:sz="6" w:space="0" w:color="008000"/>
            </w:tcBorders>
            <w:shd w:val="clear" w:color="auto" w:fill="FFFFFF"/>
          </w:tcPr>
          <w:p w14:paraId="531389C7" w14:textId="77777777" w:rsidR="00F33890" w:rsidRPr="00B57B36" w:rsidRDefault="00F33890" w:rsidP="00D87B60">
            <w:pPr>
              <w:pStyle w:val="CETBodytext"/>
              <w:jc w:val="center"/>
              <w:rPr>
                <w:lang w:val="en-GB"/>
              </w:rPr>
            </w:pPr>
            <w:r>
              <w:rPr>
                <w:lang w:val="en-GB"/>
              </w:rPr>
              <w:fldChar w:fldCharType="begin" w:fldLock="1"/>
            </w:r>
            <w:r>
              <w:rPr>
                <w:lang w:val="en-GB"/>
              </w:rPr>
              <w:instrText>ADDIN CSL_CITATION {"citationItems":[{"id":"ITEM-1","itemData":{"DOI":"10.1007/S11837-019-03741-Z/FIGURES/8","ISSN":"15431851","abstract":"The petroleum refining industry produces a large amount of spent hydrodesulphurization (HDS) catalyst every year, representing a hazardous solid waste but also an important secondary resource. In the work presented herein, extraction of molybdenum from spent HDS catalyst by two-stage roasting followed by water leaching was investigated. The effects of sodium carbonate roasting and water leaching on the extraction of molybdenum as well as the effect of roasting on the molybdenum loss were investigated. The spent catalyst could be oxidized by blank roasting at 650°C for 2 h with molybdenum loss of 5.9%. Under the optimized conditions of sodium carbonate roasting (blank roasted spent HDS catalyst with 20 wt.% sodium carbonate addition at 650°C for 2.5 h) followed by water leaching (at 100°C for 2.5 h at liquid/solid ratio of 7 mL/g), the molybdenum leaching reached 94.0%.","author":[{"dropping-particle":"","family":"Huang","given":"Sheng","non-dropping-particle":"","parse-names":false,"suffix":""},{"dropping-particle":"","family":"Liu","given":"Jianpeng","non-dropping-particle":"","parse-names":false,"suffix":""},{"dropping-particle":"","family":"Zhang","given":"Changda","non-dropping-particle":"","parse-names":false,"suffix":""},{"dropping-particle":"","family":"Hu","given":"Bin","non-dropping-particle":"","parse-names":false,"suffix":""},{"dropping-particle":"","family":"Wang","given":"Xiaodi","non-dropping-particle":"","parse-names":false,"suffix":""},{"dropping-particle":"","family":"Wang","given":"Mingyu","non-dropping-particle":"","parse-names":false,"suffix":""},{"dropping-particle":"","family":"Wang","given":"Xuewen","non-dropping-particle":"","parse-names":false,"suffix":""}],"container-title":"JOM","id":"ITEM-1","issue":"12","issued":{"date-parts":[["2019","12","1"]]},"page":"4681-4686","publisher":"Springer","title":"Extraction of Molybdenum from Spent HDS Catalyst by Two-Stage Roasting Followed by Water Leaching","type":"article-journal","volume":"71"},"uris":["http://www.mendeley.com/documents/?uuid=5f523e9c-16f4-33dd-9f9c-1c43fdde70a2"]}],"mendeley":{"formattedCitation":"(Huang et al., 2019)","plainTextFormattedCitation":"(Huang et al., 2019)","previouslyFormattedCitation":"(Huang et al., 2019)"},"properties":{"noteIndex":0},"schema":"https://github.com/citation-style-language/schema/raw/master/csl-citation.json"}</w:instrText>
            </w:r>
            <w:r>
              <w:rPr>
                <w:lang w:val="en-GB"/>
              </w:rPr>
              <w:fldChar w:fldCharType="separate"/>
            </w:r>
            <w:r w:rsidRPr="00AD38B3">
              <w:rPr>
                <w:noProof/>
                <w:lang w:val="en-GB"/>
              </w:rPr>
              <w:t>(Huang et al., 2019)</w:t>
            </w:r>
            <w:r>
              <w:rPr>
                <w:lang w:val="en-GB"/>
              </w:rPr>
              <w:fldChar w:fldCharType="end"/>
            </w:r>
          </w:p>
        </w:tc>
        <w:tc>
          <w:tcPr>
            <w:tcW w:w="1701" w:type="dxa"/>
            <w:tcBorders>
              <w:top w:val="single" w:sz="12" w:space="0" w:color="008000"/>
              <w:bottom w:val="single" w:sz="6" w:space="0" w:color="008000"/>
            </w:tcBorders>
            <w:shd w:val="clear" w:color="auto" w:fill="FFFFFF"/>
          </w:tcPr>
          <w:p w14:paraId="2F998A89" w14:textId="77777777" w:rsidR="00F33890" w:rsidRPr="00B57B36" w:rsidRDefault="00F33890" w:rsidP="00D87B60">
            <w:pPr>
              <w:pStyle w:val="CETBodytext"/>
              <w:jc w:val="center"/>
              <w:rPr>
                <w:lang w:val="en-GB"/>
              </w:rPr>
            </w:pPr>
            <w:r>
              <w:rPr>
                <w:lang w:val="en-GB"/>
              </w:rPr>
              <w:fldChar w:fldCharType="begin" w:fldLock="1"/>
            </w:r>
            <w:r>
              <w:rPr>
                <w:lang w:val="en-GB"/>
              </w:rPr>
              <w:instrText>ADDIN CSL_CITATION {"citationItems":[{"id":"ITEM-1","itemData":{"DOI":"10.1016/j.jhazmat.2021.125849","ISSN":"18733336","PMID":"33894437","abstract":"Spent hydrodesulfurization (HDS) catalysts, containing considerable amount of pollutants and metals including vanadium (V), molybdenum (Mo), aluminum (Al), and nickel (Ni), are considered as hazardous wastes which will result in not only ecosystem damage but also squandering resource. Herein, a process featuring blank roasting-alkaline leaching is proposed to recover spent HDS catalyst. During roasting, low-valence compounds convert to high-valence oxides which can be leached out by NaOH solution. Afterwards, leaching solution is subjected to crystallization to separate metals. The results show that for samples roasted at 650 °C, 97% V, 96% Mo, and 88% Al are leached out at optimal condition; for samples roasted at 1000 °C, selective leaching of 91% V and 96% Mo respectively, are realized, with negligible Al being dissolved. NiO is insoluble in strong alkali leaving in residue. The advantages of this process are that first, the leaching of V, Mo, and Al can be manipulated by controlling roasting conditions, providing flexible process design. Second, leaching solution can be fully recycled. Finally, mild leaching condition and clean separation of V, Mo, and Al is achieved, proving fundamental information for peer researches to facilitate their future research on the development of more efficient and cleaner technologies.","author":[{"dropping-particle":"","family":"Wang","given":"Jianzhang","non-dropping-particle":"","parse-names":false,"suffix":""},{"dropping-particle":"","family":"Wang","given":"Shaona","non-dropping-particle":"","parse-names":false,"suffix":""},{"dropping-particle":"","family":"Olayiwola","given":"Afolabi","non-dropping-particle":"","parse-names":false,"suffix":""},{"dropping-particle":"","family":"Yang","given":"Na","non-dropping-particle":"","parse-names":false,"suffix":""},{"dropping-particle":"","family":"Liu","given":"Biao","non-dropping-particle":"","parse-names":false,"suffix":""},{"dropping-particle":"","family":"Weigand","given":"Jan J.","non-dropping-particle":"","parse-names":false,"suffix":""},{"dropping-particle":"","family":"Wenzel","given":"Marco","non-dropping-particle":"","parse-names":false,"suffix":""},{"dropping-particle":"","family":"Du","given":"Hao","non-dropping-particle":"","parse-names":false,"suffix":""}],"container-title":"Journal of Hazardous Materials","id":"ITEM-1","issue":"April","issued":{"date-parts":[["2021"]]},"page":"125849","publisher":"Elsevier B.V.","title":"Recovering valuable metals from spent hydrodesulfurization catalyst via blank roasting and alkaline leaching","type":"article-journal","volume":"416"},"uris":["http://www.mendeley.com/documents/?uuid=a1342985-01d0-4640-8922-acfeb7b24d06"]}],"mendeley":{"formattedCitation":"(Wang et al., 2021)","plainTextFormattedCitation":"(Wang et al., 2021)","previouslyFormattedCitation":"(Wang et al., 2021)"},"properties":{"noteIndex":0},"schema":"https://github.com/citation-style-language/schema/raw/master/csl-citation.json"}</w:instrText>
            </w:r>
            <w:r>
              <w:rPr>
                <w:lang w:val="en-GB"/>
              </w:rPr>
              <w:fldChar w:fldCharType="separate"/>
            </w:r>
            <w:r w:rsidRPr="00AD38B3">
              <w:rPr>
                <w:noProof/>
                <w:lang w:val="en-GB"/>
              </w:rPr>
              <w:t>(Wang et al., 2021)</w:t>
            </w:r>
            <w:r>
              <w:rPr>
                <w:lang w:val="en-GB"/>
              </w:rPr>
              <w:fldChar w:fldCharType="end"/>
            </w:r>
          </w:p>
        </w:tc>
        <w:tc>
          <w:tcPr>
            <w:tcW w:w="1559" w:type="dxa"/>
            <w:tcBorders>
              <w:top w:val="single" w:sz="12" w:space="0" w:color="008000"/>
              <w:bottom w:val="single" w:sz="6" w:space="0" w:color="008000"/>
            </w:tcBorders>
            <w:shd w:val="clear" w:color="auto" w:fill="FFFFFF"/>
          </w:tcPr>
          <w:p w14:paraId="30646B2F" w14:textId="77777777" w:rsidR="00F33890" w:rsidRPr="00B57B36" w:rsidRDefault="00F33890" w:rsidP="00D87B60">
            <w:pPr>
              <w:pStyle w:val="CETBodytext"/>
              <w:ind w:right="-1"/>
              <w:jc w:val="center"/>
              <w:rPr>
                <w:rFonts w:cs="Arial"/>
                <w:szCs w:val="18"/>
                <w:lang w:val="en-GB"/>
              </w:rPr>
            </w:pPr>
            <w:r>
              <w:rPr>
                <w:lang w:val="en-GB"/>
              </w:rPr>
              <w:fldChar w:fldCharType="begin" w:fldLock="1"/>
            </w:r>
            <w:r>
              <w:rPr>
                <w:lang w:val="en-GB"/>
              </w:rPr>
              <w:instrText>ADDIN CSL_CITATION {"citationItems":[{"id":"ITEM-1","itemData":{"DOI":"10.1016/J.ULTSONCH.2018.05.023","ISSN":"1350-4177","PMID":"30122468","abstract":"Currently, roasting-leaching is the main treatment process of spent hydrodesulfurization (HDS) catalyst, but it will produce impurities, such as nickel molybdate and cobalt molybdate (NiMoO4 or CoMoO4), which is adverse to recover valuable metals. In this paper, a combined ultrasonic-microwave method was developed to remove oil and recover molybdenum (Mo) from the spent HDS catalyst. Firstly, ethanol was used to extract the surface oil of the spent MoNiCo/Al2O3 catalyst with ultrasonic assistance. Effects of temperature, ultrasonic time, liquid-solid ratio and ultrasonic power on the oil removal rate were investigated systematically and the process conditions were optimized using response surface methodology (RSM). The results showed that the oil removal rate was over 99% under the optimum conditions of temperature 55 °C, ultrasonic time 2 h, liquid to solid ratio 5:1, and ultrasonic power 600 W. After oil removal, the sample was roasted in microwave field at 500 °C for 15 min. The generation of toxic gas could be effectively avoided and no hardest-to-recycle impurity CoMoO4 was found. At last, the roasted sample was subjected to ultrasonic leaching with sodium carbonate (Na2CO3) solution for recovering Mo. Extraction of Mo of the deoiled sample after microwave roasting reached 94.3%, which is about 7% higher than that of oily sample. Moreover, microwave roasting method resulted in a much higher Mo extraction than traditional method for both the oily and deoiled spent catalyst. It was concluded that the ultrasonic-microwave assisted method could remarkably improve the recovery of Mo and greatly shorten the processing time.","author":[{"dropping-particle":"","family":"Wang","given":"Lu","non-dropping-particle":"","parse-names":false,"suffix":""},{"dropping-particle":"","family":"Chao","given":"Liu","non-dropping-particle":"","parse-names":false,"suffix":""},{"dropping-particle":"","family":"Qu","given":"Wenwen","non-dropping-particle":"","parse-names":false,"suffix":""},{"dropping-particle":"","family":"Xu","given":"Shengming","non-dropping-particle":"","parse-names":false,"suffix":""},{"dropping-particle":"","family":"Zhang","given":"Libo","non-dropping-particle":"","parse-names":false,"suffix":""},{"dropping-particle":"","family":"Peng","given":"Jinhui","non-dropping-particle":"","parse-names":false,"suffix":""},{"dropping-particle":"","family":"Ye","given":"Xiaolei","non-dropping-particle":"","parse-names":false,"suffix":""}],"container-title":"Ultrasonics Sonochemistry","id":"ITEM-1","issued":{"date-parts":[["2018","12","1"]]},"page":"24-32","publisher":"Elsevier","title":"Ultrasound-assisted oil removal of γ-Al2O3-based spent hydrodesulfurization catalyst and microwave roasting recovery of metal Mo","type":"article-journal","volume":"49"},"uris":["http://www.mendeley.com/documents/?uuid=1e5a7d83-6aab-341e-9cf2-61b3cf726084"]}],"mendeley":{"formattedCitation":"(Wang et al., 2018)","plainTextFormattedCitation":"(Wang et al., 2018)","previouslyFormattedCitation":"(Wang et al., 2018)"},"properties":{"noteIndex":0},"schema":"https://github.com/citation-style-language/schema/raw/master/csl-citation.json"}</w:instrText>
            </w:r>
            <w:r>
              <w:rPr>
                <w:lang w:val="en-GB"/>
              </w:rPr>
              <w:fldChar w:fldCharType="separate"/>
            </w:r>
            <w:r w:rsidRPr="001552B4">
              <w:rPr>
                <w:noProof/>
                <w:lang w:val="en-GB"/>
              </w:rPr>
              <w:t>(Wang et al., 2018)</w:t>
            </w:r>
            <w:r>
              <w:rPr>
                <w:lang w:val="en-GB"/>
              </w:rPr>
              <w:fldChar w:fldCharType="end"/>
            </w:r>
          </w:p>
        </w:tc>
        <w:tc>
          <w:tcPr>
            <w:tcW w:w="1843" w:type="dxa"/>
            <w:tcBorders>
              <w:top w:val="single" w:sz="12" w:space="0" w:color="008000"/>
              <w:bottom w:val="single" w:sz="6" w:space="0" w:color="008000"/>
            </w:tcBorders>
            <w:shd w:val="clear" w:color="auto" w:fill="FFFFFF"/>
          </w:tcPr>
          <w:p w14:paraId="1770B382" w14:textId="77777777" w:rsidR="00F33890" w:rsidRPr="00B57B36" w:rsidRDefault="00F33890" w:rsidP="00D87B60">
            <w:pPr>
              <w:pStyle w:val="CETBodytext"/>
              <w:ind w:right="-1"/>
              <w:jc w:val="center"/>
              <w:rPr>
                <w:rFonts w:cs="Arial"/>
                <w:szCs w:val="18"/>
                <w:lang w:val="en-GB"/>
              </w:rPr>
            </w:pPr>
            <w:r>
              <w:rPr>
                <w:lang w:val="en-GB"/>
              </w:rPr>
              <w:fldChar w:fldCharType="begin" w:fldLock="1"/>
            </w:r>
            <w:r>
              <w:rPr>
                <w:lang w:val="en-GB"/>
              </w:rPr>
              <w:instrText>ADDIN CSL_CITATION {"citationItems":[{"id":"ITEM-1","itemData":{"DOI":"10.1016/J.JTICE.2019.01.009","ISSN":"1876-1070","abstract":"The heat pretreatment of the spent hydrodesulfurization (HDS) catalysts plays an important role in its comprehensive recycling. In this work, the microwave sodium roasting (MWSR) strategy was used for the heat treatment of the spent catalyst, with the aim of achieving effective separation of Mo and Al while achieving in-situ sulfur fixation. Specifically, the de-oiled, spent HDS catalyst was roasted with Na 2 CO 3 by microwave heating in air, followed by hot water leaching. Based on the thermodynamic analysis, the effects of microwave heating temperature, holding time and Na 2 CO 3 addition on the recovery of molybdenum have been thoroughly investigated. Owing to the special heating method of microwave, the spent catalyst after roasting has a microstructure suitable for leaching, and S is more in situ converted to Na 2 CO 3 . After following the strategy, the leaching degree of Mo can reach 99%, while the leaching degree of Al is less than 8%, which indicates that Mo and Al are effectively separated. More importantly, a sulfur fixation degree of 79.1% was obtained. This strategy provides a novel reference for the harmless treatment of spent HDS catalysts.","author":[{"dropping-particle":"","family":"Ye","given":"Xiaolei","non-dropping-particle":"","parse-names":false,"suffix":""},{"dropping-particle":"","family":"Guo","given":"Shenghui","non-dropping-particle":"","parse-names":false,"suffix":""},{"dropping-particle":"","family":"Qu","given":"Wenwen","non-dropping-particle":"","parse-names":false,"suffix":""},{"dropping-particle":"","family":"Xu","given":"Shengming","non-dropping-particle":"","parse-names":false,"suffix":""},{"dropping-particle":"","family":"Zhang","given":"Libo","non-dropping-particle":"","parse-names":false,"suffix":""},{"dropping-particle":"","family":"Liu","given":"Bingguo","non-dropping-particle":"","parse-names":false,"suffix":""},{"dropping-particle":"","family":"Wang","given":"Lu","non-dropping-particle":"","parse-names":false,"suffix":""},{"dropping-particle":"","family":"Wang","given":"Chen","non-dropping-particle":"","parse-names":false,"suffix":""}],"container-title":"Journal of the Taiwan Institute of Chemical Engineers","id":"ITEM-1","issued":{"date-parts":[["2019","4","1"]]},"page":"146-157","publisher":"Elsevier","title":"Microwave sodium roasting (MWSR) spent HDS catalysts for recovery Mo and in situ sulfur fixation","type":"article-journal","volume":"97"},"uris":["http://www.mendeley.com/documents/?uuid=9c5bf28b-cbac-3588-9c61-387efeaa1e2e"]}],"mendeley":{"formattedCitation":"(Ye et al., 2019)","plainTextFormattedCitation":"(Ye et al., 2019)"},"properties":{"noteIndex":0},"schema":"https://github.com/citation-style-language/schema/raw/master/csl-citation.json"}</w:instrText>
            </w:r>
            <w:r>
              <w:rPr>
                <w:lang w:val="en-GB"/>
              </w:rPr>
              <w:fldChar w:fldCharType="separate"/>
            </w:r>
            <w:r w:rsidRPr="001552B4">
              <w:rPr>
                <w:noProof/>
                <w:lang w:val="en-GB"/>
              </w:rPr>
              <w:t>(Ye et al., 2019)</w:t>
            </w:r>
            <w:r>
              <w:rPr>
                <w:lang w:val="en-GB"/>
              </w:rPr>
              <w:fldChar w:fldCharType="end"/>
            </w:r>
          </w:p>
        </w:tc>
      </w:tr>
      <w:tr w:rsidR="00F33890" w:rsidRPr="00B57B36" w14:paraId="4B3C8771" w14:textId="77777777" w:rsidTr="00D87B60">
        <w:tc>
          <w:tcPr>
            <w:tcW w:w="1985" w:type="dxa"/>
            <w:shd w:val="clear" w:color="auto" w:fill="FFFFFF"/>
          </w:tcPr>
          <w:p w14:paraId="655B8B8B" w14:textId="77777777" w:rsidR="00F33890" w:rsidRPr="00B57B36" w:rsidRDefault="00F33890" w:rsidP="00D87B60">
            <w:pPr>
              <w:pStyle w:val="CETBodytext"/>
              <w:jc w:val="center"/>
              <w:rPr>
                <w:lang w:val="en-GB"/>
              </w:rPr>
            </w:pPr>
            <w:r>
              <w:rPr>
                <w:lang w:val="en-GB"/>
              </w:rPr>
              <w:t>58</w:t>
            </w:r>
          </w:p>
        </w:tc>
        <w:tc>
          <w:tcPr>
            <w:tcW w:w="1701" w:type="dxa"/>
            <w:shd w:val="clear" w:color="auto" w:fill="FFFFFF"/>
          </w:tcPr>
          <w:p w14:paraId="040542C5" w14:textId="77777777" w:rsidR="00F33890" w:rsidRPr="00B57B36" w:rsidRDefault="00F33890" w:rsidP="00D87B60">
            <w:pPr>
              <w:pStyle w:val="CETBodytext"/>
              <w:jc w:val="center"/>
              <w:rPr>
                <w:lang w:val="en-GB"/>
              </w:rPr>
            </w:pPr>
            <w:r>
              <w:rPr>
                <w:lang w:val="en-GB"/>
              </w:rPr>
              <w:t>94</w:t>
            </w:r>
          </w:p>
        </w:tc>
        <w:tc>
          <w:tcPr>
            <w:tcW w:w="1701" w:type="dxa"/>
            <w:shd w:val="clear" w:color="auto" w:fill="FFFFFF"/>
          </w:tcPr>
          <w:p w14:paraId="58DF28ED" w14:textId="77777777" w:rsidR="00F33890" w:rsidRPr="00B57B36" w:rsidRDefault="00F33890" w:rsidP="00D87B60">
            <w:pPr>
              <w:pStyle w:val="CETBodytext"/>
              <w:jc w:val="center"/>
              <w:rPr>
                <w:lang w:val="en-GB"/>
              </w:rPr>
            </w:pPr>
            <w:r>
              <w:rPr>
                <w:lang w:val="en-GB"/>
              </w:rPr>
              <w:t>88-96</w:t>
            </w:r>
          </w:p>
        </w:tc>
        <w:tc>
          <w:tcPr>
            <w:tcW w:w="1559" w:type="dxa"/>
            <w:shd w:val="clear" w:color="auto" w:fill="FFFFFF"/>
          </w:tcPr>
          <w:p w14:paraId="0431F022" w14:textId="77777777" w:rsidR="00F33890" w:rsidRPr="00B57B36" w:rsidRDefault="00F33890" w:rsidP="00D87B60">
            <w:pPr>
              <w:pStyle w:val="CETBodytext"/>
              <w:ind w:right="-1"/>
              <w:jc w:val="center"/>
              <w:rPr>
                <w:rFonts w:cs="Arial"/>
                <w:szCs w:val="18"/>
                <w:lang w:val="en-GB"/>
              </w:rPr>
            </w:pPr>
            <w:r>
              <w:rPr>
                <w:lang w:val="en-GB"/>
              </w:rPr>
              <w:t>94.3</w:t>
            </w:r>
          </w:p>
        </w:tc>
        <w:tc>
          <w:tcPr>
            <w:tcW w:w="1843" w:type="dxa"/>
            <w:shd w:val="clear" w:color="auto" w:fill="FFFFFF"/>
          </w:tcPr>
          <w:p w14:paraId="0AD5E846" w14:textId="77777777" w:rsidR="00F33890" w:rsidRPr="00B57B36" w:rsidRDefault="00F33890" w:rsidP="00D87B60">
            <w:pPr>
              <w:pStyle w:val="CETBodytext"/>
              <w:ind w:right="-1"/>
              <w:jc w:val="center"/>
              <w:rPr>
                <w:rFonts w:cs="Arial"/>
                <w:szCs w:val="18"/>
                <w:lang w:val="en-GB"/>
              </w:rPr>
            </w:pPr>
            <w:r>
              <w:rPr>
                <w:lang w:val="en-GB"/>
              </w:rPr>
              <w:t>99</w:t>
            </w:r>
          </w:p>
        </w:tc>
      </w:tr>
      <w:tr w:rsidR="00F33890" w:rsidRPr="00B57B36" w14:paraId="20854512" w14:textId="77777777" w:rsidTr="00D87B60">
        <w:tc>
          <w:tcPr>
            <w:tcW w:w="1985" w:type="dxa"/>
            <w:shd w:val="clear" w:color="auto" w:fill="FFFFFF"/>
          </w:tcPr>
          <w:p w14:paraId="6C24D4DD" w14:textId="77777777" w:rsidR="00F33890" w:rsidRPr="00B57B36" w:rsidRDefault="00F33890" w:rsidP="00D87B60">
            <w:pPr>
              <w:pStyle w:val="CETBodytext"/>
              <w:ind w:right="-1"/>
              <w:jc w:val="center"/>
              <w:rPr>
                <w:rFonts w:cs="Arial"/>
                <w:szCs w:val="18"/>
                <w:lang w:val="en-GB"/>
              </w:rPr>
            </w:pPr>
            <w:r>
              <w:rPr>
                <w:lang w:val="en-GB"/>
              </w:rPr>
              <w:t>Alkaline leaching (NaOH) and landfill leachate at room temperature</w:t>
            </w:r>
          </w:p>
        </w:tc>
        <w:tc>
          <w:tcPr>
            <w:tcW w:w="1701" w:type="dxa"/>
            <w:shd w:val="clear" w:color="auto" w:fill="FFFFFF"/>
          </w:tcPr>
          <w:p w14:paraId="5C0701D1" w14:textId="77777777" w:rsidR="00F33890" w:rsidRPr="00B57B36" w:rsidRDefault="00F33890" w:rsidP="00D87B60">
            <w:pPr>
              <w:pStyle w:val="CETBodytext"/>
              <w:ind w:right="-1"/>
              <w:jc w:val="center"/>
              <w:rPr>
                <w:rFonts w:cs="Arial"/>
                <w:szCs w:val="18"/>
                <w:lang w:val="en-GB"/>
              </w:rPr>
            </w:pPr>
            <w:r>
              <w:rPr>
                <w:lang w:val="en-GB"/>
              </w:rPr>
              <w:t>Blank and sodium carbonate roasting and leaching with tap water</w:t>
            </w:r>
          </w:p>
        </w:tc>
        <w:tc>
          <w:tcPr>
            <w:tcW w:w="1701" w:type="dxa"/>
            <w:shd w:val="clear" w:color="auto" w:fill="FFFFFF"/>
          </w:tcPr>
          <w:p w14:paraId="13DD9F8C" w14:textId="77777777" w:rsidR="00F33890" w:rsidRPr="00B57B36" w:rsidRDefault="00F33890" w:rsidP="00D87B60">
            <w:pPr>
              <w:pStyle w:val="CETBodytext"/>
              <w:ind w:right="-1"/>
              <w:jc w:val="center"/>
              <w:rPr>
                <w:rFonts w:cs="Arial"/>
                <w:szCs w:val="18"/>
                <w:lang w:val="en-GB"/>
              </w:rPr>
            </w:pPr>
            <w:r>
              <w:rPr>
                <w:lang w:val="en-GB"/>
              </w:rPr>
              <w:t>Roasting process and alkaline leaching (</w:t>
            </w:r>
            <w:proofErr w:type="spellStart"/>
            <w:proofErr w:type="gramStart"/>
            <w:r>
              <w:rPr>
                <w:lang w:val="en-GB"/>
              </w:rPr>
              <w:t>NaOH;T</w:t>
            </w:r>
            <w:proofErr w:type="spellEnd"/>
            <w:proofErr w:type="gramEnd"/>
            <w:r>
              <w:rPr>
                <w:lang w:val="en-GB"/>
              </w:rPr>
              <w:t>=70°C-120°C)</w:t>
            </w:r>
          </w:p>
        </w:tc>
        <w:tc>
          <w:tcPr>
            <w:tcW w:w="1559" w:type="dxa"/>
            <w:shd w:val="clear" w:color="auto" w:fill="FFFFFF"/>
          </w:tcPr>
          <w:p w14:paraId="383E7190" w14:textId="77777777" w:rsidR="00F33890" w:rsidRPr="00B57B36" w:rsidRDefault="00F33890" w:rsidP="00D87B60">
            <w:pPr>
              <w:pStyle w:val="CETBodytext"/>
              <w:ind w:right="-1"/>
              <w:jc w:val="center"/>
              <w:rPr>
                <w:rFonts w:cs="Arial"/>
                <w:szCs w:val="18"/>
                <w:lang w:val="en-GB"/>
              </w:rPr>
            </w:pPr>
            <w:r>
              <w:rPr>
                <w:lang w:val="en-GB"/>
              </w:rPr>
              <w:t>Ultrasonic leaching with sodium carbonate</w:t>
            </w:r>
          </w:p>
        </w:tc>
        <w:tc>
          <w:tcPr>
            <w:tcW w:w="1843" w:type="dxa"/>
            <w:shd w:val="clear" w:color="auto" w:fill="FFFFFF"/>
          </w:tcPr>
          <w:p w14:paraId="4E976187" w14:textId="77777777" w:rsidR="00F33890" w:rsidRPr="00B57B36" w:rsidRDefault="00F33890" w:rsidP="00D87B60">
            <w:pPr>
              <w:pStyle w:val="CETBodytext"/>
              <w:ind w:right="-1"/>
              <w:jc w:val="center"/>
              <w:rPr>
                <w:rFonts w:cs="Arial"/>
                <w:szCs w:val="18"/>
                <w:lang w:val="en-GB"/>
              </w:rPr>
            </w:pPr>
            <w:r>
              <w:rPr>
                <w:lang w:val="en-GB"/>
              </w:rPr>
              <w:t>Microwave roasting and ultrasound-assisted leaching with hot water with sodium carbonate</w:t>
            </w:r>
          </w:p>
        </w:tc>
      </w:tr>
    </w:tbl>
    <w:p w14:paraId="577B1AC4" w14:textId="77777777" w:rsidR="00F33890" w:rsidRDefault="00F33890" w:rsidP="003144F7">
      <w:pPr>
        <w:pStyle w:val="CETBodytext"/>
        <w:rPr>
          <w:lang w:val="en-GB"/>
        </w:rPr>
      </w:pPr>
    </w:p>
    <w:p w14:paraId="3EEE55A7" w14:textId="2AF39254" w:rsidR="00A319C9" w:rsidRDefault="00A319C9" w:rsidP="00A319C9">
      <w:pPr>
        <w:pStyle w:val="CETBodytext"/>
        <w:rPr>
          <w:lang w:val="en-GB"/>
        </w:rPr>
      </w:pPr>
      <w:r>
        <w:rPr>
          <w:lang w:val="en-GB"/>
        </w:rPr>
        <w:fldChar w:fldCharType="begin" w:fldLock="1"/>
      </w:r>
      <w:r>
        <w:rPr>
          <w:lang w:val="en-GB"/>
        </w:rPr>
        <w:instrText>ADDIN CSL_CITATION {"citationItems":[{"id":"ITEM-1","itemData":{"DOI":"10.1007/S11837-019-03741-Z/FIGURES/8","ISSN":"15431851","abstract":"The petroleum refining industry produces a large amount of spent hydrodesulphurization (HDS) catalyst every year, representing a hazardous solid waste but also an important secondary resource. In the work presented herein, extraction of molybdenum from spent HDS catalyst by two-stage roasting followed by water leaching was investigated. The effects of sodium carbonate roasting and water leaching on the extraction of molybdenum as well as the effect of roasting on the molybdenum loss were investigated. The spent catalyst could be oxidized by blank roasting at 650°C for 2 h with molybdenum loss of 5.9%. Under the optimized conditions of sodium carbonate roasting (blank roasted spent HDS catalyst with 20 wt.% sodium carbonate addition at 650°C for 2.5 h) followed by water leaching (at 100°C for 2.5 h at liquid/solid ratio of 7 mL/g), the molybdenum leaching reached 94.0%.","author":[{"dropping-particle":"","family":"Huang","given":"Sheng","non-dropping-particle":"","parse-names":false,"suffix":""},{"dropping-particle":"","family":"Liu","given":"Jianpeng","non-dropping-particle":"","parse-names":false,"suffix":""},{"dropping-particle":"","family":"Zhang","given":"Changda","non-dropping-particle":"","parse-names":false,"suffix":""},{"dropping-particle":"","family":"Hu","given":"Bin","non-dropping-particle":"","parse-names":false,"suffix":""},{"dropping-particle":"","family":"Wang","given":"Xiaodi","non-dropping-particle":"","parse-names":false,"suffix":""},{"dropping-particle":"","family":"Wang","given":"Mingyu","non-dropping-particle":"","parse-names":false,"suffix":""},{"dropping-particle":"","family":"Wang","given":"Xuewen","non-dropping-particle":"","parse-names":false,"suffix":""}],"container-title":"JOM","id":"ITEM-1","issue":"12","issued":{"date-parts":[["2019","12","1"]]},"page":"4681-4686","publisher":"Springer","title":"Extraction of Molybdenum from Spent HDS Catalyst by Two-Stage Roasting Followed by Water Leaching","type":"article-journal","volume":"71"},"uris":["http://www.mendeley.com/documents/?uuid=5f523e9c-16f4-33dd-9f9c-1c43fdde70a2"]}],"mendeley":{"formattedCitation":"(Huang et al., 2019)","manualFormatting":"Huang et al.","plainTextFormattedCitation":"(Huang et al., 2019)","previouslyFormattedCitation":"(Huang et al., 2019)"},"properties":{"noteIndex":0},"schema":"https://github.com/citation-style-language/schema/raw/master/csl-citation.json"}</w:instrText>
      </w:r>
      <w:r>
        <w:rPr>
          <w:lang w:val="en-GB"/>
        </w:rPr>
        <w:fldChar w:fldCharType="separate"/>
      </w:r>
      <w:r w:rsidRPr="0091052E">
        <w:rPr>
          <w:noProof/>
          <w:lang w:val="en-GB"/>
        </w:rPr>
        <w:t>Huang et al.</w:t>
      </w:r>
      <w:r>
        <w:rPr>
          <w:lang w:val="en-GB"/>
        </w:rPr>
        <w:fldChar w:fldCharType="end"/>
      </w:r>
      <w:r w:rsidR="00757ED4">
        <w:rPr>
          <w:lang w:val="en-GB"/>
        </w:rPr>
        <w:t xml:space="preserve"> (</w:t>
      </w:r>
      <w:r>
        <w:rPr>
          <w:lang w:val="en-GB"/>
        </w:rPr>
        <w:t>2019</w:t>
      </w:r>
      <w:r w:rsidR="00757ED4">
        <w:rPr>
          <w:lang w:val="en-GB"/>
        </w:rPr>
        <w:t>)</w:t>
      </w:r>
      <w:r>
        <w:rPr>
          <w:lang w:val="en-GB"/>
        </w:rPr>
        <w:t xml:space="preserve"> </w:t>
      </w:r>
      <w:r w:rsidR="00614046">
        <w:t>employed a two-step roasting process—initial blank roasting to oxidize molybdenum sulfide, followed by sodium carbonate roasting—to produce soluble sodium molybdate, achieving a Mo extraction efficiency of 94% through subsequent water leachin</w:t>
      </w:r>
      <w:r w:rsidR="00614046">
        <w:t>g</w:t>
      </w:r>
      <w:r w:rsidRPr="0091052E">
        <w:rPr>
          <w:lang w:val="en-GB"/>
        </w:rPr>
        <w:t xml:space="preserve">. </w:t>
      </w:r>
      <w:r>
        <w:rPr>
          <w:lang w:val="en-GB"/>
        </w:rPr>
        <w:fldChar w:fldCharType="begin" w:fldLock="1"/>
      </w:r>
      <w:r>
        <w:rPr>
          <w:lang w:val="en-GB"/>
        </w:rPr>
        <w:instrText>ADDIN CSL_CITATION {"citationItems":[{"id":"ITEM-1","itemData":{"DOI":"10.1016/j.jhazmat.2021.125849","ISSN":"18733336","PMID":"33894437","abstract":"Spent hydrodesulfurization (HDS) catalysts, containing considerable amount of pollutants and metals including vanadium (V), molybdenum (Mo), aluminum (Al), and nickel (Ni), are considered as hazardous wastes which will result in not only ecosystem damage but also squandering resource. Herein, a process featuring blank roasting-alkaline leaching is proposed to recover spent HDS catalyst. During roasting, low-valence compounds convert to high-valence oxides which can be leached out by NaOH solution. Afterwards, leaching solution is subjected to crystallization to separate metals. The results show that for samples roasted at 650 °C, 97% V, 96% Mo, and 88% Al are leached out at optimal condition; for samples roasted at 1000 °C, selective leaching of 91% V and 96% Mo respectively, are realized, with negligible Al being dissolved. NiO is insoluble in strong alkali leaving in residue. The advantages of this process are that first, the leaching of V, Mo, and Al can be manipulated by controlling roasting conditions, providing flexible process design. Second, leaching solution can be fully recycled. Finally, mild leaching condition and clean separation of V, Mo, and Al is achieved, proving fundamental information for peer researches to facilitate their future research on the development of more efficient and cleaner technologies.","author":[{"dropping-particle":"","family":"Wang","given":"Jianzhang","non-dropping-particle":"","parse-names":false,"suffix":""},{"dropping-particle":"","family":"Wang","given":"Shaona","non-dropping-particle":"","parse-names":false,"suffix":""},{"dropping-particle":"","family":"Olayiwola","given":"Afolabi","non-dropping-particle":"","parse-names":false,"suffix":""},{"dropping-particle":"","family":"Yang","given":"Na","non-dropping-particle":"","parse-names":false,"suffix":""},{"dropping-particle":"","family":"Liu","given":"Biao","non-dropping-particle":"","parse-names":false,"suffix":""},{"dropping-particle":"","family":"Weigand","given":"Jan J.","non-dropping-particle":"","parse-names":false,"suffix":""},{"dropping-particle":"","family":"Wenzel","given":"Marco","non-dropping-particle":"","parse-names":false,"suffix":""},{"dropping-particle":"","family":"Du","given":"Hao","non-dropping-particle":"","parse-names":false,"suffix":""}],"container-title":"Journal of Hazardous Materials","id":"ITEM-1","issue":"April","issued":{"date-parts":[["2021"]]},"page":"125849","publisher":"Elsevier B.V.","title":"Recovering valuable metals from spent hydrodesulfurization catalyst via blank roasting and alkaline leaching","type":"article-journal","volume":"416"},"uris":["http://www.mendeley.com/documents/?uuid=a1342985-01d0-4640-8922-acfeb7b24d06"]}],"mendeley":{"formattedCitation":"(Wang et al., 2021)","manualFormatting":"Wang et al.","plainTextFormattedCitation":"(Wang et al., 2021)","previouslyFormattedCitation":"(Wang et al., 2021)"},"properties":{"noteIndex":0},"schema":"https://github.com/citation-style-language/schema/raw/master/csl-citation.json"}</w:instrText>
      </w:r>
      <w:r>
        <w:rPr>
          <w:lang w:val="en-GB"/>
        </w:rPr>
        <w:fldChar w:fldCharType="separate"/>
      </w:r>
      <w:r w:rsidRPr="006E3621">
        <w:rPr>
          <w:noProof/>
          <w:lang w:val="en-GB"/>
        </w:rPr>
        <w:t>Wang et al.</w:t>
      </w:r>
      <w:r>
        <w:rPr>
          <w:lang w:val="en-GB"/>
        </w:rPr>
        <w:fldChar w:fldCharType="end"/>
      </w:r>
      <w:r w:rsidR="00614046">
        <w:rPr>
          <w:lang w:val="en-GB"/>
        </w:rPr>
        <w:t xml:space="preserve"> (</w:t>
      </w:r>
      <w:r>
        <w:rPr>
          <w:lang w:val="en-GB"/>
        </w:rPr>
        <w:t>2021</w:t>
      </w:r>
      <w:r w:rsidR="00614046">
        <w:rPr>
          <w:lang w:val="en-GB"/>
        </w:rPr>
        <w:t>)</w:t>
      </w:r>
      <w:r>
        <w:rPr>
          <w:lang w:val="en-GB"/>
        </w:rPr>
        <w:t xml:space="preserve"> </w:t>
      </w:r>
      <w:r w:rsidR="00614046">
        <w:rPr>
          <w:lang w:val="en-GB"/>
        </w:rPr>
        <w:t>developed</w:t>
      </w:r>
      <w:r w:rsidRPr="006E3621">
        <w:rPr>
          <w:lang w:val="en-GB"/>
        </w:rPr>
        <w:t xml:space="preserve"> a two-stage </w:t>
      </w:r>
      <w:r w:rsidR="00C905A0">
        <w:t xml:space="preserve">method involving thermal roasting at 70–120 °C and alkaline leaching using NaOH (10–40 </w:t>
      </w:r>
      <w:proofErr w:type="spellStart"/>
      <w:r w:rsidR="00C905A0">
        <w:t>wt</w:t>
      </w:r>
      <w:proofErr w:type="spellEnd"/>
      <w:r w:rsidR="00C905A0">
        <w:t>%), obtaining removal efficiencies between 88% and 96%</w:t>
      </w:r>
      <w:r>
        <w:rPr>
          <w:lang w:val="en-GB"/>
        </w:rPr>
        <w:t xml:space="preserve">. </w:t>
      </w:r>
      <w:r w:rsidR="00201E1B">
        <w:t>Other advanced technologies have also been explored for Mo recovery from spent catalysts, including ultrasonic-assisted leaching</w:t>
      </w:r>
      <w:r w:rsidRPr="0091052E">
        <w:rPr>
          <w:lang w:val="en-GB"/>
        </w:rPr>
        <w:t xml:space="preserve"> </w:t>
      </w:r>
      <w:r>
        <w:rPr>
          <w:lang w:val="en-GB"/>
        </w:rPr>
        <w:fldChar w:fldCharType="begin" w:fldLock="1"/>
      </w:r>
      <w:r>
        <w:rPr>
          <w:lang w:val="en-GB"/>
        </w:rPr>
        <w:instrText>ADDIN CSL_CITATION {"citationItems":[{"id":"ITEM-1","itemData":{"DOI":"10.1016/J.MINPRO.2006.05.002","ISSN":"0301-7516","abstract":"Hydrometallurgical processing of spent hydrodesulphurisation (HDS) catalyst for the recovery of molybdenum using sodium carbonate and hydrogen peroxide mixtures was investigated. The results indicated that the recovery of molybdenum was largely dependent on the concentrations of Na2CO3 and H2O2 in the reaction medium, which controls the acidity of the leach liquor and carry over of impurities such as Al, Ni, P, Si and V. Leaching process was exothermic and leaching efficiency of molybdenum decreased with increasing solid to liquid ratio. Large scale leaching of spent catalyst, under optimum conditions: 20% pulp density, 85 g/L Na2CO3, 10 vol.% H2O2 and 1 h reaction, resulted a leaching efficiency of 84% Mo. The obtained leach liquor contained (g/L): Mo - 22.0, Ni - 0.015 and Al - 0.82, P - 1.1, Si - 0.094 and minor quantities of V - 8 mg/L, As and Co - &lt; 1 mg/L. Recovery of Mo from leach solution as MoO3 of 97.30% purity was achieved by ammonium molybdate precipitation method. © 2006 Elsevier B.V. All rights reserved.","author":[{"dropping-particle":"","family":"Park","given":"Kyung Ho","non-dropping-particle":"","parse-names":false,"suffix":""},{"dropping-particle":"","family":"Reddy","given":"B. Ramachandra","non-dropping-particle":"","parse-names":false,"suffix":""},{"dropping-particle":"","family":"Mohapatra","given":"D.","non-dropping-particle":"","parse-names":false,"suffix":""},{"dropping-particle":"","family":"Nam","given":"Chul Woo","non-dropping-particle":"","parse-names":false,"suffix":""}],"container-title":"International Journal of Mineral Processing","id":"ITEM-1","issue":"2-4","issued":{"date-parts":[["2006","9","1"]]},"page":"261-265","publisher":"Elsevier","title":"Hydrometallurgical processing and recovery of molybdenum trioxide from spent catalyst","type":"article-journal","volume":"80"},"uris":["http://www.mendeley.com/documents/?uuid=23d54e9b-8850-384c-a464-a4339fe8e7d2"]},{"id":"ITEM-2","itemData":{"DOI":"10.1016/J.ULTSONCH.2018.05.023","ISSN":"1350-4177","PMID":"30122468","abstract":"Currently, roasting-leaching is the main treatment process of spent hydrodesulfurization (HDS) catalyst, but it will produce impurities, such as nickel molybdate and cobalt molybdate (NiMoO4 or CoMoO4), which is adverse to recover valuable metals. In this paper, a combined ultrasonic-microwave method was developed to remove oil and recover molybdenum (Mo) from the spent HDS catalyst. Firstly, ethanol was used to extract the surface oil of the spent MoNiCo/Al2O3 catalyst with ultrasonic assistance. Effects of temperature, ultrasonic time, liquid-solid ratio and ultrasonic power on the oil removal rate were investigated systematically and the process conditions were optimized using response surface methodology (RSM). The results showed that the oil removal rate was over 99% under the optimum conditions of temperature 55 °C, ultrasonic time 2 h, liquid to solid ratio 5:1, and ultrasonic power 600 W. After oil removal, the sample was roasted in microwave field at 500 °C for 15 min. The generation of toxic gas could be effectively avoided and no hardest-to-recycle impurity CoMoO4 was found. At last, the roasted sample was subjected to ultrasonic leaching with sodium carbonate (Na2CO3) solution for recovering Mo. Extraction of Mo of the deoiled sample after microwave roasting reached 94.3%, which is about 7% higher than that of oily sample. Moreover, microwave roasting method resulted in a much higher Mo extraction than traditional method for both the oily and deoiled spent catalyst. It was concluded that the ultrasonic-microwave assisted method could remarkably improve the recovery of Mo and greatly shorten the processing time.","author":[{"dropping-particle":"","family":"Wang","given":"Lu","non-dropping-particle":"","parse-names":false,"suffix":""},{"dropping-particle":"","family":"Chao","given":"Liu","non-dropping-particle":"","parse-names":false,"suffix":""},{"dropping-particle":"","family":"Qu","given":"Wenwen","non-dropping-particle":"","parse-names":false,"suffix":""},{"dropping-particle":"","family":"Xu","given":"Shengming","non-dropping-particle":"","parse-names":false,"suffix":""},{"dropping-particle":"","family":"Zhang","given":"Libo","non-dropping-particle":"","parse-names":false,"suffix":""},{"dropping-particle":"","family":"Peng","given":"Jinhui","non-dropping-particle":"","parse-names":false,"suffix":""},{"dropping-particle":"","family":"Ye","given":"Xiaolei","non-dropping-particle":"","parse-names":false,"suffix":""}],"container-title":"Ultrasonics Sonochemistry","id":"ITEM-2","issued":{"date-parts":[["2018","12","1"]]},"page":"24-32","publisher":"Elsevier","title":"Ultrasound-assisted oil removal of γ-Al2O3-based spent hydrodesulfurization catalyst and microwave roasting recovery of metal Mo","type":"article-journal","volume":"49"},"uris":["http://www.mendeley.com/documents/?uuid=1e5a7d83-6aab-341e-9cf2-61b3cf726084"]}],"mendeley":{"formattedCitation":"(Park et al., 2006; Wang et al., 2018)","manualFormatting":"(Wang et al., 2018)","plainTextFormattedCitation":"(Park et al., 2006; Wang et al., 2018)","previouslyFormattedCitation":"(Park et al., 2006; Wang et al., 2018)"},"properties":{"noteIndex":0},"schema":"https://github.com/citation-style-language/schema/raw/master/csl-citation.json"}</w:instrText>
      </w:r>
      <w:r>
        <w:rPr>
          <w:lang w:val="en-GB"/>
        </w:rPr>
        <w:fldChar w:fldCharType="separate"/>
      </w:r>
      <w:r w:rsidRPr="004C210A">
        <w:rPr>
          <w:noProof/>
          <w:lang w:val="en-GB"/>
        </w:rPr>
        <w:t>(Wang et al., 2018)</w:t>
      </w:r>
      <w:r>
        <w:rPr>
          <w:lang w:val="en-GB"/>
        </w:rPr>
        <w:fldChar w:fldCharType="end"/>
      </w:r>
      <w:r w:rsidRPr="0091052E">
        <w:rPr>
          <w:lang w:val="en-GB"/>
        </w:rPr>
        <w:t xml:space="preserve">, microwave-assisted leaching </w:t>
      </w:r>
      <w:r>
        <w:rPr>
          <w:lang w:val="en-GB"/>
        </w:rPr>
        <w:fldChar w:fldCharType="begin" w:fldLock="1"/>
      </w:r>
      <w:r>
        <w:rPr>
          <w:lang w:val="en-GB"/>
        </w:rPr>
        <w:instrText>ADDIN CSL_CITATION {"citationItems":[{"id":"ITEM-1","itemData":{"DOI":"10.1016/J.JTICE.2019.01.009","ISSN":"1876-1070","abstract":"The heat pretreatment of the spent hydrodesulfurization (HDS) catalysts plays an important role in its comprehensive recycling. In this work, the microwave sodium roasting (MWSR) strategy was used for the heat treatment of the spent catalyst, with the aim of achieving effective separation of Mo and Al while achieving in-situ sulfur fixation. Specifically, the de-oiled, spent HDS catalyst was roasted with Na 2 CO 3 by microwave heating in air, followed by hot water leaching. Based on the thermodynamic analysis, the effects of microwave heating temperature, holding time and Na 2 CO 3 addition on the recovery of molybdenum have been thoroughly investigated. Owing to the special heating method of microwave, the spent catalyst after roasting has a microstructure suitable for leaching, and S is more in situ converted to Na 2 CO 3 . After following the strategy, the leaching degree of Mo can reach 99%, while the leaching degree of Al is less than 8%, which indicates that Mo and Al are effectively separated. More importantly, a sulfur fixation degree of 79.1% was obtained. This strategy provides a novel reference for the harmless treatment of spent HDS catalysts.","author":[{"dropping-particle":"","family":"Ye","given":"Xiaolei","non-dropping-particle":"","parse-names":false,"suffix":""},{"dropping-particle":"","family":"Guo","given":"Shenghui","non-dropping-particle":"","parse-names":false,"suffix":""},{"dropping-particle":"","family":"Qu","given":"Wenwen","non-dropping-particle":"","parse-names":false,"suffix":""},{"dropping-particle":"","family":"Xu","given":"Shengming","non-dropping-particle":"","parse-names":false,"suffix":""},{"dropping-particle":"","family":"Zhang","given":"Libo","non-dropping-particle":"","parse-names":false,"suffix":""},{"dropping-particle":"","family":"Liu","given":"Bingguo","non-dropping-particle":"","parse-names":false,"suffix":""},{"dropping-particle":"","family":"Wang","given":"Lu","non-dropping-particle":"","parse-names":false,"suffix":""},{"dropping-particle":"","family":"Wang","given":"Chen","non-dropping-particle":"","parse-names":false,"suffix":""}],"container-title":"Journal of the Taiwan Institute of Chemical Engineers","id":"ITEM-1","issued":{"date-parts":[["2019","4","1"]]},"page":"146-157","publisher":"Elsevier","title":"Microwave sodium roasting (MWSR) spent HDS catalysts for recovery Mo and in situ sulfur fixation","type":"article-journal","volume":"97"},"uris":["http://www.mendeley.com/documents/?uuid=9c5bf28b-cbac-3588-9c61-387efeaa1e2e"]}],"mendeley":{"formattedCitation":"(Ye et al., 2019)","plainTextFormattedCitation":"(Ye et al., 2019)","previouslyFormattedCitation":"(Ye et al., 2019)"},"properties":{"noteIndex":0},"schema":"https://github.com/citation-style-language/schema/raw/master/csl-citation.json"}</w:instrText>
      </w:r>
      <w:r>
        <w:rPr>
          <w:lang w:val="en-GB"/>
        </w:rPr>
        <w:fldChar w:fldCharType="separate"/>
      </w:r>
      <w:r w:rsidRPr="004C210A">
        <w:rPr>
          <w:noProof/>
          <w:lang w:val="en-GB"/>
        </w:rPr>
        <w:t>(Ye et al., 2019)</w:t>
      </w:r>
      <w:r>
        <w:rPr>
          <w:lang w:val="en-GB"/>
        </w:rPr>
        <w:fldChar w:fldCharType="end"/>
      </w:r>
      <w:r w:rsidRPr="0091052E">
        <w:rPr>
          <w:lang w:val="en-GB"/>
        </w:rPr>
        <w:t xml:space="preserve">, and mechanical activation </w:t>
      </w:r>
      <w:r>
        <w:rPr>
          <w:lang w:val="en-GB"/>
        </w:rPr>
        <w:fldChar w:fldCharType="begin" w:fldLock="1"/>
      </w:r>
      <w:r>
        <w:rPr>
          <w:lang w:val="en-GB"/>
        </w:rPr>
        <w:instrText>ADDIN CSL_CITATION {"citationItems":[{"id":"ITEM-1","itemData":{"DOI":"10.1016/J.WASMAN.2016.06.035","ISSN":"0956-053X","PMID":"27422050","abstract":"This work describes the mechanochemical transformations of molybdenum and vanadium sulfides into corresponding molybdate and vanadate, to serve as a new environment-friendly approach for processing hazardous spent hydrodesulphurization (HDS) catalysts solid waste to achieve an easy recovery of not only molybdenum and vanadium but also nickel and cobalt. Co-grinding the molybdenum and vanadium sulfides with oxidants and sodium carbonate stimulates solid-state reactions without any heating aid to form metal molybdates and vanadates. The reactions proceed with an increase in grinding time and were enhanced by using more sodium carbonate and stronger oxidant. The necessary conditions for the successful transformation can be explained on the basis of thermodynamic analyses, namely a negative change in Gibbs free energy.","author":[{"dropping-particle":"","family":"Li","given":"Zhao","non-dropping-particle":"","parse-names":false,"suffix":""},{"dropping-particle":"","family":"Chen","given":"Min","non-dropping-particle":"","parse-names":false,"suffix":""},{"dropping-particle":"","family":"Zhang","given":"Qiwu","non-dropping-particle":"","parse-names":false,"suffix":""},{"dropping-particle":"","family":"Liu","given":"Xinzhong","non-dropping-particle":"","parse-names":false,"suffix":""},{"dropping-particle":"","family":"Saito","given":"Fumio","non-dropping-particle":"","parse-names":false,"suffix":""}],"container-title":"Waste Management","id":"ITEM-1","issued":{"date-parts":[["2017","2","1"]]},"page":"734-738","publisher":"Pergamon","title":"Mechanochemical processing of molybdenum and vanadium sulfides for metal recovery from spent catalysts wastes","type":"article-journal","volume":"60"},"uris":["http://www.mendeley.com/documents/?uuid=019c9547-802d-3ebb-9f7b-d577facbcac8"]},{"id":"ITEM-2","itemData":{"DOI":"10.1016/J.JHAZMAT.2007.02.034","ISSN":"0304-3894","PMID":"17363155","abstract":"Spent catalyst generally contains valuable metals like Mo, Co, Ni on a supporting material, such as γ-A12O3. In the present study, a two stage alkali/acid leaching process is proposed to selectively target molybdenum and cobalt/nickel separately to facilitate the downstream processing. Prior to the leaching, the spent catalyst was calcined at 500 °C to remove C and S; and to convert metal sulphides to metal oxides. 98% Mo, 93% Co and 90% Ni was effectively recovered by this process. The sulphuric acid leaching of spent catalyst, previously treated by alkali solutions to remove Mo, yielded a solution rich in Ni, Co and Al. In order to recover Co and Ni, the Al impurity must be eliminated. The extraction and stripping of Al has been carried out using the organo-phosphinic extractant, Cyanex 272 diluted in carbon tetrachloride. Quantitative Al extraction efficiency was achieved with 1.0 M Cyanex 272 in two stages at an aqueous:organic (A:O) phase ratio of 1:1 and equilibrium pH of 3.2. Complete stripping of Al from the loaded organic was carried out using 2 M H2SO4 at an A:O phase ratio of 1:1. The extraction reaction proceeded via the cation exchange mechanism and the extracted species was assumed to be AlA3.3HA. The extraction of Al was carried out in the presence of various ions to ascertain the tolerance limit of individual ions. The regenerated solvent was successfully used for 8 cycles without any significant loss of extraction efficiency, suggesting that Cyanex 272 is extremely stable under present experimental conditions. © 2007 Elsevier B.V. All rights reserved.","author":[{"dropping-particle":"","family":"Park","given":"Kyung Ho","non-dropping-particle":"","parse-names":false,"suffix":""},{"dropping-particle":"","family":"Mohapatra","given":"Debasish","non-dropping-particle":"","parse-names":false,"suffix":""},{"dropping-particle":"","family":"Nam","given":"Chul Woo","non-dropping-particle":"","parse-names":false,"suffix":""}],"container-title":"Journal of Hazardous Materials","id":"ITEM-2","issue":"1-2","issued":{"date-parts":[["2007","9","5"]]},"page":"287-295","publisher":"Elsevier","title":"Two stage leaching of activated spent HDS catalyst and solvent extraction of aluminium using organo-phosphinic extractant, Cyanex 272","type":"article-journal","volume":"148"},"uris":["http://www.mendeley.com/documents/?uuid=84c2b0fd-a97f-340e-8063-964b9e26d4b2"]}],"mendeley":{"formattedCitation":"(Li et al., 2017; Park et al., 2007)","plainTextFormattedCitation":"(Li et al., 2017; Park et al., 2007)","previouslyFormattedCitation":"(Li et al., 2017; Park et al., 2007)"},"properties":{"noteIndex":0},"schema":"https://github.com/citation-style-language/schema/raw/master/csl-citation.json"}</w:instrText>
      </w:r>
      <w:r>
        <w:rPr>
          <w:lang w:val="en-GB"/>
        </w:rPr>
        <w:fldChar w:fldCharType="separate"/>
      </w:r>
      <w:r w:rsidRPr="004C210A">
        <w:rPr>
          <w:noProof/>
          <w:lang w:val="en-GB"/>
        </w:rPr>
        <w:t>(Li et al., 2017; Park et al., 2007)</w:t>
      </w:r>
      <w:r>
        <w:rPr>
          <w:lang w:val="en-GB"/>
        </w:rPr>
        <w:fldChar w:fldCharType="end"/>
      </w:r>
      <w:r w:rsidRPr="0091052E">
        <w:rPr>
          <w:lang w:val="en-GB"/>
        </w:rPr>
        <w:t xml:space="preserve">. </w:t>
      </w:r>
      <w:r w:rsidR="00830C8F">
        <w:t>Despite their high efficiency, these methods often involve complex operating conditions, high energy consumption, and are rarely implemented at full industrial scale due to economic and technical constraints</w:t>
      </w:r>
      <w:r w:rsidRPr="006E3621">
        <w:rPr>
          <w:lang w:val="en-GB"/>
        </w:rPr>
        <w:t>.</w:t>
      </w:r>
      <w:r w:rsidR="00BA7295">
        <w:rPr>
          <w:lang w:val="en-GB"/>
        </w:rPr>
        <w:t xml:space="preserve"> I</w:t>
      </w:r>
      <w:proofErr w:type="spellStart"/>
      <w:r w:rsidR="00BA7295">
        <w:t>n</w:t>
      </w:r>
      <w:proofErr w:type="spellEnd"/>
      <w:r w:rsidR="00BA7295">
        <w:t xml:space="preserve"> contrast, the method proposed in this study achieves substantial Mo reduction under ambient conditions, without requiring elevated temperatures or energy-intensive steps. Moreover, the process employs landfill leachate as the solvent, thereby reducing reliance on fresh water and aligning with circular economy principles. Importantly, while previous studies focused on Mo recovery due to its high content and economic value, the goal of this work is to minimize the leachability of Mo in IBA to meet regulatory thresholds for stable non-reactive landfill disposal, using cost-effective and resource-efficient techniques.</w:t>
      </w:r>
      <w:r w:rsidR="009807CB">
        <w:t xml:space="preserve"> </w:t>
      </w:r>
      <w:r w:rsidR="00BD1E1F">
        <w:t>H</w:t>
      </w:r>
      <w:r w:rsidR="009807CB">
        <w:t>igher NaOH concentrations</w:t>
      </w:r>
      <w:r w:rsidR="009807CB">
        <w:t xml:space="preserve"> can </w:t>
      </w:r>
      <w:r w:rsidR="00BD1E1F">
        <w:t>lead to increased</w:t>
      </w:r>
      <w:r w:rsidRPr="004D631D">
        <w:rPr>
          <w:lang w:val="en-GB"/>
        </w:rPr>
        <w:t xml:space="preserve"> removal efficiency</w:t>
      </w:r>
      <w:r w:rsidR="00BD1E1F">
        <w:rPr>
          <w:lang w:val="en-GB"/>
        </w:rPr>
        <w:t xml:space="preserve">. However, selecting the optimal concentration </w:t>
      </w:r>
      <w:r w:rsidR="00A053A8">
        <w:t>requires</w:t>
      </w:r>
      <w:r w:rsidR="00EC70D1">
        <w:t xml:space="preserve"> balancing treatment performance with economic and environmental considerations</w:t>
      </w:r>
      <w:r w:rsidR="00532428">
        <w:rPr>
          <w:lang w:val="en-GB"/>
        </w:rPr>
        <w:t>,</w:t>
      </w:r>
      <w:r w:rsidRPr="004D631D">
        <w:rPr>
          <w:lang w:val="en-GB"/>
        </w:rPr>
        <w:t xml:space="preserve"> </w:t>
      </w:r>
      <w:r w:rsidR="00A053A8">
        <w:rPr>
          <w:lang w:val="en-GB"/>
        </w:rPr>
        <w:t>also in relation to</w:t>
      </w:r>
      <w:r w:rsidRPr="004D631D">
        <w:rPr>
          <w:lang w:val="en-GB"/>
        </w:rPr>
        <w:t xml:space="preserve"> the </w:t>
      </w:r>
      <w:r w:rsidR="00A053A8">
        <w:rPr>
          <w:lang w:val="en-GB"/>
        </w:rPr>
        <w:t xml:space="preserve">specific </w:t>
      </w:r>
      <w:r w:rsidRPr="004D631D">
        <w:rPr>
          <w:lang w:val="en-GB"/>
        </w:rPr>
        <w:t>purposes of the treatment</w:t>
      </w:r>
      <w:r>
        <w:rPr>
          <w:lang w:val="en-GB"/>
        </w:rPr>
        <w:t>.</w:t>
      </w:r>
    </w:p>
    <w:p w14:paraId="51B5621F" w14:textId="1348D7EB" w:rsidR="009E6843" w:rsidRDefault="00890C34" w:rsidP="009E6843">
      <w:pPr>
        <w:pStyle w:val="CETBodytext"/>
        <w:rPr>
          <w:lang w:val="en-GB"/>
        </w:rPr>
      </w:pPr>
      <w:r>
        <w:t>T</w:t>
      </w:r>
      <w:r w:rsidR="008B1F49">
        <w:t xml:space="preserve">reatment with </w:t>
      </w:r>
      <w:r w:rsidR="006761BD">
        <w:rPr>
          <w:lang w:val="en-GB"/>
        </w:rPr>
        <w:t>NaOH concentration between</w:t>
      </w:r>
      <w:r w:rsidR="0035503A" w:rsidRPr="0035503A">
        <w:rPr>
          <w:lang w:val="en-GB"/>
        </w:rPr>
        <w:t xml:space="preserve"> 0.5</w:t>
      </w:r>
      <w:r w:rsidR="00ED66E7">
        <w:rPr>
          <w:lang w:val="en-GB"/>
        </w:rPr>
        <w:t xml:space="preserve"> </w:t>
      </w:r>
      <w:r w:rsidR="0035503A" w:rsidRPr="0035503A">
        <w:rPr>
          <w:lang w:val="en-GB"/>
        </w:rPr>
        <w:t xml:space="preserve">M </w:t>
      </w:r>
      <w:r w:rsidR="006761BD">
        <w:rPr>
          <w:lang w:val="en-GB"/>
        </w:rPr>
        <w:t xml:space="preserve">and 1.0 M </w:t>
      </w:r>
      <w:r w:rsidR="00DF21AD">
        <w:t>proved to be the most effective in simultaneously reducing the leachability of both</w:t>
      </w:r>
      <w:r w:rsidR="00733C34">
        <w:t xml:space="preserve"> Mo and Se </w:t>
      </w:r>
      <w:r w:rsidR="00733C34">
        <w:t>below the regulatory limits for disposal in landfills for non-hazardous, stable, non-reactive waste</w:t>
      </w:r>
      <w:r w:rsidR="0035503A" w:rsidRPr="0035503A">
        <w:rPr>
          <w:lang w:val="en-GB"/>
        </w:rPr>
        <w:t xml:space="preserve">. </w:t>
      </w:r>
      <w:r w:rsidR="006E50A6">
        <w:rPr>
          <w:lang w:val="en-GB"/>
        </w:rPr>
        <w:t xml:space="preserve">However, </w:t>
      </w:r>
      <w:r w:rsidR="009306D5">
        <w:t>an elevated chloride concentration was observed in the eluate following treatment with the 0.5 M NaOH solution</w:t>
      </w:r>
      <w:r w:rsidR="003719D7">
        <w:t xml:space="preserve">, </w:t>
      </w:r>
      <w:r w:rsidR="009306D5">
        <w:t xml:space="preserve">likely due to the inherently high chloride content of the landfill leachate used </w:t>
      </w:r>
      <w:r w:rsidR="002348D8">
        <w:rPr>
          <w:lang w:val="en-GB"/>
        </w:rPr>
        <w:t>(Table</w:t>
      </w:r>
      <w:r w:rsidR="006761BD">
        <w:rPr>
          <w:lang w:val="en-GB"/>
        </w:rPr>
        <w:t xml:space="preserve"> </w:t>
      </w:r>
      <w:r w:rsidR="002348D8">
        <w:rPr>
          <w:lang w:val="en-GB"/>
        </w:rPr>
        <w:t>2</w:t>
      </w:r>
      <w:r w:rsidR="004C7B6F">
        <w:rPr>
          <w:lang w:val="en-GB"/>
        </w:rPr>
        <w:t>).</w:t>
      </w:r>
      <w:r w:rsidR="001E1288">
        <w:rPr>
          <w:lang w:val="en-GB"/>
        </w:rPr>
        <w:t xml:space="preserve"> </w:t>
      </w:r>
      <w:r w:rsidR="00CD3B6A">
        <w:t>To balance metal removal efficiency with chloride management, reducing the number of washing cycles may be a viable strategy</w:t>
      </w:r>
      <w:r w:rsidR="00F53915">
        <w:rPr>
          <w:lang w:val="en-GB"/>
        </w:rPr>
        <w:t xml:space="preserve">. </w:t>
      </w:r>
      <w:r w:rsidR="00742D9A">
        <w:t>Preliminary tests revealed that a single washing cycle after 0.5 M NaOH extraction resulted in Mo concentrations below the legal threshold</w:t>
      </w:r>
      <w:r w:rsidR="00802CA3">
        <w:t>.</w:t>
      </w:r>
      <w:r w:rsidR="00742D9A">
        <w:t xml:space="preserve"> </w:t>
      </w:r>
      <w:r w:rsidR="00802CA3">
        <w:t>H</w:t>
      </w:r>
      <w:r w:rsidR="00742D9A">
        <w:t>owever, Se concentrations remained above the limit. This indicates that additional optimization</w:t>
      </w:r>
      <w:r w:rsidR="00802CA3">
        <w:t xml:space="preserve">, </w:t>
      </w:r>
      <w:r w:rsidR="00742D9A">
        <w:t>particularly of the washing step</w:t>
      </w:r>
      <w:r w:rsidR="00802CA3">
        <w:t xml:space="preserve">, </w:t>
      </w:r>
      <w:r w:rsidR="00742D9A">
        <w:t>is needed to meet all regulatory requirements.</w:t>
      </w:r>
      <w:r w:rsidR="007D3189">
        <w:rPr>
          <w:lang w:val="en-GB"/>
        </w:rPr>
        <w:t xml:space="preserve"> </w:t>
      </w:r>
      <w:r w:rsidR="001507C3">
        <w:rPr>
          <w:lang w:val="en-GB"/>
        </w:rPr>
        <w:t xml:space="preserve">Figure 2 </w:t>
      </w:r>
      <w:r w:rsidR="00802CA3">
        <w:rPr>
          <w:lang w:val="en-GB"/>
        </w:rPr>
        <w:t>illustrates</w:t>
      </w:r>
      <w:r w:rsidR="001507C3">
        <w:rPr>
          <w:lang w:val="en-GB"/>
        </w:rPr>
        <w:t xml:space="preserve"> </w:t>
      </w:r>
      <w:r>
        <w:rPr>
          <w:lang w:val="en-GB"/>
        </w:rPr>
        <w:t>t</w:t>
      </w:r>
      <w:r w:rsidR="00582AB7">
        <w:t>he contrasting trends in Mo and Se leachability with increasing NaOH concentration, demonstrating a monotonic but inverse effect for the two elements</w:t>
      </w:r>
      <w:r w:rsidR="00420609">
        <w:rPr>
          <w:lang w:val="en-GB"/>
        </w:rPr>
        <w:t>.</w:t>
      </w:r>
      <w:r w:rsidR="007D3189">
        <w:rPr>
          <w:lang w:val="en-GB"/>
        </w:rPr>
        <w:t xml:space="preserve"> </w:t>
      </w:r>
    </w:p>
    <w:p w14:paraId="12A38579" w14:textId="6657CF37" w:rsidR="00072D67" w:rsidRPr="00880C14" w:rsidRDefault="003A6A1B" w:rsidP="009E6843">
      <w:pPr>
        <w:pStyle w:val="CETBodytext"/>
        <w:rPr>
          <w:rFonts w:ascii="Times New Roman" w:hAnsi="Times New Roman"/>
          <w:sz w:val="24"/>
          <w:szCs w:val="24"/>
          <w:lang w:eastAsia="it-IT"/>
        </w:rPr>
      </w:pPr>
      <w:r w:rsidRPr="00FB620A">
        <w:rPr>
          <w:noProof/>
        </w:rPr>
        <w:drawing>
          <wp:inline distT="0" distB="0" distL="0" distR="0" wp14:anchorId="15A5F59E" wp14:editId="41E67581">
            <wp:extent cx="5579300" cy="1901308"/>
            <wp:effectExtent l="0" t="0" r="2540" b="3810"/>
            <wp:docPr id="126392599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4485" b="4663"/>
                    <a:stretch/>
                  </pic:blipFill>
                  <pic:spPr bwMode="auto">
                    <a:xfrm>
                      <a:off x="0" y="0"/>
                      <a:ext cx="5579745" cy="1901460"/>
                    </a:xfrm>
                    <a:prstGeom prst="rect">
                      <a:avLst/>
                    </a:prstGeom>
                    <a:noFill/>
                    <a:ln>
                      <a:noFill/>
                    </a:ln>
                    <a:extLst>
                      <a:ext uri="{53640926-AAD7-44D8-BBD7-CCE9431645EC}">
                        <a14:shadowObscured xmlns:a14="http://schemas.microsoft.com/office/drawing/2010/main"/>
                      </a:ext>
                    </a:extLst>
                  </pic:spPr>
                </pic:pic>
              </a:graphicData>
            </a:graphic>
          </wp:inline>
        </w:drawing>
      </w:r>
    </w:p>
    <w:p w14:paraId="253DA62A" w14:textId="597098E9" w:rsidR="008978CE" w:rsidRDefault="001C694E" w:rsidP="00677192">
      <w:pPr>
        <w:pStyle w:val="CETCaption"/>
      </w:pPr>
      <w:r>
        <w:lastRenderedPageBreak/>
        <w:t>Figure 2</w:t>
      </w:r>
      <w:r w:rsidR="00421F51">
        <w:t>:</w:t>
      </w:r>
      <w:r>
        <w:t xml:space="preserve"> Mo and Se concentration in the </w:t>
      </w:r>
      <w:r w:rsidR="00027349">
        <w:t>leaching tests</w:t>
      </w:r>
      <w:r w:rsidR="00157C46">
        <w:t>.</w:t>
      </w:r>
      <w:r>
        <w:t xml:space="preserve"> </w:t>
      </w:r>
    </w:p>
    <w:p w14:paraId="3E93B24B" w14:textId="1B512382" w:rsidR="00F1000D" w:rsidRDefault="009E6843" w:rsidP="009E6843">
      <w:pPr>
        <w:pStyle w:val="CETBodytext"/>
        <w:rPr>
          <w:lang w:val="en-GB"/>
        </w:rPr>
      </w:pPr>
      <w:bookmarkStart w:id="13" w:name="_Hlk193359738"/>
      <w:r w:rsidRPr="00EB36A8">
        <w:rPr>
          <w:lang w:val="en-GB"/>
        </w:rPr>
        <w:t>Finally,</w:t>
      </w:r>
      <w:r>
        <w:rPr>
          <w:lang w:val="en-GB"/>
        </w:rPr>
        <w:t xml:space="preserve"> Figure 3 </w:t>
      </w:r>
      <w:r w:rsidR="00E91830">
        <w:rPr>
          <w:lang w:val="en-GB"/>
        </w:rPr>
        <w:t>compares</w:t>
      </w:r>
      <w:r w:rsidRPr="00EB36A8">
        <w:rPr>
          <w:lang w:val="en-GB"/>
        </w:rPr>
        <w:t xml:space="preserve"> the </w:t>
      </w:r>
      <w:r w:rsidR="00E91830">
        <w:rPr>
          <w:lang w:val="en-GB"/>
        </w:rPr>
        <w:t xml:space="preserve">chemical </w:t>
      </w:r>
      <w:r w:rsidRPr="00EB36A8">
        <w:rPr>
          <w:lang w:val="en-GB"/>
        </w:rPr>
        <w:t xml:space="preserve">characteristics of the </w:t>
      </w:r>
      <w:r>
        <w:rPr>
          <w:lang w:val="en-GB"/>
        </w:rPr>
        <w:t xml:space="preserve">extraction and </w:t>
      </w:r>
      <w:r w:rsidRPr="00EB36A8">
        <w:rPr>
          <w:lang w:val="en-GB"/>
        </w:rPr>
        <w:t xml:space="preserve">washing </w:t>
      </w:r>
      <w:r>
        <w:rPr>
          <w:lang w:val="en-GB"/>
        </w:rPr>
        <w:t>liquid</w:t>
      </w:r>
      <w:r w:rsidR="008E0F66">
        <w:rPr>
          <w:lang w:val="en-GB"/>
        </w:rPr>
        <w:t>s to those of the original landfill leachate</w:t>
      </w:r>
      <w:r w:rsidR="00F1000D">
        <w:rPr>
          <w:lang w:val="en-GB"/>
        </w:rPr>
        <w:t xml:space="preserve">. </w:t>
      </w:r>
      <w:r w:rsidR="00F1000D">
        <w:t>The similar magnitudes of contaminant concentrations suggest that the process does not significantly degrade the quality of the leachate, nor does it substantially increase disposal costs.</w:t>
      </w:r>
    </w:p>
    <w:p w14:paraId="54A9F564" w14:textId="53263BD1" w:rsidR="00552658" w:rsidRDefault="00590AB5" w:rsidP="00A267E1">
      <w:pPr>
        <w:pStyle w:val="CETCaption"/>
        <w:jc w:val="center"/>
        <w:rPr>
          <w:lang w:val="it-IT" w:eastAsia="it-IT"/>
        </w:rPr>
      </w:pPr>
      <w:r>
        <w:rPr>
          <w:noProof/>
          <w:lang w:val="it-IT" w:eastAsia="it-IT"/>
        </w:rPr>
        <w:drawing>
          <wp:inline distT="0" distB="0" distL="0" distR="0" wp14:anchorId="3D398387" wp14:editId="577FB5CA">
            <wp:extent cx="4320000" cy="2399827"/>
            <wp:effectExtent l="0" t="0" r="4445" b="635"/>
            <wp:docPr id="197024985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0000" cy="2399827"/>
                    </a:xfrm>
                    <a:prstGeom prst="rect">
                      <a:avLst/>
                    </a:prstGeom>
                    <a:noFill/>
                  </pic:spPr>
                </pic:pic>
              </a:graphicData>
            </a:graphic>
          </wp:inline>
        </w:drawing>
      </w:r>
    </w:p>
    <w:p w14:paraId="1989D6F6" w14:textId="16081CD2" w:rsidR="004D0C64" w:rsidRDefault="001C694E" w:rsidP="00BD4016">
      <w:pPr>
        <w:pStyle w:val="CETCaption"/>
      </w:pPr>
      <w:r>
        <w:t>Figure 3</w:t>
      </w:r>
      <w:r w:rsidR="00F03A24">
        <w:t>:</w:t>
      </w:r>
      <w:r>
        <w:t xml:space="preserve"> Comparison </w:t>
      </w:r>
      <w:r w:rsidRPr="00BD4016">
        <w:t>between</w:t>
      </w:r>
      <w:r>
        <w:t xml:space="preserve"> extraction and washing liquid characteristic</w:t>
      </w:r>
      <w:r w:rsidR="00C1344E">
        <w:t>s</w:t>
      </w:r>
      <w:r>
        <w:t xml:space="preserve"> with the original </w:t>
      </w:r>
      <w:r w:rsidR="0080083A">
        <w:t>landfil</w:t>
      </w:r>
      <w:r>
        <w:t>l leachate</w:t>
      </w:r>
      <w:r w:rsidR="00C1344E">
        <w:t>.</w:t>
      </w:r>
    </w:p>
    <w:bookmarkEnd w:id="9"/>
    <w:bookmarkEnd w:id="13"/>
    <w:p w14:paraId="440B3A3A" w14:textId="7747B0B6" w:rsidR="007C5665" w:rsidRPr="008B022F" w:rsidRDefault="007C5665" w:rsidP="007C5665">
      <w:pPr>
        <w:pStyle w:val="CETHeading1"/>
      </w:pPr>
      <w:r w:rsidRPr="00B57B36">
        <w:t>Conclusions</w:t>
      </w:r>
    </w:p>
    <w:p w14:paraId="41D6CF9E" w14:textId="48941FD2" w:rsidR="00857060" w:rsidRDefault="00857060" w:rsidP="00857060">
      <w:pPr>
        <w:pStyle w:val="CETBodytext"/>
        <w:rPr>
          <w:lang w:val="en-GB"/>
        </w:rPr>
      </w:pPr>
      <w:bookmarkStart w:id="14" w:name="_Hlk202793162"/>
      <w:r w:rsidRPr="00857060">
        <w:rPr>
          <w:lang w:val="en-GB"/>
        </w:rPr>
        <w:t>Unlike most studies that rely on water or virgin resources as solvents, this research introduces a circular treatment approach for IBA using NaOH dissolved in landfill leachat</w:t>
      </w:r>
      <w:r w:rsidR="00D14204">
        <w:rPr>
          <w:lang w:val="en-GB"/>
        </w:rPr>
        <w:t>e</w:t>
      </w:r>
      <w:r w:rsidRPr="00857060">
        <w:rPr>
          <w:lang w:val="en-GB"/>
        </w:rPr>
        <w:t>. The method was tested on IBA originating from a special industrial waste incineration plant, with NaOH concentrations of 0.5 M, 1 M, and 2 M, and reagent-to-waste ratios ranging from 10% to 40%. The proposed process</w:t>
      </w:r>
      <w:r w:rsidR="008A5928">
        <w:rPr>
          <w:lang w:val="en-GB"/>
        </w:rPr>
        <w:t xml:space="preserve">, </w:t>
      </w:r>
      <w:r w:rsidRPr="00857060">
        <w:rPr>
          <w:lang w:val="en-GB"/>
        </w:rPr>
        <w:t>comprising extraction, separation, and multi-cycle washing</w:t>
      </w:r>
      <w:r w:rsidR="008A5928">
        <w:rPr>
          <w:lang w:val="en-GB"/>
        </w:rPr>
        <w:t xml:space="preserve">, </w:t>
      </w:r>
      <w:r w:rsidRPr="00857060">
        <w:rPr>
          <w:lang w:val="en-GB"/>
        </w:rPr>
        <w:t>successfully reduced the</w:t>
      </w:r>
      <w:r w:rsidR="003144F7">
        <w:rPr>
          <w:lang w:val="en-GB"/>
        </w:rPr>
        <w:t xml:space="preserve"> </w:t>
      </w:r>
      <w:r w:rsidR="00913199">
        <w:rPr>
          <w:lang w:val="en-GB"/>
        </w:rPr>
        <w:t>metal</w:t>
      </w:r>
      <w:r w:rsidR="003144F7">
        <w:rPr>
          <w:lang w:val="en-GB"/>
        </w:rPr>
        <w:t xml:space="preserve"> concentration in the solid matrix and </w:t>
      </w:r>
      <w:r w:rsidR="00886056">
        <w:rPr>
          <w:lang w:val="en-GB"/>
        </w:rPr>
        <w:t xml:space="preserve">the </w:t>
      </w:r>
      <w:r w:rsidR="00886056" w:rsidRPr="00857060">
        <w:rPr>
          <w:lang w:val="en-GB"/>
        </w:rPr>
        <w:t xml:space="preserve">Mo and Se </w:t>
      </w:r>
      <w:r w:rsidRPr="00857060">
        <w:rPr>
          <w:lang w:val="en-GB"/>
        </w:rPr>
        <w:t xml:space="preserve">concentrations </w:t>
      </w:r>
      <w:r w:rsidR="00886056">
        <w:rPr>
          <w:lang w:val="en-GB"/>
        </w:rPr>
        <w:t>in the leachate</w:t>
      </w:r>
      <w:r w:rsidR="00E054DB">
        <w:rPr>
          <w:lang w:val="en-GB"/>
        </w:rPr>
        <w:t>, meeting</w:t>
      </w:r>
      <w:r w:rsidRPr="00857060">
        <w:rPr>
          <w:lang w:val="en-GB"/>
        </w:rPr>
        <w:t xml:space="preserve"> the regulatory thresholds for disposal in stable, non-reactive landfills.</w:t>
      </w:r>
    </w:p>
    <w:p w14:paraId="3537B4C4" w14:textId="438CC411" w:rsidR="002B14A1" w:rsidRDefault="002034F7" w:rsidP="002B14A1">
      <w:pPr>
        <w:pStyle w:val="CETBodytext"/>
        <w:rPr>
          <w:lang w:val="en-GB"/>
        </w:rPr>
      </w:pPr>
      <w:r>
        <w:rPr>
          <w:lang w:val="en-GB"/>
        </w:rPr>
        <w:t>W</w:t>
      </w:r>
      <w:r w:rsidRPr="00735605">
        <w:rPr>
          <w:lang w:val="en-GB"/>
        </w:rPr>
        <w:t>ith 2</w:t>
      </w:r>
      <w:r w:rsidR="00BB4895">
        <w:rPr>
          <w:lang w:val="en-GB"/>
        </w:rPr>
        <w:t xml:space="preserve"> </w:t>
      </w:r>
      <w:r w:rsidRPr="00735605">
        <w:rPr>
          <w:lang w:val="en-GB"/>
        </w:rPr>
        <w:t>M NaOH</w:t>
      </w:r>
      <w:r>
        <w:rPr>
          <w:lang w:val="en-GB"/>
        </w:rPr>
        <w:t xml:space="preserve">, </w:t>
      </w:r>
      <w:r w:rsidRPr="00735605">
        <w:rPr>
          <w:lang w:val="en-GB"/>
        </w:rPr>
        <w:t>a reduction efficiency of Mo and Se of 5</w:t>
      </w:r>
      <w:r w:rsidR="003144F7">
        <w:rPr>
          <w:lang w:val="en-GB"/>
        </w:rPr>
        <w:t>8</w:t>
      </w:r>
      <w:r w:rsidRPr="00735605">
        <w:rPr>
          <w:lang w:val="en-GB"/>
        </w:rPr>
        <w:t>% and 4</w:t>
      </w:r>
      <w:r w:rsidR="003144F7">
        <w:rPr>
          <w:lang w:val="en-GB"/>
        </w:rPr>
        <w:t>0</w:t>
      </w:r>
      <w:r w:rsidRPr="00735605">
        <w:rPr>
          <w:lang w:val="en-GB"/>
        </w:rPr>
        <w:t>%</w:t>
      </w:r>
      <w:r>
        <w:rPr>
          <w:lang w:val="en-GB"/>
        </w:rPr>
        <w:t xml:space="preserve"> respectively, was achieved</w:t>
      </w:r>
      <w:r w:rsidRPr="00735605">
        <w:rPr>
          <w:lang w:val="en-GB"/>
        </w:rPr>
        <w:t xml:space="preserve">. </w:t>
      </w:r>
      <w:r w:rsidR="00A505C3" w:rsidRPr="00857060">
        <w:rPr>
          <w:lang w:val="en-GB"/>
        </w:rPr>
        <w:t>All treated samples complied with limits for TDS, fluorides, sulphates, and DOC. However, chloride levels exceeded regulatory limits in the 0.5 M NaOH treatment with three washing cycles</w:t>
      </w:r>
      <w:r w:rsidR="00BB4895">
        <w:rPr>
          <w:lang w:val="en-GB"/>
        </w:rPr>
        <w:t>.</w:t>
      </w:r>
      <w:r w:rsidR="002B14A1">
        <w:rPr>
          <w:lang w:val="en-GB"/>
        </w:rPr>
        <w:t xml:space="preserve"> </w:t>
      </w:r>
      <w:r w:rsidR="002B14A1" w:rsidRPr="00857060">
        <w:rPr>
          <w:lang w:val="en-GB"/>
        </w:rPr>
        <w:t>Mo concentrations met legal thresholds in all treated samples, while Se limits were only satisfied in treatments with 0.5 M and 1 M NaOH.</w:t>
      </w:r>
    </w:p>
    <w:p w14:paraId="79861CA0" w14:textId="168F2443" w:rsidR="00857060" w:rsidRDefault="00857060" w:rsidP="00857060">
      <w:pPr>
        <w:pStyle w:val="CETBodytext"/>
        <w:rPr>
          <w:lang w:val="en-GB"/>
        </w:rPr>
      </w:pPr>
      <w:r w:rsidRPr="00857060">
        <w:rPr>
          <w:lang w:val="en-GB"/>
        </w:rPr>
        <w:t xml:space="preserve">These findings suggest that a lower NaOH concentration (0.5–1 M) may be sufficient to meet environmental standards </w:t>
      </w:r>
      <w:r w:rsidR="009A774D">
        <w:rPr>
          <w:lang w:val="en-GB"/>
        </w:rPr>
        <w:t xml:space="preserve">for </w:t>
      </w:r>
      <w:r w:rsidR="009A774D" w:rsidRPr="00735605">
        <w:rPr>
          <w:lang w:val="en-GB"/>
        </w:rPr>
        <w:t xml:space="preserve">Mo </w:t>
      </w:r>
      <w:r w:rsidR="009A774D">
        <w:rPr>
          <w:lang w:val="en-GB"/>
        </w:rPr>
        <w:t>(though barely achieved)</w:t>
      </w:r>
      <w:r w:rsidR="009A774D" w:rsidRPr="00735605">
        <w:rPr>
          <w:lang w:val="en-GB"/>
        </w:rPr>
        <w:t xml:space="preserve"> and Se</w:t>
      </w:r>
      <w:r w:rsidR="005D7A18">
        <w:rPr>
          <w:lang w:val="en-GB"/>
        </w:rPr>
        <w:t xml:space="preserve"> </w:t>
      </w:r>
      <w:r w:rsidRPr="00857060">
        <w:rPr>
          <w:lang w:val="en-GB"/>
        </w:rPr>
        <w:t>while minimizing reagent use and operational costs. Additionally, the analysis of the extraction and washing liquids indicates that the</w:t>
      </w:r>
      <w:r w:rsidR="00D92B8F">
        <w:rPr>
          <w:lang w:val="en-GB"/>
        </w:rPr>
        <w:t xml:space="preserve"> IBA treatment</w:t>
      </w:r>
      <w:r w:rsidRPr="00857060">
        <w:rPr>
          <w:lang w:val="en-GB"/>
        </w:rPr>
        <w:t xml:space="preserve"> process does not significantly deteriorate the quality of the landfill leachate, which would require disposal regardless. While further economic analysis is warranted, this study demonstrates the potential of</w:t>
      </w:r>
      <w:r w:rsidR="00C77F09">
        <w:rPr>
          <w:lang w:val="en-GB"/>
        </w:rPr>
        <w:t xml:space="preserve"> a</w:t>
      </w:r>
      <w:r w:rsidRPr="00857060">
        <w:rPr>
          <w:lang w:val="en-GB"/>
        </w:rPr>
        <w:t xml:space="preserve"> resource-efficient and circular method for treating hazardous IBA for compliant </w:t>
      </w:r>
      <w:r w:rsidR="00C6542C" w:rsidRPr="00857060">
        <w:rPr>
          <w:lang w:val="en-GB"/>
        </w:rPr>
        <w:t>disposal</w:t>
      </w:r>
      <w:r w:rsidR="00C6542C">
        <w:rPr>
          <w:lang w:val="en-GB"/>
        </w:rPr>
        <w:t xml:space="preserve"> in </w:t>
      </w:r>
      <w:r w:rsidR="00AB679E" w:rsidRPr="00D162FB">
        <w:t>non-hazardous waste</w:t>
      </w:r>
      <w:r w:rsidR="00AB679E">
        <w:t xml:space="preserve"> </w:t>
      </w:r>
      <w:r w:rsidRPr="00857060">
        <w:rPr>
          <w:lang w:val="en-GB"/>
        </w:rPr>
        <w:t>landfill</w:t>
      </w:r>
      <w:r w:rsidR="00C6542C">
        <w:rPr>
          <w:lang w:val="en-GB"/>
        </w:rPr>
        <w:t>s</w:t>
      </w:r>
      <w:r w:rsidRPr="00857060">
        <w:rPr>
          <w:lang w:val="en-GB"/>
        </w:rPr>
        <w:t>.</w:t>
      </w:r>
    </w:p>
    <w:bookmarkEnd w:id="14"/>
    <w:p w14:paraId="459D05E6" w14:textId="77777777" w:rsidR="00600535" w:rsidRPr="00DA2767" w:rsidRDefault="00600535" w:rsidP="00600535">
      <w:pPr>
        <w:pStyle w:val="CETAcknowledgementstitle"/>
      </w:pPr>
      <w:r w:rsidRPr="00DA2767">
        <w:t>Acknowledgments</w:t>
      </w:r>
    </w:p>
    <w:p w14:paraId="33F8138F" w14:textId="4C602390" w:rsidR="00600535" w:rsidRPr="001811F7" w:rsidRDefault="00DA32F1" w:rsidP="001811F7">
      <w:pPr>
        <w:pStyle w:val="CETBodytext"/>
      </w:pPr>
      <w:r w:rsidRPr="001811F7">
        <w:t xml:space="preserve">The authors </w:t>
      </w:r>
      <w:r w:rsidR="007C0F1E">
        <w:t>are grateful to</w:t>
      </w:r>
      <w:r w:rsidRPr="001811F7">
        <w:t xml:space="preserve"> CISMA AMBIENTE S.p.A. for the </w:t>
      </w:r>
      <w:r w:rsidR="001811F7">
        <w:t xml:space="preserve">important </w:t>
      </w:r>
      <w:r w:rsidRPr="001811F7">
        <w:t xml:space="preserve">support given </w:t>
      </w:r>
      <w:r w:rsidR="00436472">
        <w:t>in</w:t>
      </w:r>
      <w:r w:rsidRPr="001811F7">
        <w:t xml:space="preserve"> the experiments and analytical methods.</w:t>
      </w:r>
    </w:p>
    <w:p w14:paraId="7FA0266C" w14:textId="16B0EA17" w:rsidR="00DC10B9" w:rsidRPr="007A4FE1" w:rsidRDefault="00600535" w:rsidP="00DC10B9">
      <w:pPr>
        <w:pStyle w:val="CETReference"/>
      </w:pPr>
      <w:r w:rsidRPr="007A4FE1">
        <w:t>References</w:t>
      </w:r>
    </w:p>
    <w:p w14:paraId="720C3A98" w14:textId="038B9076" w:rsidR="00E10330" w:rsidRPr="00E10330" w:rsidRDefault="0067238F" w:rsidP="00E10330">
      <w:pPr>
        <w:widowControl w:val="0"/>
        <w:autoSpaceDE w:val="0"/>
        <w:autoSpaceDN w:val="0"/>
        <w:adjustRightInd w:val="0"/>
        <w:spacing w:line="240" w:lineRule="auto"/>
        <w:ind w:left="480" w:hanging="480"/>
        <w:rPr>
          <w:rFonts w:cs="Arial"/>
          <w:noProof/>
        </w:rPr>
      </w:pPr>
      <w:r>
        <w:rPr>
          <w:highlight w:val="yellow"/>
        </w:rPr>
        <w:fldChar w:fldCharType="begin" w:fldLock="1"/>
      </w:r>
      <w:r w:rsidRPr="00DA2767">
        <w:rPr>
          <w:highlight w:val="yellow"/>
          <w:lang w:val="es-ES_tradnl"/>
        </w:rPr>
        <w:instrText xml:space="preserve">ADDIN Mendeley Bibliography CSL_BIBLIOGRAPHY </w:instrText>
      </w:r>
      <w:r>
        <w:rPr>
          <w:highlight w:val="yellow"/>
        </w:rPr>
        <w:fldChar w:fldCharType="separate"/>
      </w:r>
      <w:r w:rsidR="00E10330" w:rsidRPr="00DA2767">
        <w:rPr>
          <w:rFonts w:cs="Arial"/>
          <w:noProof/>
          <w:lang w:val="es-ES_tradnl"/>
        </w:rPr>
        <w:t>Baba A., Gurdal G., Sengunalp F., 2010</w:t>
      </w:r>
      <w:r w:rsidR="007B09A7">
        <w:rPr>
          <w:rFonts w:cs="Arial"/>
          <w:noProof/>
          <w:lang w:val="es-ES_tradnl"/>
        </w:rPr>
        <w:t>,</w:t>
      </w:r>
      <w:r w:rsidR="00E10330" w:rsidRPr="00DA2767">
        <w:rPr>
          <w:rFonts w:cs="Arial"/>
          <w:noProof/>
          <w:lang w:val="es-ES_tradnl"/>
        </w:rPr>
        <w:t xml:space="preserve"> </w:t>
      </w:r>
      <w:r w:rsidR="00E10330" w:rsidRPr="00E10330">
        <w:rPr>
          <w:rFonts w:cs="Arial"/>
          <w:noProof/>
        </w:rPr>
        <w:t>Leaching characteristics of fly ash from fluidized bed combustion thermal power plant: Case study: Çan (Çanakkale-Turkey)</w:t>
      </w:r>
      <w:r w:rsidR="007B09A7">
        <w:rPr>
          <w:rFonts w:cs="Arial"/>
          <w:noProof/>
        </w:rPr>
        <w:t>,</w:t>
      </w:r>
      <w:r w:rsidR="00E10330" w:rsidRPr="00E10330">
        <w:rPr>
          <w:rFonts w:cs="Arial"/>
          <w:noProof/>
        </w:rPr>
        <w:t xml:space="preserve"> Fuel Process</w:t>
      </w:r>
      <w:r w:rsidR="001734E9">
        <w:rPr>
          <w:rFonts w:cs="Arial"/>
          <w:noProof/>
        </w:rPr>
        <w:t>ing</w:t>
      </w:r>
      <w:r w:rsidR="00E10330" w:rsidRPr="00E10330">
        <w:rPr>
          <w:rFonts w:cs="Arial"/>
          <w:noProof/>
        </w:rPr>
        <w:t xml:space="preserve"> Technol</w:t>
      </w:r>
      <w:r w:rsidR="001734E9">
        <w:rPr>
          <w:rFonts w:cs="Arial"/>
          <w:noProof/>
        </w:rPr>
        <w:t>ogy,</w:t>
      </w:r>
      <w:r w:rsidR="00E10330" w:rsidRPr="00E10330">
        <w:rPr>
          <w:rFonts w:cs="Arial"/>
          <w:noProof/>
        </w:rPr>
        <w:t xml:space="preserve"> 91, 1073–1080. </w:t>
      </w:r>
    </w:p>
    <w:p w14:paraId="1DF262EB" w14:textId="54F44B3C" w:rsidR="00E10330" w:rsidRPr="00E10330" w:rsidRDefault="00E10330" w:rsidP="00C6324F">
      <w:pPr>
        <w:widowControl w:val="0"/>
        <w:autoSpaceDE w:val="0"/>
        <w:autoSpaceDN w:val="0"/>
        <w:adjustRightInd w:val="0"/>
        <w:spacing w:line="240" w:lineRule="auto"/>
        <w:ind w:left="480" w:hanging="480"/>
        <w:rPr>
          <w:rFonts w:cs="Arial"/>
          <w:noProof/>
        </w:rPr>
      </w:pPr>
      <w:r w:rsidRPr="00E10330">
        <w:rPr>
          <w:rFonts w:cs="Arial"/>
          <w:noProof/>
        </w:rPr>
        <w:t>Begum Z.A., Rahman I.M.M., Tate Y., Sawai H., Maki T., Hasegawa H., 2012</w:t>
      </w:r>
      <w:r w:rsidR="00260367">
        <w:rPr>
          <w:rFonts w:cs="Arial"/>
          <w:noProof/>
        </w:rPr>
        <w:t>,</w:t>
      </w:r>
      <w:r w:rsidRPr="00E10330">
        <w:rPr>
          <w:rFonts w:cs="Arial"/>
          <w:noProof/>
        </w:rPr>
        <w:t xml:space="preserve"> Remediation of toxic metal contaminated soil by washing with biodegradable aminopolycarboxylate chelants</w:t>
      </w:r>
      <w:r w:rsidR="00260367">
        <w:rPr>
          <w:rFonts w:cs="Arial"/>
          <w:noProof/>
        </w:rPr>
        <w:t>,</w:t>
      </w:r>
      <w:r w:rsidRPr="00E10330">
        <w:rPr>
          <w:rFonts w:cs="Arial"/>
          <w:noProof/>
        </w:rPr>
        <w:t xml:space="preserve"> Chemosphere</w:t>
      </w:r>
      <w:r w:rsidR="00260367">
        <w:rPr>
          <w:rFonts w:cs="Arial"/>
          <w:noProof/>
        </w:rPr>
        <w:t>,</w:t>
      </w:r>
      <w:r w:rsidRPr="00E10330">
        <w:rPr>
          <w:rFonts w:cs="Arial"/>
          <w:noProof/>
        </w:rPr>
        <w:t xml:space="preserve"> 87, 1161–1170.</w:t>
      </w:r>
    </w:p>
    <w:p w14:paraId="76C98179" w14:textId="054D2F91" w:rsidR="00E10330" w:rsidRPr="00E10330" w:rsidRDefault="00E10330" w:rsidP="00E10330">
      <w:pPr>
        <w:widowControl w:val="0"/>
        <w:autoSpaceDE w:val="0"/>
        <w:autoSpaceDN w:val="0"/>
        <w:adjustRightInd w:val="0"/>
        <w:spacing w:line="240" w:lineRule="auto"/>
        <w:ind w:left="480" w:hanging="480"/>
        <w:rPr>
          <w:rFonts w:cs="Arial"/>
          <w:noProof/>
        </w:rPr>
      </w:pPr>
      <w:r w:rsidRPr="00E10330">
        <w:rPr>
          <w:rFonts w:cs="Arial"/>
          <w:noProof/>
        </w:rPr>
        <w:t>Hennebert P., van der Sloot H.A., Rebischung F., Weltens R., Geerts L., Hjelmar O., 2014</w:t>
      </w:r>
      <w:r w:rsidR="00260367">
        <w:rPr>
          <w:rFonts w:cs="Arial"/>
          <w:noProof/>
        </w:rPr>
        <w:t>,</w:t>
      </w:r>
      <w:r w:rsidRPr="00E10330">
        <w:rPr>
          <w:rFonts w:cs="Arial"/>
          <w:noProof/>
        </w:rPr>
        <w:t xml:space="preserve"> Hazard property classification of waste according to the recent propositions of the EC using different methods Waste Manag</w:t>
      </w:r>
      <w:r w:rsidR="00AF1C9B">
        <w:rPr>
          <w:rFonts w:cs="Arial"/>
          <w:noProof/>
        </w:rPr>
        <w:t>ement,</w:t>
      </w:r>
      <w:r w:rsidRPr="00E10330">
        <w:rPr>
          <w:rFonts w:cs="Arial"/>
          <w:noProof/>
        </w:rPr>
        <w:t xml:space="preserve"> 34, 1739–1751. </w:t>
      </w:r>
    </w:p>
    <w:p w14:paraId="2B78F053" w14:textId="2386A861" w:rsidR="00E10330" w:rsidRPr="00E10330" w:rsidRDefault="00E10330" w:rsidP="00E10330">
      <w:pPr>
        <w:widowControl w:val="0"/>
        <w:autoSpaceDE w:val="0"/>
        <w:autoSpaceDN w:val="0"/>
        <w:adjustRightInd w:val="0"/>
        <w:spacing w:line="240" w:lineRule="auto"/>
        <w:ind w:left="480" w:hanging="480"/>
        <w:rPr>
          <w:rFonts w:cs="Arial"/>
          <w:noProof/>
        </w:rPr>
      </w:pPr>
      <w:r w:rsidRPr="00E10330">
        <w:rPr>
          <w:rFonts w:cs="Arial"/>
          <w:noProof/>
        </w:rPr>
        <w:t>Huang S., Liu J., Zhang C., Hu B., Wang Xiaodi, Wang M., Wang Xuewen, 2019</w:t>
      </w:r>
      <w:r w:rsidR="00AF1C9B">
        <w:rPr>
          <w:rFonts w:cs="Arial"/>
          <w:noProof/>
        </w:rPr>
        <w:t>,</w:t>
      </w:r>
      <w:r w:rsidRPr="00E10330">
        <w:rPr>
          <w:rFonts w:cs="Arial"/>
          <w:noProof/>
        </w:rPr>
        <w:t xml:space="preserve"> Extraction of Molybdenum from Spent HDS Catalyst by Two-Stage Roasting Followed by Water Leaching</w:t>
      </w:r>
      <w:r w:rsidR="00AF1C9B">
        <w:rPr>
          <w:rFonts w:cs="Arial"/>
          <w:noProof/>
        </w:rPr>
        <w:t>,</w:t>
      </w:r>
      <w:r w:rsidRPr="00E10330">
        <w:rPr>
          <w:rFonts w:cs="Arial"/>
          <w:noProof/>
        </w:rPr>
        <w:t xml:space="preserve"> </w:t>
      </w:r>
      <w:r w:rsidR="004E2E12">
        <w:t>The Journal of The Minerals, Metals &amp; Materials Society (TMS)</w:t>
      </w:r>
      <w:r w:rsidR="007D26B2">
        <w:t xml:space="preserve">, </w:t>
      </w:r>
      <w:r w:rsidRPr="00E10330">
        <w:rPr>
          <w:rFonts w:cs="Arial"/>
          <w:noProof/>
        </w:rPr>
        <w:t xml:space="preserve">71, 4681–4686. </w:t>
      </w:r>
    </w:p>
    <w:p w14:paraId="59A8733F" w14:textId="66B5F107" w:rsidR="00E10330" w:rsidRPr="00E10330" w:rsidRDefault="00E10330" w:rsidP="00E10330">
      <w:pPr>
        <w:widowControl w:val="0"/>
        <w:autoSpaceDE w:val="0"/>
        <w:autoSpaceDN w:val="0"/>
        <w:adjustRightInd w:val="0"/>
        <w:spacing w:line="240" w:lineRule="auto"/>
        <w:ind w:left="480" w:hanging="480"/>
        <w:rPr>
          <w:rFonts w:cs="Arial"/>
          <w:noProof/>
        </w:rPr>
      </w:pPr>
      <w:r w:rsidRPr="00E10330">
        <w:rPr>
          <w:rFonts w:cs="Arial"/>
          <w:noProof/>
        </w:rPr>
        <w:t>Izquierdo M., Querol X., 2012</w:t>
      </w:r>
      <w:r w:rsidR="007D26B2">
        <w:rPr>
          <w:rFonts w:cs="Arial"/>
          <w:noProof/>
        </w:rPr>
        <w:t>,</w:t>
      </w:r>
      <w:r w:rsidRPr="00E10330">
        <w:rPr>
          <w:rFonts w:cs="Arial"/>
          <w:noProof/>
        </w:rPr>
        <w:t xml:space="preserve"> Leaching behaviour of elements from coal combustion fly ash: An overview</w:t>
      </w:r>
      <w:r w:rsidR="007D26B2">
        <w:rPr>
          <w:rFonts w:cs="Arial"/>
          <w:noProof/>
        </w:rPr>
        <w:t>,</w:t>
      </w:r>
      <w:r w:rsidRPr="00E10330">
        <w:rPr>
          <w:rFonts w:cs="Arial"/>
          <w:noProof/>
        </w:rPr>
        <w:t xml:space="preserve"> Int</w:t>
      </w:r>
      <w:r w:rsidR="003909D3">
        <w:rPr>
          <w:rFonts w:cs="Arial"/>
          <w:noProof/>
        </w:rPr>
        <w:t>ernational</w:t>
      </w:r>
      <w:r w:rsidRPr="00E10330">
        <w:rPr>
          <w:rFonts w:cs="Arial"/>
          <w:noProof/>
        </w:rPr>
        <w:t xml:space="preserve"> J</w:t>
      </w:r>
      <w:r w:rsidR="003909D3">
        <w:rPr>
          <w:rFonts w:cs="Arial"/>
          <w:noProof/>
        </w:rPr>
        <w:t>ournal of</w:t>
      </w:r>
      <w:r w:rsidRPr="00E10330">
        <w:rPr>
          <w:rFonts w:cs="Arial"/>
          <w:noProof/>
        </w:rPr>
        <w:t xml:space="preserve"> Coal Geol</w:t>
      </w:r>
      <w:r w:rsidR="003909D3">
        <w:rPr>
          <w:rFonts w:cs="Arial"/>
          <w:noProof/>
        </w:rPr>
        <w:t>ogy,</w:t>
      </w:r>
      <w:r w:rsidRPr="00E10330">
        <w:rPr>
          <w:rFonts w:cs="Arial"/>
          <w:noProof/>
        </w:rPr>
        <w:t xml:space="preserve"> 94, 54–66. </w:t>
      </w:r>
    </w:p>
    <w:p w14:paraId="2E5A2296" w14:textId="6B1EF2CC" w:rsidR="00E10330" w:rsidRPr="00E10330" w:rsidRDefault="00E10330" w:rsidP="00E10330">
      <w:pPr>
        <w:widowControl w:val="0"/>
        <w:autoSpaceDE w:val="0"/>
        <w:autoSpaceDN w:val="0"/>
        <w:adjustRightInd w:val="0"/>
        <w:spacing w:line="240" w:lineRule="auto"/>
        <w:ind w:left="480" w:hanging="480"/>
        <w:rPr>
          <w:rFonts w:cs="Arial"/>
          <w:noProof/>
        </w:rPr>
      </w:pPr>
      <w:r w:rsidRPr="00E10330">
        <w:rPr>
          <w:rFonts w:cs="Arial"/>
          <w:noProof/>
        </w:rPr>
        <w:t>Ko I., Chang Y.Y., Lee C.H., Kim K.W., 2005</w:t>
      </w:r>
      <w:r w:rsidR="002E2EE3">
        <w:rPr>
          <w:rFonts w:cs="Arial"/>
          <w:noProof/>
        </w:rPr>
        <w:t>,</w:t>
      </w:r>
      <w:r w:rsidRPr="00E10330">
        <w:rPr>
          <w:rFonts w:cs="Arial"/>
          <w:noProof/>
        </w:rPr>
        <w:t xml:space="preserve"> Assessment of pilot-scale acid washing of soil contaminated with As, Zn and Ni using the BCR three-step sequential extraction</w:t>
      </w:r>
      <w:r w:rsidR="002E2EE3">
        <w:rPr>
          <w:rFonts w:cs="Arial"/>
          <w:noProof/>
        </w:rPr>
        <w:t>,</w:t>
      </w:r>
      <w:r w:rsidRPr="00E10330">
        <w:rPr>
          <w:rFonts w:cs="Arial"/>
          <w:noProof/>
        </w:rPr>
        <w:t xml:space="preserve"> J</w:t>
      </w:r>
      <w:r w:rsidR="002E2EE3">
        <w:rPr>
          <w:rFonts w:cs="Arial"/>
          <w:noProof/>
        </w:rPr>
        <w:t>ournal of</w:t>
      </w:r>
      <w:r w:rsidRPr="00E10330">
        <w:rPr>
          <w:rFonts w:cs="Arial"/>
          <w:noProof/>
        </w:rPr>
        <w:t xml:space="preserve"> Hazard</w:t>
      </w:r>
      <w:r w:rsidR="002E2EE3">
        <w:rPr>
          <w:rFonts w:cs="Arial"/>
          <w:noProof/>
        </w:rPr>
        <w:t>ous</w:t>
      </w:r>
      <w:r w:rsidRPr="00E10330">
        <w:rPr>
          <w:rFonts w:cs="Arial"/>
          <w:noProof/>
        </w:rPr>
        <w:t xml:space="preserve"> Mater</w:t>
      </w:r>
      <w:r w:rsidR="002E2EE3">
        <w:rPr>
          <w:rFonts w:cs="Arial"/>
          <w:noProof/>
        </w:rPr>
        <w:t>ials,</w:t>
      </w:r>
      <w:r w:rsidRPr="00E10330">
        <w:rPr>
          <w:rFonts w:cs="Arial"/>
          <w:noProof/>
        </w:rPr>
        <w:t xml:space="preserve"> 127, 1–13. </w:t>
      </w:r>
    </w:p>
    <w:p w14:paraId="52EDA125" w14:textId="377A4398" w:rsidR="00E10330" w:rsidRPr="00E10330" w:rsidRDefault="00E10330" w:rsidP="00E10330">
      <w:pPr>
        <w:widowControl w:val="0"/>
        <w:autoSpaceDE w:val="0"/>
        <w:autoSpaceDN w:val="0"/>
        <w:adjustRightInd w:val="0"/>
        <w:spacing w:line="240" w:lineRule="auto"/>
        <w:ind w:left="480" w:hanging="480"/>
        <w:rPr>
          <w:rFonts w:cs="Arial"/>
          <w:noProof/>
        </w:rPr>
      </w:pPr>
      <w:r w:rsidRPr="00E10330">
        <w:rPr>
          <w:rFonts w:cs="Arial"/>
          <w:noProof/>
        </w:rPr>
        <w:t>Li Z., Chen M., Zhang Q., Liu X., Saito F., 2017</w:t>
      </w:r>
      <w:r w:rsidR="002E2EE3">
        <w:rPr>
          <w:rFonts w:cs="Arial"/>
          <w:noProof/>
        </w:rPr>
        <w:t>,</w:t>
      </w:r>
      <w:r w:rsidRPr="00E10330">
        <w:rPr>
          <w:rFonts w:cs="Arial"/>
          <w:noProof/>
        </w:rPr>
        <w:t xml:space="preserve"> Mechanochemical processing of molybdenum and vanadium sulfides for metal recovery from spent catalysts wastes</w:t>
      </w:r>
      <w:r w:rsidR="00C46295">
        <w:rPr>
          <w:rFonts w:cs="Arial"/>
          <w:noProof/>
        </w:rPr>
        <w:t>,</w:t>
      </w:r>
      <w:r w:rsidRPr="00E10330">
        <w:rPr>
          <w:rFonts w:cs="Arial"/>
          <w:noProof/>
        </w:rPr>
        <w:t xml:space="preserve"> Waste Manag</w:t>
      </w:r>
      <w:r w:rsidR="00C46295">
        <w:rPr>
          <w:rFonts w:cs="Arial"/>
          <w:noProof/>
        </w:rPr>
        <w:t>ement,</w:t>
      </w:r>
      <w:r w:rsidRPr="00E10330">
        <w:rPr>
          <w:rFonts w:cs="Arial"/>
          <w:noProof/>
        </w:rPr>
        <w:t xml:space="preserve"> 60, 734–738. </w:t>
      </w:r>
    </w:p>
    <w:p w14:paraId="014BDB51" w14:textId="24526B68" w:rsidR="00E10330" w:rsidRPr="00E10330" w:rsidRDefault="00E10330" w:rsidP="00E10330">
      <w:pPr>
        <w:widowControl w:val="0"/>
        <w:autoSpaceDE w:val="0"/>
        <w:autoSpaceDN w:val="0"/>
        <w:adjustRightInd w:val="0"/>
        <w:spacing w:line="240" w:lineRule="auto"/>
        <w:ind w:left="480" w:hanging="480"/>
        <w:rPr>
          <w:rFonts w:cs="Arial"/>
          <w:noProof/>
        </w:rPr>
      </w:pPr>
      <w:r w:rsidRPr="00E10330">
        <w:rPr>
          <w:rFonts w:cs="Arial"/>
          <w:noProof/>
        </w:rPr>
        <w:t>Lim T.T., Chui P.C., Goh K.H., 2005</w:t>
      </w:r>
      <w:r w:rsidR="00C46295">
        <w:rPr>
          <w:rFonts w:cs="Arial"/>
          <w:noProof/>
        </w:rPr>
        <w:t>,</w:t>
      </w:r>
      <w:r w:rsidRPr="00E10330">
        <w:rPr>
          <w:rFonts w:cs="Arial"/>
          <w:noProof/>
        </w:rPr>
        <w:t xml:space="preserve"> Process evaluation for optimization of EDTA use and recovery for heavy metal removal from a contaminated soil</w:t>
      </w:r>
      <w:r w:rsidR="00C46295">
        <w:rPr>
          <w:rFonts w:cs="Arial"/>
          <w:noProof/>
        </w:rPr>
        <w:t>,</w:t>
      </w:r>
      <w:r w:rsidRPr="00E10330">
        <w:rPr>
          <w:rFonts w:cs="Arial"/>
          <w:noProof/>
        </w:rPr>
        <w:t xml:space="preserve"> Chemosphere</w:t>
      </w:r>
      <w:r w:rsidR="00C46295">
        <w:rPr>
          <w:rFonts w:cs="Arial"/>
          <w:noProof/>
        </w:rPr>
        <w:t>,</w:t>
      </w:r>
      <w:r w:rsidRPr="00E10330">
        <w:rPr>
          <w:rFonts w:cs="Arial"/>
          <w:noProof/>
        </w:rPr>
        <w:t xml:space="preserve"> 58, 1031–1040. </w:t>
      </w:r>
    </w:p>
    <w:p w14:paraId="562961DB" w14:textId="0FB9BD20" w:rsidR="00E10330" w:rsidRPr="000B7C77" w:rsidRDefault="00E10330" w:rsidP="00E10330">
      <w:pPr>
        <w:widowControl w:val="0"/>
        <w:autoSpaceDE w:val="0"/>
        <w:autoSpaceDN w:val="0"/>
        <w:adjustRightInd w:val="0"/>
        <w:spacing w:line="240" w:lineRule="auto"/>
        <w:ind w:left="480" w:hanging="480"/>
        <w:rPr>
          <w:rFonts w:cs="Arial"/>
          <w:noProof/>
        </w:rPr>
      </w:pPr>
      <w:r w:rsidRPr="00C46295">
        <w:rPr>
          <w:rFonts w:cs="Arial"/>
          <w:noProof/>
        </w:rPr>
        <w:t>Luciano A., Viotti P., Mancini G., 2012</w:t>
      </w:r>
      <w:r w:rsidR="00C46295" w:rsidRPr="00C46295">
        <w:rPr>
          <w:rFonts w:cs="Arial"/>
          <w:noProof/>
        </w:rPr>
        <w:t>,</w:t>
      </w:r>
      <w:r w:rsidRPr="00C46295">
        <w:rPr>
          <w:rFonts w:cs="Arial"/>
          <w:noProof/>
        </w:rPr>
        <w:t xml:space="preserve"> </w:t>
      </w:r>
      <w:r w:rsidRPr="00E10330">
        <w:rPr>
          <w:rFonts w:cs="Arial"/>
          <w:noProof/>
        </w:rPr>
        <w:t>A numerical model to study pulsing soil flushing: Validation and application to a real contaminated soil</w:t>
      </w:r>
      <w:r w:rsidR="000B7C77">
        <w:rPr>
          <w:rFonts w:cs="Arial"/>
          <w:noProof/>
        </w:rPr>
        <w:t>,</w:t>
      </w:r>
      <w:r w:rsidRPr="00E10330">
        <w:rPr>
          <w:rFonts w:cs="Arial"/>
          <w:noProof/>
        </w:rPr>
        <w:t xml:space="preserve"> </w:t>
      </w:r>
      <w:r w:rsidRPr="000B7C77">
        <w:rPr>
          <w:rFonts w:cs="Arial"/>
          <w:noProof/>
        </w:rPr>
        <w:t>Chem</w:t>
      </w:r>
      <w:r w:rsidR="000B7C77">
        <w:rPr>
          <w:rFonts w:cs="Arial"/>
          <w:noProof/>
        </w:rPr>
        <w:t>ical</w:t>
      </w:r>
      <w:r w:rsidRPr="000B7C77">
        <w:rPr>
          <w:rFonts w:cs="Arial"/>
          <w:noProof/>
        </w:rPr>
        <w:t xml:space="preserve"> Eng</w:t>
      </w:r>
      <w:r w:rsidR="000B7C77">
        <w:rPr>
          <w:rFonts w:cs="Arial"/>
          <w:noProof/>
        </w:rPr>
        <w:t>ineering</w:t>
      </w:r>
      <w:r w:rsidRPr="000B7C77">
        <w:rPr>
          <w:rFonts w:cs="Arial"/>
          <w:noProof/>
        </w:rPr>
        <w:t xml:space="preserve"> Trans</w:t>
      </w:r>
      <w:r w:rsidR="000B7C77">
        <w:rPr>
          <w:rFonts w:cs="Arial"/>
          <w:noProof/>
        </w:rPr>
        <w:t xml:space="preserve">actions, </w:t>
      </w:r>
      <w:r w:rsidR="00BA3CAD">
        <w:rPr>
          <w:rFonts w:cs="Arial"/>
          <w:noProof/>
        </w:rPr>
        <w:t>28, 151</w:t>
      </w:r>
      <w:r w:rsidR="00BA3CAD" w:rsidRPr="00E10330">
        <w:rPr>
          <w:rFonts w:cs="Arial"/>
          <w:noProof/>
        </w:rPr>
        <w:t>–</w:t>
      </w:r>
      <w:r w:rsidR="00BA3CAD">
        <w:rPr>
          <w:rFonts w:cs="Arial"/>
          <w:noProof/>
        </w:rPr>
        <w:t>156.</w:t>
      </w:r>
    </w:p>
    <w:p w14:paraId="0C9BE794" w14:textId="440C919D" w:rsidR="00E10330" w:rsidRPr="00E10330" w:rsidRDefault="00E10330" w:rsidP="00E10330">
      <w:pPr>
        <w:widowControl w:val="0"/>
        <w:autoSpaceDE w:val="0"/>
        <w:autoSpaceDN w:val="0"/>
        <w:adjustRightInd w:val="0"/>
        <w:spacing w:line="240" w:lineRule="auto"/>
        <w:ind w:left="480" w:hanging="480"/>
        <w:rPr>
          <w:rFonts w:cs="Arial"/>
          <w:noProof/>
        </w:rPr>
      </w:pPr>
      <w:r w:rsidRPr="00BA3CAD">
        <w:rPr>
          <w:rFonts w:cs="Arial"/>
          <w:noProof/>
        </w:rPr>
        <w:t>Luciano A., Viotti P., Torretta V., Mancini G., 2013</w:t>
      </w:r>
      <w:r w:rsidR="00BA3CAD" w:rsidRPr="00BA3CAD">
        <w:rPr>
          <w:rFonts w:cs="Arial"/>
          <w:noProof/>
        </w:rPr>
        <w:t>,</w:t>
      </w:r>
      <w:r w:rsidRPr="00BA3CAD">
        <w:rPr>
          <w:rFonts w:cs="Arial"/>
          <w:noProof/>
        </w:rPr>
        <w:t xml:space="preserve"> </w:t>
      </w:r>
      <w:r w:rsidRPr="00E10330">
        <w:rPr>
          <w:rFonts w:cs="Arial"/>
          <w:noProof/>
        </w:rPr>
        <w:t>Numerical approach to modelling pulse-mode soil flushing on a Pb-contaminated soil</w:t>
      </w:r>
      <w:r w:rsidR="00BA3CAD">
        <w:rPr>
          <w:rFonts w:cs="Arial"/>
          <w:noProof/>
        </w:rPr>
        <w:t>,</w:t>
      </w:r>
      <w:r w:rsidRPr="00E10330">
        <w:rPr>
          <w:rFonts w:cs="Arial"/>
          <w:noProof/>
        </w:rPr>
        <w:t xml:space="preserve"> J</w:t>
      </w:r>
      <w:r w:rsidR="000A160C">
        <w:rPr>
          <w:rFonts w:cs="Arial"/>
          <w:noProof/>
        </w:rPr>
        <w:t>ournal of</w:t>
      </w:r>
      <w:r w:rsidRPr="00E10330">
        <w:rPr>
          <w:rFonts w:cs="Arial"/>
          <w:noProof/>
        </w:rPr>
        <w:t xml:space="preserve"> Soils </w:t>
      </w:r>
      <w:r w:rsidR="000A160C">
        <w:rPr>
          <w:rFonts w:cs="Arial"/>
          <w:noProof/>
        </w:rPr>
        <w:t xml:space="preserve">and </w:t>
      </w:r>
      <w:r w:rsidRPr="00E10330">
        <w:rPr>
          <w:rFonts w:cs="Arial"/>
          <w:noProof/>
        </w:rPr>
        <w:t>Sediments</w:t>
      </w:r>
      <w:r w:rsidR="000A160C">
        <w:rPr>
          <w:rFonts w:cs="Arial"/>
          <w:noProof/>
        </w:rPr>
        <w:t>,</w:t>
      </w:r>
      <w:r w:rsidRPr="00E10330">
        <w:rPr>
          <w:rFonts w:cs="Arial"/>
          <w:noProof/>
        </w:rPr>
        <w:t xml:space="preserve"> 13, 43–55. </w:t>
      </w:r>
    </w:p>
    <w:p w14:paraId="540FCF9D" w14:textId="0F400213" w:rsidR="00E10330" w:rsidRPr="007C124D" w:rsidRDefault="00E10330" w:rsidP="00E10330">
      <w:pPr>
        <w:widowControl w:val="0"/>
        <w:autoSpaceDE w:val="0"/>
        <w:autoSpaceDN w:val="0"/>
        <w:adjustRightInd w:val="0"/>
        <w:spacing w:line="240" w:lineRule="auto"/>
        <w:ind w:left="480" w:hanging="480"/>
        <w:rPr>
          <w:rFonts w:cs="Arial"/>
          <w:noProof/>
        </w:rPr>
      </w:pPr>
      <w:r w:rsidRPr="00E10330">
        <w:rPr>
          <w:rFonts w:cs="Arial"/>
          <w:noProof/>
        </w:rPr>
        <w:t>Lv T., Xu X., Lv G., Xu C., Wang G., Zhang S., Yang Z., Cheng Z., Cai J., Li T., Pu Y., Gan W., Pu Z., Xiao G., 2023</w:t>
      </w:r>
      <w:r w:rsidR="000A160C">
        <w:rPr>
          <w:rFonts w:cs="Arial"/>
          <w:noProof/>
        </w:rPr>
        <w:t>,</w:t>
      </w:r>
      <w:r w:rsidRPr="00E10330">
        <w:rPr>
          <w:rFonts w:cs="Arial"/>
          <w:noProof/>
        </w:rPr>
        <w:t xml:space="preserve"> Green remediation of Ni, Zn, and Cu in an electroplating contaminated site by wood vinegar with optimization and risk assessment</w:t>
      </w:r>
      <w:r w:rsidR="007C124D">
        <w:rPr>
          <w:rFonts w:cs="Arial"/>
          <w:noProof/>
        </w:rPr>
        <w:t>,</w:t>
      </w:r>
      <w:r w:rsidRPr="00E10330">
        <w:rPr>
          <w:rFonts w:cs="Arial"/>
          <w:noProof/>
        </w:rPr>
        <w:t xml:space="preserve"> </w:t>
      </w:r>
      <w:r w:rsidRPr="007C124D">
        <w:rPr>
          <w:rFonts w:cs="Arial"/>
          <w:noProof/>
        </w:rPr>
        <w:t>Ecotoxicol</w:t>
      </w:r>
      <w:r w:rsidR="007C124D">
        <w:rPr>
          <w:rFonts w:cs="Arial"/>
          <w:noProof/>
        </w:rPr>
        <w:t>ogy and</w:t>
      </w:r>
      <w:r w:rsidRPr="007C124D">
        <w:rPr>
          <w:rFonts w:cs="Arial"/>
          <w:noProof/>
        </w:rPr>
        <w:t xml:space="preserve"> Environ</w:t>
      </w:r>
      <w:r w:rsidR="007C124D">
        <w:rPr>
          <w:rFonts w:cs="Arial"/>
          <w:noProof/>
        </w:rPr>
        <w:t>mental</w:t>
      </w:r>
      <w:r w:rsidRPr="007C124D">
        <w:rPr>
          <w:rFonts w:cs="Arial"/>
          <w:noProof/>
        </w:rPr>
        <w:t xml:space="preserve"> Saf</w:t>
      </w:r>
      <w:r w:rsidR="007C124D" w:rsidRPr="007C124D">
        <w:rPr>
          <w:rFonts w:cs="Arial"/>
          <w:noProof/>
        </w:rPr>
        <w:t>e</w:t>
      </w:r>
      <w:r w:rsidR="007C124D">
        <w:rPr>
          <w:rFonts w:cs="Arial"/>
          <w:noProof/>
        </w:rPr>
        <w:t>ty,</w:t>
      </w:r>
      <w:r w:rsidRPr="007C124D">
        <w:rPr>
          <w:rFonts w:cs="Arial"/>
          <w:noProof/>
        </w:rPr>
        <w:t xml:space="preserve"> 261, 115108. </w:t>
      </w:r>
    </w:p>
    <w:p w14:paraId="2590C216" w14:textId="3EFDDEAA" w:rsidR="00E10330" w:rsidRPr="000A6509" w:rsidRDefault="00E10330" w:rsidP="00E10330">
      <w:pPr>
        <w:widowControl w:val="0"/>
        <w:autoSpaceDE w:val="0"/>
        <w:autoSpaceDN w:val="0"/>
        <w:adjustRightInd w:val="0"/>
        <w:spacing w:line="240" w:lineRule="auto"/>
        <w:ind w:left="480" w:hanging="480"/>
        <w:rPr>
          <w:rFonts w:cs="Arial"/>
          <w:noProof/>
        </w:rPr>
      </w:pPr>
      <w:r w:rsidRPr="000A6509">
        <w:rPr>
          <w:rFonts w:cs="Arial"/>
          <w:noProof/>
        </w:rPr>
        <w:t>Mancini G., Palmeri F., Benina G., Cacciola S., Luciano A., Fino D., 2022</w:t>
      </w:r>
      <w:r w:rsidR="000A6509" w:rsidRPr="000A6509">
        <w:rPr>
          <w:rFonts w:cs="Arial"/>
          <w:noProof/>
        </w:rPr>
        <w:t>,</w:t>
      </w:r>
      <w:r w:rsidRPr="000A6509">
        <w:rPr>
          <w:rFonts w:cs="Arial"/>
          <w:noProof/>
        </w:rPr>
        <w:t xml:space="preserve"> </w:t>
      </w:r>
      <w:r w:rsidRPr="00E10330">
        <w:rPr>
          <w:rFonts w:cs="Arial"/>
          <w:noProof/>
        </w:rPr>
        <w:t>FCC spent catalyst as an alternative reagent in Mo-contaminated hazardous waste enhanced stabilization</w:t>
      </w:r>
      <w:r w:rsidR="000A6509">
        <w:rPr>
          <w:rFonts w:cs="Arial"/>
          <w:noProof/>
        </w:rPr>
        <w:t>,</w:t>
      </w:r>
      <w:r w:rsidRPr="00E10330">
        <w:rPr>
          <w:rFonts w:cs="Arial"/>
          <w:noProof/>
        </w:rPr>
        <w:t xml:space="preserve"> </w:t>
      </w:r>
      <w:r w:rsidRPr="000A6509">
        <w:rPr>
          <w:rFonts w:cs="Arial"/>
          <w:noProof/>
        </w:rPr>
        <w:t>Sustain</w:t>
      </w:r>
      <w:r w:rsidR="000A6509">
        <w:rPr>
          <w:rFonts w:cs="Arial"/>
          <w:noProof/>
        </w:rPr>
        <w:t>able</w:t>
      </w:r>
      <w:r w:rsidRPr="000A6509">
        <w:rPr>
          <w:rFonts w:cs="Arial"/>
          <w:noProof/>
        </w:rPr>
        <w:t xml:space="preserve"> Chem</w:t>
      </w:r>
      <w:r w:rsidR="000A6509">
        <w:rPr>
          <w:rFonts w:cs="Arial"/>
          <w:noProof/>
        </w:rPr>
        <w:t>istry and</w:t>
      </w:r>
      <w:r w:rsidRPr="000A6509">
        <w:rPr>
          <w:rFonts w:cs="Arial"/>
          <w:noProof/>
        </w:rPr>
        <w:t xml:space="preserve"> Pharm</w:t>
      </w:r>
      <w:r w:rsidR="000A6509" w:rsidRPr="000A6509">
        <w:rPr>
          <w:rFonts w:cs="Arial"/>
          <w:noProof/>
        </w:rPr>
        <w:t>a</w:t>
      </w:r>
      <w:r w:rsidR="000A6509">
        <w:rPr>
          <w:rFonts w:cs="Arial"/>
          <w:noProof/>
        </w:rPr>
        <w:t>cy,</w:t>
      </w:r>
      <w:r w:rsidRPr="000A6509">
        <w:rPr>
          <w:rFonts w:cs="Arial"/>
          <w:noProof/>
        </w:rPr>
        <w:t xml:space="preserve"> 28, 100733. </w:t>
      </w:r>
    </w:p>
    <w:p w14:paraId="3D729ABD" w14:textId="2D6E2627" w:rsidR="00E10330" w:rsidRPr="00E10330" w:rsidRDefault="00E10330" w:rsidP="00E10330">
      <w:pPr>
        <w:widowControl w:val="0"/>
        <w:autoSpaceDE w:val="0"/>
        <w:autoSpaceDN w:val="0"/>
        <w:adjustRightInd w:val="0"/>
        <w:spacing w:line="240" w:lineRule="auto"/>
        <w:ind w:left="480" w:hanging="480"/>
        <w:rPr>
          <w:rFonts w:cs="Arial"/>
          <w:noProof/>
        </w:rPr>
      </w:pPr>
      <w:r w:rsidRPr="000A6509">
        <w:rPr>
          <w:rFonts w:cs="Arial"/>
          <w:noProof/>
        </w:rPr>
        <w:t>Mancini G., Viotti P., Luciano A., Fino D., 2014</w:t>
      </w:r>
      <w:r w:rsidR="000A6509" w:rsidRPr="000A6509">
        <w:rPr>
          <w:rFonts w:cs="Arial"/>
          <w:noProof/>
        </w:rPr>
        <w:t>,</w:t>
      </w:r>
      <w:r w:rsidRPr="000A6509">
        <w:rPr>
          <w:rFonts w:cs="Arial"/>
          <w:noProof/>
        </w:rPr>
        <w:t xml:space="preserve"> </w:t>
      </w:r>
      <w:r w:rsidRPr="00E10330">
        <w:rPr>
          <w:rFonts w:cs="Arial"/>
          <w:noProof/>
        </w:rPr>
        <w:t>On the ASR and ASR thermal residues characterization of full scale treatment plant</w:t>
      </w:r>
      <w:r w:rsidR="000A6509">
        <w:rPr>
          <w:rFonts w:cs="Arial"/>
          <w:noProof/>
        </w:rPr>
        <w:t>,</w:t>
      </w:r>
      <w:r w:rsidRPr="00E10330">
        <w:rPr>
          <w:rFonts w:cs="Arial"/>
          <w:noProof/>
        </w:rPr>
        <w:t xml:space="preserve"> Waste Manag</w:t>
      </w:r>
      <w:r w:rsidR="000A6509">
        <w:rPr>
          <w:rFonts w:cs="Arial"/>
          <w:noProof/>
        </w:rPr>
        <w:t>ement,</w:t>
      </w:r>
      <w:r w:rsidRPr="00E10330">
        <w:rPr>
          <w:rFonts w:cs="Arial"/>
          <w:noProof/>
        </w:rPr>
        <w:t xml:space="preserve"> 34, 448–457. </w:t>
      </w:r>
    </w:p>
    <w:p w14:paraId="530B2B8C" w14:textId="7F24B5A2" w:rsidR="00E10330" w:rsidRPr="00E10330" w:rsidRDefault="00E10330" w:rsidP="001015F7">
      <w:pPr>
        <w:widowControl w:val="0"/>
        <w:autoSpaceDE w:val="0"/>
        <w:autoSpaceDN w:val="0"/>
        <w:adjustRightInd w:val="0"/>
        <w:spacing w:line="240" w:lineRule="auto"/>
        <w:ind w:left="480" w:hanging="480"/>
        <w:rPr>
          <w:rFonts w:cs="Arial"/>
          <w:noProof/>
        </w:rPr>
      </w:pPr>
      <w:r w:rsidRPr="00E10330">
        <w:rPr>
          <w:rFonts w:cs="Arial"/>
          <w:noProof/>
        </w:rPr>
        <w:t>Oreščanin V., Mikelić L., Sofilić T., Rastovčan-Mioč A., Užarević K., Medunić G., Elez L., Lulić S., 2007</w:t>
      </w:r>
      <w:r w:rsidR="003060FA">
        <w:rPr>
          <w:rFonts w:cs="Arial"/>
          <w:noProof/>
        </w:rPr>
        <w:t>,</w:t>
      </w:r>
      <w:r w:rsidRPr="00E10330">
        <w:rPr>
          <w:rFonts w:cs="Arial"/>
          <w:noProof/>
        </w:rPr>
        <w:t xml:space="preserve"> Leaching properties of electric arc furnace dust prior/following alkaline extraction</w:t>
      </w:r>
      <w:r w:rsidR="00E032ED">
        <w:rPr>
          <w:rFonts w:cs="Arial"/>
          <w:noProof/>
        </w:rPr>
        <w:t xml:space="preserve">, </w:t>
      </w:r>
      <w:r w:rsidR="001015F7" w:rsidRPr="001015F7">
        <w:rPr>
          <w:rFonts w:cs="Arial"/>
          <w:noProof/>
        </w:rPr>
        <w:t>Journal of Environmental Science and Health, Part A</w:t>
      </w:r>
      <w:r w:rsidR="00E032ED">
        <w:rPr>
          <w:rFonts w:cs="Arial"/>
          <w:noProof/>
        </w:rPr>
        <w:t xml:space="preserve"> </w:t>
      </w:r>
      <w:r w:rsidR="001015F7" w:rsidRPr="001015F7">
        <w:rPr>
          <w:rFonts w:cs="Arial"/>
          <w:noProof/>
        </w:rPr>
        <w:t>Toxic/Hazardous Substances and Environmental Engineering</w:t>
      </w:r>
      <w:r w:rsidR="00E032ED">
        <w:rPr>
          <w:rFonts w:cs="Arial"/>
          <w:noProof/>
        </w:rPr>
        <w:t xml:space="preserve">, </w:t>
      </w:r>
      <w:r w:rsidRPr="00E10330">
        <w:rPr>
          <w:rFonts w:cs="Arial"/>
          <w:noProof/>
        </w:rPr>
        <w:t>42, 323–329.</w:t>
      </w:r>
    </w:p>
    <w:p w14:paraId="6E92750B" w14:textId="0348090F" w:rsidR="00E10330" w:rsidRPr="00E10330" w:rsidRDefault="00E10330" w:rsidP="00E10330">
      <w:pPr>
        <w:widowControl w:val="0"/>
        <w:autoSpaceDE w:val="0"/>
        <w:autoSpaceDN w:val="0"/>
        <w:adjustRightInd w:val="0"/>
        <w:spacing w:line="240" w:lineRule="auto"/>
        <w:ind w:left="480" w:hanging="480"/>
        <w:rPr>
          <w:rFonts w:cs="Arial"/>
          <w:noProof/>
        </w:rPr>
      </w:pPr>
      <w:r w:rsidRPr="00E10330">
        <w:rPr>
          <w:rFonts w:cs="Arial"/>
          <w:noProof/>
        </w:rPr>
        <w:t>Park K.H., Mohapatra D., Nam C.W.</w:t>
      </w:r>
      <w:r w:rsidR="00F81208">
        <w:rPr>
          <w:rFonts w:cs="Arial"/>
          <w:noProof/>
        </w:rPr>
        <w:t>,</w:t>
      </w:r>
      <w:r w:rsidRPr="00E10330">
        <w:rPr>
          <w:rFonts w:cs="Arial"/>
          <w:noProof/>
        </w:rPr>
        <w:t xml:space="preserve"> 2007</w:t>
      </w:r>
      <w:r w:rsidR="00F81208">
        <w:rPr>
          <w:rFonts w:cs="Arial"/>
          <w:noProof/>
        </w:rPr>
        <w:t>,</w:t>
      </w:r>
      <w:r w:rsidRPr="00E10330">
        <w:rPr>
          <w:rFonts w:cs="Arial"/>
          <w:noProof/>
        </w:rPr>
        <w:t xml:space="preserve"> Two stage leaching of activated spent HDS catalyst and solvent extraction of aluminium using organo-phosphinic extractant, Cyanex 272</w:t>
      </w:r>
      <w:r w:rsidR="00F81208">
        <w:rPr>
          <w:rFonts w:cs="Arial"/>
          <w:noProof/>
        </w:rPr>
        <w:t>,</w:t>
      </w:r>
      <w:r w:rsidRPr="00E10330">
        <w:rPr>
          <w:rFonts w:cs="Arial"/>
          <w:noProof/>
        </w:rPr>
        <w:t xml:space="preserve"> J</w:t>
      </w:r>
      <w:r w:rsidR="00F81208">
        <w:rPr>
          <w:rFonts w:cs="Arial"/>
          <w:noProof/>
        </w:rPr>
        <w:t>ournal of</w:t>
      </w:r>
      <w:r w:rsidRPr="00E10330">
        <w:rPr>
          <w:rFonts w:cs="Arial"/>
          <w:noProof/>
        </w:rPr>
        <w:t xml:space="preserve"> Hazard</w:t>
      </w:r>
      <w:r w:rsidR="00330CAB">
        <w:rPr>
          <w:rFonts w:cs="Arial"/>
          <w:noProof/>
        </w:rPr>
        <w:t>ous</w:t>
      </w:r>
      <w:r w:rsidRPr="00E10330">
        <w:rPr>
          <w:rFonts w:cs="Arial"/>
          <w:noProof/>
        </w:rPr>
        <w:t xml:space="preserve"> Mater</w:t>
      </w:r>
      <w:r w:rsidR="00330CAB">
        <w:rPr>
          <w:rFonts w:cs="Arial"/>
          <w:noProof/>
        </w:rPr>
        <w:t>ials,</w:t>
      </w:r>
      <w:r w:rsidRPr="00E10330">
        <w:rPr>
          <w:rFonts w:cs="Arial"/>
          <w:noProof/>
        </w:rPr>
        <w:t xml:space="preserve"> 148, 287–295.</w:t>
      </w:r>
    </w:p>
    <w:p w14:paraId="03A12960" w14:textId="7E48C8BF" w:rsidR="00E10330" w:rsidRPr="00E10330" w:rsidRDefault="00E10330" w:rsidP="00E10330">
      <w:pPr>
        <w:widowControl w:val="0"/>
        <w:autoSpaceDE w:val="0"/>
        <w:autoSpaceDN w:val="0"/>
        <w:adjustRightInd w:val="0"/>
        <w:spacing w:line="240" w:lineRule="auto"/>
        <w:ind w:left="480" w:hanging="480"/>
        <w:rPr>
          <w:rFonts w:cs="Arial"/>
          <w:noProof/>
        </w:rPr>
      </w:pPr>
      <w:r w:rsidRPr="00E10330">
        <w:rPr>
          <w:rFonts w:cs="Arial"/>
          <w:noProof/>
        </w:rPr>
        <w:t>Park K.H., Reddy B.R., Mohapatra D., Nam C.W., 2006</w:t>
      </w:r>
      <w:r w:rsidR="00330CAB">
        <w:rPr>
          <w:rFonts w:cs="Arial"/>
          <w:noProof/>
        </w:rPr>
        <w:t>,</w:t>
      </w:r>
      <w:r w:rsidRPr="00E10330">
        <w:rPr>
          <w:rFonts w:cs="Arial"/>
          <w:noProof/>
        </w:rPr>
        <w:t xml:space="preserve"> Hydrometallurgical processing and recovery of molybdenum trioxide from spent catalyst</w:t>
      </w:r>
      <w:r w:rsidR="00806F07">
        <w:rPr>
          <w:rFonts w:cs="Arial"/>
          <w:noProof/>
        </w:rPr>
        <w:t>,</w:t>
      </w:r>
      <w:r w:rsidRPr="00E10330">
        <w:rPr>
          <w:rFonts w:cs="Arial"/>
          <w:noProof/>
        </w:rPr>
        <w:t xml:space="preserve"> Int</w:t>
      </w:r>
      <w:r w:rsidR="00806F07">
        <w:rPr>
          <w:rFonts w:cs="Arial"/>
          <w:noProof/>
        </w:rPr>
        <w:t>ernational</w:t>
      </w:r>
      <w:r w:rsidRPr="00E10330">
        <w:rPr>
          <w:rFonts w:cs="Arial"/>
          <w:noProof/>
        </w:rPr>
        <w:t xml:space="preserve"> J</w:t>
      </w:r>
      <w:r w:rsidR="00806F07">
        <w:rPr>
          <w:rFonts w:cs="Arial"/>
          <w:noProof/>
        </w:rPr>
        <w:t>ournal of</w:t>
      </w:r>
      <w:r w:rsidRPr="00E10330">
        <w:rPr>
          <w:rFonts w:cs="Arial"/>
          <w:noProof/>
        </w:rPr>
        <w:t xml:space="preserve"> Miner</w:t>
      </w:r>
      <w:r w:rsidR="00806F07">
        <w:rPr>
          <w:rFonts w:cs="Arial"/>
          <w:noProof/>
        </w:rPr>
        <w:t>al</w:t>
      </w:r>
      <w:r w:rsidRPr="00E10330">
        <w:rPr>
          <w:rFonts w:cs="Arial"/>
          <w:noProof/>
        </w:rPr>
        <w:t xml:space="preserve"> Process</w:t>
      </w:r>
      <w:r w:rsidR="00806F07">
        <w:rPr>
          <w:rFonts w:cs="Arial"/>
          <w:noProof/>
        </w:rPr>
        <w:t>ing,</w:t>
      </w:r>
      <w:r w:rsidRPr="00E10330">
        <w:rPr>
          <w:rFonts w:cs="Arial"/>
          <w:noProof/>
        </w:rPr>
        <w:t xml:space="preserve"> 80, 261–265.</w:t>
      </w:r>
    </w:p>
    <w:p w14:paraId="58BCFD73" w14:textId="76A92DFE" w:rsidR="00E10330" w:rsidRPr="00F44AEC" w:rsidRDefault="00E10330" w:rsidP="00E10330">
      <w:pPr>
        <w:widowControl w:val="0"/>
        <w:autoSpaceDE w:val="0"/>
        <w:autoSpaceDN w:val="0"/>
        <w:adjustRightInd w:val="0"/>
        <w:spacing w:line="240" w:lineRule="auto"/>
        <w:ind w:left="480" w:hanging="480"/>
        <w:rPr>
          <w:rFonts w:cs="Arial"/>
          <w:noProof/>
        </w:rPr>
      </w:pPr>
      <w:r w:rsidRPr="00E10330">
        <w:rPr>
          <w:rFonts w:cs="Arial"/>
          <w:noProof/>
        </w:rPr>
        <w:t>Phua Z., Giannis A., Dong Z.L., Lisak G., Ng W.J., 2019</w:t>
      </w:r>
      <w:r w:rsidR="00F44AEC">
        <w:rPr>
          <w:rFonts w:cs="Arial"/>
          <w:noProof/>
        </w:rPr>
        <w:t>,</w:t>
      </w:r>
      <w:r w:rsidRPr="00E10330">
        <w:rPr>
          <w:rFonts w:cs="Arial"/>
          <w:noProof/>
        </w:rPr>
        <w:t xml:space="preserve"> Characteristics of incineration ash for sustainable treatment and reutilization</w:t>
      </w:r>
      <w:r w:rsidR="00F44AEC">
        <w:rPr>
          <w:rFonts w:cs="Arial"/>
          <w:noProof/>
        </w:rPr>
        <w:t>,</w:t>
      </w:r>
      <w:r w:rsidRPr="00E10330">
        <w:rPr>
          <w:rFonts w:cs="Arial"/>
          <w:noProof/>
        </w:rPr>
        <w:t xml:space="preserve"> </w:t>
      </w:r>
      <w:r w:rsidRPr="00F44AEC">
        <w:rPr>
          <w:rFonts w:cs="Arial"/>
          <w:noProof/>
        </w:rPr>
        <w:t>Environ</w:t>
      </w:r>
      <w:r w:rsidR="00F44AEC">
        <w:rPr>
          <w:rFonts w:cs="Arial"/>
          <w:noProof/>
        </w:rPr>
        <w:t>mental</w:t>
      </w:r>
      <w:r w:rsidRPr="00F44AEC">
        <w:rPr>
          <w:rFonts w:cs="Arial"/>
          <w:noProof/>
        </w:rPr>
        <w:t xml:space="preserve"> Sci</w:t>
      </w:r>
      <w:r w:rsidR="00F44AEC">
        <w:rPr>
          <w:rFonts w:cs="Arial"/>
          <w:noProof/>
        </w:rPr>
        <w:t>ence and</w:t>
      </w:r>
      <w:r w:rsidRPr="00F44AEC">
        <w:rPr>
          <w:rFonts w:cs="Arial"/>
          <w:noProof/>
        </w:rPr>
        <w:t xml:space="preserve"> Pollut</w:t>
      </w:r>
      <w:r w:rsidR="00F44AEC" w:rsidRPr="00F44AEC">
        <w:rPr>
          <w:rFonts w:cs="Arial"/>
          <w:noProof/>
        </w:rPr>
        <w:t>io</w:t>
      </w:r>
      <w:r w:rsidR="00F44AEC">
        <w:rPr>
          <w:rFonts w:cs="Arial"/>
          <w:noProof/>
        </w:rPr>
        <w:t>n</w:t>
      </w:r>
      <w:r w:rsidRPr="00F44AEC">
        <w:rPr>
          <w:rFonts w:cs="Arial"/>
          <w:noProof/>
        </w:rPr>
        <w:t xml:space="preserve"> Res</w:t>
      </w:r>
      <w:r w:rsidR="00F44AEC" w:rsidRPr="00F44AEC">
        <w:rPr>
          <w:rFonts w:cs="Arial"/>
          <w:noProof/>
        </w:rPr>
        <w:t>e</w:t>
      </w:r>
      <w:r w:rsidR="00F44AEC">
        <w:rPr>
          <w:rFonts w:cs="Arial"/>
          <w:noProof/>
        </w:rPr>
        <w:t>arch,</w:t>
      </w:r>
      <w:r w:rsidRPr="00F44AEC">
        <w:rPr>
          <w:rFonts w:cs="Arial"/>
          <w:noProof/>
        </w:rPr>
        <w:t xml:space="preserve"> 26, 16974–16997.</w:t>
      </w:r>
    </w:p>
    <w:p w14:paraId="6553F9BE" w14:textId="3B23331A" w:rsidR="00E10330" w:rsidRPr="00F07FD2" w:rsidRDefault="00E10330" w:rsidP="00E10330">
      <w:pPr>
        <w:widowControl w:val="0"/>
        <w:autoSpaceDE w:val="0"/>
        <w:autoSpaceDN w:val="0"/>
        <w:adjustRightInd w:val="0"/>
        <w:spacing w:line="240" w:lineRule="auto"/>
        <w:ind w:left="480" w:hanging="480"/>
        <w:rPr>
          <w:rFonts w:cs="Arial"/>
          <w:noProof/>
        </w:rPr>
      </w:pPr>
      <w:r w:rsidRPr="00F44AEC">
        <w:rPr>
          <w:rFonts w:cs="Arial"/>
          <w:noProof/>
        </w:rPr>
        <w:t>Race M., Marotta R., Fabbricino M., Pirozzi F., Andreozzi R., Cortese L., Giudicianni P., 2016</w:t>
      </w:r>
      <w:r w:rsidR="00F44AEC" w:rsidRPr="00F44AEC">
        <w:rPr>
          <w:rFonts w:cs="Arial"/>
          <w:noProof/>
        </w:rPr>
        <w:t>,</w:t>
      </w:r>
      <w:r w:rsidRPr="00F44AEC">
        <w:rPr>
          <w:rFonts w:cs="Arial"/>
          <w:noProof/>
        </w:rPr>
        <w:t xml:space="preserve"> </w:t>
      </w:r>
      <w:r w:rsidRPr="00E10330">
        <w:rPr>
          <w:rFonts w:cs="Arial"/>
          <w:noProof/>
        </w:rPr>
        <w:t>Copper and zinc removal from contaminated soils through soil washing process using ethylenediaminedisuccinic acid as a chelating agent: A modeling investigation</w:t>
      </w:r>
      <w:r w:rsidR="00F07FD2">
        <w:rPr>
          <w:rFonts w:cs="Arial"/>
          <w:noProof/>
        </w:rPr>
        <w:t>,</w:t>
      </w:r>
      <w:r w:rsidRPr="00E10330">
        <w:rPr>
          <w:rFonts w:cs="Arial"/>
          <w:noProof/>
        </w:rPr>
        <w:t xml:space="preserve"> </w:t>
      </w:r>
      <w:r w:rsidRPr="00F07FD2">
        <w:rPr>
          <w:rFonts w:cs="Arial"/>
          <w:noProof/>
        </w:rPr>
        <w:t>J</w:t>
      </w:r>
      <w:r w:rsidR="00F07FD2">
        <w:rPr>
          <w:rFonts w:cs="Arial"/>
          <w:noProof/>
        </w:rPr>
        <w:t>ournal of</w:t>
      </w:r>
      <w:r w:rsidRPr="00F07FD2">
        <w:rPr>
          <w:rFonts w:cs="Arial"/>
          <w:noProof/>
        </w:rPr>
        <w:t xml:space="preserve"> Environ</w:t>
      </w:r>
      <w:r w:rsidR="00F07FD2">
        <w:rPr>
          <w:rFonts w:cs="Arial"/>
          <w:noProof/>
        </w:rPr>
        <w:t>mental</w:t>
      </w:r>
      <w:r w:rsidRPr="00F07FD2">
        <w:rPr>
          <w:rFonts w:cs="Arial"/>
          <w:noProof/>
        </w:rPr>
        <w:t xml:space="preserve"> Chem</w:t>
      </w:r>
      <w:r w:rsidR="00F07FD2" w:rsidRPr="00F07FD2">
        <w:rPr>
          <w:rFonts w:cs="Arial"/>
          <w:noProof/>
        </w:rPr>
        <w:t>i</w:t>
      </w:r>
      <w:r w:rsidR="00F07FD2">
        <w:rPr>
          <w:rFonts w:cs="Arial"/>
          <w:noProof/>
        </w:rPr>
        <w:t>cal</w:t>
      </w:r>
      <w:r w:rsidRPr="00F07FD2">
        <w:rPr>
          <w:rFonts w:cs="Arial"/>
          <w:noProof/>
        </w:rPr>
        <w:t xml:space="preserve"> Eng</w:t>
      </w:r>
      <w:r w:rsidR="00F07FD2" w:rsidRPr="00F07FD2">
        <w:rPr>
          <w:rFonts w:cs="Arial"/>
          <w:noProof/>
        </w:rPr>
        <w:t>i</w:t>
      </w:r>
      <w:r w:rsidR="00F07FD2">
        <w:rPr>
          <w:rFonts w:cs="Arial"/>
          <w:noProof/>
        </w:rPr>
        <w:t>neering,</w:t>
      </w:r>
      <w:r w:rsidRPr="00F07FD2">
        <w:rPr>
          <w:rFonts w:cs="Arial"/>
          <w:noProof/>
        </w:rPr>
        <w:t xml:space="preserve"> 4, 2878–2891.</w:t>
      </w:r>
    </w:p>
    <w:p w14:paraId="61A0ED7A" w14:textId="42FC50AF" w:rsidR="00E10330" w:rsidRPr="00E10330" w:rsidRDefault="00E10330" w:rsidP="00E10330">
      <w:pPr>
        <w:widowControl w:val="0"/>
        <w:autoSpaceDE w:val="0"/>
        <w:autoSpaceDN w:val="0"/>
        <w:adjustRightInd w:val="0"/>
        <w:spacing w:line="240" w:lineRule="auto"/>
        <w:ind w:left="480" w:hanging="480"/>
        <w:rPr>
          <w:rFonts w:cs="Arial"/>
          <w:noProof/>
        </w:rPr>
      </w:pPr>
      <w:r w:rsidRPr="004926D9">
        <w:rPr>
          <w:rFonts w:cs="Arial"/>
          <w:noProof/>
        </w:rPr>
        <w:t>Šyc M., Simon F.G., Hykš J., Braga R., Biganzoli L., Costa G., Funari V., Grosso M., 2020</w:t>
      </w:r>
      <w:r w:rsidR="004926D9" w:rsidRPr="004926D9">
        <w:rPr>
          <w:rFonts w:cs="Arial"/>
          <w:noProof/>
        </w:rPr>
        <w:t>,</w:t>
      </w:r>
      <w:r w:rsidRPr="004926D9">
        <w:rPr>
          <w:rFonts w:cs="Arial"/>
          <w:noProof/>
        </w:rPr>
        <w:t xml:space="preserve"> </w:t>
      </w:r>
      <w:r w:rsidRPr="00E10330">
        <w:rPr>
          <w:rFonts w:cs="Arial"/>
          <w:noProof/>
        </w:rPr>
        <w:t>Metal recovery from incineration bottom ash: State-of-the-art and recent developments</w:t>
      </w:r>
      <w:r w:rsidR="004926D9">
        <w:rPr>
          <w:rFonts w:cs="Arial"/>
          <w:noProof/>
        </w:rPr>
        <w:t>,</w:t>
      </w:r>
      <w:r w:rsidRPr="00E10330">
        <w:rPr>
          <w:rFonts w:cs="Arial"/>
          <w:noProof/>
        </w:rPr>
        <w:t xml:space="preserve"> </w:t>
      </w:r>
      <w:r w:rsidR="004926D9" w:rsidRPr="00E10330">
        <w:rPr>
          <w:rFonts w:cs="Arial"/>
          <w:noProof/>
        </w:rPr>
        <w:t>J</w:t>
      </w:r>
      <w:r w:rsidR="004926D9">
        <w:rPr>
          <w:rFonts w:cs="Arial"/>
          <w:noProof/>
        </w:rPr>
        <w:t>ournal of</w:t>
      </w:r>
      <w:r w:rsidR="004926D9" w:rsidRPr="00E10330">
        <w:rPr>
          <w:rFonts w:cs="Arial"/>
          <w:noProof/>
        </w:rPr>
        <w:t xml:space="preserve"> Hazard</w:t>
      </w:r>
      <w:r w:rsidR="004926D9">
        <w:rPr>
          <w:rFonts w:cs="Arial"/>
          <w:noProof/>
        </w:rPr>
        <w:t>ous</w:t>
      </w:r>
      <w:r w:rsidR="004926D9" w:rsidRPr="00E10330">
        <w:rPr>
          <w:rFonts w:cs="Arial"/>
          <w:noProof/>
        </w:rPr>
        <w:t xml:space="preserve"> Mater</w:t>
      </w:r>
      <w:r w:rsidR="004926D9">
        <w:rPr>
          <w:rFonts w:cs="Arial"/>
          <w:noProof/>
        </w:rPr>
        <w:t>ials</w:t>
      </w:r>
      <w:r w:rsidR="004926D9">
        <w:rPr>
          <w:rFonts w:cs="Arial"/>
          <w:noProof/>
        </w:rPr>
        <w:t>,</w:t>
      </w:r>
      <w:r w:rsidRPr="00E10330">
        <w:rPr>
          <w:rFonts w:cs="Arial"/>
          <w:noProof/>
        </w:rPr>
        <w:t xml:space="preserve"> 393, 122433.</w:t>
      </w:r>
    </w:p>
    <w:p w14:paraId="75C33A08" w14:textId="48245FDF" w:rsidR="00E10330" w:rsidRPr="004926D9" w:rsidRDefault="00E10330" w:rsidP="00E10330">
      <w:pPr>
        <w:widowControl w:val="0"/>
        <w:autoSpaceDE w:val="0"/>
        <w:autoSpaceDN w:val="0"/>
        <w:adjustRightInd w:val="0"/>
        <w:spacing w:line="240" w:lineRule="auto"/>
        <w:ind w:left="480" w:hanging="480"/>
        <w:rPr>
          <w:rFonts w:cs="Arial"/>
          <w:noProof/>
        </w:rPr>
      </w:pPr>
      <w:r w:rsidRPr="00E10330">
        <w:rPr>
          <w:rFonts w:cs="Arial"/>
          <w:noProof/>
        </w:rPr>
        <w:t>Šyc M., Výravský J., Muñiz Sierra H., Korotenko E., Kameníková P., 2024</w:t>
      </w:r>
      <w:r w:rsidR="004926D9">
        <w:rPr>
          <w:rFonts w:cs="Arial"/>
          <w:noProof/>
        </w:rPr>
        <w:t>,</w:t>
      </w:r>
      <w:r w:rsidRPr="00E10330">
        <w:rPr>
          <w:rFonts w:cs="Arial"/>
          <w:noProof/>
        </w:rPr>
        <w:t xml:space="preserve"> Resource recovery potential of incineration bottom ash fine fraction</w:t>
      </w:r>
      <w:r w:rsidR="004926D9">
        <w:rPr>
          <w:rFonts w:cs="Arial"/>
          <w:noProof/>
        </w:rPr>
        <w:t>,</w:t>
      </w:r>
      <w:r w:rsidRPr="00E10330">
        <w:rPr>
          <w:rFonts w:cs="Arial"/>
          <w:noProof/>
        </w:rPr>
        <w:t xml:space="preserve"> Waste Manag</w:t>
      </w:r>
      <w:r w:rsidR="004926D9">
        <w:rPr>
          <w:rFonts w:cs="Arial"/>
          <w:noProof/>
        </w:rPr>
        <w:t>ement,</w:t>
      </w:r>
      <w:r w:rsidRPr="00E10330">
        <w:rPr>
          <w:rFonts w:cs="Arial"/>
          <w:noProof/>
        </w:rPr>
        <w:t xml:space="preserve"> </w:t>
      </w:r>
      <w:r w:rsidRPr="004926D9">
        <w:rPr>
          <w:rFonts w:cs="Arial"/>
          <w:noProof/>
        </w:rPr>
        <w:t>190, 569–577.</w:t>
      </w:r>
    </w:p>
    <w:p w14:paraId="5D964781" w14:textId="314D4C6F" w:rsidR="00E10330" w:rsidRPr="00E10330" w:rsidRDefault="00E10330" w:rsidP="00E10330">
      <w:pPr>
        <w:widowControl w:val="0"/>
        <w:autoSpaceDE w:val="0"/>
        <w:autoSpaceDN w:val="0"/>
        <w:adjustRightInd w:val="0"/>
        <w:spacing w:line="240" w:lineRule="auto"/>
        <w:ind w:left="480" w:hanging="480"/>
        <w:rPr>
          <w:rFonts w:cs="Arial"/>
          <w:noProof/>
        </w:rPr>
      </w:pPr>
      <w:r w:rsidRPr="004926D9">
        <w:rPr>
          <w:rFonts w:cs="Arial"/>
          <w:noProof/>
        </w:rPr>
        <w:t>Tampouris S., Papassiopi N., Paspaliaris I., 2001</w:t>
      </w:r>
      <w:r w:rsidR="004926D9" w:rsidRPr="004926D9">
        <w:rPr>
          <w:rFonts w:cs="Arial"/>
          <w:noProof/>
        </w:rPr>
        <w:t>,</w:t>
      </w:r>
      <w:r w:rsidRPr="004926D9">
        <w:rPr>
          <w:rFonts w:cs="Arial"/>
          <w:noProof/>
        </w:rPr>
        <w:t xml:space="preserve"> </w:t>
      </w:r>
      <w:r w:rsidRPr="00E10330">
        <w:rPr>
          <w:rFonts w:cs="Arial"/>
          <w:noProof/>
        </w:rPr>
        <w:t>Removal of contaminant metals from fine grained soils, using agglomeration, chloride solutions and pile leaching techniques</w:t>
      </w:r>
      <w:r w:rsidR="002244D8">
        <w:rPr>
          <w:rFonts w:cs="Arial"/>
          <w:noProof/>
        </w:rPr>
        <w:t>,</w:t>
      </w:r>
      <w:r w:rsidRPr="00E10330">
        <w:rPr>
          <w:rFonts w:cs="Arial"/>
          <w:noProof/>
        </w:rPr>
        <w:t xml:space="preserve"> </w:t>
      </w:r>
      <w:r w:rsidR="002244D8" w:rsidRPr="00E10330">
        <w:rPr>
          <w:rFonts w:cs="Arial"/>
          <w:noProof/>
        </w:rPr>
        <w:t>J</w:t>
      </w:r>
      <w:r w:rsidR="002244D8">
        <w:rPr>
          <w:rFonts w:cs="Arial"/>
          <w:noProof/>
        </w:rPr>
        <w:t>ournal of</w:t>
      </w:r>
      <w:r w:rsidR="002244D8" w:rsidRPr="00E10330">
        <w:rPr>
          <w:rFonts w:cs="Arial"/>
          <w:noProof/>
        </w:rPr>
        <w:t xml:space="preserve"> Hazard</w:t>
      </w:r>
      <w:r w:rsidR="002244D8">
        <w:rPr>
          <w:rFonts w:cs="Arial"/>
          <w:noProof/>
        </w:rPr>
        <w:t>ous</w:t>
      </w:r>
      <w:r w:rsidR="002244D8" w:rsidRPr="00E10330">
        <w:rPr>
          <w:rFonts w:cs="Arial"/>
          <w:noProof/>
        </w:rPr>
        <w:t xml:space="preserve"> Mater</w:t>
      </w:r>
      <w:r w:rsidR="002244D8">
        <w:rPr>
          <w:rFonts w:cs="Arial"/>
          <w:noProof/>
        </w:rPr>
        <w:t>ials</w:t>
      </w:r>
      <w:r w:rsidR="002244D8">
        <w:rPr>
          <w:rFonts w:cs="Arial"/>
          <w:noProof/>
        </w:rPr>
        <w:t>,</w:t>
      </w:r>
      <w:r w:rsidRPr="00E10330">
        <w:rPr>
          <w:rFonts w:cs="Arial"/>
          <w:noProof/>
        </w:rPr>
        <w:t xml:space="preserve"> 84, 297–319.</w:t>
      </w:r>
    </w:p>
    <w:p w14:paraId="268A983B" w14:textId="00699CFF" w:rsidR="00E10330" w:rsidRPr="00E10330" w:rsidRDefault="00E10330" w:rsidP="00E10330">
      <w:pPr>
        <w:widowControl w:val="0"/>
        <w:autoSpaceDE w:val="0"/>
        <w:autoSpaceDN w:val="0"/>
        <w:adjustRightInd w:val="0"/>
        <w:spacing w:line="240" w:lineRule="auto"/>
        <w:ind w:left="480" w:hanging="480"/>
        <w:rPr>
          <w:rFonts w:cs="Arial"/>
          <w:noProof/>
        </w:rPr>
      </w:pPr>
      <w:r w:rsidRPr="00E10330">
        <w:rPr>
          <w:rFonts w:cs="Arial"/>
          <w:noProof/>
        </w:rPr>
        <w:t>Wang J., Wang S., Olayiwola A., Yang</w:t>
      </w:r>
      <w:r w:rsidR="002244D8">
        <w:rPr>
          <w:rFonts w:cs="Arial"/>
          <w:noProof/>
        </w:rPr>
        <w:t xml:space="preserve"> </w:t>
      </w:r>
      <w:r w:rsidRPr="00E10330">
        <w:rPr>
          <w:rFonts w:cs="Arial"/>
          <w:noProof/>
        </w:rPr>
        <w:t>N., Liu B., Weigand J.J., Wenzel M., Du H., 2021</w:t>
      </w:r>
      <w:r w:rsidR="002244D8">
        <w:rPr>
          <w:rFonts w:cs="Arial"/>
          <w:noProof/>
        </w:rPr>
        <w:t>,</w:t>
      </w:r>
      <w:r w:rsidRPr="00E10330">
        <w:rPr>
          <w:rFonts w:cs="Arial"/>
          <w:noProof/>
        </w:rPr>
        <w:t xml:space="preserve"> Recovering valuable metals from spent hydrodesulfurization catalyst via blank roasting and alkaline leaching. </w:t>
      </w:r>
      <w:r w:rsidR="002244D8" w:rsidRPr="00E10330">
        <w:rPr>
          <w:rFonts w:cs="Arial"/>
          <w:noProof/>
        </w:rPr>
        <w:t>J</w:t>
      </w:r>
      <w:r w:rsidR="002244D8">
        <w:rPr>
          <w:rFonts w:cs="Arial"/>
          <w:noProof/>
        </w:rPr>
        <w:t>ournal of</w:t>
      </w:r>
      <w:r w:rsidR="002244D8" w:rsidRPr="00E10330">
        <w:rPr>
          <w:rFonts w:cs="Arial"/>
          <w:noProof/>
        </w:rPr>
        <w:t xml:space="preserve"> Hazard</w:t>
      </w:r>
      <w:r w:rsidR="002244D8">
        <w:rPr>
          <w:rFonts w:cs="Arial"/>
          <w:noProof/>
        </w:rPr>
        <w:t>ous</w:t>
      </w:r>
      <w:r w:rsidR="002244D8" w:rsidRPr="00E10330">
        <w:rPr>
          <w:rFonts w:cs="Arial"/>
          <w:noProof/>
        </w:rPr>
        <w:t xml:space="preserve"> Mater</w:t>
      </w:r>
      <w:r w:rsidR="002244D8">
        <w:rPr>
          <w:rFonts w:cs="Arial"/>
          <w:noProof/>
        </w:rPr>
        <w:t>ials</w:t>
      </w:r>
      <w:r w:rsidR="002244D8">
        <w:rPr>
          <w:rFonts w:cs="Arial"/>
          <w:noProof/>
        </w:rPr>
        <w:t>,</w:t>
      </w:r>
      <w:r w:rsidRPr="00E10330">
        <w:rPr>
          <w:rFonts w:cs="Arial"/>
          <w:noProof/>
        </w:rPr>
        <w:t xml:space="preserve"> 416, 125849.</w:t>
      </w:r>
    </w:p>
    <w:p w14:paraId="2DFEE587" w14:textId="380597AE" w:rsidR="00E10330" w:rsidRPr="00E10330" w:rsidRDefault="00E10330" w:rsidP="00E10330">
      <w:pPr>
        <w:widowControl w:val="0"/>
        <w:autoSpaceDE w:val="0"/>
        <w:autoSpaceDN w:val="0"/>
        <w:adjustRightInd w:val="0"/>
        <w:spacing w:line="240" w:lineRule="auto"/>
        <w:ind w:left="480" w:hanging="480"/>
        <w:rPr>
          <w:rFonts w:cs="Arial"/>
          <w:noProof/>
        </w:rPr>
      </w:pPr>
      <w:r w:rsidRPr="00E10330">
        <w:rPr>
          <w:rFonts w:cs="Arial"/>
          <w:noProof/>
        </w:rPr>
        <w:t>Wang L., Chao L., Qu W., Xu S., Zhang L., Peng J., Ye X., 2018</w:t>
      </w:r>
      <w:r w:rsidR="004D4C41">
        <w:rPr>
          <w:rFonts w:cs="Arial"/>
          <w:noProof/>
        </w:rPr>
        <w:t>,</w:t>
      </w:r>
      <w:r w:rsidRPr="00E10330">
        <w:rPr>
          <w:rFonts w:cs="Arial"/>
          <w:noProof/>
        </w:rPr>
        <w:t xml:space="preserve"> Ultrasound-assisted oil removal of γ-Al2O3-based spent hydrodesulfurization catalyst and microwave roasting recovery of metal Mo</w:t>
      </w:r>
      <w:r w:rsidR="004D4C41">
        <w:rPr>
          <w:rFonts w:cs="Arial"/>
          <w:noProof/>
        </w:rPr>
        <w:t>,</w:t>
      </w:r>
      <w:r w:rsidRPr="00E10330">
        <w:rPr>
          <w:rFonts w:cs="Arial"/>
          <w:noProof/>
        </w:rPr>
        <w:t xml:space="preserve"> Ultrason</w:t>
      </w:r>
      <w:r w:rsidR="004D4C41">
        <w:rPr>
          <w:rFonts w:cs="Arial"/>
          <w:noProof/>
        </w:rPr>
        <w:t>ics</w:t>
      </w:r>
      <w:r w:rsidRPr="00E10330">
        <w:rPr>
          <w:rFonts w:cs="Arial"/>
          <w:noProof/>
        </w:rPr>
        <w:t xml:space="preserve"> Sonochem</w:t>
      </w:r>
      <w:r w:rsidR="004D4C41">
        <w:rPr>
          <w:rFonts w:cs="Arial"/>
          <w:noProof/>
        </w:rPr>
        <w:t>istry,</w:t>
      </w:r>
      <w:r w:rsidRPr="00E10330">
        <w:rPr>
          <w:rFonts w:cs="Arial"/>
          <w:noProof/>
        </w:rPr>
        <w:t xml:space="preserve"> 49, 24–32.</w:t>
      </w:r>
    </w:p>
    <w:p w14:paraId="26B83A92" w14:textId="5B4FF918" w:rsidR="00E10330" w:rsidRPr="004D4C41" w:rsidRDefault="00E10330" w:rsidP="00E10330">
      <w:pPr>
        <w:widowControl w:val="0"/>
        <w:autoSpaceDE w:val="0"/>
        <w:autoSpaceDN w:val="0"/>
        <w:adjustRightInd w:val="0"/>
        <w:spacing w:line="240" w:lineRule="auto"/>
        <w:ind w:left="480" w:hanging="480"/>
        <w:rPr>
          <w:rFonts w:cs="Arial"/>
          <w:noProof/>
        </w:rPr>
      </w:pPr>
      <w:r w:rsidRPr="00E10330">
        <w:rPr>
          <w:rFonts w:cs="Arial"/>
          <w:noProof/>
        </w:rPr>
        <w:t>Wang L., Wei J., Yang L., Chen Y., Wang M., Xia, L., Yuan G., 2023</w:t>
      </w:r>
      <w:r w:rsidR="004D4C41">
        <w:rPr>
          <w:rFonts w:cs="Arial"/>
          <w:noProof/>
        </w:rPr>
        <w:t>,</w:t>
      </w:r>
      <w:r w:rsidRPr="00E10330">
        <w:rPr>
          <w:rFonts w:cs="Arial"/>
          <w:noProof/>
        </w:rPr>
        <w:t xml:space="preserve"> Enhancing Soil Remediation of Copper-Contaminated Soil through Washing with a Soluble Humic Substance and Chemical Reductant</w:t>
      </w:r>
      <w:r w:rsidR="00C947A5">
        <w:rPr>
          <w:rFonts w:cs="Arial"/>
          <w:noProof/>
        </w:rPr>
        <w:t>,</w:t>
      </w:r>
      <w:r w:rsidRPr="00E10330">
        <w:rPr>
          <w:rFonts w:cs="Arial"/>
          <w:noProof/>
        </w:rPr>
        <w:t xml:space="preserve"> </w:t>
      </w:r>
      <w:r w:rsidRPr="004D4C41">
        <w:rPr>
          <w:rFonts w:cs="Arial"/>
          <w:noProof/>
        </w:rPr>
        <w:t>Agronomy</w:t>
      </w:r>
      <w:r w:rsidR="004D4C41">
        <w:rPr>
          <w:rFonts w:cs="Arial"/>
          <w:noProof/>
        </w:rPr>
        <w:t>,</w:t>
      </w:r>
      <w:r w:rsidRPr="004D4C41">
        <w:rPr>
          <w:rFonts w:cs="Arial"/>
          <w:noProof/>
        </w:rPr>
        <w:t xml:space="preserve"> 13</w:t>
      </w:r>
      <w:r w:rsidR="00C947A5">
        <w:rPr>
          <w:rFonts w:cs="Arial"/>
          <w:noProof/>
        </w:rPr>
        <w:t xml:space="preserve">, </w:t>
      </w:r>
      <w:r w:rsidR="00AB0272">
        <w:rPr>
          <w:rFonts w:cs="Arial"/>
          <w:noProof/>
        </w:rPr>
        <w:t>1754</w:t>
      </w:r>
      <w:r w:rsidRPr="004D4C41">
        <w:rPr>
          <w:rFonts w:cs="Arial"/>
          <w:noProof/>
        </w:rPr>
        <w:t>.</w:t>
      </w:r>
    </w:p>
    <w:p w14:paraId="04ABB44E" w14:textId="22A6CF96" w:rsidR="00E10330" w:rsidRPr="00E10330" w:rsidRDefault="00E10330" w:rsidP="00E10330">
      <w:pPr>
        <w:widowControl w:val="0"/>
        <w:autoSpaceDE w:val="0"/>
        <w:autoSpaceDN w:val="0"/>
        <w:adjustRightInd w:val="0"/>
        <w:spacing w:line="240" w:lineRule="auto"/>
        <w:ind w:left="480" w:hanging="480"/>
        <w:rPr>
          <w:rFonts w:cs="Arial"/>
          <w:noProof/>
        </w:rPr>
      </w:pPr>
      <w:r w:rsidRPr="00AB0272">
        <w:rPr>
          <w:rFonts w:cs="Arial"/>
          <w:noProof/>
        </w:rPr>
        <w:t>Xie B., Shi L., Hong C., Xie Y., Hai J., Lu J., 2023</w:t>
      </w:r>
      <w:r w:rsidR="00AB0272" w:rsidRPr="00AB0272">
        <w:rPr>
          <w:rFonts w:cs="Arial"/>
          <w:noProof/>
        </w:rPr>
        <w:t>,</w:t>
      </w:r>
      <w:r w:rsidRPr="00AB0272">
        <w:rPr>
          <w:rFonts w:cs="Arial"/>
          <w:noProof/>
        </w:rPr>
        <w:t xml:space="preserve"> </w:t>
      </w:r>
      <w:r w:rsidRPr="00E10330">
        <w:rPr>
          <w:rFonts w:cs="Arial"/>
          <w:noProof/>
        </w:rPr>
        <w:t>A comparison of emission and supervision standards on exhaust gas from municipal solid waste incineration in China and developed countries</w:t>
      </w:r>
      <w:r w:rsidR="00C02E4A">
        <w:rPr>
          <w:rFonts w:cs="Arial"/>
          <w:noProof/>
        </w:rPr>
        <w:t xml:space="preserve">. </w:t>
      </w:r>
      <w:r w:rsidRPr="00E10330">
        <w:rPr>
          <w:rFonts w:cs="Arial"/>
          <w:noProof/>
        </w:rPr>
        <w:t>Chinese J</w:t>
      </w:r>
      <w:r w:rsidR="00AB0272">
        <w:rPr>
          <w:rFonts w:cs="Arial"/>
          <w:noProof/>
        </w:rPr>
        <w:t>ournal</w:t>
      </w:r>
      <w:r w:rsidRPr="00E10330">
        <w:rPr>
          <w:rFonts w:cs="Arial"/>
          <w:noProof/>
        </w:rPr>
        <w:t xml:space="preserve"> </w:t>
      </w:r>
      <w:r w:rsidR="00AB0272">
        <w:rPr>
          <w:rFonts w:cs="Arial"/>
          <w:noProof/>
        </w:rPr>
        <w:t xml:space="preserve">of </w:t>
      </w:r>
      <w:r w:rsidRPr="00E10330">
        <w:rPr>
          <w:rFonts w:cs="Arial"/>
          <w:noProof/>
        </w:rPr>
        <w:t>Environ</w:t>
      </w:r>
      <w:r w:rsidR="00AB0272">
        <w:rPr>
          <w:rFonts w:cs="Arial"/>
          <w:noProof/>
        </w:rPr>
        <w:t>mental</w:t>
      </w:r>
      <w:r w:rsidRPr="00E10330">
        <w:rPr>
          <w:rFonts w:cs="Arial"/>
          <w:noProof/>
        </w:rPr>
        <w:t xml:space="preserve"> Eng</w:t>
      </w:r>
      <w:r w:rsidR="00AB0272">
        <w:rPr>
          <w:rFonts w:cs="Arial"/>
          <w:noProof/>
        </w:rPr>
        <w:t>ineering,</w:t>
      </w:r>
      <w:r w:rsidRPr="00E10330">
        <w:rPr>
          <w:rFonts w:cs="Arial"/>
          <w:noProof/>
        </w:rPr>
        <w:t xml:space="preserve"> 17, 3434–3443.</w:t>
      </w:r>
    </w:p>
    <w:p w14:paraId="4A30CFD4" w14:textId="14DF0E36" w:rsidR="00E10330" w:rsidRPr="00E10330" w:rsidRDefault="00E10330" w:rsidP="009046F2">
      <w:pPr>
        <w:widowControl w:val="0"/>
        <w:autoSpaceDE w:val="0"/>
        <w:autoSpaceDN w:val="0"/>
        <w:adjustRightInd w:val="0"/>
        <w:spacing w:line="240" w:lineRule="auto"/>
        <w:ind w:left="480" w:hanging="480"/>
        <w:rPr>
          <w:rFonts w:cs="Arial"/>
          <w:noProof/>
        </w:rPr>
      </w:pPr>
      <w:r w:rsidRPr="00E10330">
        <w:rPr>
          <w:rFonts w:cs="Arial"/>
          <w:noProof/>
        </w:rPr>
        <w:t>Xu N., Braida W., Christodoulatos C., Chen J., 2013</w:t>
      </w:r>
      <w:r w:rsidR="00AB0272">
        <w:rPr>
          <w:rFonts w:cs="Arial"/>
          <w:noProof/>
        </w:rPr>
        <w:t>,</w:t>
      </w:r>
      <w:r w:rsidRPr="00E10330">
        <w:rPr>
          <w:rFonts w:cs="Arial"/>
          <w:noProof/>
        </w:rPr>
        <w:t xml:space="preserve"> A Review of Molybdenum Adsorption in Soils/Bed Sediments: Speciation, Mechanism, and Model Applications</w:t>
      </w:r>
      <w:r w:rsidR="00AB0272">
        <w:rPr>
          <w:rFonts w:cs="Arial"/>
          <w:noProof/>
        </w:rPr>
        <w:t>,</w:t>
      </w:r>
      <w:r w:rsidR="009046F2">
        <w:rPr>
          <w:rFonts w:cs="Arial"/>
          <w:noProof/>
        </w:rPr>
        <w:t xml:space="preserve"> </w:t>
      </w:r>
      <w:r w:rsidR="009046F2" w:rsidRPr="009046F2">
        <w:rPr>
          <w:rFonts w:cs="Arial"/>
          <w:noProof/>
        </w:rPr>
        <w:t>Soil and Sediment Contamination: An International Journal</w:t>
      </w:r>
      <w:r w:rsidR="009046F2">
        <w:rPr>
          <w:rFonts w:cs="Arial"/>
          <w:noProof/>
        </w:rPr>
        <w:t>,</w:t>
      </w:r>
      <w:r w:rsidRPr="00E10330">
        <w:rPr>
          <w:rFonts w:cs="Arial"/>
          <w:noProof/>
        </w:rPr>
        <w:t xml:space="preserve"> 22, 912–929.</w:t>
      </w:r>
    </w:p>
    <w:p w14:paraId="4DA1DA65" w14:textId="14319697" w:rsidR="00E10330" w:rsidRPr="00E10330" w:rsidRDefault="00E10330" w:rsidP="00E10330">
      <w:pPr>
        <w:widowControl w:val="0"/>
        <w:autoSpaceDE w:val="0"/>
        <w:autoSpaceDN w:val="0"/>
        <w:adjustRightInd w:val="0"/>
        <w:spacing w:line="240" w:lineRule="auto"/>
        <w:ind w:left="480" w:hanging="480"/>
        <w:rPr>
          <w:rFonts w:cs="Arial"/>
          <w:noProof/>
        </w:rPr>
      </w:pPr>
      <w:r w:rsidRPr="00E10330">
        <w:rPr>
          <w:rFonts w:cs="Arial"/>
          <w:noProof/>
        </w:rPr>
        <w:t>Ye X., Guo S., Qu W., Xu S., Zhang L., Liu B., Wang L., Wang C., 2019</w:t>
      </w:r>
      <w:r w:rsidR="009046F2">
        <w:rPr>
          <w:rFonts w:cs="Arial"/>
          <w:noProof/>
        </w:rPr>
        <w:t>,</w:t>
      </w:r>
      <w:r w:rsidRPr="00E10330">
        <w:rPr>
          <w:rFonts w:cs="Arial"/>
          <w:noProof/>
        </w:rPr>
        <w:t xml:space="preserve"> Microwave sodium roasting (MWSR) spent HDS catalysts for recovery Mo and in situ sulfur fixation. J</w:t>
      </w:r>
      <w:r w:rsidR="00D54550">
        <w:rPr>
          <w:rFonts w:cs="Arial"/>
          <w:noProof/>
        </w:rPr>
        <w:t>ournal of the</w:t>
      </w:r>
      <w:r w:rsidRPr="00E10330">
        <w:rPr>
          <w:rFonts w:cs="Arial"/>
          <w:noProof/>
        </w:rPr>
        <w:t xml:space="preserve"> Taiwan Inst</w:t>
      </w:r>
      <w:r w:rsidR="00D54550">
        <w:rPr>
          <w:rFonts w:cs="Arial"/>
          <w:noProof/>
        </w:rPr>
        <w:t>itute of</w:t>
      </w:r>
      <w:r w:rsidRPr="00E10330">
        <w:rPr>
          <w:rFonts w:cs="Arial"/>
          <w:noProof/>
        </w:rPr>
        <w:t xml:space="preserve"> Chem</w:t>
      </w:r>
      <w:r w:rsidR="00D54550">
        <w:rPr>
          <w:rFonts w:cs="Arial"/>
          <w:noProof/>
        </w:rPr>
        <w:t>ical</w:t>
      </w:r>
      <w:r w:rsidRPr="00E10330">
        <w:rPr>
          <w:rFonts w:cs="Arial"/>
          <w:noProof/>
        </w:rPr>
        <w:t xml:space="preserve"> Eng</w:t>
      </w:r>
      <w:r w:rsidR="00D54550">
        <w:rPr>
          <w:rFonts w:cs="Arial"/>
          <w:noProof/>
        </w:rPr>
        <w:t>ineers,</w:t>
      </w:r>
      <w:r w:rsidRPr="00E10330">
        <w:rPr>
          <w:rFonts w:cs="Arial"/>
          <w:noProof/>
        </w:rPr>
        <w:t xml:space="preserve"> 97, 146–157.</w:t>
      </w:r>
    </w:p>
    <w:p w14:paraId="5544417C" w14:textId="67A65776" w:rsidR="00E10330" w:rsidRPr="00DA2767" w:rsidRDefault="00E10330" w:rsidP="00E10330">
      <w:pPr>
        <w:widowControl w:val="0"/>
        <w:autoSpaceDE w:val="0"/>
        <w:autoSpaceDN w:val="0"/>
        <w:adjustRightInd w:val="0"/>
        <w:spacing w:line="240" w:lineRule="auto"/>
        <w:ind w:left="480" w:hanging="480"/>
        <w:rPr>
          <w:rFonts w:cs="Arial"/>
          <w:noProof/>
          <w:lang w:val="es-ES_tradnl"/>
        </w:rPr>
      </w:pPr>
      <w:r w:rsidRPr="00D54550">
        <w:rPr>
          <w:rFonts w:cs="Arial"/>
          <w:noProof/>
        </w:rPr>
        <w:t>Zhai X., Li Z., Huang B., Luo N., Huang M., Zhang Q., Zeng G., 2018</w:t>
      </w:r>
      <w:r w:rsidR="00D54550" w:rsidRPr="00D54550">
        <w:rPr>
          <w:rFonts w:cs="Arial"/>
          <w:noProof/>
        </w:rPr>
        <w:t>,</w:t>
      </w:r>
      <w:r w:rsidRPr="00D54550">
        <w:rPr>
          <w:rFonts w:cs="Arial"/>
          <w:noProof/>
        </w:rPr>
        <w:t xml:space="preserve"> </w:t>
      </w:r>
      <w:r w:rsidRPr="00E10330">
        <w:rPr>
          <w:rFonts w:cs="Arial"/>
          <w:noProof/>
        </w:rPr>
        <w:t xml:space="preserve">Remediation of multiple heavy metal-contaminated soil through the combination of soil washing and in situ immobilization. </w:t>
      </w:r>
      <w:r w:rsidRPr="00DA2767">
        <w:rPr>
          <w:rFonts w:cs="Arial"/>
          <w:noProof/>
          <w:lang w:val="es-ES_tradnl"/>
        </w:rPr>
        <w:t>Sci</w:t>
      </w:r>
      <w:r w:rsidR="00D54550">
        <w:rPr>
          <w:rFonts w:cs="Arial"/>
          <w:noProof/>
          <w:lang w:val="es-ES_tradnl"/>
        </w:rPr>
        <w:t>ence of the</w:t>
      </w:r>
      <w:r w:rsidRPr="00DA2767">
        <w:rPr>
          <w:rFonts w:cs="Arial"/>
          <w:noProof/>
          <w:lang w:val="es-ES_tradnl"/>
        </w:rPr>
        <w:t xml:space="preserve"> Total Environ</w:t>
      </w:r>
      <w:r w:rsidR="00D54550">
        <w:rPr>
          <w:rFonts w:cs="Arial"/>
          <w:noProof/>
          <w:lang w:val="es-ES_tradnl"/>
        </w:rPr>
        <w:t>ment,</w:t>
      </w:r>
      <w:r w:rsidRPr="00DA2767">
        <w:rPr>
          <w:rFonts w:cs="Arial"/>
          <w:noProof/>
          <w:lang w:val="es-ES_tradnl"/>
        </w:rPr>
        <w:t xml:space="preserve"> 635, 92–99.</w:t>
      </w:r>
    </w:p>
    <w:p w14:paraId="3691285C" w14:textId="6D258071" w:rsidR="00E10330" w:rsidRPr="00E10330" w:rsidRDefault="00E10330" w:rsidP="00E10330">
      <w:pPr>
        <w:widowControl w:val="0"/>
        <w:autoSpaceDE w:val="0"/>
        <w:autoSpaceDN w:val="0"/>
        <w:adjustRightInd w:val="0"/>
        <w:spacing w:line="240" w:lineRule="auto"/>
        <w:ind w:left="480" w:hanging="480"/>
        <w:rPr>
          <w:rFonts w:cs="Arial"/>
          <w:noProof/>
        </w:rPr>
      </w:pPr>
      <w:r w:rsidRPr="00DA2767">
        <w:rPr>
          <w:rFonts w:cs="Arial"/>
          <w:noProof/>
          <w:lang w:val="es-ES_tradnl"/>
        </w:rPr>
        <w:t>Zhang J., Fei F., Jiang Z., Vorada K., Leong Z.H., Wen Z., Zhang H., Han S., 2025</w:t>
      </w:r>
      <w:r w:rsidR="00D54550">
        <w:rPr>
          <w:rFonts w:cs="Arial"/>
          <w:noProof/>
          <w:lang w:val="es-ES_tradnl"/>
        </w:rPr>
        <w:t>,</w:t>
      </w:r>
      <w:r w:rsidRPr="00DA2767">
        <w:rPr>
          <w:rFonts w:cs="Arial"/>
          <w:noProof/>
          <w:lang w:val="es-ES_tradnl"/>
        </w:rPr>
        <w:t xml:space="preserve"> </w:t>
      </w:r>
      <w:r w:rsidRPr="00E10330">
        <w:rPr>
          <w:rFonts w:cs="Arial"/>
          <w:noProof/>
        </w:rPr>
        <w:t>Is multi-source solid waste co-disposal practices in waste-to-energy plants sustainable?</w:t>
      </w:r>
      <w:r w:rsidR="00B90D80">
        <w:rPr>
          <w:rFonts w:cs="Arial"/>
          <w:noProof/>
        </w:rPr>
        <w:t xml:space="preserve"> </w:t>
      </w:r>
      <w:r w:rsidRPr="00E10330">
        <w:rPr>
          <w:rFonts w:cs="Arial"/>
          <w:noProof/>
        </w:rPr>
        <w:t>A comparative life cycle assessment. Resour</w:t>
      </w:r>
      <w:r w:rsidR="00B90D80">
        <w:rPr>
          <w:rFonts w:cs="Arial"/>
          <w:noProof/>
        </w:rPr>
        <w:t>ces,</w:t>
      </w:r>
      <w:r w:rsidRPr="00E10330">
        <w:rPr>
          <w:rFonts w:cs="Arial"/>
          <w:noProof/>
        </w:rPr>
        <w:t xml:space="preserve"> Conserv</w:t>
      </w:r>
      <w:r w:rsidR="00B90D80">
        <w:rPr>
          <w:rFonts w:cs="Arial"/>
          <w:noProof/>
        </w:rPr>
        <w:t>ation and</w:t>
      </w:r>
      <w:r w:rsidRPr="00E10330">
        <w:rPr>
          <w:rFonts w:cs="Arial"/>
          <w:noProof/>
        </w:rPr>
        <w:t xml:space="preserve"> Recycl</w:t>
      </w:r>
      <w:r w:rsidR="00B90D80">
        <w:rPr>
          <w:rFonts w:cs="Arial"/>
          <w:noProof/>
        </w:rPr>
        <w:t>ing,</w:t>
      </w:r>
      <w:r w:rsidRPr="00E10330">
        <w:rPr>
          <w:rFonts w:cs="Arial"/>
          <w:noProof/>
        </w:rPr>
        <w:t xml:space="preserve"> 215, 108069.</w:t>
      </w:r>
    </w:p>
    <w:p w14:paraId="127E57F7" w14:textId="5F987105" w:rsidR="003807A5" w:rsidRPr="00B03BC7" w:rsidRDefault="0067238F" w:rsidP="000C2C00">
      <w:pPr>
        <w:pStyle w:val="CETReferencetext"/>
        <w:ind w:left="0" w:firstLine="0"/>
        <w:rPr>
          <w:highlight w:val="yellow"/>
        </w:rPr>
      </w:pPr>
      <w:r>
        <w:rPr>
          <w:highlight w:val="yellow"/>
        </w:rPr>
        <w:fldChar w:fldCharType="end"/>
      </w:r>
    </w:p>
    <w:sectPr w:rsidR="003807A5" w:rsidRPr="00B03BC7" w:rsidSect="000C1C54">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DDC67" w14:textId="77777777" w:rsidR="008F1266" w:rsidRDefault="008F1266" w:rsidP="004F5E36">
      <w:r>
        <w:separator/>
      </w:r>
    </w:p>
  </w:endnote>
  <w:endnote w:type="continuationSeparator" w:id="0">
    <w:p w14:paraId="52E8C2DC" w14:textId="77777777" w:rsidR="008F1266" w:rsidRDefault="008F126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7531D" w14:textId="77777777" w:rsidR="008F1266" w:rsidRDefault="008F1266" w:rsidP="004F5E36">
      <w:r>
        <w:separator/>
      </w:r>
    </w:p>
  </w:footnote>
  <w:footnote w:type="continuationSeparator" w:id="0">
    <w:p w14:paraId="07933D11" w14:textId="77777777" w:rsidR="008F1266" w:rsidRDefault="008F1266"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CE94099"/>
    <w:multiLevelType w:val="hybridMultilevel"/>
    <w:tmpl w:val="9FDC40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DDF078F"/>
    <w:multiLevelType w:val="hybridMultilevel"/>
    <w:tmpl w:val="6ADE3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C60C35"/>
    <w:multiLevelType w:val="hybridMultilevel"/>
    <w:tmpl w:val="E9BE9C4C"/>
    <w:lvl w:ilvl="0" w:tplc="BF7A4B3A">
      <w:start w:val="1"/>
      <w:numFmt w:val="decimal"/>
      <w:lvlText w:val="%1)"/>
      <w:lvlJc w:val="left"/>
      <w:pPr>
        <w:ind w:left="1020" w:hanging="360"/>
      </w:pPr>
    </w:lvl>
    <w:lvl w:ilvl="1" w:tplc="55B697D0">
      <w:start w:val="1"/>
      <w:numFmt w:val="decimal"/>
      <w:lvlText w:val="%2)"/>
      <w:lvlJc w:val="left"/>
      <w:pPr>
        <w:ind w:left="1020" w:hanging="360"/>
      </w:pPr>
    </w:lvl>
    <w:lvl w:ilvl="2" w:tplc="9210E742">
      <w:start w:val="1"/>
      <w:numFmt w:val="decimal"/>
      <w:lvlText w:val="%3)"/>
      <w:lvlJc w:val="left"/>
      <w:pPr>
        <w:ind w:left="1020" w:hanging="360"/>
      </w:pPr>
    </w:lvl>
    <w:lvl w:ilvl="3" w:tplc="7B12C656">
      <w:start w:val="1"/>
      <w:numFmt w:val="decimal"/>
      <w:lvlText w:val="%4)"/>
      <w:lvlJc w:val="left"/>
      <w:pPr>
        <w:ind w:left="1020" w:hanging="360"/>
      </w:pPr>
    </w:lvl>
    <w:lvl w:ilvl="4" w:tplc="48F8A402">
      <w:start w:val="1"/>
      <w:numFmt w:val="decimal"/>
      <w:lvlText w:val="%5)"/>
      <w:lvlJc w:val="left"/>
      <w:pPr>
        <w:ind w:left="1020" w:hanging="360"/>
      </w:pPr>
    </w:lvl>
    <w:lvl w:ilvl="5" w:tplc="507ADCDE">
      <w:start w:val="1"/>
      <w:numFmt w:val="decimal"/>
      <w:lvlText w:val="%6)"/>
      <w:lvlJc w:val="left"/>
      <w:pPr>
        <w:ind w:left="1020" w:hanging="360"/>
      </w:pPr>
    </w:lvl>
    <w:lvl w:ilvl="6" w:tplc="E1C6F570">
      <w:start w:val="1"/>
      <w:numFmt w:val="decimal"/>
      <w:lvlText w:val="%7)"/>
      <w:lvlJc w:val="left"/>
      <w:pPr>
        <w:ind w:left="1020" w:hanging="360"/>
      </w:pPr>
    </w:lvl>
    <w:lvl w:ilvl="7" w:tplc="5010E936">
      <w:start w:val="1"/>
      <w:numFmt w:val="decimal"/>
      <w:lvlText w:val="%8)"/>
      <w:lvlJc w:val="left"/>
      <w:pPr>
        <w:ind w:left="1020" w:hanging="360"/>
      </w:pPr>
    </w:lvl>
    <w:lvl w:ilvl="8" w:tplc="6FF0D77C">
      <w:start w:val="1"/>
      <w:numFmt w:val="decimal"/>
      <w:lvlText w:val="%9)"/>
      <w:lvlJc w:val="left"/>
      <w:pPr>
        <w:ind w:left="1020" w:hanging="360"/>
      </w:pPr>
    </w:lvl>
  </w:abstractNum>
  <w:abstractNum w:abstractNumId="23" w15:restartNumberingAfterBreak="0">
    <w:nsid w:val="5F894F19"/>
    <w:multiLevelType w:val="hybridMultilevel"/>
    <w:tmpl w:val="8EFCE14E"/>
    <w:lvl w:ilvl="0" w:tplc="F28459A8">
      <w:start w:val="1"/>
      <w:numFmt w:val="decimal"/>
      <w:lvlText w:val="%1)"/>
      <w:lvlJc w:val="left"/>
      <w:pPr>
        <w:ind w:left="1020" w:hanging="360"/>
      </w:pPr>
    </w:lvl>
    <w:lvl w:ilvl="1" w:tplc="FDC2BF6A">
      <w:start w:val="1"/>
      <w:numFmt w:val="decimal"/>
      <w:lvlText w:val="%2)"/>
      <w:lvlJc w:val="left"/>
      <w:pPr>
        <w:ind w:left="1020" w:hanging="360"/>
      </w:pPr>
    </w:lvl>
    <w:lvl w:ilvl="2" w:tplc="E3501A36">
      <w:start w:val="1"/>
      <w:numFmt w:val="decimal"/>
      <w:lvlText w:val="%3)"/>
      <w:lvlJc w:val="left"/>
      <w:pPr>
        <w:ind w:left="1020" w:hanging="360"/>
      </w:pPr>
    </w:lvl>
    <w:lvl w:ilvl="3" w:tplc="F7C016FC">
      <w:start w:val="1"/>
      <w:numFmt w:val="decimal"/>
      <w:lvlText w:val="%4)"/>
      <w:lvlJc w:val="left"/>
      <w:pPr>
        <w:ind w:left="1020" w:hanging="360"/>
      </w:pPr>
    </w:lvl>
    <w:lvl w:ilvl="4" w:tplc="2696BCBE">
      <w:start w:val="1"/>
      <w:numFmt w:val="decimal"/>
      <w:lvlText w:val="%5)"/>
      <w:lvlJc w:val="left"/>
      <w:pPr>
        <w:ind w:left="1020" w:hanging="360"/>
      </w:pPr>
    </w:lvl>
    <w:lvl w:ilvl="5" w:tplc="42D8CE5E">
      <w:start w:val="1"/>
      <w:numFmt w:val="decimal"/>
      <w:lvlText w:val="%6)"/>
      <w:lvlJc w:val="left"/>
      <w:pPr>
        <w:ind w:left="1020" w:hanging="360"/>
      </w:pPr>
    </w:lvl>
    <w:lvl w:ilvl="6" w:tplc="AB9E4912">
      <w:start w:val="1"/>
      <w:numFmt w:val="decimal"/>
      <w:lvlText w:val="%7)"/>
      <w:lvlJc w:val="left"/>
      <w:pPr>
        <w:ind w:left="1020" w:hanging="360"/>
      </w:pPr>
    </w:lvl>
    <w:lvl w:ilvl="7" w:tplc="AED2260C">
      <w:start w:val="1"/>
      <w:numFmt w:val="decimal"/>
      <w:lvlText w:val="%8)"/>
      <w:lvlJc w:val="left"/>
      <w:pPr>
        <w:ind w:left="1020" w:hanging="360"/>
      </w:pPr>
    </w:lvl>
    <w:lvl w:ilvl="8" w:tplc="160ABFDA">
      <w:start w:val="1"/>
      <w:numFmt w:val="decimal"/>
      <w:lvlText w:val="%9)"/>
      <w:lvlJc w:val="left"/>
      <w:pPr>
        <w:ind w:left="1020" w:hanging="360"/>
      </w:pPr>
    </w:lvl>
  </w:abstractNum>
  <w:abstractNum w:abstractNumId="24"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52934301">
    <w:abstractNumId w:val="12"/>
  </w:num>
  <w:num w:numId="2" w16cid:durableId="1209146971">
    <w:abstractNumId w:val="8"/>
  </w:num>
  <w:num w:numId="3" w16cid:durableId="1742364198">
    <w:abstractNumId w:val="3"/>
  </w:num>
  <w:num w:numId="4" w16cid:durableId="181357396">
    <w:abstractNumId w:val="2"/>
  </w:num>
  <w:num w:numId="5" w16cid:durableId="1615136149">
    <w:abstractNumId w:val="1"/>
  </w:num>
  <w:num w:numId="6" w16cid:durableId="1675494568">
    <w:abstractNumId w:val="0"/>
  </w:num>
  <w:num w:numId="7" w16cid:durableId="2085029224">
    <w:abstractNumId w:val="9"/>
  </w:num>
  <w:num w:numId="8" w16cid:durableId="377903435">
    <w:abstractNumId w:val="7"/>
  </w:num>
  <w:num w:numId="9" w16cid:durableId="895434427">
    <w:abstractNumId w:val="6"/>
  </w:num>
  <w:num w:numId="10" w16cid:durableId="1554584452">
    <w:abstractNumId w:val="5"/>
  </w:num>
  <w:num w:numId="11" w16cid:durableId="1965842014">
    <w:abstractNumId w:val="4"/>
  </w:num>
  <w:num w:numId="12" w16cid:durableId="333149214">
    <w:abstractNumId w:val="20"/>
  </w:num>
  <w:num w:numId="13" w16cid:durableId="568005815">
    <w:abstractNumId w:val="15"/>
  </w:num>
  <w:num w:numId="14" w16cid:durableId="955060155">
    <w:abstractNumId w:val="21"/>
  </w:num>
  <w:num w:numId="15" w16cid:durableId="150874562">
    <w:abstractNumId w:val="25"/>
  </w:num>
  <w:num w:numId="16" w16cid:durableId="139229985">
    <w:abstractNumId w:val="24"/>
  </w:num>
  <w:num w:numId="17" w16cid:durableId="367799813">
    <w:abstractNumId w:val="14"/>
  </w:num>
  <w:num w:numId="18" w16cid:durableId="1166441316">
    <w:abstractNumId w:val="15"/>
    <w:lvlOverride w:ilvl="0">
      <w:startOverride w:val="1"/>
    </w:lvlOverride>
  </w:num>
  <w:num w:numId="19" w16cid:durableId="1763184165">
    <w:abstractNumId w:val="19"/>
  </w:num>
  <w:num w:numId="20" w16cid:durableId="1641500757">
    <w:abstractNumId w:val="18"/>
  </w:num>
  <w:num w:numId="21" w16cid:durableId="1229606933">
    <w:abstractNumId w:val="17"/>
  </w:num>
  <w:num w:numId="22" w16cid:durableId="61415295">
    <w:abstractNumId w:val="16"/>
  </w:num>
  <w:num w:numId="23" w16cid:durableId="587813701">
    <w:abstractNumId w:val="10"/>
  </w:num>
  <w:num w:numId="24" w16cid:durableId="170032566">
    <w:abstractNumId w:val="23"/>
  </w:num>
  <w:num w:numId="25" w16cid:durableId="763845420">
    <w:abstractNumId w:val="22"/>
  </w:num>
  <w:num w:numId="26" w16cid:durableId="1800688132">
    <w:abstractNumId w:val="13"/>
  </w:num>
  <w:num w:numId="27" w16cid:durableId="8422051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05F"/>
    <w:rsid w:val="000027C0"/>
    <w:rsid w:val="00003B6A"/>
    <w:rsid w:val="000047B5"/>
    <w:rsid w:val="000052FB"/>
    <w:rsid w:val="00005A19"/>
    <w:rsid w:val="000101B3"/>
    <w:rsid w:val="000109B8"/>
    <w:rsid w:val="000117CB"/>
    <w:rsid w:val="00011CFE"/>
    <w:rsid w:val="00013894"/>
    <w:rsid w:val="0001389D"/>
    <w:rsid w:val="000153C2"/>
    <w:rsid w:val="00020D5E"/>
    <w:rsid w:val="0002202A"/>
    <w:rsid w:val="00022185"/>
    <w:rsid w:val="00022C4C"/>
    <w:rsid w:val="000243DF"/>
    <w:rsid w:val="00027049"/>
    <w:rsid w:val="00027122"/>
    <w:rsid w:val="00027349"/>
    <w:rsid w:val="00030F09"/>
    <w:rsid w:val="000311EA"/>
    <w:rsid w:val="0003148D"/>
    <w:rsid w:val="00031EEC"/>
    <w:rsid w:val="00034866"/>
    <w:rsid w:val="000357F4"/>
    <w:rsid w:val="00041998"/>
    <w:rsid w:val="00043319"/>
    <w:rsid w:val="000438F0"/>
    <w:rsid w:val="0004486A"/>
    <w:rsid w:val="00047AAD"/>
    <w:rsid w:val="00047DA6"/>
    <w:rsid w:val="00051566"/>
    <w:rsid w:val="000562A9"/>
    <w:rsid w:val="00061AD0"/>
    <w:rsid w:val="00062940"/>
    <w:rsid w:val="00062A9A"/>
    <w:rsid w:val="00063A2E"/>
    <w:rsid w:val="00065058"/>
    <w:rsid w:val="00065E4A"/>
    <w:rsid w:val="000701CE"/>
    <w:rsid w:val="00070DC7"/>
    <w:rsid w:val="00072D67"/>
    <w:rsid w:val="00080B23"/>
    <w:rsid w:val="000829D4"/>
    <w:rsid w:val="0008419D"/>
    <w:rsid w:val="00084F5D"/>
    <w:rsid w:val="00086C39"/>
    <w:rsid w:val="00087890"/>
    <w:rsid w:val="0009589A"/>
    <w:rsid w:val="000A03B2"/>
    <w:rsid w:val="000A095D"/>
    <w:rsid w:val="000A0A3B"/>
    <w:rsid w:val="000A160C"/>
    <w:rsid w:val="000A1B9C"/>
    <w:rsid w:val="000A2375"/>
    <w:rsid w:val="000A47D3"/>
    <w:rsid w:val="000A4983"/>
    <w:rsid w:val="000A623B"/>
    <w:rsid w:val="000A6509"/>
    <w:rsid w:val="000A6BD4"/>
    <w:rsid w:val="000B3246"/>
    <w:rsid w:val="000B3D2C"/>
    <w:rsid w:val="000B415D"/>
    <w:rsid w:val="000B6170"/>
    <w:rsid w:val="000B7C77"/>
    <w:rsid w:val="000C076B"/>
    <w:rsid w:val="000C1C54"/>
    <w:rsid w:val="000C269D"/>
    <w:rsid w:val="000C2C00"/>
    <w:rsid w:val="000C3B84"/>
    <w:rsid w:val="000C3F91"/>
    <w:rsid w:val="000C5456"/>
    <w:rsid w:val="000C719F"/>
    <w:rsid w:val="000C77E2"/>
    <w:rsid w:val="000D0268"/>
    <w:rsid w:val="000D34BE"/>
    <w:rsid w:val="000D4A1C"/>
    <w:rsid w:val="000D5357"/>
    <w:rsid w:val="000D6E9C"/>
    <w:rsid w:val="000D76E3"/>
    <w:rsid w:val="000E0B3C"/>
    <w:rsid w:val="000E102F"/>
    <w:rsid w:val="000E2906"/>
    <w:rsid w:val="000E318A"/>
    <w:rsid w:val="000E3437"/>
    <w:rsid w:val="000E36F1"/>
    <w:rsid w:val="000E3A73"/>
    <w:rsid w:val="000E414A"/>
    <w:rsid w:val="000E49B9"/>
    <w:rsid w:val="000E5CEE"/>
    <w:rsid w:val="000E5EB7"/>
    <w:rsid w:val="000E690B"/>
    <w:rsid w:val="000E704C"/>
    <w:rsid w:val="000E75FD"/>
    <w:rsid w:val="000F093C"/>
    <w:rsid w:val="000F6B46"/>
    <w:rsid w:val="000F787B"/>
    <w:rsid w:val="001002E7"/>
    <w:rsid w:val="001015F7"/>
    <w:rsid w:val="00104C44"/>
    <w:rsid w:val="00106626"/>
    <w:rsid w:val="00110D04"/>
    <w:rsid w:val="0011178B"/>
    <w:rsid w:val="00113CB1"/>
    <w:rsid w:val="00114B6A"/>
    <w:rsid w:val="00116416"/>
    <w:rsid w:val="0011737B"/>
    <w:rsid w:val="00120756"/>
    <w:rsid w:val="0012091F"/>
    <w:rsid w:val="001209EC"/>
    <w:rsid w:val="00121C57"/>
    <w:rsid w:val="00122483"/>
    <w:rsid w:val="00125A3F"/>
    <w:rsid w:val="00125E00"/>
    <w:rsid w:val="00126BC2"/>
    <w:rsid w:val="00127143"/>
    <w:rsid w:val="001271E5"/>
    <w:rsid w:val="00127495"/>
    <w:rsid w:val="00130727"/>
    <w:rsid w:val="001308B6"/>
    <w:rsid w:val="0013121F"/>
    <w:rsid w:val="001319EE"/>
    <w:rsid w:val="00131FE6"/>
    <w:rsid w:val="0013263F"/>
    <w:rsid w:val="001331DF"/>
    <w:rsid w:val="00133333"/>
    <w:rsid w:val="00134DE4"/>
    <w:rsid w:val="0013516A"/>
    <w:rsid w:val="0014034D"/>
    <w:rsid w:val="00140FE3"/>
    <w:rsid w:val="00141C6F"/>
    <w:rsid w:val="0014202D"/>
    <w:rsid w:val="0014393F"/>
    <w:rsid w:val="00144D16"/>
    <w:rsid w:val="001507C3"/>
    <w:rsid w:val="00150E59"/>
    <w:rsid w:val="00151744"/>
    <w:rsid w:val="00152232"/>
    <w:rsid w:val="00152DE3"/>
    <w:rsid w:val="00157C46"/>
    <w:rsid w:val="001614DB"/>
    <w:rsid w:val="00164CF9"/>
    <w:rsid w:val="0016668E"/>
    <w:rsid w:val="001667A6"/>
    <w:rsid w:val="001667D3"/>
    <w:rsid w:val="001734E9"/>
    <w:rsid w:val="00176399"/>
    <w:rsid w:val="0017663E"/>
    <w:rsid w:val="00177337"/>
    <w:rsid w:val="001773BA"/>
    <w:rsid w:val="00180DF5"/>
    <w:rsid w:val="001811F7"/>
    <w:rsid w:val="0018171E"/>
    <w:rsid w:val="0018197D"/>
    <w:rsid w:val="00181D0A"/>
    <w:rsid w:val="001836FC"/>
    <w:rsid w:val="00184AD6"/>
    <w:rsid w:val="0018501C"/>
    <w:rsid w:val="00185A9F"/>
    <w:rsid w:val="00185F56"/>
    <w:rsid w:val="00190076"/>
    <w:rsid w:val="00190D02"/>
    <w:rsid w:val="00191935"/>
    <w:rsid w:val="001926A8"/>
    <w:rsid w:val="001955AE"/>
    <w:rsid w:val="00196FF3"/>
    <w:rsid w:val="001A3752"/>
    <w:rsid w:val="001A38FF"/>
    <w:rsid w:val="001A4AF7"/>
    <w:rsid w:val="001A4C79"/>
    <w:rsid w:val="001A59D9"/>
    <w:rsid w:val="001A5AE5"/>
    <w:rsid w:val="001A7731"/>
    <w:rsid w:val="001B0349"/>
    <w:rsid w:val="001B14C6"/>
    <w:rsid w:val="001B1E93"/>
    <w:rsid w:val="001B1ED6"/>
    <w:rsid w:val="001B578F"/>
    <w:rsid w:val="001B65C1"/>
    <w:rsid w:val="001B65EC"/>
    <w:rsid w:val="001B738D"/>
    <w:rsid w:val="001C0D86"/>
    <w:rsid w:val="001C125F"/>
    <w:rsid w:val="001C2428"/>
    <w:rsid w:val="001C260F"/>
    <w:rsid w:val="001C4588"/>
    <w:rsid w:val="001C503D"/>
    <w:rsid w:val="001C5C3A"/>
    <w:rsid w:val="001C684B"/>
    <w:rsid w:val="001C694E"/>
    <w:rsid w:val="001C6AD7"/>
    <w:rsid w:val="001D0CFB"/>
    <w:rsid w:val="001D0D9F"/>
    <w:rsid w:val="001D1828"/>
    <w:rsid w:val="001D1AC0"/>
    <w:rsid w:val="001D21AF"/>
    <w:rsid w:val="001D274C"/>
    <w:rsid w:val="001D3D32"/>
    <w:rsid w:val="001D42B2"/>
    <w:rsid w:val="001D53FC"/>
    <w:rsid w:val="001D6E8D"/>
    <w:rsid w:val="001D7F5C"/>
    <w:rsid w:val="001E04F4"/>
    <w:rsid w:val="001E1288"/>
    <w:rsid w:val="001E2B3F"/>
    <w:rsid w:val="001E7324"/>
    <w:rsid w:val="001F2702"/>
    <w:rsid w:val="001F36F7"/>
    <w:rsid w:val="001F3791"/>
    <w:rsid w:val="001F42A5"/>
    <w:rsid w:val="001F79CA"/>
    <w:rsid w:val="001F7B9D"/>
    <w:rsid w:val="00201C93"/>
    <w:rsid w:val="00201DB4"/>
    <w:rsid w:val="00201E1B"/>
    <w:rsid w:val="002034F7"/>
    <w:rsid w:val="002040E1"/>
    <w:rsid w:val="002047EE"/>
    <w:rsid w:val="00204B24"/>
    <w:rsid w:val="00205046"/>
    <w:rsid w:val="00206732"/>
    <w:rsid w:val="00214C0D"/>
    <w:rsid w:val="00215537"/>
    <w:rsid w:val="00215D92"/>
    <w:rsid w:val="002161BD"/>
    <w:rsid w:val="00216A52"/>
    <w:rsid w:val="00216D5F"/>
    <w:rsid w:val="00217763"/>
    <w:rsid w:val="00217935"/>
    <w:rsid w:val="0021794B"/>
    <w:rsid w:val="00217BA0"/>
    <w:rsid w:val="002224B4"/>
    <w:rsid w:val="002244D8"/>
    <w:rsid w:val="002249E9"/>
    <w:rsid w:val="00226EAA"/>
    <w:rsid w:val="002270B0"/>
    <w:rsid w:val="00227A5A"/>
    <w:rsid w:val="0023123B"/>
    <w:rsid w:val="0023349E"/>
    <w:rsid w:val="002348D8"/>
    <w:rsid w:val="00240C73"/>
    <w:rsid w:val="00241030"/>
    <w:rsid w:val="00243690"/>
    <w:rsid w:val="002447EF"/>
    <w:rsid w:val="00251550"/>
    <w:rsid w:val="0025223B"/>
    <w:rsid w:val="0025434A"/>
    <w:rsid w:val="00255C5B"/>
    <w:rsid w:val="002576C7"/>
    <w:rsid w:val="00260367"/>
    <w:rsid w:val="00262116"/>
    <w:rsid w:val="00263B05"/>
    <w:rsid w:val="0026435D"/>
    <w:rsid w:val="00265231"/>
    <w:rsid w:val="002657C2"/>
    <w:rsid w:val="00267052"/>
    <w:rsid w:val="00267315"/>
    <w:rsid w:val="002705F2"/>
    <w:rsid w:val="00271B4D"/>
    <w:rsid w:val="00272074"/>
    <w:rsid w:val="0027221A"/>
    <w:rsid w:val="002747A2"/>
    <w:rsid w:val="00274A82"/>
    <w:rsid w:val="00275B61"/>
    <w:rsid w:val="00280E38"/>
    <w:rsid w:val="00280FAF"/>
    <w:rsid w:val="00282656"/>
    <w:rsid w:val="00283304"/>
    <w:rsid w:val="002834DD"/>
    <w:rsid w:val="00283DC3"/>
    <w:rsid w:val="00284EF2"/>
    <w:rsid w:val="00286E04"/>
    <w:rsid w:val="00286FAD"/>
    <w:rsid w:val="00287AFE"/>
    <w:rsid w:val="0029068A"/>
    <w:rsid w:val="00293501"/>
    <w:rsid w:val="00296B83"/>
    <w:rsid w:val="002A0BD3"/>
    <w:rsid w:val="002A2B94"/>
    <w:rsid w:val="002A5F1E"/>
    <w:rsid w:val="002A7C71"/>
    <w:rsid w:val="002B0F5A"/>
    <w:rsid w:val="002B14A1"/>
    <w:rsid w:val="002B1EAB"/>
    <w:rsid w:val="002B2BEE"/>
    <w:rsid w:val="002B4015"/>
    <w:rsid w:val="002B62D8"/>
    <w:rsid w:val="002B77D3"/>
    <w:rsid w:val="002B78CE"/>
    <w:rsid w:val="002B7D02"/>
    <w:rsid w:val="002C2862"/>
    <w:rsid w:val="002C2FB6"/>
    <w:rsid w:val="002C4D21"/>
    <w:rsid w:val="002C7A69"/>
    <w:rsid w:val="002C7B3D"/>
    <w:rsid w:val="002D01AA"/>
    <w:rsid w:val="002D03B2"/>
    <w:rsid w:val="002D2106"/>
    <w:rsid w:val="002D7112"/>
    <w:rsid w:val="002D73B3"/>
    <w:rsid w:val="002E2EE3"/>
    <w:rsid w:val="002E30F6"/>
    <w:rsid w:val="002E48E2"/>
    <w:rsid w:val="002E5FA7"/>
    <w:rsid w:val="002F2966"/>
    <w:rsid w:val="002F3309"/>
    <w:rsid w:val="002F3914"/>
    <w:rsid w:val="002F701C"/>
    <w:rsid w:val="003007E5"/>
    <w:rsid w:val="003008CE"/>
    <w:rsid w:val="003009B7"/>
    <w:rsid w:val="00300E56"/>
    <w:rsid w:val="0030152C"/>
    <w:rsid w:val="0030469C"/>
    <w:rsid w:val="00304CE8"/>
    <w:rsid w:val="0030520E"/>
    <w:rsid w:val="003060FA"/>
    <w:rsid w:val="00306420"/>
    <w:rsid w:val="0030714A"/>
    <w:rsid w:val="00307163"/>
    <w:rsid w:val="003117C4"/>
    <w:rsid w:val="003136D2"/>
    <w:rsid w:val="0031416B"/>
    <w:rsid w:val="003144F7"/>
    <w:rsid w:val="00314B0A"/>
    <w:rsid w:val="00315536"/>
    <w:rsid w:val="00316B31"/>
    <w:rsid w:val="00320D55"/>
    <w:rsid w:val="00321636"/>
    <w:rsid w:val="003216D8"/>
    <w:rsid w:val="00321CA6"/>
    <w:rsid w:val="00322817"/>
    <w:rsid w:val="00323763"/>
    <w:rsid w:val="00323C5F"/>
    <w:rsid w:val="00324825"/>
    <w:rsid w:val="00324B79"/>
    <w:rsid w:val="00325F9B"/>
    <w:rsid w:val="003264FF"/>
    <w:rsid w:val="00326DF7"/>
    <w:rsid w:val="00330CAB"/>
    <w:rsid w:val="00332291"/>
    <w:rsid w:val="00332863"/>
    <w:rsid w:val="003335F8"/>
    <w:rsid w:val="00334C09"/>
    <w:rsid w:val="00335DD8"/>
    <w:rsid w:val="00335E47"/>
    <w:rsid w:val="00340E26"/>
    <w:rsid w:val="00341C1B"/>
    <w:rsid w:val="003445A4"/>
    <w:rsid w:val="003469E2"/>
    <w:rsid w:val="003470C2"/>
    <w:rsid w:val="00352272"/>
    <w:rsid w:val="0035503A"/>
    <w:rsid w:val="003646B8"/>
    <w:rsid w:val="003659DE"/>
    <w:rsid w:val="00366D57"/>
    <w:rsid w:val="003707E7"/>
    <w:rsid w:val="003719D7"/>
    <w:rsid w:val="003723D4"/>
    <w:rsid w:val="00372FDF"/>
    <w:rsid w:val="00373EB6"/>
    <w:rsid w:val="00374C30"/>
    <w:rsid w:val="003807A5"/>
    <w:rsid w:val="00381905"/>
    <w:rsid w:val="00384CC8"/>
    <w:rsid w:val="003871FD"/>
    <w:rsid w:val="0039086B"/>
    <w:rsid w:val="0039091A"/>
    <w:rsid w:val="003909D3"/>
    <w:rsid w:val="00393397"/>
    <w:rsid w:val="0039379E"/>
    <w:rsid w:val="0039550E"/>
    <w:rsid w:val="00395AC6"/>
    <w:rsid w:val="00397533"/>
    <w:rsid w:val="003A1E30"/>
    <w:rsid w:val="003A2829"/>
    <w:rsid w:val="003A6A1B"/>
    <w:rsid w:val="003A7D1C"/>
    <w:rsid w:val="003B0F6C"/>
    <w:rsid w:val="003B304B"/>
    <w:rsid w:val="003B3146"/>
    <w:rsid w:val="003B49CD"/>
    <w:rsid w:val="003B4C6B"/>
    <w:rsid w:val="003B660B"/>
    <w:rsid w:val="003C3403"/>
    <w:rsid w:val="003C34E2"/>
    <w:rsid w:val="003D1E02"/>
    <w:rsid w:val="003E3251"/>
    <w:rsid w:val="003F015E"/>
    <w:rsid w:val="003F2588"/>
    <w:rsid w:val="003F32AE"/>
    <w:rsid w:val="003F4D8C"/>
    <w:rsid w:val="003F4F53"/>
    <w:rsid w:val="003F688E"/>
    <w:rsid w:val="00400414"/>
    <w:rsid w:val="00404DEF"/>
    <w:rsid w:val="00411C5A"/>
    <w:rsid w:val="00412242"/>
    <w:rsid w:val="00412673"/>
    <w:rsid w:val="00413522"/>
    <w:rsid w:val="0041446B"/>
    <w:rsid w:val="00420609"/>
    <w:rsid w:val="00420F55"/>
    <w:rsid w:val="004214CE"/>
    <w:rsid w:val="00421F51"/>
    <w:rsid w:val="00423EA7"/>
    <w:rsid w:val="00424D68"/>
    <w:rsid w:val="00425C00"/>
    <w:rsid w:val="00430FDD"/>
    <w:rsid w:val="00432049"/>
    <w:rsid w:val="004337E0"/>
    <w:rsid w:val="00436472"/>
    <w:rsid w:val="00437605"/>
    <w:rsid w:val="0044071E"/>
    <w:rsid w:val="004409C7"/>
    <w:rsid w:val="0044329C"/>
    <w:rsid w:val="00443DA4"/>
    <w:rsid w:val="00443F1F"/>
    <w:rsid w:val="00444827"/>
    <w:rsid w:val="00447DA5"/>
    <w:rsid w:val="004508E6"/>
    <w:rsid w:val="00450985"/>
    <w:rsid w:val="00452C7A"/>
    <w:rsid w:val="00453325"/>
    <w:rsid w:val="00453B2F"/>
    <w:rsid w:val="00453E24"/>
    <w:rsid w:val="004554B4"/>
    <w:rsid w:val="00456853"/>
    <w:rsid w:val="00457456"/>
    <w:rsid w:val="004577FE"/>
    <w:rsid w:val="00457B9C"/>
    <w:rsid w:val="0046164A"/>
    <w:rsid w:val="00461F5F"/>
    <w:rsid w:val="004628D2"/>
    <w:rsid w:val="00462B5F"/>
    <w:rsid w:val="00462DCD"/>
    <w:rsid w:val="00463EA1"/>
    <w:rsid w:val="004648AD"/>
    <w:rsid w:val="004648DA"/>
    <w:rsid w:val="004703A9"/>
    <w:rsid w:val="00470412"/>
    <w:rsid w:val="00471DF7"/>
    <w:rsid w:val="00472A11"/>
    <w:rsid w:val="00473704"/>
    <w:rsid w:val="004760DE"/>
    <w:rsid w:val="004763D7"/>
    <w:rsid w:val="00480A02"/>
    <w:rsid w:val="004814A2"/>
    <w:rsid w:val="00481993"/>
    <w:rsid w:val="004840E0"/>
    <w:rsid w:val="004861D4"/>
    <w:rsid w:val="004865DC"/>
    <w:rsid w:val="004875D8"/>
    <w:rsid w:val="004876A9"/>
    <w:rsid w:val="004926D9"/>
    <w:rsid w:val="004958B7"/>
    <w:rsid w:val="004A004E"/>
    <w:rsid w:val="004A052C"/>
    <w:rsid w:val="004A24CF"/>
    <w:rsid w:val="004A3581"/>
    <w:rsid w:val="004A5DC7"/>
    <w:rsid w:val="004A6987"/>
    <w:rsid w:val="004A715F"/>
    <w:rsid w:val="004B1115"/>
    <w:rsid w:val="004B1C7C"/>
    <w:rsid w:val="004B1EE3"/>
    <w:rsid w:val="004B1FA1"/>
    <w:rsid w:val="004B361F"/>
    <w:rsid w:val="004B5294"/>
    <w:rsid w:val="004B6EEF"/>
    <w:rsid w:val="004C210A"/>
    <w:rsid w:val="004C28BE"/>
    <w:rsid w:val="004C347D"/>
    <w:rsid w:val="004C3760"/>
    <w:rsid w:val="004C3D1D"/>
    <w:rsid w:val="004C3D84"/>
    <w:rsid w:val="004C45CD"/>
    <w:rsid w:val="004C50BE"/>
    <w:rsid w:val="004C7296"/>
    <w:rsid w:val="004C74C5"/>
    <w:rsid w:val="004C7913"/>
    <w:rsid w:val="004C7B6F"/>
    <w:rsid w:val="004D0C64"/>
    <w:rsid w:val="004D3567"/>
    <w:rsid w:val="004D4C41"/>
    <w:rsid w:val="004D62D0"/>
    <w:rsid w:val="004E2E12"/>
    <w:rsid w:val="004E34B4"/>
    <w:rsid w:val="004E355E"/>
    <w:rsid w:val="004E461E"/>
    <w:rsid w:val="004E4DD6"/>
    <w:rsid w:val="004F21E8"/>
    <w:rsid w:val="004F3281"/>
    <w:rsid w:val="004F3CC9"/>
    <w:rsid w:val="004F40E3"/>
    <w:rsid w:val="004F5E36"/>
    <w:rsid w:val="005021C8"/>
    <w:rsid w:val="005026D4"/>
    <w:rsid w:val="00502711"/>
    <w:rsid w:val="0050479B"/>
    <w:rsid w:val="005067DB"/>
    <w:rsid w:val="00507AB8"/>
    <w:rsid w:val="00507B47"/>
    <w:rsid w:val="00507BEF"/>
    <w:rsid w:val="00507CC9"/>
    <w:rsid w:val="005119A5"/>
    <w:rsid w:val="00513951"/>
    <w:rsid w:val="005140AB"/>
    <w:rsid w:val="00520193"/>
    <w:rsid w:val="0052036D"/>
    <w:rsid w:val="005217A0"/>
    <w:rsid w:val="005233D6"/>
    <w:rsid w:val="005241E3"/>
    <w:rsid w:val="00526467"/>
    <w:rsid w:val="005278B7"/>
    <w:rsid w:val="00531C83"/>
    <w:rsid w:val="00531E06"/>
    <w:rsid w:val="00532016"/>
    <w:rsid w:val="00532428"/>
    <w:rsid w:val="00532558"/>
    <w:rsid w:val="005346C8"/>
    <w:rsid w:val="0054203E"/>
    <w:rsid w:val="00543096"/>
    <w:rsid w:val="00543E7D"/>
    <w:rsid w:val="005441E0"/>
    <w:rsid w:val="00547659"/>
    <w:rsid w:val="00547A68"/>
    <w:rsid w:val="00552658"/>
    <w:rsid w:val="005531C9"/>
    <w:rsid w:val="00554831"/>
    <w:rsid w:val="00554879"/>
    <w:rsid w:val="00554FA6"/>
    <w:rsid w:val="00556D6B"/>
    <w:rsid w:val="00556F24"/>
    <w:rsid w:val="005618FD"/>
    <w:rsid w:val="005647EB"/>
    <w:rsid w:val="00570C43"/>
    <w:rsid w:val="00571E1B"/>
    <w:rsid w:val="005728BE"/>
    <w:rsid w:val="00574391"/>
    <w:rsid w:val="00576F45"/>
    <w:rsid w:val="00577154"/>
    <w:rsid w:val="00577BD2"/>
    <w:rsid w:val="005818DC"/>
    <w:rsid w:val="00582785"/>
    <w:rsid w:val="00582AB7"/>
    <w:rsid w:val="0058641F"/>
    <w:rsid w:val="00586669"/>
    <w:rsid w:val="005870A2"/>
    <w:rsid w:val="00587B66"/>
    <w:rsid w:val="00590149"/>
    <w:rsid w:val="00590AB5"/>
    <w:rsid w:val="00590C97"/>
    <w:rsid w:val="00592274"/>
    <w:rsid w:val="005929A2"/>
    <w:rsid w:val="005930C0"/>
    <w:rsid w:val="00594169"/>
    <w:rsid w:val="005949C7"/>
    <w:rsid w:val="00595F0C"/>
    <w:rsid w:val="005964C5"/>
    <w:rsid w:val="00596B1F"/>
    <w:rsid w:val="005975C2"/>
    <w:rsid w:val="00597719"/>
    <w:rsid w:val="005A003A"/>
    <w:rsid w:val="005A01AF"/>
    <w:rsid w:val="005A5CBE"/>
    <w:rsid w:val="005B0A4E"/>
    <w:rsid w:val="005B0E68"/>
    <w:rsid w:val="005B2110"/>
    <w:rsid w:val="005B2F3F"/>
    <w:rsid w:val="005B350B"/>
    <w:rsid w:val="005B5A8A"/>
    <w:rsid w:val="005B61E6"/>
    <w:rsid w:val="005B7B22"/>
    <w:rsid w:val="005B7EBB"/>
    <w:rsid w:val="005C102C"/>
    <w:rsid w:val="005C1954"/>
    <w:rsid w:val="005C4049"/>
    <w:rsid w:val="005C47F3"/>
    <w:rsid w:val="005C6C38"/>
    <w:rsid w:val="005C77E1"/>
    <w:rsid w:val="005D1C91"/>
    <w:rsid w:val="005D3486"/>
    <w:rsid w:val="005D4C54"/>
    <w:rsid w:val="005D668A"/>
    <w:rsid w:val="005D6A2F"/>
    <w:rsid w:val="005D7A18"/>
    <w:rsid w:val="005E0592"/>
    <w:rsid w:val="005E1A82"/>
    <w:rsid w:val="005E38DD"/>
    <w:rsid w:val="005E44D1"/>
    <w:rsid w:val="005E5F19"/>
    <w:rsid w:val="005E6F33"/>
    <w:rsid w:val="005E794C"/>
    <w:rsid w:val="005F0A28"/>
    <w:rsid w:val="005F0E5E"/>
    <w:rsid w:val="005F5341"/>
    <w:rsid w:val="005F678A"/>
    <w:rsid w:val="00600535"/>
    <w:rsid w:val="006005D3"/>
    <w:rsid w:val="00601016"/>
    <w:rsid w:val="00602B4C"/>
    <w:rsid w:val="00602E81"/>
    <w:rsid w:val="00604AFE"/>
    <w:rsid w:val="00606354"/>
    <w:rsid w:val="006076A6"/>
    <w:rsid w:val="00610CD6"/>
    <w:rsid w:val="00611321"/>
    <w:rsid w:val="00612F0D"/>
    <w:rsid w:val="00614046"/>
    <w:rsid w:val="006142E9"/>
    <w:rsid w:val="0061561B"/>
    <w:rsid w:val="00616D53"/>
    <w:rsid w:val="006209F8"/>
    <w:rsid w:val="00620DEE"/>
    <w:rsid w:val="00621EF0"/>
    <w:rsid w:val="00621F92"/>
    <w:rsid w:val="0062280A"/>
    <w:rsid w:val="006231E1"/>
    <w:rsid w:val="00625639"/>
    <w:rsid w:val="00626342"/>
    <w:rsid w:val="006318E2"/>
    <w:rsid w:val="00631B33"/>
    <w:rsid w:val="00632CF0"/>
    <w:rsid w:val="00632EDF"/>
    <w:rsid w:val="006351CF"/>
    <w:rsid w:val="0064079D"/>
    <w:rsid w:val="0064184D"/>
    <w:rsid w:val="00641A5D"/>
    <w:rsid w:val="006422CC"/>
    <w:rsid w:val="00645E88"/>
    <w:rsid w:val="00650BB3"/>
    <w:rsid w:val="00651D18"/>
    <w:rsid w:val="006525BD"/>
    <w:rsid w:val="0065348A"/>
    <w:rsid w:val="006548E7"/>
    <w:rsid w:val="00654BD7"/>
    <w:rsid w:val="0065771D"/>
    <w:rsid w:val="0066035C"/>
    <w:rsid w:val="00660E3E"/>
    <w:rsid w:val="00662E74"/>
    <w:rsid w:val="00663386"/>
    <w:rsid w:val="006646BB"/>
    <w:rsid w:val="00664CEC"/>
    <w:rsid w:val="00666520"/>
    <w:rsid w:val="00667F34"/>
    <w:rsid w:val="00670DAC"/>
    <w:rsid w:val="0067238F"/>
    <w:rsid w:val="00672BDA"/>
    <w:rsid w:val="006731B3"/>
    <w:rsid w:val="00673765"/>
    <w:rsid w:val="006746B6"/>
    <w:rsid w:val="006761BD"/>
    <w:rsid w:val="00677192"/>
    <w:rsid w:val="0067783D"/>
    <w:rsid w:val="0067793A"/>
    <w:rsid w:val="00680C23"/>
    <w:rsid w:val="006832CB"/>
    <w:rsid w:val="00683C96"/>
    <w:rsid w:val="00683E23"/>
    <w:rsid w:val="006843D7"/>
    <w:rsid w:val="00684D00"/>
    <w:rsid w:val="006918F7"/>
    <w:rsid w:val="00692B9F"/>
    <w:rsid w:val="00692FED"/>
    <w:rsid w:val="00693766"/>
    <w:rsid w:val="00696DF9"/>
    <w:rsid w:val="006A00C8"/>
    <w:rsid w:val="006A0C49"/>
    <w:rsid w:val="006A267B"/>
    <w:rsid w:val="006A3281"/>
    <w:rsid w:val="006A6DE5"/>
    <w:rsid w:val="006A7916"/>
    <w:rsid w:val="006B2CE0"/>
    <w:rsid w:val="006B2E01"/>
    <w:rsid w:val="006B2FCE"/>
    <w:rsid w:val="006B4888"/>
    <w:rsid w:val="006B48E6"/>
    <w:rsid w:val="006B4F56"/>
    <w:rsid w:val="006B7152"/>
    <w:rsid w:val="006B7A09"/>
    <w:rsid w:val="006C16FB"/>
    <w:rsid w:val="006C2E45"/>
    <w:rsid w:val="006C359C"/>
    <w:rsid w:val="006C5008"/>
    <w:rsid w:val="006C5579"/>
    <w:rsid w:val="006C6CCA"/>
    <w:rsid w:val="006C789F"/>
    <w:rsid w:val="006D6E8B"/>
    <w:rsid w:val="006D7209"/>
    <w:rsid w:val="006E0CF7"/>
    <w:rsid w:val="006E0F39"/>
    <w:rsid w:val="006E3621"/>
    <w:rsid w:val="006E4C97"/>
    <w:rsid w:val="006E50A6"/>
    <w:rsid w:val="006E5251"/>
    <w:rsid w:val="006E55C2"/>
    <w:rsid w:val="006E6F09"/>
    <w:rsid w:val="006E7223"/>
    <w:rsid w:val="006E737D"/>
    <w:rsid w:val="006F3200"/>
    <w:rsid w:val="006F4451"/>
    <w:rsid w:val="006F561D"/>
    <w:rsid w:val="006F657B"/>
    <w:rsid w:val="006F6B4C"/>
    <w:rsid w:val="006F7171"/>
    <w:rsid w:val="0070609A"/>
    <w:rsid w:val="00707DD1"/>
    <w:rsid w:val="00711962"/>
    <w:rsid w:val="007123F1"/>
    <w:rsid w:val="00713973"/>
    <w:rsid w:val="007143D3"/>
    <w:rsid w:val="00714A62"/>
    <w:rsid w:val="00715CD9"/>
    <w:rsid w:val="00715F7A"/>
    <w:rsid w:val="00720A24"/>
    <w:rsid w:val="00722B2D"/>
    <w:rsid w:val="0072331C"/>
    <w:rsid w:val="00724F54"/>
    <w:rsid w:val="00725BB7"/>
    <w:rsid w:val="00730133"/>
    <w:rsid w:val="00731F62"/>
    <w:rsid w:val="00732386"/>
    <w:rsid w:val="00733C34"/>
    <w:rsid w:val="00734F9E"/>
    <w:rsid w:val="0073514D"/>
    <w:rsid w:val="00735605"/>
    <w:rsid w:val="00737248"/>
    <w:rsid w:val="007373B0"/>
    <w:rsid w:val="0073772E"/>
    <w:rsid w:val="00742BD9"/>
    <w:rsid w:val="00742D9A"/>
    <w:rsid w:val="007447F3"/>
    <w:rsid w:val="00745F9D"/>
    <w:rsid w:val="00746089"/>
    <w:rsid w:val="00746C21"/>
    <w:rsid w:val="00747416"/>
    <w:rsid w:val="00750E31"/>
    <w:rsid w:val="0075105E"/>
    <w:rsid w:val="0075197C"/>
    <w:rsid w:val="0075499F"/>
    <w:rsid w:val="00757544"/>
    <w:rsid w:val="00757ED4"/>
    <w:rsid w:val="00760202"/>
    <w:rsid w:val="00762474"/>
    <w:rsid w:val="007630FB"/>
    <w:rsid w:val="0076397C"/>
    <w:rsid w:val="00764A4E"/>
    <w:rsid w:val="007661C8"/>
    <w:rsid w:val="00770264"/>
    <w:rsid w:val="0077098D"/>
    <w:rsid w:val="00774B43"/>
    <w:rsid w:val="00782910"/>
    <w:rsid w:val="00785179"/>
    <w:rsid w:val="00785BF9"/>
    <w:rsid w:val="00785D51"/>
    <w:rsid w:val="00786974"/>
    <w:rsid w:val="00787817"/>
    <w:rsid w:val="00790BEE"/>
    <w:rsid w:val="00791CF0"/>
    <w:rsid w:val="00791ECF"/>
    <w:rsid w:val="007931FA"/>
    <w:rsid w:val="007950BD"/>
    <w:rsid w:val="00795A1A"/>
    <w:rsid w:val="00796634"/>
    <w:rsid w:val="00796B5F"/>
    <w:rsid w:val="007A045D"/>
    <w:rsid w:val="007A14AE"/>
    <w:rsid w:val="007A1FD5"/>
    <w:rsid w:val="007A31DB"/>
    <w:rsid w:val="007A3A57"/>
    <w:rsid w:val="007A4861"/>
    <w:rsid w:val="007A4E24"/>
    <w:rsid w:val="007A4FE1"/>
    <w:rsid w:val="007A5C3C"/>
    <w:rsid w:val="007A7BBA"/>
    <w:rsid w:val="007A7D40"/>
    <w:rsid w:val="007B0720"/>
    <w:rsid w:val="007B09A7"/>
    <w:rsid w:val="007B0C50"/>
    <w:rsid w:val="007B0CA5"/>
    <w:rsid w:val="007B267E"/>
    <w:rsid w:val="007B4221"/>
    <w:rsid w:val="007B48F9"/>
    <w:rsid w:val="007B5FD5"/>
    <w:rsid w:val="007C0F1E"/>
    <w:rsid w:val="007C124D"/>
    <w:rsid w:val="007C1308"/>
    <w:rsid w:val="007C1A43"/>
    <w:rsid w:val="007C1EA2"/>
    <w:rsid w:val="007C4FA9"/>
    <w:rsid w:val="007C5665"/>
    <w:rsid w:val="007D0416"/>
    <w:rsid w:val="007D0951"/>
    <w:rsid w:val="007D0DA7"/>
    <w:rsid w:val="007D0E8A"/>
    <w:rsid w:val="007D26B2"/>
    <w:rsid w:val="007D2885"/>
    <w:rsid w:val="007D3189"/>
    <w:rsid w:val="007D610D"/>
    <w:rsid w:val="007D705E"/>
    <w:rsid w:val="007D7DD5"/>
    <w:rsid w:val="007E04CA"/>
    <w:rsid w:val="007E0786"/>
    <w:rsid w:val="007E0831"/>
    <w:rsid w:val="007E17BB"/>
    <w:rsid w:val="007E4379"/>
    <w:rsid w:val="007E4E06"/>
    <w:rsid w:val="007E5B78"/>
    <w:rsid w:val="007E7C43"/>
    <w:rsid w:val="007F2B2F"/>
    <w:rsid w:val="007F5B4C"/>
    <w:rsid w:val="007F5F21"/>
    <w:rsid w:val="007F6093"/>
    <w:rsid w:val="0080013E"/>
    <w:rsid w:val="0080083A"/>
    <w:rsid w:val="008016CA"/>
    <w:rsid w:val="00801759"/>
    <w:rsid w:val="00802CA3"/>
    <w:rsid w:val="008030F4"/>
    <w:rsid w:val="00803DF8"/>
    <w:rsid w:val="00804348"/>
    <w:rsid w:val="00806356"/>
    <w:rsid w:val="00806555"/>
    <w:rsid w:val="00806F07"/>
    <w:rsid w:val="00813288"/>
    <w:rsid w:val="008168FC"/>
    <w:rsid w:val="0082245E"/>
    <w:rsid w:val="00827943"/>
    <w:rsid w:val="00830996"/>
    <w:rsid w:val="00830C8F"/>
    <w:rsid w:val="008313FB"/>
    <w:rsid w:val="00831B50"/>
    <w:rsid w:val="008345F1"/>
    <w:rsid w:val="0083484F"/>
    <w:rsid w:val="008349D4"/>
    <w:rsid w:val="00837E9E"/>
    <w:rsid w:val="00841BEA"/>
    <w:rsid w:val="00843DD1"/>
    <w:rsid w:val="0084411F"/>
    <w:rsid w:val="00844466"/>
    <w:rsid w:val="0084547E"/>
    <w:rsid w:val="00846417"/>
    <w:rsid w:val="00846D2E"/>
    <w:rsid w:val="00857060"/>
    <w:rsid w:val="00860919"/>
    <w:rsid w:val="00860AB8"/>
    <w:rsid w:val="00865B07"/>
    <w:rsid w:val="00866039"/>
    <w:rsid w:val="008667EA"/>
    <w:rsid w:val="008740F5"/>
    <w:rsid w:val="008750A3"/>
    <w:rsid w:val="00875C14"/>
    <w:rsid w:val="0087637F"/>
    <w:rsid w:val="00880C14"/>
    <w:rsid w:val="00882B89"/>
    <w:rsid w:val="00882DF2"/>
    <w:rsid w:val="00886056"/>
    <w:rsid w:val="00890C34"/>
    <w:rsid w:val="00890E69"/>
    <w:rsid w:val="00891102"/>
    <w:rsid w:val="00892AD5"/>
    <w:rsid w:val="00894225"/>
    <w:rsid w:val="00896183"/>
    <w:rsid w:val="008978CE"/>
    <w:rsid w:val="008A1512"/>
    <w:rsid w:val="008A1DA4"/>
    <w:rsid w:val="008A3212"/>
    <w:rsid w:val="008A5928"/>
    <w:rsid w:val="008A5964"/>
    <w:rsid w:val="008A74F1"/>
    <w:rsid w:val="008B022F"/>
    <w:rsid w:val="008B0A5F"/>
    <w:rsid w:val="008B1F49"/>
    <w:rsid w:val="008B6ABE"/>
    <w:rsid w:val="008B768E"/>
    <w:rsid w:val="008C0CC0"/>
    <w:rsid w:val="008C1561"/>
    <w:rsid w:val="008C2A97"/>
    <w:rsid w:val="008C59DD"/>
    <w:rsid w:val="008D02D7"/>
    <w:rsid w:val="008D325B"/>
    <w:rsid w:val="008D32B9"/>
    <w:rsid w:val="008D433B"/>
    <w:rsid w:val="008D4A16"/>
    <w:rsid w:val="008E0F66"/>
    <w:rsid w:val="008E1F68"/>
    <w:rsid w:val="008E2128"/>
    <w:rsid w:val="008E5401"/>
    <w:rsid w:val="008E566E"/>
    <w:rsid w:val="008E5ADB"/>
    <w:rsid w:val="008E7D08"/>
    <w:rsid w:val="008F1064"/>
    <w:rsid w:val="008F1266"/>
    <w:rsid w:val="008F295D"/>
    <w:rsid w:val="008F43F3"/>
    <w:rsid w:val="008F70A9"/>
    <w:rsid w:val="008F7456"/>
    <w:rsid w:val="00900584"/>
    <w:rsid w:val="009015A1"/>
    <w:rsid w:val="0090161A"/>
    <w:rsid w:val="00901EB6"/>
    <w:rsid w:val="009021C4"/>
    <w:rsid w:val="009041F8"/>
    <w:rsid w:val="009046F2"/>
    <w:rsid w:val="00904C62"/>
    <w:rsid w:val="00905E86"/>
    <w:rsid w:val="00906488"/>
    <w:rsid w:val="00907A29"/>
    <w:rsid w:val="0091052E"/>
    <w:rsid w:val="009124BD"/>
    <w:rsid w:val="00913199"/>
    <w:rsid w:val="0091470E"/>
    <w:rsid w:val="00916F42"/>
    <w:rsid w:val="00917DE5"/>
    <w:rsid w:val="00917E92"/>
    <w:rsid w:val="00922BA8"/>
    <w:rsid w:val="0092348F"/>
    <w:rsid w:val="0092414A"/>
    <w:rsid w:val="00924DAC"/>
    <w:rsid w:val="00926A79"/>
    <w:rsid w:val="00926AA9"/>
    <w:rsid w:val="00926DFB"/>
    <w:rsid w:val="00927058"/>
    <w:rsid w:val="009277C8"/>
    <w:rsid w:val="009306D5"/>
    <w:rsid w:val="00932828"/>
    <w:rsid w:val="0093387A"/>
    <w:rsid w:val="009340AB"/>
    <w:rsid w:val="00934901"/>
    <w:rsid w:val="009371FA"/>
    <w:rsid w:val="0093767D"/>
    <w:rsid w:val="00942750"/>
    <w:rsid w:val="0094350C"/>
    <w:rsid w:val="009450CE"/>
    <w:rsid w:val="00945623"/>
    <w:rsid w:val="009459BB"/>
    <w:rsid w:val="00946562"/>
    <w:rsid w:val="00946801"/>
    <w:rsid w:val="00947179"/>
    <w:rsid w:val="009477A5"/>
    <w:rsid w:val="0095164B"/>
    <w:rsid w:val="00954090"/>
    <w:rsid w:val="00956870"/>
    <w:rsid w:val="009573E7"/>
    <w:rsid w:val="00957C64"/>
    <w:rsid w:val="0096170E"/>
    <w:rsid w:val="00962C52"/>
    <w:rsid w:val="00962FC2"/>
    <w:rsid w:val="00963238"/>
    <w:rsid w:val="009635F6"/>
    <w:rsid w:val="00963C7E"/>
    <w:rsid w:val="00963E05"/>
    <w:rsid w:val="00964593"/>
    <w:rsid w:val="00964A45"/>
    <w:rsid w:val="00964EBD"/>
    <w:rsid w:val="00967843"/>
    <w:rsid w:val="00967D54"/>
    <w:rsid w:val="00971028"/>
    <w:rsid w:val="00971406"/>
    <w:rsid w:val="009769E9"/>
    <w:rsid w:val="00980718"/>
    <w:rsid w:val="009807CB"/>
    <w:rsid w:val="0098128D"/>
    <w:rsid w:val="00981C8D"/>
    <w:rsid w:val="0098441F"/>
    <w:rsid w:val="00984684"/>
    <w:rsid w:val="009902FC"/>
    <w:rsid w:val="00993B84"/>
    <w:rsid w:val="009947AA"/>
    <w:rsid w:val="00994942"/>
    <w:rsid w:val="00994C6A"/>
    <w:rsid w:val="0099610E"/>
    <w:rsid w:val="00996483"/>
    <w:rsid w:val="00996E9C"/>
    <w:rsid w:val="00996F5A"/>
    <w:rsid w:val="009A7444"/>
    <w:rsid w:val="009A7729"/>
    <w:rsid w:val="009A774D"/>
    <w:rsid w:val="009B041A"/>
    <w:rsid w:val="009B1999"/>
    <w:rsid w:val="009B3E8B"/>
    <w:rsid w:val="009B6550"/>
    <w:rsid w:val="009B68A8"/>
    <w:rsid w:val="009B6E57"/>
    <w:rsid w:val="009B71DA"/>
    <w:rsid w:val="009C104B"/>
    <w:rsid w:val="009C120B"/>
    <w:rsid w:val="009C1DB5"/>
    <w:rsid w:val="009C28F3"/>
    <w:rsid w:val="009C37C3"/>
    <w:rsid w:val="009C573B"/>
    <w:rsid w:val="009C7595"/>
    <w:rsid w:val="009C7C86"/>
    <w:rsid w:val="009D0C46"/>
    <w:rsid w:val="009D214C"/>
    <w:rsid w:val="009D2B67"/>
    <w:rsid w:val="009D2FF7"/>
    <w:rsid w:val="009D45DF"/>
    <w:rsid w:val="009D7B8C"/>
    <w:rsid w:val="009E0799"/>
    <w:rsid w:val="009E461B"/>
    <w:rsid w:val="009E661F"/>
    <w:rsid w:val="009E6843"/>
    <w:rsid w:val="009E7884"/>
    <w:rsid w:val="009E788A"/>
    <w:rsid w:val="009F0E08"/>
    <w:rsid w:val="009F75D2"/>
    <w:rsid w:val="009F7A63"/>
    <w:rsid w:val="00A02AB5"/>
    <w:rsid w:val="00A03097"/>
    <w:rsid w:val="00A053A8"/>
    <w:rsid w:val="00A065F0"/>
    <w:rsid w:val="00A079AE"/>
    <w:rsid w:val="00A12185"/>
    <w:rsid w:val="00A16784"/>
    <w:rsid w:val="00A1692F"/>
    <w:rsid w:val="00A1763D"/>
    <w:rsid w:val="00A17CEC"/>
    <w:rsid w:val="00A20A3C"/>
    <w:rsid w:val="00A20A52"/>
    <w:rsid w:val="00A21EE6"/>
    <w:rsid w:val="00A22EF4"/>
    <w:rsid w:val="00A2663A"/>
    <w:rsid w:val="00A267E1"/>
    <w:rsid w:val="00A27EF0"/>
    <w:rsid w:val="00A319C9"/>
    <w:rsid w:val="00A32529"/>
    <w:rsid w:val="00A35955"/>
    <w:rsid w:val="00A36B39"/>
    <w:rsid w:val="00A420E2"/>
    <w:rsid w:val="00A42361"/>
    <w:rsid w:val="00A45A84"/>
    <w:rsid w:val="00A4646C"/>
    <w:rsid w:val="00A505C3"/>
    <w:rsid w:val="00A509E4"/>
    <w:rsid w:val="00A50B20"/>
    <w:rsid w:val="00A51390"/>
    <w:rsid w:val="00A52993"/>
    <w:rsid w:val="00A52CF4"/>
    <w:rsid w:val="00A5385F"/>
    <w:rsid w:val="00A56069"/>
    <w:rsid w:val="00A56567"/>
    <w:rsid w:val="00A57F83"/>
    <w:rsid w:val="00A606D9"/>
    <w:rsid w:val="00A60CCD"/>
    <w:rsid w:val="00A60D13"/>
    <w:rsid w:val="00A62465"/>
    <w:rsid w:val="00A63802"/>
    <w:rsid w:val="00A65E1D"/>
    <w:rsid w:val="00A66183"/>
    <w:rsid w:val="00A66DF7"/>
    <w:rsid w:val="00A7223D"/>
    <w:rsid w:val="00A72745"/>
    <w:rsid w:val="00A72D4F"/>
    <w:rsid w:val="00A72F22"/>
    <w:rsid w:val="00A73B5D"/>
    <w:rsid w:val="00A75D14"/>
    <w:rsid w:val="00A76EFC"/>
    <w:rsid w:val="00A772E9"/>
    <w:rsid w:val="00A803DC"/>
    <w:rsid w:val="00A8352C"/>
    <w:rsid w:val="00A84D0A"/>
    <w:rsid w:val="00A84EA8"/>
    <w:rsid w:val="00A85FC0"/>
    <w:rsid w:val="00A87B0E"/>
    <w:rsid w:val="00A87D50"/>
    <w:rsid w:val="00A91010"/>
    <w:rsid w:val="00A93000"/>
    <w:rsid w:val="00A93AA8"/>
    <w:rsid w:val="00A93BBA"/>
    <w:rsid w:val="00A959BF"/>
    <w:rsid w:val="00A96FD2"/>
    <w:rsid w:val="00A979FA"/>
    <w:rsid w:val="00A97D96"/>
    <w:rsid w:val="00A97F29"/>
    <w:rsid w:val="00AA18CE"/>
    <w:rsid w:val="00AA2E72"/>
    <w:rsid w:val="00AA456E"/>
    <w:rsid w:val="00AA5E50"/>
    <w:rsid w:val="00AA702E"/>
    <w:rsid w:val="00AA7429"/>
    <w:rsid w:val="00AA7D26"/>
    <w:rsid w:val="00AB0272"/>
    <w:rsid w:val="00AB0964"/>
    <w:rsid w:val="00AB1B54"/>
    <w:rsid w:val="00AB271B"/>
    <w:rsid w:val="00AB2989"/>
    <w:rsid w:val="00AB3F64"/>
    <w:rsid w:val="00AB5011"/>
    <w:rsid w:val="00AB5527"/>
    <w:rsid w:val="00AB61DE"/>
    <w:rsid w:val="00AB679E"/>
    <w:rsid w:val="00AC132F"/>
    <w:rsid w:val="00AC230E"/>
    <w:rsid w:val="00AC7368"/>
    <w:rsid w:val="00AD120D"/>
    <w:rsid w:val="00AD16B9"/>
    <w:rsid w:val="00AD22B0"/>
    <w:rsid w:val="00AD45CB"/>
    <w:rsid w:val="00AD55B4"/>
    <w:rsid w:val="00AD6C13"/>
    <w:rsid w:val="00AE377D"/>
    <w:rsid w:val="00AE57F2"/>
    <w:rsid w:val="00AE5835"/>
    <w:rsid w:val="00AE694C"/>
    <w:rsid w:val="00AE7BFA"/>
    <w:rsid w:val="00AE7E38"/>
    <w:rsid w:val="00AF0881"/>
    <w:rsid w:val="00AF0EBA"/>
    <w:rsid w:val="00AF102C"/>
    <w:rsid w:val="00AF1C9B"/>
    <w:rsid w:val="00AF2463"/>
    <w:rsid w:val="00AF3FFE"/>
    <w:rsid w:val="00AF4D50"/>
    <w:rsid w:val="00AF5AF7"/>
    <w:rsid w:val="00AF6D99"/>
    <w:rsid w:val="00B02926"/>
    <w:rsid w:val="00B02C8A"/>
    <w:rsid w:val="00B030A9"/>
    <w:rsid w:val="00B03BC7"/>
    <w:rsid w:val="00B04551"/>
    <w:rsid w:val="00B04F00"/>
    <w:rsid w:val="00B05A66"/>
    <w:rsid w:val="00B101D5"/>
    <w:rsid w:val="00B11746"/>
    <w:rsid w:val="00B13F89"/>
    <w:rsid w:val="00B1766B"/>
    <w:rsid w:val="00B17FBD"/>
    <w:rsid w:val="00B20925"/>
    <w:rsid w:val="00B212BA"/>
    <w:rsid w:val="00B225FF"/>
    <w:rsid w:val="00B23683"/>
    <w:rsid w:val="00B23C05"/>
    <w:rsid w:val="00B255D5"/>
    <w:rsid w:val="00B2572E"/>
    <w:rsid w:val="00B2670C"/>
    <w:rsid w:val="00B26786"/>
    <w:rsid w:val="00B2730D"/>
    <w:rsid w:val="00B30368"/>
    <w:rsid w:val="00B3039A"/>
    <w:rsid w:val="00B3060A"/>
    <w:rsid w:val="00B315A6"/>
    <w:rsid w:val="00B31813"/>
    <w:rsid w:val="00B31EA2"/>
    <w:rsid w:val="00B32D46"/>
    <w:rsid w:val="00B32FBD"/>
    <w:rsid w:val="00B33365"/>
    <w:rsid w:val="00B36E6E"/>
    <w:rsid w:val="00B43B1F"/>
    <w:rsid w:val="00B43D83"/>
    <w:rsid w:val="00B4452E"/>
    <w:rsid w:val="00B44C24"/>
    <w:rsid w:val="00B476CB"/>
    <w:rsid w:val="00B52801"/>
    <w:rsid w:val="00B5417C"/>
    <w:rsid w:val="00B5489A"/>
    <w:rsid w:val="00B54D9E"/>
    <w:rsid w:val="00B55F0D"/>
    <w:rsid w:val="00B57B36"/>
    <w:rsid w:val="00B57E6F"/>
    <w:rsid w:val="00B57EB2"/>
    <w:rsid w:val="00B61D81"/>
    <w:rsid w:val="00B63FD2"/>
    <w:rsid w:val="00B66CE7"/>
    <w:rsid w:val="00B67FF0"/>
    <w:rsid w:val="00B72F2B"/>
    <w:rsid w:val="00B75EE3"/>
    <w:rsid w:val="00B7681E"/>
    <w:rsid w:val="00B8686D"/>
    <w:rsid w:val="00B903DC"/>
    <w:rsid w:val="00B90611"/>
    <w:rsid w:val="00B90D80"/>
    <w:rsid w:val="00B92170"/>
    <w:rsid w:val="00B939C0"/>
    <w:rsid w:val="00B93F69"/>
    <w:rsid w:val="00B94D52"/>
    <w:rsid w:val="00B969BD"/>
    <w:rsid w:val="00BA05AF"/>
    <w:rsid w:val="00BA1155"/>
    <w:rsid w:val="00BA3370"/>
    <w:rsid w:val="00BA3CAD"/>
    <w:rsid w:val="00BA61A4"/>
    <w:rsid w:val="00BA7295"/>
    <w:rsid w:val="00BB0B90"/>
    <w:rsid w:val="00BB1631"/>
    <w:rsid w:val="00BB1DDC"/>
    <w:rsid w:val="00BB4895"/>
    <w:rsid w:val="00BB4BCE"/>
    <w:rsid w:val="00BB613E"/>
    <w:rsid w:val="00BC30C9"/>
    <w:rsid w:val="00BC3977"/>
    <w:rsid w:val="00BC6D47"/>
    <w:rsid w:val="00BC75AB"/>
    <w:rsid w:val="00BC7F0F"/>
    <w:rsid w:val="00BD06B0"/>
    <w:rsid w:val="00BD077D"/>
    <w:rsid w:val="00BD1E1F"/>
    <w:rsid w:val="00BD4016"/>
    <w:rsid w:val="00BD4C6C"/>
    <w:rsid w:val="00BD4DD8"/>
    <w:rsid w:val="00BE1477"/>
    <w:rsid w:val="00BE1A33"/>
    <w:rsid w:val="00BE2F34"/>
    <w:rsid w:val="00BE3A2F"/>
    <w:rsid w:val="00BE3E58"/>
    <w:rsid w:val="00BE4EA5"/>
    <w:rsid w:val="00BE6641"/>
    <w:rsid w:val="00BF0279"/>
    <w:rsid w:val="00BF13CE"/>
    <w:rsid w:val="00BF246D"/>
    <w:rsid w:val="00BF2B00"/>
    <w:rsid w:val="00BF2EDD"/>
    <w:rsid w:val="00BF48E0"/>
    <w:rsid w:val="00C01616"/>
    <w:rsid w:val="00C0162B"/>
    <w:rsid w:val="00C02CBE"/>
    <w:rsid w:val="00C02E4A"/>
    <w:rsid w:val="00C03013"/>
    <w:rsid w:val="00C04480"/>
    <w:rsid w:val="00C068ED"/>
    <w:rsid w:val="00C07722"/>
    <w:rsid w:val="00C12088"/>
    <w:rsid w:val="00C1344E"/>
    <w:rsid w:val="00C142E4"/>
    <w:rsid w:val="00C15413"/>
    <w:rsid w:val="00C1544B"/>
    <w:rsid w:val="00C22E0C"/>
    <w:rsid w:val="00C2451C"/>
    <w:rsid w:val="00C25F5F"/>
    <w:rsid w:val="00C30CE6"/>
    <w:rsid w:val="00C3153E"/>
    <w:rsid w:val="00C31AC9"/>
    <w:rsid w:val="00C345B1"/>
    <w:rsid w:val="00C347DA"/>
    <w:rsid w:val="00C40142"/>
    <w:rsid w:val="00C40BC2"/>
    <w:rsid w:val="00C40C72"/>
    <w:rsid w:val="00C430BD"/>
    <w:rsid w:val="00C4311B"/>
    <w:rsid w:val="00C4481E"/>
    <w:rsid w:val="00C45A78"/>
    <w:rsid w:val="00C46295"/>
    <w:rsid w:val="00C4695F"/>
    <w:rsid w:val="00C4697C"/>
    <w:rsid w:val="00C50A3A"/>
    <w:rsid w:val="00C519E8"/>
    <w:rsid w:val="00C51D3D"/>
    <w:rsid w:val="00C5215E"/>
    <w:rsid w:val="00C52C3C"/>
    <w:rsid w:val="00C552BF"/>
    <w:rsid w:val="00C55A97"/>
    <w:rsid w:val="00C57182"/>
    <w:rsid w:val="00C57863"/>
    <w:rsid w:val="00C57ECF"/>
    <w:rsid w:val="00C60BF6"/>
    <w:rsid w:val="00C6137F"/>
    <w:rsid w:val="00C62EC9"/>
    <w:rsid w:val="00C6324F"/>
    <w:rsid w:val="00C636CA"/>
    <w:rsid w:val="00C63706"/>
    <w:rsid w:val="00C640AF"/>
    <w:rsid w:val="00C64310"/>
    <w:rsid w:val="00C64592"/>
    <w:rsid w:val="00C646ED"/>
    <w:rsid w:val="00C6542C"/>
    <w:rsid w:val="00C655FD"/>
    <w:rsid w:val="00C70417"/>
    <w:rsid w:val="00C723D5"/>
    <w:rsid w:val="00C75407"/>
    <w:rsid w:val="00C75D50"/>
    <w:rsid w:val="00C77F09"/>
    <w:rsid w:val="00C81AD3"/>
    <w:rsid w:val="00C827DD"/>
    <w:rsid w:val="00C83A07"/>
    <w:rsid w:val="00C840DC"/>
    <w:rsid w:val="00C841C6"/>
    <w:rsid w:val="00C862CA"/>
    <w:rsid w:val="00C864C6"/>
    <w:rsid w:val="00C870A8"/>
    <w:rsid w:val="00C87C50"/>
    <w:rsid w:val="00C905A0"/>
    <w:rsid w:val="00C912D3"/>
    <w:rsid w:val="00C91374"/>
    <w:rsid w:val="00C9229D"/>
    <w:rsid w:val="00C93B18"/>
    <w:rsid w:val="00C94434"/>
    <w:rsid w:val="00C947A5"/>
    <w:rsid w:val="00C94E45"/>
    <w:rsid w:val="00CA0D75"/>
    <w:rsid w:val="00CA1C95"/>
    <w:rsid w:val="00CA274A"/>
    <w:rsid w:val="00CA40D5"/>
    <w:rsid w:val="00CA41DC"/>
    <w:rsid w:val="00CA4C9A"/>
    <w:rsid w:val="00CA5A9C"/>
    <w:rsid w:val="00CA63EC"/>
    <w:rsid w:val="00CA64A2"/>
    <w:rsid w:val="00CA711C"/>
    <w:rsid w:val="00CA7907"/>
    <w:rsid w:val="00CB08F7"/>
    <w:rsid w:val="00CB27EB"/>
    <w:rsid w:val="00CB2D43"/>
    <w:rsid w:val="00CB3599"/>
    <w:rsid w:val="00CB3968"/>
    <w:rsid w:val="00CB619C"/>
    <w:rsid w:val="00CC4679"/>
    <w:rsid w:val="00CC4C20"/>
    <w:rsid w:val="00CC73CE"/>
    <w:rsid w:val="00CD0493"/>
    <w:rsid w:val="00CD31F2"/>
    <w:rsid w:val="00CD3281"/>
    <w:rsid w:val="00CD3517"/>
    <w:rsid w:val="00CD392B"/>
    <w:rsid w:val="00CD3B6A"/>
    <w:rsid w:val="00CD5FE2"/>
    <w:rsid w:val="00CD6E16"/>
    <w:rsid w:val="00CD74C4"/>
    <w:rsid w:val="00CE0BC5"/>
    <w:rsid w:val="00CE1112"/>
    <w:rsid w:val="00CE2B9B"/>
    <w:rsid w:val="00CE2F60"/>
    <w:rsid w:val="00CE32C7"/>
    <w:rsid w:val="00CE530C"/>
    <w:rsid w:val="00CE7415"/>
    <w:rsid w:val="00CE7C68"/>
    <w:rsid w:val="00CF0C91"/>
    <w:rsid w:val="00CF33C2"/>
    <w:rsid w:val="00CF55FA"/>
    <w:rsid w:val="00CF60ED"/>
    <w:rsid w:val="00CF63C9"/>
    <w:rsid w:val="00D00A52"/>
    <w:rsid w:val="00D02B4C"/>
    <w:rsid w:val="00D040C4"/>
    <w:rsid w:val="00D11092"/>
    <w:rsid w:val="00D1280B"/>
    <w:rsid w:val="00D14204"/>
    <w:rsid w:val="00D162FB"/>
    <w:rsid w:val="00D20AD1"/>
    <w:rsid w:val="00D21D3B"/>
    <w:rsid w:val="00D22415"/>
    <w:rsid w:val="00D24811"/>
    <w:rsid w:val="00D2582C"/>
    <w:rsid w:val="00D26798"/>
    <w:rsid w:val="00D26921"/>
    <w:rsid w:val="00D26AAE"/>
    <w:rsid w:val="00D271AE"/>
    <w:rsid w:val="00D30BE2"/>
    <w:rsid w:val="00D30EEA"/>
    <w:rsid w:val="00D34122"/>
    <w:rsid w:val="00D3470C"/>
    <w:rsid w:val="00D36190"/>
    <w:rsid w:val="00D36EC1"/>
    <w:rsid w:val="00D37A0A"/>
    <w:rsid w:val="00D41374"/>
    <w:rsid w:val="00D42345"/>
    <w:rsid w:val="00D4252F"/>
    <w:rsid w:val="00D4266D"/>
    <w:rsid w:val="00D45A45"/>
    <w:rsid w:val="00D45F75"/>
    <w:rsid w:val="00D462B7"/>
    <w:rsid w:val="00D46B7E"/>
    <w:rsid w:val="00D471D0"/>
    <w:rsid w:val="00D50329"/>
    <w:rsid w:val="00D51BBD"/>
    <w:rsid w:val="00D52AAD"/>
    <w:rsid w:val="00D53D66"/>
    <w:rsid w:val="00D54550"/>
    <w:rsid w:val="00D54850"/>
    <w:rsid w:val="00D57346"/>
    <w:rsid w:val="00D5760C"/>
    <w:rsid w:val="00D57C84"/>
    <w:rsid w:val="00D6057D"/>
    <w:rsid w:val="00D616A8"/>
    <w:rsid w:val="00D625C9"/>
    <w:rsid w:val="00D62EF7"/>
    <w:rsid w:val="00D71470"/>
    <w:rsid w:val="00D71640"/>
    <w:rsid w:val="00D73204"/>
    <w:rsid w:val="00D75638"/>
    <w:rsid w:val="00D7635E"/>
    <w:rsid w:val="00D82B97"/>
    <w:rsid w:val="00D836C5"/>
    <w:rsid w:val="00D84576"/>
    <w:rsid w:val="00D8497E"/>
    <w:rsid w:val="00D863F8"/>
    <w:rsid w:val="00D87533"/>
    <w:rsid w:val="00D9211D"/>
    <w:rsid w:val="00D925C5"/>
    <w:rsid w:val="00D92B8F"/>
    <w:rsid w:val="00D92EA4"/>
    <w:rsid w:val="00D9555A"/>
    <w:rsid w:val="00DA1399"/>
    <w:rsid w:val="00DA2012"/>
    <w:rsid w:val="00DA24C6"/>
    <w:rsid w:val="00DA2767"/>
    <w:rsid w:val="00DA32F1"/>
    <w:rsid w:val="00DA4A10"/>
    <w:rsid w:val="00DA4D7B"/>
    <w:rsid w:val="00DA5251"/>
    <w:rsid w:val="00DA7FD0"/>
    <w:rsid w:val="00DB0391"/>
    <w:rsid w:val="00DB14C2"/>
    <w:rsid w:val="00DB3559"/>
    <w:rsid w:val="00DB54C1"/>
    <w:rsid w:val="00DC10B9"/>
    <w:rsid w:val="00DC2019"/>
    <w:rsid w:val="00DC23F5"/>
    <w:rsid w:val="00DC2840"/>
    <w:rsid w:val="00DC2CDC"/>
    <w:rsid w:val="00DC3681"/>
    <w:rsid w:val="00DC73EE"/>
    <w:rsid w:val="00DC769D"/>
    <w:rsid w:val="00DD271C"/>
    <w:rsid w:val="00DD3BE7"/>
    <w:rsid w:val="00DD4DF2"/>
    <w:rsid w:val="00DD6FBB"/>
    <w:rsid w:val="00DE154A"/>
    <w:rsid w:val="00DE264A"/>
    <w:rsid w:val="00DE543B"/>
    <w:rsid w:val="00DE6D8C"/>
    <w:rsid w:val="00DE78D3"/>
    <w:rsid w:val="00DF21AD"/>
    <w:rsid w:val="00DF2703"/>
    <w:rsid w:val="00DF2E6F"/>
    <w:rsid w:val="00DF30EB"/>
    <w:rsid w:val="00DF43A3"/>
    <w:rsid w:val="00DF5072"/>
    <w:rsid w:val="00DF5145"/>
    <w:rsid w:val="00DF529D"/>
    <w:rsid w:val="00DF6EE3"/>
    <w:rsid w:val="00DF7A84"/>
    <w:rsid w:val="00E01DC2"/>
    <w:rsid w:val="00E0232B"/>
    <w:rsid w:val="00E02D18"/>
    <w:rsid w:val="00E032ED"/>
    <w:rsid w:val="00E041E7"/>
    <w:rsid w:val="00E054DB"/>
    <w:rsid w:val="00E05E2D"/>
    <w:rsid w:val="00E072C2"/>
    <w:rsid w:val="00E07715"/>
    <w:rsid w:val="00E10330"/>
    <w:rsid w:val="00E143CF"/>
    <w:rsid w:val="00E23CA1"/>
    <w:rsid w:val="00E25E0E"/>
    <w:rsid w:val="00E26C01"/>
    <w:rsid w:val="00E30456"/>
    <w:rsid w:val="00E317FA"/>
    <w:rsid w:val="00E3402B"/>
    <w:rsid w:val="00E348CC"/>
    <w:rsid w:val="00E3693D"/>
    <w:rsid w:val="00E409A8"/>
    <w:rsid w:val="00E411A6"/>
    <w:rsid w:val="00E424CE"/>
    <w:rsid w:val="00E4331D"/>
    <w:rsid w:val="00E43863"/>
    <w:rsid w:val="00E44932"/>
    <w:rsid w:val="00E45B34"/>
    <w:rsid w:val="00E50C12"/>
    <w:rsid w:val="00E50CC1"/>
    <w:rsid w:val="00E53540"/>
    <w:rsid w:val="00E547C1"/>
    <w:rsid w:val="00E5594A"/>
    <w:rsid w:val="00E565BC"/>
    <w:rsid w:val="00E60531"/>
    <w:rsid w:val="00E621FD"/>
    <w:rsid w:val="00E62A1E"/>
    <w:rsid w:val="00E62B0A"/>
    <w:rsid w:val="00E65B91"/>
    <w:rsid w:val="00E670D7"/>
    <w:rsid w:val="00E67E3B"/>
    <w:rsid w:val="00E67EDC"/>
    <w:rsid w:val="00E7209D"/>
    <w:rsid w:val="00E72EAD"/>
    <w:rsid w:val="00E737CA"/>
    <w:rsid w:val="00E74A00"/>
    <w:rsid w:val="00E77223"/>
    <w:rsid w:val="00E774DC"/>
    <w:rsid w:val="00E806D3"/>
    <w:rsid w:val="00E81B3F"/>
    <w:rsid w:val="00E83A85"/>
    <w:rsid w:val="00E8528B"/>
    <w:rsid w:val="00E85B94"/>
    <w:rsid w:val="00E8734B"/>
    <w:rsid w:val="00E9016C"/>
    <w:rsid w:val="00E91830"/>
    <w:rsid w:val="00E92760"/>
    <w:rsid w:val="00E9531A"/>
    <w:rsid w:val="00E956A5"/>
    <w:rsid w:val="00E95B28"/>
    <w:rsid w:val="00E95C43"/>
    <w:rsid w:val="00E966F1"/>
    <w:rsid w:val="00E9729F"/>
    <w:rsid w:val="00E978D0"/>
    <w:rsid w:val="00EA1EE2"/>
    <w:rsid w:val="00EA2DA1"/>
    <w:rsid w:val="00EA36C0"/>
    <w:rsid w:val="00EA4613"/>
    <w:rsid w:val="00EA4B25"/>
    <w:rsid w:val="00EA7F91"/>
    <w:rsid w:val="00EB03B7"/>
    <w:rsid w:val="00EB1523"/>
    <w:rsid w:val="00EB36A8"/>
    <w:rsid w:val="00EB4872"/>
    <w:rsid w:val="00EB5EC0"/>
    <w:rsid w:val="00EB642B"/>
    <w:rsid w:val="00EB6914"/>
    <w:rsid w:val="00EC0E49"/>
    <w:rsid w:val="00EC101F"/>
    <w:rsid w:val="00EC1D9F"/>
    <w:rsid w:val="00EC5080"/>
    <w:rsid w:val="00EC5DC9"/>
    <w:rsid w:val="00EC61FC"/>
    <w:rsid w:val="00EC70A4"/>
    <w:rsid w:val="00EC70D1"/>
    <w:rsid w:val="00ED1E3F"/>
    <w:rsid w:val="00ED5029"/>
    <w:rsid w:val="00ED52DE"/>
    <w:rsid w:val="00ED5D13"/>
    <w:rsid w:val="00ED6051"/>
    <w:rsid w:val="00ED66E7"/>
    <w:rsid w:val="00EE0131"/>
    <w:rsid w:val="00EE17B0"/>
    <w:rsid w:val="00EE19F5"/>
    <w:rsid w:val="00EE3CFB"/>
    <w:rsid w:val="00EE442B"/>
    <w:rsid w:val="00EE4CC6"/>
    <w:rsid w:val="00EE64B7"/>
    <w:rsid w:val="00EE6D24"/>
    <w:rsid w:val="00EF06D9"/>
    <w:rsid w:val="00EF0F85"/>
    <w:rsid w:val="00EF3129"/>
    <w:rsid w:val="00EF382D"/>
    <w:rsid w:val="00EF5632"/>
    <w:rsid w:val="00F00E47"/>
    <w:rsid w:val="00F020D0"/>
    <w:rsid w:val="00F039BB"/>
    <w:rsid w:val="00F03A24"/>
    <w:rsid w:val="00F03CB5"/>
    <w:rsid w:val="00F07C2F"/>
    <w:rsid w:val="00F07FD2"/>
    <w:rsid w:val="00F1000D"/>
    <w:rsid w:val="00F10626"/>
    <w:rsid w:val="00F1073E"/>
    <w:rsid w:val="00F12AF0"/>
    <w:rsid w:val="00F212C8"/>
    <w:rsid w:val="00F21F03"/>
    <w:rsid w:val="00F21F8B"/>
    <w:rsid w:val="00F228A1"/>
    <w:rsid w:val="00F2336B"/>
    <w:rsid w:val="00F23E24"/>
    <w:rsid w:val="00F251D1"/>
    <w:rsid w:val="00F25208"/>
    <w:rsid w:val="00F26CF8"/>
    <w:rsid w:val="00F26D98"/>
    <w:rsid w:val="00F3049E"/>
    <w:rsid w:val="00F30C64"/>
    <w:rsid w:val="00F32061"/>
    <w:rsid w:val="00F32BA2"/>
    <w:rsid w:val="00F32CDB"/>
    <w:rsid w:val="00F32E3D"/>
    <w:rsid w:val="00F33890"/>
    <w:rsid w:val="00F3420B"/>
    <w:rsid w:val="00F34ECE"/>
    <w:rsid w:val="00F34EDA"/>
    <w:rsid w:val="00F35811"/>
    <w:rsid w:val="00F37375"/>
    <w:rsid w:val="00F40863"/>
    <w:rsid w:val="00F41EE4"/>
    <w:rsid w:val="00F42416"/>
    <w:rsid w:val="00F43C54"/>
    <w:rsid w:val="00F43DA1"/>
    <w:rsid w:val="00F44127"/>
    <w:rsid w:val="00F44AEC"/>
    <w:rsid w:val="00F47839"/>
    <w:rsid w:val="00F50A4D"/>
    <w:rsid w:val="00F51E6B"/>
    <w:rsid w:val="00F52828"/>
    <w:rsid w:val="00F53915"/>
    <w:rsid w:val="00F55FD9"/>
    <w:rsid w:val="00F560D5"/>
    <w:rsid w:val="00F565FE"/>
    <w:rsid w:val="00F623DE"/>
    <w:rsid w:val="00F62541"/>
    <w:rsid w:val="00F63A70"/>
    <w:rsid w:val="00F63D8C"/>
    <w:rsid w:val="00F66C68"/>
    <w:rsid w:val="00F7199B"/>
    <w:rsid w:val="00F7534E"/>
    <w:rsid w:val="00F755B0"/>
    <w:rsid w:val="00F75C94"/>
    <w:rsid w:val="00F800B2"/>
    <w:rsid w:val="00F81208"/>
    <w:rsid w:val="00F817CD"/>
    <w:rsid w:val="00F8367B"/>
    <w:rsid w:val="00F838D2"/>
    <w:rsid w:val="00F9068D"/>
    <w:rsid w:val="00F91C99"/>
    <w:rsid w:val="00F93EDF"/>
    <w:rsid w:val="00F94C20"/>
    <w:rsid w:val="00FA1802"/>
    <w:rsid w:val="00FA21D0"/>
    <w:rsid w:val="00FA2824"/>
    <w:rsid w:val="00FA53B4"/>
    <w:rsid w:val="00FA5F5F"/>
    <w:rsid w:val="00FB51C9"/>
    <w:rsid w:val="00FB5F87"/>
    <w:rsid w:val="00FB730C"/>
    <w:rsid w:val="00FC2695"/>
    <w:rsid w:val="00FC2B85"/>
    <w:rsid w:val="00FC33A0"/>
    <w:rsid w:val="00FC3E03"/>
    <w:rsid w:val="00FC3FC1"/>
    <w:rsid w:val="00FD4983"/>
    <w:rsid w:val="00FD4F98"/>
    <w:rsid w:val="00FD714B"/>
    <w:rsid w:val="00FE00A7"/>
    <w:rsid w:val="00FE15FE"/>
    <w:rsid w:val="00FE57B8"/>
    <w:rsid w:val="00FE6199"/>
    <w:rsid w:val="00FE7064"/>
    <w:rsid w:val="00FE785C"/>
    <w:rsid w:val="00FF15A5"/>
    <w:rsid w:val="00FF166F"/>
    <w:rsid w:val="00FF2401"/>
    <w:rsid w:val="00FF3F4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76AD9809-8107-493C-B64E-3466B352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character" w:styleId="PlaceholderText">
    <w:name w:val="Placeholder Text"/>
    <w:basedOn w:val="DefaultParagraphFont"/>
    <w:uiPriority w:val="99"/>
    <w:semiHidden/>
    <w:rsid w:val="00D82B97"/>
    <w:rPr>
      <w:color w:val="666666"/>
    </w:rPr>
  </w:style>
  <w:style w:type="paragraph" w:styleId="Revision">
    <w:name w:val="Revision"/>
    <w:hidden/>
    <w:uiPriority w:val="99"/>
    <w:semiHidden/>
    <w:rsid w:val="00C347DA"/>
    <w:pPr>
      <w:spacing w:after="0" w:line="240" w:lineRule="auto"/>
    </w:pPr>
    <w:rPr>
      <w:rFonts w:ascii="Arial" w:eastAsia="Times New Roman" w:hAnsi="Arial" w:cs="Times New Roman"/>
      <w:sz w:val="18"/>
      <w:szCs w:val="20"/>
      <w:lang w:val="en-GB"/>
    </w:rPr>
  </w:style>
  <w:style w:type="character" w:styleId="LineNumber">
    <w:name w:val="line number"/>
    <w:basedOn w:val="DefaultParagraphFont"/>
    <w:uiPriority w:val="99"/>
    <w:semiHidden/>
    <w:unhideWhenUsed/>
    <w:rsid w:val="001A38FF"/>
  </w:style>
  <w:style w:type="character" w:styleId="UnresolvedMention">
    <w:name w:val="Unresolved Mention"/>
    <w:basedOn w:val="DefaultParagraphFont"/>
    <w:uiPriority w:val="99"/>
    <w:semiHidden/>
    <w:unhideWhenUsed/>
    <w:rsid w:val="00882DF2"/>
    <w:rPr>
      <w:color w:val="605E5C"/>
      <w:shd w:val="clear" w:color="auto" w:fill="E1DFDD"/>
    </w:rPr>
  </w:style>
  <w:style w:type="character" w:styleId="FollowedHyperlink">
    <w:name w:val="FollowedHyperlink"/>
    <w:basedOn w:val="DefaultParagraphFont"/>
    <w:uiPriority w:val="99"/>
    <w:semiHidden/>
    <w:unhideWhenUsed/>
    <w:rsid w:val="00796634"/>
    <w:rPr>
      <w:color w:val="800080" w:themeColor="followedHyperlink"/>
      <w:u w:val="single"/>
    </w:rPr>
  </w:style>
  <w:style w:type="character" w:customStyle="1" w:styleId="cf01">
    <w:name w:val="cf01"/>
    <w:basedOn w:val="DefaultParagraphFont"/>
    <w:rsid w:val="000E5CE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4561">
      <w:bodyDiv w:val="1"/>
      <w:marLeft w:val="0"/>
      <w:marRight w:val="0"/>
      <w:marTop w:val="0"/>
      <w:marBottom w:val="0"/>
      <w:divBdr>
        <w:top w:val="none" w:sz="0" w:space="0" w:color="auto"/>
        <w:left w:val="none" w:sz="0" w:space="0" w:color="auto"/>
        <w:bottom w:val="none" w:sz="0" w:space="0" w:color="auto"/>
        <w:right w:val="none" w:sz="0" w:space="0" w:color="auto"/>
      </w:divBdr>
    </w:div>
    <w:div w:id="363412139">
      <w:bodyDiv w:val="1"/>
      <w:marLeft w:val="0"/>
      <w:marRight w:val="0"/>
      <w:marTop w:val="0"/>
      <w:marBottom w:val="0"/>
      <w:divBdr>
        <w:top w:val="none" w:sz="0" w:space="0" w:color="auto"/>
        <w:left w:val="none" w:sz="0" w:space="0" w:color="auto"/>
        <w:bottom w:val="none" w:sz="0" w:space="0" w:color="auto"/>
        <w:right w:val="none" w:sz="0" w:space="0" w:color="auto"/>
      </w:divBdr>
    </w:div>
    <w:div w:id="492333244">
      <w:bodyDiv w:val="1"/>
      <w:marLeft w:val="0"/>
      <w:marRight w:val="0"/>
      <w:marTop w:val="0"/>
      <w:marBottom w:val="0"/>
      <w:divBdr>
        <w:top w:val="none" w:sz="0" w:space="0" w:color="auto"/>
        <w:left w:val="none" w:sz="0" w:space="0" w:color="auto"/>
        <w:bottom w:val="none" w:sz="0" w:space="0" w:color="auto"/>
        <w:right w:val="none" w:sz="0" w:space="0" w:color="auto"/>
      </w:divBdr>
    </w:div>
    <w:div w:id="584345198">
      <w:bodyDiv w:val="1"/>
      <w:marLeft w:val="0"/>
      <w:marRight w:val="0"/>
      <w:marTop w:val="0"/>
      <w:marBottom w:val="0"/>
      <w:divBdr>
        <w:top w:val="none" w:sz="0" w:space="0" w:color="auto"/>
        <w:left w:val="none" w:sz="0" w:space="0" w:color="auto"/>
        <w:bottom w:val="none" w:sz="0" w:space="0" w:color="auto"/>
        <w:right w:val="none" w:sz="0" w:space="0" w:color="auto"/>
      </w:divBdr>
      <w:divsChild>
        <w:div w:id="730736864">
          <w:marLeft w:val="0"/>
          <w:marRight w:val="0"/>
          <w:marTop w:val="0"/>
          <w:marBottom w:val="0"/>
          <w:divBdr>
            <w:top w:val="none" w:sz="0" w:space="0" w:color="auto"/>
            <w:left w:val="none" w:sz="0" w:space="0" w:color="auto"/>
            <w:bottom w:val="none" w:sz="0" w:space="0" w:color="auto"/>
            <w:right w:val="none" w:sz="0" w:space="0" w:color="auto"/>
          </w:divBdr>
        </w:div>
      </w:divsChild>
    </w:div>
    <w:div w:id="598294675">
      <w:bodyDiv w:val="1"/>
      <w:marLeft w:val="0"/>
      <w:marRight w:val="0"/>
      <w:marTop w:val="0"/>
      <w:marBottom w:val="0"/>
      <w:divBdr>
        <w:top w:val="none" w:sz="0" w:space="0" w:color="auto"/>
        <w:left w:val="none" w:sz="0" w:space="0" w:color="auto"/>
        <w:bottom w:val="none" w:sz="0" w:space="0" w:color="auto"/>
        <w:right w:val="none" w:sz="0" w:space="0" w:color="auto"/>
      </w:divBdr>
      <w:divsChild>
        <w:div w:id="1680426754">
          <w:marLeft w:val="0"/>
          <w:marRight w:val="0"/>
          <w:marTop w:val="0"/>
          <w:marBottom w:val="240"/>
          <w:divBdr>
            <w:top w:val="none" w:sz="0" w:space="0" w:color="auto"/>
            <w:left w:val="none" w:sz="0" w:space="0" w:color="auto"/>
            <w:bottom w:val="none" w:sz="0" w:space="0" w:color="auto"/>
            <w:right w:val="none" w:sz="0" w:space="0" w:color="auto"/>
          </w:divBdr>
        </w:div>
        <w:div w:id="1820611999">
          <w:marLeft w:val="0"/>
          <w:marRight w:val="0"/>
          <w:marTop w:val="0"/>
          <w:marBottom w:val="240"/>
          <w:divBdr>
            <w:top w:val="none" w:sz="0" w:space="0" w:color="auto"/>
            <w:left w:val="none" w:sz="0" w:space="0" w:color="auto"/>
            <w:bottom w:val="none" w:sz="0" w:space="0" w:color="auto"/>
            <w:right w:val="none" w:sz="0" w:space="0" w:color="auto"/>
          </w:divBdr>
        </w:div>
      </w:divsChild>
    </w:div>
    <w:div w:id="611326636">
      <w:bodyDiv w:val="1"/>
      <w:marLeft w:val="0"/>
      <w:marRight w:val="0"/>
      <w:marTop w:val="0"/>
      <w:marBottom w:val="0"/>
      <w:divBdr>
        <w:top w:val="none" w:sz="0" w:space="0" w:color="auto"/>
        <w:left w:val="none" w:sz="0" w:space="0" w:color="auto"/>
        <w:bottom w:val="none" w:sz="0" w:space="0" w:color="auto"/>
        <w:right w:val="none" w:sz="0" w:space="0" w:color="auto"/>
      </w:divBdr>
      <w:divsChild>
        <w:div w:id="920061983">
          <w:marLeft w:val="0"/>
          <w:marRight w:val="0"/>
          <w:marTop w:val="0"/>
          <w:marBottom w:val="0"/>
          <w:divBdr>
            <w:top w:val="none" w:sz="0" w:space="0" w:color="auto"/>
            <w:left w:val="none" w:sz="0" w:space="0" w:color="auto"/>
            <w:bottom w:val="none" w:sz="0" w:space="0" w:color="auto"/>
            <w:right w:val="none" w:sz="0" w:space="0" w:color="auto"/>
          </w:divBdr>
          <w:divsChild>
            <w:div w:id="97664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65207">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6159897">
      <w:bodyDiv w:val="1"/>
      <w:marLeft w:val="0"/>
      <w:marRight w:val="0"/>
      <w:marTop w:val="0"/>
      <w:marBottom w:val="0"/>
      <w:divBdr>
        <w:top w:val="none" w:sz="0" w:space="0" w:color="auto"/>
        <w:left w:val="none" w:sz="0" w:space="0" w:color="auto"/>
        <w:bottom w:val="none" w:sz="0" w:space="0" w:color="auto"/>
        <w:right w:val="none" w:sz="0" w:space="0" w:color="auto"/>
      </w:divBdr>
      <w:divsChild>
        <w:div w:id="646394598">
          <w:marLeft w:val="0"/>
          <w:marRight w:val="0"/>
          <w:marTop w:val="0"/>
          <w:marBottom w:val="0"/>
          <w:divBdr>
            <w:top w:val="none" w:sz="0" w:space="0" w:color="auto"/>
            <w:left w:val="none" w:sz="0" w:space="0" w:color="auto"/>
            <w:bottom w:val="none" w:sz="0" w:space="0" w:color="auto"/>
            <w:right w:val="none" w:sz="0" w:space="0" w:color="auto"/>
          </w:divBdr>
          <w:divsChild>
            <w:div w:id="439689202">
              <w:marLeft w:val="0"/>
              <w:marRight w:val="0"/>
              <w:marTop w:val="0"/>
              <w:marBottom w:val="0"/>
              <w:divBdr>
                <w:top w:val="none" w:sz="0" w:space="0" w:color="auto"/>
                <w:left w:val="none" w:sz="0" w:space="0" w:color="auto"/>
                <w:bottom w:val="none" w:sz="0" w:space="0" w:color="auto"/>
                <w:right w:val="none" w:sz="0" w:space="0" w:color="auto"/>
              </w:divBdr>
              <w:divsChild>
                <w:div w:id="104328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0095894">
      <w:bodyDiv w:val="1"/>
      <w:marLeft w:val="0"/>
      <w:marRight w:val="0"/>
      <w:marTop w:val="0"/>
      <w:marBottom w:val="0"/>
      <w:divBdr>
        <w:top w:val="none" w:sz="0" w:space="0" w:color="auto"/>
        <w:left w:val="none" w:sz="0" w:space="0" w:color="auto"/>
        <w:bottom w:val="none" w:sz="0" w:space="0" w:color="auto"/>
        <w:right w:val="none" w:sz="0" w:space="0" w:color="auto"/>
      </w:divBdr>
      <w:divsChild>
        <w:div w:id="1206454929">
          <w:marLeft w:val="0"/>
          <w:marRight w:val="0"/>
          <w:marTop w:val="0"/>
          <w:marBottom w:val="0"/>
          <w:divBdr>
            <w:top w:val="none" w:sz="0" w:space="0" w:color="auto"/>
            <w:left w:val="none" w:sz="0" w:space="0" w:color="auto"/>
            <w:bottom w:val="none" w:sz="0" w:space="0" w:color="auto"/>
            <w:right w:val="none" w:sz="0" w:space="0" w:color="auto"/>
          </w:divBdr>
        </w:div>
      </w:divsChild>
    </w:div>
    <w:div w:id="1533692174">
      <w:bodyDiv w:val="1"/>
      <w:marLeft w:val="0"/>
      <w:marRight w:val="0"/>
      <w:marTop w:val="0"/>
      <w:marBottom w:val="0"/>
      <w:divBdr>
        <w:top w:val="none" w:sz="0" w:space="0" w:color="auto"/>
        <w:left w:val="none" w:sz="0" w:space="0" w:color="auto"/>
        <w:bottom w:val="none" w:sz="0" w:space="0" w:color="auto"/>
        <w:right w:val="none" w:sz="0" w:space="0" w:color="auto"/>
      </w:divBdr>
      <w:divsChild>
        <w:div w:id="714694471">
          <w:marLeft w:val="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97203807">
      <w:bodyDiv w:val="1"/>
      <w:marLeft w:val="0"/>
      <w:marRight w:val="0"/>
      <w:marTop w:val="0"/>
      <w:marBottom w:val="0"/>
      <w:divBdr>
        <w:top w:val="none" w:sz="0" w:space="0" w:color="auto"/>
        <w:left w:val="none" w:sz="0" w:space="0" w:color="auto"/>
        <w:bottom w:val="none" w:sz="0" w:space="0" w:color="auto"/>
        <w:right w:val="none" w:sz="0" w:space="0" w:color="auto"/>
      </w:divBdr>
      <w:divsChild>
        <w:div w:id="1702778752">
          <w:marLeft w:val="0"/>
          <w:marRight w:val="0"/>
          <w:marTop w:val="0"/>
          <w:marBottom w:val="240"/>
          <w:divBdr>
            <w:top w:val="none" w:sz="0" w:space="0" w:color="auto"/>
            <w:left w:val="none" w:sz="0" w:space="0" w:color="auto"/>
            <w:bottom w:val="none" w:sz="0" w:space="0" w:color="auto"/>
            <w:right w:val="none" w:sz="0" w:space="0" w:color="auto"/>
          </w:divBdr>
        </w:div>
        <w:div w:id="2039886824">
          <w:marLeft w:val="0"/>
          <w:marRight w:val="0"/>
          <w:marTop w:val="0"/>
          <w:marBottom w:val="240"/>
          <w:divBdr>
            <w:top w:val="none" w:sz="0" w:space="0" w:color="auto"/>
            <w:left w:val="none" w:sz="0" w:space="0" w:color="auto"/>
            <w:bottom w:val="none" w:sz="0" w:space="0" w:color="auto"/>
            <w:right w:val="none" w:sz="0" w:space="0" w:color="auto"/>
          </w:divBdr>
        </w:div>
      </w:divsChild>
    </w:div>
    <w:div w:id="1901087922">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00338-FACA-45CC-9AD8-79D498754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6</Pages>
  <Words>3560</Words>
  <Characters>20009</Characters>
  <Application>Microsoft Office Word</Application>
  <DocSecurity>0</DocSecurity>
  <Lines>525</Lines>
  <Paragraphs>290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Luigi Gurreri</cp:lastModifiedBy>
  <cp:revision>223</cp:revision>
  <cp:lastPrinted>2025-03-21T18:40:00Z</cp:lastPrinted>
  <dcterms:created xsi:type="dcterms:W3CDTF">2025-07-15T16:50:00Z</dcterms:created>
  <dcterms:modified xsi:type="dcterms:W3CDTF">2025-07-15T21:27:00Z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5714e9fd-a422-36b2-9af4-283ad11a3e38</vt:lpwstr>
  </property>
  <property fmtid="{D5CDD505-2E9C-101B-9397-08002B2CF9AE}" pid="6" name="Mendeley Citation Style_1">
    <vt:lpwstr>http://www.zotero.org/styles/sustainable-chemistry-and-pharmacy</vt:lpwstr>
  </property>
  <property fmtid="{D5CDD505-2E9C-101B-9397-08002B2CF9AE}" pid="7" name="Mendeley Recent Style Id 0_1">
    <vt:lpwstr>http://www.zotero.org/styles/american-political-science-association</vt:lpwstr>
  </property>
  <property fmtid="{D5CDD505-2E9C-101B-9397-08002B2CF9AE}" pid="8" name="Mendeley Recent Style Name 0_1">
    <vt:lpwstr>American Political Science Association</vt:lpwstr>
  </property>
  <property fmtid="{D5CDD505-2E9C-101B-9397-08002B2CF9AE}" pid="9" name="Mendeley Recent Style Id 1_1">
    <vt:lpwstr>http://www.zotero.org/styles/american-sociological-association</vt:lpwstr>
  </property>
  <property fmtid="{D5CDD505-2E9C-101B-9397-08002B2CF9AE}" pid="10" name="Mendeley Recent Style Name 1_1">
    <vt:lpwstr>American Sociological Association 6th/7th edition</vt:lpwstr>
  </property>
  <property fmtid="{D5CDD505-2E9C-101B-9397-08002B2CF9AE}" pid="11" name="Mendeley Recent Style Id 2_1">
    <vt:lpwstr>http://www.zotero.org/styles/chicago-author-date</vt:lpwstr>
  </property>
  <property fmtid="{D5CDD505-2E9C-101B-9397-08002B2CF9AE}" pid="12" name="Mendeley Recent Style Name 2_1">
    <vt:lpwstr>Chicago Manual of Style 17th edition (author-date)</vt:lpwstr>
  </property>
  <property fmtid="{D5CDD505-2E9C-101B-9397-08002B2CF9AE}" pid="13" name="Mendeley Recent Style Id 3_1">
    <vt:lpwstr>http://www.zotero.org/styles/harvard-cite-them-right</vt:lpwstr>
  </property>
  <property fmtid="{D5CDD505-2E9C-101B-9397-08002B2CF9AE}" pid="14" name="Mendeley Recent Style Name 3_1">
    <vt:lpwstr>Cite Them Right 12th edition - Harvard</vt:lpwstr>
  </property>
  <property fmtid="{D5CDD505-2E9C-101B-9397-08002B2CF9AE}" pid="15" name="Mendeley Recent Style Id 4_1">
    <vt:lpwstr>http://www.zotero.org/styles/ieee</vt:lpwstr>
  </property>
  <property fmtid="{D5CDD505-2E9C-101B-9397-08002B2CF9AE}" pid="16" name="Mendeley Recent Style Name 4_1">
    <vt:lpwstr>IEEE</vt:lpwstr>
  </property>
  <property fmtid="{D5CDD505-2E9C-101B-9397-08002B2CF9AE}" pid="17" name="Mendeley Recent Style Id 5_1">
    <vt:lpwstr>http://www.zotero.org/styles/modern-humanities-research-association</vt:lpwstr>
  </property>
  <property fmtid="{D5CDD505-2E9C-101B-9397-08002B2CF9AE}" pid="18" name="Mendeley Recent Style Name 5_1">
    <vt:lpwstr>Modern Humanities Research Association 3rd edition (note with bibliography)</vt:lpwstr>
  </property>
  <property fmtid="{D5CDD505-2E9C-101B-9397-08002B2CF9AE}" pid="19" name="Mendeley Recent Style Id 6_1">
    <vt:lpwstr>http://www.zotero.org/styles/modern-language-association</vt:lpwstr>
  </property>
  <property fmtid="{D5CDD505-2E9C-101B-9397-08002B2CF9AE}" pid="20" name="Mendeley Recent Style Name 6_1">
    <vt:lpwstr>Modern Language Association 9th edition</vt:lpwstr>
  </property>
  <property fmtid="{D5CDD505-2E9C-101B-9397-08002B2CF9AE}" pid="21" name="Mendeley Recent Style Id 7_1">
    <vt:lpwstr>http://www.zotero.org/styles/nature</vt:lpwstr>
  </property>
  <property fmtid="{D5CDD505-2E9C-101B-9397-08002B2CF9AE}" pid="22" name="Mendeley Recent Style Name 7_1">
    <vt:lpwstr>Nature</vt:lpwstr>
  </property>
  <property fmtid="{D5CDD505-2E9C-101B-9397-08002B2CF9AE}" pid="23" name="Mendeley Recent Style Id 8_1">
    <vt:lpwstr>http://www.zotero.org/styles/sustainable-chemistry-and-pharmacy</vt:lpwstr>
  </property>
  <property fmtid="{D5CDD505-2E9C-101B-9397-08002B2CF9AE}" pid="24" name="Mendeley Recent Style Name 8_1">
    <vt:lpwstr>Sustainable Chemistry and Pharmacy</vt:lpwstr>
  </property>
  <property fmtid="{D5CDD505-2E9C-101B-9397-08002B2CF9AE}" pid="25" name="Mendeley Recent Style Id 9_1">
    <vt:lpwstr>http://www.zotero.org/styles/waste-and-biomass-valorization</vt:lpwstr>
  </property>
  <property fmtid="{D5CDD505-2E9C-101B-9397-08002B2CF9AE}" pid="26" name="Mendeley Recent Style Name 9_1">
    <vt:lpwstr>Waste and Biomass Valorization</vt:lpwstr>
  </property>
  <property fmtid="{D5CDD505-2E9C-101B-9397-08002B2CF9AE}" pid="27" name="GrammarlyDocumentId">
    <vt:lpwstr>8d545dbe-f7d6-441d-bd02-0a20ff8da470</vt:lpwstr>
  </property>
</Properties>
</file>