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8B76E0" w14:paraId="2A131A54" w14:textId="77777777" w:rsidTr="001E3C09">
        <w:trPr>
          <w:trHeight w:val="852"/>
          <w:jc w:val="center"/>
        </w:trPr>
        <w:tc>
          <w:tcPr>
            <w:tcW w:w="6940" w:type="dxa"/>
            <w:vMerge w:val="restart"/>
            <w:tcBorders>
              <w:right w:val="single" w:sz="4" w:space="0" w:color="auto"/>
            </w:tcBorders>
          </w:tcPr>
          <w:p w14:paraId="38C3D2BA" w14:textId="77777777" w:rsidR="000A03B2" w:rsidRPr="008B76E0" w:rsidRDefault="000A03B2" w:rsidP="00DE264A">
            <w:pPr>
              <w:tabs>
                <w:tab w:val="left" w:pos="-108"/>
              </w:tabs>
              <w:ind w:left="-108"/>
              <w:jc w:val="left"/>
              <w:rPr>
                <w:rFonts w:cs="Arial"/>
                <w:b/>
                <w:bCs/>
                <w:i/>
                <w:iCs/>
                <w:color w:val="000066"/>
                <w:sz w:val="12"/>
                <w:szCs w:val="12"/>
                <w:lang w:eastAsia="it-IT"/>
              </w:rPr>
            </w:pPr>
            <w:bookmarkStart w:id="0" w:name="_Hlk145068772"/>
            <w:r w:rsidRPr="008B76E0">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8B76E0">
              <w:rPr>
                <w:rFonts w:ascii="AdvP6960" w:hAnsi="AdvP6960" w:cs="AdvP6960"/>
                <w:color w:val="241F20"/>
                <w:szCs w:val="18"/>
                <w:lang w:eastAsia="it-IT"/>
              </w:rPr>
              <w:t xml:space="preserve"> </w:t>
            </w:r>
            <w:r w:rsidRPr="008B76E0">
              <w:rPr>
                <w:rFonts w:cs="Arial"/>
                <w:b/>
                <w:bCs/>
                <w:i/>
                <w:iCs/>
                <w:color w:val="000066"/>
                <w:sz w:val="24"/>
                <w:szCs w:val="24"/>
                <w:lang w:eastAsia="it-IT"/>
              </w:rPr>
              <w:t>CHEMICAL ENGINEERING</w:t>
            </w:r>
            <w:r w:rsidRPr="008B76E0">
              <w:rPr>
                <w:rFonts w:cs="Arial"/>
                <w:b/>
                <w:bCs/>
                <w:i/>
                <w:iCs/>
                <w:color w:val="0033FF"/>
                <w:sz w:val="24"/>
                <w:szCs w:val="24"/>
                <w:lang w:eastAsia="it-IT"/>
              </w:rPr>
              <w:t xml:space="preserve"> </w:t>
            </w:r>
            <w:r w:rsidRPr="008B76E0">
              <w:rPr>
                <w:rFonts w:cs="Arial"/>
                <w:b/>
                <w:bCs/>
                <w:i/>
                <w:iCs/>
                <w:color w:val="666666"/>
                <w:sz w:val="24"/>
                <w:szCs w:val="24"/>
                <w:lang w:eastAsia="it-IT"/>
              </w:rPr>
              <w:t>TRANSACTIONS</w:t>
            </w:r>
            <w:r w:rsidRPr="008B76E0">
              <w:rPr>
                <w:color w:val="333333"/>
                <w:sz w:val="24"/>
                <w:szCs w:val="24"/>
                <w:lang w:eastAsia="it-IT"/>
              </w:rPr>
              <w:t xml:space="preserve"> </w:t>
            </w:r>
            <w:r w:rsidRPr="008B76E0">
              <w:rPr>
                <w:rFonts w:cs="Arial"/>
                <w:b/>
                <w:bCs/>
                <w:i/>
                <w:iCs/>
                <w:color w:val="000066"/>
                <w:sz w:val="27"/>
                <w:szCs w:val="27"/>
                <w:lang w:eastAsia="it-IT"/>
              </w:rPr>
              <w:br/>
            </w:r>
          </w:p>
          <w:p w14:paraId="4B780582" w14:textId="47EF826C" w:rsidR="000A03B2" w:rsidRPr="008B76E0" w:rsidRDefault="00A76EFC" w:rsidP="001D21AF">
            <w:pPr>
              <w:tabs>
                <w:tab w:val="left" w:pos="-108"/>
              </w:tabs>
              <w:ind w:left="-108"/>
              <w:rPr>
                <w:rFonts w:cs="Arial"/>
                <w:b/>
                <w:bCs/>
                <w:i/>
                <w:iCs/>
                <w:color w:val="000066"/>
                <w:sz w:val="22"/>
                <w:szCs w:val="22"/>
                <w:lang w:eastAsia="it-IT"/>
              </w:rPr>
            </w:pPr>
            <w:r w:rsidRPr="008B76E0">
              <w:rPr>
                <w:rFonts w:cs="Arial"/>
                <w:b/>
                <w:bCs/>
                <w:i/>
                <w:iCs/>
                <w:color w:val="000066"/>
                <w:sz w:val="22"/>
                <w:szCs w:val="22"/>
                <w:lang w:eastAsia="it-IT"/>
              </w:rPr>
              <w:t>VOL.</w:t>
            </w:r>
            <w:r w:rsidR="00785BF9" w:rsidRPr="008B76E0">
              <w:rPr>
                <w:rFonts w:cs="Arial"/>
                <w:b/>
                <w:bCs/>
                <w:i/>
                <w:iCs/>
                <w:color w:val="000066"/>
                <w:sz w:val="22"/>
                <w:szCs w:val="22"/>
                <w:lang w:eastAsia="it-IT"/>
              </w:rPr>
              <w:t xml:space="preserve"> </w:t>
            </w:r>
            <w:r w:rsidR="00994C6A" w:rsidRPr="008B76E0">
              <w:rPr>
                <w:rFonts w:cs="Arial"/>
                <w:b/>
                <w:bCs/>
                <w:i/>
                <w:iCs/>
                <w:color w:val="000066"/>
                <w:sz w:val="22"/>
                <w:szCs w:val="22"/>
                <w:lang w:eastAsia="it-IT"/>
              </w:rPr>
              <w:t>xxx</w:t>
            </w:r>
            <w:r w:rsidR="007B48F9" w:rsidRPr="008B76E0">
              <w:rPr>
                <w:rFonts w:cs="Arial"/>
                <w:b/>
                <w:bCs/>
                <w:i/>
                <w:iCs/>
                <w:color w:val="000066"/>
                <w:sz w:val="22"/>
                <w:szCs w:val="22"/>
                <w:lang w:eastAsia="it-IT"/>
              </w:rPr>
              <w:t>,</w:t>
            </w:r>
            <w:r w:rsidR="00FA5F5F" w:rsidRPr="008B76E0">
              <w:rPr>
                <w:rFonts w:cs="Arial"/>
                <w:b/>
                <w:bCs/>
                <w:i/>
                <w:iCs/>
                <w:color w:val="000066"/>
                <w:sz w:val="22"/>
                <w:szCs w:val="22"/>
                <w:lang w:eastAsia="it-IT"/>
              </w:rPr>
              <w:t xml:space="preserve"> </w:t>
            </w:r>
            <w:r w:rsidR="0030152C" w:rsidRPr="008B76E0">
              <w:rPr>
                <w:rFonts w:cs="Arial"/>
                <w:b/>
                <w:bCs/>
                <w:i/>
                <w:iCs/>
                <w:color w:val="000066"/>
                <w:sz w:val="22"/>
                <w:szCs w:val="22"/>
                <w:lang w:eastAsia="it-IT"/>
              </w:rPr>
              <w:t>202</w:t>
            </w:r>
            <w:r w:rsidR="00994C6A" w:rsidRPr="008B76E0">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8B76E0" w:rsidRDefault="000A03B2" w:rsidP="00CD5FE2">
            <w:pPr>
              <w:spacing w:line="140" w:lineRule="atLeast"/>
              <w:jc w:val="right"/>
              <w:rPr>
                <w:rFonts w:cs="Arial"/>
                <w:sz w:val="14"/>
                <w:szCs w:val="14"/>
              </w:rPr>
            </w:pPr>
            <w:r w:rsidRPr="008B76E0">
              <w:rPr>
                <w:rFonts w:cs="Arial"/>
                <w:sz w:val="14"/>
                <w:szCs w:val="14"/>
              </w:rPr>
              <w:t>A publication of</w:t>
            </w:r>
          </w:p>
          <w:p w14:paraId="599E5441" w14:textId="77777777" w:rsidR="000A03B2" w:rsidRPr="008B76E0" w:rsidRDefault="000A03B2" w:rsidP="00CD5FE2">
            <w:pPr>
              <w:jc w:val="right"/>
            </w:pPr>
            <w:r w:rsidRPr="008B76E0">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8B76E0" w14:paraId="380FA3CD" w14:textId="77777777" w:rsidTr="001E3C09">
        <w:trPr>
          <w:trHeight w:val="567"/>
          <w:jc w:val="center"/>
        </w:trPr>
        <w:tc>
          <w:tcPr>
            <w:tcW w:w="6940" w:type="dxa"/>
            <w:vMerge/>
            <w:tcBorders>
              <w:right w:val="single" w:sz="4" w:space="0" w:color="auto"/>
            </w:tcBorders>
          </w:tcPr>
          <w:p w14:paraId="39E5E4C1" w14:textId="77777777" w:rsidR="000A03B2" w:rsidRPr="008B76E0"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8B76E0" w:rsidRDefault="000A03B2" w:rsidP="00CD5FE2">
            <w:pPr>
              <w:spacing w:line="140" w:lineRule="atLeast"/>
              <w:jc w:val="right"/>
              <w:rPr>
                <w:rFonts w:cs="Arial"/>
                <w:sz w:val="14"/>
                <w:szCs w:val="14"/>
              </w:rPr>
            </w:pPr>
            <w:r w:rsidRPr="008B76E0">
              <w:rPr>
                <w:rFonts w:cs="Arial"/>
                <w:sz w:val="14"/>
                <w:szCs w:val="14"/>
              </w:rPr>
              <w:t>The Italian Association</w:t>
            </w:r>
          </w:p>
          <w:p w14:paraId="7522B1D2" w14:textId="77777777" w:rsidR="000A03B2" w:rsidRPr="008B76E0" w:rsidRDefault="000A03B2" w:rsidP="00CD5FE2">
            <w:pPr>
              <w:spacing w:line="140" w:lineRule="atLeast"/>
              <w:jc w:val="right"/>
              <w:rPr>
                <w:rFonts w:cs="Arial"/>
                <w:sz w:val="14"/>
                <w:szCs w:val="14"/>
              </w:rPr>
            </w:pPr>
            <w:r w:rsidRPr="008B76E0">
              <w:rPr>
                <w:rFonts w:cs="Arial"/>
                <w:sz w:val="14"/>
                <w:szCs w:val="14"/>
              </w:rPr>
              <w:t>of Chemical Engineering</w:t>
            </w:r>
          </w:p>
          <w:p w14:paraId="4F0CC5DE" w14:textId="47FDB2FC" w:rsidR="000A03B2" w:rsidRPr="008B76E0" w:rsidRDefault="000D0268" w:rsidP="00CD5FE2">
            <w:pPr>
              <w:spacing w:line="140" w:lineRule="atLeast"/>
              <w:jc w:val="right"/>
              <w:rPr>
                <w:rFonts w:cs="Arial"/>
                <w:sz w:val="13"/>
                <w:szCs w:val="13"/>
              </w:rPr>
            </w:pPr>
            <w:r w:rsidRPr="008B76E0">
              <w:rPr>
                <w:rFonts w:cs="Arial"/>
                <w:sz w:val="13"/>
                <w:szCs w:val="13"/>
              </w:rPr>
              <w:t>Online at www.cetjournal.it</w:t>
            </w:r>
          </w:p>
        </w:tc>
      </w:tr>
      <w:tr w:rsidR="000A03B2" w:rsidRPr="008B76E0" w14:paraId="2D1B7169" w14:textId="77777777" w:rsidTr="001E3C09">
        <w:trPr>
          <w:trHeight w:val="68"/>
          <w:jc w:val="center"/>
        </w:trPr>
        <w:tc>
          <w:tcPr>
            <w:tcW w:w="8782" w:type="dxa"/>
            <w:gridSpan w:val="2"/>
          </w:tcPr>
          <w:p w14:paraId="1D8DD3C9" w14:textId="0F721BB9" w:rsidR="00AA7D26" w:rsidRPr="008B76E0" w:rsidRDefault="00AA7D26" w:rsidP="008832AA">
            <w:pPr>
              <w:ind w:left="-107"/>
              <w:outlineLvl w:val="2"/>
              <w:rPr>
                <w:rFonts w:ascii="Aptos" w:eastAsiaTheme="minorHAnsi" w:hAnsi="Aptos" w:cs="Aptos"/>
                <w:sz w:val="22"/>
                <w:szCs w:val="22"/>
                <w:lang w:val="it-IT"/>
                <w14:ligatures w14:val="standardContextual"/>
              </w:rPr>
            </w:pPr>
            <w:r w:rsidRPr="008B76E0">
              <w:rPr>
                <w:rFonts w:ascii="Tahoma" w:hAnsi="Tahoma" w:cs="Tahoma"/>
                <w:iCs/>
                <w:color w:val="333333"/>
                <w:sz w:val="14"/>
                <w:szCs w:val="14"/>
                <w:lang w:val="it-IT" w:eastAsia="it-IT"/>
              </w:rPr>
              <w:t>Guest Editors:</w:t>
            </w:r>
            <w:r w:rsidR="008832AA" w:rsidRPr="008B76E0">
              <w:rPr>
                <w:rFonts w:ascii="Aptos" w:eastAsiaTheme="minorHAnsi" w:hAnsi="Aptos" w:cs="Aptos"/>
                <w:sz w:val="22"/>
                <w:szCs w:val="22"/>
                <w:lang w:val="it-IT"/>
              </w:rPr>
              <w:t xml:space="preserve"> </w:t>
            </w:r>
            <w:r w:rsidR="008832AA" w:rsidRPr="008B76E0">
              <w:rPr>
                <w:rFonts w:ascii="Tahoma" w:eastAsiaTheme="minorHAnsi" w:hAnsi="Tahoma" w:cs="Tahoma"/>
                <w:sz w:val="14"/>
                <w:szCs w:val="14"/>
                <w:lang w:val="it-IT"/>
                <w14:ligatures w14:val="standardContextual"/>
              </w:rPr>
              <w:t>David Bogle, Flavio Manenti, Piero Salatino</w:t>
            </w:r>
          </w:p>
          <w:p w14:paraId="1B0F1814" w14:textId="39433521" w:rsidR="000A03B2" w:rsidRPr="008B76E0" w:rsidRDefault="00AA7D26" w:rsidP="00AA7D26">
            <w:pPr>
              <w:tabs>
                <w:tab w:val="left" w:pos="-108"/>
              </w:tabs>
              <w:spacing w:line="140" w:lineRule="atLeast"/>
              <w:ind w:left="-107"/>
              <w:jc w:val="left"/>
            </w:pPr>
            <w:r w:rsidRPr="008B76E0">
              <w:rPr>
                <w:rFonts w:ascii="Tahoma" w:hAnsi="Tahoma" w:cs="Tahoma"/>
                <w:iCs/>
                <w:color w:val="333333"/>
                <w:sz w:val="14"/>
                <w:szCs w:val="14"/>
                <w:lang w:eastAsia="it-IT"/>
              </w:rPr>
              <w:t>Copyright © 202</w:t>
            </w:r>
            <w:r w:rsidR="00994C6A" w:rsidRPr="008B76E0">
              <w:rPr>
                <w:rFonts w:ascii="Tahoma" w:hAnsi="Tahoma" w:cs="Tahoma"/>
                <w:iCs/>
                <w:color w:val="333333"/>
                <w:sz w:val="14"/>
                <w:szCs w:val="14"/>
                <w:lang w:eastAsia="it-IT"/>
              </w:rPr>
              <w:t>5</w:t>
            </w:r>
            <w:r w:rsidRPr="008B76E0">
              <w:rPr>
                <w:rFonts w:ascii="Tahoma" w:hAnsi="Tahoma" w:cs="Tahoma"/>
                <w:iCs/>
                <w:color w:val="333333"/>
                <w:sz w:val="14"/>
                <w:szCs w:val="14"/>
                <w:lang w:eastAsia="it-IT"/>
              </w:rPr>
              <w:t xml:space="preserve">, AIDIC Servizi </w:t>
            </w:r>
            <w:proofErr w:type="spellStart"/>
            <w:r w:rsidRPr="008B76E0">
              <w:rPr>
                <w:rFonts w:ascii="Tahoma" w:hAnsi="Tahoma" w:cs="Tahoma"/>
                <w:iCs/>
                <w:color w:val="333333"/>
                <w:sz w:val="14"/>
                <w:szCs w:val="14"/>
                <w:lang w:eastAsia="it-IT"/>
              </w:rPr>
              <w:t>S.r.l</w:t>
            </w:r>
            <w:proofErr w:type="spellEnd"/>
            <w:r w:rsidRPr="008B76E0">
              <w:rPr>
                <w:rFonts w:ascii="Tahoma" w:hAnsi="Tahoma" w:cs="Tahoma"/>
                <w:iCs/>
                <w:color w:val="333333"/>
                <w:sz w:val="14"/>
                <w:szCs w:val="14"/>
                <w:lang w:eastAsia="it-IT"/>
              </w:rPr>
              <w:t>.</w:t>
            </w:r>
            <w:r w:rsidRPr="008B76E0">
              <w:rPr>
                <w:rFonts w:ascii="Tahoma" w:hAnsi="Tahoma" w:cs="Tahoma"/>
                <w:iCs/>
                <w:color w:val="333333"/>
                <w:sz w:val="14"/>
                <w:szCs w:val="14"/>
                <w:lang w:eastAsia="it-IT"/>
              </w:rPr>
              <w:br/>
            </w:r>
            <w:r w:rsidRPr="008B76E0">
              <w:rPr>
                <w:rFonts w:ascii="Tahoma" w:hAnsi="Tahoma" w:cs="Tahoma"/>
                <w:b/>
                <w:iCs/>
                <w:color w:val="000000"/>
                <w:sz w:val="14"/>
                <w:szCs w:val="14"/>
                <w:lang w:eastAsia="it-IT"/>
              </w:rPr>
              <w:t>ISBN</w:t>
            </w:r>
            <w:r w:rsidRPr="008B76E0">
              <w:rPr>
                <w:rFonts w:ascii="Tahoma" w:hAnsi="Tahoma" w:cs="Tahoma"/>
                <w:iCs/>
                <w:color w:val="000000"/>
                <w:sz w:val="14"/>
                <w:szCs w:val="14"/>
                <w:lang w:eastAsia="it-IT"/>
              </w:rPr>
              <w:t xml:space="preserve"> </w:t>
            </w:r>
            <w:r w:rsidR="003B49CD" w:rsidRPr="008B76E0">
              <w:rPr>
                <w:rFonts w:ascii="Tahoma" w:hAnsi="Tahoma" w:cs="Tahoma"/>
                <w:sz w:val="14"/>
                <w:szCs w:val="14"/>
              </w:rPr>
              <w:t>979-12-81206-</w:t>
            </w:r>
            <w:r w:rsidR="003904D3" w:rsidRPr="008B76E0">
              <w:rPr>
                <w:rFonts w:ascii="Tahoma" w:hAnsi="Tahoma" w:cs="Tahoma"/>
                <w:sz w:val="14"/>
                <w:szCs w:val="14"/>
              </w:rPr>
              <w:t>21</w:t>
            </w:r>
            <w:r w:rsidR="003B49CD" w:rsidRPr="008B76E0">
              <w:rPr>
                <w:rFonts w:ascii="Tahoma" w:hAnsi="Tahoma" w:cs="Tahoma"/>
                <w:sz w:val="14"/>
                <w:szCs w:val="14"/>
              </w:rPr>
              <w:t>-</w:t>
            </w:r>
            <w:r w:rsidR="003904D3" w:rsidRPr="008B76E0">
              <w:rPr>
                <w:rFonts w:ascii="Tahoma" w:hAnsi="Tahoma" w:cs="Tahoma"/>
                <w:sz w:val="14"/>
                <w:szCs w:val="14"/>
              </w:rPr>
              <w:t>2</w:t>
            </w:r>
            <w:r w:rsidRPr="008B76E0">
              <w:rPr>
                <w:rFonts w:ascii="Tahoma" w:hAnsi="Tahoma" w:cs="Tahoma"/>
                <w:iCs/>
                <w:color w:val="333333"/>
                <w:sz w:val="14"/>
                <w:szCs w:val="14"/>
                <w:lang w:eastAsia="it-IT"/>
              </w:rPr>
              <w:t xml:space="preserve">; </w:t>
            </w:r>
            <w:r w:rsidRPr="008B76E0">
              <w:rPr>
                <w:rFonts w:ascii="Tahoma" w:hAnsi="Tahoma" w:cs="Tahoma"/>
                <w:b/>
                <w:iCs/>
                <w:color w:val="333333"/>
                <w:sz w:val="14"/>
                <w:szCs w:val="14"/>
                <w:lang w:eastAsia="it-IT"/>
              </w:rPr>
              <w:t>ISSN</w:t>
            </w:r>
            <w:r w:rsidRPr="008B76E0">
              <w:rPr>
                <w:rFonts w:ascii="Tahoma" w:hAnsi="Tahoma" w:cs="Tahoma"/>
                <w:iCs/>
                <w:color w:val="333333"/>
                <w:sz w:val="14"/>
                <w:szCs w:val="14"/>
                <w:lang w:eastAsia="it-IT"/>
              </w:rPr>
              <w:t xml:space="preserve"> 2283-9216</w:t>
            </w:r>
          </w:p>
        </w:tc>
      </w:tr>
    </w:tbl>
    <w:bookmarkEnd w:id="0"/>
    <w:p w14:paraId="2E667253" w14:textId="2C9021E2" w:rsidR="00E978D0" w:rsidRPr="008B76E0" w:rsidRDefault="001E3C09" w:rsidP="00E978D0">
      <w:pPr>
        <w:pStyle w:val="CETTitle"/>
      </w:pPr>
      <w:r w:rsidRPr="008B76E0">
        <w:t>Technological Development and Safety Assessment Criteria in Hydrogen Distribution Sites</w:t>
      </w:r>
    </w:p>
    <w:p w14:paraId="0488FED2" w14:textId="749F6D5F" w:rsidR="00B57E6F" w:rsidRPr="008B76E0" w:rsidRDefault="001E3C09" w:rsidP="00B57E6F">
      <w:pPr>
        <w:pStyle w:val="CETAuthors"/>
        <w:rPr>
          <w:lang w:val="it-IT"/>
        </w:rPr>
      </w:pPr>
      <w:r w:rsidRPr="008B76E0">
        <w:rPr>
          <w:lang w:val="it-IT"/>
        </w:rPr>
        <w:t>Silvia Carra</w:t>
      </w:r>
      <w:r w:rsidRPr="008B76E0">
        <w:rPr>
          <w:vertAlign w:val="superscript"/>
          <w:lang w:val="it-IT"/>
        </w:rPr>
        <w:t>a,*</w:t>
      </w:r>
      <w:r w:rsidRPr="008B76E0">
        <w:rPr>
          <w:lang w:val="it-IT"/>
        </w:rPr>
        <w:t>, Andrea Tonti</w:t>
      </w:r>
      <w:r w:rsidRPr="008B76E0">
        <w:rPr>
          <w:vertAlign w:val="superscript"/>
          <w:lang w:val="it-IT"/>
        </w:rPr>
        <w:t>a</w:t>
      </w:r>
      <w:r w:rsidRPr="008B76E0">
        <w:rPr>
          <w:lang w:val="it-IT"/>
        </w:rPr>
        <w:t>, Casto Di Girolamo</w:t>
      </w:r>
      <w:r w:rsidRPr="008B76E0">
        <w:rPr>
          <w:vertAlign w:val="superscript"/>
          <w:lang w:val="it-IT"/>
        </w:rPr>
        <w:t>b</w:t>
      </w:r>
      <w:r w:rsidRPr="008B76E0">
        <w:rPr>
          <w:lang w:val="it-IT"/>
        </w:rPr>
        <w:t>, Luigi Monica</w:t>
      </w:r>
      <w:r w:rsidRPr="008B76E0">
        <w:rPr>
          <w:vertAlign w:val="superscript"/>
          <w:lang w:val="it-IT"/>
        </w:rPr>
        <w:t>a</w:t>
      </w:r>
    </w:p>
    <w:p w14:paraId="5D1F4692" w14:textId="77777777" w:rsidR="001E3C09" w:rsidRPr="008B76E0" w:rsidRDefault="001E3C09" w:rsidP="001E3C09">
      <w:pPr>
        <w:pStyle w:val="CETAddress"/>
        <w:rPr>
          <w:lang w:val="it-IT"/>
        </w:rPr>
      </w:pPr>
      <w:r w:rsidRPr="008B76E0">
        <w:rPr>
          <w:vertAlign w:val="superscript"/>
          <w:lang w:val="it-IT"/>
        </w:rPr>
        <w:t>a</w:t>
      </w:r>
      <w:r w:rsidRPr="008B76E0">
        <w:rPr>
          <w:lang w:val="it-IT"/>
        </w:rPr>
        <w:t xml:space="preserve">INAIL, Dipartimento Innovazione Tecnologica e Sicurezza degli Impianti, Prodotti e Insediamenti Antropici, Via Roberto Ferruzzi, 38, 00143 Roma, Italy </w:t>
      </w:r>
    </w:p>
    <w:p w14:paraId="13E32CC7" w14:textId="77777777" w:rsidR="001E3C09" w:rsidRPr="008B76E0" w:rsidRDefault="001E3C09" w:rsidP="001E3C09">
      <w:pPr>
        <w:pStyle w:val="CETAddress"/>
        <w:rPr>
          <w:lang w:val="it-IT"/>
        </w:rPr>
      </w:pPr>
      <w:r w:rsidRPr="008B76E0">
        <w:rPr>
          <w:vertAlign w:val="superscript"/>
          <w:lang w:val="it-IT"/>
        </w:rPr>
        <w:t>b</w:t>
      </w:r>
      <w:r w:rsidRPr="008B76E0">
        <w:rPr>
          <w:lang w:val="it-IT"/>
        </w:rPr>
        <w:t>INAIL, Unità Operativa Territoriale di certificazione, verifica e ricerca di Piacenza, Via Rodolfo Boselli 59/63, 29122 Piacenza</w:t>
      </w:r>
    </w:p>
    <w:p w14:paraId="73F1267A" w14:textId="124E5AD4" w:rsidR="00B57E6F" w:rsidRPr="008B76E0" w:rsidRDefault="001E3C09" w:rsidP="001E3C09">
      <w:pPr>
        <w:pStyle w:val="CETemail"/>
      </w:pPr>
      <w:r w:rsidRPr="008B76E0">
        <w:t>si.carra@inail.it</w:t>
      </w:r>
    </w:p>
    <w:p w14:paraId="06B10AFE" w14:textId="02263576" w:rsidR="00914F4C" w:rsidRPr="008B76E0" w:rsidRDefault="00914F4C" w:rsidP="00914F4C">
      <w:pPr>
        <w:pStyle w:val="CETBodytext"/>
        <w:rPr>
          <w:lang w:val="en-GB"/>
        </w:rPr>
      </w:pPr>
      <w:r w:rsidRPr="008B76E0">
        <w:rPr>
          <w:lang w:val="en-GB"/>
        </w:rPr>
        <w:t>A fully sustainable mobility is one of the main objectives that the Member States of the European Community aim to achieve, in accordance with the Sustainable Development Goals of the United Nations 2030 Agenda and in order to achieve climate neutrality at European level in 2050</w:t>
      </w:r>
      <w:r w:rsidR="00E116CA" w:rsidRPr="008B76E0">
        <w:rPr>
          <w:lang w:val="en-GB"/>
        </w:rPr>
        <w:t>.</w:t>
      </w:r>
      <w:r w:rsidR="003429F5" w:rsidRPr="008B76E0">
        <w:rPr>
          <w:lang w:val="en-GB"/>
        </w:rPr>
        <w:t xml:space="preserve"> </w:t>
      </w:r>
      <w:r w:rsidR="00833ABE" w:rsidRPr="008B76E0">
        <w:rPr>
          <w:lang w:val="en-GB"/>
        </w:rPr>
        <w:t>Between all the energy sources alternative to the traditional ones, h</w:t>
      </w:r>
      <w:r w:rsidRPr="008B76E0">
        <w:rPr>
          <w:lang w:val="en-GB"/>
        </w:rPr>
        <w:t xml:space="preserve">ydrogen </w:t>
      </w:r>
      <w:r w:rsidR="00833ABE" w:rsidRPr="008B76E0">
        <w:rPr>
          <w:lang w:val="en-GB"/>
        </w:rPr>
        <w:t>appears as</w:t>
      </w:r>
      <w:r w:rsidRPr="008B76E0">
        <w:rPr>
          <w:lang w:val="en-GB"/>
        </w:rPr>
        <w:t xml:space="preserve"> one of the most promising energy </w:t>
      </w:r>
      <w:r w:rsidR="00474C7F" w:rsidRPr="008B76E0">
        <w:rPr>
          <w:lang w:val="en-GB"/>
        </w:rPr>
        <w:t>vectors</w:t>
      </w:r>
      <w:r w:rsidRPr="008B76E0">
        <w:rPr>
          <w:lang w:val="en-GB"/>
        </w:rPr>
        <w:t xml:space="preserve"> </w:t>
      </w:r>
      <w:r w:rsidR="005A4350" w:rsidRPr="008B76E0">
        <w:rPr>
          <w:lang w:val="en-GB"/>
        </w:rPr>
        <w:t>and that is why - i</w:t>
      </w:r>
      <w:r w:rsidRPr="008B76E0">
        <w:rPr>
          <w:lang w:val="en-GB"/>
        </w:rPr>
        <w:t>n line with the European strategy</w:t>
      </w:r>
      <w:r w:rsidR="005A4350" w:rsidRPr="008B76E0">
        <w:rPr>
          <w:lang w:val="en-GB"/>
        </w:rPr>
        <w:t xml:space="preserve"> -</w:t>
      </w:r>
      <w:r w:rsidRPr="008B76E0">
        <w:rPr>
          <w:lang w:val="en-GB"/>
        </w:rPr>
        <w:t xml:space="preserve"> Italy intends to actively engage in production and practical use of hydrogen through the construction of several stations for transport by rail and road (also including trucks and busses) by 2026. </w:t>
      </w:r>
    </w:p>
    <w:p w14:paraId="50FF7077" w14:textId="7F5DABF8" w:rsidR="00914F4C" w:rsidRPr="008B76E0" w:rsidRDefault="00914F4C" w:rsidP="00914F4C">
      <w:pPr>
        <w:pStyle w:val="CETBodytext"/>
        <w:rPr>
          <w:lang w:val="en-GB"/>
        </w:rPr>
      </w:pPr>
      <w:r w:rsidRPr="008B76E0">
        <w:rPr>
          <w:lang w:val="en-GB"/>
        </w:rPr>
        <w:t xml:space="preserve">The present study aims to deepen the actual technological development and safety conditions in sites for hydrogen production and distribution in the Italian context, particularly focusing on hydrogen supply systems for automotive applications. </w:t>
      </w:r>
      <w:r w:rsidR="003429F5" w:rsidRPr="008B76E0">
        <w:rPr>
          <w:lang w:val="en-GB"/>
        </w:rPr>
        <w:t xml:space="preserve">The existing technical regulations in relation to safety of these plants are outlined, with particular attention for the European legislation as well as for international codes and standards. </w:t>
      </w:r>
      <w:r w:rsidR="001D202A" w:rsidRPr="008B76E0">
        <w:rPr>
          <w:lang w:val="en-GB"/>
        </w:rPr>
        <w:t>Plant and functional data</w:t>
      </w:r>
      <w:r w:rsidRPr="008B76E0">
        <w:rPr>
          <w:lang w:val="en-GB"/>
        </w:rPr>
        <w:t xml:space="preserve"> </w:t>
      </w:r>
      <w:r w:rsidR="001D202A" w:rsidRPr="008B76E0">
        <w:rPr>
          <w:lang w:val="en-GB"/>
        </w:rPr>
        <w:t>relat</w:t>
      </w:r>
      <w:r w:rsidR="00EA6306" w:rsidRPr="008B76E0">
        <w:rPr>
          <w:lang w:val="en-GB"/>
        </w:rPr>
        <w:t>ing</w:t>
      </w:r>
      <w:r w:rsidR="001D202A" w:rsidRPr="008B76E0">
        <w:rPr>
          <w:lang w:val="en-GB"/>
        </w:rPr>
        <w:t xml:space="preserve"> to</w:t>
      </w:r>
      <w:r w:rsidRPr="008B76E0">
        <w:rPr>
          <w:lang w:val="en-GB"/>
        </w:rPr>
        <w:t xml:space="preserve"> the main operating hydrogen distributors at national level</w:t>
      </w:r>
      <w:r w:rsidR="00EA6306" w:rsidRPr="008B76E0">
        <w:rPr>
          <w:lang w:val="en-GB"/>
        </w:rPr>
        <w:t xml:space="preserve"> - </w:t>
      </w:r>
      <w:r w:rsidRPr="008B76E0">
        <w:rPr>
          <w:lang w:val="en-GB"/>
        </w:rPr>
        <w:t xml:space="preserve">as well as </w:t>
      </w:r>
      <w:r w:rsidR="00EA6306" w:rsidRPr="008B76E0">
        <w:rPr>
          <w:lang w:val="en-GB"/>
        </w:rPr>
        <w:t xml:space="preserve">to </w:t>
      </w:r>
      <w:r w:rsidRPr="008B76E0">
        <w:rPr>
          <w:lang w:val="en-GB"/>
        </w:rPr>
        <w:t>new other ones being activated</w:t>
      </w:r>
      <w:r w:rsidR="00EA6306" w:rsidRPr="008B76E0">
        <w:rPr>
          <w:lang w:val="en-GB"/>
        </w:rPr>
        <w:t xml:space="preserve"> -</w:t>
      </w:r>
      <w:r w:rsidR="001D202A" w:rsidRPr="008B76E0">
        <w:rPr>
          <w:lang w:val="en-GB"/>
        </w:rPr>
        <w:t xml:space="preserve"> </w:t>
      </w:r>
      <w:r w:rsidR="00EA6306" w:rsidRPr="008B76E0">
        <w:rPr>
          <w:lang w:val="en-GB"/>
        </w:rPr>
        <w:t>are</w:t>
      </w:r>
      <w:r w:rsidR="001D202A" w:rsidRPr="008B76E0">
        <w:rPr>
          <w:lang w:val="en-GB"/>
        </w:rPr>
        <w:t xml:space="preserve"> presented</w:t>
      </w:r>
      <w:r w:rsidR="00EA6306" w:rsidRPr="008B76E0">
        <w:rPr>
          <w:lang w:val="en-GB"/>
        </w:rPr>
        <w:t>.</w:t>
      </w:r>
      <w:r w:rsidR="00E116CA" w:rsidRPr="008B76E0">
        <w:rPr>
          <w:lang w:val="en-GB"/>
        </w:rPr>
        <w:t xml:space="preserve"> </w:t>
      </w:r>
      <w:r w:rsidR="00EA6306" w:rsidRPr="008B76E0">
        <w:rPr>
          <w:lang w:val="en-GB"/>
        </w:rPr>
        <w:t>A</w:t>
      </w:r>
      <w:r w:rsidR="00E116CA" w:rsidRPr="008B76E0">
        <w:rPr>
          <w:lang w:val="en-GB"/>
        </w:rPr>
        <w:t xml:space="preserve">t the same time, </w:t>
      </w:r>
      <w:r w:rsidR="00EA6306" w:rsidRPr="008B76E0">
        <w:rPr>
          <w:lang w:val="en-GB"/>
        </w:rPr>
        <w:t>the</w:t>
      </w:r>
      <w:r w:rsidR="0057416F" w:rsidRPr="008B76E0">
        <w:rPr>
          <w:lang w:val="en-GB"/>
        </w:rPr>
        <w:t xml:space="preserve"> </w:t>
      </w:r>
      <w:r w:rsidR="00BA0E20" w:rsidRPr="008B76E0">
        <w:rPr>
          <w:lang w:val="en-GB"/>
        </w:rPr>
        <w:t xml:space="preserve">recent </w:t>
      </w:r>
      <w:r w:rsidR="00E116CA" w:rsidRPr="008B76E0">
        <w:rPr>
          <w:lang w:val="en-GB"/>
        </w:rPr>
        <w:t xml:space="preserve">international scientific literature </w:t>
      </w:r>
      <w:r w:rsidR="00EA6306" w:rsidRPr="008B76E0">
        <w:rPr>
          <w:lang w:val="en-GB"/>
        </w:rPr>
        <w:t>is</w:t>
      </w:r>
      <w:r w:rsidR="00E116CA" w:rsidRPr="008B76E0">
        <w:rPr>
          <w:lang w:val="en-GB"/>
        </w:rPr>
        <w:t xml:space="preserve"> </w:t>
      </w:r>
      <w:proofErr w:type="spellStart"/>
      <w:r w:rsidR="003429F5" w:rsidRPr="008B76E0">
        <w:rPr>
          <w:lang w:val="en-GB"/>
        </w:rPr>
        <w:t>analyzed</w:t>
      </w:r>
      <w:proofErr w:type="spellEnd"/>
      <w:r w:rsidR="00E116CA" w:rsidRPr="008B76E0">
        <w:rPr>
          <w:lang w:val="en-GB"/>
        </w:rPr>
        <w:t xml:space="preserve"> to identify emerging </w:t>
      </w:r>
      <w:r w:rsidR="00A854B9" w:rsidRPr="008B76E0">
        <w:rPr>
          <w:lang w:val="en-GB"/>
        </w:rPr>
        <w:t xml:space="preserve">safety-related technical </w:t>
      </w:r>
      <w:r w:rsidR="00E116CA" w:rsidRPr="008B76E0">
        <w:rPr>
          <w:lang w:val="en-GB"/>
        </w:rPr>
        <w:t xml:space="preserve">issues and </w:t>
      </w:r>
      <w:r w:rsidR="00A854B9" w:rsidRPr="008B76E0">
        <w:rPr>
          <w:lang w:val="en-GB"/>
        </w:rPr>
        <w:t>management</w:t>
      </w:r>
      <w:r w:rsidR="00E116CA" w:rsidRPr="008B76E0">
        <w:rPr>
          <w:lang w:val="en-GB"/>
        </w:rPr>
        <w:t xml:space="preserve"> approaches.</w:t>
      </w:r>
      <w:r w:rsidR="00EA6306" w:rsidRPr="008B76E0">
        <w:rPr>
          <w:lang w:val="en-GB"/>
        </w:rPr>
        <w:t xml:space="preserve"> </w:t>
      </w:r>
      <w:r w:rsidR="003429F5" w:rsidRPr="008B76E0">
        <w:rPr>
          <w:lang w:val="en-GB"/>
        </w:rPr>
        <w:t xml:space="preserve">The need to define shared approaches in Europe, </w:t>
      </w:r>
      <w:r w:rsidR="00546676" w:rsidRPr="008B76E0">
        <w:rPr>
          <w:lang w:val="en-GB"/>
        </w:rPr>
        <w:t xml:space="preserve">in order </w:t>
      </w:r>
      <w:r w:rsidR="003429F5" w:rsidRPr="008B76E0">
        <w:rPr>
          <w:lang w:val="en-GB"/>
        </w:rPr>
        <w:t xml:space="preserve">to identify common </w:t>
      </w:r>
      <w:r w:rsidR="00546676" w:rsidRPr="008B76E0">
        <w:rPr>
          <w:lang w:val="en-GB"/>
        </w:rPr>
        <w:t xml:space="preserve">safety </w:t>
      </w:r>
      <w:r w:rsidR="003429F5" w:rsidRPr="008B76E0">
        <w:rPr>
          <w:lang w:val="en-GB"/>
        </w:rPr>
        <w:t xml:space="preserve">procedures and good practices, </w:t>
      </w:r>
      <w:r w:rsidR="00546676" w:rsidRPr="008B76E0">
        <w:rPr>
          <w:lang w:val="en-GB"/>
        </w:rPr>
        <w:t>emerges</w:t>
      </w:r>
      <w:r w:rsidR="003429F5" w:rsidRPr="008B76E0">
        <w:rPr>
          <w:lang w:val="en-GB"/>
        </w:rPr>
        <w:t>.</w:t>
      </w:r>
    </w:p>
    <w:p w14:paraId="48033E0A" w14:textId="1712296F" w:rsidR="009C01E7" w:rsidRPr="008B76E0" w:rsidRDefault="00600535" w:rsidP="009D00E5">
      <w:pPr>
        <w:pStyle w:val="CETHeading1"/>
        <w:numPr>
          <w:ilvl w:val="0"/>
          <w:numId w:val="39"/>
        </w:numPr>
        <w:ind w:left="284" w:hanging="284"/>
        <w:rPr>
          <w:lang w:val="en-GB"/>
        </w:rPr>
      </w:pPr>
      <w:r w:rsidRPr="008B76E0">
        <w:rPr>
          <w:lang w:val="en-GB"/>
        </w:rPr>
        <w:t>Introduction</w:t>
      </w:r>
    </w:p>
    <w:p w14:paraId="43F9470E" w14:textId="31A6B912" w:rsidR="00317F6E" w:rsidRPr="008B76E0" w:rsidRDefault="00217B76" w:rsidP="00600535">
      <w:pPr>
        <w:pStyle w:val="CETBodytext"/>
        <w:rPr>
          <w:lang w:val="en-GB"/>
        </w:rPr>
      </w:pPr>
      <w:r w:rsidRPr="008B76E0">
        <w:rPr>
          <w:lang w:val="en-GB"/>
        </w:rPr>
        <w:t xml:space="preserve">In </w:t>
      </w:r>
      <w:r w:rsidR="00D76781" w:rsidRPr="008B76E0">
        <w:rPr>
          <w:lang w:val="en-GB"/>
        </w:rPr>
        <w:t>all the European context</w:t>
      </w:r>
      <w:r w:rsidRPr="008B76E0">
        <w:rPr>
          <w:lang w:val="en-GB"/>
        </w:rPr>
        <w:t xml:space="preserve">, </w:t>
      </w:r>
      <w:r w:rsidR="00D76781" w:rsidRPr="008B76E0">
        <w:rPr>
          <w:lang w:val="en-GB"/>
        </w:rPr>
        <w:t>i</w:t>
      </w:r>
      <w:r w:rsidR="00317F6E" w:rsidRPr="008B76E0">
        <w:rPr>
          <w:lang w:val="en-GB"/>
        </w:rPr>
        <w:t xml:space="preserve">t appears essential </w:t>
      </w:r>
      <w:r w:rsidR="00D76781" w:rsidRPr="008B76E0">
        <w:rPr>
          <w:lang w:val="en-GB"/>
        </w:rPr>
        <w:t xml:space="preserve">today </w:t>
      </w:r>
      <w:r w:rsidR="00317F6E" w:rsidRPr="008B76E0">
        <w:rPr>
          <w:lang w:val="en-GB"/>
        </w:rPr>
        <w:t xml:space="preserve">to identify energy sources alternative to the traditional ones, </w:t>
      </w:r>
      <w:r w:rsidR="00D76781" w:rsidRPr="008B76E0">
        <w:rPr>
          <w:lang w:val="en-GB"/>
        </w:rPr>
        <w:t xml:space="preserve">by exploiting solutions including </w:t>
      </w:r>
      <w:r w:rsidR="00317F6E" w:rsidRPr="008B76E0">
        <w:rPr>
          <w:lang w:val="en-GB"/>
        </w:rPr>
        <w:t>“renewable energy sources” (</w:t>
      </w:r>
      <w:r w:rsidR="00C40D62" w:rsidRPr="008B76E0">
        <w:rPr>
          <w:lang w:val="en-GB"/>
        </w:rPr>
        <w:t>e.g.</w:t>
      </w:r>
      <w:r w:rsidR="00C307B8" w:rsidRPr="008B76E0">
        <w:rPr>
          <w:lang w:val="en-GB"/>
        </w:rPr>
        <w:t xml:space="preserve"> </w:t>
      </w:r>
      <w:r w:rsidR="00317F6E" w:rsidRPr="008B76E0">
        <w:rPr>
          <w:lang w:val="en-GB"/>
        </w:rPr>
        <w:t>solar</w:t>
      </w:r>
      <w:r w:rsidR="00C307B8" w:rsidRPr="008B76E0">
        <w:rPr>
          <w:lang w:val="en-GB"/>
        </w:rPr>
        <w:t xml:space="preserve"> and</w:t>
      </w:r>
      <w:r w:rsidR="00317F6E" w:rsidRPr="008B76E0">
        <w:rPr>
          <w:lang w:val="en-GB"/>
        </w:rPr>
        <w:t xml:space="preserve"> hydroelectric </w:t>
      </w:r>
      <w:r w:rsidR="00C307B8" w:rsidRPr="008B76E0">
        <w:rPr>
          <w:lang w:val="en-GB"/>
        </w:rPr>
        <w:t>ones</w:t>
      </w:r>
      <w:r w:rsidR="00317F6E" w:rsidRPr="008B76E0">
        <w:rPr>
          <w:lang w:val="en-GB"/>
        </w:rPr>
        <w:t>), which are natural primary forms of energy</w:t>
      </w:r>
      <w:r w:rsidR="00D76781" w:rsidRPr="008B76E0">
        <w:rPr>
          <w:lang w:val="en-GB"/>
        </w:rPr>
        <w:t>, a</w:t>
      </w:r>
      <w:r w:rsidR="00317F6E" w:rsidRPr="008B76E0">
        <w:rPr>
          <w:lang w:val="en-GB"/>
        </w:rPr>
        <w:t xml:space="preserve">s well as the so-called "energy vectors", that is compounds capable of conveying energy from one form to another, accumulating it and then being released to the need. </w:t>
      </w:r>
    </w:p>
    <w:p w14:paraId="495F1FD1" w14:textId="60966941" w:rsidR="007C332C" w:rsidRPr="008B76E0" w:rsidRDefault="00317F6E" w:rsidP="007C332C">
      <w:pPr>
        <w:pStyle w:val="CETBodytext"/>
        <w:rPr>
          <w:lang w:val="en-GB"/>
        </w:rPr>
      </w:pPr>
      <w:r w:rsidRPr="008B76E0">
        <w:rPr>
          <w:lang w:val="en-GB"/>
        </w:rPr>
        <w:t>H</w:t>
      </w:r>
      <w:r w:rsidR="00217B76" w:rsidRPr="008B76E0">
        <w:rPr>
          <w:lang w:val="en-GB"/>
        </w:rPr>
        <w:t xml:space="preserve">ydrogen </w:t>
      </w:r>
      <w:r w:rsidRPr="008B76E0">
        <w:rPr>
          <w:lang w:val="en-GB"/>
        </w:rPr>
        <w:t>is an</w:t>
      </w:r>
      <w:r w:rsidR="00217B76" w:rsidRPr="008B76E0">
        <w:rPr>
          <w:lang w:val="en-GB"/>
        </w:rPr>
        <w:t xml:space="preserve"> alternative energy vector </w:t>
      </w:r>
      <w:r w:rsidRPr="008B76E0">
        <w:rPr>
          <w:lang w:val="en-GB"/>
        </w:rPr>
        <w:t>whose applications</w:t>
      </w:r>
      <w:r w:rsidR="00D76781" w:rsidRPr="008B76E0">
        <w:rPr>
          <w:lang w:val="en-GB"/>
        </w:rPr>
        <w:t xml:space="preserve"> in Italy</w:t>
      </w:r>
      <w:r w:rsidRPr="008B76E0">
        <w:rPr>
          <w:lang w:val="en-GB"/>
        </w:rPr>
        <w:t xml:space="preserve"> </w:t>
      </w:r>
      <w:r w:rsidR="00217B76" w:rsidRPr="008B76E0">
        <w:rPr>
          <w:lang w:val="en-GB"/>
        </w:rPr>
        <w:t xml:space="preserve">are currently </w:t>
      </w:r>
      <w:r w:rsidR="00D76781" w:rsidRPr="008B76E0">
        <w:rPr>
          <w:lang w:val="en-GB"/>
        </w:rPr>
        <w:t xml:space="preserve">mainly </w:t>
      </w:r>
      <w:r w:rsidR="00217B76" w:rsidRPr="008B76E0">
        <w:rPr>
          <w:lang w:val="en-GB"/>
        </w:rPr>
        <w:t xml:space="preserve">limited to industrial use and mobility, while they are not yet </w:t>
      </w:r>
      <w:r w:rsidR="00D76781" w:rsidRPr="008B76E0">
        <w:rPr>
          <w:lang w:val="en-GB"/>
        </w:rPr>
        <w:t xml:space="preserve">significantly </w:t>
      </w:r>
      <w:r w:rsidR="00217B76" w:rsidRPr="008B76E0">
        <w:rPr>
          <w:lang w:val="en-GB"/>
        </w:rPr>
        <w:t>extended to residential contexts</w:t>
      </w:r>
      <w:r w:rsidR="00463567" w:rsidRPr="008B76E0">
        <w:rPr>
          <w:lang w:val="en-GB"/>
        </w:rPr>
        <w:t xml:space="preserve">, </w:t>
      </w:r>
      <w:r w:rsidR="00217B76" w:rsidRPr="008B76E0">
        <w:rPr>
          <w:lang w:val="en-GB"/>
        </w:rPr>
        <w:t>e.g. domestic heating</w:t>
      </w:r>
      <w:r w:rsidR="00463567" w:rsidRPr="008B76E0">
        <w:rPr>
          <w:lang w:val="en-GB"/>
        </w:rPr>
        <w:t xml:space="preserve"> (</w:t>
      </w:r>
      <w:r w:rsidR="003D14C6" w:rsidRPr="008B76E0">
        <w:rPr>
          <w:lang w:val="en-GB"/>
        </w:rPr>
        <w:t xml:space="preserve">even if in Emilia-Romagna </w:t>
      </w:r>
      <w:r w:rsidR="00F4218A" w:rsidRPr="008B76E0">
        <w:rPr>
          <w:lang w:val="en-GB"/>
        </w:rPr>
        <w:t>a</w:t>
      </w:r>
      <w:r w:rsidR="003D14C6" w:rsidRPr="008B76E0">
        <w:rPr>
          <w:lang w:val="en-GB"/>
        </w:rPr>
        <w:t xml:space="preserve"> first Italian trial of hydrogen injection into the residential gas network has been </w:t>
      </w:r>
      <w:r w:rsidR="00F4218A" w:rsidRPr="008B76E0">
        <w:rPr>
          <w:lang w:val="en-GB"/>
        </w:rPr>
        <w:t xml:space="preserve">recently </w:t>
      </w:r>
      <w:r w:rsidR="003D14C6" w:rsidRPr="008B76E0">
        <w:rPr>
          <w:lang w:val="en-GB"/>
        </w:rPr>
        <w:t>carried out</w:t>
      </w:r>
      <w:r w:rsidR="00217B76" w:rsidRPr="008B76E0">
        <w:rPr>
          <w:lang w:val="en-GB"/>
        </w:rPr>
        <w:t xml:space="preserve">). </w:t>
      </w:r>
      <w:r w:rsidR="00463567" w:rsidRPr="008B76E0">
        <w:rPr>
          <w:lang w:val="en-GB"/>
        </w:rPr>
        <w:t>We are also beginning to see its use in the field of agricultural machinery</w:t>
      </w:r>
      <w:r w:rsidR="0079237C" w:rsidRPr="008B76E0">
        <w:rPr>
          <w:lang w:val="en-GB"/>
        </w:rPr>
        <w:t xml:space="preserve"> and construction</w:t>
      </w:r>
      <w:r w:rsidR="00463567" w:rsidRPr="008B76E0">
        <w:rPr>
          <w:lang w:val="en-GB"/>
        </w:rPr>
        <w:t xml:space="preserve"> (forklifts, telehandlers)</w:t>
      </w:r>
      <w:r w:rsidR="00A022B7" w:rsidRPr="008B76E0">
        <w:rPr>
          <w:lang w:val="en-GB"/>
        </w:rPr>
        <w:t xml:space="preserve"> as well as in motorbike races, where the use of liquid hydrogen for </w:t>
      </w:r>
      <w:proofErr w:type="spellStart"/>
      <w:r w:rsidR="00A022B7" w:rsidRPr="008B76E0">
        <w:rPr>
          <w:lang w:val="en-GB"/>
        </w:rPr>
        <w:t>refueling</w:t>
      </w:r>
      <w:proofErr w:type="spellEnd"/>
      <w:r w:rsidR="00A022B7" w:rsidRPr="008B76E0">
        <w:rPr>
          <w:lang w:val="en-GB"/>
        </w:rPr>
        <w:t xml:space="preserve"> is about to be included in international regulations</w:t>
      </w:r>
      <w:r w:rsidR="00463567" w:rsidRPr="008B76E0">
        <w:rPr>
          <w:lang w:val="en-GB"/>
        </w:rPr>
        <w:t>.</w:t>
      </w:r>
      <w:r w:rsidR="00CA0698" w:rsidRPr="008B76E0">
        <w:rPr>
          <w:lang w:val="en-GB"/>
        </w:rPr>
        <w:t xml:space="preserve"> </w:t>
      </w:r>
      <w:r w:rsidR="00F4218A" w:rsidRPr="008B76E0">
        <w:rPr>
          <w:lang w:val="en-GB"/>
        </w:rPr>
        <w:t>H</w:t>
      </w:r>
      <w:r w:rsidR="003D14C6" w:rsidRPr="008B76E0">
        <w:rPr>
          <w:lang w:val="en-GB"/>
        </w:rPr>
        <w:t>ydrogen</w:t>
      </w:r>
      <w:r w:rsidR="00312720" w:rsidRPr="008B76E0">
        <w:rPr>
          <w:lang w:val="en-GB"/>
        </w:rPr>
        <w:t xml:space="preserve"> </w:t>
      </w:r>
      <w:r w:rsidR="00217B76" w:rsidRPr="008B76E0">
        <w:rPr>
          <w:lang w:val="en-GB"/>
        </w:rPr>
        <w:t>represents a form of secondary energy, since all its production methods initially require primary energy (e.g. in natural gas reforming), which must be transformed using appropriate technologies and plants.</w:t>
      </w:r>
      <w:r w:rsidR="00F4218A" w:rsidRPr="008B76E0">
        <w:rPr>
          <w:lang w:val="en-GB"/>
        </w:rPr>
        <w:t xml:space="preserve"> A</w:t>
      </w:r>
      <w:r w:rsidR="005A4350" w:rsidRPr="008B76E0">
        <w:rPr>
          <w:lang w:val="en-GB"/>
        </w:rPr>
        <w:t xml:space="preserve"> complete sustainability - also from the social point of view - </w:t>
      </w:r>
      <w:r w:rsidR="00D76781" w:rsidRPr="008B76E0">
        <w:rPr>
          <w:lang w:val="en-GB"/>
        </w:rPr>
        <w:t xml:space="preserve">of such promising solution </w:t>
      </w:r>
      <w:r w:rsidR="005A4350" w:rsidRPr="008B76E0">
        <w:rPr>
          <w:lang w:val="en-GB"/>
        </w:rPr>
        <w:t>includes the attention to ensure preservation of the working environment and operators from hydrogen-associated risks (i.e. fires, explosions, material embrittlement) during production, transportation and storage phases, as well as that of users in final applications</w:t>
      </w:r>
      <w:r w:rsidR="0063410D" w:rsidRPr="008B76E0">
        <w:rPr>
          <w:lang w:val="en-GB"/>
        </w:rPr>
        <w:t xml:space="preserve">, because of its </w:t>
      </w:r>
      <w:r w:rsidR="00F40DF9" w:rsidRPr="008B76E0">
        <w:rPr>
          <w:lang w:val="en-GB"/>
        </w:rPr>
        <w:t xml:space="preserve">high </w:t>
      </w:r>
      <w:r w:rsidR="0063410D" w:rsidRPr="008B76E0">
        <w:rPr>
          <w:lang w:val="en-GB"/>
        </w:rPr>
        <w:t>flammability.</w:t>
      </w:r>
    </w:p>
    <w:p w14:paraId="54B649B1" w14:textId="6AF7D735" w:rsidR="004C4139" w:rsidRPr="008B76E0" w:rsidRDefault="00F15174" w:rsidP="00316AC0">
      <w:pPr>
        <w:pStyle w:val="CETBodytext"/>
        <w:rPr>
          <w:lang w:val="en-GB"/>
        </w:rPr>
      </w:pPr>
      <w:r w:rsidRPr="008B76E0">
        <w:rPr>
          <w:lang w:val="en-GB"/>
        </w:rPr>
        <w:t xml:space="preserve">This necessarily resulted in a progressive interest in the definition of </w:t>
      </w:r>
      <w:r w:rsidR="00C307B8" w:rsidRPr="008B76E0">
        <w:rPr>
          <w:lang w:val="en-GB"/>
        </w:rPr>
        <w:t>specific</w:t>
      </w:r>
      <w:r w:rsidRPr="008B76E0">
        <w:rPr>
          <w:lang w:val="en-GB"/>
        </w:rPr>
        <w:t xml:space="preserve"> sector regulations. </w:t>
      </w:r>
      <w:r w:rsidR="004C4139" w:rsidRPr="008B76E0">
        <w:rPr>
          <w:lang w:val="en-GB"/>
        </w:rPr>
        <w:t xml:space="preserve">CEN/CENELEC </w:t>
      </w:r>
      <w:r w:rsidRPr="008B76E0">
        <w:rPr>
          <w:lang w:val="en-GB"/>
        </w:rPr>
        <w:t xml:space="preserve">has received a mandate from the EU Commission </w:t>
      </w:r>
      <w:r w:rsidR="004C4139" w:rsidRPr="008B76E0">
        <w:rPr>
          <w:lang w:val="en-GB"/>
        </w:rPr>
        <w:t>to draft standards on hydrogen</w:t>
      </w:r>
      <w:r w:rsidR="003E79BB" w:rsidRPr="008B76E0">
        <w:rPr>
          <w:lang w:val="en-GB"/>
        </w:rPr>
        <w:t>,</w:t>
      </w:r>
      <w:r w:rsidR="004C4139" w:rsidRPr="008B76E0">
        <w:rPr>
          <w:lang w:val="en-GB"/>
        </w:rPr>
        <w:t xml:space="preserve"> which will be referenced in legislation. </w:t>
      </w:r>
      <w:r w:rsidRPr="008B76E0">
        <w:rPr>
          <w:lang w:val="en-GB"/>
        </w:rPr>
        <w:t>In particular, in August 2024</w:t>
      </w:r>
      <w:r w:rsidR="00C62741" w:rsidRPr="008B76E0">
        <w:rPr>
          <w:lang w:val="en-GB"/>
        </w:rPr>
        <w:t>,</w:t>
      </w:r>
      <w:r w:rsidRPr="008B76E0">
        <w:rPr>
          <w:lang w:val="en-GB"/>
        </w:rPr>
        <w:t xml:space="preserve"> the CEN-CENELEC Coordination Group on Hydrogen (CEN-CLC/COG H2) was created</w:t>
      </w:r>
      <w:r w:rsidR="007C332C" w:rsidRPr="008B76E0">
        <w:rPr>
          <w:lang w:val="en-GB"/>
        </w:rPr>
        <w:t xml:space="preserve">, in order to </w:t>
      </w:r>
      <w:r w:rsidR="004C4139" w:rsidRPr="008B76E0">
        <w:rPr>
          <w:lang w:val="en-GB"/>
        </w:rPr>
        <w:t xml:space="preserve">coordinate standardization activities </w:t>
      </w:r>
      <w:r w:rsidR="007C332C" w:rsidRPr="008B76E0">
        <w:rPr>
          <w:lang w:val="en-GB"/>
        </w:rPr>
        <w:t xml:space="preserve">related to Hydrogen </w:t>
      </w:r>
      <w:r w:rsidR="004C4139" w:rsidRPr="008B76E0">
        <w:rPr>
          <w:lang w:val="en-GB"/>
        </w:rPr>
        <w:t xml:space="preserve">among </w:t>
      </w:r>
      <w:r w:rsidR="007C332C" w:rsidRPr="008B76E0">
        <w:rPr>
          <w:lang w:val="en-GB"/>
        </w:rPr>
        <w:t xml:space="preserve">their </w:t>
      </w:r>
      <w:r w:rsidR="004C4139" w:rsidRPr="008B76E0">
        <w:rPr>
          <w:lang w:val="en-GB"/>
        </w:rPr>
        <w:t>technical bodies</w:t>
      </w:r>
      <w:r w:rsidR="007C332C" w:rsidRPr="008B76E0">
        <w:rPr>
          <w:lang w:val="en-GB"/>
        </w:rPr>
        <w:t>, avoiding topic inconsistency</w:t>
      </w:r>
      <w:r w:rsidR="004C4139" w:rsidRPr="008B76E0">
        <w:rPr>
          <w:lang w:val="en-GB"/>
        </w:rPr>
        <w:t xml:space="preserve"> and o</w:t>
      </w:r>
      <w:r w:rsidR="007C332C" w:rsidRPr="008B76E0">
        <w:rPr>
          <w:lang w:val="en-GB"/>
        </w:rPr>
        <w:t>verlap</w:t>
      </w:r>
      <w:r w:rsidR="004C4139" w:rsidRPr="008B76E0">
        <w:rPr>
          <w:lang w:val="en-GB"/>
        </w:rPr>
        <w:t xml:space="preserve">. </w:t>
      </w:r>
      <w:r w:rsidR="007500BD" w:rsidRPr="008B76E0">
        <w:rPr>
          <w:lang w:val="en-GB"/>
        </w:rPr>
        <w:t>A</w:t>
      </w:r>
      <w:r w:rsidR="007C332C" w:rsidRPr="008B76E0">
        <w:rPr>
          <w:lang w:val="en-GB"/>
        </w:rPr>
        <w:t xml:space="preserve">t </w:t>
      </w:r>
      <w:r w:rsidR="00AE6BBE" w:rsidRPr="008B76E0">
        <w:rPr>
          <w:lang w:val="en-GB"/>
        </w:rPr>
        <w:t xml:space="preserve">the </w:t>
      </w:r>
      <w:r w:rsidR="007C332C" w:rsidRPr="008B76E0">
        <w:rPr>
          <w:lang w:val="en-GB"/>
        </w:rPr>
        <w:t xml:space="preserve">international level, the </w:t>
      </w:r>
      <w:r w:rsidR="004C4139" w:rsidRPr="008B76E0">
        <w:rPr>
          <w:lang w:val="en-GB"/>
        </w:rPr>
        <w:t xml:space="preserve">ISO TC 197 Hydrogen </w:t>
      </w:r>
      <w:r w:rsidR="004C4139" w:rsidRPr="008B76E0">
        <w:rPr>
          <w:lang w:val="en-GB"/>
        </w:rPr>
        <w:lastRenderedPageBreak/>
        <w:t>Technologies Committee</w:t>
      </w:r>
      <w:r w:rsidR="007C332C" w:rsidRPr="008B76E0">
        <w:rPr>
          <w:lang w:val="en-GB"/>
        </w:rPr>
        <w:t xml:space="preserve"> is in charge of</w:t>
      </w:r>
      <w:r w:rsidR="004C4139" w:rsidRPr="008B76E0">
        <w:rPr>
          <w:lang w:val="en-GB"/>
        </w:rPr>
        <w:t xml:space="preserve"> </w:t>
      </w:r>
      <w:r w:rsidR="007C332C" w:rsidRPr="008B76E0">
        <w:rPr>
          <w:lang w:val="en-GB"/>
        </w:rPr>
        <w:t>preparing standards dealing with</w:t>
      </w:r>
      <w:r w:rsidR="004C4139" w:rsidRPr="008B76E0">
        <w:rPr>
          <w:lang w:val="en-GB"/>
        </w:rPr>
        <w:t xml:space="preserve"> systems and devices for the production, storage, transport, measurement</w:t>
      </w:r>
      <w:r w:rsidR="00E3171D" w:rsidRPr="008B76E0">
        <w:rPr>
          <w:lang w:val="en-GB"/>
        </w:rPr>
        <w:t>,</w:t>
      </w:r>
      <w:r w:rsidR="007C332C" w:rsidRPr="008B76E0">
        <w:rPr>
          <w:lang w:val="en-GB"/>
        </w:rPr>
        <w:t xml:space="preserve"> and</w:t>
      </w:r>
      <w:r w:rsidR="004C4139" w:rsidRPr="008B76E0">
        <w:rPr>
          <w:lang w:val="en-GB"/>
        </w:rPr>
        <w:t xml:space="preserve"> use of H</w:t>
      </w:r>
      <w:r w:rsidR="007C332C" w:rsidRPr="008B76E0">
        <w:rPr>
          <w:lang w:val="en-GB"/>
        </w:rPr>
        <w:t>ydrogen</w:t>
      </w:r>
      <w:r w:rsidR="004C4139" w:rsidRPr="008B76E0">
        <w:rPr>
          <w:lang w:val="en-GB"/>
        </w:rPr>
        <w:t xml:space="preserve">. </w:t>
      </w:r>
      <w:r w:rsidR="007500BD" w:rsidRPr="008B76E0">
        <w:rPr>
          <w:lang w:val="en-GB"/>
        </w:rPr>
        <w:t>In parallel, other groups – as the European Clean Hydrogen Alliance (ECH2A) and its dedicated Working Group (WG) born in 2022 – are trying to bring order to the variety of emerging standards by giving guidance to stakeholders (e.g. industry, public authorities, civil society)</w:t>
      </w:r>
      <w:r w:rsidR="002D0584" w:rsidRPr="008B76E0">
        <w:rPr>
          <w:lang w:val="en-GB"/>
        </w:rPr>
        <w:t xml:space="preserve"> (ECH2A, 2023)</w:t>
      </w:r>
      <w:r w:rsidR="007500BD" w:rsidRPr="008B76E0">
        <w:rPr>
          <w:lang w:val="en-GB"/>
        </w:rPr>
        <w:t>.</w:t>
      </w:r>
    </w:p>
    <w:p w14:paraId="2FA3E5D1" w14:textId="0A957C41" w:rsidR="004C4139" w:rsidRPr="008B76E0" w:rsidRDefault="00D461DB" w:rsidP="004C4139">
      <w:pPr>
        <w:pStyle w:val="CETBodytext"/>
        <w:rPr>
          <w:lang w:val="en-GB"/>
        </w:rPr>
      </w:pPr>
      <w:r w:rsidRPr="008B76E0">
        <w:rPr>
          <w:lang w:val="en-GB"/>
        </w:rPr>
        <w:t>Hydrogen potential for producing energy without C</w:t>
      </w:r>
      <w:r w:rsidR="00206784" w:rsidRPr="008B76E0">
        <w:rPr>
          <w:lang w:val="en-GB"/>
        </w:rPr>
        <w:t>O</w:t>
      </w:r>
      <w:r w:rsidRPr="008B76E0">
        <w:rPr>
          <w:vertAlign w:val="subscript"/>
          <w:lang w:val="en-GB"/>
        </w:rPr>
        <w:t>2</w:t>
      </w:r>
      <w:r w:rsidRPr="008B76E0">
        <w:rPr>
          <w:lang w:val="en-GB"/>
        </w:rPr>
        <w:t xml:space="preserve"> emissions is counterbalanced by</w:t>
      </w:r>
      <w:r w:rsidR="00AE5506" w:rsidRPr="008B76E0">
        <w:rPr>
          <w:lang w:val="en-GB"/>
        </w:rPr>
        <w:t xml:space="preserve"> the fact that its molecule H</w:t>
      </w:r>
      <w:r w:rsidR="00AE5506" w:rsidRPr="008B76E0">
        <w:rPr>
          <w:vertAlign w:val="subscript"/>
          <w:lang w:val="en-GB"/>
        </w:rPr>
        <w:t>2</w:t>
      </w:r>
      <w:r w:rsidR="00AE5506" w:rsidRPr="008B76E0">
        <w:rPr>
          <w:lang w:val="en-GB"/>
        </w:rPr>
        <w:t xml:space="preserve"> must be produced, with consequent </w:t>
      </w:r>
      <w:r w:rsidR="00530DE8" w:rsidRPr="008B76E0">
        <w:rPr>
          <w:lang w:val="en-GB"/>
        </w:rPr>
        <w:t>additional</w:t>
      </w:r>
      <w:r w:rsidR="00AE5506" w:rsidRPr="008B76E0">
        <w:rPr>
          <w:lang w:val="en-GB"/>
        </w:rPr>
        <w:t xml:space="preserve"> costs.</w:t>
      </w:r>
      <w:r w:rsidR="00B23C47" w:rsidRPr="008B76E0">
        <w:rPr>
          <w:lang w:val="en-GB"/>
        </w:rPr>
        <w:t xml:space="preserve"> To the current state of the art, hydrogen is mainly produced through </w:t>
      </w:r>
      <w:r w:rsidR="00013C45" w:rsidRPr="008B76E0">
        <w:rPr>
          <w:lang w:val="en-GB"/>
        </w:rPr>
        <w:t>(</w:t>
      </w:r>
      <w:proofErr w:type="spellStart"/>
      <w:r w:rsidR="00013C45" w:rsidRPr="008B76E0">
        <w:rPr>
          <w:lang w:val="en-GB"/>
        </w:rPr>
        <w:t>i</w:t>
      </w:r>
      <w:proofErr w:type="spellEnd"/>
      <w:r w:rsidR="00013C45" w:rsidRPr="008B76E0">
        <w:rPr>
          <w:lang w:val="en-GB"/>
        </w:rPr>
        <w:t xml:space="preserve">) </w:t>
      </w:r>
      <w:r w:rsidR="00B23C47" w:rsidRPr="008B76E0">
        <w:rPr>
          <w:lang w:val="en-GB"/>
        </w:rPr>
        <w:t>natural gas steam reforming</w:t>
      </w:r>
      <w:r w:rsidR="00013C45" w:rsidRPr="008B76E0">
        <w:rPr>
          <w:lang w:val="en-GB"/>
        </w:rPr>
        <w:t xml:space="preserve"> (e.g. grey, blue hydrogen) and (ii) water electrolysis (e.g. yellow, pink, green hydrogen)</w:t>
      </w:r>
      <w:r w:rsidR="00DC3996" w:rsidRPr="008B76E0">
        <w:rPr>
          <w:lang w:val="en-GB"/>
        </w:rPr>
        <w:t xml:space="preserve">. </w:t>
      </w:r>
      <w:r w:rsidR="00013C45" w:rsidRPr="008B76E0">
        <w:rPr>
          <w:lang w:val="en-GB"/>
        </w:rPr>
        <w:t xml:space="preserve">The latter methodology is </w:t>
      </w:r>
      <w:r w:rsidR="00644036" w:rsidRPr="008B76E0">
        <w:rPr>
          <w:lang w:val="en-GB"/>
        </w:rPr>
        <w:t>often</w:t>
      </w:r>
      <w:r w:rsidR="00013C45" w:rsidRPr="008B76E0">
        <w:rPr>
          <w:lang w:val="en-GB"/>
        </w:rPr>
        <w:t xml:space="preserve"> more expensive and more hardly sustainable.</w:t>
      </w:r>
    </w:p>
    <w:p w14:paraId="7825A63B" w14:textId="6D6EB07C" w:rsidR="00AD2D84" w:rsidRPr="008B76E0" w:rsidRDefault="00F1324F" w:rsidP="00AD2D84">
      <w:pPr>
        <w:pStyle w:val="CETBodytext"/>
        <w:rPr>
          <w:lang w:val="en-GB"/>
        </w:rPr>
      </w:pPr>
      <w:r w:rsidRPr="008B76E0">
        <w:rPr>
          <w:lang w:val="en-GB"/>
        </w:rPr>
        <w:t>After production, h</w:t>
      </w:r>
      <w:r w:rsidR="00DC3996" w:rsidRPr="008B76E0">
        <w:rPr>
          <w:lang w:val="en-GB"/>
        </w:rPr>
        <w:t>ydrogen can be stored (</w:t>
      </w:r>
      <w:proofErr w:type="spellStart"/>
      <w:r w:rsidR="00DC3996" w:rsidRPr="008B76E0">
        <w:rPr>
          <w:lang w:val="en-GB"/>
        </w:rPr>
        <w:t>i</w:t>
      </w:r>
      <w:proofErr w:type="spellEnd"/>
      <w:r w:rsidR="00DC3996" w:rsidRPr="008B76E0">
        <w:rPr>
          <w:lang w:val="en-GB"/>
        </w:rPr>
        <w:t>) in gaseous form by compression, (ii) in liquid form (</w:t>
      </w:r>
      <w:r w:rsidR="00C06EE1" w:rsidRPr="008B76E0">
        <w:rPr>
          <w:lang w:val="en-GB"/>
        </w:rPr>
        <w:t xml:space="preserve">in </w:t>
      </w:r>
      <w:r w:rsidR="00DC3996" w:rsidRPr="008B76E0">
        <w:rPr>
          <w:lang w:val="en-GB"/>
        </w:rPr>
        <w:t>cryogenic tanks because it must be cooled to a temperature below its boiling point of 20 K (-253 °C)) and (iii) in solid form within the structure or on the surface of certain solid materials.</w:t>
      </w:r>
      <w:r w:rsidR="00C06EE1" w:rsidRPr="008B76E0">
        <w:rPr>
          <w:lang w:val="en-GB"/>
        </w:rPr>
        <w:t xml:space="preserve"> In its use, in certain cases it can be blended with natural gas.</w:t>
      </w:r>
      <w:r w:rsidR="00F64042" w:rsidRPr="008B76E0">
        <w:rPr>
          <w:lang w:val="en-GB"/>
        </w:rPr>
        <w:t xml:space="preserve"> </w:t>
      </w:r>
      <w:r w:rsidR="00AD2D84" w:rsidRPr="008B76E0">
        <w:rPr>
          <w:lang w:val="en-GB"/>
        </w:rPr>
        <w:t xml:space="preserve">It </w:t>
      </w:r>
      <w:r w:rsidR="00F64042" w:rsidRPr="008B76E0">
        <w:rPr>
          <w:lang w:val="en-GB"/>
        </w:rPr>
        <w:t>has</w:t>
      </w:r>
      <w:r w:rsidR="00AD2D84" w:rsidRPr="008B76E0">
        <w:rPr>
          <w:lang w:val="en-GB"/>
        </w:rPr>
        <w:t xml:space="preserve"> peculiar physical-chemical characteristics that differ from many other gases and </w:t>
      </w:r>
      <w:r w:rsidR="00205280" w:rsidRPr="008B76E0">
        <w:rPr>
          <w:lang w:val="en-GB"/>
        </w:rPr>
        <w:t>that</w:t>
      </w:r>
      <w:r w:rsidR="00AD2D84" w:rsidRPr="008B76E0">
        <w:rPr>
          <w:lang w:val="en-GB"/>
        </w:rPr>
        <w:t xml:space="preserve"> must therefore be considered in each different application.</w:t>
      </w:r>
      <w:r w:rsidR="00F64042" w:rsidRPr="008B76E0">
        <w:rPr>
          <w:lang w:val="en-GB"/>
        </w:rPr>
        <w:t xml:space="preserve"> For example, at high pressures it does not behave as an ideal gas</w:t>
      </w:r>
      <w:r w:rsidR="00E3171D" w:rsidRPr="008B76E0">
        <w:rPr>
          <w:lang w:val="en-GB"/>
        </w:rPr>
        <w:t>,</w:t>
      </w:r>
      <w:r w:rsidR="00F64042" w:rsidRPr="008B76E0">
        <w:rPr>
          <w:lang w:val="en-GB"/>
        </w:rPr>
        <w:t xml:space="preserve"> and the van der Waal</w:t>
      </w:r>
      <w:r w:rsidR="00E3171D" w:rsidRPr="008B76E0">
        <w:rPr>
          <w:lang w:val="en-GB"/>
        </w:rPr>
        <w:t>s</w:t>
      </w:r>
      <w:r w:rsidR="00F64042" w:rsidRPr="008B76E0">
        <w:rPr>
          <w:lang w:val="en-GB"/>
        </w:rPr>
        <w:t xml:space="preserve"> state equation for real gas should be used instead of the state equation of </w:t>
      </w:r>
      <w:r w:rsidR="00E3171D" w:rsidRPr="008B76E0">
        <w:rPr>
          <w:lang w:val="en-GB"/>
        </w:rPr>
        <w:t xml:space="preserve">an </w:t>
      </w:r>
      <w:r w:rsidR="00F64042" w:rsidRPr="008B76E0">
        <w:rPr>
          <w:lang w:val="en-GB"/>
        </w:rPr>
        <w:t xml:space="preserve">ideal gas. </w:t>
      </w:r>
      <w:r w:rsidR="00D40D06" w:rsidRPr="008B76E0">
        <w:rPr>
          <w:lang w:val="en-GB"/>
        </w:rPr>
        <w:t>The</w:t>
      </w:r>
      <w:r w:rsidR="00F64042" w:rsidRPr="008B76E0">
        <w:rPr>
          <w:lang w:val="en-GB"/>
        </w:rPr>
        <w:t xml:space="preserve"> gas takes up more space than the theoretical ideal gas law predictions</w:t>
      </w:r>
      <w:r w:rsidR="00E3171D" w:rsidRPr="008B76E0">
        <w:rPr>
          <w:lang w:val="en-GB"/>
        </w:rPr>
        <w:t>,</w:t>
      </w:r>
      <w:r w:rsidR="00D40D06" w:rsidRPr="008B76E0">
        <w:rPr>
          <w:lang w:val="en-GB"/>
        </w:rPr>
        <w:t xml:space="preserve"> </w:t>
      </w:r>
      <w:r w:rsidR="00F64042" w:rsidRPr="008B76E0">
        <w:rPr>
          <w:lang w:val="en-GB"/>
        </w:rPr>
        <w:t xml:space="preserve">and the introduction of a compressibility factor can allow </w:t>
      </w:r>
      <w:r w:rsidR="00E3171D" w:rsidRPr="008B76E0">
        <w:rPr>
          <w:lang w:val="en-GB"/>
        </w:rPr>
        <w:t xml:space="preserve">for </w:t>
      </w:r>
      <w:r w:rsidR="00F64042" w:rsidRPr="008B76E0">
        <w:rPr>
          <w:lang w:val="en-GB"/>
        </w:rPr>
        <w:t>compensating for th</w:t>
      </w:r>
      <w:r w:rsidR="00205280" w:rsidRPr="008B76E0">
        <w:rPr>
          <w:lang w:val="en-GB"/>
        </w:rPr>
        <w:t>e</w:t>
      </w:r>
      <w:r w:rsidR="00F64042" w:rsidRPr="008B76E0">
        <w:rPr>
          <w:lang w:val="en-GB"/>
        </w:rPr>
        <w:t xml:space="preserve"> additional compression </w:t>
      </w:r>
      <w:r w:rsidR="00DC2274" w:rsidRPr="008B76E0">
        <w:rPr>
          <w:lang w:val="en-GB"/>
        </w:rPr>
        <w:t>(</w:t>
      </w:r>
      <w:r w:rsidR="00F64042" w:rsidRPr="008B76E0">
        <w:rPr>
          <w:lang w:val="en-GB"/>
        </w:rPr>
        <w:t xml:space="preserve">Raj et al., </w:t>
      </w:r>
      <w:r w:rsidR="00DC2274" w:rsidRPr="008B76E0">
        <w:rPr>
          <w:lang w:val="en-GB"/>
        </w:rPr>
        <w:t>2024).</w:t>
      </w:r>
    </w:p>
    <w:p w14:paraId="218160BC" w14:textId="04E119BD" w:rsidR="00BF5D5D" w:rsidRPr="008B76E0" w:rsidRDefault="00F1324F" w:rsidP="00BF5D5D">
      <w:pPr>
        <w:pStyle w:val="CETBodytext"/>
        <w:rPr>
          <w:lang w:val="en-GB"/>
        </w:rPr>
      </w:pPr>
      <w:r w:rsidRPr="008B76E0">
        <w:rPr>
          <w:lang w:val="en-GB"/>
        </w:rPr>
        <w:t>In the field of mobility and transport, Hydrogen can be used in two different type</w:t>
      </w:r>
      <w:r w:rsidR="0063410D" w:rsidRPr="008B76E0">
        <w:rPr>
          <w:lang w:val="en-GB"/>
        </w:rPr>
        <w:t>s</w:t>
      </w:r>
      <w:r w:rsidRPr="008B76E0">
        <w:rPr>
          <w:lang w:val="en-GB"/>
        </w:rPr>
        <w:t xml:space="preserve"> of </w:t>
      </w:r>
      <w:r w:rsidR="0063410D" w:rsidRPr="008B76E0">
        <w:rPr>
          <w:lang w:val="en-GB"/>
        </w:rPr>
        <w:t>engines</w:t>
      </w:r>
      <w:r w:rsidRPr="008B76E0">
        <w:rPr>
          <w:lang w:val="en-GB"/>
        </w:rPr>
        <w:t>: (</w:t>
      </w:r>
      <w:proofErr w:type="spellStart"/>
      <w:r w:rsidRPr="008B76E0">
        <w:rPr>
          <w:lang w:val="en-GB"/>
        </w:rPr>
        <w:t>i</w:t>
      </w:r>
      <w:proofErr w:type="spellEnd"/>
      <w:r w:rsidRPr="008B76E0">
        <w:rPr>
          <w:lang w:val="en-GB"/>
        </w:rPr>
        <w:t xml:space="preserve">) internal combustion engines HICEs (direct combustion with oxygen from the air) and (ii) fuel cells that convert fuel into electricity to drive an electric motor. In this last typology of </w:t>
      </w:r>
      <w:r w:rsidR="0063410D" w:rsidRPr="008B76E0">
        <w:rPr>
          <w:lang w:val="en-GB"/>
        </w:rPr>
        <w:t>engine,</w:t>
      </w:r>
      <w:r w:rsidRPr="008B76E0">
        <w:rPr>
          <w:lang w:val="en-GB"/>
        </w:rPr>
        <w:t xml:space="preserve"> the fire dangers of electric car batteries are compounded by the dangers of hydrogen cylinders</w:t>
      </w:r>
      <w:r w:rsidR="001D2751" w:rsidRPr="008B76E0">
        <w:rPr>
          <w:lang w:val="en-GB"/>
        </w:rPr>
        <w:t>.</w:t>
      </w:r>
      <w:r w:rsidR="00AE33EA" w:rsidRPr="008B76E0">
        <w:rPr>
          <w:lang w:val="en-GB"/>
        </w:rPr>
        <w:t xml:space="preserve"> </w:t>
      </w:r>
      <w:r w:rsidR="001D2751" w:rsidRPr="008B76E0">
        <w:rPr>
          <w:lang w:val="en-GB"/>
        </w:rPr>
        <w:t>I</w:t>
      </w:r>
      <w:r w:rsidR="00CA4D7E" w:rsidRPr="008B76E0">
        <w:rPr>
          <w:lang w:val="en-GB"/>
        </w:rPr>
        <w:t>n both cases, water vapour is the only waste product.</w:t>
      </w:r>
      <w:r w:rsidR="00AE33EA" w:rsidRPr="008B76E0">
        <w:rPr>
          <w:lang w:val="en-GB"/>
        </w:rPr>
        <w:t xml:space="preserve"> However, Italy</w:t>
      </w:r>
      <w:r w:rsidR="00CF6AAE" w:rsidRPr="008B76E0">
        <w:rPr>
          <w:lang w:val="en-GB"/>
        </w:rPr>
        <w:t xml:space="preserve"> shows an investment lag if compared to the rest of Europe</w:t>
      </w:r>
      <w:r w:rsidR="00AE33EA" w:rsidRPr="008B76E0">
        <w:rPr>
          <w:lang w:val="en-GB"/>
        </w:rPr>
        <w:t>,</w:t>
      </w:r>
      <w:r w:rsidR="00CF6AAE" w:rsidRPr="008B76E0">
        <w:rPr>
          <w:lang w:val="en-GB"/>
        </w:rPr>
        <w:t xml:space="preserve"> </w:t>
      </w:r>
      <w:r w:rsidR="00C3519E" w:rsidRPr="008B76E0">
        <w:rPr>
          <w:lang w:val="en-GB"/>
        </w:rPr>
        <w:t>since</w:t>
      </w:r>
      <w:r w:rsidR="00CF6AAE" w:rsidRPr="008B76E0">
        <w:rPr>
          <w:lang w:val="en-GB"/>
        </w:rPr>
        <w:t xml:space="preserve"> installers are disincentivised by long authorisation procedures</w:t>
      </w:r>
      <w:r w:rsidR="002D0582" w:rsidRPr="008B76E0">
        <w:rPr>
          <w:lang w:val="en-GB"/>
        </w:rPr>
        <w:t xml:space="preserve"> and energy availability and costs</w:t>
      </w:r>
      <w:r w:rsidR="00CF6AAE" w:rsidRPr="008B76E0">
        <w:rPr>
          <w:lang w:val="en-GB"/>
        </w:rPr>
        <w:t>.</w:t>
      </w:r>
      <w:r w:rsidR="00AE33EA" w:rsidRPr="008B76E0">
        <w:rPr>
          <w:lang w:val="en-GB"/>
        </w:rPr>
        <w:t xml:space="preserve"> </w:t>
      </w:r>
      <w:r w:rsidR="00CF6AAE" w:rsidRPr="008B76E0">
        <w:rPr>
          <w:lang w:val="en-GB"/>
        </w:rPr>
        <w:t xml:space="preserve">Consequently, </w:t>
      </w:r>
      <w:r w:rsidR="00AE33EA" w:rsidRPr="008B76E0">
        <w:rPr>
          <w:lang w:val="en-GB"/>
        </w:rPr>
        <w:t xml:space="preserve">the scarcity of hydrogen </w:t>
      </w:r>
      <w:proofErr w:type="spellStart"/>
      <w:r w:rsidR="00AE33EA" w:rsidRPr="008B76E0">
        <w:rPr>
          <w:lang w:val="en-GB"/>
        </w:rPr>
        <w:t>refueling</w:t>
      </w:r>
      <w:proofErr w:type="spellEnd"/>
      <w:r w:rsidR="00AE33EA" w:rsidRPr="008B76E0">
        <w:rPr>
          <w:lang w:val="en-GB"/>
        </w:rPr>
        <w:t xml:space="preserve"> stations </w:t>
      </w:r>
      <w:r w:rsidR="001D2751" w:rsidRPr="008B76E0">
        <w:rPr>
          <w:lang w:val="en-GB"/>
        </w:rPr>
        <w:t xml:space="preserve">(HRS) seems to </w:t>
      </w:r>
      <w:r w:rsidR="00AE33EA" w:rsidRPr="008B76E0">
        <w:rPr>
          <w:lang w:val="en-GB"/>
        </w:rPr>
        <w:t>mak</w:t>
      </w:r>
      <w:r w:rsidR="001D2751" w:rsidRPr="008B76E0">
        <w:rPr>
          <w:lang w:val="en-GB"/>
        </w:rPr>
        <w:t>e</w:t>
      </w:r>
      <w:r w:rsidR="00AE33EA" w:rsidRPr="008B76E0">
        <w:rPr>
          <w:lang w:val="en-GB"/>
        </w:rPr>
        <w:t xml:space="preserve"> them not </w:t>
      </w:r>
      <w:r w:rsidR="001D2751" w:rsidRPr="008B76E0">
        <w:rPr>
          <w:lang w:val="en-GB"/>
        </w:rPr>
        <w:t xml:space="preserve">yet </w:t>
      </w:r>
      <w:r w:rsidR="00AD2D84" w:rsidRPr="008B76E0">
        <w:rPr>
          <w:lang w:val="en-GB"/>
        </w:rPr>
        <w:t>completely</w:t>
      </w:r>
      <w:r w:rsidR="00AE33EA" w:rsidRPr="008B76E0">
        <w:rPr>
          <w:lang w:val="en-GB"/>
        </w:rPr>
        <w:t xml:space="preserve"> attractive to the average road user</w:t>
      </w:r>
      <w:r w:rsidR="006A19AB" w:rsidRPr="008B76E0">
        <w:rPr>
          <w:lang w:val="en-GB"/>
        </w:rPr>
        <w:t>.</w:t>
      </w:r>
    </w:p>
    <w:p w14:paraId="09E54E9C" w14:textId="5A779D1C" w:rsidR="00CC0192" w:rsidRPr="008B76E0" w:rsidRDefault="00BF5D5D" w:rsidP="009D00E5">
      <w:pPr>
        <w:pStyle w:val="CETHeading1"/>
        <w:numPr>
          <w:ilvl w:val="0"/>
          <w:numId w:val="39"/>
        </w:numPr>
        <w:ind w:left="284" w:hanging="284"/>
        <w:rPr>
          <w:lang w:val="en-GB"/>
        </w:rPr>
      </w:pPr>
      <w:r w:rsidRPr="008B76E0">
        <w:rPr>
          <w:lang w:val="en-GB"/>
        </w:rPr>
        <w:t>H</w:t>
      </w:r>
      <w:r w:rsidR="00910BA4" w:rsidRPr="008B76E0">
        <w:rPr>
          <w:lang w:val="en-GB"/>
        </w:rPr>
        <w:t xml:space="preserve">ydrogen supply systems for </w:t>
      </w:r>
      <w:r w:rsidR="004253B3" w:rsidRPr="008B76E0">
        <w:rPr>
          <w:lang w:val="en-GB"/>
        </w:rPr>
        <w:t>road transport</w:t>
      </w:r>
    </w:p>
    <w:p w14:paraId="41120D9F" w14:textId="4AE811EA" w:rsidR="009D60E8" w:rsidRPr="008B76E0" w:rsidRDefault="00E11F13" w:rsidP="00EE7FEE">
      <w:pPr>
        <w:pStyle w:val="CETBodytext"/>
        <w:rPr>
          <w:lang w:val="en-GB"/>
        </w:rPr>
      </w:pPr>
      <w:r w:rsidRPr="008B76E0">
        <w:rPr>
          <w:lang w:val="en-GB"/>
        </w:rPr>
        <w:t xml:space="preserve">The </w:t>
      </w:r>
      <w:r w:rsidR="000E14E1" w:rsidRPr="008B76E0">
        <w:rPr>
          <w:lang w:val="en-GB"/>
        </w:rPr>
        <w:t xml:space="preserve">actual </w:t>
      </w:r>
      <w:r w:rsidRPr="008B76E0">
        <w:rPr>
          <w:lang w:val="en-GB"/>
        </w:rPr>
        <w:t xml:space="preserve">number of </w:t>
      </w:r>
      <w:r w:rsidR="00BA548F" w:rsidRPr="008B76E0">
        <w:rPr>
          <w:lang w:val="en-GB"/>
        </w:rPr>
        <w:t xml:space="preserve">HRS </w:t>
      </w:r>
      <w:r w:rsidRPr="008B76E0">
        <w:rPr>
          <w:lang w:val="en-GB"/>
        </w:rPr>
        <w:t xml:space="preserve">in </w:t>
      </w:r>
      <w:r w:rsidR="00C43B36" w:rsidRPr="008B76E0">
        <w:rPr>
          <w:lang w:val="en-GB"/>
        </w:rPr>
        <w:t xml:space="preserve">many </w:t>
      </w:r>
      <w:r w:rsidRPr="008B76E0">
        <w:rPr>
          <w:lang w:val="en-GB"/>
        </w:rPr>
        <w:t xml:space="preserve">European countries is </w:t>
      </w:r>
      <w:r w:rsidR="005D6C79" w:rsidRPr="008B76E0">
        <w:rPr>
          <w:lang w:val="en-GB"/>
        </w:rPr>
        <w:t xml:space="preserve">significantly </w:t>
      </w:r>
      <w:r w:rsidRPr="008B76E0">
        <w:rPr>
          <w:lang w:val="en-GB"/>
        </w:rPr>
        <w:t>higher than in Italy. In Germany</w:t>
      </w:r>
      <w:r w:rsidR="00B80513" w:rsidRPr="008B76E0">
        <w:rPr>
          <w:lang w:val="en-GB"/>
        </w:rPr>
        <w:t xml:space="preserve"> </w:t>
      </w:r>
      <w:r w:rsidRPr="008B76E0">
        <w:rPr>
          <w:lang w:val="en-GB"/>
        </w:rPr>
        <w:t>it stands at</w:t>
      </w:r>
      <w:r w:rsidR="00904583" w:rsidRPr="008B76E0">
        <w:rPr>
          <w:lang w:val="en-GB"/>
        </w:rPr>
        <w:t xml:space="preserve"> almost </w:t>
      </w:r>
      <w:r w:rsidR="00260B2E" w:rsidRPr="008B76E0">
        <w:rPr>
          <w:lang w:val="en-GB"/>
        </w:rPr>
        <w:t>more than 100</w:t>
      </w:r>
      <w:r w:rsidR="00904583" w:rsidRPr="008B76E0">
        <w:rPr>
          <w:lang w:val="en-GB"/>
        </w:rPr>
        <w:t xml:space="preserve"> sites, while in Italy there are only two currently active </w:t>
      </w:r>
      <w:proofErr w:type="spellStart"/>
      <w:r w:rsidR="00904583" w:rsidRPr="008B76E0">
        <w:rPr>
          <w:lang w:val="en-GB"/>
        </w:rPr>
        <w:t>refueling</w:t>
      </w:r>
      <w:proofErr w:type="spellEnd"/>
      <w:r w:rsidR="00904583" w:rsidRPr="008B76E0">
        <w:rPr>
          <w:lang w:val="en-GB"/>
        </w:rPr>
        <w:t xml:space="preserve"> stations. </w:t>
      </w:r>
      <w:r w:rsidR="00895C4C" w:rsidRPr="008B76E0">
        <w:rPr>
          <w:lang w:val="en-GB"/>
        </w:rPr>
        <w:t xml:space="preserve">Much further away, in South Korea, there are already </w:t>
      </w:r>
      <w:r w:rsidR="00767079">
        <w:rPr>
          <w:lang w:val="en-GB"/>
        </w:rPr>
        <w:t>nearly</w:t>
      </w:r>
      <w:r w:rsidR="00895C4C" w:rsidRPr="008B76E0">
        <w:rPr>
          <w:lang w:val="en-GB"/>
        </w:rPr>
        <w:t xml:space="preserve"> 200 filling stations. </w:t>
      </w:r>
      <w:r w:rsidR="005E3EEE" w:rsidRPr="008B76E0">
        <w:rPr>
          <w:lang w:val="en-GB"/>
        </w:rPr>
        <w:t>Almost</w:t>
      </w:r>
      <w:r w:rsidR="006F49FB" w:rsidRPr="008B76E0">
        <w:rPr>
          <w:lang w:val="en-GB"/>
        </w:rPr>
        <w:t xml:space="preserve"> 1,</w:t>
      </w:r>
      <w:r w:rsidR="005E3EEE" w:rsidRPr="008B76E0">
        <w:rPr>
          <w:lang w:val="en-GB"/>
        </w:rPr>
        <w:t>2</w:t>
      </w:r>
      <w:r w:rsidR="006F49FB" w:rsidRPr="008B76E0">
        <w:rPr>
          <w:lang w:val="en-GB"/>
        </w:rPr>
        <w:t xml:space="preserve">00 hydrogen </w:t>
      </w:r>
      <w:proofErr w:type="spellStart"/>
      <w:r w:rsidR="006F49FB" w:rsidRPr="008B76E0">
        <w:rPr>
          <w:lang w:val="en-GB"/>
        </w:rPr>
        <w:t>refueling</w:t>
      </w:r>
      <w:proofErr w:type="spellEnd"/>
      <w:r w:rsidR="006F49FB" w:rsidRPr="008B76E0">
        <w:rPr>
          <w:lang w:val="en-GB"/>
        </w:rPr>
        <w:t xml:space="preserve"> stations (HRS) are widespread worldwide, with the highest concentration in Asia Pacific, followed by Europe. </w:t>
      </w:r>
      <w:r w:rsidR="00904583" w:rsidRPr="008B76E0">
        <w:rPr>
          <w:lang w:val="en-GB"/>
        </w:rPr>
        <w:t xml:space="preserve">Consequently, incidental and near-incidental events in this field are </w:t>
      </w:r>
      <w:r w:rsidR="001F411B" w:rsidRPr="008B76E0">
        <w:rPr>
          <w:lang w:val="en-GB"/>
        </w:rPr>
        <w:t xml:space="preserve">mainly </w:t>
      </w:r>
      <w:r w:rsidR="00904583" w:rsidRPr="008B76E0">
        <w:rPr>
          <w:lang w:val="en-GB"/>
        </w:rPr>
        <w:t xml:space="preserve">emerging abroad: that is the case of an explosion of a hydrogen filling station in Norway in 2019, probably </w:t>
      </w:r>
      <w:r w:rsidR="00E53C12" w:rsidRPr="008B76E0">
        <w:rPr>
          <w:lang w:val="en-GB"/>
        </w:rPr>
        <w:t>related</w:t>
      </w:r>
      <w:r w:rsidR="00904583" w:rsidRPr="008B76E0">
        <w:rPr>
          <w:lang w:val="en-GB"/>
        </w:rPr>
        <w:t xml:space="preserve"> to a leak</w:t>
      </w:r>
      <w:r w:rsidR="00E53C12" w:rsidRPr="008B76E0">
        <w:rPr>
          <w:lang w:val="en-GB"/>
        </w:rPr>
        <w:t xml:space="preserve"> due to untightened bolts</w:t>
      </w:r>
      <w:r w:rsidR="00904583" w:rsidRPr="008B76E0">
        <w:rPr>
          <w:lang w:val="en-GB"/>
        </w:rPr>
        <w:t xml:space="preserve">, </w:t>
      </w:r>
      <w:r w:rsidR="00432A1D" w:rsidRPr="008B76E0">
        <w:rPr>
          <w:lang w:val="en-GB"/>
        </w:rPr>
        <w:t>which</w:t>
      </w:r>
      <w:r w:rsidR="00904583" w:rsidRPr="008B76E0">
        <w:rPr>
          <w:lang w:val="en-GB"/>
        </w:rPr>
        <w:t xml:space="preserve"> caused Toyota and Hyundai to suspend sales of some car models.</w:t>
      </w:r>
      <w:r w:rsidR="00BF5D5D" w:rsidRPr="008B76E0">
        <w:rPr>
          <w:lang w:val="en-GB"/>
        </w:rPr>
        <w:t xml:space="preserve"> </w:t>
      </w:r>
      <w:r w:rsidR="00C75916" w:rsidRPr="008B76E0">
        <w:rPr>
          <w:lang w:val="en-GB"/>
        </w:rPr>
        <w:t>The danger of bursting is generally significant, since the pressures involved are higher than those of natural gas cylinders used in automotive</w:t>
      </w:r>
      <w:r w:rsidR="00026705" w:rsidRPr="008B76E0">
        <w:rPr>
          <w:lang w:val="en-GB"/>
        </w:rPr>
        <w:t xml:space="preserve">. </w:t>
      </w:r>
      <w:r w:rsidR="006F6708" w:rsidRPr="008B76E0">
        <w:rPr>
          <w:lang w:val="en-GB"/>
        </w:rPr>
        <w:t xml:space="preserve">Badia et al. (2024) reviewed </w:t>
      </w:r>
      <w:r w:rsidR="00D85CCE" w:rsidRPr="008B76E0">
        <w:rPr>
          <w:lang w:val="en-GB"/>
        </w:rPr>
        <w:t>more than 220</w:t>
      </w:r>
      <w:r w:rsidR="006F6708" w:rsidRPr="008B76E0">
        <w:rPr>
          <w:lang w:val="en-GB"/>
        </w:rPr>
        <w:t xml:space="preserve"> accidents occurred worldwide all along the hydrogen value chain (production, storage, delivery, industrial use) </w:t>
      </w:r>
      <w:r w:rsidR="00D85CCE" w:rsidRPr="008B76E0">
        <w:rPr>
          <w:lang w:val="en-GB"/>
        </w:rPr>
        <w:t xml:space="preserve">and they underlined how </w:t>
      </w:r>
      <w:r w:rsidR="00C43B36" w:rsidRPr="008B76E0">
        <w:rPr>
          <w:lang w:val="en-GB"/>
        </w:rPr>
        <w:t>much each one of these</w:t>
      </w:r>
      <w:r w:rsidR="00D85CCE" w:rsidRPr="008B76E0">
        <w:rPr>
          <w:lang w:val="en-GB"/>
        </w:rPr>
        <w:t xml:space="preserve"> phase</w:t>
      </w:r>
      <w:r w:rsidR="00B51525" w:rsidRPr="008B76E0">
        <w:rPr>
          <w:lang w:val="en-GB"/>
        </w:rPr>
        <w:t>s</w:t>
      </w:r>
      <w:r w:rsidR="00D85CCE" w:rsidRPr="008B76E0">
        <w:rPr>
          <w:lang w:val="en-GB"/>
        </w:rPr>
        <w:t xml:space="preserve"> can influence safety of HRS, </w:t>
      </w:r>
      <w:r w:rsidR="00C43B36" w:rsidRPr="008B76E0">
        <w:rPr>
          <w:lang w:val="en-GB"/>
        </w:rPr>
        <w:t>also</w:t>
      </w:r>
      <w:r w:rsidR="00D85CCE" w:rsidRPr="008B76E0">
        <w:rPr>
          <w:lang w:val="en-GB"/>
        </w:rPr>
        <w:t xml:space="preserve"> depending on the fact that they incorporate hydrogen production or not (</w:t>
      </w:r>
      <w:r w:rsidR="00C40D62" w:rsidRPr="008B76E0">
        <w:rPr>
          <w:lang w:val="en-GB"/>
        </w:rPr>
        <w:t>electrolysers</w:t>
      </w:r>
      <w:r w:rsidR="00D85CCE" w:rsidRPr="008B76E0">
        <w:rPr>
          <w:lang w:val="en-GB"/>
        </w:rPr>
        <w:t xml:space="preserve"> and gasometers/tanks require rigorous safety protocols). They also </w:t>
      </w:r>
      <w:r w:rsidR="005B3DDD" w:rsidRPr="008B76E0">
        <w:rPr>
          <w:lang w:val="en-GB"/>
        </w:rPr>
        <w:t>showed</w:t>
      </w:r>
      <w:r w:rsidR="00D85CCE" w:rsidRPr="008B76E0">
        <w:rPr>
          <w:lang w:val="en-GB"/>
        </w:rPr>
        <w:t xml:space="preserve"> the possible significant role of human factors, during maintenance and other operations, in causing human-related accidents</w:t>
      </w:r>
      <w:r w:rsidR="008B2950" w:rsidRPr="008B76E0">
        <w:rPr>
          <w:lang w:val="en-GB"/>
        </w:rPr>
        <w:t xml:space="preserve"> (e.g. operator-induced leaks</w:t>
      </w:r>
      <w:r w:rsidR="00081CF5" w:rsidRPr="008B76E0">
        <w:rPr>
          <w:lang w:val="en-GB"/>
        </w:rPr>
        <w:t>, incorrect valve opening</w:t>
      </w:r>
      <w:r w:rsidR="008B2950" w:rsidRPr="008B76E0">
        <w:rPr>
          <w:lang w:val="en-GB"/>
        </w:rPr>
        <w:t>)</w:t>
      </w:r>
      <w:r w:rsidR="00D85CCE" w:rsidRPr="008B76E0">
        <w:rPr>
          <w:lang w:val="en-GB"/>
        </w:rPr>
        <w:t>.</w:t>
      </w:r>
      <w:r w:rsidR="008B2950" w:rsidRPr="008B76E0">
        <w:rPr>
          <w:lang w:val="en-GB"/>
        </w:rPr>
        <w:t xml:space="preserve"> </w:t>
      </w:r>
      <w:r w:rsidR="0081107A" w:rsidRPr="008B76E0">
        <w:rPr>
          <w:lang w:val="en-GB"/>
        </w:rPr>
        <w:t xml:space="preserve">Because of these safety risks, companies in Italy </w:t>
      </w:r>
      <w:r w:rsidR="007B4F1E" w:rsidRPr="008B76E0">
        <w:rPr>
          <w:lang w:val="en-GB"/>
        </w:rPr>
        <w:t>must be particularly careful</w:t>
      </w:r>
      <w:r w:rsidR="0081107A" w:rsidRPr="008B76E0">
        <w:rPr>
          <w:lang w:val="en-GB"/>
        </w:rPr>
        <w:t xml:space="preserve"> </w:t>
      </w:r>
      <w:r w:rsidR="00E84FBC" w:rsidRPr="008B76E0">
        <w:rPr>
          <w:lang w:val="en-GB"/>
        </w:rPr>
        <w:t>when</w:t>
      </w:r>
      <w:r w:rsidR="00DF6A0C" w:rsidRPr="008B76E0">
        <w:rPr>
          <w:lang w:val="en-GB"/>
        </w:rPr>
        <w:t xml:space="preserve"> proposing new</w:t>
      </w:r>
      <w:r w:rsidR="0081107A" w:rsidRPr="008B76E0">
        <w:rPr>
          <w:lang w:val="en-GB"/>
        </w:rPr>
        <w:t xml:space="preserve"> installations, since Italian regulations impose </w:t>
      </w:r>
      <w:r w:rsidR="00C43B36" w:rsidRPr="008B76E0">
        <w:rPr>
          <w:lang w:val="en-GB"/>
        </w:rPr>
        <w:t>strict</w:t>
      </w:r>
      <w:r w:rsidR="0081107A" w:rsidRPr="008B76E0">
        <w:rPr>
          <w:lang w:val="en-GB"/>
        </w:rPr>
        <w:t xml:space="preserve"> limitation</w:t>
      </w:r>
      <w:r w:rsidR="009D60E8" w:rsidRPr="008B76E0">
        <w:rPr>
          <w:lang w:val="en-GB"/>
        </w:rPr>
        <w:t>s</w:t>
      </w:r>
      <w:r w:rsidR="00C43B36" w:rsidRPr="008B76E0">
        <w:rPr>
          <w:lang w:val="en-GB"/>
        </w:rPr>
        <w:t>.</w:t>
      </w:r>
    </w:p>
    <w:p w14:paraId="4A5BCAA2" w14:textId="548B5B17" w:rsidR="009D60E8" w:rsidRPr="008B76E0" w:rsidRDefault="0051115B" w:rsidP="00B954E2">
      <w:pPr>
        <w:pStyle w:val="CETheadingx"/>
      </w:pPr>
      <w:r w:rsidRPr="008B76E0">
        <w:t>T</w:t>
      </w:r>
      <w:r w:rsidR="009D60E8" w:rsidRPr="008B76E0">
        <w:t>echnical features and emerging safety issues</w:t>
      </w:r>
    </w:p>
    <w:p w14:paraId="5045ED7B" w14:textId="69263231" w:rsidR="00DF6A0C" w:rsidRPr="008B76E0" w:rsidRDefault="00AB35AA" w:rsidP="00EE7FEE">
      <w:pPr>
        <w:pStyle w:val="CETBodytext"/>
        <w:rPr>
          <w:lang w:val="en-GB"/>
        </w:rPr>
      </w:pPr>
      <w:r w:rsidRPr="008B76E0">
        <w:rPr>
          <w:lang w:val="en-GB"/>
        </w:rPr>
        <w:t xml:space="preserve">With respect to other countries, the Italian technical regulation </w:t>
      </w:r>
      <w:r w:rsidR="00597903" w:rsidRPr="008B76E0">
        <w:rPr>
          <w:lang w:val="en-GB"/>
        </w:rPr>
        <w:t xml:space="preserve">for HRS installation </w:t>
      </w:r>
      <w:r w:rsidRPr="008B76E0">
        <w:rPr>
          <w:lang w:val="en-GB"/>
        </w:rPr>
        <w:t xml:space="preserve">is much more restrictive, in terms of safety distances, boxes and </w:t>
      </w:r>
      <w:r w:rsidR="00C40D62" w:rsidRPr="008B76E0">
        <w:rPr>
          <w:lang w:val="en-GB"/>
        </w:rPr>
        <w:t>fences</w:t>
      </w:r>
      <w:r w:rsidRPr="008B76E0">
        <w:rPr>
          <w:lang w:val="en-GB"/>
        </w:rPr>
        <w:t xml:space="preserve">, with higher costs and longer authorization times, which discourage companies from investing in the sector and realizing such plants. </w:t>
      </w:r>
      <w:r w:rsidR="0081107A" w:rsidRPr="008B76E0">
        <w:rPr>
          <w:lang w:val="en-GB"/>
        </w:rPr>
        <w:t xml:space="preserve">Sometimes, extremely compact solutions are proposed, according to specific “engineering approaches”, but Italian regulations do not accept them by default and the time for their evaluation </w:t>
      </w:r>
      <w:r w:rsidR="00DF6A0C" w:rsidRPr="008B76E0">
        <w:rPr>
          <w:lang w:val="en-GB"/>
        </w:rPr>
        <w:t>becomes</w:t>
      </w:r>
      <w:r w:rsidR="0081107A" w:rsidRPr="008B76E0">
        <w:rPr>
          <w:lang w:val="en-GB"/>
        </w:rPr>
        <w:t xml:space="preserve"> longer.</w:t>
      </w:r>
      <w:r w:rsidR="001F411B" w:rsidRPr="008B76E0">
        <w:rPr>
          <w:lang w:val="en-GB"/>
        </w:rPr>
        <w:t xml:space="preserve"> </w:t>
      </w:r>
      <w:r w:rsidR="00EE7FEE" w:rsidRPr="008B76E0">
        <w:rPr>
          <w:lang w:val="en-GB"/>
        </w:rPr>
        <w:t xml:space="preserve">At local level, the National Fire Corps is responsible for safety and fire prevention evaluations. </w:t>
      </w:r>
      <w:r w:rsidR="001F411B" w:rsidRPr="008B76E0">
        <w:rPr>
          <w:lang w:val="en-GB"/>
        </w:rPr>
        <w:t xml:space="preserve">However, by 2026, </w:t>
      </w:r>
      <w:r w:rsidR="005A7ACA" w:rsidRPr="008B76E0">
        <w:rPr>
          <w:lang w:val="en-GB"/>
        </w:rPr>
        <w:t xml:space="preserve">almost </w:t>
      </w:r>
      <w:r w:rsidR="001F411B" w:rsidRPr="008B76E0">
        <w:rPr>
          <w:lang w:val="en-GB"/>
        </w:rPr>
        <w:t xml:space="preserve">40 </w:t>
      </w:r>
      <w:proofErr w:type="spellStart"/>
      <w:r w:rsidR="001F411B" w:rsidRPr="008B76E0">
        <w:rPr>
          <w:lang w:val="en-GB"/>
        </w:rPr>
        <w:t>refueling</w:t>
      </w:r>
      <w:proofErr w:type="spellEnd"/>
      <w:r w:rsidR="001F411B" w:rsidRPr="008B76E0">
        <w:rPr>
          <w:lang w:val="en-GB"/>
        </w:rPr>
        <w:t xml:space="preserve"> stations are planned on Italian roads, and by 2030 it is estimated that 5-7% of </w:t>
      </w:r>
      <w:r w:rsidR="00B51525" w:rsidRPr="008B76E0">
        <w:rPr>
          <w:lang w:val="en-GB"/>
        </w:rPr>
        <w:t>heavy-duty</w:t>
      </w:r>
      <w:r w:rsidR="001F411B" w:rsidRPr="008B76E0">
        <w:rPr>
          <w:lang w:val="en-GB"/>
        </w:rPr>
        <w:t xml:space="preserve"> vehicles will be powered by hydrogen.</w:t>
      </w:r>
    </w:p>
    <w:p w14:paraId="6AC6B83F" w14:textId="29539804" w:rsidR="00692E9C" w:rsidRPr="008B76E0" w:rsidRDefault="00D02FE5" w:rsidP="00692E9C">
      <w:pPr>
        <w:pStyle w:val="CETBodytext"/>
        <w:rPr>
          <w:lang w:val="en-GB"/>
        </w:rPr>
      </w:pPr>
      <w:r w:rsidRPr="008B76E0">
        <w:rPr>
          <w:lang w:val="en-GB"/>
        </w:rPr>
        <w:t xml:space="preserve">At </w:t>
      </w:r>
      <w:r w:rsidR="00432A1D" w:rsidRPr="008B76E0">
        <w:rPr>
          <w:lang w:val="en-GB"/>
        </w:rPr>
        <w:t xml:space="preserve">the </w:t>
      </w:r>
      <w:r w:rsidRPr="008B76E0">
        <w:rPr>
          <w:lang w:val="en-GB"/>
        </w:rPr>
        <w:t>international level</w:t>
      </w:r>
      <w:r w:rsidR="00671063" w:rsidRPr="008B76E0">
        <w:rPr>
          <w:lang w:val="en-GB"/>
        </w:rPr>
        <w:t xml:space="preserve">, </w:t>
      </w:r>
      <w:r w:rsidRPr="008B76E0">
        <w:rPr>
          <w:lang w:val="en-GB"/>
        </w:rPr>
        <w:t>from the point of view of technical regulations, the ISO 19880-1:2020 “Gaseous hydrogen - Fuelling stations - Part 1: General requirements” is currently in force</w:t>
      </w:r>
      <w:r w:rsidR="00C43698" w:rsidRPr="008B76E0">
        <w:rPr>
          <w:lang w:val="en-GB"/>
        </w:rPr>
        <w:t>.</w:t>
      </w:r>
      <w:r w:rsidR="00671063" w:rsidRPr="008B76E0">
        <w:rPr>
          <w:lang w:val="en-GB"/>
        </w:rPr>
        <w:t xml:space="preserve"> </w:t>
      </w:r>
      <w:r w:rsidR="00C307B8" w:rsidRPr="008B76E0">
        <w:rPr>
          <w:lang w:val="en-GB"/>
        </w:rPr>
        <w:t>The American Codes ASME B31 Pressure Piping Code and ASME Boiler &amp; Pressure Vessel Requirements for high pressure equipment and hydrogen storage tanks, together with NFPA 2 Hydrogen Technologies Code, enrich the de facto internationally recognized regulatory framework.</w:t>
      </w:r>
      <w:r w:rsidR="00597903" w:rsidRPr="008B76E0">
        <w:rPr>
          <w:lang w:val="en-GB"/>
        </w:rPr>
        <w:t xml:space="preserve"> </w:t>
      </w:r>
      <w:r w:rsidRPr="008B76E0">
        <w:rPr>
          <w:lang w:val="en-GB"/>
        </w:rPr>
        <w:t xml:space="preserve">In Europe, the DAFI Directive 2014/94/EU of the European Parliament and of the Council of 22 October 2014 (Directive Alternative Fuel Initiative) on the establishment of an infrastructure for alternative fuels was decisive in giving real potential for the diffusion of hydrogen-powered vehicles. This Directive has been </w:t>
      </w:r>
      <w:r w:rsidR="00197ABA" w:rsidRPr="008B76E0">
        <w:rPr>
          <w:lang w:val="en-GB"/>
        </w:rPr>
        <w:t>transposed</w:t>
      </w:r>
      <w:r w:rsidRPr="008B76E0">
        <w:rPr>
          <w:lang w:val="en-GB"/>
        </w:rPr>
        <w:t xml:space="preserve"> in Italy through </w:t>
      </w:r>
      <w:r w:rsidR="008D37F7" w:rsidRPr="008B76E0">
        <w:rPr>
          <w:lang w:val="en-GB"/>
        </w:rPr>
        <w:t>the Legislative Decree 16 December 2016, n</w:t>
      </w:r>
      <w:r w:rsidR="00692E9C" w:rsidRPr="008B76E0">
        <w:rPr>
          <w:lang w:val="en-GB"/>
        </w:rPr>
        <w:t>.</w:t>
      </w:r>
      <w:r w:rsidR="008D37F7" w:rsidRPr="008B76E0">
        <w:rPr>
          <w:lang w:val="en-GB"/>
        </w:rPr>
        <w:t xml:space="preserve"> 257, whose </w:t>
      </w:r>
      <w:r w:rsidR="00C43698" w:rsidRPr="008B76E0">
        <w:rPr>
          <w:lang w:val="en-GB"/>
        </w:rPr>
        <w:t>artic</w:t>
      </w:r>
      <w:r w:rsidR="008D37F7" w:rsidRPr="008B76E0">
        <w:rPr>
          <w:lang w:val="en-GB"/>
        </w:rPr>
        <w:t>le</w:t>
      </w:r>
      <w:r w:rsidR="00C43698" w:rsidRPr="008B76E0">
        <w:rPr>
          <w:lang w:val="en-GB"/>
        </w:rPr>
        <w:t xml:space="preserve"> </w:t>
      </w:r>
      <w:r w:rsidR="00597903" w:rsidRPr="008B76E0">
        <w:rPr>
          <w:lang w:val="en-GB"/>
        </w:rPr>
        <w:lastRenderedPageBreak/>
        <w:t>n.</w:t>
      </w:r>
      <w:r w:rsidR="00C43698" w:rsidRPr="008B76E0">
        <w:rPr>
          <w:lang w:val="en-GB"/>
        </w:rPr>
        <w:t>5</w:t>
      </w:r>
      <w:r w:rsidR="008D37F7" w:rsidRPr="008B76E0">
        <w:rPr>
          <w:lang w:val="en-GB"/>
        </w:rPr>
        <w:t xml:space="preserve"> provided for the establishment of an adequate number of publicly accessible hydrogen </w:t>
      </w:r>
      <w:proofErr w:type="spellStart"/>
      <w:r w:rsidR="00597903" w:rsidRPr="008B76E0">
        <w:rPr>
          <w:lang w:val="en-GB"/>
        </w:rPr>
        <w:t>refueling</w:t>
      </w:r>
      <w:proofErr w:type="spellEnd"/>
      <w:r w:rsidR="008D37F7" w:rsidRPr="008B76E0">
        <w:rPr>
          <w:lang w:val="en-GB"/>
        </w:rPr>
        <w:t xml:space="preserve"> points by 31 December 2025</w:t>
      </w:r>
      <w:r w:rsidR="00692E9C" w:rsidRPr="008B76E0">
        <w:rPr>
          <w:lang w:val="en-GB"/>
        </w:rPr>
        <w:t>, which must comply with specific technical standards.</w:t>
      </w:r>
      <w:r w:rsidR="00C43698" w:rsidRPr="008B76E0">
        <w:rPr>
          <w:lang w:val="en-GB"/>
        </w:rPr>
        <w:t xml:space="preserve"> </w:t>
      </w:r>
    </w:p>
    <w:p w14:paraId="2771B67B" w14:textId="71780861" w:rsidR="00C43698" w:rsidRPr="008B76E0" w:rsidRDefault="00692E9C" w:rsidP="00177405">
      <w:pPr>
        <w:pStyle w:val="CETBodytext"/>
        <w:rPr>
          <w:lang w:val="en-GB"/>
        </w:rPr>
      </w:pPr>
      <w:r w:rsidRPr="008B76E0">
        <w:rPr>
          <w:lang w:val="en-GB"/>
        </w:rPr>
        <w:t xml:space="preserve">The relevant technical regulations have been updated in Italy </w:t>
      </w:r>
      <w:r w:rsidR="006A3150" w:rsidRPr="008B76E0">
        <w:rPr>
          <w:lang w:val="en-GB"/>
        </w:rPr>
        <w:t xml:space="preserve">by </w:t>
      </w:r>
      <w:r w:rsidRPr="008B76E0">
        <w:rPr>
          <w:lang w:val="en-GB"/>
        </w:rPr>
        <w:t xml:space="preserve">the Decree 23 October 2018, (Fire prevention technical regulation for the design, construction and operation of hydrogen distribution systems for motor vehicles) which </w:t>
      </w:r>
      <w:r w:rsidR="006A3150" w:rsidRPr="008B76E0">
        <w:rPr>
          <w:lang w:val="en-GB"/>
        </w:rPr>
        <w:t xml:space="preserve">introduced the possibility of applying methodologies of “engineering approach” for fire safety distances as well as applying internationally recognized </w:t>
      </w:r>
      <w:r w:rsidR="00C40D62" w:rsidRPr="008B76E0">
        <w:rPr>
          <w:lang w:val="en-GB"/>
        </w:rPr>
        <w:t>standards</w:t>
      </w:r>
      <w:r w:rsidR="006A3150" w:rsidRPr="008B76E0">
        <w:rPr>
          <w:lang w:val="en-GB"/>
        </w:rPr>
        <w:t xml:space="preserve"> (e.g. ISO 19880-1) (</w:t>
      </w:r>
      <w:r w:rsidR="007B7C74" w:rsidRPr="008B76E0">
        <w:rPr>
          <w:lang w:val="en-GB"/>
        </w:rPr>
        <w:t>H2IT, 2023)</w:t>
      </w:r>
      <w:r w:rsidR="006A3150" w:rsidRPr="008B76E0">
        <w:rPr>
          <w:lang w:val="en-GB"/>
        </w:rPr>
        <w:t xml:space="preserve">. Moreover, the previously imposed limit of 350 bar was definitively raised to 700 bar, so as to allow safe </w:t>
      </w:r>
      <w:proofErr w:type="spellStart"/>
      <w:r w:rsidR="006A3150" w:rsidRPr="008B76E0">
        <w:rPr>
          <w:lang w:val="en-GB"/>
        </w:rPr>
        <w:t>refueling</w:t>
      </w:r>
      <w:proofErr w:type="spellEnd"/>
      <w:r w:rsidR="006A3150" w:rsidRPr="008B76E0">
        <w:rPr>
          <w:lang w:val="en-GB"/>
        </w:rPr>
        <w:t xml:space="preserve"> of cars</w:t>
      </w:r>
      <w:r w:rsidR="000E753C" w:rsidRPr="008B76E0">
        <w:rPr>
          <w:lang w:val="en-GB"/>
        </w:rPr>
        <w:t xml:space="preserve"> as well as trucks</w:t>
      </w:r>
      <w:r w:rsidR="006A3150" w:rsidRPr="008B76E0">
        <w:rPr>
          <w:lang w:val="en-GB"/>
        </w:rPr>
        <w:t>.</w:t>
      </w:r>
      <w:r w:rsidR="00DE36F2" w:rsidRPr="008B76E0">
        <w:rPr>
          <w:lang w:val="en-GB"/>
        </w:rPr>
        <w:t xml:space="preserve"> </w:t>
      </w:r>
      <w:r w:rsidR="00491E92" w:rsidRPr="008B76E0">
        <w:rPr>
          <w:lang w:val="en-GB"/>
        </w:rPr>
        <w:t xml:space="preserve">The scope of </w:t>
      </w:r>
      <w:r w:rsidR="000E753C" w:rsidRPr="008B76E0">
        <w:rPr>
          <w:lang w:val="en-GB"/>
        </w:rPr>
        <w:t>the Decree</w:t>
      </w:r>
      <w:r w:rsidR="00491E92" w:rsidRPr="008B76E0">
        <w:rPr>
          <w:lang w:val="en-GB"/>
        </w:rPr>
        <w:t xml:space="preserve"> was </w:t>
      </w:r>
      <w:r w:rsidR="000E753C" w:rsidRPr="008B76E0">
        <w:rPr>
          <w:lang w:val="en-GB"/>
        </w:rPr>
        <w:t xml:space="preserve">later </w:t>
      </w:r>
      <w:r w:rsidR="00491E92" w:rsidRPr="008B76E0">
        <w:rPr>
          <w:lang w:val="en-GB"/>
        </w:rPr>
        <w:t xml:space="preserve">extended and updated through the subsequent enactment of </w:t>
      </w:r>
      <w:r w:rsidR="00DE36F2" w:rsidRPr="008B76E0">
        <w:rPr>
          <w:lang w:val="en-GB"/>
        </w:rPr>
        <w:t>Decree 7 July 2023 (Fire prevention technical regulation for the identification of methodologies for risk analysis and fire safety measures to be adopted for the design, construction and operation of hydrogen production plants by electrolysis and their storage systems)</w:t>
      </w:r>
      <w:r w:rsidR="00491E92" w:rsidRPr="008B76E0">
        <w:rPr>
          <w:lang w:val="en-GB"/>
        </w:rPr>
        <w:t>, which introduced a number of new features, including the dependence of the required safety distances on the operating pressure value of the hazardous elements</w:t>
      </w:r>
      <w:r w:rsidR="00DE36F2" w:rsidRPr="008B76E0">
        <w:rPr>
          <w:lang w:val="en-GB"/>
        </w:rPr>
        <w:t>.</w:t>
      </w:r>
      <w:r w:rsidR="00177405" w:rsidRPr="008B76E0">
        <w:rPr>
          <w:lang w:val="en-GB"/>
        </w:rPr>
        <w:t xml:space="preserve"> </w:t>
      </w:r>
      <w:r w:rsidR="00E84FBC" w:rsidRPr="008B76E0">
        <w:rPr>
          <w:lang w:val="en-GB"/>
        </w:rPr>
        <w:t>Even i</w:t>
      </w:r>
      <w:r w:rsidR="00177405" w:rsidRPr="008B76E0">
        <w:rPr>
          <w:lang w:val="en-GB"/>
        </w:rPr>
        <w:t xml:space="preserve">n the scientific field, </w:t>
      </w:r>
      <w:r w:rsidR="00E84FBC" w:rsidRPr="008B76E0">
        <w:rPr>
          <w:lang w:val="en-GB"/>
        </w:rPr>
        <w:t xml:space="preserve">research is going on </w:t>
      </w:r>
      <w:r w:rsidR="003479BA" w:rsidRPr="008B76E0">
        <w:rPr>
          <w:lang w:val="en-GB"/>
        </w:rPr>
        <w:t xml:space="preserve">about </w:t>
      </w:r>
      <w:r w:rsidR="00E84FBC" w:rsidRPr="008B76E0">
        <w:rPr>
          <w:lang w:val="en-GB"/>
        </w:rPr>
        <w:t xml:space="preserve">the topic: for example, </w:t>
      </w:r>
      <w:r w:rsidR="00177405" w:rsidRPr="008B76E0">
        <w:rPr>
          <w:lang w:val="en-GB"/>
        </w:rPr>
        <w:t xml:space="preserve">Vianello et al. (2020) studied the hydrogen jet fire resulting from rapid fired depressurizations and evaluated safety distances from person and pressurized tanks to avoid domino effects, considering a temperature limit of 309 °C and </w:t>
      </w:r>
      <w:r w:rsidR="00E315F8" w:rsidRPr="008B76E0">
        <w:rPr>
          <w:lang w:val="en-GB"/>
        </w:rPr>
        <w:t>an</w:t>
      </w:r>
      <w:r w:rsidR="00177405" w:rsidRPr="008B76E0">
        <w:rPr>
          <w:lang w:val="en-GB"/>
        </w:rPr>
        <w:t xml:space="preserve"> exposure</w:t>
      </w:r>
      <w:r w:rsidR="00E315F8" w:rsidRPr="008B76E0">
        <w:rPr>
          <w:lang w:val="en-GB"/>
        </w:rPr>
        <w:t xml:space="preserve"> of 20 s</w:t>
      </w:r>
      <w:r w:rsidR="00177405" w:rsidRPr="008B76E0">
        <w:rPr>
          <w:lang w:val="en-GB"/>
        </w:rPr>
        <w:t>.</w:t>
      </w:r>
    </w:p>
    <w:p w14:paraId="60B5BC80" w14:textId="390CBDB9" w:rsidR="00DF0FFB" w:rsidRPr="008B76E0" w:rsidRDefault="00597903" w:rsidP="00C43698">
      <w:pPr>
        <w:pStyle w:val="CETBodytext"/>
        <w:rPr>
          <w:lang w:val="en-GB"/>
        </w:rPr>
      </w:pPr>
      <w:r w:rsidRPr="008B76E0">
        <w:rPr>
          <w:lang w:val="en-GB"/>
        </w:rPr>
        <w:t>Each HRS</w:t>
      </w:r>
      <w:r w:rsidR="008D7050" w:rsidRPr="008B76E0">
        <w:rPr>
          <w:lang w:val="en-GB"/>
        </w:rPr>
        <w:t xml:space="preserve"> has a number of components that require special safety precautions, e.g. compressors (the pressure at which hydrogen is made available is lower than th</w:t>
      </w:r>
      <w:r w:rsidR="00141B88" w:rsidRPr="008B76E0">
        <w:rPr>
          <w:lang w:val="en-GB"/>
        </w:rPr>
        <w:t>e one</w:t>
      </w:r>
      <w:r w:rsidR="008D7050" w:rsidRPr="008B76E0">
        <w:rPr>
          <w:lang w:val="en-GB"/>
        </w:rPr>
        <w:t xml:space="preserve"> required by </w:t>
      </w:r>
      <w:r w:rsidR="004B59C3" w:rsidRPr="008B76E0">
        <w:rPr>
          <w:lang w:val="en-GB"/>
        </w:rPr>
        <w:t xml:space="preserve">trucks and </w:t>
      </w:r>
      <w:r w:rsidR="008D7050" w:rsidRPr="008B76E0">
        <w:rPr>
          <w:lang w:val="en-GB"/>
        </w:rPr>
        <w:t>vehicles</w:t>
      </w:r>
      <w:r w:rsidR="007F70DE" w:rsidRPr="008B76E0">
        <w:rPr>
          <w:lang w:val="en-GB"/>
        </w:rPr>
        <w:t xml:space="preserve">, that is 350 </w:t>
      </w:r>
      <w:r w:rsidR="004B59C3" w:rsidRPr="008B76E0">
        <w:rPr>
          <w:lang w:val="en-GB"/>
        </w:rPr>
        <w:t>and</w:t>
      </w:r>
      <w:r w:rsidR="007F70DE" w:rsidRPr="008B76E0">
        <w:rPr>
          <w:lang w:val="en-GB"/>
        </w:rPr>
        <w:t xml:space="preserve"> 700 bar</w:t>
      </w:r>
      <w:r w:rsidR="004B59C3" w:rsidRPr="008B76E0">
        <w:rPr>
          <w:lang w:val="en-GB"/>
        </w:rPr>
        <w:t xml:space="preserve"> respectively</w:t>
      </w:r>
      <w:r w:rsidR="008D7050" w:rsidRPr="008B76E0">
        <w:rPr>
          <w:lang w:val="en-GB"/>
        </w:rPr>
        <w:t xml:space="preserve">), </w:t>
      </w:r>
      <w:r w:rsidR="002E6807" w:rsidRPr="008B76E0">
        <w:rPr>
          <w:lang w:val="en-GB"/>
        </w:rPr>
        <w:t xml:space="preserve">pumps (if hydrogen is stored at site as a liquid </w:t>
      </w:r>
      <w:r w:rsidR="008D7050" w:rsidRPr="008B76E0">
        <w:rPr>
          <w:lang w:val="en-GB"/>
        </w:rPr>
        <w:t>distribution</w:t>
      </w:r>
      <w:r w:rsidR="002E6807" w:rsidRPr="008B76E0">
        <w:rPr>
          <w:lang w:val="en-GB"/>
        </w:rPr>
        <w:t>),</w:t>
      </w:r>
      <w:r w:rsidR="008D7050" w:rsidRPr="008B76E0">
        <w:rPr>
          <w:lang w:val="en-GB"/>
        </w:rPr>
        <w:t xml:space="preserve"> </w:t>
      </w:r>
      <w:proofErr w:type="spellStart"/>
      <w:r w:rsidR="00BF267C" w:rsidRPr="008B76E0">
        <w:rPr>
          <w:lang w:val="en-GB"/>
        </w:rPr>
        <w:t>refueling</w:t>
      </w:r>
      <w:proofErr w:type="spellEnd"/>
      <w:r w:rsidR="004632FC" w:rsidRPr="008B76E0">
        <w:rPr>
          <w:lang w:val="en-GB"/>
        </w:rPr>
        <w:t xml:space="preserve"> </w:t>
      </w:r>
      <w:r w:rsidR="008D7050" w:rsidRPr="008B76E0">
        <w:rPr>
          <w:lang w:val="en-GB"/>
        </w:rPr>
        <w:t>columns</w:t>
      </w:r>
      <w:r w:rsidR="00335FF6" w:rsidRPr="008B76E0">
        <w:rPr>
          <w:lang w:val="en-GB"/>
        </w:rPr>
        <w:t xml:space="preserve"> (eventually equipped with a pre-cooling system)</w:t>
      </w:r>
      <w:r w:rsidR="00AB35AA" w:rsidRPr="008B76E0">
        <w:rPr>
          <w:lang w:val="en-GB"/>
        </w:rPr>
        <w:t xml:space="preserve">, </w:t>
      </w:r>
      <w:r w:rsidR="007F70DE" w:rsidRPr="008B76E0">
        <w:rPr>
          <w:lang w:val="en-GB"/>
        </w:rPr>
        <w:t>h</w:t>
      </w:r>
      <w:r w:rsidR="00AB35AA" w:rsidRPr="008B76E0">
        <w:rPr>
          <w:lang w:val="en-GB"/>
        </w:rPr>
        <w:t>ydrogen production units</w:t>
      </w:r>
      <w:r w:rsidR="007F70DE" w:rsidRPr="008B76E0">
        <w:rPr>
          <w:lang w:val="en-GB"/>
        </w:rPr>
        <w:t xml:space="preserve">, </w:t>
      </w:r>
      <w:r w:rsidR="00AB35AA" w:rsidRPr="008B76E0">
        <w:rPr>
          <w:lang w:val="en-GB"/>
        </w:rPr>
        <w:t>tankers (if present) and storage units</w:t>
      </w:r>
      <w:r w:rsidR="002E6807" w:rsidRPr="008B76E0">
        <w:rPr>
          <w:lang w:val="en-GB"/>
        </w:rPr>
        <w:t xml:space="preserve"> (in gaseous or liquid form)</w:t>
      </w:r>
      <w:r w:rsidR="00335FF6" w:rsidRPr="008B76E0">
        <w:rPr>
          <w:lang w:val="en-GB"/>
        </w:rPr>
        <w:t>. Hydrogen can be produced on site or also be transported there via trailers or pipelines, on whose pressure the compressor power depends (the lower the inlet pressure, the greater the power required from the compressor).</w:t>
      </w:r>
      <w:r w:rsidR="00AB35AA" w:rsidRPr="008B76E0">
        <w:rPr>
          <w:lang w:val="en-GB"/>
        </w:rPr>
        <w:t xml:space="preserve"> </w:t>
      </w:r>
      <w:r w:rsidR="00DF0FFB" w:rsidRPr="008B76E0">
        <w:rPr>
          <w:lang w:val="en-GB"/>
        </w:rPr>
        <w:t xml:space="preserve">The </w:t>
      </w:r>
      <w:proofErr w:type="spellStart"/>
      <w:r w:rsidR="00DF0FFB" w:rsidRPr="008B76E0">
        <w:rPr>
          <w:lang w:val="en-GB"/>
        </w:rPr>
        <w:t>refueling</w:t>
      </w:r>
      <w:proofErr w:type="spellEnd"/>
      <w:r w:rsidR="00DF0FFB" w:rsidRPr="008B76E0">
        <w:rPr>
          <w:lang w:val="en-GB"/>
        </w:rPr>
        <w:t xml:space="preserve"> time depends on various factors (e.g. mass flow of the compressor, which affects the filling speed) but </w:t>
      </w:r>
      <w:r w:rsidR="00AB35AA" w:rsidRPr="008B76E0">
        <w:rPr>
          <w:lang w:val="en-GB"/>
        </w:rPr>
        <w:t xml:space="preserve">it </w:t>
      </w:r>
      <w:r w:rsidR="00DF0FFB" w:rsidRPr="008B76E0">
        <w:rPr>
          <w:lang w:val="en-GB"/>
        </w:rPr>
        <w:t>is usually in the order of minutes.</w:t>
      </w:r>
      <w:r w:rsidR="00CE67B3" w:rsidRPr="008B76E0">
        <w:rPr>
          <w:lang w:val="en-GB"/>
        </w:rPr>
        <w:t xml:space="preserve"> </w:t>
      </w:r>
      <w:r w:rsidR="0093253E" w:rsidRPr="008B76E0">
        <w:rPr>
          <w:lang w:val="en-GB"/>
        </w:rPr>
        <w:t xml:space="preserve">The hydrogen flow is regulated by a dispenser control unit, whose working conditions (pressure, temperature, etc.) have to follow specific design parameters according to protocols such as SAE J2601 </w:t>
      </w:r>
      <w:r w:rsidR="00E63973" w:rsidRPr="008B76E0">
        <w:rPr>
          <w:lang w:val="en-GB"/>
        </w:rPr>
        <w:t xml:space="preserve">for regulating and optimizing the </w:t>
      </w:r>
      <w:proofErr w:type="spellStart"/>
      <w:r w:rsidR="00E63973" w:rsidRPr="008B76E0">
        <w:rPr>
          <w:lang w:val="en-GB"/>
        </w:rPr>
        <w:t>fueling</w:t>
      </w:r>
      <w:proofErr w:type="spellEnd"/>
      <w:r w:rsidR="00E63973" w:rsidRPr="008B76E0">
        <w:rPr>
          <w:lang w:val="en-GB"/>
        </w:rPr>
        <w:t xml:space="preserve"> process</w:t>
      </w:r>
      <w:r w:rsidR="0093253E" w:rsidRPr="008B76E0">
        <w:rPr>
          <w:lang w:val="en-GB"/>
        </w:rPr>
        <w:t xml:space="preserve">. </w:t>
      </w:r>
    </w:p>
    <w:p w14:paraId="6F998D10" w14:textId="608F482D" w:rsidR="00AB35AA" w:rsidRPr="008B76E0" w:rsidRDefault="00AB35AA" w:rsidP="002658BF">
      <w:pPr>
        <w:pStyle w:val="CETBodytext"/>
        <w:rPr>
          <w:lang w:val="en-GB"/>
        </w:rPr>
      </w:pPr>
      <w:r w:rsidRPr="008B76E0">
        <w:rPr>
          <w:lang w:val="en-GB"/>
        </w:rPr>
        <w:t xml:space="preserve">Table 1 </w:t>
      </w:r>
      <w:r w:rsidR="00F53E7A" w:rsidRPr="008B76E0">
        <w:rPr>
          <w:lang w:val="en-GB"/>
        </w:rPr>
        <w:t>outlines</w:t>
      </w:r>
      <w:r w:rsidRPr="008B76E0">
        <w:rPr>
          <w:lang w:val="en-GB"/>
        </w:rPr>
        <w:t xml:space="preserve"> </w:t>
      </w:r>
      <w:r w:rsidR="00A417F6" w:rsidRPr="008B76E0">
        <w:rPr>
          <w:lang w:val="en-GB"/>
        </w:rPr>
        <w:t>the most important</w:t>
      </w:r>
      <w:r w:rsidRPr="008B76E0">
        <w:rPr>
          <w:lang w:val="en-GB"/>
        </w:rPr>
        <w:t xml:space="preserve"> </w:t>
      </w:r>
      <w:r w:rsidR="002658BF" w:rsidRPr="008B76E0">
        <w:rPr>
          <w:lang w:val="en-GB"/>
        </w:rPr>
        <w:t>safety</w:t>
      </w:r>
      <w:r w:rsidR="00A417F6" w:rsidRPr="008B76E0">
        <w:rPr>
          <w:lang w:val="en-GB"/>
        </w:rPr>
        <w:t>-</w:t>
      </w:r>
      <w:r w:rsidR="002658BF" w:rsidRPr="008B76E0">
        <w:rPr>
          <w:lang w:val="en-GB"/>
        </w:rPr>
        <w:t xml:space="preserve">critical aspects </w:t>
      </w:r>
      <w:r w:rsidR="00A417F6" w:rsidRPr="008B76E0">
        <w:rPr>
          <w:lang w:val="en-GB"/>
        </w:rPr>
        <w:t xml:space="preserve">in HRS </w:t>
      </w:r>
      <w:r w:rsidR="002658BF" w:rsidRPr="008B76E0">
        <w:rPr>
          <w:lang w:val="en-GB"/>
        </w:rPr>
        <w:t>(</w:t>
      </w:r>
      <w:r w:rsidR="007F7DEF" w:rsidRPr="008B76E0">
        <w:rPr>
          <w:lang w:val="en-GB"/>
        </w:rPr>
        <w:t>mainly related to</w:t>
      </w:r>
      <w:r w:rsidR="002658BF" w:rsidRPr="008B76E0">
        <w:rPr>
          <w:lang w:val="en-GB"/>
        </w:rPr>
        <w:t xml:space="preserve"> risk of fire</w:t>
      </w:r>
      <w:r w:rsidR="007F7DEF" w:rsidRPr="008B76E0">
        <w:rPr>
          <w:lang w:val="en-GB"/>
        </w:rPr>
        <w:t xml:space="preserve">, </w:t>
      </w:r>
      <w:r w:rsidR="002658BF" w:rsidRPr="008B76E0">
        <w:rPr>
          <w:lang w:val="en-GB"/>
        </w:rPr>
        <w:t>explosion</w:t>
      </w:r>
      <w:r w:rsidR="007F7DEF" w:rsidRPr="008B76E0">
        <w:rPr>
          <w:lang w:val="en-GB"/>
        </w:rPr>
        <w:t xml:space="preserve"> and </w:t>
      </w:r>
      <w:r w:rsidR="002658BF" w:rsidRPr="008B76E0">
        <w:rPr>
          <w:lang w:val="en-GB"/>
        </w:rPr>
        <w:t>domino effect)</w:t>
      </w:r>
      <w:r w:rsidR="00A417F6" w:rsidRPr="008B76E0">
        <w:rPr>
          <w:lang w:val="en-GB"/>
        </w:rPr>
        <w:t xml:space="preserve"> and some recommended countermeasures</w:t>
      </w:r>
      <w:r w:rsidR="009351FD" w:rsidRPr="008B76E0">
        <w:rPr>
          <w:lang w:val="en-GB"/>
        </w:rPr>
        <w:t xml:space="preserve">. Data include observations from </w:t>
      </w:r>
      <w:r w:rsidRPr="008B76E0">
        <w:rPr>
          <w:lang w:val="en-GB"/>
        </w:rPr>
        <w:t xml:space="preserve">international literature, </w:t>
      </w:r>
      <w:r w:rsidR="0016369E" w:rsidRPr="008B76E0">
        <w:rPr>
          <w:lang w:val="en-GB"/>
        </w:rPr>
        <w:t>which</w:t>
      </w:r>
      <w:r w:rsidRPr="008B76E0">
        <w:rPr>
          <w:lang w:val="en-GB"/>
        </w:rPr>
        <w:t xml:space="preserve"> </w:t>
      </w:r>
      <w:r w:rsidR="0016369E" w:rsidRPr="008B76E0">
        <w:rPr>
          <w:lang w:val="en-GB"/>
        </w:rPr>
        <w:t xml:space="preserve">has </w:t>
      </w:r>
      <w:r w:rsidR="007F7DEF" w:rsidRPr="008B76E0">
        <w:rPr>
          <w:lang w:val="en-GB"/>
        </w:rPr>
        <w:t>progressively increased its interest for</w:t>
      </w:r>
      <w:r w:rsidRPr="008B76E0">
        <w:rPr>
          <w:lang w:val="en-GB"/>
        </w:rPr>
        <w:t xml:space="preserve"> the </w:t>
      </w:r>
      <w:r w:rsidR="007F7DEF" w:rsidRPr="008B76E0">
        <w:rPr>
          <w:lang w:val="en-GB"/>
        </w:rPr>
        <w:t xml:space="preserve">topic in the </w:t>
      </w:r>
      <w:r w:rsidRPr="008B76E0">
        <w:rPr>
          <w:lang w:val="en-GB"/>
        </w:rPr>
        <w:t>last 1</w:t>
      </w:r>
      <w:r w:rsidR="0016369E" w:rsidRPr="008B76E0">
        <w:rPr>
          <w:lang w:val="en-GB"/>
        </w:rPr>
        <w:t>0</w:t>
      </w:r>
      <w:r w:rsidRPr="008B76E0">
        <w:rPr>
          <w:lang w:val="en-GB"/>
        </w:rPr>
        <w:t xml:space="preserve"> years.</w:t>
      </w:r>
      <w:r w:rsidR="000B5475" w:rsidRPr="008B76E0">
        <w:rPr>
          <w:lang w:val="en-GB"/>
        </w:rPr>
        <w:t xml:space="preserve"> </w:t>
      </w:r>
    </w:p>
    <w:p w14:paraId="377A08D7" w14:textId="33616FE6" w:rsidR="00AB35AA" w:rsidRPr="008B76E0" w:rsidRDefault="00AB35AA" w:rsidP="00AB35AA">
      <w:pPr>
        <w:pStyle w:val="CETTabletitle"/>
      </w:pPr>
      <w:r w:rsidRPr="008B76E0">
        <w:t xml:space="preserve">Table 1: </w:t>
      </w:r>
      <w:r w:rsidR="00A202FF" w:rsidRPr="008B76E0">
        <w:t xml:space="preserve">Main safety-critical </w:t>
      </w:r>
      <w:r w:rsidR="00653539" w:rsidRPr="008B76E0">
        <w:t>conditions</w:t>
      </w:r>
      <w:r w:rsidR="00A202FF" w:rsidRPr="008B76E0">
        <w:t xml:space="preserve"> in HRS and recommended countermeasures </w:t>
      </w:r>
      <w:r w:rsidR="0001046B" w:rsidRPr="008B76E0">
        <w:t>(</w:t>
      </w:r>
      <w:r w:rsidR="00B621A9" w:rsidRPr="008B76E0">
        <w:t xml:space="preserve">Caponi et al., 2021; </w:t>
      </w:r>
      <w:r w:rsidR="0001046B" w:rsidRPr="008B76E0">
        <w:t>Veres et al., 2022</w:t>
      </w:r>
      <w:r w:rsidR="00A202FF" w:rsidRPr="008B76E0">
        <w:t>; Genovese et al., 2023; Genovese et al., 2024; Campari et al., 2024; Chauhan et al., 2024; He et al., 2024; Lu et al., 2024; Xing et al., 2024; Kang et al., 2025</w:t>
      </w:r>
      <w:r w:rsidR="0001046B" w:rsidRPr="008B76E0">
        <w:t>)</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3544"/>
        <w:gridCol w:w="3258"/>
      </w:tblGrid>
      <w:tr w:rsidR="00DD403E" w:rsidRPr="008B76E0" w14:paraId="361D32E6" w14:textId="77777777" w:rsidTr="00741B72">
        <w:trPr>
          <w:trHeight w:val="20"/>
        </w:trPr>
        <w:tc>
          <w:tcPr>
            <w:tcW w:w="1985" w:type="dxa"/>
            <w:tcBorders>
              <w:top w:val="single" w:sz="12" w:space="0" w:color="008000"/>
              <w:bottom w:val="single" w:sz="6" w:space="0" w:color="008000"/>
            </w:tcBorders>
            <w:shd w:val="clear" w:color="auto" w:fill="FFFFFF"/>
          </w:tcPr>
          <w:p w14:paraId="111C6533" w14:textId="13A8704C" w:rsidR="00AB35AA" w:rsidRPr="008B76E0" w:rsidRDefault="00D275E8" w:rsidP="00935FB0">
            <w:pPr>
              <w:pStyle w:val="CETBodytext"/>
              <w:rPr>
                <w:lang w:val="en-GB"/>
              </w:rPr>
            </w:pPr>
            <w:r w:rsidRPr="008B76E0">
              <w:rPr>
                <w:lang w:val="en-GB"/>
              </w:rPr>
              <w:t>Safety-critical condition</w:t>
            </w:r>
          </w:p>
        </w:tc>
        <w:tc>
          <w:tcPr>
            <w:tcW w:w="3544" w:type="dxa"/>
            <w:tcBorders>
              <w:top w:val="single" w:sz="12" w:space="0" w:color="008000"/>
              <w:bottom w:val="single" w:sz="6" w:space="0" w:color="008000"/>
            </w:tcBorders>
            <w:shd w:val="clear" w:color="auto" w:fill="FFFFFF"/>
            <w:tcMar>
              <w:left w:w="170" w:type="dxa"/>
            </w:tcMar>
          </w:tcPr>
          <w:p w14:paraId="0963131F" w14:textId="5E6995E6" w:rsidR="00AB35AA" w:rsidRPr="008B76E0" w:rsidRDefault="00AB35AA" w:rsidP="00935FB0">
            <w:pPr>
              <w:pStyle w:val="CETBodytext"/>
              <w:ind w:right="142"/>
              <w:rPr>
                <w:lang w:val="en-GB"/>
              </w:rPr>
            </w:pPr>
            <w:r w:rsidRPr="008B76E0">
              <w:rPr>
                <w:lang w:val="en-GB"/>
              </w:rPr>
              <w:t>Description</w:t>
            </w:r>
          </w:p>
        </w:tc>
        <w:tc>
          <w:tcPr>
            <w:tcW w:w="3258" w:type="dxa"/>
            <w:tcBorders>
              <w:top w:val="single" w:sz="12" w:space="0" w:color="008000"/>
              <w:bottom w:val="single" w:sz="8" w:space="0" w:color="008000"/>
            </w:tcBorders>
            <w:shd w:val="clear" w:color="auto" w:fill="FFFFFF"/>
          </w:tcPr>
          <w:p w14:paraId="38E14B94" w14:textId="1AC448A2" w:rsidR="00AB35AA" w:rsidRPr="008B76E0" w:rsidRDefault="00B621A9" w:rsidP="00935FB0">
            <w:pPr>
              <w:pStyle w:val="CETBodytext"/>
              <w:rPr>
                <w:lang w:val="en-GB"/>
              </w:rPr>
            </w:pPr>
            <w:r w:rsidRPr="008B76E0">
              <w:rPr>
                <w:lang w:val="en-GB"/>
              </w:rPr>
              <w:t>Countermeasures</w:t>
            </w:r>
          </w:p>
        </w:tc>
      </w:tr>
      <w:tr w:rsidR="00DD403E" w:rsidRPr="008B76E0" w14:paraId="6F460E31" w14:textId="77777777" w:rsidTr="00741B72">
        <w:trPr>
          <w:trHeight w:val="696"/>
        </w:trPr>
        <w:tc>
          <w:tcPr>
            <w:tcW w:w="1985" w:type="dxa"/>
            <w:tcBorders>
              <w:top w:val="nil"/>
              <w:bottom w:val="nil"/>
            </w:tcBorders>
            <w:shd w:val="clear" w:color="auto" w:fill="FFFFFF"/>
          </w:tcPr>
          <w:p w14:paraId="19367BFF" w14:textId="11D34EEC" w:rsidR="00AB35AA" w:rsidRPr="008B76E0" w:rsidRDefault="00935FB0" w:rsidP="00935FB0">
            <w:pPr>
              <w:pStyle w:val="CETBodytext"/>
              <w:rPr>
                <w:lang w:val="en-GB"/>
              </w:rPr>
            </w:pPr>
            <w:r w:rsidRPr="008B76E0">
              <w:rPr>
                <w:lang w:val="en-GB"/>
              </w:rPr>
              <w:t>A</w:t>
            </w:r>
            <w:r w:rsidR="00A3681B" w:rsidRPr="008B76E0">
              <w:rPr>
                <w:lang w:val="en-GB"/>
              </w:rPr>
              <w:t>ir (oxygen) being sucked in at its inlet part</w:t>
            </w:r>
            <w:r w:rsidRPr="008B76E0">
              <w:rPr>
                <w:lang w:val="en-GB"/>
              </w:rPr>
              <w:t xml:space="preserve"> of the compressor unit</w:t>
            </w:r>
            <w:r w:rsidR="004A7522" w:rsidRPr="008B76E0">
              <w:rPr>
                <w:lang w:val="en-GB"/>
              </w:rPr>
              <w:t>.</w:t>
            </w:r>
          </w:p>
        </w:tc>
        <w:tc>
          <w:tcPr>
            <w:tcW w:w="3544" w:type="dxa"/>
            <w:tcBorders>
              <w:top w:val="nil"/>
              <w:bottom w:val="nil"/>
            </w:tcBorders>
            <w:shd w:val="clear" w:color="auto" w:fill="FFFFFF"/>
            <w:tcMar>
              <w:left w:w="170" w:type="dxa"/>
            </w:tcMar>
          </w:tcPr>
          <w:p w14:paraId="5A3FA254" w14:textId="1DD624B7" w:rsidR="006F4145" w:rsidRPr="008B76E0" w:rsidRDefault="00A3681B" w:rsidP="00935FB0">
            <w:pPr>
              <w:pStyle w:val="CETBodytext"/>
              <w:ind w:right="142"/>
              <w:rPr>
                <w:rFonts w:cs="Arial"/>
                <w:szCs w:val="18"/>
                <w:lang w:val="en-GB"/>
              </w:rPr>
            </w:pPr>
            <w:r w:rsidRPr="008B76E0">
              <w:rPr>
                <w:rFonts w:cs="Arial"/>
                <w:szCs w:val="18"/>
                <w:lang w:val="en-GB"/>
              </w:rPr>
              <w:t>Risk of</w:t>
            </w:r>
            <w:r w:rsidR="007F70DE" w:rsidRPr="008B76E0">
              <w:rPr>
                <w:rFonts w:cs="Arial"/>
                <w:szCs w:val="18"/>
                <w:lang w:val="en-GB"/>
              </w:rPr>
              <w:t xml:space="preserve"> internal burn or explosion</w:t>
            </w:r>
            <w:r w:rsidR="004A7522" w:rsidRPr="008B76E0">
              <w:rPr>
                <w:rFonts w:cs="Arial"/>
                <w:szCs w:val="18"/>
                <w:lang w:val="en-GB"/>
              </w:rPr>
              <w:t>.</w:t>
            </w:r>
          </w:p>
        </w:tc>
        <w:tc>
          <w:tcPr>
            <w:tcW w:w="3258" w:type="dxa"/>
            <w:tcBorders>
              <w:top w:val="single" w:sz="8" w:space="0" w:color="008000"/>
              <w:bottom w:val="nil"/>
            </w:tcBorders>
            <w:shd w:val="clear" w:color="auto" w:fill="FFFFFF"/>
          </w:tcPr>
          <w:p w14:paraId="56434F4D" w14:textId="60FA69FD" w:rsidR="00AB35AA" w:rsidRPr="008B76E0" w:rsidRDefault="00A3681B" w:rsidP="00935FB0">
            <w:pPr>
              <w:pStyle w:val="CETBodytext"/>
              <w:rPr>
                <w:lang w:val="en-GB"/>
              </w:rPr>
            </w:pPr>
            <w:r w:rsidRPr="008B76E0">
              <w:rPr>
                <w:lang w:val="en-GB"/>
              </w:rPr>
              <w:t>Hydrogen compressors are designed to prevent air intake (temperature</w:t>
            </w:r>
            <w:r w:rsidR="005750D5" w:rsidRPr="008B76E0">
              <w:rPr>
                <w:lang w:val="en-GB"/>
              </w:rPr>
              <w:t>/</w:t>
            </w:r>
            <w:r w:rsidRPr="008B76E0">
              <w:rPr>
                <w:lang w:val="en-GB"/>
              </w:rPr>
              <w:t>pressure sensors)</w:t>
            </w:r>
            <w:r w:rsidR="004A7522" w:rsidRPr="008B76E0">
              <w:rPr>
                <w:lang w:val="en-GB"/>
              </w:rPr>
              <w:t>.</w:t>
            </w:r>
          </w:p>
        </w:tc>
      </w:tr>
      <w:tr w:rsidR="00A3681B" w:rsidRPr="008B76E0" w14:paraId="0E8A83D3" w14:textId="77777777" w:rsidTr="00C3519E">
        <w:trPr>
          <w:trHeight w:val="535"/>
        </w:trPr>
        <w:tc>
          <w:tcPr>
            <w:tcW w:w="1985" w:type="dxa"/>
            <w:tcBorders>
              <w:top w:val="nil"/>
              <w:bottom w:val="nil"/>
            </w:tcBorders>
            <w:shd w:val="clear" w:color="auto" w:fill="FFFFFF"/>
          </w:tcPr>
          <w:p w14:paraId="1A711789" w14:textId="602E769F" w:rsidR="00A3681B" w:rsidRPr="008B76E0" w:rsidRDefault="00935FB0" w:rsidP="00935FB0">
            <w:pPr>
              <w:pStyle w:val="CETBodytext"/>
              <w:rPr>
                <w:lang w:val="en-GB"/>
              </w:rPr>
            </w:pPr>
            <w:r w:rsidRPr="008B76E0">
              <w:rPr>
                <w:lang w:val="en-GB"/>
              </w:rPr>
              <w:t>H</w:t>
            </w:r>
            <w:r w:rsidR="00A3681B" w:rsidRPr="008B76E0">
              <w:rPr>
                <w:lang w:val="en-GB"/>
              </w:rPr>
              <w:t>ydrogen leak</w:t>
            </w:r>
            <w:r w:rsidRPr="008B76E0">
              <w:rPr>
                <w:lang w:val="en-GB"/>
              </w:rPr>
              <w:t xml:space="preserve"> from compressor unit</w:t>
            </w:r>
            <w:r w:rsidR="004A7522" w:rsidRPr="008B76E0">
              <w:rPr>
                <w:lang w:val="en-GB"/>
              </w:rPr>
              <w:t>.</w:t>
            </w:r>
          </w:p>
        </w:tc>
        <w:tc>
          <w:tcPr>
            <w:tcW w:w="3544" w:type="dxa"/>
            <w:tcBorders>
              <w:top w:val="nil"/>
              <w:bottom w:val="nil"/>
            </w:tcBorders>
            <w:shd w:val="clear" w:color="auto" w:fill="FFFFFF"/>
            <w:tcMar>
              <w:left w:w="170" w:type="dxa"/>
            </w:tcMar>
          </w:tcPr>
          <w:p w14:paraId="7FA0B57D" w14:textId="213512D2" w:rsidR="00A3681B" w:rsidRPr="008B76E0" w:rsidRDefault="004D1504" w:rsidP="00935FB0">
            <w:pPr>
              <w:pStyle w:val="CETBodytext"/>
              <w:ind w:right="142"/>
              <w:rPr>
                <w:rFonts w:cs="Arial"/>
                <w:szCs w:val="18"/>
                <w:lang w:val="en-GB"/>
              </w:rPr>
            </w:pPr>
            <w:r w:rsidRPr="008B76E0">
              <w:rPr>
                <w:rFonts w:cs="Arial"/>
                <w:szCs w:val="18"/>
                <w:lang w:val="en-GB"/>
              </w:rPr>
              <w:t>Risk of fire or explosion due to high flammability</w:t>
            </w:r>
            <w:r w:rsidR="004A7522" w:rsidRPr="008B76E0">
              <w:rPr>
                <w:rFonts w:cs="Arial"/>
                <w:szCs w:val="18"/>
                <w:lang w:val="en-GB"/>
              </w:rPr>
              <w:t>.</w:t>
            </w:r>
          </w:p>
        </w:tc>
        <w:tc>
          <w:tcPr>
            <w:tcW w:w="3258" w:type="dxa"/>
            <w:tcBorders>
              <w:top w:val="nil"/>
              <w:bottom w:val="nil"/>
            </w:tcBorders>
            <w:shd w:val="clear" w:color="auto" w:fill="FFFFFF"/>
          </w:tcPr>
          <w:p w14:paraId="535F6AA1" w14:textId="6808B1B6" w:rsidR="00A3681B" w:rsidRPr="008B76E0" w:rsidRDefault="00A3681B" w:rsidP="00935FB0">
            <w:pPr>
              <w:pStyle w:val="CETBodytext"/>
              <w:rPr>
                <w:lang w:val="en-GB"/>
              </w:rPr>
            </w:pPr>
            <w:r w:rsidRPr="008B76E0">
              <w:rPr>
                <w:lang w:val="en-GB"/>
              </w:rPr>
              <w:t>Metal seals</w:t>
            </w:r>
            <w:r w:rsidR="009E4C65" w:rsidRPr="008B76E0">
              <w:rPr>
                <w:lang w:val="en-GB"/>
              </w:rPr>
              <w:t>, fire protection systems.</w:t>
            </w:r>
          </w:p>
        </w:tc>
      </w:tr>
      <w:tr w:rsidR="00395FAF" w:rsidRPr="008B76E0" w14:paraId="61C328E9" w14:textId="77777777" w:rsidTr="00741B72">
        <w:trPr>
          <w:trHeight w:val="1416"/>
        </w:trPr>
        <w:tc>
          <w:tcPr>
            <w:tcW w:w="1985" w:type="dxa"/>
            <w:tcBorders>
              <w:top w:val="nil"/>
              <w:bottom w:val="nil"/>
            </w:tcBorders>
            <w:shd w:val="clear" w:color="auto" w:fill="FFFFFF"/>
          </w:tcPr>
          <w:p w14:paraId="6D9B6A1B" w14:textId="11395E58" w:rsidR="00AB35AA" w:rsidRPr="008B76E0" w:rsidRDefault="00935FB0" w:rsidP="00935FB0">
            <w:pPr>
              <w:pStyle w:val="CETBodytext"/>
              <w:rPr>
                <w:lang w:val="en-GB"/>
              </w:rPr>
            </w:pPr>
            <w:r w:rsidRPr="008B76E0">
              <w:rPr>
                <w:lang w:val="en-GB"/>
              </w:rPr>
              <w:t>Hydrogen leak from h</w:t>
            </w:r>
            <w:r w:rsidR="00AB35AA" w:rsidRPr="008B76E0">
              <w:rPr>
                <w:lang w:val="en-GB"/>
              </w:rPr>
              <w:t xml:space="preserve">igh-pressure </w:t>
            </w:r>
            <w:r w:rsidR="00A3681B" w:rsidRPr="008B76E0">
              <w:rPr>
                <w:lang w:val="en-GB"/>
              </w:rPr>
              <w:t>storage</w:t>
            </w:r>
            <w:r w:rsidRPr="008B76E0">
              <w:rPr>
                <w:lang w:val="en-GB"/>
              </w:rPr>
              <w:t>.</w:t>
            </w:r>
          </w:p>
        </w:tc>
        <w:tc>
          <w:tcPr>
            <w:tcW w:w="3544" w:type="dxa"/>
            <w:tcBorders>
              <w:top w:val="nil"/>
              <w:bottom w:val="nil"/>
            </w:tcBorders>
            <w:shd w:val="clear" w:color="auto" w:fill="FFFFFF"/>
            <w:tcMar>
              <w:left w:w="170" w:type="dxa"/>
            </w:tcMar>
          </w:tcPr>
          <w:p w14:paraId="7E4274D5" w14:textId="6A194AC7" w:rsidR="00B954E2" w:rsidRPr="008B76E0" w:rsidRDefault="005750D5" w:rsidP="00935FB0">
            <w:pPr>
              <w:pStyle w:val="CETBodytext"/>
              <w:ind w:right="142"/>
              <w:rPr>
                <w:lang w:val="en-GB"/>
              </w:rPr>
            </w:pPr>
            <w:r w:rsidRPr="008B76E0">
              <w:rPr>
                <w:lang w:val="en-GB"/>
              </w:rPr>
              <w:t>At</w:t>
            </w:r>
            <w:r w:rsidR="00BA603C" w:rsidRPr="008B76E0">
              <w:rPr>
                <w:lang w:val="en-GB"/>
              </w:rPr>
              <w:t xml:space="preserve"> </w:t>
            </w:r>
            <w:r w:rsidR="007F70DE" w:rsidRPr="008B76E0">
              <w:rPr>
                <w:lang w:val="en-GB"/>
              </w:rPr>
              <w:t>high</w:t>
            </w:r>
            <w:r w:rsidR="00BA603C" w:rsidRPr="008B76E0">
              <w:rPr>
                <w:lang w:val="en-GB"/>
              </w:rPr>
              <w:t>-</w:t>
            </w:r>
            <w:r w:rsidR="007F70DE" w:rsidRPr="008B76E0">
              <w:rPr>
                <w:lang w:val="en-GB"/>
              </w:rPr>
              <w:t xml:space="preserve">pressure, </w:t>
            </w:r>
            <w:r w:rsidR="00BA603C" w:rsidRPr="008B76E0">
              <w:rPr>
                <w:lang w:val="en-GB"/>
              </w:rPr>
              <w:t xml:space="preserve">the </w:t>
            </w:r>
            <w:r w:rsidR="007F70DE" w:rsidRPr="008B76E0">
              <w:rPr>
                <w:lang w:val="en-GB"/>
              </w:rPr>
              <w:t xml:space="preserve">amount of hydrogen leakage </w:t>
            </w:r>
            <w:r w:rsidR="00BA603C" w:rsidRPr="008B76E0">
              <w:rPr>
                <w:lang w:val="en-GB"/>
              </w:rPr>
              <w:t xml:space="preserve">is much higher than </w:t>
            </w:r>
            <w:r w:rsidRPr="008B76E0">
              <w:rPr>
                <w:lang w:val="en-GB"/>
              </w:rPr>
              <w:t>at</w:t>
            </w:r>
            <w:r w:rsidR="00BA603C" w:rsidRPr="008B76E0">
              <w:rPr>
                <w:lang w:val="en-GB"/>
              </w:rPr>
              <w:t xml:space="preserve"> </w:t>
            </w:r>
            <w:r w:rsidR="007F70DE" w:rsidRPr="008B76E0">
              <w:rPr>
                <w:lang w:val="en-GB"/>
              </w:rPr>
              <w:t>low</w:t>
            </w:r>
            <w:r w:rsidR="004A7522" w:rsidRPr="008B76E0">
              <w:rPr>
                <w:lang w:val="en-GB"/>
              </w:rPr>
              <w:t>-</w:t>
            </w:r>
            <w:r w:rsidR="007F70DE" w:rsidRPr="008B76E0">
              <w:rPr>
                <w:lang w:val="en-GB"/>
              </w:rPr>
              <w:t>pressure</w:t>
            </w:r>
            <w:r w:rsidRPr="008B76E0">
              <w:rPr>
                <w:lang w:val="en-GB"/>
              </w:rPr>
              <w:t>,</w:t>
            </w:r>
            <w:r w:rsidR="00BA603C" w:rsidRPr="008B76E0">
              <w:rPr>
                <w:lang w:val="en-GB"/>
              </w:rPr>
              <w:t xml:space="preserve"> e</w:t>
            </w:r>
            <w:r w:rsidR="007F70DE" w:rsidRPr="008B76E0">
              <w:rPr>
                <w:lang w:val="en-GB"/>
              </w:rPr>
              <w:t>ven in open spaces</w:t>
            </w:r>
            <w:r w:rsidR="00BA603C" w:rsidRPr="008B76E0">
              <w:rPr>
                <w:lang w:val="en-GB"/>
              </w:rPr>
              <w:t xml:space="preserve">. </w:t>
            </w:r>
            <w:r w:rsidR="004A7522" w:rsidRPr="008B76E0">
              <w:rPr>
                <w:lang w:val="en-GB"/>
              </w:rPr>
              <w:t>If the space is enclosed (e.g. container), hydrogen is trapped in</w:t>
            </w:r>
            <w:r w:rsidR="00935FB0" w:rsidRPr="008B76E0">
              <w:rPr>
                <w:lang w:val="en-GB"/>
              </w:rPr>
              <w:t xml:space="preserve">side </w:t>
            </w:r>
            <w:r w:rsidR="004A7522" w:rsidRPr="008B76E0">
              <w:rPr>
                <w:lang w:val="en-GB"/>
              </w:rPr>
              <w:t>and internal accumulation of large amounts of flammable gas</w:t>
            </w:r>
            <w:r w:rsidR="00D46C67" w:rsidRPr="008B76E0">
              <w:rPr>
                <w:lang w:val="en-GB"/>
              </w:rPr>
              <w:t xml:space="preserve"> must be prevented.</w:t>
            </w:r>
          </w:p>
        </w:tc>
        <w:tc>
          <w:tcPr>
            <w:tcW w:w="3258" w:type="dxa"/>
            <w:tcBorders>
              <w:top w:val="nil"/>
              <w:bottom w:val="nil"/>
            </w:tcBorders>
            <w:shd w:val="clear" w:color="auto" w:fill="FFFFFF"/>
          </w:tcPr>
          <w:p w14:paraId="5689064A" w14:textId="09155C03" w:rsidR="00AB35AA" w:rsidRPr="008B76E0" w:rsidRDefault="004A7522" w:rsidP="00935FB0">
            <w:pPr>
              <w:pStyle w:val="CETBodytext"/>
              <w:rPr>
                <w:lang w:val="en-GB"/>
              </w:rPr>
            </w:pPr>
            <w:r w:rsidRPr="008B76E0">
              <w:rPr>
                <w:lang w:val="en-GB"/>
              </w:rPr>
              <w:t>C</w:t>
            </w:r>
            <w:r w:rsidR="005750D5" w:rsidRPr="008B76E0">
              <w:rPr>
                <w:lang w:val="en-GB"/>
              </w:rPr>
              <w:t>ompressor c</w:t>
            </w:r>
            <w:r w:rsidRPr="008B76E0">
              <w:rPr>
                <w:lang w:val="en-GB"/>
              </w:rPr>
              <w:t>ontainers must be equipped with automatic ventilation and gas detection systems.</w:t>
            </w:r>
          </w:p>
        </w:tc>
      </w:tr>
      <w:tr w:rsidR="00395FAF" w:rsidRPr="008B76E0" w14:paraId="1919EBA6" w14:textId="77777777" w:rsidTr="00741B72">
        <w:trPr>
          <w:trHeight w:val="1234"/>
        </w:trPr>
        <w:tc>
          <w:tcPr>
            <w:tcW w:w="1985" w:type="dxa"/>
            <w:tcBorders>
              <w:top w:val="nil"/>
              <w:bottom w:val="nil"/>
            </w:tcBorders>
            <w:shd w:val="clear" w:color="auto" w:fill="FFFFFF"/>
          </w:tcPr>
          <w:p w14:paraId="7AA0CD9F" w14:textId="1310FFE7" w:rsidR="00AB35AA" w:rsidRPr="008B76E0" w:rsidRDefault="00935FB0" w:rsidP="00935FB0">
            <w:pPr>
              <w:pStyle w:val="CETBodytext"/>
              <w:rPr>
                <w:lang w:val="en-GB"/>
              </w:rPr>
            </w:pPr>
            <w:r w:rsidRPr="008B76E0">
              <w:rPr>
                <w:lang w:val="en-GB"/>
              </w:rPr>
              <w:t>Hydrogen leak from s</w:t>
            </w:r>
            <w:r w:rsidR="00AB35AA" w:rsidRPr="008B76E0">
              <w:rPr>
                <w:lang w:val="en-GB"/>
              </w:rPr>
              <w:t>afety valves</w:t>
            </w:r>
            <w:r w:rsidRPr="008B76E0">
              <w:rPr>
                <w:lang w:val="en-GB"/>
              </w:rPr>
              <w:t>.</w:t>
            </w:r>
          </w:p>
        </w:tc>
        <w:tc>
          <w:tcPr>
            <w:tcW w:w="3544" w:type="dxa"/>
            <w:tcBorders>
              <w:top w:val="nil"/>
              <w:bottom w:val="nil"/>
            </w:tcBorders>
            <w:shd w:val="clear" w:color="auto" w:fill="FFFFFF"/>
            <w:tcMar>
              <w:left w:w="170" w:type="dxa"/>
            </w:tcMar>
          </w:tcPr>
          <w:p w14:paraId="05FD4D32" w14:textId="07B47E60" w:rsidR="001172F9" w:rsidRPr="008B76E0" w:rsidRDefault="00935FB0" w:rsidP="00935FB0">
            <w:pPr>
              <w:pStyle w:val="CETBodytext"/>
              <w:ind w:right="142"/>
              <w:rPr>
                <w:lang w:val="en-GB"/>
              </w:rPr>
            </w:pPr>
            <w:r w:rsidRPr="008B76E0">
              <w:rPr>
                <w:lang w:val="en-GB"/>
              </w:rPr>
              <w:t>S</w:t>
            </w:r>
            <w:r w:rsidR="007F70DE" w:rsidRPr="008B76E0">
              <w:rPr>
                <w:lang w:val="en-GB"/>
              </w:rPr>
              <w:t>afety valves</w:t>
            </w:r>
            <w:r w:rsidR="00D05DFE" w:rsidRPr="008B76E0">
              <w:rPr>
                <w:lang w:val="en-GB"/>
              </w:rPr>
              <w:t xml:space="preserve"> </w:t>
            </w:r>
            <w:r w:rsidR="007F70DE" w:rsidRPr="008B76E0">
              <w:rPr>
                <w:lang w:val="en-GB"/>
              </w:rPr>
              <w:t>prevent uncontrolled pressure rise</w:t>
            </w:r>
            <w:r w:rsidR="00D05DFE" w:rsidRPr="008B76E0">
              <w:rPr>
                <w:lang w:val="en-GB"/>
              </w:rPr>
              <w:t xml:space="preserve"> </w:t>
            </w:r>
            <w:r w:rsidR="007F70DE" w:rsidRPr="008B76E0">
              <w:rPr>
                <w:lang w:val="en-GB"/>
              </w:rPr>
              <w:t>or control depressurization of piping systems</w:t>
            </w:r>
            <w:r w:rsidR="00D46C67" w:rsidRPr="008B76E0">
              <w:rPr>
                <w:lang w:val="en-GB"/>
              </w:rPr>
              <w:t xml:space="preserve"> during maintenance</w:t>
            </w:r>
            <w:r w:rsidR="007F70DE" w:rsidRPr="008B76E0">
              <w:rPr>
                <w:lang w:val="en-GB"/>
              </w:rPr>
              <w:t>.</w:t>
            </w:r>
            <w:r w:rsidR="00D46C67" w:rsidRPr="008B76E0">
              <w:rPr>
                <w:lang w:val="en-GB"/>
              </w:rPr>
              <w:t xml:space="preserve"> H</w:t>
            </w:r>
            <w:r w:rsidR="007F70DE" w:rsidRPr="008B76E0">
              <w:rPr>
                <w:lang w:val="en-GB"/>
              </w:rPr>
              <w:t xml:space="preserve">ydrogen </w:t>
            </w:r>
            <w:r w:rsidR="00D46C67" w:rsidRPr="008B76E0">
              <w:rPr>
                <w:lang w:val="en-GB"/>
              </w:rPr>
              <w:t>is</w:t>
            </w:r>
            <w:r w:rsidR="007F70DE" w:rsidRPr="008B76E0">
              <w:rPr>
                <w:lang w:val="en-GB"/>
              </w:rPr>
              <w:t xml:space="preserve"> released </w:t>
            </w:r>
            <w:r w:rsidR="00D05DFE" w:rsidRPr="008B76E0">
              <w:rPr>
                <w:lang w:val="en-GB"/>
              </w:rPr>
              <w:t>with</w:t>
            </w:r>
            <w:r w:rsidR="007F70DE" w:rsidRPr="008B76E0">
              <w:rPr>
                <w:lang w:val="en-GB"/>
              </w:rPr>
              <w:t xml:space="preserve"> high flow velocities</w:t>
            </w:r>
            <w:r w:rsidR="00D05DFE" w:rsidRPr="008B76E0">
              <w:rPr>
                <w:lang w:val="en-GB"/>
              </w:rPr>
              <w:t xml:space="preserve"> and risk of a</w:t>
            </w:r>
            <w:r w:rsidR="007F70DE" w:rsidRPr="008B76E0">
              <w:rPr>
                <w:lang w:val="en-GB"/>
              </w:rPr>
              <w:t xml:space="preserve"> several meters</w:t>
            </w:r>
            <w:r w:rsidR="00D05DFE" w:rsidRPr="008B76E0">
              <w:rPr>
                <w:lang w:val="en-GB"/>
              </w:rPr>
              <w:t xml:space="preserve"> long</w:t>
            </w:r>
            <w:r w:rsidR="00D46C67" w:rsidRPr="008B76E0">
              <w:rPr>
                <w:lang w:val="en-GB"/>
              </w:rPr>
              <w:t xml:space="preserve"> flammable cloud</w:t>
            </w:r>
            <w:r w:rsidR="007F70DE" w:rsidRPr="008B76E0">
              <w:rPr>
                <w:lang w:val="en-GB"/>
              </w:rPr>
              <w:t xml:space="preserve">. </w:t>
            </w:r>
          </w:p>
        </w:tc>
        <w:tc>
          <w:tcPr>
            <w:tcW w:w="3258" w:type="dxa"/>
            <w:tcBorders>
              <w:top w:val="nil"/>
              <w:bottom w:val="nil"/>
            </w:tcBorders>
            <w:shd w:val="clear" w:color="auto" w:fill="FFFFFF"/>
          </w:tcPr>
          <w:p w14:paraId="61872817" w14:textId="35FBBA17" w:rsidR="00AB35AA" w:rsidRPr="008B76E0" w:rsidRDefault="00D05DFE" w:rsidP="00935FB0">
            <w:pPr>
              <w:pStyle w:val="CETBodytext"/>
              <w:rPr>
                <w:lang w:val="en-GB"/>
              </w:rPr>
            </w:pPr>
            <w:r w:rsidRPr="008B76E0">
              <w:rPr>
                <w:lang w:val="en-GB"/>
              </w:rPr>
              <w:t xml:space="preserve">An exhaust chimney is usually designed to allow controlled combustion of the mixture or it is </w:t>
            </w:r>
            <w:proofErr w:type="spellStart"/>
            <w:r w:rsidRPr="008B76E0">
              <w:rPr>
                <w:lang w:val="en-GB"/>
              </w:rPr>
              <w:t>inertized</w:t>
            </w:r>
            <w:proofErr w:type="spellEnd"/>
            <w:r w:rsidRPr="008B76E0">
              <w:rPr>
                <w:lang w:val="en-GB"/>
              </w:rPr>
              <w:t xml:space="preserve"> </w:t>
            </w:r>
            <w:r w:rsidR="00D46C67" w:rsidRPr="008B76E0">
              <w:rPr>
                <w:lang w:val="en-GB"/>
              </w:rPr>
              <w:t>to</w:t>
            </w:r>
            <w:r w:rsidRPr="008B76E0">
              <w:rPr>
                <w:lang w:val="en-GB"/>
              </w:rPr>
              <w:t xml:space="preserve"> prevent combustion.</w:t>
            </w:r>
          </w:p>
        </w:tc>
      </w:tr>
      <w:tr w:rsidR="00395FAF" w:rsidRPr="008B76E0" w14:paraId="2318E3C7" w14:textId="77777777" w:rsidTr="00C3519E">
        <w:trPr>
          <w:trHeight w:val="417"/>
        </w:trPr>
        <w:tc>
          <w:tcPr>
            <w:tcW w:w="1985" w:type="dxa"/>
            <w:tcBorders>
              <w:top w:val="nil"/>
              <w:bottom w:val="nil"/>
            </w:tcBorders>
            <w:shd w:val="clear" w:color="auto" w:fill="FFFFFF"/>
          </w:tcPr>
          <w:p w14:paraId="5921F7AD" w14:textId="70B6C5F7" w:rsidR="001172F9" w:rsidRPr="008B76E0" w:rsidRDefault="001172F9" w:rsidP="00935FB0">
            <w:pPr>
              <w:pStyle w:val="CETBodytext"/>
              <w:rPr>
                <w:lang w:val="en-GB"/>
              </w:rPr>
            </w:pPr>
            <w:r w:rsidRPr="008B76E0">
              <w:rPr>
                <w:lang w:val="en-GB"/>
              </w:rPr>
              <w:t>Leak</w:t>
            </w:r>
            <w:r w:rsidR="00225DA2" w:rsidRPr="008B76E0">
              <w:rPr>
                <w:lang w:val="en-GB"/>
              </w:rPr>
              <w:t xml:space="preserve"> from </w:t>
            </w:r>
            <w:r w:rsidRPr="008B76E0">
              <w:rPr>
                <w:lang w:val="en-GB"/>
              </w:rPr>
              <w:t>liquid hydrogen tanks</w:t>
            </w:r>
            <w:r w:rsidR="00D91D33" w:rsidRPr="008B76E0">
              <w:rPr>
                <w:lang w:val="en-GB"/>
              </w:rPr>
              <w:t>.</w:t>
            </w:r>
          </w:p>
        </w:tc>
        <w:tc>
          <w:tcPr>
            <w:tcW w:w="3544" w:type="dxa"/>
            <w:tcBorders>
              <w:top w:val="nil"/>
              <w:bottom w:val="nil"/>
            </w:tcBorders>
            <w:shd w:val="clear" w:color="auto" w:fill="FFFFFF"/>
            <w:tcMar>
              <w:left w:w="170" w:type="dxa"/>
            </w:tcMar>
          </w:tcPr>
          <w:p w14:paraId="07279672" w14:textId="2A3871CD" w:rsidR="002930B2" w:rsidRPr="008B76E0" w:rsidRDefault="00B954E2" w:rsidP="00935FB0">
            <w:pPr>
              <w:pStyle w:val="CETBodytext"/>
              <w:ind w:right="142"/>
            </w:pPr>
            <w:r w:rsidRPr="008B76E0">
              <w:t>As in all cryogenic tanks, a venting valve is present, as heating causes part of the liquid to evaporate (boil-off), increas</w:t>
            </w:r>
            <w:r w:rsidR="00225DA2" w:rsidRPr="008B76E0">
              <w:t>e</w:t>
            </w:r>
            <w:r w:rsidRPr="008B76E0">
              <w:t xml:space="preserve"> pressure and pos</w:t>
            </w:r>
            <w:r w:rsidR="00225DA2" w:rsidRPr="008B76E0">
              <w:t>e</w:t>
            </w:r>
            <w:r w:rsidRPr="008B76E0">
              <w:t xml:space="preserve"> a danger of explosion (e.g. </w:t>
            </w:r>
            <w:r w:rsidR="00D46C67" w:rsidRPr="008B76E0">
              <w:t>for</w:t>
            </w:r>
            <w:r w:rsidRPr="008B76E0">
              <w:t xml:space="preserve"> static electricity)</w:t>
            </w:r>
            <w:r w:rsidR="001172F9" w:rsidRPr="008B76E0">
              <w:t xml:space="preserve">. </w:t>
            </w:r>
            <w:r w:rsidR="00484C6D" w:rsidRPr="008B76E0">
              <w:t>The fuel is lost to the atmosphere</w:t>
            </w:r>
            <w:r w:rsidR="00225DA2" w:rsidRPr="008B76E0">
              <w:t xml:space="preserve"> and </w:t>
            </w:r>
            <w:r w:rsidR="00484C6D" w:rsidRPr="008B76E0">
              <w:t>energy</w:t>
            </w:r>
            <w:r w:rsidR="00225DA2" w:rsidRPr="008B76E0">
              <w:t xml:space="preserve"> is wasted</w:t>
            </w:r>
            <w:r w:rsidR="00484C6D" w:rsidRPr="008B76E0">
              <w:t>.</w:t>
            </w:r>
          </w:p>
        </w:tc>
        <w:tc>
          <w:tcPr>
            <w:tcW w:w="3258" w:type="dxa"/>
            <w:tcBorders>
              <w:top w:val="nil"/>
              <w:bottom w:val="nil"/>
            </w:tcBorders>
            <w:shd w:val="clear" w:color="auto" w:fill="FFFFFF"/>
          </w:tcPr>
          <w:p w14:paraId="14C34ACA" w14:textId="2ED58580" w:rsidR="001172F9" w:rsidRPr="008B76E0" w:rsidRDefault="00B954E2" w:rsidP="00935FB0">
            <w:pPr>
              <w:pStyle w:val="CETBodytext"/>
              <w:rPr>
                <w:lang w:val="en-GB"/>
              </w:rPr>
            </w:pPr>
            <w:r w:rsidRPr="008B76E0">
              <w:rPr>
                <w:lang w:val="en-GB"/>
              </w:rPr>
              <w:t>Manage and monitor pressure levels and properly size venting valves</w:t>
            </w:r>
            <w:r w:rsidR="00D91D33" w:rsidRPr="008B76E0">
              <w:rPr>
                <w:lang w:val="en-GB"/>
              </w:rPr>
              <w:t>.</w:t>
            </w:r>
          </w:p>
        </w:tc>
      </w:tr>
      <w:tr w:rsidR="00EE7548" w:rsidRPr="008B76E0" w14:paraId="58D372C1" w14:textId="77777777" w:rsidTr="00C3519E">
        <w:trPr>
          <w:trHeight w:val="1103"/>
        </w:trPr>
        <w:tc>
          <w:tcPr>
            <w:tcW w:w="1985" w:type="dxa"/>
            <w:tcBorders>
              <w:top w:val="nil"/>
              <w:bottom w:val="nil"/>
            </w:tcBorders>
            <w:shd w:val="clear" w:color="auto" w:fill="FFFFFF"/>
          </w:tcPr>
          <w:p w14:paraId="5B234CA8" w14:textId="0F1C3572" w:rsidR="00EE7548" w:rsidRPr="008B76E0" w:rsidRDefault="00EE7548" w:rsidP="00EE7548">
            <w:pPr>
              <w:pStyle w:val="CETBodytext"/>
              <w:rPr>
                <w:lang w:val="en-GB"/>
              </w:rPr>
            </w:pPr>
            <w:r w:rsidRPr="008B76E0">
              <w:rPr>
                <w:lang w:val="en-GB"/>
              </w:rPr>
              <w:lastRenderedPageBreak/>
              <w:t>Overpressure in high-pressure storage.</w:t>
            </w:r>
          </w:p>
        </w:tc>
        <w:tc>
          <w:tcPr>
            <w:tcW w:w="3544" w:type="dxa"/>
            <w:tcBorders>
              <w:top w:val="nil"/>
              <w:bottom w:val="nil"/>
            </w:tcBorders>
            <w:shd w:val="clear" w:color="auto" w:fill="FFFFFF"/>
            <w:tcMar>
              <w:left w:w="170" w:type="dxa"/>
            </w:tcMar>
          </w:tcPr>
          <w:p w14:paraId="7440C2A3" w14:textId="483B185A" w:rsidR="00EE7548" w:rsidRPr="008B76E0" w:rsidRDefault="00EE7548" w:rsidP="00EE7548">
            <w:pPr>
              <w:pStyle w:val="CETBodytext"/>
              <w:ind w:right="142"/>
            </w:pPr>
            <w:r w:rsidRPr="008B76E0">
              <w:rPr>
                <w:lang w:val="en-GB"/>
              </w:rPr>
              <w:t>Risk of explosion.</w:t>
            </w:r>
          </w:p>
        </w:tc>
        <w:tc>
          <w:tcPr>
            <w:tcW w:w="3258" w:type="dxa"/>
            <w:tcBorders>
              <w:top w:val="nil"/>
              <w:bottom w:val="nil"/>
            </w:tcBorders>
            <w:shd w:val="clear" w:color="auto" w:fill="FFFFFF"/>
          </w:tcPr>
          <w:p w14:paraId="7377DFD9" w14:textId="539F10C9" w:rsidR="00EE7548" w:rsidRPr="008B76E0" w:rsidRDefault="00EE7548" w:rsidP="001C69AA">
            <w:pPr>
              <w:pStyle w:val="CETBodytext"/>
              <w:rPr>
                <w:lang w:val="en-GB"/>
              </w:rPr>
            </w:pPr>
            <w:r w:rsidRPr="008B76E0">
              <w:rPr>
                <w:lang w:val="en-GB"/>
              </w:rPr>
              <w:t>Separate monitoring for each high-pressure gas storage section.</w:t>
            </w:r>
            <w:r w:rsidR="001C69AA" w:rsidRPr="008B76E0">
              <w:rPr>
                <w:lang w:val="en-GB"/>
              </w:rPr>
              <w:t xml:space="preserve"> Gas management panel able to automatically activate protocols to stop the hydrogen flow if a leak-detection alert occurs.</w:t>
            </w:r>
          </w:p>
        </w:tc>
      </w:tr>
      <w:tr w:rsidR="00EE7548" w:rsidRPr="008B76E0" w14:paraId="6CB1FC03" w14:textId="77777777" w:rsidTr="00C3519E">
        <w:trPr>
          <w:trHeight w:val="2933"/>
        </w:trPr>
        <w:tc>
          <w:tcPr>
            <w:tcW w:w="1985" w:type="dxa"/>
            <w:tcBorders>
              <w:top w:val="nil"/>
              <w:bottom w:val="nil"/>
            </w:tcBorders>
            <w:shd w:val="clear" w:color="auto" w:fill="FFFFFF"/>
          </w:tcPr>
          <w:p w14:paraId="12720B5C" w14:textId="5A29EDC9" w:rsidR="00EE7548" w:rsidRPr="008B76E0" w:rsidRDefault="00EE7548" w:rsidP="00EE7548">
            <w:pPr>
              <w:pStyle w:val="CETBodytext"/>
              <w:rPr>
                <w:lang w:val="en-GB"/>
              </w:rPr>
            </w:pPr>
            <w:r w:rsidRPr="008B76E0">
              <w:rPr>
                <w:lang w:val="en-GB"/>
              </w:rPr>
              <w:t>Leak from dispenser and nozzle.</w:t>
            </w:r>
          </w:p>
        </w:tc>
        <w:tc>
          <w:tcPr>
            <w:tcW w:w="3544" w:type="dxa"/>
            <w:tcBorders>
              <w:top w:val="nil"/>
              <w:bottom w:val="nil"/>
            </w:tcBorders>
            <w:shd w:val="clear" w:color="auto" w:fill="FFFFFF"/>
            <w:tcMar>
              <w:left w:w="170" w:type="dxa"/>
            </w:tcMar>
          </w:tcPr>
          <w:p w14:paraId="3C2A89E9" w14:textId="18896BDB" w:rsidR="00EE7548" w:rsidRPr="008B76E0" w:rsidRDefault="00EE7548" w:rsidP="00EE7548">
            <w:pPr>
              <w:pStyle w:val="CETBodytext"/>
              <w:ind w:right="142"/>
              <w:rPr>
                <w:lang w:val="en-GB"/>
              </w:rPr>
            </w:pPr>
            <w:r w:rsidRPr="008B76E0">
              <w:rPr>
                <w:lang w:val="en-GB"/>
              </w:rPr>
              <w:t xml:space="preserve">Hydrogen leakage can pose a significant risk during vehicle filling. Moreover, the dispenser produces thermal radiation to adjacent units </w:t>
            </w:r>
            <w:r w:rsidR="00287D04" w:rsidRPr="008B76E0">
              <w:rPr>
                <w:lang w:val="en-GB"/>
              </w:rPr>
              <w:t xml:space="preserve">and </w:t>
            </w:r>
            <w:r w:rsidRPr="008B76E0">
              <w:rPr>
                <w:lang w:val="en-GB"/>
              </w:rPr>
              <w:t>the contained hydrogen can help sustain the fire.</w:t>
            </w:r>
          </w:p>
        </w:tc>
        <w:tc>
          <w:tcPr>
            <w:tcW w:w="3258" w:type="dxa"/>
            <w:tcBorders>
              <w:top w:val="nil"/>
              <w:bottom w:val="nil"/>
            </w:tcBorders>
            <w:shd w:val="clear" w:color="auto" w:fill="FFFFFF"/>
          </w:tcPr>
          <w:p w14:paraId="4617B81D" w14:textId="44F6772E" w:rsidR="00EE7548" w:rsidRPr="008B76E0" w:rsidRDefault="00EE7548" w:rsidP="00EE7548">
            <w:pPr>
              <w:pStyle w:val="CETBodytext"/>
              <w:rPr>
                <w:lang w:val="en-GB"/>
              </w:rPr>
            </w:pPr>
            <w:r w:rsidRPr="008B76E0">
              <w:rPr>
                <w:lang w:val="en-GB"/>
              </w:rPr>
              <w:t>Use of certified components (e.g. for environments with flammable gases or dust), regular inspections, detection of sudden pressure drop due to leakage with automatic shutdown of the hydrogen source, optimized design of the dispenser.</w:t>
            </w:r>
            <w:r w:rsidR="00741B72" w:rsidRPr="008B76E0">
              <w:rPr>
                <w:lang w:val="en-GB"/>
              </w:rPr>
              <w:t xml:space="preserve"> Effective temperature control.</w:t>
            </w:r>
          </w:p>
          <w:p w14:paraId="46F9800B" w14:textId="06BB7174" w:rsidR="001E21D7" w:rsidRPr="008B76E0" w:rsidRDefault="00EE7548" w:rsidP="001E21D7">
            <w:pPr>
              <w:pStyle w:val="CETBodytext"/>
              <w:rPr>
                <w:lang w:val="en-GB"/>
              </w:rPr>
            </w:pPr>
            <w:r w:rsidRPr="008B76E0">
              <w:rPr>
                <w:lang w:val="en-GB"/>
              </w:rPr>
              <w:t>Starting of the filling procedure with a leak test of the circuit from the high-pressure storage system to the vehicle, to verify the absence of gas leaks and to measure the initial pressure of the vehicle tank to find the corresponding pressure ramp.</w:t>
            </w:r>
          </w:p>
        </w:tc>
      </w:tr>
      <w:tr w:rsidR="00EE7548" w:rsidRPr="008B76E0" w14:paraId="0C66C576" w14:textId="77777777" w:rsidTr="00C3519E">
        <w:trPr>
          <w:trHeight w:val="1402"/>
        </w:trPr>
        <w:tc>
          <w:tcPr>
            <w:tcW w:w="1985" w:type="dxa"/>
            <w:tcBorders>
              <w:top w:val="nil"/>
              <w:bottom w:val="nil"/>
            </w:tcBorders>
            <w:shd w:val="clear" w:color="auto" w:fill="FFFFFF"/>
          </w:tcPr>
          <w:p w14:paraId="6E897D1F" w14:textId="15942E09" w:rsidR="00EE7548" w:rsidRPr="008B76E0" w:rsidRDefault="00EE7548" w:rsidP="00EE7548">
            <w:pPr>
              <w:pStyle w:val="CETBodytext"/>
              <w:rPr>
                <w:lang w:val="en-GB"/>
              </w:rPr>
            </w:pPr>
            <w:proofErr w:type="spellStart"/>
            <w:r w:rsidRPr="008B76E0">
              <w:rPr>
                <w:lang w:val="en-GB"/>
              </w:rPr>
              <w:t>Refueling</w:t>
            </w:r>
            <w:proofErr w:type="spellEnd"/>
            <w:r w:rsidRPr="008B76E0">
              <w:rPr>
                <w:lang w:val="en-GB"/>
              </w:rPr>
              <w:t xml:space="preserve"> parameters.</w:t>
            </w:r>
          </w:p>
        </w:tc>
        <w:tc>
          <w:tcPr>
            <w:tcW w:w="3544" w:type="dxa"/>
            <w:tcBorders>
              <w:top w:val="nil"/>
              <w:bottom w:val="nil"/>
            </w:tcBorders>
            <w:shd w:val="clear" w:color="auto" w:fill="FFFFFF"/>
            <w:tcMar>
              <w:left w:w="170" w:type="dxa"/>
            </w:tcMar>
          </w:tcPr>
          <w:p w14:paraId="2B91F584" w14:textId="37303FE0" w:rsidR="00EE7548" w:rsidRPr="008B76E0" w:rsidRDefault="00EE7548" w:rsidP="00EE7548">
            <w:pPr>
              <w:pStyle w:val="CETBodytext"/>
              <w:ind w:right="142"/>
              <w:rPr>
                <w:lang w:val="en-GB"/>
              </w:rPr>
            </w:pPr>
            <w:proofErr w:type="spellStart"/>
            <w:r w:rsidRPr="008B76E0">
              <w:rPr>
                <w:lang w:val="en-GB"/>
              </w:rPr>
              <w:t>Refueling</w:t>
            </w:r>
            <w:proofErr w:type="spellEnd"/>
            <w:r w:rsidRPr="008B76E0">
              <w:rPr>
                <w:lang w:val="en-GB"/>
              </w:rPr>
              <w:t xml:space="preserve"> performances should </w:t>
            </w:r>
            <w:r w:rsidR="00997ECE" w:rsidRPr="008B76E0">
              <w:rPr>
                <w:lang w:val="en-GB"/>
              </w:rPr>
              <w:t>aim at both</w:t>
            </w:r>
            <w:r w:rsidRPr="008B76E0">
              <w:rPr>
                <w:lang w:val="en-GB"/>
              </w:rPr>
              <w:t xml:space="preserve"> speed and safety, since too fast </w:t>
            </w:r>
            <w:proofErr w:type="spellStart"/>
            <w:r w:rsidRPr="008B76E0">
              <w:rPr>
                <w:lang w:val="en-GB"/>
              </w:rPr>
              <w:t>fueling</w:t>
            </w:r>
            <w:proofErr w:type="spellEnd"/>
            <w:r w:rsidRPr="008B76E0">
              <w:rPr>
                <w:lang w:val="en-GB"/>
              </w:rPr>
              <w:t xml:space="preserve"> may cause gas heating and consequent hazards. Hydrogen heats up instead of cooling when it expands (reverse Joule Thompson effect). </w:t>
            </w:r>
          </w:p>
        </w:tc>
        <w:tc>
          <w:tcPr>
            <w:tcW w:w="3258" w:type="dxa"/>
            <w:tcBorders>
              <w:top w:val="nil"/>
              <w:bottom w:val="nil"/>
            </w:tcBorders>
            <w:shd w:val="clear" w:color="auto" w:fill="FFFFFF"/>
          </w:tcPr>
          <w:p w14:paraId="1984881F" w14:textId="2CC75600" w:rsidR="00EE7548" w:rsidRPr="008B76E0" w:rsidRDefault="00EE7548" w:rsidP="00EE7548">
            <w:pPr>
              <w:pStyle w:val="CETBodytext"/>
              <w:rPr>
                <w:lang w:val="en-GB"/>
              </w:rPr>
            </w:pPr>
            <w:r w:rsidRPr="008B76E0">
              <w:rPr>
                <w:lang w:val="en-GB"/>
              </w:rPr>
              <w:t>Respect of SAE J2601 standard (e.g.  maximum instantaneous flow rate limit) and pre-cooling to -40°C. Accurate hydrogen flow measurement.</w:t>
            </w:r>
            <w:r w:rsidR="001E21D7" w:rsidRPr="008B76E0">
              <w:rPr>
                <w:lang w:val="en-GB"/>
              </w:rPr>
              <w:t xml:space="preserve"> Regular calibration of sensors and measuring instruments</w:t>
            </w:r>
            <w:r w:rsidR="00DE096A" w:rsidRPr="008B76E0">
              <w:rPr>
                <w:lang w:val="en-GB"/>
              </w:rPr>
              <w:t>. C</w:t>
            </w:r>
            <w:r w:rsidR="001E21D7" w:rsidRPr="008B76E0">
              <w:rPr>
                <w:lang w:val="en-GB"/>
              </w:rPr>
              <w:t>leaning.</w:t>
            </w:r>
          </w:p>
        </w:tc>
      </w:tr>
      <w:tr w:rsidR="00EE7548" w:rsidRPr="008B76E0" w14:paraId="772AC5C2" w14:textId="77777777" w:rsidTr="00C3519E">
        <w:trPr>
          <w:trHeight w:val="429"/>
        </w:trPr>
        <w:tc>
          <w:tcPr>
            <w:tcW w:w="1985" w:type="dxa"/>
            <w:tcBorders>
              <w:top w:val="nil"/>
              <w:bottom w:val="nil"/>
            </w:tcBorders>
            <w:shd w:val="clear" w:color="auto" w:fill="FFFFFF"/>
          </w:tcPr>
          <w:p w14:paraId="45470A1E" w14:textId="357A7131" w:rsidR="00EE7548" w:rsidRPr="008B76E0" w:rsidRDefault="00EE7548" w:rsidP="00EE7548">
            <w:pPr>
              <w:pStyle w:val="CETBodytext"/>
              <w:rPr>
                <w:lang w:val="en-GB"/>
              </w:rPr>
            </w:pPr>
            <w:r w:rsidRPr="008B76E0">
              <w:rPr>
                <w:lang w:val="en-GB"/>
              </w:rPr>
              <w:t xml:space="preserve">Connection system for </w:t>
            </w:r>
            <w:r w:rsidR="002A3480" w:rsidRPr="008B76E0">
              <w:rPr>
                <w:lang w:val="en-GB"/>
              </w:rPr>
              <w:t>tankers.</w:t>
            </w:r>
          </w:p>
        </w:tc>
        <w:tc>
          <w:tcPr>
            <w:tcW w:w="3544" w:type="dxa"/>
            <w:tcBorders>
              <w:top w:val="nil"/>
              <w:bottom w:val="nil"/>
            </w:tcBorders>
            <w:shd w:val="clear" w:color="auto" w:fill="FFFFFF"/>
            <w:tcMar>
              <w:left w:w="170" w:type="dxa"/>
            </w:tcMar>
          </w:tcPr>
          <w:p w14:paraId="515BEEC0" w14:textId="3807A6EB" w:rsidR="00EE7548" w:rsidRPr="008B76E0" w:rsidRDefault="00E4351C" w:rsidP="00EE7548">
            <w:pPr>
              <w:pStyle w:val="CETBodytext"/>
              <w:ind w:right="142"/>
              <w:rPr>
                <w:lang w:val="en-GB"/>
              </w:rPr>
            </w:pPr>
            <w:r w:rsidRPr="008B76E0">
              <w:rPr>
                <w:lang w:val="en-GB"/>
              </w:rPr>
              <w:t xml:space="preserve">Risk of </w:t>
            </w:r>
            <w:r w:rsidR="0001448B" w:rsidRPr="008B76E0">
              <w:rPr>
                <w:lang w:val="en-GB"/>
              </w:rPr>
              <w:t>explosion (related to leaks)</w:t>
            </w:r>
            <w:r w:rsidRPr="008B76E0">
              <w:rPr>
                <w:lang w:val="en-GB"/>
              </w:rPr>
              <w:t>.</w:t>
            </w:r>
          </w:p>
        </w:tc>
        <w:tc>
          <w:tcPr>
            <w:tcW w:w="3258" w:type="dxa"/>
            <w:tcBorders>
              <w:top w:val="nil"/>
              <w:bottom w:val="nil"/>
            </w:tcBorders>
            <w:shd w:val="clear" w:color="auto" w:fill="FFFFFF"/>
          </w:tcPr>
          <w:p w14:paraId="4EE30B06" w14:textId="1FDA242B" w:rsidR="00EE7548" w:rsidRPr="008B76E0" w:rsidRDefault="000D514A" w:rsidP="00EE7548">
            <w:pPr>
              <w:pStyle w:val="CETBodytext"/>
              <w:rPr>
                <w:lang w:val="en-GB"/>
              </w:rPr>
            </w:pPr>
            <w:r w:rsidRPr="008B76E0">
              <w:rPr>
                <w:lang w:val="en-GB"/>
              </w:rPr>
              <w:t>S</w:t>
            </w:r>
            <w:r w:rsidR="00EE7548" w:rsidRPr="008B76E0">
              <w:rPr>
                <w:lang w:val="en-GB"/>
              </w:rPr>
              <w:t xml:space="preserve">top device to interrupt hydrogen </w:t>
            </w:r>
            <w:r w:rsidRPr="008B76E0">
              <w:rPr>
                <w:lang w:val="en-GB"/>
              </w:rPr>
              <w:t xml:space="preserve">flow </w:t>
            </w:r>
            <w:r w:rsidR="00EE7548" w:rsidRPr="008B76E0">
              <w:rPr>
                <w:lang w:val="en-GB"/>
              </w:rPr>
              <w:t xml:space="preserve">in </w:t>
            </w:r>
            <w:r w:rsidRPr="008B76E0">
              <w:rPr>
                <w:lang w:val="en-GB"/>
              </w:rPr>
              <w:t>case</w:t>
            </w:r>
            <w:r w:rsidR="00EE7548" w:rsidRPr="008B76E0">
              <w:rPr>
                <w:lang w:val="en-GB"/>
              </w:rPr>
              <w:t xml:space="preserve"> of emergency system</w:t>
            </w:r>
            <w:r w:rsidRPr="008B76E0">
              <w:rPr>
                <w:lang w:val="en-GB"/>
              </w:rPr>
              <w:t xml:space="preserve"> activation</w:t>
            </w:r>
            <w:r w:rsidR="00EE7548" w:rsidRPr="008B76E0">
              <w:rPr>
                <w:lang w:val="en-GB"/>
              </w:rPr>
              <w:t>.</w:t>
            </w:r>
          </w:p>
        </w:tc>
      </w:tr>
      <w:tr w:rsidR="00EE7548" w:rsidRPr="008B76E0" w14:paraId="44901774" w14:textId="77777777" w:rsidTr="00381FB8">
        <w:trPr>
          <w:trHeight w:val="840"/>
        </w:trPr>
        <w:tc>
          <w:tcPr>
            <w:tcW w:w="1985" w:type="dxa"/>
            <w:tcBorders>
              <w:top w:val="nil"/>
              <w:bottom w:val="nil"/>
            </w:tcBorders>
            <w:shd w:val="clear" w:color="auto" w:fill="FFFFFF"/>
          </w:tcPr>
          <w:p w14:paraId="61F45F5F" w14:textId="1021AEB0" w:rsidR="00EE7548" w:rsidRPr="008B76E0" w:rsidRDefault="00EE7548" w:rsidP="00EE7548">
            <w:pPr>
              <w:pStyle w:val="CETBodytext"/>
              <w:rPr>
                <w:lang w:val="en-GB"/>
              </w:rPr>
            </w:pPr>
            <w:r w:rsidRPr="008B76E0">
              <w:rPr>
                <w:lang w:val="en-GB"/>
              </w:rPr>
              <w:t>Human error during inspections and maintenance on high-pressure storage.</w:t>
            </w:r>
          </w:p>
        </w:tc>
        <w:tc>
          <w:tcPr>
            <w:tcW w:w="3544" w:type="dxa"/>
            <w:tcBorders>
              <w:top w:val="nil"/>
              <w:bottom w:val="nil"/>
            </w:tcBorders>
            <w:shd w:val="clear" w:color="auto" w:fill="FFFFFF"/>
            <w:tcMar>
              <w:left w:w="170" w:type="dxa"/>
            </w:tcMar>
          </w:tcPr>
          <w:p w14:paraId="76FBB9B7" w14:textId="6F3323AA" w:rsidR="00EE7548" w:rsidRPr="008B76E0" w:rsidRDefault="00EE7548" w:rsidP="00EE7548">
            <w:pPr>
              <w:pStyle w:val="CETBodytext"/>
              <w:ind w:right="142"/>
              <w:rPr>
                <w:lang w:val="en-GB"/>
              </w:rPr>
            </w:pPr>
            <w:r w:rsidRPr="008B76E0">
              <w:rPr>
                <w:lang w:val="en-GB"/>
              </w:rPr>
              <w:t xml:space="preserve">Inspections and maintenance (e.g. isolating the storage from the supply line) guarantee safety of plants but they can be affected by human error. </w:t>
            </w:r>
          </w:p>
        </w:tc>
        <w:tc>
          <w:tcPr>
            <w:tcW w:w="3258" w:type="dxa"/>
            <w:tcBorders>
              <w:top w:val="nil"/>
              <w:bottom w:val="nil"/>
            </w:tcBorders>
            <w:shd w:val="clear" w:color="auto" w:fill="FFFFFF"/>
          </w:tcPr>
          <w:p w14:paraId="3210AB80" w14:textId="32569D64" w:rsidR="00EE7548" w:rsidRPr="008B76E0" w:rsidRDefault="00EE7548" w:rsidP="00EE7548">
            <w:pPr>
              <w:pStyle w:val="CETBodytext"/>
              <w:rPr>
                <w:lang w:val="en-GB"/>
              </w:rPr>
            </w:pPr>
            <w:r w:rsidRPr="008B76E0">
              <w:rPr>
                <w:lang w:val="en-GB"/>
              </w:rPr>
              <w:t>Proper training of the operators.</w:t>
            </w:r>
          </w:p>
        </w:tc>
      </w:tr>
      <w:tr w:rsidR="00EE7548" w:rsidRPr="008B76E0" w14:paraId="30A1DA92" w14:textId="77777777" w:rsidTr="00C3519E">
        <w:trPr>
          <w:trHeight w:val="705"/>
        </w:trPr>
        <w:tc>
          <w:tcPr>
            <w:tcW w:w="1985" w:type="dxa"/>
            <w:tcBorders>
              <w:top w:val="nil"/>
              <w:bottom w:val="nil"/>
            </w:tcBorders>
            <w:shd w:val="clear" w:color="auto" w:fill="FFFFFF"/>
          </w:tcPr>
          <w:p w14:paraId="2F337CE9" w14:textId="07B17D9D" w:rsidR="00EE7548" w:rsidRPr="008B76E0" w:rsidRDefault="00EE7548" w:rsidP="00EE7548">
            <w:pPr>
              <w:pStyle w:val="CETBodytext"/>
              <w:rPr>
                <w:lang w:val="en-GB"/>
              </w:rPr>
            </w:pPr>
            <w:r w:rsidRPr="008B76E0">
              <w:rPr>
                <w:lang w:val="en-GB"/>
              </w:rPr>
              <w:t>Recovery process after experiencing shocks.</w:t>
            </w:r>
          </w:p>
        </w:tc>
        <w:tc>
          <w:tcPr>
            <w:tcW w:w="3544" w:type="dxa"/>
            <w:tcBorders>
              <w:top w:val="nil"/>
              <w:bottom w:val="nil"/>
            </w:tcBorders>
            <w:shd w:val="clear" w:color="auto" w:fill="FFFFFF"/>
            <w:tcMar>
              <w:left w:w="170" w:type="dxa"/>
            </w:tcMar>
          </w:tcPr>
          <w:p w14:paraId="654BC28C" w14:textId="1FA1861D" w:rsidR="00EE7548" w:rsidRPr="008B76E0" w:rsidRDefault="00EE7548" w:rsidP="00EE7548">
            <w:pPr>
              <w:pStyle w:val="CETBodytext"/>
              <w:ind w:right="142"/>
              <w:rPr>
                <w:lang w:val="en-GB"/>
              </w:rPr>
            </w:pPr>
            <w:r w:rsidRPr="008B76E0">
              <w:rPr>
                <w:lang w:val="en-GB"/>
              </w:rPr>
              <w:t>After an unexpected problem, spare parts management and timely supply has a central role in system recovery.</w:t>
            </w:r>
          </w:p>
        </w:tc>
        <w:tc>
          <w:tcPr>
            <w:tcW w:w="3258" w:type="dxa"/>
            <w:tcBorders>
              <w:top w:val="nil"/>
              <w:bottom w:val="nil"/>
            </w:tcBorders>
            <w:shd w:val="clear" w:color="auto" w:fill="FFFFFF"/>
          </w:tcPr>
          <w:p w14:paraId="26734EC6" w14:textId="2B86CE91" w:rsidR="00EE7548" w:rsidRPr="008B76E0" w:rsidRDefault="00EE7548" w:rsidP="00EE7548">
            <w:pPr>
              <w:pStyle w:val="CETBodytext"/>
              <w:rPr>
                <w:lang w:val="en-GB"/>
              </w:rPr>
            </w:pPr>
            <w:r w:rsidRPr="008B76E0">
              <w:rPr>
                <w:lang w:val="en-GB"/>
              </w:rPr>
              <w:t>Strengthening of daily management and training, regular replacing of worn and aged parts.</w:t>
            </w:r>
          </w:p>
        </w:tc>
      </w:tr>
      <w:tr w:rsidR="00EE7548" w:rsidRPr="008B76E0" w14:paraId="01C9A30E" w14:textId="77777777" w:rsidTr="00381FB8">
        <w:trPr>
          <w:trHeight w:val="1743"/>
        </w:trPr>
        <w:tc>
          <w:tcPr>
            <w:tcW w:w="1985" w:type="dxa"/>
            <w:tcBorders>
              <w:top w:val="nil"/>
              <w:bottom w:val="nil"/>
            </w:tcBorders>
            <w:shd w:val="clear" w:color="auto" w:fill="FFFFFF"/>
          </w:tcPr>
          <w:p w14:paraId="679CA526" w14:textId="350CA54C" w:rsidR="00EE7548" w:rsidRPr="008B76E0" w:rsidRDefault="00EE7548" w:rsidP="00EE7548">
            <w:pPr>
              <w:pStyle w:val="CETBodytext"/>
              <w:rPr>
                <w:lang w:val="en-GB"/>
              </w:rPr>
            </w:pPr>
            <w:r w:rsidRPr="008B76E0">
              <w:rPr>
                <w:lang w:val="en-GB"/>
              </w:rPr>
              <w:t>Failure of hydrogen detection and alarm devices.</w:t>
            </w:r>
          </w:p>
        </w:tc>
        <w:tc>
          <w:tcPr>
            <w:tcW w:w="3544" w:type="dxa"/>
            <w:tcBorders>
              <w:top w:val="nil"/>
              <w:bottom w:val="nil"/>
            </w:tcBorders>
            <w:shd w:val="clear" w:color="auto" w:fill="FFFFFF"/>
            <w:tcMar>
              <w:left w:w="170" w:type="dxa"/>
            </w:tcMar>
          </w:tcPr>
          <w:p w14:paraId="7F788110" w14:textId="2C279CC9" w:rsidR="00EE7548" w:rsidRPr="008B76E0" w:rsidRDefault="00EE7548" w:rsidP="00EE7548">
            <w:pPr>
              <w:pStyle w:val="CETBodytext"/>
              <w:ind w:right="142"/>
              <w:rPr>
                <w:lang w:val="en-GB"/>
              </w:rPr>
            </w:pPr>
            <w:r w:rsidRPr="008B76E0">
              <w:rPr>
                <w:lang w:val="en-GB"/>
              </w:rPr>
              <w:t>Even intelligent systems, eventually with integrated artificial intelligence, for real-time monitoring and rapid location of hydrogen leakage, can have a failure. Or they can have a sub-optimal intervention capacity.</w:t>
            </w:r>
          </w:p>
        </w:tc>
        <w:tc>
          <w:tcPr>
            <w:tcW w:w="3258" w:type="dxa"/>
            <w:tcBorders>
              <w:top w:val="nil"/>
              <w:bottom w:val="nil"/>
            </w:tcBorders>
            <w:shd w:val="clear" w:color="auto" w:fill="FFFFFF"/>
          </w:tcPr>
          <w:p w14:paraId="4CFC2FFC" w14:textId="3CE82B7B" w:rsidR="00EE7548" w:rsidRPr="008B76E0" w:rsidRDefault="00EE7548" w:rsidP="00EE7548">
            <w:pPr>
              <w:pStyle w:val="CETBodytext"/>
              <w:rPr>
                <w:lang w:val="en-GB"/>
              </w:rPr>
            </w:pPr>
            <w:r w:rsidRPr="008B76E0">
              <w:rPr>
                <w:lang w:val="en-GB"/>
              </w:rPr>
              <w:t xml:space="preserve">Reinforcement of manual inspection and personnel training </w:t>
            </w:r>
            <w:r w:rsidR="000D514A" w:rsidRPr="008B76E0">
              <w:rPr>
                <w:lang w:val="en-GB"/>
              </w:rPr>
              <w:t>for</w:t>
            </w:r>
            <w:r w:rsidRPr="008B76E0">
              <w:rPr>
                <w:lang w:val="en-GB"/>
              </w:rPr>
              <w:t xml:space="preserve"> safety awareness.</w:t>
            </w:r>
            <w:r w:rsidR="00381FB8" w:rsidRPr="008B76E0">
              <w:rPr>
                <w:lang w:val="en-GB"/>
              </w:rPr>
              <w:t xml:space="preserve"> D</w:t>
            </w:r>
            <w:r w:rsidRPr="008B76E0">
              <w:rPr>
                <w:lang w:val="en-GB"/>
              </w:rPr>
              <w:t>esign of a multi-level alarm system including three phases (initial warning, emergency alarm, accident confirmation) to ensure adequate responses under different risk levels. Emergency shutdown systems.</w:t>
            </w:r>
          </w:p>
        </w:tc>
      </w:tr>
      <w:tr w:rsidR="00EE7548" w:rsidRPr="008B76E0" w14:paraId="63F86F56" w14:textId="77777777" w:rsidTr="00A45025">
        <w:trPr>
          <w:trHeight w:val="20"/>
        </w:trPr>
        <w:tc>
          <w:tcPr>
            <w:tcW w:w="1985" w:type="dxa"/>
            <w:tcBorders>
              <w:top w:val="nil"/>
              <w:bottom w:val="single" w:sz="8" w:space="0" w:color="00B050"/>
            </w:tcBorders>
            <w:shd w:val="clear" w:color="auto" w:fill="FFFFFF"/>
          </w:tcPr>
          <w:p w14:paraId="60FB28A0" w14:textId="7C158B31" w:rsidR="00EE7548" w:rsidRPr="008B76E0" w:rsidRDefault="00EE7548" w:rsidP="00EE7548">
            <w:pPr>
              <w:pStyle w:val="CETBodytext"/>
              <w:rPr>
                <w:lang w:val="en-GB"/>
              </w:rPr>
            </w:pPr>
            <w:r w:rsidRPr="008B76E0">
              <w:rPr>
                <w:lang w:val="en-GB"/>
              </w:rPr>
              <w:t>Poor environmental ventilation system.</w:t>
            </w:r>
          </w:p>
        </w:tc>
        <w:tc>
          <w:tcPr>
            <w:tcW w:w="3544" w:type="dxa"/>
            <w:tcBorders>
              <w:top w:val="nil"/>
              <w:bottom w:val="single" w:sz="8" w:space="0" w:color="00B050"/>
            </w:tcBorders>
            <w:shd w:val="clear" w:color="auto" w:fill="FFFFFF"/>
            <w:tcMar>
              <w:left w:w="170" w:type="dxa"/>
            </w:tcMar>
          </w:tcPr>
          <w:p w14:paraId="342DB36A" w14:textId="7C78ABDF" w:rsidR="00EE7548" w:rsidRPr="008B76E0" w:rsidRDefault="00EE7548" w:rsidP="00EE7548">
            <w:pPr>
              <w:pStyle w:val="CETBodytext"/>
              <w:ind w:right="142"/>
              <w:rPr>
                <w:lang w:val="en-GB"/>
              </w:rPr>
            </w:pPr>
            <w:r w:rsidRPr="008B76E0">
              <w:rPr>
                <w:lang w:val="en-GB"/>
              </w:rPr>
              <w:t>Sometimes the ventilation system can be not adequate to the actual hydrogen concentration.</w:t>
            </w:r>
          </w:p>
          <w:p w14:paraId="1E527704" w14:textId="1040B42D" w:rsidR="00EE7548" w:rsidRPr="008B76E0" w:rsidRDefault="00EE7548" w:rsidP="00EE7548">
            <w:pPr>
              <w:pStyle w:val="CETBodytext"/>
              <w:ind w:right="142"/>
              <w:rPr>
                <w:lang w:val="en-GB"/>
              </w:rPr>
            </w:pPr>
          </w:p>
        </w:tc>
        <w:tc>
          <w:tcPr>
            <w:tcW w:w="3258" w:type="dxa"/>
            <w:tcBorders>
              <w:top w:val="nil"/>
              <w:bottom w:val="single" w:sz="8" w:space="0" w:color="00B050"/>
            </w:tcBorders>
            <w:shd w:val="clear" w:color="auto" w:fill="FFFFFF"/>
          </w:tcPr>
          <w:p w14:paraId="5CAC95B7" w14:textId="30254D81" w:rsidR="00EE7548" w:rsidRPr="008B76E0" w:rsidRDefault="00EE7548" w:rsidP="00EE7548">
            <w:pPr>
              <w:pStyle w:val="CETBodytext"/>
              <w:rPr>
                <w:lang w:val="en-GB"/>
              </w:rPr>
            </w:pPr>
            <w:r w:rsidRPr="008B76E0">
              <w:rPr>
                <w:lang w:val="en-GB"/>
              </w:rPr>
              <w:t xml:space="preserve">Simulation of the </w:t>
            </w:r>
            <w:r w:rsidR="00741B72" w:rsidRPr="008B76E0">
              <w:rPr>
                <w:lang w:val="en-GB"/>
              </w:rPr>
              <w:t xml:space="preserve">hydrogen </w:t>
            </w:r>
            <w:r w:rsidRPr="008B76E0">
              <w:rPr>
                <w:lang w:val="en-GB"/>
              </w:rPr>
              <w:t xml:space="preserve">diffusion path </w:t>
            </w:r>
            <w:r w:rsidR="00741B72" w:rsidRPr="008B76E0">
              <w:rPr>
                <w:lang w:val="en-GB"/>
              </w:rPr>
              <w:t xml:space="preserve">to optimize </w:t>
            </w:r>
            <w:r w:rsidRPr="008B76E0">
              <w:rPr>
                <w:lang w:val="en-GB"/>
              </w:rPr>
              <w:t>ventilation openings. Use of IoT to develop intelligent ventilation systems to adjust the ventilation based on real-time hydrogen concentration.</w:t>
            </w:r>
          </w:p>
        </w:tc>
      </w:tr>
    </w:tbl>
    <w:p w14:paraId="4C1ED7A3" w14:textId="77777777" w:rsidR="00741B72" w:rsidRPr="008B76E0" w:rsidRDefault="00741B72" w:rsidP="00357379">
      <w:pPr>
        <w:pStyle w:val="CETBodytext"/>
        <w:rPr>
          <w:lang w:val="en-GB"/>
        </w:rPr>
      </w:pPr>
    </w:p>
    <w:p w14:paraId="0321BC62" w14:textId="2E74A65C" w:rsidR="00357379" w:rsidRPr="008B76E0" w:rsidRDefault="00BD1A6B" w:rsidP="00357379">
      <w:pPr>
        <w:pStyle w:val="CETBodytext"/>
        <w:rPr>
          <w:lang w:val="en-GB"/>
        </w:rPr>
      </w:pPr>
      <w:r w:rsidRPr="008B76E0">
        <w:rPr>
          <w:lang w:val="en-GB"/>
        </w:rPr>
        <w:t xml:space="preserve">An example of </w:t>
      </w:r>
      <w:r w:rsidR="007F70DE" w:rsidRPr="008B76E0">
        <w:rPr>
          <w:lang w:val="en-GB"/>
        </w:rPr>
        <w:t xml:space="preserve">a </w:t>
      </w:r>
      <w:r w:rsidRPr="008B76E0">
        <w:rPr>
          <w:lang w:val="en-GB"/>
        </w:rPr>
        <w:t xml:space="preserve">complete </w:t>
      </w:r>
      <w:r w:rsidR="007F70DE" w:rsidRPr="008B76E0">
        <w:rPr>
          <w:lang w:val="en-GB"/>
        </w:rPr>
        <w:t>risk analysis for a petrol station at design stage in the Czech Republic</w:t>
      </w:r>
      <w:r w:rsidRPr="008B76E0">
        <w:rPr>
          <w:lang w:val="en-GB"/>
        </w:rPr>
        <w:t xml:space="preserve"> was described by Veres et al. (2022).</w:t>
      </w:r>
      <w:r w:rsidR="00357379" w:rsidRPr="008B76E0">
        <w:rPr>
          <w:lang w:val="en-GB"/>
        </w:rPr>
        <w:t xml:space="preserve"> </w:t>
      </w:r>
      <w:r w:rsidRPr="008B76E0">
        <w:rPr>
          <w:lang w:val="en-GB"/>
        </w:rPr>
        <w:t xml:space="preserve">However, </w:t>
      </w:r>
      <w:r w:rsidR="00357379" w:rsidRPr="008B76E0">
        <w:rPr>
          <w:lang w:val="en-GB"/>
        </w:rPr>
        <w:t xml:space="preserve">Park et al. (2025) reviewed global risk assessment practices for HRS infrastructures, </w:t>
      </w:r>
      <w:r w:rsidRPr="008B76E0">
        <w:rPr>
          <w:lang w:val="en-GB"/>
        </w:rPr>
        <w:t xml:space="preserve">highlighting the existence of a variety of approaches and </w:t>
      </w:r>
      <w:r w:rsidR="00357379" w:rsidRPr="008B76E0">
        <w:rPr>
          <w:lang w:val="en-GB"/>
        </w:rPr>
        <w:t>underlining the importance of applying comprehensive and integrated methodologies, in order to address complex production systems</w:t>
      </w:r>
      <w:r w:rsidRPr="008B76E0">
        <w:rPr>
          <w:lang w:val="en-GB"/>
        </w:rPr>
        <w:t>,</w:t>
      </w:r>
      <w:r w:rsidR="00357379" w:rsidRPr="008B76E0">
        <w:rPr>
          <w:lang w:val="en-GB"/>
        </w:rPr>
        <w:t xml:space="preserve"> also including, for example, additional hazards like chemical toxicity and domino effects. They underlined the need to harmonize risk assessment practices globally, through continuous innovation and international collaboration.</w:t>
      </w:r>
    </w:p>
    <w:p w14:paraId="340583AE" w14:textId="14341364" w:rsidR="00C43698" w:rsidRPr="008B76E0" w:rsidRDefault="00BD1A6B" w:rsidP="00C43698">
      <w:pPr>
        <w:pStyle w:val="CETBodytext"/>
        <w:rPr>
          <w:lang w:val="en-GB"/>
        </w:rPr>
      </w:pPr>
      <w:r w:rsidRPr="008B76E0">
        <w:rPr>
          <w:lang w:val="en-GB"/>
        </w:rPr>
        <w:t xml:space="preserve">In </w:t>
      </w:r>
      <w:r w:rsidR="002E3E2C" w:rsidRPr="008B76E0">
        <w:rPr>
          <w:lang w:val="en-GB"/>
        </w:rPr>
        <w:t>general</w:t>
      </w:r>
      <w:r w:rsidRPr="008B76E0">
        <w:rPr>
          <w:lang w:val="en-GB"/>
        </w:rPr>
        <w:t xml:space="preserve">, </w:t>
      </w:r>
      <w:r w:rsidR="00FB0CC0" w:rsidRPr="008B76E0">
        <w:rPr>
          <w:lang w:val="en-GB"/>
        </w:rPr>
        <w:t xml:space="preserve">many safety systems (e.g. sensors and alarms to detect leaks, ventilation systems, emergency shutoff systems) have to be incorporated into HRS to guarantee safety during </w:t>
      </w:r>
      <w:proofErr w:type="spellStart"/>
      <w:r w:rsidR="00FB0CC0" w:rsidRPr="008B76E0">
        <w:rPr>
          <w:lang w:val="en-GB"/>
        </w:rPr>
        <w:t>refueling</w:t>
      </w:r>
      <w:proofErr w:type="spellEnd"/>
      <w:r w:rsidR="00FB0CC0" w:rsidRPr="008B76E0">
        <w:rPr>
          <w:lang w:val="en-GB"/>
        </w:rPr>
        <w:t xml:space="preserve"> operations (EIGA, 2024).</w:t>
      </w:r>
    </w:p>
    <w:p w14:paraId="1B1D2C54" w14:textId="19AC786B" w:rsidR="006C3F61" w:rsidRPr="008B76E0" w:rsidRDefault="00144E26" w:rsidP="00BD1A6B">
      <w:pPr>
        <w:pStyle w:val="CETBodytext"/>
        <w:rPr>
          <w:lang w:val="en-GB"/>
        </w:rPr>
      </w:pPr>
      <w:r w:rsidRPr="008B76E0">
        <w:rPr>
          <w:lang w:val="en-GB"/>
        </w:rPr>
        <w:t xml:space="preserve">Cybersecurity risks </w:t>
      </w:r>
      <w:r w:rsidR="00820418" w:rsidRPr="008B76E0">
        <w:rPr>
          <w:lang w:val="en-GB"/>
        </w:rPr>
        <w:t xml:space="preserve">must be taken into account, </w:t>
      </w:r>
      <w:r w:rsidRPr="008B76E0">
        <w:rPr>
          <w:lang w:val="en-GB"/>
        </w:rPr>
        <w:t>especially for automated HRS control</w:t>
      </w:r>
      <w:r w:rsidR="00182CAE" w:rsidRPr="008B76E0">
        <w:rPr>
          <w:lang w:val="en-GB"/>
        </w:rPr>
        <w:t xml:space="preserve">, due to </w:t>
      </w:r>
      <w:r w:rsidR="009C1B26" w:rsidRPr="008B76E0">
        <w:rPr>
          <w:lang w:val="en-GB"/>
        </w:rPr>
        <w:t>the increasing coexistence of Operational Technology and Information Technology</w:t>
      </w:r>
      <w:r w:rsidR="00820418" w:rsidRPr="008B76E0">
        <w:rPr>
          <w:lang w:val="en-GB"/>
        </w:rPr>
        <w:t>.</w:t>
      </w:r>
      <w:r w:rsidR="00381FB8" w:rsidRPr="008B76E0">
        <w:rPr>
          <w:lang w:val="en-GB"/>
        </w:rPr>
        <w:t xml:space="preserve"> </w:t>
      </w:r>
      <w:r w:rsidR="00BD1A6B" w:rsidRPr="008B76E0">
        <w:rPr>
          <w:lang w:val="en-GB"/>
        </w:rPr>
        <w:t>Particular attention must also be paid to the choice of materials, given the high temperatures and pressures involved. In this sense, s</w:t>
      </w:r>
      <w:r w:rsidR="008943EE" w:rsidRPr="008B76E0">
        <w:rPr>
          <w:lang w:val="en-GB"/>
        </w:rPr>
        <w:t xml:space="preserve">pecialised </w:t>
      </w:r>
      <w:r w:rsidR="008943EE" w:rsidRPr="008B76E0">
        <w:rPr>
          <w:lang w:val="en-GB"/>
        </w:rPr>
        <w:lastRenderedPageBreak/>
        <w:t xml:space="preserve">companies are gradually trying to develop better and safer hoses for high-pressure hydrogen distribution systems, </w:t>
      </w:r>
      <w:r w:rsidR="002E3E2C" w:rsidRPr="008B76E0">
        <w:rPr>
          <w:lang w:val="en-GB"/>
        </w:rPr>
        <w:t>looking for</w:t>
      </w:r>
      <w:r w:rsidR="008943EE" w:rsidRPr="008B76E0">
        <w:rPr>
          <w:lang w:val="en-GB"/>
        </w:rPr>
        <w:t xml:space="preserve"> high </w:t>
      </w:r>
      <w:r w:rsidR="002E3E2C" w:rsidRPr="008B76E0">
        <w:rPr>
          <w:lang w:val="en-GB"/>
        </w:rPr>
        <w:t xml:space="preserve">tightness, </w:t>
      </w:r>
      <w:r w:rsidR="008943EE" w:rsidRPr="008B76E0">
        <w:rPr>
          <w:lang w:val="en-GB"/>
        </w:rPr>
        <w:t>flexibility and durability</w:t>
      </w:r>
      <w:r w:rsidR="00BD1A6B" w:rsidRPr="008B76E0">
        <w:rPr>
          <w:lang w:val="en-GB"/>
        </w:rPr>
        <w:t xml:space="preserve"> at the same time</w:t>
      </w:r>
      <w:r w:rsidR="002E3E2C" w:rsidRPr="008B76E0">
        <w:rPr>
          <w:lang w:val="en-GB"/>
        </w:rPr>
        <w:t>, even by combinations of different materials.</w:t>
      </w:r>
      <w:r w:rsidR="00E44E86" w:rsidRPr="008B76E0">
        <w:rPr>
          <w:lang w:val="en-GB"/>
        </w:rPr>
        <w:t xml:space="preserve"> </w:t>
      </w:r>
      <w:r w:rsidR="00500EB5">
        <w:rPr>
          <w:lang w:val="en-GB"/>
        </w:rPr>
        <w:t>Even</w:t>
      </w:r>
      <w:r w:rsidR="00E44E86" w:rsidRPr="008B76E0">
        <w:rPr>
          <w:lang w:val="en-GB"/>
        </w:rPr>
        <w:t xml:space="preserve"> the hydrogen embrittlement phenomenon </w:t>
      </w:r>
      <w:r w:rsidR="009C1B26" w:rsidRPr="008B76E0">
        <w:rPr>
          <w:lang w:val="en-GB"/>
        </w:rPr>
        <w:t>(</w:t>
      </w:r>
      <w:r w:rsidR="009350D1" w:rsidRPr="008B76E0">
        <w:rPr>
          <w:lang w:val="en-GB"/>
        </w:rPr>
        <w:t>that is</w:t>
      </w:r>
      <w:r w:rsidR="009C1B26" w:rsidRPr="008B76E0">
        <w:rPr>
          <w:lang w:val="en-GB"/>
        </w:rPr>
        <w:t xml:space="preserve"> a reduction in the ductility of a metal due to absorbed hydrogen with increased susceptibility to crack) </w:t>
      </w:r>
      <w:r w:rsidR="00E44E86" w:rsidRPr="008B76E0">
        <w:rPr>
          <w:lang w:val="en-GB"/>
        </w:rPr>
        <w:t>requires new material insights, e.g. in order to obtain hydrogen-tolerant aluminium alloys.</w:t>
      </w:r>
    </w:p>
    <w:p w14:paraId="7C5766FB" w14:textId="1F251C54" w:rsidR="00910BA4" w:rsidRPr="008B76E0" w:rsidRDefault="00701AD4" w:rsidP="00B954E2">
      <w:pPr>
        <w:pStyle w:val="CETheadingx"/>
      </w:pPr>
      <w:r w:rsidRPr="008B76E0">
        <w:t>Italian o</w:t>
      </w:r>
      <w:r w:rsidR="00910BA4" w:rsidRPr="008B76E0">
        <w:t xml:space="preserve">n-field </w:t>
      </w:r>
      <w:r w:rsidR="00EE7FEE" w:rsidRPr="008B76E0">
        <w:t>applications</w:t>
      </w:r>
    </w:p>
    <w:p w14:paraId="12AA816B" w14:textId="25A87A37" w:rsidR="00EE3334" w:rsidRPr="008B76E0" w:rsidRDefault="00895C4C" w:rsidP="00EE3334">
      <w:pPr>
        <w:pStyle w:val="CETBodytext"/>
        <w:rPr>
          <w:lang w:val="en-GB"/>
        </w:rPr>
      </w:pPr>
      <w:r w:rsidRPr="008B76E0">
        <w:rPr>
          <w:lang w:val="en-GB"/>
        </w:rPr>
        <w:t xml:space="preserve">In Italy, the National Recovery and Resilience Plan envisages 40 truck and car </w:t>
      </w:r>
      <w:proofErr w:type="spellStart"/>
      <w:r w:rsidRPr="008B76E0">
        <w:rPr>
          <w:lang w:val="en-GB"/>
        </w:rPr>
        <w:t>refueling</w:t>
      </w:r>
      <w:proofErr w:type="spellEnd"/>
      <w:r w:rsidRPr="008B76E0">
        <w:rPr>
          <w:lang w:val="en-GB"/>
        </w:rPr>
        <w:t xml:space="preserve"> stations, as well as 9 </w:t>
      </w:r>
      <w:proofErr w:type="spellStart"/>
      <w:r w:rsidRPr="008B76E0">
        <w:rPr>
          <w:lang w:val="en-GB"/>
        </w:rPr>
        <w:t>refueling</w:t>
      </w:r>
      <w:proofErr w:type="spellEnd"/>
      <w:r w:rsidRPr="008B76E0">
        <w:rPr>
          <w:lang w:val="en-GB"/>
        </w:rPr>
        <w:t xml:space="preserve"> stations on 6 railway lines, by 2026 (approximately one tenth of the Italian railway network is served by old diesel-powered trains that will have to be replaced soon), for a total investment of 530 million euros.</w:t>
      </w:r>
      <w:r w:rsidR="0082389F" w:rsidRPr="008B76E0">
        <w:rPr>
          <w:lang w:val="en-GB"/>
        </w:rPr>
        <w:t xml:space="preserve"> Actually</w:t>
      </w:r>
      <w:r w:rsidR="003D6902" w:rsidRPr="008B76E0">
        <w:rPr>
          <w:lang w:val="en-GB"/>
        </w:rPr>
        <w:t>,</w:t>
      </w:r>
      <w:r w:rsidR="0082389F" w:rsidRPr="008B76E0">
        <w:rPr>
          <w:lang w:val="en-GB"/>
        </w:rPr>
        <w:t xml:space="preserve"> a total of 36 renewable hydrogen </w:t>
      </w:r>
      <w:proofErr w:type="spellStart"/>
      <w:r w:rsidR="0082389F" w:rsidRPr="008B76E0">
        <w:rPr>
          <w:lang w:val="en-GB"/>
        </w:rPr>
        <w:t>refueling</w:t>
      </w:r>
      <w:proofErr w:type="spellEnd"/>
      <w:r w:rsidR="0082389F" w:rsidRPr="008B76E0">
        <w:rPr>
          <w:lang w:val="en-GB"/>
        </w:rPr>
        <w:t xml:space="preserve"> station projects </w:t>
      </w:r>
      <w:r w:rsidR="00C75916" w:rsidRPr="008B76E0">
        <w:rPr>
          <w:lang w:val="en-GB"/>
        </w:rPr>
        <w:t>h</w:t>
      </w:r>
      <w:r w:rsidR="003D6902" w:rsidRPr="008B76E0">
        <w:rPr>
          <w:lang w:val="en-GB"/>
        </w:rPr>
        <w:t>ave</w:t>
      </w:r>
      <w:r w:rsidR="00C75916" w:rsidRPr="008B76E0">
        <w:rPr>
          <w:lang w:val="en-GB"/>
        </w:rPr>
        <w:t xml:space="preserve"> been considered</w:t>
      </w:r>
      <w:r w:rsidR="0082389F" w:rsidRPr="008B76E0">
        <w:rPr>
          <w:lang w:val="en-GB"/>
        </w:rPr>
        <w:t xml:space="preserve"> eligible for such support</w:t>
      </w:r>
      <w:r w:rsidR="00F05D71" w:rsidRPr="008B76E0">
        <w:rPr>
          <w:lang w:val="en-GB"/>
        </w:rPr>
        <w:t>, but many of them are still at an early stage of development.</w:t>
      </w:r>
      <w:r w:rsidR="0082389F" w:rsidRPr="008B76E0">
        <w:rPr>
          <w:lang w:val="en-GB"/>
        </w:rPr>
        <w:t xml:space="preserve"> </w:t>
      </w:r>
      <w:r w:rsidR="00F05D71" w:rsidRPr="008B76E0">
        <w:rPr>
          <w:lang w:val="en-GB"/>
        </w:rPr>
        <w:t>I</w:t>
      </w:r>
      <w:r w:rsidR="003D6902" w:rsidRPr="008B76E0">
        <w:rPr>
          <w:lang w:val="en-GB"/>
        </w:rPr>
        <w:t>f c</w:t>
      </w:r>
      <w:r w:rsidR="00EE3334" w:rsidRPr="008B76E0">
        <w:rPr>
          <w:lang w:val="en-GB"/>
        </w:rPr>
        <w:t xml:space="preserve">ompared to other countries that can boast an already widespread </w:t>
      </w:r>
      <w:proofErr w:type="spellStart"/>
      <w:r w:rsidR="00EE3334" w:rsidRPr="008B76E0">
        <w:rPr>
          <w:lang w:val="en-GB"/>
        </w:rPr>
        <w:t>refueling</w:t>
      </w:r>
      <w:proofErr w:type="spellEnd"/>
      <w:r w:rsidR="00EE3334" w:rsidRPr="008B76E0">
        <w:rPr>
          <w:lang w:val="en-GB"/>
        </w:rPr>
        <w:t xml:space="preserve"> station network, Italy therefore needs to speed up. Following indications from the European Commission (e.g. "Fit for 55" package and “Alternative fuel infrastructure regulation (AFIR)”), it would be a matter of imagining a station every 100-150 km on the Trans-European Network - Transport (TEN-T) by 2030, possibly favouring multifuel </w:t>
      </w:r>
      <w:r w:rsidR="005B5013">
        <w:rPr>
          <w:lang w:val="en-GB"/>
        </w:rPr>
        <w:t>and</w:t>
      </w:r>
      <w:r w:rsidR="00EE3334" w:rsidRPr="008B76E0">
        <w:rPr>
          <w:lang w:val="en-GB"/>
        </w:rPr>
        <w:t xml:space="preserve"> multipurpose stations.</w:t>
      </w:r>
    </w:p>
    <w:p w14:paraId="66D62B40" w14:textId="3C57857D" w:rsidR="00C66F60" w:rsidRPr="008B76E0" w:rsidRDefault="00AB17E9" w:rsidP="007A1529">
      <w:pPr>
        <w:pStyle w:val="CETBodytext"/>
        <w:rPr>
          <w:lang w:val="en-GB"/>
        </w:rPr>
      </w:pPr>
      <w:r w:rsidRPr="008B76E0">
        <w:rPr>
          <w:lang w:val="en-GB"/>
        </w:rPr>
        <w:t>The only hydrogen filling stations currently operating in Italy (in Mestre and Bolzano) provide a full tank in 4 to 5 minutes to cars at a maximum pressure of 700 bar.</w:t>
      </w:r>
      <w:r w:rsidR="003D14C6" w:rsidRPr="008B76E0">
        <w:rPr>
          <w:lang w:val="en-GB"/>
        </w:rPr>
        <w:t xml:space="preserve"> </w:t>
      </w:r>
      <w:r w:rsidR="00C66F60" w:rsidRPr="008B76E0">
        <w:rPr>
          <w:lang w:val="en-GB"/>
        </w:rPr>
        <w:t xml:space="preserve">In the Bolzano station, hydrogen is produced through renewable energy (hydroelectric), then it is stored and used to supply hydrogen fuel cell vehicles (buses used for urban public transport as well as a fleet of rental cars). The system </w:t>
      </w:r>
      <w:r w:rsidR="00B51525" w:rsidRPr="008B76E0">
        <w:rPr>
          <w:lang w:val="en-GB"/>
        </w:rPr>
        <w:t>can refuel</w:t>
      </w:r>
      <w:r w:rsidR="00C66F60" w:rsidRPr="008B76E0">
        <w:rPr>
          <w:lang w:val="en-GB"/>
        </w:rPr>
        <w:t xml:space="preserve"> up to 15 city buses or up to 700 cars, as well as providing the possibility of </w:t>
      </w:r>
      <w:proofErr w:type="spellStart"/>
      <w:r w:rsidR="00C66F60" w:rsidRPr="008B76E0">
        <w:rPr>
          <w:lang w:val="en-GB"/>
        </w:rPr>
        <w:t>refueling</w:t>
      </w:r>
      <w:proofErr w:type="spellEnd"/>
      <w:r w:rsidR="00C66F60" w:rsidRPr="008B76E0">
        <w:rPr>
          <w:lang w:val="en-GB"/>
        </w:rPr>
        <w:t xml:space="preserve"> groups of hydrogen cylinders or tanker trailers</w:t>
      </w:r>
      <w:r w:rsidR="00D020A3" w:rsidRPr="008B76E0">
        <w:rPr>
          <w:lang w:val="en-GB"/>
        </w:rPr>
        <w:t>.</w:t>
      </w:r>
    </w:p>
    <w:p w14:paraId="3F2B8A65" w14:textId="2ECF1638" w:rsidR="00392E3C" w:rsidRPr="008B76E0" w:rsidRDefault="00C66F60" w:rsidP="00392E3C">
      <w:pPr>
        <w:pStyle w:val="CETBodytext"/>
        <w:rPr>
          <w:lang w:val="en-GB"/>
        </w:rPr>
      </w:pPr>
      <w:r w:rsidRPr="008B76E0">
        <w:rPr>
          <w:lang w:val="en-GB"/>
        </w:rPr>
        <w:t xml:space="preserve">The Mestre station has been realized by ENI (even in collaboration with Toyota) and </w:t>
      </w:r>
      <w:r w:rsidR="00D219C8" w:rsidRPr="008B76E0">
        <w:rPr>
          <w:lang w:val="en-GB"/>
        </w:rPr>
        <w:t xml:space="preserve">it was </w:t>
      </w:r>
      <w:r w:rsidRPr="008B76E0">
        <w:rPr>
          <w:lang w:val="en-GB"/>
        </w:rPr>
        <w:t xml:space="preserve">opened to the public in 2022. </w:t>
      </w:r>
      <w:r w:rsidR="00D219C8" w:rsidRPr="008B76E0">
        <w:rPr>
          <w:lang w:val="en-GB"/>
        </w:rPr>
        <w:t xml:space="preserve">Hydrogen </w:t>
      </w:r>
      <w:proofErr w:type="spellStart"/>
      <w:r w:rsidR="00D219C8" w:rsidRPr="008B76E0">
        <w:rPr>
          <w:lang w:val="en-GB"/>
        </w:rPr>
        <w:t>refueling</w:t>
      </w:r>
      <w:proofErr w:type="spellEnd"/>
      <w:r w:rsidR="00D219C8" w:rsidRPr="008B76E0">
        <w:rPr>
          <w:lang w:val="en-GB"/>
        </w:rPr>
        <w:t xml:space="preserve"> is combined with </w:t>
      </w:r>
      <w:proofErr w:type="spellStart"/>
      <w:r w:rsidR="00D219C8" w:rsidRPr="008B76E0">
        <w:rPr>
          <w:lang w:val="en-GB"/>
        </w:rPr>
        <w:t>refueling</w:t>
      </w:r>
      <w:proofErr w:type="spellEnd"/>
      <w:r w:rsidR="00D219C8" w:rsidRPr="008B76E0">
        <w:rPr>
          <w:lang w:val="en-GB"/>
        </w:rPr>
        <w:t xml:space="preserve"> </w:t>
      </w:r>
      <w:r w:rsidR="003D69BA" w:rsidRPr="008B76E0">
        <w:rPr>
          <w:lang w:val="en-GB"/>
        </w:rPr>
        <w:t>made by</w:t>
      </w:r>
      <w:r w:rsidR="00D219C8" w:rsidRPr="008B76E0">
        <w:rPr>
          <w:lang w:val="en-GB"/>
        </w:rPr>
        <w:t xml:space="preserve"> traditional fuels and electricity.</w:t>
      </w:r>
      <w:r w:rsidR="00392E3C" w:rsidRPr="008B76E0">
        <w:rPr>
          <w:lang w:val="en-GB"/>
        </w:rPr>
        <w:t xml:space="preserve"> Hydrogen is supplied by means of tank cars, </w:t>
      </w:r>
      <w:r w:rsidR="00652F30" w:rsidRPr="008B76E0">
        <w:rPr>
          <w:lang w:val="en-GB"/>
        </w:rPr>
        <w:t>in</w:t>
      </w:r>
      <w:r w:rsidR="00392E3C" w:rsidRPr="008B76E0">
        <w:rPr>
          <w:lang w:val="en-GB"/>
        </w:rPr>
        <w:t xml:space="preserve"> presence of appropriate safety systems, capable of interrupting the flow of hydrogen in </w:t>
      </w:r>
      <w:r w:rsidR="00652F30" w:rsidRPr="008B76E0">
        <w:rPr>
          <w:lang w:val="en-GB"/>
        </w:rPr>
        <w:t>case of</w:t>
      </w:r>
      <w:r w:rsidR="00392E3C" w:rsidRPr="008B76E0">
        <w:rPr>
          <w:lang w:val="en-GB"/>
        </w:rPr>
        <w:t xml:space="preserve"> emergency. The compressor increases the pressure of the hydrogen gas from the pressure present in the cylinder carriage up to the maximum working pressure of the medium pressure and high</w:t>
      </w:r>
      <w:r w:rsidR="00762A24" w:rsidRPr="008B76E0">
        <w:rPr>
          <w:lang w:val="en-GB"/>
        </w:rPr>
        <w:t>-</w:t>
      </w:r>
      <w:r w:rsidR="00392E3C" w:rsidRPr="008B76E0">
        <w:rPr>
          <w:lang w:val="en-GB"/>
        </w:rPr>
        <w:t xml:space="preserve">pressure hydrogen storage tanks. During cars </w:t>
      </w:r>
      <w:proofErr w:type="spellStart"/>
      <w:r w:rsidR="00392E3C" w:rsidRPr="008B76E0">
        <w:rPr>
          <w:lang w:val="en-GB"/>
        </w:rPr>
        <w:t>refu</w:t>
      </w:r>
      <w:r w:rsidR="009673EE" w:rsidRPr="008B76E0">
        <w:rPr>
          <w:lang w:val="en-GB"/>
        </w:rPr>
        <w:t>e</w:t>
      </w:r>
      <w:r w:rsidR="00392E3C" w:rsidRPr="008B76E0">
        <w:rPr>
          <w:lang w:val="en-GB"/>
        </w:rPr>
        <w:t>ling</w:t>
      </w:r>
      <w:proofErr w:type="spellEnd"/>
      <w:r w:rsidR="00392E3C" w:rsidRPr="008B76E0">
        <w:rPr>
          <w:lang w:val="en-GB"/>
        </w:rPr>
        <w:t xml:space="preserve"> process, the compressed hydrogen is transferred in sequence from the medium-pressure storage sections to the high-pressure storage section and finally to the vehicle tank, passing through the refrigeration unit (at -40 °C) and the 700 bar dispenser, where the </w:t>
      </w:r>
      <w:proofErr w:type="spellStart"/>
      <w:r w:rsidR="00392E3C" w:rsidRPr="008B76E0">
        <w:rPr>
          <w:lang w:val="en-GB"/>
        </w:rPr>
        <w:t>refueling</w:t>
      </w:r>
      <w:proofErr w:type="spellEnd"/>
      <w:r w:rsidR="00392E3C" w:rsidRPr="008B76E0">
        <w:rPr>
          <w:lang w:val="en-GB"/>
        </w:rPr>
        <w:t xml:space="preserve"> takes place according to protocol SAE J2601. In case of buses, compressed hydrogen is transferred from the medium-pressure storage sections to the vehicle tank via the dispenser at 350 bar.</w:t>
      </w:r>
    </w:p>
    <w:p w14:paraId="2ECF6BFC" w14:textId="5041B2CD" w:rsidR="00E11FBF" w:rsidRPr="008B76E0" w:rsidRDefault="00440DDD" w:rsidP="007A1529">
      <w:pPr>
        <w:pStyle w:val="CETBodytext"/>
        <w:rPr>
          <w:lang w:val="en-GB"/>
        </w:rPr>
      </w:pPr>
      <w:r w:rsidRPr="008B76E0">
        <w:rPr>
          <w:lang w:val="en-GB"/>
        </w:rPr>
        <w:t>O</w:t>
      </w:r>
      <w:r w:rsidR="00D57E19" w:rsidRPr="008B76E0">
        <w:rPr>
          <w:lang w:val="en-GB"/>
        </w:rPr>
        <w:t xml:space="preserve">ther stations are currently being built throughout the country, some of which are in the context of the development of the whole hydrogen production and distribution chain in specific areas (“hydrogen valleys”). </w:t>
      </w:r>
      <w:r w:rsidR="00C06D9D" w:rsidRPr="008B76E0">
        <w:rPr>
          <w:lang w:val="en-GB"/>
        </w:rPr>
        <w:t>For example, the “</w:t>
      </w:r>
      <w:r w:rsidR="00A86C86" w:rsidRPr="008B76E0">
        <w:rPr>
          <w:lang w:val="en-GB"/>
        </w:rPr>
        <w:t>SerraH2valle</w:t>
      </w:r>
      <w:r w:rsidR="00C06D9D" w:rsidRPr="008B76E0">
        <w:rPr>
          <w:lang w:val="en-GB"/>
        </w:rPr>
        <w:t xml:space="preserve">” project </w:t>
      </w:r>
      <w:r w:rsidR="00373753" w:rsidRPr="008B76E0">
        <w:rPr>
          <w:lang w:val="en-GB"/>
        </w:rPr>
        <w:t>is expected to include</w:t>
      </w:r>
      <w:r w:rsidR="00C06D9D" w:rsidRPr="008B76E0">
        <w:rPr>
          <w:lang w:val="en-GB"/>
        </w:rPr>
        <w:t xml:space="preserve"> the construction of five hydrogen </w:t>
      </w:r>
      <w:proofErr w:type="spellStart"/>
      <w:r w:rsidR="00C06D9D" w:rsidRPr="008B76E0">
        <w:rPr>
          <w:lang w:val="en-GB"/>
        </w:rPr>
        <w:t>fueling</w:t>
      </w:r>
      <w:proofErr w:type="spellEnd"/>
      <w:r w:rsidR="00C06D9D" w:rsidRPr="008B76E0">
        <w:rPr>
          <w:lang w:val="en-GB"/>
        </w:rPr>
        <w:t xml:space="preserve"> stations along the Milan-Serravalle motorway for both light and heavy vehicle traffic</w:t>
      </w:r>
      <w:r w:rsidR="00373753" w:rsidRPr="008B76E0">
        <w:rPr>
          <w:lang w:val="en-GB"/>
        </w:rPr>
        <w:t>: hydrogen will be stored at 900 bar and different dispensers will be installed, in order to supply hydrogen at both 350 bar pressure for trucks and 700 bar for cars.</w:t>
      </w:r>
      <w:r w:rsidR="00975891" w:rsidRPr="008B76E0">
        <w:rPr>
          <w:lang w:val="en-GB"/>
        </w:rPr>
        <w:t xml:space="preserve"> A</w:t>
      </w:r>
      <w:r w:rsidRPr="008B76E0">
        <w:rPr>
          <w:lang w:val="en-GB"/>
        </w:rPr>
        <w:t>n “</w:t>
      </w:r>
      <w:r w:rsidR="00975891" w:rsidRPr="008B76E0">
        <w:rPr>
          <w:lang w:val="en-GB"/>
        </w:rPr>
        <w:t xml:space="preserve">hydrogen </w:t>
      </w:r>
      <w:r w:rsidRPr="008B76E0">
        <w:rPr>
          <w:lang w:val="en-GB"/>
        </w:rPr>
        <w:t xml:space="preserve">demo </w:t>
      </w:r>
      <w:r w:rsidR="00975891" w:rsidRPr="008B76E0">
        <w:rPr>
          <w:lang w:val="en-GB"/>
        </w:rPr>
        <w:t>valley</w:t>
      </w:r>
      <w:r w:rsidRPr="008B76E0">
        <w:rPr>
          <w:lang w:val="en-GB"/>
        </w:rPr>
        <w:t>”</w:t>
      </w:r>
      <w:r w:rsidR="00975891" w:rsidRPr="008B76E0">
        <w:rPr>
          <w:lang w:val="en-GB"/>
        </w:rPr>
        <w:t xml:space="preserve"> in Roma area, aimed at </w:t>
      </w:r>
      <w:r w:rsidRPr="008B76E0">
        <w:rPr>
          <w:lang w:val="en-GB"/>
        </w:rPr>
        <w:t>setting technologically advanced infrastructures for research and experimentation along the entire hydrogen chain</w:t>
      </w:r>
      <w:r w:rsidR="00975891" w:rsidRPr="008B76E0">
        <w:rPr>
          <w:lang w:val="en-GB"/>
        </w:rPr>
        <w:t>, is instead the one currently being developed by the Italian National Agency for New Technologies, Energy and Sustainable Economic Development (ENEA).</w:t>
      </w:r>
      <w:r w:rsidR="00381FB8" w:rsidRPr="008B76E0">
        <w:rPr>
          <w:lang w:val="en-GB"/>
        </w:rPr>
        <w:t xml:space="preserve"> </w:t>
      </w:r>
      <w:r w:rsidR="00801B35" w:rsidRPr="008B76E0">
        <w:rPr>
          <w:lang w:val="en-GB"/>
        </w:rPr>
        <w:t xml:space="preserve">The implementation of a hydrogen </w:t>
      </w:r>
      <w:proofErr w:type="spellStart"/>
      <w:r w:rsidR="00801B35" w:rsidRPr="008B76E0">
        <w:rPr>
          <w:lang w:val="en-GB"/>
        </w:rPr>
        <w:t>refueling</w:t>
      </w:r>
      <w:proofErr w:type="spellEnd"/>
      <w:r w:rsidR="00801B35" w:rsidRPr="008B76E0">
        <w:rPr>
          <w:lang w:val="en-GB"/>
        </w:rPr>
        <w:t xml:space="preserve"> station distribution network </w:t>
      </w:r>
      <w:r w:rsidR="00E4351C" w:rsidRPr="008B76E0">
        <w:rPr>
          <w:lang w:val="en-GB"/>
        </w:rPr>
        <w:t>in Italy</w:t>
      </w:r>
      <w:r w:rsidR="00801B35" w:rsidRPr="008B76E0">
        <w:rPr>
          <w:lang w:val="en-GB"/>
        </w:rPr>
        <w:t xml:space="preserve"> is underway, but </w:t>
      </w:r>
      <w:r w:rsidR="00D020A3" w:rsidRPr="008B76E0">
        <w:rPr>
          <w:lang w:val="en-GB"/>
        </w:rPr>
        <w:t xml:space="preserve">it is </w:t>
      </w:r>
      <w:r w:rsidR="00801B35" w:rsidRPr="008B76E0">
        <w:rPr>
          <w:lang w:val="en-GB"/>
        </w:rPr>
        <w:t>still far from matching those already present in other countries</w:t>
      </w:r>
      <w:r w:rsidR="00C9209A" w:rsidRPr="008B76E0">
        <w:rPr>
          <w:lang w:val="en-GB"/>
        </w:rPr>
        <w:t>; moreover, stations already operational and those in the testing phase are mainly concentrated in Northern Italy</w:t>
      </w:r>
      <w:r w:rsidR="00801B35" w:rsidRPr="008B76E0">
        <w:rPr>
          <w:lang w:val="en-GB"/>
        </w:rPr>
        <w:t xml:space="preserve">. Specialists </w:t>
      </w:r>
      <w:r w:rsidR="00E4351C" w:rsidRPr="008B76E0">
        <w:rPr>
          <w:lang w:val="en-GB"/>
        </w:rPr>
        <w:t xml:space="preserve">worldwide </w:t>
      </w:r>
      <w:r w:rsidR="00801B35" w:rsidRPr="008B76E0">
        <w:rPr>
          <w:lang w:val="en-GB"/>
        </w:rPr>
        <w:t xml:space="preserve">are also gradually proposing specific methodologies for optimising the location of </w:t>
      </w:r>
      <w:proofErr w:type="spellStart"/>
      <w:r w:rsidR="00801B35" w:rsidRPr="008B76E0">
        <w:rPr>
          <w:lang w:val="en-GB"/>
        </w:rPr>
        <w:t>refueling</w:t>
      </w:r>
      <w:proofErr w:type="spellEnd"/>
      <w:r w:rsidR="00801B35" w:rsidRPr="008B76E0">
        <w:rPr>
          <w:lang w:val="en-GB"/>
        </w:rPr>
        <w:t xml:space="preserve"> stations, starting from some already known methods (</w:t>
      </w:r>
      <w:r w:rsidR="00E15FD0" w:rsidRPr="008B76E0">
        <w:rPr>
          <w:lang w:val="en-GB"/>
        </w:rPr>
        <w:t xml:space="preserve">e.g. </w:t>
      </w:r>
      <w:r w:rsidR="00801B35" w:rsidRPr="008B76E0">
        <w:rPr>
          <w:lang w:val="en-GB"/>
        </w:rPr>
        <w:t>p-median and flow-capture location models), but pointing out that there is a need to incorporate safety elements and risk assessment procedures in order to provide more robust solutions</w:t>
      </w:r>
      <w:r w:rsidR="00B30388" w:rsidRPr="008B76E0">
        <w:rPr>
          <w:lang w:val="en-GB"/>
        </w:rPr>
        <w:t xml:space="preserve"> (Isaac and Saha, 2023)</w:t>
      </w:r>
      <w:r w:rsidR="00801B35" w:rsidRPr="008B76E0">
        <w:rPr>
          <w:lang w:val="en-GB"/>
        </w:rPr>
        <w:t>.</w:t>
      </w:r>
      <w:r w:rsidR="00983D68" w:rsidRPr="008B76E0">
        <w:t xml:space="preserve"> </w:t>
      </w:r>
      <w:r w:rsidR="00983D68" w:rsidRPr="008B76E0">
        <w:rPr>
          <w:lang w:val="en-GB"/>
        </w:rPr>
        <w:t xml:space="preserve">The possibility of developing temporary mobile </w:t>
      </w:r>
      <w:proofErr w:type="spellStart"/>
      <w:r w:rsidR="00983D68" w:rsidRPr="008B76E0">
        <w:rPr>
          <w:lang w:val="en-GB"/>
        </w:rPr>
        <w:t>refueling</w:t>
      </w:r>
      <w:proofErr w:type="spellEnd"/>
      <w:r w:rsidR="00983D68" w:rsidRPr="008B76E0">
        <w:rPr>
          <w:lang w:val="en-GB"/>
        </w:rPr>
        <w:t xml:space="preserve"> stations</w:t>
      </w:r>
      <w:r w:rsidR="005A52B3" w:rsidRPr="008B76E0">
        <w:rPr>
          <w:lang w:val="en-GB"/>
        </w:rPr>
        <w:t xml:space="preserve"> could also help boost confidence and interest in the use of hydrogen with reduced costs</w:t>
      </w:r>
      <w:r w:rsidR="00983D68" w:rsidRPr="008B76E0">
        <w:rPr>
          <w:lang w:val="en-GB"/>
        </w:rPr>
        <w:t xml:space="preserve">. </w:t>
      </w:r>
    </w:p>
    <w:p w14:paraId="68D26B83" w14:textId="77777777" w:rsidR="00600535" w:rsidRPr="008B76E0" w:rsidRDefault="00600535" w:rsidP="009D00E5">
      <w:pPr>
        <w:pStyle w:val="CETHeading1"/>
        <w:numPr>
          <w:ilvl w:val="0"/>
          <w:numId w:val="39"/>
        </w:numPr>
        <w:ind w:left="284" w:hanging="284"/>
        <w:rPr>
          <w:lang w:val="en-GB"/>
        </w:rPr>
      </w:pPr>
      <w:r w:rsidRPr="008B76E0">
        <w:rPr>
          <w:lang w:val="en-GB"/>
        </w:rPr>
        <w:t>Conclusions</w:t>
      </w:r>
    </w:p>
    <w:p w14:paraId="50825853" w14:textId="5E5F07A0" w:rsidR="00B70821" w:rsidRPr="008B76E0" w:rsidRDefault="000B5475" w:rsidP="00C30EA6">
      <w:pPr>
        <w:pStyle w:val="CETBodytext"/>
        <w:rPr>
          <w:lang w:val="en-GB"/>
        </w:rPr>
      </w:pPr>
      <w:r w:rsidRPr="008B76E0">
        <w:rPr>
          <w:lang w:val="en-GB"/>
        </w:rPr>
        <w:t xml:space="preserve">In the present study, many crucial safety aspects </w:t>
      </w:r>
      <w:r w:rsidR="00B70821" w:rsidRPr="008B76E0">
        <w:rPr>
          <w:lang w:val="en-GB"/>
        </w:rPr>
        <w:t>related to</w:t>
      </w:r>
      <w:r w:rsidRPr="008B76E0">
        <w:rPr>
          <w:lang w:val="en-GB"/>
        </w:rPr>
        <w:t xml:space="preserve"> hydrogen </w:t>
      </w:r>
      <w:proofErr w:type="spellStart"/>
      <w:r w:rsidRPr="008B76E0">
        <w:rPr>
          <w:lang w:val="en-GB"/>
        </w:rPr>
        <w:t>refueling</w:t>
      </w:r>
      <w:proofErr w:type="spellEnd"/>
      <w:r w:rsidRPr="008B76E0">
        <w:rPr>
          <w:lang w:val="en-GB"/>
        </w:rPr>
        <w:t xml:space="preserve"> stations have been outlined</w:t>
      </w:r>
      <w:r w:rsidR="00B70821" w:rsidRPr="008B76E0">
        <w:rPr>
          <w:lang w:val="en-GB"/>
        </w:rPr>
        <w:t>, also taking into account the main international and local regulations currently in force</w:t>
      </w:r>
      <w:r w:rsidRPr="008B76E0">
        <w:rPr>
          <w:lang w:val="en-GB"/>
        </w:rPr>
        <w:t>.</w:t>
      </w:r>
      <w:r w:rsidR="00B70821" w:rsidRPr="008B76E0">
        <w:rPr>
          <w:lang w:val="en-GB"/>
        </w:rPr>
        <w:t xml:space="preserve"> </w:t>
      </w:r>
      <w:r w:rsidR="007A2EBE" w:rsidRPr="008B76E0">
        <w:rPr>
          <w:lang w:val="en-GB"/>
        </w:rPr>
        <w:t>F</w:t>
      </w:r>
      <w:r w:rsidR="00994CBC" w:rsidRPr="008B76E0">
        <w:rPr>
          <w:lang w:val="en-GB"/>
        </w:rPr>
        <w:t xml:space="preserve">rom the technical point of view, </w:t>
      </w:r>
      <w:r w:rsidR="00A92187" w:rsidRPr="008B76E0">
        <w:rPr>
          <w:lang w:val="en-GB"/>
        </w:rPr>
        <w:t>the fundamental role of</w:t>
      </w:r>
      <w:r w:rsidR="0045479B" w:rsidRPr="008B76E0">
        <w:rPr>
          <w:lang w:val="en-GB"/>
        </w:rPr>
        <w:t xml:space="preserve"> fire protection and gas detection devices, intelligent shutdown and control systems, but also of taking into account the human factor influencing quality </w:t>
      </w:r>
      <w:r w:rsidR="007A2EBE" w:rsidRPr="008B76E0">
        <w:rPr>
          <w:lang w:val="en-GB"/>
        </w:rPr>
        <w:t xml:space="preserve">in </w:t>
      </w:r>
      <w:r w:rsidR="0045479B" w:rsidRPr="008B76E0">
        <w:rPr>
          <w:lang w:val="en-GB"/>
        </w:rPr>
        <w:t xml:space="preserve">maintenance </w:t>
      </w:r>
      <w:r w:rsidR="008E65E3" w:rsidRPr="008B76E0">
        <w:rPr>
          <w:lang w:val="en-GB"/>
        </w:rPr>
        <w:t xml:space="preserve">and inspection </w:t>
      </w:r>
      <w:r w:rsidR="0045479B" w:rsidRPr="008B76E0">
        <w:rPr>
          <w:lang w:val="en-GB"/>
        </w:rPr>
        <w:t>activit</w:t>
      </w:r>
      <w:r w:rsidR="00F573A6" w:rsidRPr="008B76E0">
        <w:rPr>
          <w:lang w:val="en-GB"/>
        </w:rPr>
        <w:t>i</w:t>
      </w:r>
      <w:r w:rsidR="0045479B" w:rsidRPr="008B76E0">
        <w:rPr>
          <w:lang w:val="en-GB"/>
        </w:rPr>
        <w:t>es,</w:t>
      </w:r>
      <w:r w:rsidR="00A92187" w:rsidRPr="008B76E0">
        <w:rPr>
          <w:lang w:val="en-GB"/>
        </w:rPr>
        <w:t xml:space="preserve"> </w:t>
      </w:r>
      <w:r w:rsidR="0045479B" w:rsidRPr="008B76E0">
        <w:rPr>
          <w:lang w:val="en-GB"/>
        </w:rPr>
        <w:t xml:space="preserve">in order to </w:t>
      </w:r>
      <w:r w:rsidR="00A92187" w:rsidRPr="008B76E0">
        <w:rPr>
          <w:lang w:val="en-GB"/>
        </w:rPr>
        <w:t>guarantee safety of such plants</w:t>
      </w:r>
      <w:r w:rsidR="0045479B" w:rsidRPr="008B76E0">
        <w:rPr>
          <w:lang w:val="en-GB"/>
        </w:rPr>
        <w:t>,</w:t>
      </w:r>
      <w:r w:rsidR="00A92187" w:rsidRPr="008B76E0">
        <w:rPr>
          <w:lang w:val="en-GB"/>
        </w:rPr>
        <w:t xml:space="preserve"> has emerged</w:t>
      </w:r>
      <w:r w:rsidR="0045479B" w:rsidRPr="008B76E0">
        <w:rPr>
          <w:lang w:val="en-GB"/>
        </w:rPr>
        <w:t>.</w:t>
      </w:r>
      <w:r w:rsidR="000D514A" w:rsidRPr="008B76E0">
        <w:rPr>
          <w:lang w:val="en-GB"/>
        </w:rPr>
        <w:t xml:space="preserve"> </w:t>
      </w:r>
      <w:r w:rsidR="00994CBC" w:rsidRPr="008B76E0">
        <w:rPr>
          <w:lang w:val="en-GB"/>
        </w:rPr>
        <w:t xml:space="preserve">With regard to the regulatory </w:t>
      </w:r>
      <w:r w:rsidR="008665DE" w:rsidRPr="008B76E0">
        <w:rPr>
          <w:lang w:val="en-GB"/>
        </w:rPr>
        <w:t>constraints</w:t>
      </w:r>
      <w:r w:rsidR="00994CBC" w:rsidRPr="008B76E0">
        <w:rPr>
          <w:lang w:val="en-GB"/>
        </w:rPr>
        <w:t>, g</w:t>
      </w:r>
      <w:r w:rsidR="00671B7F" w:rsidRPr="008B76E0">
        <w:rPr>
          <w:lang w:val="en-GB"/>
        </w:rPr>
        <w:t xml:space="preserve">iven Italy's delay in completing </w:t>
      </w:r>
      <w:r w:rsidR="001B673F" w:rsidRPr="008B76E0">
        <w:rPr>
          <w:lang w:val="en-GB"/>
        </w:rPr>
        <w:t xml:space="preserve">hydrogen </w:t>
      </w:r>
      <w:proofErr w:type="spellStart"/>
      <w:r w:rsidR="001B673F" w:rsidRPr="008B76E0">
        <w:rPr>
          <w:lang w:val="en-GB"/>
        </w:rPr>
        <w:t>refueling</w:t>
      </w:r>
      <w:proofErr w:type="spellEnd"/>
      <w:r w:rsidR="00671B7F" w:rsidRPr="008B76E0">
        <w:rPr>
          <w:lang w:val="en-GB"/>
        </w:rPr>
        <w:t xml:space="preserve"> plants, i</w:t>
      </w:r>
      <w:r w:rsidR="00394137" w:rsidRPr="008B76E0">
        <w:rPr>
          <w:lang w:val="en-GB"/>
        </w:rPr>
        <w:t xml:space="preserve">t </w:t>
      </w:r>
      <w:r w:rsidR="00994CBC" w:rsidRPr="008B76E0">
        <w:rPr>
          <w:lang w:val="en-GB"/>
        </w:rPr>
        <w:t>appears</w:t>
      </w:r>
      <w:r w:rsidR="00394137" w:rsidRPr="008B76E0">
        <w:rPr>
          <w:lang w:val="en-GB"/>
        </w:rPr>
        <w:t xml:space="preserve"> important to foster collaboration between those </w:t>
      </w:r>
      <w:r w:rsidR="00A437DB" w:rsidRPr="008B76E0">
        <w:rPr>
          <w:lang w:val="en-GB"/>
        </w:rPr>
        <w:t xml:space="preserve">actors </w:t>
      </w:r>
      <w:r w:rsidR="00394137" w:rsidRPr="008B76E0">
        <w:rPr>
          <w:lang w:val="en-GB"/>
        </w:rPr>
        <w:t>who deal with safety in Italy (</w:t>
      </w:r>
      <w:r w:rsidR="00B70821" w:rsidRPr="008B76E0">
        <w:rPr>
          <w:lang w:val="en-GB"/>
        </w:rPr>
        <w:t>F</w:t>
      </w:r>
      <w:r w:rsidR="00394137" w:rsidRPr="008B76E0">
        <w:rPr>
          <w:lang w:val="en-GB"/>
        </w:rPr>
        <w:t>ire brigades, research organizations, Institutions, etc.) in order to define common guidelines</w:t>
      </w:r>
      <w:r w:rsidR="00671B7F" w:rsidRPr="008B76E0">
        <w:rPr>
          <w:lang w:val="en-GB"/>
        </w:rPr>
        <w:t xml:space="preserve"> and good practices</w:t>
      </w:r>
      <w:r w:rsidR="00A437DB" w:rsidRPr="008B76E0">
        <w:rPr>
          <w:lang w:val="en-GB"/>
        </w:rPr>
        <w:t xml:space="preserve"> while</w:t>
      </w:r>
      <w:r w:rsidR="00671B7F" w:rsidRPr="008B76E0">
        <w:rPr>
          <w:lang w:val="en-GB"/>
        </w:rPr>
        <w:t xml:space="preserve"> </w:t>
      </w:r>
      <w:r w:rsidR="00394137" w:rsidRPr="008B76E0">
        <w:rPr>
          <w:lang w:val="en-GB"/>
        </w:rPr>
        <w:t>avoid</w:t>
      </w:r>
      <w:r w:rsidR="00671B7F" w:rsidRPr="008B76E0">
        <w:rPr>
          <w:lang w:val="en-GB"/>
        </w:rPr>
        <w:t>ing</w:t>
      </w:r>
      <w:r w:rsidR="00394137" w:rsidRPr="008B76E0">
        <w:rPr>
          <w:lang w:val="en-GB"/>
        </w:rPr>
        <w:t xml:space="preserve"> regulatory and procedural discrepancies between different geographical areas in Italy, as well as - as far as possible - between Italy and </w:t>
      </w:r>
      <w:r w:rsidR="002A0B5A" w:rsidRPr="008B76E0">
        <w:rPr>
          <w:lang w:val="en-GB"/>
        </w:rPr>
        <w:t xml:space="preserve">the </w:t>
      </w:r>
      <w:r w:rsidR="00394137" w:rsidRPr="008B76E0">
        <w:rPr>
          <w:lang w:val="en-GB"/>
        </w:rPr>
        <w:t>other European countries.</w:t>
      </w:r>
      <w:r w:rsidR="00B70821" w:rsidRPr="008B76E0">
        <w:rPr>
          <w:lang w:val="en-GB"/>
        </w:rPr>
        <w:t xml:space="preserve"> </w:t>
      </w:r>
      <w:r w:rsidR="00671B7F" w:rsidRPr="008B76E0">
        <w:rPr>
          <w:lang w:val="en-GB"/>
        </w:rPr>
        <w:t xml:space="preserve">At </w:t>
      </w:r>
      <w:r w:rsidR="00671B7F" w:rsidRPr="008B76E0">
        <w:rPr>
          <w:lang w:val="en-GB"/>
        </w:rPr>
        <w:lastRenderedPageBreak/>
        <w:t>the same time</w:t>
      </w:r>
      <w:r w:rsidR="00B70821" w:rsidRPr="008B76E0">
        <w:rPr>
          <w:lang w:val="en-GB"/>
        </w:rPr>
        <w:t xml:space="preserve">, </w:t>
      </w:r>
      <w:r w:rsidR="00671B7F" w:rsidRPr="008B76E0">
        <w:rPr>
          <w:lang w:val="en-GB"/>
        </w:rPr>
        <w:t xml:space="preserve">the world of scientific research signals that, at </w:t>
      </w:r>
      <w:r w:rsidR="00B80318">
        <w:rPr>
          <w:lang w:val="en-GB"/>
        </w:rPr>
        <w:t xml:space="preserve">the </w:t>
      </w:r>
      <w:r w:rsidR="00671B7F" w:rsidRPr="008B76E0">
        <w:rPr>
          <w:lang w:val="en-GB"/>
        </w:rPr>
        <w:t>international level, there is a specific need to harmonize</w:t>
      </w:r>
      <w:r w:rsidR="008500EB" w:rsidRPr="008B76E0">
        <w:rPr>
          <w:lang w:val="en-GB"/>
        </w:rPr>
        <w:t xml:space="preserve"> risk assessment practices</w:t>
      </w:r>
      <w:r w:rsidR="00DD403E" w:rsidRPr="008B76E0">
        <w:rPr>
          <w:lang w:val="en-GB"/>
        </w:rPr>
        <w:t xml:space="preserve">, as well as guidelines for inspecting and maintaining hydrogen </w:t>
      </w:r>
      <w:proofErr w:type="spellStart"/>
      <w:r w:rsidR="00DD403E" w:rsidRPr="008B76E0">
        <w:rPr>
          <w:lang w:val="en-GB"/>
        </w:rPr>
        <w:t>refueling</w:t>
      </w:r>
      <w:proofErr w:type="spellEnd"/>
      <w:r w:rsidR="00DD403E" w:rsidRPr="008B76E0">
        <w:rPr>
          <w:lang w:val="en-GB"/>
        </w:rPr>
        <w:t xml:space="preserve"> stations. </w:t>
      </w:r>
      <w:r w:rsidR="00C30EA6" w:rsidRPr="008B76E0">
        <w:rPr>
          <w:lang w:val="en-GB"/>
        </w:rPr>
        <w:t>To meet 2030 targets, inter-institutional task forces may need to prioritize</w:t>
      </w:r>
      <w:r w:rsidR="00B23F51" w:rsidRPr="008B76E0">
        <w:rPr>
          <w:lang w:val="en-GB"/>
        </w:rPr>
        <w:t xml:space="preserve"> the development of shared solutions in order to guarantee safe management of new rising hydrogen </w:t>
      </w:r>
      <w:proofErr w:type="spellStart"/>
      <w:r w:rsidR="00B23F51" w:rsidRPr="008B76E0">
        <w:rPr>
          <w:lang w:val="en-GB"/>
        </w:rPr>
        <w:t>refueling</w:t>
      </w:r>
      <w:proofErr w:type="spellEnd"/>
      <w:r w:rsidR="00B23F51" w:rsidRPr="008B76E0">
        <w:rPr>
          <w:lang w:val="en-GB"/>
        </w:rPr>
        <w:t xml:space="preserve"> stations.</w:t>
      </w:r>
    </w:p>
    <w:p w14:paraId="4F1327F8" w14:textId="77777777" w:rsidR="00600535" w:rsidRPr="008B76E0" w:rsidRDefault="00600535" w:rsidP="00600535">
      <w:pPr>
        <w:pStyle w:val="CETReference"/>
      </w:pPr>
      <w:r w:rsidRPr="008B76E0">
        <w:t>References</w:t>
      </w:r>
    </w:p>
    <w:p w14:paraId="6AF05A67" w14:textId="77777777" w:rsidR="00B62005" w:rsidRPr="008B76E0" w:rsidRDefault="00B62005" w:rsidP="00F03643">
      <w:pPr>
        <w:pStyle w:val="CETReferencetext"/>
      </w:pPr>
      <w:r w:rsidRPr="008B76E0">
        <w:t xml:space="preserve">Badia E., </w:t>
      </w:r>
      <w:proofErr w:type="spellStart"/>
      <w:r w:rsidRPr="008B76E0">
        <w:t>Navajas</w:t>
      </w:r>
      <w:proofErr w:type="spellEnd"/>
      <w:r w:rsidRPr="008B76E0">
        <w:t xml:space="preserve"> J., Sala R., Paltrinieri N., Sato H., 2024, Analysis of hydrogen value chain events: implications for hydrogen </w:t>
      </w:r>
      <w:proofErr w:type="spellStart"/>
      <w:r w:rsidRPr="008B76E0">
        <w:t>refueling</w:t>
      </w:r>
      <w:proofErr w:type="spellEnd"/>
      <w:r w:rsidRPr="008B76E0">
        <w:t xml:space="preserve"> stations’ safety, Safety, 10(2), article number 44.</w:t>
      </w:r>
    </w:p>
    <w:p w14:paraId="21C92046" w14:textId="77777777" w:rsidR="00B62005" w:rsidRPr="008B76E0" w:rsidRDefault="00B62005" w:rsidP="00A26E37">
      <w:pPr>
        <w:pStyle w:val="CETReferencetext"/>
      </w:pPr>
      <w:r w:rsidRPr="008B76E0">
        <w:t xml:space="preserve">Campari A., Akel A.J.N., Giannini L., </w:t>
      </w:r>
      <w:proofErr w:type="spellStart"/>
      <w:r w:rsidRPr="008B76E0">
        <w:t>Pasok</w:t>
      </w:r>
      <w:proofErr w:type="spellEnd"/>
      <w:r w:rsidRPr="008B76E0">
        <w:t xml:space="preserve"> J.M., Patriarca R., 2024, Human errors in the inspection of hydrogen </w:t>
      </w:r>
      <w:proofErr w:type="spellStart"/>
      <w:r w:rsidRPr="008B76E0">
        <w:t>refueling</w:t>
      </w:r>
      <w:proofErr w:type="spellEnd"/>
      <w:r w:rsidRPr="008B76E0">
        <w:t xml:space="preserve"> stations: a Bayesian network approach, Chemical Engineering Transactions, 111, 409-414.</w:t>
      </w:r>
    </w:p>
    <w:p w14:paraId="3BE7E4D6" w14:textId="77777777" w:rsidR="00B62005" w:rsidRPr="008B76E0" w:rsidRDefault="00B62005" w:rsidP="00857F51">
      <w:pPr>
        <w:pStyle w:val="CETReferencetext"/>
      </w:pPr>
      <w:r w:rsidRPr="008B76E0">
        <w:t xml:space="preserve">Caponi R., </w:t>
      </w:r>
      <w:proofErr w:type="spellStart"/>
      <w:r w:rsidRPr="008B76E0">
        <w:t>Monforti</w:t>
      </w:r>
      <w:proofErr w:type="spellEnd"/>
      <w:r w:rsidRPr="008B76E0">
        <w:t xml:space="preserve"> Ferrario A., Bocci E., Valenti G., Della Pietra M., 2021, Thermodynamic </w:t>
      </w:r>
      <w:proofErr w:type="spellStart"/>
      <w:r w:rsidRPr="008B76E0">
        <w:t>modeling</w:t>
      </w:r>
      <w:proofErr w:type="spellEnd"/>
      <w:r w:rsidRPr="008B76E0">
        <w:t xml:space="preserve"> of hydrogen </w:t>
      </w:r>
      <w:proofErr w:type="spellStart"/>
      <w:r w:rsidRPr="008B76E0">
        <w:t>refueling</w:t>
      </w:r>
      <w:proofErr w:type="spellEnd"/>
      <w:r w:rsidRPr="008B76E0">
        <w:t xml:space="preserve"> for heavy-duty fuel cell buses and comparison with aggregated real data, International Journal of Hydrogen Energy, 46(35), 18630-18643.</w:t>
      </w:r>
    </w:p>
    <w:p w14:paraId="4A42C38D" w14:textId="77777777" w:rsidR="00B62005" w:rsidRPr="008B76E0" w:rsidRDefault="00B62005" w:rsidP="00A26E37">
      <w:pPr>
        <w:pStyle w:val="CETReferencetext"/>
      </w:pPr>
      <w:r w:rsidRPr="008B76E0">
        <w:t>Chauhan A., Golestani N., Liu H., Salehi F., Abbassi R., 2024, Human reliability assessment in hydrogen refuelling stations: a system dynamic approach, International Journal of Hydrogen Energy, 56, 41-54.</w:t>
      </w:r>
    </w:p>
    <w:p w14:paraId="7E54E1F1" w14:textId="77777777" w:rsidR="00B62005" w:rsidRPr="008B76E0" w:rsidRDefault="00B62005" w:rsidP="00481BFF">
      <w:pPr>
        <w:pStyle w:val="CETReferencetext"/>
      </w:pPr>
      <w:r w:rsidRPr="008B76E0">
        <w:t>European Clean Hydrogen Alliance (ECH2A), 2023, Roadmap on hydrogen standardisation.</w:t>
      </w:r>
    </w:p>
    <w:p w14:paraId="196CE612" w14:textId="77777777" w:rsidR="00B62005" w:rsidRPr="008B76E0" w:rsidRDefault="00B62005" w:rsidP="00481BFF">
      <w:pPr>
        <w:pStyle w:val="CETReferencetext"/>
      </w:pPr>
      <w:r w:rsidRPr="008B76E0">
        <w:t>European Industrial Gases Association (EIGA), 2024, Hydrogen overview - distribution, storage, applications (Doc 247/24).</w:t>
      </w:r>
    </w:p>
    <w:p w14:paraId="01C2FC69" w14:textId="77777777" w:rsidR="00B62005" w:rsidRPr="008B76E0" w:rsidRDefault="00B62005" w:rsidP="001218BA">
      <w:pPr>
        <w:pStyle w:val="CETReferencetext"/>
      </w:pPr>
      <w:r w:rsidRPr="008B76E0">
        <w:t xml:space="preserve">Genovese M., </w:t>
      </w:r>
      <w:proofErr w:type="spellStart"/>
      <w:r w:rsidRPr="008B76E0">
        <w:t>Blekhman</w:t>
      </w:r>
      <w:proofErr w:type="spellEnd"/>
      <w:r w:rsidRPr="008B76E0">
        <w:t xml:space="preserve"> D., </w:t>
      </w:r>
      <w:proofErr w:type="spellStart"/>
      <w:r w:rsidRPr="008B76E0">
        <w:t>Fragiacomo</w:t>
      </w:r>
      <w:proofErr w:type="spellEnd"/>
      <w:r w:rsidRPr="008B76E0">
        <w:t xml:space="preserve"> P., 2024, An exploration of safety measures in hydrogen </w:t>
      </w:r>
      <w:proofErr w:type="spellStart"/>
      <w:r w:rsidRPr="008B76E0">
        <w:t>refueling</w:t>
      </w:r>
      <w:proofErr w:type="spellEnd"/>
      <w:r w:rsidRPr="008B76E0">
        <w:t xml:space="preserve"> stations: delving into hydrogen equipment and technical performance, Hydrogen (Switzerland), 5(1), 102-122.</w:t>
      </w:r>
    </w:p>
    <w:p w14:paraId="305A00A4" w14:textId="77777777" w:rsidR="00B62005" w:rsidRPr="008B76E0" w:rsidRDefault="00B62005" w:rsidP="009705F4">
      <w:pPr>
        <w:pStyle w:val="CETReferencetext"/>
      </w:pPr>
      <w:r w:rsidRPr="008B76E0">
        <w:t xml:space="preserve">Genovese M., </w:t>
      </w:r>
      <w:proofErr w:type="spellStart"/>
      <w:r w:rsidRPr="008B76E0">
        <w:t>Cigolotti</w:t>
      </w:r>
      <w:proofErr w:type="spellEnd"/>
      <w:r w:rsidRPr="008B76E0">
        <w:t xml:space="preserve"> V., Jannelli E., </w:t>
      </w:r>
      <w:proofErr w:type="spellStart"/>
      <w:r w:rsidRPr="008B76E0">
        <w:t>Fragiacomo</w:t>
      </w:r>
      <w:proofErr w:type="spellEnd"/>
      <w:r w:rsidRPr="008B76E0">
        <w:t xml:space="preserve"> P., 2023, Current standards and configurations for the permitting and operation of hydrogen </w:t>
      </w:r>
      <w:proofErr w:type="spellStart"/>
      <w:r w:rsidRPr="008B76E0">
        <w:t>refueling</w:t>
      </w:r>
      <w:proofErr w:type="spellEnd"/>
      <w:r w:rsidRPr="008B76E0">
        <w:t xml:space="preserve"> stations, International Journal of Hydrogen Energy, 48(51), 19357-19371.</w:t>
      </w:r>
    </w:p>
    <w:p w14:paraId="07D76BC6" w14:textId="77777777" w:rsidR="00B62005" w:rsidRPr="008B76E0" w:rsidRDefault="00B62005" w:rsidP="009705F4">
      <w:pPr>
        <w:pStyle w:val="CETReferencetext"/>
      </w:pPr>
      <w:r w:rsidRPr="008B76E0">
        <w:t>H2IT (Italian Hydrogen Association), 2023, Development of hydrogen filling stations. Regulatory barriers and implementation scenarios (in Italian).</w:t>
      </w:r>
    </w:p>
    <w:p w14:paraId="6E4E4D63" w14:textId="77777777" w:rsidR="00B62005" w:rsidRPr="008B76E0" w:rsidRDefault="00B62005" w:rsidP="00172C92">
      <w:pPr>
        <w:pStyle w:val="CETReferencetext"/>
      </w:pPr>
      <w:r w:rsidRPr="008B76E0">
        <w:t xml:space="preserve">He Q., Peng S., Zhang Z., He Y., Fan L., Yang Z., Wang X., Shi X., Su H., Zhang J., 2024, A systematic framework of resilience assessment based on multi-state transition </w:t>
      </w:r>
      <w:proofErr w:type="spellStart"/>
      <w:r w:rsidRPr="008B76E0">
        <w:t>modeling</w:t>
      </w:r>
      <w:proofErr w:type="spellEnd"/>
      <w:r w:rsidRPr="008B76E0">
        <w:t xml:space="preserve"> under two-phase recovery for hydrogen </w:t>
      </w:r>
      <w:proofErr w:type="spellStart"/>
      <w:r w:rsidRPr="008B76E0">
        <w:t>refueling</w:t>
      </w:r>
      <w:proofErr w:type="spellEnd"/>
      <w:r w:rsidRPr="008B76E0">
        <w:t xml:space="preserve"> stations, International Journal of Hydrogen Energy, 90, 481-497.</w:t>
      </w:r>
    </w:p>
    <w:p w14:paraId="4CFBD396" w14:textId="77777777" w:rsidR="00B62005" w:rsidRPr="008B76E0" w:rsidRDefault="00B62005" w:rsidP="008902E9">
      <w:pPr>
        <w:pStyle w:val="CETReferencetext"/>
      </w:pPr>
      <w:r w:rsidRPr="008B76E0">
        <w:t xml:space="preserve">Isaac N., Saha A.K., 2023, A review of the optimization strategies and methods used to locate hydrogen fuel </w:t>
      </w:r>
      <w:proofErr w:type="spellStart"/>
      <w:r w:rsidRPr="008B76E0">
        <w:t>refueling</w:t>
      </w:r>
      <w:proofErr w:type="spellEnd"/>
      <w:r w:rsidRPr="008B76E0">
        <w:t xml:space="preserve"> stations, Energies, 16(5), article number 2171.</w:t>
      </w:r>
    </w:p>
    <w:p w14:paraId="73F10ECF" w14:textId="77777777" w:rsidR="00B62005" w:rsidRPr="008B76E0" w:rsidRDefault="00B62005" w:rsidP="00B62BE3">
      <w:pPr>
        <w:pStyle w:val="CETReferencetext"/>
        <w:ind w:left="0" w:firstLine="0"/>
      </w:pPr>
      <w:r w:rsidRPr="008B76E0">
        <w:t>ISO 19880-1:2020 - “Gaseous hydrogen - Fuelling stations - Part 1: General requirements”.</w:t>
      </w:r>
    </w:p>
    <w:p w14:paraId="01D21BEE" w14:textId="77777777" w:rsidR="00B62005" w:rsidRPr="008B76E0" w:rsidRDefault="00B62005" w:rsidP="00421E47">
      <w:pPr>
        <w:pStyle w:val="CETReferencetext"/>
      </w:pPr>
      <w:r w:rsidRPr="008B76E0">
        <w:t>Italian Government, Legislative Decree 16 December 2016, n</w:t>
      </w:r>
      <w:r w:rsidRPr="008B76E0">
        <w:rPr>
          <w:vertAlign w:val="superscript"/>
        </w:rPr>
        <w:t>o</w:t>
      </w:r>
      <w:r w:rsidRPr="008B76E0">
        <w:t xml:space="preserve"> 257, Regulation implementing </w:t>
      </w:r>
      <w:bookmarkStart w:id="1" w:name="_Hlk200366662"/>
      <w:r w:rsidRPr="008B76E0">
        <w:t xml:space="preserve">Directive 2014/94/EU of the European Parliament and of the Council of 22 October 2014 (Directive Alternative Fuel Initiative) on the establishment of an infrastructure for alternative fuels </w:t>
      </w:r>
      <w:bookmarkEnd w:id="1"/>
      <w:r w:rsidRPr="008B76E0">
        <w:t>(in Italian).</w:t>
      </w:r>
    </w:p>
    <w:p w14:paraId="74862F55" w14:textId="77777777" w:rsidR="00B62005" w:rsidRPr="008B76E0" w:rsidRDefault="00B62005" w:rsidP="00481BFF">
      <w:pPr>
        <w:pStyle w:val="CETReferencetext"/>
      </w:pPr>
      <w:r w:rsidRPr="008B76E0">
        <w:t>Italian Ministry of the Interior, Decree 23 October 2018, Fire prevention technical regulation for the design, construction and operation of hydrogen distribution systems for motor vehicles (in Italian).</w:t>
      </w:r>
    </w:p>
    <w:p w14:paraId="6582DC04" w14:textId="77777777" w:rsidR="00DE36F2" w:rsidRPr="008B76E0" w:rsidRDefault="00DE36F2" w:rsidP="00DE36F2">
      <w:pPr>
        <w:pStyle w:val="CETReferencetext"/>
      </w:pPr>
      <w:r w:rsidRPr="008B76E0">
        <w:t>Italian Ministry of the Interior, Decree 7 July 2023, Fire prevention technical regulation for the identification of methodologies for risk analysis and fire safety measures to be adopted for the design, construction and operation of hydrogen production plants by electrolysis and their storage systems (in Italian).</w:t>
      </w:r>
    </w:p>
    <w:p w14:paraId="623858E4" w14:textId="77777777" w:rsidR="00B62005" w:rsidRPr="008B76E0" w:rsidRDefault="00B62005" w:rsidP="00496D38">
      <w:pPr>
        <w:pStyle w:val="CETReferencetext"/>
      </w:pPr>
      <w:r w:rsidRPr="008B76E0">
        <w:t xml:space="preserve">Kang J., Su T., Li J., Wang Z., Zhang J., 2025, Research on risk evolution, prevention, and control of fire and explosion accidents in hydrogen </w:t>
      </w:r>
      <w:proofErr w:type="spellStart"/>
      <w:r w:rsidRPr="008B76E0">
        <w:t>refueling</w:t>
      </w:r>
      <w:proofErr w:type="spellEnd"/>
      <w:r w:rsidRPr="008B76E0">
        <w:t xml:space="preserve"> stations based on the </w:t>
      </w:r>
      <w:proofErr w:type="spellStart"/>
      <w:r w:rsidRPr="008B76E0">
        <w:t>AcciMap</w:t>
      </w:r>
      <w:proofErr w:type="spellEnd"/>
      <w:r w:rsidRPr="008B76E0">
        <w:t>-FTA model, Process Safety and Environmental Protection, 194, 107-118.</w:t>
      </w:r>
    </w:p>
    <w:p w14:paraId="26B6FAF2" w14:textId="77777777" w:rsidR="00B62005" w:rsidRPr="008B76E0" w:rsidRDefault="00B62005" w:rsidP="00A37BA1">
      <w:pPr>
        <w:pStyle w:val="CETReferencetext"/>
      </w:pPr>
      <w:r w:rsidRPr="008B76E0">
        <w:t xml:space="preserve">Lu Z., Cao Y., Zou Y., Li X., Yang F., </w:t>
      </w:r>
      <w:proofErr w:type="spellStart"/>
      <w:r w:rsidRPr="008B76E0">
        <w:t>Khakzad</w:t>
      </w:r>
      <w:proofErr w:type="spellEnd"/>
      <w:r w:rsidRPr="008B76E0">
        <w:t xml:space="preserve"> N., Chen C., 2024, Dynamic risk analysis of fire and explosion domino accidents at hydrogen </w:t>
      </w:r>
      <w:proofErr w:type="spellStart"/>
      <w:r w:rsidRPr="008B76E0">
        <w:t>refueling</w:t>
      </w:r>
      <w:proofErr w:type="spellEnd"/>
      <w:r w:rsidRPr="008B76E0">
        <w:t xml:space="preserve"> stations using Dynamic Bayesian Network, International Journal of Hydrogen Energy, 95, 546-557.</w:t>
      </w:r>
    </w:p>
    <w:p w14:paraId="54C5E0C4" w14:textId="77777777" w:rsidR="00B62005" w:rsidRPr="008B76E0" w:rsidRDefault="00B62005" w:rsidP="00172C92">
      <w:pPr>
        <w:pStyle w:val="CETReferencetext"/>
      </w:pPr>
      <w:r w:rsidRPr="008B76E0">
        <w:t xml:space="preserve">Park S., Hashim B., Zahid U., Kim J., 2025, </w:t>
      </w:r>
      <w:r w:rsidRPr="008B76E0">
        <w:tab/>
        <w:t xml:space="preserve">Global risk assessment of hydrogen </w:t>
      </w:r>
      <w:proofErr w:type="spellStart"/>
      <w:r w:rsidRPr="008B76E0">
        <w:t>refueling</w:t>
      </w:r>
      <w:proofErr w:type="spellEnd"/>
      <w:r w:rsidRPr="008B76E0">
        <w:t xml:space="preserve"> stations: trends, challenges, and future directions, International Journal of Hydrogen Energy, 106, 1462-1479.</w:t>
      </w:r>
    </w:p>
    <w:p w14:paraId="063B8E48" w14:textId="77777777" w:rsidR="00B62005" w:rsidRPr="008B76E0" w:rsidRDefault="00B62005" w:rsidP="009A0777">
      <w:pPr>
        <w:pStyle w:val="CETReferencetext"/>
      </w:pPr>
      <w:r w:rsidRPr="008B76E0">
        <w:t>Raj A., Larsson I.A.S., Ljung A.-L., Forslund T., Andersson R., Sundstr</w:t>
      </w:r>
      <w:r w:rsidRPr="008B76E0">
        <w:rPr>
          <w:rFonts w:cs="Arial"/>
        </w:rPr>
        <w:t>ö</w:t>
      </w:r>
      <w:r w:rsidRPr="008B76E0">
        <w:t>m J., Lundstr</w:t>
      </w:r>
      <w:r w:rsidRPr="008B76E0">
        <w:rPr>
          <w:rFonts w:cs="Arial"/>
        </w:rPr>
        <w:t>ö</w:t>
      </w:r>
      <w:r w:rsidRPr="008B76E0">
        <w:t>m T.S., 2024, Evaluating hydrogen gas transport in pipelines: current state of numerical and experimental methodologies, International Journal of Hydrogen Energy, 67, 136–149.</w:t>
      </w:r>
    </w:p>
    <w:p w14:paraId="35CE09D1" w14:textId="77777777" w:rsidR="00B62005" w:rsidRPr="008B76E0" w:rsidRDefault="00B62005" w:rsidP="00172C92">
      <w:pPr>
        <w:pStyle w:val="CETReferencetext"/>
      </w:pPr>
      <w:proofErr w:type="spellStart"/>
      <w:r w:rsidRPr="008B76E0">
        <w:t>Vereš</w:t>
      </w:r>
      <w:proofErr w:type="spellEnd"/>
      <w:r w:rsidRPr="008B76E0">
        <w:t xml:space="preserve"> J., </w:t>
      </w:r>
      <w:proofErr w:type="spellStart"/>
      <w:r w:rsidRPr="008B76E0">
        <w:t>Ochodek</w:t>
      </w:r>
      <w:proofErr w:type="spellEnd"/>
      <w:r w:rsidRPr="008B76E0">
        <w:t xml:space="preserve"> T., </w:t>
      </w:r>
      <w:proofErr w:type="spellStart"/>
      <w:r w:rsidRPr="008B76E0">
        <w:t>Koloničný</w:t>
      </w:r>
      <w:proofErr w:type="spellEnd"/>
      <w:r w:rsidRPr="008B76E0">
        <w:t xml:space="preserve"> J., 2022, Safety aspects of hydrogen fuelling stations, Chemical Engineering Transactions, 91, 49–54.</w:t>
      </w:r>
    </w:p>
    <w:p w14:paraId="3C5B7077" w14:textId="77777777" w:rsidR="00B62005" w:rsidRPr="008B76E0" w:rsidRDefault="00B62005" w:rsidP="00495224">
      <w:pPr>
        <w:pStyle w:val="CETReferencetext"/>
      </w:pPr>
      <w:r w:rsidRPr="008B76E0">
        <w:rPr>
          <w:lang w:val="it-IT"/>
        </w:rPr>
        <w:t xml:space="preserve">Vianello C., Carboni M., Mazzaro M., Mocellin P., Pilo F., Pio G., Russo P., Salzano E., 2020, </w:t>
      </w:r>
      <w:proofErr w:type="spellStart"/>
      <w:r w:rsidRPr="008B76E0">
        <w:rPr>
          <w:lang w:val="it-IT"/>
        </w:rPr>
        <w:t>Hydrogen</w:t>
      </w:r>
      <w:proofErr w:type="spellEnd"/>
      <w:r w:rsidRPr="008B76E0">
        <w:rPr>
          <w:lang w:val="it-IT"/>
        </w:rPr>
        <w:t xml:space="preserve"> </w:t>
      </w:r>
      <w:proofErr w:type="spellStart"/>
      <w:r w:rsidRPr="008B76E0">
        <w:rPr>
          <w:lang w:val="it-IT"/>
        </w:rPr>
        <w:t>refueling</w:t>
      </w:r>
      <w:proofErr w:type="spellEnd"/>
      <w:r w:rsidRPr="008B76E0">
        <w:rPr>
          <w:lang w:val="it-IT"/>
        </w:rPr>
        <w:t xml:space="preserve"> stations: </w:t>
      </w:r>
      <w:proofErr w:type="spellStart"/>
      <w:r w:rsidRPr="008B76E0">
        <w:rPr>
          <w:lang w:val="it-IT"/>
        </w:rPr>
        <w:t>prevention</w:t>
      </w:r>
      <w:proofErr w:type="spellEnd"/>
      <w:r w:rsidRPr="008B76E0">
        <w:rPr>
          <w:lang w:val="it-IT"/>
        </w:rPr>
        <w:t xml:space="preserve"> and scenario management. </w:t>
      </w:r>
      <w:r w:rsidRPr="008B76E0">
        <w:t>Large scale experimental investigation of hydrogen jet-fires, Chemical Engineering Transactions, 82, 247-252.</w:t>
      </w:r>
    </w:p>
    <w:p w14:paraId="19C4FC68" w14:textId="16F23A7B" w:rsidR="004628D2" w:rsidRPr="001B673F" w:rsidRDefault="00B62005" w:rsidP="001B673F">
      <w:pPr>
        <w:pStyle w:val="CETReferencetext"/>
      </w:pPr>
      <w:r w:rsidRPr="008B76E0">
        <w:t xml:space="preserve">Xing J., Qian J., Peng R., Zio E., 2024, Physics-informed data-driven Bayesian network for the risk analysis of hydrogen </w:t>
      </w:r>
      <w:proofErr w:type="spellStart"/>
      <w:r w:rsidRPr="008B76E0">
        <w:t>refueling</w:t>
      </w:r>
      <w:proofErr w:type="spellEnd"/>
      <w:r w:rsidRPr="008B76E0">
        <w:t xml:space="preserve"> stations, International Journal of Hydrogen Energy, 110, 371-385.</w:t>
      </w:r>
    </w:p>
    <w:sectPr w:rsidR="004628D2" w:rsidRPr="001B673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60F6" w14:textId="77777777" w:rsidR="005849C0" w:rsidRDefault="005849C0" w:rsidP="004F5E36">
      <w:r>
        <w:separator/>
      </w:r>
    </w:p>
  </w:endnote>
  <w:endnote w:type="continuationSeparator" w:id="0">
    <w:p w14:paraId="657E892D" w14:textId="77777777" w:rsidR="005849C0" w:rsidRDefault="005849C0" w:rsidP="004F5E36">
      <w:r>
        <w:continuationSeparator/>
      </w:r>
    </w:p>
  </w:endnote>
  <w:endnote w:type="continuationNotice" w:id="1">
    <w:p w14:paraId="39283310" w14:textId="77777777" w:rsidR="004E7528" w:rsidRDefault="004E75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545E" w14:textId="77777777" w:rsidR="005849C0" w:rsidRDefault="005849C0" w:rsidP="004F5E36">
      <w:r>
        <w:separator/>
      </w:r>
    </w:p>
  </w:footnote>
  <w:footnote w:type="continuationSeparator" w:id="0">
    <w:p w14:paraId="25B819CE" w14:textId="77777777" w:rsidR="005849C0" w:rsidRDefault="005849C0" w:rsidP="004F5E36">
      <w:r>
        <w:continuationSeparator/>
      </w:r>
    </w:p>
  </w:footnote>
  <w:footnote w:type="continuationNotice" w:id="1">
    <w:p w14:paraId="41F2A248" w14:textId="77777777" w:rsidR="004E7528" w:rsidRDefault="004E752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B6130B4"/>
    <w:multiLevelType w:val="hybridMultilevel"/>
    <w:tmpl w:val="50F2AA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B96232C"/>
    <w:multiLevelType w:val="hybridMultilevel"/>
    <w:tmpl w:val="9B2ECC34"/>
    <w:lvl w:ilvl="0" w:tplc="6C706BF0">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34A1F80"/>
    <w:multiLevelType w:val="multilevel"/>
    <w:tmpl w:val="1BDABAC2"/>
    <w:lvl w:ilvl="0">
      <w:start w:val="1"/>
      <w:numFmt w:val="decimal"/>
      <w:lvlText w:val="%1."/>
      <w:lvlJc w:val="left"/>
      <w:pPr>
        <w:ind w:left="360" w:hanging="360"/>
      </w:pPr>
      <w:rPr>
        <w:rFonts w:hint="default"/>
      </w:rPr>
    </w:lvl>
    <w:lvl w:ilvl="1">
      <w:start w:val="1"/>
      <w:numFmt w:val="decimal"/>
      <w:pStyle w:val="CETheadingx"/>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5A45CE"/>
    <w:multiLevelType w:val="hybridMultilevel"/>
    <w:tmpl w:val="6E984436"/>
    <w:lvl w:ilvl="0" w:tplc="EF10E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438217E"/>
    <w:multiLevelType w:val="multilevel"/>
    <w:tmpl w:val="A29254D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65121B8"/>
    <w:multiLevelType w:val="hybridMultilevel"/>
    <w:tmpl w:val="8D22FC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54C2B"/>
    <w:multiLevelType w:val="hybridMultilevel"/>
    <w:tmpl w:val="E42AE28A"/>
    <w:lvl w:ilvl="0" w:tplc="3C200E46">
      <w:numFmt w:val="bullet"/>
      <w:lvlText w:val="•"/>
      <w:lvlJc w:val="left"/>
      <w:pPr>
        <w:ind w:left="4596" w:hanging="4596"/>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4FC4ACA"/>
    <w:multiLevelType w:val="hybridMultilevel"/>
    <w:tmpl w:val="B492E2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8E25C98"/>
    <w:multiLevelType w:val="hybridMultilevel"/>
    <w:tmpl w:val="0AE43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D26770"/>
    <w:multiLevelType w:val="hybridMultilevel"/>
    <w:tmpl w:val="12B4BF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A217B1"/>
    <w:multiLevelType w:val="hybridMultilevel"/>
    <w:tmpl w:val="15AA8E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6C2A43"/>
    <w:multiLevelType w:val="hybridMultilevel"/>
    <w:tmpl w:val="FE2A1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D61AC8"/>
    <w:multiLevelType w:val="hybridMultilevel"/>
    <w:tmpl w:val="08F4DD02"/>
    <w:lvl w:ilvl="0" w:tplc="0B12FA1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CA93577"/>
    <w:multiLevelType w:val="hybridMultilevel"/>
    <w:tmpl w:val="A0660B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EFB4440"/>
    <w:multiLevelType w:val="hybridMultilevel"/>
    <w:tmpl w:val="28E64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16882765">
    <w:abstractNumId w:val="1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8"/>
  </w:num>
  <w:num w:numId="13" w16cid:durableId="695733619">
    <w:abstractNumId w:val="18"/>
  </w:num>
  <w:num w:numId="14" w16cid:durableId="145903400">
    <w:abstractNumId w:val="29"/>
  </w:num>
  <w:num w:numId="15" w16cid:durableId="19162326">
    <w:abstractNumId w:val="32"/>
  </w:num>
  <w:num w:numId="16" w16cid:durableId="1977102699">
    <w:abstractNumId w:val="31"/>
  </w:num>
  <w:num w:numId="17" w16cid:durableId="860774865">
    <w:abstractNumId w:val="17"/>
  </w:num>
  <w:num w:numId="18" w16cid:durableId="313221457">
    <w:abstractNumId w:val="18"/>
    <w:lvlOverride w:ilvl="0">
      <w:startOverride w:val="1"/>
    </w:lvlOverride>
  </w:num>
  <w:num w:numId="19" w16cid:durableId="534971577">
    <w:abstractNumId w:val="27"/>
  </w:num>
  <w:num w:numId="20" w16cid:durableId="1150947773">
    <w:abstractNumId w:val="26"/>
  </w:num>
  <w:num w:numId="21" w16cid:durableId="124660497">
    <w:abstractNumId w:val="21"/>
  </w:num>
  <w:num w:numId="22" w16cid:durableId="2099861471">
    <w:abstractNumId w:val="20"/>
  </w:num>
  <w:num w:numId="23" w16cid:durableId="84351335">
    <w:abstractNumId w:val="12"/>
  </w:num>
  <w:num w:numId="24" w16cid:durableId="44373369">
    <w:abstractNumId w:val="14"/>
  </w:num>
  <w:num w:numId="25" w16cid:durableId="1675917887">
    <w:abstractNumId w:val="19"/>
  </w:num>
  <w:num w:numId="26" w16cid:durableId="937639155">
    <w:abstractNumId w:val="33"/>
  </w:num>
  <w:num w:numId="27" w16cid:durableId="350185442">
    <w:abstractNumId w:val="10"/>
  </w:num>
  <w:num w:numId="28" w16cid:durableId="906695354">
    <w:abstractNumId w:val="16"/>
  </w:num>
  <w:num w:numId="29" w16cid:durableId="717702318">
    <w:abstractNumId w:val="34"/>
  </w:num>
  <w:num w:numId="30" w16cid:durableId="689456634">
    <w:abstractNumId w:val="25"/>
  </w:num>
  <w:num w:numId="31" w16cid:durableId="455678111">
    <w:abstractNumId w:val="22"/>
  </w:num>
  <w:num w:numId="32" w16cid:durableId="1888375434">
    <w:abstractNumId w:val="24"/>
  </w:num>
  <w:num w:numId="33" w16cid:durableId="1273593317">
    <w:abstractNumId w:val="35"/>
  </w:num>
  <w:num w:numId="34" w16cid:durableId="1328754803">
    <w:abstractNumId w:val="30"/>
  </w:num>
  <w:num w:numId="35" w16cid:durableId="2079354874">
    <w:abstractNumId w:val="15"/>
  </w:num>
  <w:num w:numId="36" w16cid:durableId="2139489841">
    <w:abstractNumId w:val="23"/>
  </w:num>
  <w:num w:numId="37" w16cid:durableId="1260944048">
    <w:abstractNumId w:val="11"/>
  </w:num>
  <w:num w:numId="38" w16cid:durableId="393091753">
    <w:abstractNumId w:val="11"/>
    <w:lvlOverride w:ilvl="0">
      <w:startOverride w:val="1"/>
    </w:lvlOverride>
  </w:num>
  <w:num w:numId="39" w16cid:durableId="2029599047">
    <w:abstractNumId w:val="13"/>
  </w:num>
  <w:num w:numId="40" w16cid:durableId="1265571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CD4"/>
    <w:rsid w:val="0001046B"/>
    <w:rsid w:val="000117CB"/>
    <w:rsid w:val="000133B7"/>
    <w:rsid w:val="00013C45"/>
    <w:rsid w:val="0001448B"/>
    <w:rsid w:val="00020ECC"/>
    <w:rsid w:val="00021AB7"/>
    <w:rsid w:val="00021FC8"/>
    <w:rsid w:val="00022923"/>
    <w:rsid w:val="00023B01"/>
    <w:rsid w:val="00026705"/>
    <w:rsid w:val="0003148D"/>
    <w:rsid w:val="00031EEC"/>
    <w:rsid w:val="00051566"/>
    <w:rsid w:val="000562A9"/>
    <w:rsid w:val="000610D5"/>
    <w:rsid w:val="00062A9A"/>
    <w:rsid w:val="00064985"/>
    <w:rsid w:val="00065058"/>
    <w:rsid w:val="00081CF5"/>
    <w:rsid w:val="00086C39"/>
    <w:rsid w:val="00097011"/>
    <w:rsid w:val="000A03B2"/>
    <w:rsid w:val="000B5475"/>
    <w:rsid w:val="000D0268"/>
    <w:rsid w:val="000D05A4"/>
    <w:rsid w:val="000D34BE"/>
    <w:rsid w:val="000D514A"/>
    <w:rsid w:val="000E0B3C"/>
    <w:rsid w:val="000E102F"/>
    <w:rsid w:val="000E14E1"/>
    <w:rsid w:val="000E323F"/>
    <w:rsid w:val="000E36F1"/>
    <w:rsid w:val="000E3A73"/>
    <w:rsid w:val="000E414A"/>
    <w:rsid w:val="000E753C"/>
    <w:rsid w:val="000E75FD"/>
    <w:rsid w:val="000F093C"/>
    <w:rsid w:val="000F27BC"/>
    <w:rsid w:val="000F3AB1"/>
    <w:rsid w:val="000F4074"/>
    <w:rsid w:val="000F6539"/>
    <w:rsid w:val="000F787B"/>
    <w:rsid w:val="001129D6"/>
    <w:rsid w:val="001137C6"/>
    <w:rsid w:val="001172F9"/>
    <w:rsid w:val="0012091F"/>
    <w:rsid w:val="00120FD9"/>
    <w:rsid w:val="001218BA"/>
    <w:rsid w:val="00126046"/>
    <w:rsid w:val="00126BC2"/>
    <w:rsid w:val="001308B6"/>
    <w:rsid w:val="0013121F"/>
    <w:rsid w:val="00131FE6"/>
    <w:rsid w:val="0013263F"/>
    <w:rsid w:val="001331DF"/>
    <w:rsid w:val="00134DE4"/>
    <w:rsid w:val="0014034D"/>
    <w:rsid w:val="00140EF1"/>
    <w:rsid w:val="00140FE3"/>
    <w:rsid w:val="00141B88"/>
    <w:rsid w:val="00144D16"/>
    <w:rsid w:val="00144E26"/>
    <w:rsid w:val="00145A20"/>
    <w:rsid w:val="00150E59"/>
    <w:rsid w:val="00152DE3"/>
    <w:rsid w:val="001545A3"/>
    <w:rsid w:val="0016369E"/>
    <w:rsid w:val="00164CF9"/>
    <w:rsid w:val="001667A6"/>
    <w:rsid w:val="00172C92"/>
    <w:rsid w:val="001738DF"/>
    <w:rsid w:val="00177405"/>
    <w:rsid w:val="0018171E"/>
    <w:rsid w:val="00182CAE"/>
    <w:rsid w:val="00184AD6"/>
    <w:rsid w:val="00193A3E"/>
    <w:rsid w:val="00197ABA"/>
    <w:rsid w:val="001A4AF7"/>
    <w:rsid w:val="001B0349"/>
    <w:rsid w:val="001B1E93"/>
    <w:rsid w:val="001B65C1"/>
    <w:rsid w:val="001B673F"/>
    <w:rsid w:val="001C260F"/>
    <w:rsid w:val="001C5C3A"/>
    <w:rsid w:val="001C684B"/>
    <w:rsid w:val="001C69AA"/>
    <w:rsid w:val="001D0CFB"/>
    <w:rsid w:val="001D202A"/>
    <w:rsid w:val="001D21AF"/>
    <w:rsid w:val="001D2751"/>
    <w:rsid w:val="001D53FC"/>
    <w:rsid w:val="001E21D7"/>
    <w:rsid w:val="001E3C09"/>
    <w:rsid w:val="001E61E5"/>
    <w:rsid w:val="001E7FEB"/>
    <w:rsid w:val="001F1D1D"/>
    <w:rsid w:val="001F411B"/>
    <w:rsid w:val="001F42A5"/>
    <w:rsid w:val="001F7B9D"/>
    <w:rsid w:val="00201C93"/>
    <w:rsid w:val="00205280"/>
    <w:rsid w:val="00206784"/>
    <w:rsid w:val="002140E7"/>
    <w:rsid w:val="00217B76"/>
    <w:rsid w:val="002224B4"/>
    <w:rsid w:val="00225DA2"/>
    <w:rsid w:val="00231807"/>
    <w:rsid w:val="002447EF"/>
    <w:rsid w:val="00251550"/>
    <w:rsid w:val="002557D6"/>
    <w:rsid w:val="00260B2E"/>
    <w:rsid w:val="00261480"/>
    <w:rsid w:val="00263B05"/>
    <w:rsid w:val="002658BF"/>
    <w:rsid w:val="0027221A"/>
    <w:rsid w:val="00274A48"/>
    <w:rsid w:val="00275B61"/>
    <w:rsid w:val="00276F26"/>
    <w:rsid w:val="00280FAF"/>
    <w:rsid w:val="00282656"/>
    <w:rsid w:val="00283769"/>
    <w:rsid w:val="00287D04"/>
    <w:rsid w:val="002930B2"/>
    <w:rsid w:val="0029318F"/>
    <w:rsid w:val="00296B83"/>
    <w:rsid w:val="002A0B5A"/>
    <w:rsid w:val="002A3480"/>
    <w:rsid w:val="002B4015"/>
    <w:rsid w:val="002B78CE"/>
    <w:rsid w:val="002C2FB6"/>
    <w:rsid w:val="002C4179"/>
    <w:rsid w:val="002D0582"/>
    <w:rsid w:val="002D0584"/>
    <w:rsid w:val="002D0A78"/>
    <w:rsid w:val="002E3E2C"/>
    <w:rsid w:val="002E5FA7"/>
    <w:rsid w:val="002E6807"/>
    <w:rsid w:val="002F1C8C"/>
    <w:rsid w:val="002F3309"/>
    <w:rsid w:val="003008CE"/>
    <w:rsid w:val="003009B7"/>
    <w:rsid w:val="00300E56"/>
    <w:rsid w:val="0030152C"/>
    <w:rsid w:val="00301D8D"/>
    <w:rsid w:val="0030469C"/>
    <w:rsid w:val="00312720"/>
    <w:rsid w:val="00314F74"/>
    <w:rsid w:val="00315FF2"/>
    <w:rsid w:val="00316AC0"/>
    <w:rsid w:val="00317F6E"/>
    <w:rsid w:val="00321CA6"/>
    <w:rsid w:val="00323763"/>
    <w:rsid w:val="00323C5F"/>
    <w:rsid w:val="00334C09"/>
    <w:rsid w:val="00335D65"/>
    <w:rsid w:val="00335FF6"/>
    <w:rsid w:val="003429F5"/>
    <w:rsid w:val="003479BA"/>
    <w:rsid w:val="00357379"/>
    <w:rsid w:val="003605BE"/>
    <w:rsid w:val="003723D4"/>
    <w:rsid w:val="00373753"/>
    <w:rsid w:val="00381905"/>
    <w:rsid w:val="00381FB8"/>
    <w:rsid w:val="00384CC8"/>
    <w:rsid w:val="0038702B"/>
    <w:rsid w:val="003871FD"/>
    <w:rsid w:val="003904D3"/>
    <w:rsid w:val="00392E3C"/>
    <w:rsid w:val="00394137"/>
    <w:rsid w:val="0039459B"/>
    <w:rsid w:val="00395FAF"/>
    <w:rsid w:val="003A1E30"/>
    <w:rsid w:val="003A2829"/>
    <w:rsid w:val="003A7D1C"/>
    <w:rsid w:val="003B304B"/>
    <w:rsid w:val="003B3146"/>
    <w:rsid w:val="003B49CD"/>
    <w:rsid w:val="003C44A4"/>
    <w:rsid w:val="003C648C"/>
    <w:rsid w:val="003D14C6"/>
    <w:rsid w:val="003D1ACB"/>
    <w:rsid w:val="003D1E02"/>
    <w:rsid w:val="003D6902"/>
    <w:rsid w:val="003D69BA"/>
    <w:rsid w:val="003D7BC3"/>
    <w:rsid w:val="003E17CE"/>
    <w:rsid w:val="003E3C37"/>
    <w:rsid w:val="003E79BB"/>
    <w:rsid w:val="003F015E"/>
    <w:rsid w:val="003F4930"/>
    <w:rsid w:val="00400414"/>
    <w:rsid w:val="004006C8"/>
    <w:rsid w:val="004049E5"/>
    <w:rsid w:val="00410CE7"/>
    <w:rsid w:val="0041446B"/>
    <w:rsid w:val="00415555"/>
    <w:rsid w:val="00421E47"/>
    <w:rsid w:val="0042437B"/>
    <w:rsid w:val="004253B3"/>
    <w:rsid w:val="00432A1D"/>
    <w:rsid w:val="0044071E"/>
    <w:rsid w:val="00440DDD"/>
    <w:rsid w:val="0044329C"/>
    <w:rsid w:val="004502B6"/>
    <w:rsid w:val="00452DE9"/>
    <w:rsid w:val="00453E24"/>
    <w:rsid w:val="004541DB"/>
    <w:rsid w:val="004544F0"/>
    <w:rsid w:val="0045479B"/>
    <w:rsid w:val="00457456"/>
    <w:rsid w:val="004577FE"/>
    <w:rsid w:val="00457B9C"/>
    <w:rsid w:val="0046164A"/>
    <w:rsid w:val="004628D2"/>
    <w:rsid w:val="00462DCD"/>
    <w:rsid w:val="004632FC"/>
    <w:rsid w:val="00463408"/>
    <w:rsid w:val="00463567"/>
    <w:rsid w:val="004648AD"/>
    <w:rsid w:val="004703A9"/>
    <w:rsid w:val="00474C7F"/>
    <w:rsid w:val="004760DE"/>
    <w:rsid w:val="004763D7"/>
    <w:rsid w:val="00481BFF"/>
    <w:rsid w:val="00484C6D"/>
    <w:rsid w:val="00491E92"/>
    <w:rsid w:val="00494969"/>
    <w:rsid w:val="00495224"/>
    <w:rsid w:val="00496D38"/>
    <w:rsid w:val="004A004E"/>
    <w:rsid w:val="004A24CF"/>
    <w:rsid w:val="004A7522"/>
    <w:rsid w:val="004A7DDB"/>
    <w:rsid w:val="004B59C3"/>
    <w:rsid w:val="004C3D1D"/>
    <w:rsid w:val="004C3D84"/>
    <w:rsid w:val="004C4139"/>
    <w:rsid w:val="004C7209"/>
    <w:rsid w:val="004C7913"/>
    <w:rsid w:val="004D1504"/>
    <w:rsid w:val="004D3E55"/>
    <w:rsid w:val="004E2B84"/>
    <w:rsid w:val="004E4DD6"/>
    <w:rsid w:val="004E7528"/>
    <w:rsid w:val="004E7DF6"/>
    <w:rsid w:val="004F0081"/>
    <w:rsid w:val="004F0407"/>
    <w:rsid w:val="004F5E36"/>
    <w:rsid w:val="004F790D"/>
    <w:rsid w:val="00500EB5"/>
    <w:rsid w:val="005043E9"/>
    <w:rsid w:val="00507B47"/>
    <w:rsid w:val="00507BEF"/>
    <w:rsid w:val="00507CC9"/>
    <w:rsid w:val="0051115B"/>
    <w:rsid w:val="005119A5"/>
    <w:rsid w:val="00515C99"/>
    <w:rsid w:val="00517530"/>
    <w:rsid w:val="005278B7"/>
    <w:rsid w:val="00530DE8"/>
    <w:rsid w:val="00532016"/>
    <w:rsid w:val="005346C8"/>
    <w:rsid w:val="00543E7D"/>
    <w:rsid w:val="00546676"/>
    <w:rsid w:val="005476BC"/>
    <w:rsid w:val="00547A68"/>
    <w:rsid w:val="005531C9"/>
    <w:rsid w:val="00554879"/>
    <w:rsid w:val="005607D1"/>
    <w:rsid w:val="00570C43"/>
    <w:rsid w:val="0057416F"/>
    <w:rsid w:val="005750D5"/>
    <w:rsid w:val="005848CB"/>
    <w:rsid w:val="005849C0"/>
    <w:rsid w:val="005851C2"/>
    <w:rsid w:val="00591F87"/>
    <w:rsid w:val="00592274"/>
    <w:rsid w:val="00597903"/>
    <w:rsid w:val="005A1084"/>
    <w:rsid w:val="005A4350"/>
    <w:rsid w:val="005A52B3"/>
    <w:rsid w:val="005A7ACA"/>
    <w:rsid w:val="005B2110"/>
    <w:rsid w:val="005B350B"/>
    <w:rsid w:val="005B3DDD"/>
    <w:rsid w:val="005B5013"/>
    <w:rsid w:val="005B61E6"/>
    <w:rsid w:val="005B7050"/>
    <w:rsid w:val="005C68F4"/>
    <w:rsid w:val="005C77E1"/>
    <w:rsid w:val="005D668A"/>
    <w:rsid w:val="005D6A2F"/>
    <w:rsid w:val="005D6C79"/>
    <w:rsid w:val="005E0592"/>
    <w:rsid w:val="005E1A82"/>
    <w:rsid w:val="005E3EEE"/>
    <w:rsid w:val="005E794C"/>
    <w:rsid w:val="005E7E7D"/>
    <w:rsid w:val="005F0A28"/>
    <w:rsid w:val="005F0E5E"/>
    <w:rsid w:val="005F3BB2"/>
    <w:rsid w:val="005F6D27"/>
    <w:rsid w:val="00600535"/>
    <w:rsid w:val="00600C27"/>
    <w:rsid w:val="00610CD6"/>
    <w:rsid w:val="00620DEE"/>
    <w:rsid w:val="00621F92"/>
    <w:rsid w:val="0062280A"/>
    <w:rsid w:val="006231E1"/>
    <w:rsid w:val="00625639"/>
    <w:rsid w:val="00631B33"/>
    <w:rsid w:val="0063410D"/>
    <w:rsid w:val="0064184D"/>
    <w:rsid w:val="006422CC"/>
    <w:rsid w:val="00644036"/>
    <w:rsid w:val="00651D18"/>
    <w:rsid w:val="00652F30"/>
    <w:rsid w:val="00653539"/>
    <w:rsid w:val="00660E3E"/>
    <w:rsid w:val="00662E74"/>
    <w:rsid w:val="00670C56"/>
    <w:rsid w:val="00671063"/>
    <w:rsid w:val="00671B7F"/>
    <w:rsid w:val="00680C23"/>
    <w:rsid w:val="00683E23"/>
    <w:rsid w:val="00683EC6"/>
    <w:rsid w:val="0069219C"/>
    <w:rsid w:val="00692E9C"/>
    <w:rsid w:val="00693766"/>
    <w:rsid w:val="006958C7"/>
    <w:rsid w:val="006A19AB"/>
    <w:rsid w:val="006A3150"/>
    <w:rsid w:val="006A3281"/>
    <w:rsid w:val="006A6DE5"/>
    <w:rsid w:val="006B4888"/>
    <w:rsid w:val="006C24AF"/>
    <w:rsid w:val="006C2E45"/>
    <w:rsid w:val="006C359C"/>
    <w:rsid w:val="006C3F61"/>
    <w:rsid w:val="006C41E7"/>
    <w:rsid w:val="006C5579"/>
    <w:rsid w:val="006D4A93"/>
    <w:rsid w:val="006D6E8B"/>
    <w:rsid w:val="006D7209"/>
    <w:rsid w:val="006D7F4B"/>
    <w:rsid w:val="006E737D"/>
    <w:rsid w:val="006F4145"/>
    <w:rsid w:val="006F49FB"/>
    <w:rsid w:val="006F6708"/>
    <w:rsid w:val="00701AD4"/>
    <w:rsid w:val="00707DD1"/>
    <w:rsid w:val="00713973"/>
    <w:rsid w:val="00720A24"/>
    <w:rsid w:val="00732386"/>
    <w:rsid w:val="0073514D"/>
    <w:rsid w:val="0073596A"/>
    <w:rsid w:val="00741B72"/>
    <w:rsid w:val="00742C11"/>
    <w:rsid w:val="007447F3"/>
    <w:rsid w:val="007500BD"/>
    <w:rsid w:val="0075499F"/>
    <w:rsid w:val="00760445"/>
    <w:rsid w:val="00762A24"/>
    <w:rsid w:val="00764E41"/>
    <w:rsid w:val="007661C8"/>
    <w:rsid w:val="00767079"/>
    <w:rsid w:val="00767BF7"/>
    <w:rsid w:val="0077098D"/>
    <w:rsid w:val="00772FF8"/>
    <w:rsid w:val="00785BF9"/>
    <w:rsid w:val="007861CC"/>
    <w:rsid w:val="0079237C"/>
    <w:rsid w:val="007931FA"/>
    <w:rsid w:val="007A1529"/>
    <w:rsid w:val="007A2EBE"/>
    <w:rsid w:val="007A4861"/>
    <w:rsid w:val="007A709D"/>
    <w:rsid w:val="007A7BBA"/>
    <w:rsid w:val="007B0C50"/>
    <w:rsid w:val="007B48F9"/>
    <w:rsid w:val="007B4F1E"/>
    <w:rsid w:val="007B5F40"/>
    <w:rsid w:val="007B7C74"/>
    <w:rsid w:val="007C077D"/>
    <w:rsid w:val="007C1A43"/>
    <w:rsid w:val="007C332C"/>
    <w:rsid w:val="007D07D8"/>
    <w:rsid w:val="007D0951"/>
    <w:rsid w:val="007D610D"/>
    <w:rsid w:val="007F70DE"/>
    <w:rsid w:val="007F7DEF"/>
    <w:rsid w:val="0080013E"/>
    <w:rsid w:val="00801759"/>
    <w:rsid w:val="00801B35"/>
    <w:rsid w:val="00801E68"/>
    <w:rsid w:val="008040EE"/>
    <w:rsid w:val="0081107A"/>
    <w:rsid w:val="00813288"/>
    <w:rsid w:val="008168FC"/>
    <w:rsid w:val="00820418"/>
    <w:rsid w:val="00820DB0"/>
    <w:rsid w:val="00822174"/>
    <w:rsid w:val="0082389F"/>
    <w:rsid w:val="00830996"/>
    <w:rsid w:val="00833ABE"/>
    <w:rsid w:val="008345F1"/>
    <w:rsid w:val="008436C8"/>
    <w:rsid w:val="008500EB"/>
    <w:rsid w:val="0085098E"/>
    <w:rsid w:val="00857F51"/>
    <w:rsid w:val="008610DC"/>
    <w:rsid w:val="00865B07"/>
    <w:rsid w:val="008665DE"/>
    <w:rsid w:val="008667EA"/>
    <w:rsid w:val="008714C7"/>
    <w:rsid w:val="0087637F"/>
    <w:rsid w:val="0088114F"/>
    <w:rsid w:val="008832AA"/>
    <w:rsid w:val="008902E9"/>
    <w:rsid w:val="00892AD5"/>
    <w:rsid w:val="008943EE"/>
    <w:rsid w:val="00895C4C"/>
    <w:rsid w:val="008A1512"/>
    <w:rsid w:val="008B2950"/>
    <w:rsid w:val="008B76E0"/>
    <w:rsid w:val="008D32B9"/>
    <w:rsid w:val="008D37F7"/>
    <w:rsid w:val="008D433B"/>
    <w:rsid w:val="008D4A16"/>
    <w:rsid w:val="008D7050"/>
    <w:rsid w:val="008E5401"/>
    <w:rsid w:val="008E566E"/>
    <w:rsid w:val="008E65E3"/>
    <w:rsid w:val="0090161A"/>
    <w:rsid w:val="00901EB6"/>
    <w:rsid w:val="009041F8"/>
    <w:rsid w:val="00904583"/>
    <w:rsid w:val="00904C62"/>
    <w:rsid w:val="00905EA7"/>
    <w:rsid w:val="0090719A"/>
    <w:rsid w:val="00910BA4"/>
    <w:rsid w:val="00914F4C"/>
    <w:rsid w:val="00917757"/>
    <w:rsid w:val="009221B7"/>
    <w:rsid w:val="00922BA8"/>
    <w:rsid w:val="00924DAC"/>
    <w:rsid w:val="00927058"/>
    <w:rsid w:val="00932189"/>
    <w:rsid w:val="0093253E"/>
    <w:rsid w:val="009350D1"/>
    <w:rsid w:val="009351FD"/>
    <w:rsid w:val="00935FB0"/>
    <w:rsid w:val="00942750"/>
    <w:rsid w:val="009450CE"/>
    <w:rsid w:val="009459BB"/>
    <w:rsid w:val="00947179"/>
    <w:rsid w:val="0095164B"/>
    <w:rsid w:val="00954090"/>
    <w:rsid w:val="009573E7"/>
    <w:rsid w:val="00963E05"/>
    <w:rsid w:val="00964A45"/>
    <w:rsid w:val="009673EE"/>
    <w:rsid w:val="00967843"/>
    <w:rsid w:val="00967D54"/>
    <w:rsid w:val="009705F4"/>
    <w:rsid w:val="00970624"/>
    <w:rsid w:val="00971028"/>
    <w:rsid w:val="00975891"/>
    <w:rsid w:val="00983D68"/>
    <w:rsid w:val="00986624"/>
    <w:rsid w:val="0098746E"/>
    <w:rsid w:val="00993B84"/>
    <w:rsid w:val="00994C6A"/>
    <w:rsid w:val="00994CBC"/>
    <w:rsid w:val="00996483"/>
    <w:rsid w:val="00996F5A"/>
    <w:rsid w:val="00997ECE"/>
    <w:rsid w:val="009A0777"/>
    <w:rsid w:val="009B041A"/>
    <w:rsid w:val="009C01E7"/>
    <w:rsid w:val="009C1B26"/>
    <w:rsid w:val="009C37C3"/>
    <w:rsid w:val="009C7C86"/>
    <w:rsid w:val="009D00E5"/>
    <w:rsid w:val="009D2FF7"/>
    <w:rsid w:val="009D60E8"/>
    <w:rsid w:val="009E4C65"/>
    <w:rsid w:val="009E7884"/>
    <w:rsid w:val="009E788A"/>
    <w:rsid w:val="009E7F40"/>
    <w:rsid w:val="009F0E08"/>
    <w:rsid w:val="009F35AA"/>
    <w:rsid w:val="00A022B7"/>
    <w:rsid w:val="00A079AE"/>
    <w:rsid w:val="00A07A0A"/>
    <w:rsid w:val="00A1763D"/>
    <w:rsid w:val="00A17CEC"/>
    <w:rsid w:val="00A202FF"/>
    <w:rsid w:val="00A26E37"/>
    <w:rsid w:val="00A27EF0"/>
    <w:rsid w:val="00A31E99"/>
    <w:rsid w:val="00A34F04"/>
    <w:rsid w:val="00A3681B"/>
    <w:rsid w:val="00A37BA1"/>
    <w:rsid w:val="00A417F6"/>
    <w:rsid w:val="00A42361"/>
    <w:rsid w:val="00A431FE"/>
    <w:rsid w:val="00A437DB"/>
    <w:rsid w:val="00A45025"/>
    <w:rsid w:val="00A50B20"/>
    <w:rsid w:val="00A51390"/>
    <w:rsid w:val="00A554B6"/>
    <w:rsid w:val="00A568A6"/>
    <w:rsid w:val="00A60D13"/>
    <w:rsid w:val="00A64D0F"/>
    <w:rsid w:val="00A7223D"/>
    <w:rsid w:val="00A72745"/>
    <w:rsid w:val="00A76EFC"/>
    <w:rsid w:val="00A854B9"/>
    <w:rsid w:val="00A86C86"/>
    <w:rsid w:val="00A87D50"/>
    <w:rsid w:val="00A91010"/>
    <w:rsid w:val="00A92187"/>
    <w:rsid w:val="00A97F29"/>
    <w:rsid w:val="00AA702E"/>
    <w:rsid w:val="00AA7D26"/>
    <w:rsid w:val="00AB0964"/>
    <w:rsid w:val="00AB17E9"/>
    <w:rsid w:val="00AB35AA"/>
    <w:rsid w:val="00AB5011"/>
    <w:rsid w:val="00AC2F02"/>
    <w:rsid w:val="00AC7368"/>
    <w:rsid w:val="00AD16B9"/>
    <w:rsid w:val="00AD2D84"/>
    <w:rsid w:val="00AD6D05"/>
    <w:rsid w:val="00AE33EA"/>
    <w:rsid w:val="00AE377D"/>
    <w:rsid w:val="00AE4F70"/>
    <w:rsid w:val="00AE5506"/>
    <w:rsid w:val="00AE6BBE"/>
    <w:rsid w:val="00AF0EBA"/>
    <w:rsid w:val="00AF1BF2"/>
    <w:rsid w:val="00AF2463"/>
    <w:rsid w:val="00B02C8A"/>
    <w:rsid w:val="00B17FBD"/>
    <w:rsid w:val="00B23C47"/>
    <w:rsid w:val="00B23F51"/>
    <w:rsid w:val="00B30388"/>
    <w:rsid w:val="00B315A6"/>
    <w:rsid w:val="00B31813"/>
    <w:rsid w:val="00B33365"/>
    <w:rsid w:val="00B47304"/>
    <w:rsid w:val="00B51525"/>
    <w:rsid w:val="00B5398F"/>
    <w:rsid w:val="00B54A77"/>
    <w:rsid w:val="00B57B36"/>
    <w:rsid w:val="00B57E6F"/>
    <w:rsid w:val="00B62005"/>
    <w:rsid w:val="00B621A9"/>
    <w:rsid w:val="00B62BE3"/>
    <w:rsid w:val="00B70821"/>
    <w:rsid w:val="00B75F3E"/>
    <w:rsid w:val="00B80318"/>
    <w:rsid w:val="00B80513"/>
    <w:rsid w:val="00B830DB"/>
    <w:rsid w:val="00B8686D"/>
    <w:rsid w:val="00B86A4D"/>
    <w:rsid w:val="00B93F69"/>
    <w:rsid w:val="00B954E2"/>
    <w:rsid w:val="00BA0E20"/>
    <w:rsid w:val="00BA2C77"/>
    <w:rsid w:val="00BA548F"/>
    <w:rsid w:val="00BA603C"/>
    <w:rsid w:val="00BB1DDC"/>
    <w:rsid w:val="00BC30C9"/>
    <w:rsid w:val="00BC3180"/>
    <w:rsid w:val="00BD077D"/>
    <w:rsid w:val="00BD1A6B"/>
    <w:rsid w:val="00BD3957"/>
    <w:rsid w:val="00BD60E5"/>
    <w:rsid w:val="00BE1643"/>
    <w:rsid w:val="00BE1770"/>
    <w:rsid w:val="00BE3E58"/>
    <w:rsid w:val="00BE44E0"/>
    <w:rsid w:val="00BF13CE"/>
    <w:rsid w:val="00BF267C"/>
    <w:rsid w:val="00BF5D5D"/>
    <w:rsid w:val="00BF78E7"/>
    <w:rsid w:val="00C01616"/>
    <w:rsid w:val="00C0162B"/>
    <w:rsid w:val="00C068ED"/>
    <w:rsid w:val="00C06D9D"/>
    <w:rsid w:val="00C06EE1"/>
    <w:rsid w:val="00C07A1B"/>
    <w:rsid w:val="00C154DA"/>
    <w:rsid w:val="00C22E0C"/>
    <w:rsid w:val="00C307B8"/>
    <w:rsid w:val="00C30EA6"/>
    <w:rsid w:val="00C32C7D"/>
    <w:rsid w:val="00C345B1"/>
    <w:rsid w:val="00C3519E"/>
    <w:rsid w:val="00C368D0"/>
    <w:rsid w:val="00C40142"/>
    <w:rsid w:val="00C40D62"/>
    <w:rsid w:val="00C43698"/>
    <w:rsid w:val="00C43B36"/>
    <w:rsid w:val="00C52C3C"/>
    <w:rsid w:val="00C57182"/>
    <w:rsid w:val="00C57863"/>
    <w:rsid w:val="00C62741"/>
    <w:rsid w:val="00C640AF"/>
    <w:rsid w:val="00C655FD"/>
    <w:rsid w:val="00C66F60"/>
    <w:rsid w:val="00C75407"/>
    <w:rsid w:val="00C75916"/>
    <w:rsid w:val="00C81E7D"/>
    <w:rsid w:val="00C841C6"/>
    <w:rsid w:val="00C848AC"/>
    <w:rsid w:val="00C86B64"/>
    <w:rsid w:val="00C870A8"/>
    <w:rsid w:val="00C9209A"/>
    <w:rsid w:val="00C94434"/>
    <w:rsid w:val="00CA0698"/>
    <w:rsid w:val="00CA0D75"/>
    <w:rsid w:val="00CA1C95"/>
    <w:rsid w:val="00CA4D7E"/>
    <w:rsid w:val="00CA5A9C"/>
    <w:rsid w:val="00CA6AE5"/>
    <w:rsid w:val="00CB1D52"/>
    <w:rsid w:val="00CC0192"/>
    <w:rsid w:val="00CC275D"/>
    <w:rsid w:val="00CC4C20"/>
    <w:rsid w:val="00CD3517"/>
    <w:rsid w:val="00CD5FE2"/>
    <w:rsid w:val="00CE2705"/>
    <w:rsid w:val="00CE67B3"/>
    <w:rsid w:val="00CE7C68"/>
    <w:rsid w:val="00CF18DF"/>
    <w:rsid w:val="00CF6AAE"/>
    <w:rsid w:val="00CF6C8F"/>
    <w:rsid w:val="00D020A3"/>
    <w:rsid w:val="00D02B4C"/>
    <w:rsid w:val="00D02FE5"/>
    <w:rsid w:val="00D040C4"/>
    <w:rsid w:val="00D05DFE"/>
    <w:rsid w:val="00D077CA"/>
    <w:rsid w:val="00D20AD1"/>
    <w:rsid w:val="00D219C8"/>
    <w:rsid w:val="00D2582C"/>
    <w:rsid w:val="00D275E8"/>
    <w:rsid w:val="00D27913"/>
    <w:rsid w:val="00D319D0"/>
    <w:rsid w:val="00D31DA1"/>
    <w:rsid w:val="00D40D06"/>
    <w:rsid w:val="00D45758"/>
    <w:rsid w:val="00D461DB"/>
    <w:rsid w:val="00D46B7E"/>
    <w:rsid w:val="00D46C67"/>
    <w:rsid w:val="00D47A0C"/>
    <w:rsid w:val="00D56700"/>
    <w:rsid w:val="00D57C84"/>
    <w:rsid w:val="00D57E19"/>
    <w:rsid w:val="00D57EE6"/>
    <w:rsid w:val="00D6057D"/>
    <w:rsid w:val="00D71640"/>
    <w:rsid w:val="00D73FD9"/>
    <w:rsid w:val="00D76781"/>
    <w:rsid w:val="00D830E6"/>
    <w:rsid w:val="00D836C5"/>
    <w:rsid w:val="00D84576"/>
    <w:rsid w:val="00D85CCE"/>
    <w:rsid w:val="00D91D33"/>
    <w:rsid w:val="00DA1399"/>
    <w:rsid w:val="00DA1CF8"/>
    <w:rsid w:val="00DA24C6"/>
    <w:rsid w:val="00DA4D7B"/>
    <w:rsid w:val="00DA6155"/>
    <w:rsid w:val="00DC2274"/>
    <w:rsid w:val="00DC2840"/>
    <w:rsid w:val="00DC3996"/>
    <w:rsid w:val="00DC6DF9"/>
    <w:rsid w:val="00DC73EE"/>
    <w:rsid w:val="00DD271C"/>
    <w:rsid w:val="00DD403E"/>
    <w:rsid w:val="00DD5DAF"/>
    <w:rsid w:val="00DE096A"/>
    <w:rsid w:val="00DE1F3B"/>
    <w:rsid w:val="00DE264A"/>
    <w:rsid w:val="00DE2962"/>
    <w:rsid w:val="00DE36F2"/>
    <w:rsid w:val="00DF0FFB"/>
    <w:rsid w:val="00DF2F80"/>
    <w:rsid w:val="00DF5072"/>
    <w:rsid w:val="00DF62CD"/>
    <w:rsid w:val="00DF6A0C"/>
    <w:rsid w:val="00E02D18"/>
    <w:rsid w:val="00E041E7"/>
    <w:rsid w:val="00E116CA"/>
    <w:rsid w:val="00E11F13"/>
    <w:rsid w:val="00E11FBF"/>
    <w:rsid w:val="00E15FD0"/>
    <w:rsid w:val="00E22204"/>
    <w:rsid w:val="00E23CA1"/>
    <w:rsid w:val="00E26091"/>
    <w:rsid w:val="00E315F8"/>
    <w:rsid w:val="00E3171D"/>
    <w:rsid w:val="00E3179E"/>
    <w:rsid w:val="00E36243"/>
    <w:rsid w:val="00E409A8"/>
    <w:rsid w:val="00E4351C"/>
    <w:rsid w:val="00E44E86"/>
    <w:rsid w:val="00E46A69"/>
    <w:rsid w:val="00E50807"/>
    <w:rsid w:val="00E50C12"/>
    <w:rsid w:val="00E516DE"/>
    <w:rsid w:val="00E529F4"/>
    <w:rsid w:val="00E53719"/>
    <w:rsid w:val="00E53C12"/>
    <w:rsid w:val="00E63973"/>
    <w:rsid w:val="00E658FD"/>
    <w:rsid w:val="00E65B91"/>
    <w:rsid w:val="00E7209D"/>
    <w:rsid w:val="00E72EAD"/>
    <w:rsid w:val="00E76A74"/>
    <w:rsid w:val="00E77223"/>
    <w:rsid w:val="00E804A7"/>
    <w:rsid w:val="00E81FDE"/>
    <w:rsid w:val="00E822D9"/>
    <w:rsid w:val="00E84FBC"/>
    <w:rsid w:val="00E8528B"/>
    <w:rsid w:val="00E85B94"/>
    <w:rsid w:val="00E86DEE"/>
    <w:rsid w:val="00E944C8"/>
    <w:rsid w:val="00E978D0"/>
    <w:rsid w:val="00EA4613"/>
    <w:rsid w:val="00EA6306"/>
    <w:rsid w:val="00EA7291"/>
    <w:rsid w:val="00EA7F91"/>
    <w:rsid w:val="00EB027B"/>
    <w:rsid w:val="00EB1523"/>
    <w:rsid w:val="00EC0E49"/>
    <w:rsid w:val="00EC101F"/>
    <w:rsid w:val="00EC1D9F"/>
    <w:rsid w:val="00EC5862"/>
    <w:rsid w:val="00EC6D52"/>
    <w:rsid w:val="00EE0131"/>
    <w:rsid w:val="00EE17B0"/>
    <w:rsid w:val="00EE3334"/>
    <w:rsid w:val="00EE3442"/>
    <w:rsid w:val="00EE7548"/>
    <w:rsid w:val="00EE7FEE"/>
    <w:rsid w:val="00EF06D9"/>
    <w:rsid w:val="00EF6663"/>
    <w:rsid w:val="00F03643"/>
    <w:rsid w:val="00F05D71"/>
    <w:rsid w:val="00F1324F"/>
    <w:rsid w:val="00F15174"/>
    <w:rsid w:val="00F17BE0"/>
    <w:rsid w:val="00F3049E"/>
    <w:rsid w:val="00F30C64"/>
    <w:rsid w:val="00F32BA2"/>
    <w:rsid w:val="00F32CDB"/>
    <w:rsid w:val="00F34FBD"/>
    <w:rsid w:val="00F36844"/>
    <w:rsid w:val="00F40DF9"/>
    <w:rsid w:val="00F41EE4"/>
    <w:rsid w:val="00F4218A"/>
    <w:rsid w:val="00F53E7A"/>
    <w:rsid w:val="00F565FE"/>
    <w:rsid w:val="00F573A6"/>
    <w:rsid w:val="00F63A70"/>
    <w:rsid w:val="00F63D8C"/>
    <w:rsid w:val="00F64042"/>
    <w:rsid w:val="00F67042"/>
    <w:rsid w:val="00F7534E"/>
    <w:rsid w:val="00F76513"/>
    <w:rsid w:val="00F832C2"/>
    <w:rsid w:val="00F9292D"/>
    <w:rsid w:val="00F93EDF"/>
    <w:rsid w:val="00FA1802"/>
    <w:rsid w:val="00FA21D0"/>
    <w:rsid w:val="00FA5F5F"/>
    <w:rsid w:val="00FB0CC0"/>
    <w:rsid w:val="00FB730C"/>
    <w:rsid w:val="00FC02E9"/>
    <w:rsid w:val="00FC2695"/>
    <w:rsid w:val="00FC3E03"/>
    <w:rsid w:val="00FC3FC1"/>
    <w:rsid w:val="00FC5BFC"/>
    <w:rsid w:val="00FE1FC1"/>
    <w:rsid w:val="00FF77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954E2"/>
    <w:pPr>
      <w:keepNext/>
      <w:numPr>
        <w:ilvl w:val="1"/>
        <w:numId w:val="39"/>
      </w:numPr>
      <w:suppressAutoHyphens/>
      <w:spacing w:before="120" w:after="120" w:line="240" w:lineRule="auto"/>
      <w:ind w:left="426" w:hanging="426"/>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954E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E4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7082">
      <w:bodyDiv w:val="1"/>
      <w:marLeft w:val="0"/>
      <w:marRight w:val="0"/>
      <w:marTop w:val="0"/>
      <w:marBottom w:val="0"/>
      <w:divBdr>
        <w:top w:val="none" w:sz="0" w:space="0" w:color="auto"/>
        <w:left w:val="none" w:sz="0" w:space="0" w:color="auto"/>
        <w:bottom w:val="none" w:sz="0" w:space="0" w:color="auto"/>
        <w:right w:val="none" w:sz="0" w:space="0" w:color="auto"/>
      </w:divBdr>
    </w:div>
    <w:div w:id="189689854">
      <w:bodyDiv w:val="1"/>
      <w:marLeft w:val="0"/>
      <w:marRight w:val="0"/>
      <w:marTop w:val="0"/>
      <w:marBottom w:val="0"/>
      <w:divBdr>
        <w:top w:val="none" w:sz="0" w:space="0" w:color="auto"/>
        <w:left w:val="none" w:sz="0" w:space="0" w:color="auto"/>
        <w:bottom w:val="none" w:sz="0" w:space="0" w:color="auto"/>
        <w:right w:val="none" w:sz="0" w:space="0" w:color="auto"/>
      </w:divBdr>
    </w:div>
    <w:div w:id="320743020">
      <w:bodyDiv w:val="1"/>
      <w:marLeft w:val="0"/>
      <w:marRight w:val="0"/>
      <w:marTop w:val="0"/>
      <w:marBottom w:val="0"/>
      <w:divBdr>
        <w:top w:val="none" w:sz="0" w:space="0" w:color="auto"/>
        <w:left w:val="none" w:sz="0" w:space="0" w:color="auto"/>
        <w:bottom w:val="none" w:sz="0" w:space="0" w:color="auto"/>
        <w:right w:val="none" w:sz="0" w:space="0" w:color="auto"/>
      </w:divBdr>
    </w:div>
    <w:div w:id="3879192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165">
      <w:bodyDiv w:val="1"/>
      <w:marLeft w:val="0"/>
      <w:marRight w:val="0"/>
      <w:marTop w:val="0"/>
      <w:marBottom w:val="0"/>
      <w:divBdr>
        <w:top w:val="none" w:sz="0" w:space="0" w:color="auto"/>
        <w:left w:val="none" w:sz="0" w:space="0" w:color="auto"/>
        <w:bottom w:val="none" w:sz="0" w:space="0" w:color="auto"/>
        <w:right w:val="none" w:sz="0" w:space="0" w:color="auto"/>
      </w:divBdr>
    </w:div>
    <w:div w:id="127540933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61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21191227">
      <w:bodyDiv w:val="1"/>
      <w:marLeft w:val="0"/>
      <w:marRight w:val="0"/>
      <w:marTop w:val="0"/>
      <w:marBottom w:val="0"/>
      <w:divBdr>
        <w:top w:val="none" w:sz="0" w:space="0" w:color="auto"/>
        <w:left w:val="none" w:sz="0" w:space="0" w:color="auto"/>
        <w:bottom w:val="none" w:sz="0" w:space="0" w:color="auto"/>
        <w:right w:val="none" w:sz="0" w:space="0" w:color="auto"/>
      </w:divBdr>
    </w:div>
    <w:div w:id="2061245102">
      <w:bodyDiv w:val="1"/>
      <w:marLeft w:val="0"/>
      <w:marRight w:val="0"/>
      <w:marTop w:val="0"/>
      <w:marBottom w:val="0"/>
      <w:divBdr>
        <w:top w:val="none" w:sz="0" w:space="0" w:color="auto"/>
        <w:left w:val="none" w:sz="0" w:space="0" w:color="auto"/>
        <w:bottom w:val="none" w:sz="0" w:space="0" w:color="auto"/>
        <w:right w:val="none" w:sz="0" w:space="0" w:color="auto"/>
      </w:divBdr>
    </w:div>
    <w:div w:id="209566103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4502</Words>
  <Characters>25666</Characters>
  <Application>Microsoft Office Word</Application>
  <DocSecurity>0</DocSecurity>
  <Lines>213</Lines>
  <Paragraphs>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CARRA SILVIA</dc:creator>
  <cp:lastModifiedBy>CARRA SILVIA</cp:lastModifiedBy>
  <cp:revision>9</cp:revision>
  <cp:lastPrinted>2015-05-12T18:31:00Z</cp:lastPrinted>
  <dcterms:created xsi:type="dcterms:W3CDTF">2025-07-21T08:35:00Z</dcterms:created>
  <dcterms:modified xsi:type="dcterms:W3CDTF">2025-07-21T09:06:00Z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