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737395" w:rsidRPr="00945992" w14:paraId="2A131A54" w14:textId="77777777" w:rsidTr="00A86A45">
        <w:trPr>
          <w:trHeight w:val="852"/>
          <w:jc w:val="center"/>
        </w:trPr>
        <w:tc>
          <w:tcPr>
            <w:tcW w:w="6940" w:type="dxa"/>
            <w:vMerge w:val="restart"/>
            <w:tcBorders>
              <w:right w:val="single" w:sz="4" w:space="0" w:color="auto"/>
            </w:tcBorders>
          </w:tcPr>
          <w:p w14:paraId="38C3D2BA" w14:textId="77777777" w:rsidR="000A03B2" w:rsidRPr="00945992" w:rsidRDefault="000A03B2" w:rsidP="009D44B4">
            <w:pPr>
              <w:tabs>
                <w:tab w:val="left" w:pos="-108"/>
              </w:tabs>
              <w:ind w:left="-108"/>
              <w:rPr>
                <w:rFonts w:ascii="Arial" w:hAnsi="Arial" w:cs="Arial"/>
                <w:b/>
                <w:bCs/>
                <w:i/>
                <w:iCs/>
                <w:color w:val="000000" w:themeColor="text1"/>
                <w:sz w:val="12"/>
                <w:szCs w:val="12"/>
                <w:lang w:val="en-US"/>
              </w:rPr>
            </w:pPr>
            <w:bookmarkStart w:id="0" w:name="_Hlk145068772"/>
            <w:r w:rsidRPr="00945992">
              <w:rPr>
                <w:rFonts w:ascii="AdvP6960" w:hAnsi="AdvP6960" w:cs="AdvP6960"/>
                <w:noProof/>
                <w:color w:val="000000" w:themeColor="text1"/>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45992">
              <w:rPr>
                <w:rFonts w:ascii="AdvP6960" w:hAnsi="AdvP6960" w:cs="AdvP6960"/>
                <w:color w:val="000000" w:themeColor="text1"/>
                <w:szCs w:val="18"/>
                <w:lang w:val="en-US"/>
              </w:rPr>
              <w:t xml:space="preserve"> </w:t>
            </w:r>
            <w:r w:rsidRPr="00945992">
              <w:rPr>
                <w:rFonts w:ascii="Arial" w:hAnsi="Arial" w:cs="Arial"/>
                <w:b/>
                <w:bCs/>
                <w:i/>
                <w:iCs/>
                <w:color w:val="000000" w:themeColor="text1"/>
                <w:lang w:val="en-US"/>
              </w:rPr>
              <w:t>CHEMICAL ENGINEERING TRANSACTIONS</w:t>
            </w:r>
            <w:r w:rsidRPr="00945992">
              <w:rPr>
                <w:rFonts w:ascii="Arial" w:hAnsi="Arial" w:cs="Arial"/>
                <w:color w:val="000000" w:themeColor="text1"/>
                <w:lang w:val="en-US"/>
              </w:rPr>
              <w:t xml:space="preserve"> </w:t>
            </w:r>
            <w:r w:rsidRPr="00945992">
              <w:rPr>
                <w:rFonts w:ascii="Arial" w:hAnsi="Arial" w:cs="Arial"/>
                <w:b/>
                <w:bCs/>
                <w:i/>
                <w:iCs/>
                <w:color w:val="000000" w:themeColor="text1"/>
                <w:sz w:val="27"/>
                <w:szCs w:val="27"/>
                <w:lang w:val="en-US"/>
              </w:rPr>
              <w:br/>
            </w:r>
          </w:p>
          <w:p w14:paraId="4B780582" w14:textId="47EF826C" w:rsidR="000A03B2" w:rsidRPr="00945992" w:rsidRDefault="00A76EFC" w:rsidP="009D44B4">
            <w:pPr>
              <w:tabs>
                <w:tab w:val="left" w:pos="-108"/>
              </w:tabs>
              <w:ind w:left="-108"/>
              <w:rPr>
                <w:rFonts w:cs="Arial"/>
                <w:b/>
                <w:bCs/>
                <w:i/>
                <w:iCs/>
                <w:color w:val="000000" w:themeColor="text1"/>
                <w:sz w:val="22"/>
                <w:szCs w:val="22"/>
                <w:lang w:val="en-US"/>
              </w:rPr>
            </w:pPr>
            <w:r w:rsidRPr="00945992">
              <w:rPr>
                <w:rFonts w:ascii="Arial" w:hAnsi="Arial" w:cs="Arial"/>
                <w:b/>
                <w:bCs/>
                <w:i/>
                <w:iCs/>
                <w:color w:val="000000" w:themeColor="text1"/>
                <w:sz w:val="22"/>
                <w:szCs w:val="22"/>
                <w:lang w:val="en-US"/>
              </w:rPr>
              <w:t>VOL.</w:t>
            </w:r>
            <w:r w:rsidR="00785BF9" w:rsidRPr="00945992">
              <w:rPr>
                <w:rFonts w:ascii="Arial" w:hAnsi="Arial" w:cs="Arial"/>
                <w:b/>
                <w:bCs/>
                <w:i/>
                <w:iCs/>
                <w:color w:val="000000" w:themeColor="text1"/>
                <w:sz w:val="22"/>
                <w:szCs w:val="22"/>
                <w:lang w:val="en-US"/>
              </w:rPr>
              <w:t xml:space="preserve"> </w:t>
            </w:r>
            <w:r w:rsidR="00994C6A" w:rsidRPr="00945992">
              <w:rPr>
                <w:rFonts w:ascii="Arial" w:hAnsi="Arial" w:cs="Arial"/>
                <w:b/>
                <w:bCs/>
                <w:i/>
                <w:iCs/>
                <w:color w:val="000000" w:themeColor="text1"/>
                <w:sz w:val="22"/>
                <w:szCs w:val="22"/>
                <w:lang w:val="en-US"/>
              </w:rPr>
              <w:t>xxx</w:t>
            </w:r>
            <w:r w:rsidR="007B48F9" w:rsidRPr="00945992">
              <w:rPr>
                <w:rFonts w:ascii="Arial" w:hAnsi="Arial" w:cs="Arial"/>
                <w:b/>
                <w:bCs/>
                <w:i/>
                <w:iCs/>
                <w:color w:val="000000" w:themeColor="text1"/>
                <w:sz w:val="22"/>
                <w:szCs w:val="22"/>
                <w:lang w:val="en-US"/>
              </w:rPr>
              <w:t>,</w:t>
            </w:r>
            <w:r w:rsidR="00FA5F5F" w:rsidRPr="00945992">
              <w:rPr>
                <w:rFonts w:ascii="Arial" w:hAnsi="Arial" w:cs="Arial"/>
                <w:b/>
                <w:bCs/>
                <w:i/>
                <w:iCs/>
                <w:color w:val="000000" w:themeColor="text1"/>
                <w:sz w:val="22"/>
                <w:szCs w:val="22"/>
                <w:lang w:val="en-US"/>
              </w:rPr>
              <w:t xml:space="preserve"> </w:t>
            </w:r>
            <w:r w:rsidR="0030152C" w:rsidRPr="00945992">
              <w:rPr>
                <w:rFonts w:ascii="Arial" w:hAnsi="Arial" w:cs="Arial"/>
                <w:b/>
                <w:bCs/>
                <w:i/>
                <w:iCs/>
                <w:color w:val="000000" w:themeColor="text1"/>
                <w:sz w:val="22"/>
                <w:szCs w:val="22"/>
                <w:lang w:val="en-US"/>
              </w:rPr>
              <w:t>202</w:t>
            </w:r>
            <w:r w:rsidR="00994C6A" w:rsidRPr="00945992">
              <w:rPr>
                <w:rFonts w:ascii="Arial" w:hAnsi="Arial" w:cs="Arial"/>
                <w:b/>
                <w:bCs/>
                <w:i/>
                <w:iCs/>
                <w:color w:val="000000" w:themeColor="text1"/>
                <w:sz w:val="22"/>
                <w:szCs w:val="22"/>
                <w:lang w:val="en-US"/>
              </w:rPr>
              <w:t>5</w:t>
            </w:r>
          </w:p>
        </w:tc>
        <w:tc>
          <w:tcPr>
            <w:tcW w:w="1842" w:type="dxa"/>
            <w:tcBorders>
              <w:left w:val="single" w:sz="4" w:space="0" w:color="auto"/>
              <w:bottom w:val="nil"/>
              <w:right w:val="single" w:sz="4" w:space="0" w:color="auto"/>
            </w:tcBorders>
          </w:tcPr>
          <w:p w14:paraId="56782132" w14:textId="77777777" w:rsidR="000A03B2" w:rsidRPr="00945992" w:rsidRDefault="000A03B2" w:rsidP="009D44B4">
            <w:pPr>
              <w:spacing w:line="140" w:lineRule="atLeast"/>
              <w:rPr>
                <w:rFonts w:ascii="Arial" w:hAnsi="Arial" w:cs="Arial"/>
                <w:color w:val="000000" w:themeColor="text1"/>
                <w:sz w:val="14"/>
                <w:szCs w:val="14"/>
                <w:lang w:val="en-US"/>
              </w:rPr>
            </w:pPr>
            <w:r w:rsidRPr="00945992">
              <w:rPr>
                <w:rFonts w:ascii="Arial" w:hAnsi="Arial" w:cs="Arial"/>
                <w:color w:val="000000" w:themeColor="text1"/>
                <w:sz w:val="14"/>
                <w:szCs w:val="14"/>
                <w:lang w:val="en-US"/>
              </w:rPr>
              <w:t>A publication of</w:t>
            </w:r>
          </w:p>
          <w:p w14:paraId="599E5441" w14:textId="77777777" w:rsidR="000A03B2" w:rsidRPr="00945992" w:rsidRDefault="000A03B2" w:rsidP="009D44B4">
            <w:pPr>
              <w:rPr>
                <w:rFonts w:ascii="Arial" w:hAnsi="Arial" w:cs="Arial"/>
                <w:color w:val="000000" w:themeColor="text1"/>
                <w:lang w:val="en-US"/>
              </w:rPr>
            </w:pPr>
            <w:r w:rsidRPr="00945992">
              <w:rPr>
                <w:rFonts w:ascii="Arial" w:hAnsi="Arial" w:cs="Arial"/>
                <w:noProof/>
                <w:color w:val="000000" w:themeColor="text1"/>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37395" w:rsidRPr="002E0950" w14:paraId="380FA3CD" w14:textId="77777777" w:rsidTr="00A86A45">
        <w:trPr>
          <w:trHeight w:val="567"/>
          <w:jc w:val="center"/>
        </w:trPr>
        <w:tc>
          <w:tcPr>
            <w:tcW w:w="6940" w:type="dxa"/>
            <w:vMerge/>
            <w:tcBorders>
              <w:right w:val="single" w:sz="4" w:space="0" w:color="auto"/>
            </w:tcBorders>
          </w:tcPr>
          <w:p w14:paraId="39E5E4C1" w14:textId="77777777" w:rsidR="000A03B2" w:rsidRPr="00945992" w:rsidRDefault="000A03B2" w:rsidP="009D44B4">
            <w:pPr>
              <w:tabs>
                <w:tab w:val="left" w:pos="-108"/>
              </w:tabs>
              <w:rPr>
                <w:color w:val="000000" w:themeColor="text1"/>
                <w:lang w:val="en-US"/>
              </w:rPr>
            </w:pPr>
          </w:p>
        </w:tc>
        <w:tc>
          <w:tcPr>
            <w:tcW w:w="1842" w:type="dxa"/>
            <w:tcBorders>
              <w:left w:val="single" w:sz="4" w:space="0" w:color="auto"/>
              <w:bottom w:val="nil"/>
              <w:right w:val="single" w:sz="4" w:space="0" w:color="auto"/>
            </w:tcBorders>
          </w:tcPr>
          <w:p w14:paraId="43858A98" w14:textId="77777777" w:rsidR="000A03B2" w:rsidRPr="00945992" w:rsidRDefault="000A03B2" w:rsidP="009D44B4">
            <w:pPr>
              <w:spacing w:line="140" w:lineRule="atLeast"/>
              <w:rPr>
                <w:rFonts w:ascii="Arial" w:hAnsi="Arial" w:cs="Arial"/>
                <w:color w:val="000000" w:themeColor="text1"/>
                <w:sz w:val="14"/>
                <w:szCs w:val="14"/>
                <w:lang w:val="en-US"/>
              </w:rPr>
            </w:pPr>
            <w:r w:rsidRPr="00945992">
              <w:rPr>
                <w:rFonts w:ascii="Arial" w:hAnsi="Arial" w:cs="Arial"/>
                <w:color w:val="000000" w:themeColor="text1"/>
                <w:sz w:val="14"/>
                <w:szCs w:val="14"/>
                <w:lang w:val="en-US"/>
              </w:rPr>
              <w:t>The Italian Association</w:t>
            </w:r>
          </w:p>
          <w:p w14:paraId="7522B1D2" w14:textId="77777777" w:rsidR="000A03B2" w:rsidRPr="00945992" w:rsidRDefault="000A03B2" w:rsidP="009D44B4">
            <w:pPr>
              <w:spacing w:line="140" w:lineRule="atLeast"/>
              <w:rPr>
                <w:rFonts w:ascii="Arial" w:hAnsi="Arial" w:cs="Arial"/>
                <w:color w:val="000000" w:themeColor="text1"/>
                <w:sz w:val="14"/>
                <w:szCs w:val="14"/>
                <w:lang w:val="en-US"/>
              </w:rPr>
            </w:pPr>
            <w:r w:rsidRPr="00945992">
              <w:rPr>
                <w:rFonts w:ascii="Arial" w:hAnsi="Arial" w:cs="Arial"/>
                <w:color w:val="000000" w:themeColor="text1"/>
                <w:sz w:val="14"/>
                <w:szCs w:val="14"/>
                <w:lang w:val="en-US"/>
              </w:rPr>
              <w:t>of Chemical Engineering</w:t>
            </w:r>
          </w:p>
          <w:p w14:paraId="4F0CC5DE" w14:textId="47FDB2FC" w:rsidR="000A03B2" w:rsidRPr="00945992" w:rsidRDefault="000D0268" w:rsidP="009D44B4">
            <w:pPr>
              <w:spacing w:line="140" w:lineRule="atLeast"/>
              <w:rPr>
                <w:rFonts w:ascii="Arial" w:hAnsi="Arial" w:cs="Arial"/>
                <w:color w:val="000000" w:themeColor="text1"/>
                <w:sz w:val="13"/>
                <w:szCs w:val="13"/>
                <w:lang w:val="en-US"/>
              </w:rPr>
            </w:pPr>
            <w:r w:rsidRPr="00945992">
              <w:rPr>
                <w:rFonts w:ascii="Arial" w:hAnsi="Arial" w:cs="Arial"/>
                <w:color w:val="000000" w:themeColor="text1"/>
                <w:sz w:val="13"/>
                <w:szCs w:val="13"/>
                <w:lang w:val="en-US"/>
              </w:rPr>
              <w:t>Online at www.cetjournal.it</w:t>
            </w:r>
          </w:p>
        </w:tc>
      </w:tr>
      <w:tr w:rsidR="00737395" w:rsidRPr="002E0950" w14:paraId="2D1B7169" w14:textId="77777777" w:rsidTr="00A86A45">
        <w:trPr>
          <w:trHeight w:val="68"/>
          <w:jc w:val="center"/>
        </w:trPr>
        <w:tc>
          <w:tcPr>
            <w:tcW w:w="8782" w:type="dxa"/>
            <w:gridSpan w:val="2"/>
          </w:tcPr>
          <w:p w14:paraId="1D8DD3C9" w14:textId="0F721BB9" w:rsidR="00AA7D26" w:rsidRPr="00945992" w:rsidRDefault="00AA7D26" w:rsidP="00C54567">
            <w:pPr>
              <w:ind w:left="-107"/>
              <w:outlineLvl w:val="2"/>
              <w:rPr>
                <w:rFonts w:ascii="Aptos" w:eastAsiaTheme="minorHAnsi" w:hAnsi="Aptos" w:cs="Aptos"/>
                <w:color w:val="000000" w:themeColor="text1"/>
                <w:sz w:val="22"/>
                <w:szCs w:val="22"/>
                <w14:ligatures w14:val="standardContextual"/>
              </w:rPr>
            </w:pPr>
            <w:r w:rsidRPr="00945992">
              <w:rPr>
                <w:rFonts w:ascii="Tahoma" w:hAnsi="Tahoma" w:cs="Tahoma"/>
                <w:iCs/>
                <w:color w:val="000000" w:themeColor="text1"/>
                <w:sz w:val="14"/>
                <w:szCs w:val="14"/>
              </w:rPr>
              <w:t>Guest Editors:</w:t>
            </w:r>
            <w:r w:rsidR="008832AA" w:rsidRPr="00945992">
              <w:rPr>
                <w:rFonts w:ascii="Aptos" w:eastAsiaTheme="minorHAnsi" w:hAnsi="Aptos" w:cs="Aptos"/>
                <w:color w:val="000000" w:themeColor="text1"/>
                <w:sz w:val="22"/>
                <w:szCs w:val="22"/>
              </w:rPr>
              <w:t xml:space="preserve"> </w:t>
            </w:r>
            <w:r w:rsidR="008832AA" w:rsidRPr="00945992">
              <w:rPr>
                <w:rFonts w:ascii="Tahoma" w:eastAsiaTheme="minorHAnsi" w:hAnsi="Tahoma" w:cs="Tahoma"/>
                <w:color w:val="000000" w:themeColor="text1"/>
                <w:sz w:val="14"/>
                <w:szCs w:val="14"/>
                <w14:ligatures w14:val="standardContextual"/>
              </w:rPr>
              <w:t>David Bogle, Flavio Manenti, Piero Salatino</w:t>
            </w:r>
          </w:p>
          <w:p w14:paraId="1B0F1814" w14:textId="39433521" w:rsidR="000A03B2" w:rsidRPr="00945992" w:rsidRDefault="00AA7D26" w:rsidP="00C54567">
            <w:pPr>
              <w:tabs>
                <w:tab w:val="left" w:pos="-108"/>
              </w:tabs>
              <w:spacing w:line="140" w:lineRule="atLeast"/>
              <w:ind w:left="-107"/>
              <w:rPr>
                <w:color w:val="000000" w:themeColor="text1"/>
                <w:lang w:val="en-US"/>
              </w:rPr>
            </w:pPr>
            <w:r w:rsidRPr="00945992">
              <w:rPr>
                <w:rFonts w:ascii="Tahoma" w:hAnsi="Tahoma" w:cs="Tahoma"/>
                <w:iCs/>
                <w:color w:val="000000" w:themeColor="text1"/>
                <w:sz w:val="14"/>
                <w:szCs w:val="14"/>
                <w:lang w:val="en-US"/>
              </w:rPr>
              <w:t>Copyright © 202</w:t>
            </w:r>
            <w:r w:rsidR="00994C6A" w:rsidRPr="00945992">
              <w:rPr>
                <w:rFonts w:ascii="Tahoma" w:hAnsi="Tahoma" w:cs="Tahoma"/>
                <w:iCs/>
                <w:color w:val="000000" w:themeColor="text1"/>
                <w:sz w:val="14"/>
                <w:szCs w:val="14"/>
                <w:lang w:val="en-US"/>
              </w:rPr>
              <w:t>5</w:t>
            </w:r>
            <w:r w:rsidRPr="00945992">
              <w:rPr>
                <w:rFonts w:ascii="Tahoma" w:hAnsi="Tahoma" w:cs="Tahoma"/>
                <w:iCs/>
                <w:color w:val="000000" w:themeColor="text1"/>
                <w:sz w:val="14"/>
                <w:szCs w:val="14"/>
                <w:lang w:val="en-US"/>
              </w:rPr>
              <w:t xml:space="preserve">, AIDIC </w:t>
            </w:r>
            <w:proofErr w:type="spellStart"/>
            <w:r w:rsidRPr="00945992">
              <w:rPr>
                <w:rFonts w:ascii="Tahoma" w:hAnsi="Tahoma" w:cs="Tahoma"/>
                <w:iCs/>
                <w:color w:val="000000" w:themeColor="text1"/>
                <w:sz w:val="14"/>
                <w:szCs w:val="14"/>
                <w:lang w:val="en-US"/>
              </w:rPr>
              <w:t>Servizi</w:t>
            </w:r>
            <w:proofErr w:type="spellEnd"/>
            <w:r w:rsidRPr="00945992">
              <w:rPr>
                <w:rFonts w:ascii="Tahoma" w:hAnsi="Tahoma" w:cs="Tahoma"/>
                <w:iCs/>
                <w:color w:val="000000" w:themeColor="text1"/>
                <w:sz w:val="14"/>
                <w:szCs w:val="14"/>
                <w:lang w:val="en-US"/>
              </w:rPr>
              <w:t xml:space="preserve"> </w:t>
            </w:r>
            <w:proofErr w:type="spellStart"/>
            <w:r w:rsidRPr="00945992">
              <w:rPr>
                <w:rFonts w:ascii="Tahoma" w:hAnsi="Tahoma" w:cs="Tahoma"/>
                <w:iCs/>
                <w:color w:val="000000" w:themeColor="text1"/>
                <w:sz w:val="14"/>
                <w:szCs w:val="14"/>
                <w:lang w:val="en-US"/>
              </w:rPr>
              <w:t>S.r.l</w:t>
            </w:r>
            <w:proofErr w:type="spellEnd"/>
            <w:r w:rsidRPr="00945992">
              <w:rPr>
                <w:rFonts w:ascii="Tahoma" w:hAnsi="Tahoma" w:cs="Tahoma"/>
                <w:iCs/>
                <w:color w:val="000000" w:themeColor="text1"/>
                <w:sz w:val="14"/>
                <w:szCs w:val="14"/>
                <w:lang w:val="en-US"/>
              </w:rPr>
              <w:t>.</w:t>
            </w:r>
            <w:r w:rsidRPr="00945992">
              <w:rPr>
                <w:rFonts w:ascii="Tahoma" w:hAnsi="Tahoma" w:cs="Tahoma"/>
                <w:iCs/>
                <w:color w:val="000000" w:themeColor="text1"/>
                <w:sz w:val="14"/>
                <w:szCs w:val="14"/>
                <w:lang w:val="en-US"/>
              </w:rPr>
              <w:br/>
            </w:r>
            <w:r w:rsidRPr="00945992">
              <w:rPr>
                <w:rFonts w:ascii="Tahoma" w:hAnsi="Tahoma" w:cs="Tahoma"/>
                <w:b/>
                <w:iCs/>
                <w:color w:val="000000" w:themeColor="text1"/>
                <w:sz w:val="14"/>
                <w:szCs w:val="14"/>
                <w:lang w:val="en-US"/>
              </w:rPr>
              <w:t>ISBN</w:t>
            </w:r>
            <w:r w:rsidRPr="00945992">
              <w:rPr>
                <w:rFonts w:ascii="Tahoma" w:hAnsi="Tahoma" w:cs="Tahoma"/>
                <w:iCs/>
                <w:color w:val="000000" w:themeColor="text1"/>
                <w:sz w:val="14"/>
                <w:szCs w:val="14"/>
                <w:lang w:val="en-US"/>
              </w:rPr>
              <w:t xml:space="preserve"> </w:t>
            </w:r>
            <w:r w:rsidR="003B49CD" w:rsidRPr="00945992">
              <w:rPr>
                <w:rFonts w:ascii="Tahoma" w:hAnsi="Tahoma" w:cs="Tahoma"/>
                <w:color w:val="000000" w:themeColor="text1"/>
                <w:sz w:val="14"/>
                <w:szCs w:val="14"/>
                <w:lang w:val="en-US"/>
              </w:rPr>
              <w:t>979-12-81206-</w:t>
            </w:r>
            <w:r w:rsidR="003904D3" w:rsidRPr="00945992">
              <w:rPr>
                <w:rFonts w:ascii="Tahoma" w:hAnsi="Tahoma" w:cs="Tahoma"/>
                <w:color w:val="000000" w:themeColor="text1"/>
                <w:sz w:val="14"/>
                <w:szCs w:val="14"/>
                <w:lang w:val="en-US"/>
              </w:rPr>
              <w:t>21</w:t>
            </w:r>
            <w:r w:rsidR="003B49CD" w:rsidRPr="00945992">
              <w:rPr>
                <w:rFonts w:ascii="Tahoma" w:hAnsi="Tahoma" w:cs="Tahoma"/>
                <w:color w:val="000000" w:themeColor="text1"/>
                <w:sz w:val="14"/>
                <w:szCs w:val="14"/>
                <w:lang w:val="en-US"/>
              </w:rPr>
              <w:t>-</w:t>
            </w:r>
            <w:r w:rsidR="003904D3" w:rsidRPr="00945992">
              <w:rPr>
                <w:rFonts w:ascii="Tahoma" w:hAnsi="Tahoma" w:cs="Tahoma"/>
                <w:color w:val="000000" w:themeColor="text1"/>
                <w:sz w:val="14"/>
                <w:szCs w:val="14"/>
                <w:lang w:val="en-US"/>
              </w:rPr>
              <w:t>2</w:t>
            </w:r>
            <w:r w:rsidRPr="00945992">
              <w:rPr>
                <w:rFonts w:ascii="Tahoma" w:hAnsi="Tahoma" w:cs="Tahoma"/>
                <w:iCs/>
                <w:color w:val="000000" w:themeColor="text1"/>
                <w:sz w:val="14"/>
                <w:szCs w:val="14"/>
                <w:lang w:val="en-US"/>
              </w:rPr>
              <w:t xml:space="preserve">; </w:t>
            </w:r>
            <w:r w:rsidRPr="00945992">
              <w:rPr>
                <w:rFonts w:ascii="Tahoma" w:hAnsi="Tahoma" w:cs="Tahoma"/>
                <w:b/>
                <w:iCs/>
                <w:color w:val="000000" w:themeColor="text1"/>
                <w:sz w:val="14"/>
                <w:szCs w:val="14"/>
                <w:lang w:val="en-US"/>
              </w:rPr>
              <w:t>ISSN</w:t>
            </w:r>
            <w:r w:rsidRPr="00945992">
              <w:rPr>
                <w:rFonts w:ascii="Tahoma" w:hAnsi="Tahoma" w:cs="Tahoma"/>
                <w:iCs/>
                <w:color w:val="000000" w:themeColor="text1"/>
                <w:sz w:val="14"/>
                <w:szCs w:val="14"/>
                <w:lang w:val="en-US"/>
              </w:rPr>
              <w:t xml:space="preserve"> 2283-9216</w:t>
            </w:r>
          </w:p>
        </w:tc>
      </w:tr>
    </w:tbl>
    <w:bookmarkEnd w:id="0"/>
    <w:p w14:paraId="2B117937" w14:textId="70CA62B6" w:rsidR="00A86A45" w:rsidRPr="00945992" w:rsidRDefault="00265C17" w:rsidP="00A86A45">
      <w:pPr>
        <w:pStyle w:val="CETTitle"/>
        <w:rPr>
          <w:color w:val="000000" w:themeColor="text1"/>
          <w:lang w:val="en-US"/>
        </w:rPr>
      </w:pPr>
      <w:r w:rsidRPr="00945992">
        <w:rPr>
          <w:color w:val="000000" w:themeColor="text1"/>
          <w:lang w:val="en-US"/>
        </w:rPr>
        <w:t>On the Use of Water-Based Nanofluids in Buildings HVAC Systems: A Simulative Study on Energy Savings and Indoor Comfort Potential</w:t>
      </w:r>
    </w:p>
    <w:p w14:paraId="4CAB8C51" w14:textId="5C3B9544" w:rsidR="00A86A45" w:rsidRPr="00945992" w:rsidRDefault="00A86A45" w:rsidP="00A86A45">
      <w:pPr>
        <w:pStyle w:val="CETAuthors"/>
        <w:rPr>
          <w:noProof w:val="0"/>
          <w:color w:val="000000" w:themeColor="text1"/>
          <w:lang w:val="it-IT"/>
        </w:rPr>
      </w:pPr>
      <w:bookmarkStart w:id="1" w:name="_Hlk189386757"/>
      <w:r w:rsidRPr="00945992">
        <w:rPr>
          <w:noProof w:val="0"/>
          <w:color w:val="000000" w:themeColor="text1"/>
          <w:lang w:val="it-IT"/>
        </w:rPr>
        <w:t xml:space="preserve">Laura </w:t>
      </w:r>
      <w:proofErr w:type="spellStart"/>
      <w:r w:rsidRPr="00945992">
        <w:rPr>
          <w:noProof w:val="0"/>
          <w:color w:val="000000" w:themeColor="text1"/>
          <w:lang w:val="it-IT"/>
        </w:rPr>
        <w:t>Cirrincione</w:t>
      </w:r>
      <w:r w:rsidRPr="00945992">
        <w:rPr>
          <w:noProof w:val="0"/>
          <w:color w:val="000000" w:themeColor="text1"/>
          <w:vertAlign w:val="superscript"/>
          <w:lang w:val="it-IT"/>
        </w:rPr>
        <w:t>a</w:t>
      </w:r>
      <w:proofErr w:type="spellEnd"/>
      <w:r w:rsidRPr="00945992">
        <w:rPr>
          <w:noProof w:val="0"/>
          <w:color w:val="000000" w:themeColor="text1"/>
          <w:lang w:val="it-IT"/>
        </w:rPr>
        <w:t>,</w:t>
      </w:r>
      <w:bookmarkEnd w:id="1"/>
      <w:r w:rsidRPr="00945992">
        <w:rPr>
          <w:noProof w:val="0"/>
          <w:color w:val="000000" w:themeColor="text1"/>
          <w:lang w:val="it-IT"/>
        </w:rPr>
        <w:t xml:space="preserve"> Gianluca </w:t>
      </w:r>
      <w:proofErr w:type="spellStart"/>
      <w:r w:rsidRPr="00945992">
        <w:rPr>
          <w:noProof w:val="0"/>
          <w:color w:val="000000" w:themeColor="text1"/>
          <w:lang w:val="it-IT"/>
        </w:rPr>
        <w:t>Scaccianoce</w:t>
      </w:r>
      <w:r w:rsidRPr="00945992">
        <w:rPr>
          <w:noProof w:val="0"/>
          <w:color w:val="000000" w:themeColor="text1"/>
          <w:vertAlign w:val="superscript"/>
          <w:lang w:val="it-IT"/>
        </w:rPr>
        <w:t>a</w:t>
      </w:r>
      <w:proofErr w:type="spellEnd"/>
      <w:r w:rsidRPr="00945992">
        <w:rPr>
          <w:noProof w:val="0"/>
          <w:color w:val="000000" w:themeColor="text1"/>
          <w:lang w:val="it-IT"/>
        </w:rPr>
        <w:t xml:space="preserve">, Marco </w:t>
      </w:r>
      <w:proofErr w:type="spellStart"/>
      <w:proofErr w:type="gramStart"/>
      <w:r w:rsidRPr="00945992">
        <w:rPr>
          <w:noProof w:val="0"/>
          <w:color w:val="000000" w:themeColor="text1"/>
          <w:lang w:val="it-IT"/>
        </w:rPr>
        <w:t>Vocciante</w:t>
      </w:r>
      <w:r w:rsidRPr="00945992">
        <w:rPr>
          <w:noProof w:val="0"/>
          <w:color w:val="000000" w:themeColor="text1"/>
          <w:vertAlign w:val="superscript"/>
          <w:lang w:val="it-IT"/>
        </w:rPr>
        <w:t>b</w:t>
      </w:r>
      <w:proofErr w:type="spellEnd"/>
      <w:r w:rsidRPr="00945992">
        <w:rPr>
          <w:noProof w:val="0"/>
          <w:color w:val="000000" w:themeColor="text1"/>
          <w:vertAlign w:val="superscript"/>
          <w:lang w:val="it-IT"/>
        </w:rPr>
        <w:t>,</w:t>
      </w:r>
      <w:r w:rsidRPr="00945992">
        <w:rPr>
          <w:noProof w:val="0"/>
          <w:color w:val="000000" w:themeColor="text1"/>
          <w:lang w:val="it-IT"/>
        </w:rPr>
        <w:t>*</w:t>
      </w:r>
      <w:proofErr w:type="gramEnd"/>
    </w:p>
    <w:p w14:paraId="557612BA" w14:textId="2992754F" w:rsidR="00A86A45" w:rsidRPr="00945992" w:rsidRDefault="00A86A45" w:rsidP="00A86A45">
      <w:pPr>
        <w:pStyle w:val="CETAddress"/>
        <w:rPr>
          <w:noProof w:val="0"/>
          <w:color w:val="000000" w:themeColor="text1"/>
          <w:lang w:val="it-IT"/>
        </w:rPr>
      </w:pPr>
      <w:proofErr w:type="spellStart"/>
      <w:r w:rsidRPr="00945992">
        <w:rPr>
          <w:noProof w:val="0"/>
          <w:color w:val="000000" w:themeColor="text1"/>
          <w:vertAlign w:val="superscript"/>
          <w:lang w:val="it-IT"/>
        </w:rPr>
        <w:t>a</w:t>
      </w:r>
      <w:r w:rsidRPr="00945992">
        <w:rPr>
          <w:noProof w:val="0"/>
          <w:color w:val="000000" w:themeColor="text1"/>
          <w:lang w:val="it-IT"/>
        </w:rPr>
        <w:t>Dipartimento</w:t>
      </w:r>
      <w:proofErr w:type="spellEnd"/>
      <w:r w:rsidRPr="00945992">
        <w:rPr>
          <w:noProof w:val="0"/>
          <w:color w:val="000000" w:themeColor="text1"/>
          <w:lang w:val="it-IT"/>
        </w:rPr>
        <w:t xml:space="preserve"> di Ingegneria, Università degli Studi di Palermo, Viale delle Scienze </w:t>
      </w:r>
      <w:proofErr w:type="spellStart"/>
      <w:r w:rsidRPr="00945992">
        <w:rPr>
          <w:noProof w:val="0"/>
          <w:color w:val="000000" w:themeColor="text1"/>
          <w:lang w:val="it-IT"/>
        </w:rPr>
        <w:t>Bld</w:t>
      </w:r>
      <w:proofErr w:type="spellEnd"/>
      <w:r w:rsidRPr="00945992">
        <w:rPr>
          <w:noProof w:val="0"/>
          <w:color w:val="000000" w:themeColor="text1"/>
          <w:lang w:val="it-IT"/>
        </w:rPr>
        <w:t xml:space="preserve">. 9, 90128, Palermo, </w:t>
      </w:r>
      <w:proofErr w:type="spellStart"/>
      <w:r w:rsidRPr="00945992">
        <w:rPr>
          <w:noProof w:val="0"/>
          <w:color w:val="000000" w:themeColor="text1"/>
          <w:lang w:val="it-IT"/>
        </w:rPr>
        <w:t>Italy</w:t>
      </w:r>
      <w:proofErr w:type="spellEnd"/>
      <w:r w:rsidRPr="00945992">
        <w:rPr>
          <w:noProof w:val="0"/>
          <w:color w:val="000000" w:themeColor="text1"/>
          <w:lang w:val="it-IT"/>
        </w:rPr>
        <w:t xml:space="preserve"> </w:t>
      </w:r>
    </w:p>
    <w:p w14:paraId="2DB93C11" w14:textId="5F1E20D0" w:rsidR="00A86A45" w:rsidRPr="00945992" w:rsidRDefault="00A86A45" w:rsidP="00A86A45">
      <w:pPr>
        <w:pStyle w:val="CETAddress"/>
        <w:rPr>
          <w:noProof w:val="0"/>
          <w:color w:val="000000" w:themeColor="text1"/>
          <w:lang w:val="it-IT"/>
        </w:rPr>
      </w:pPr>
      <w:proofErr w:type="spellStart"/>
      <w:r w:rsidRPr="00945992">
        <w:rPr>
          <w:noProof w:val="0"/>
          <w:color w:val="000000" w:themeColor="text1"/>
          <w:vertAlign w:val="superscript"/>
          <w:lang w:val="it-IT"/>
        </w:rPr>
        <w:t>b</w:t>
      </w:r>
      <w:r w:rsidRPr="00945992">
        <w:rPr>
          <w:noProof w:val="0"/>
          <w:color w:val="000000" w:themeColor="text1"/>
          <w:lang w:val="it-IT"/>
        </w:rPr>
        <w:t>Dipartimento</w:t>
      </w:r>
      <w:proofErr w:type="spellEnd"/>
      <w:r w:rsidRPr="00945992">
        <w:rPr>
          <w:noProof w:val="0"/>
          <w:color w:val="000000" w:themeColor="text1"/>
          <w:lang w:val="it-IT"/>
        </w:rPr>
        <w:t xml:space="preserve"> di Chimica e Chimica Industriale, Università degli Studi di Genova, via Dodecaneso 31, 16146, Genova, </w:t>
      </w:r>
      <w:proofErr w:type="spellStart"/>
      <w:r w:rsidRPr="00945992">
        <w:rPr>
          <w:noProof w:val="0"/>
          <w:color w:val="000000" w:themeColor="text1"/>
          <w:lang w:val="it-IT"/>
        </w:rPr>
        <w:t>Italy</w:t>
      </w:r>
      <w:proofErr w:type="spellEnd"/>
      <w:r w:rsidRPr="00945992">
        <w:rPr>
          <w:noProof w:val="0"/>
          <w:color w:val="000000" w:themeColor="text1"/>
          <w:lang w:val="it-IT"/>
        </w:rPr>
        <w:t xml:space="preserve"> </w:t>
      </w:r>
    </w:p>
    <w:p w14:paraId="7D40556B" w14:textId="6309F645" w:rsidR="007F0B9B" w:rsidRPr="00945992" w:rsidRDefault="00A86A45" w:rsidP="003A10C3">
      <w:pPr>
        <w:pStyle w:val="CETemail"/>
        <w:rPr>
          <w:noProof w:val="0"/>
          <w:color w:val="000000" w:themeColor="text1"/>
          <w:lang w:val="en-US"/>
        </w:rPr>
      </w:pPr>
      <w:r w:rsidRPr="00945992">
        <w:rPr>
          <w:noProof w:val="0"/>
          <w:color w:val="000000" w:themeColor="text1"/>
          <w:lang w:val="it-IT"/>
        </w:rPr>
        <w:t xml:space="preserve"> </w:t>
      </w:r>
      <w:r w:rsidRPr="00945992">
        <w:rPr>
          <w:noProof w:val="0"/>
          <w:color w:val="000000" w:themeColor="text1"/>
          <w:lang w:val="en-US"/>
        </w:rPr>
        <w:t>marco.vocciante@unige.it</w:t>
      </w:r>
    </w:p>
    <w:p w14:paraId="0EDD306B" w14:textId="10AF8EF8" w:rsidR="00A37599" w:rsidRPr="00945992" w:rsidRDefault="003E4A37" w:rsidP="007F0B9B">
      <w:pPr>
        <w:pStyle w:val="CETBodytext"/>
        <w:rPr>
          <w:color w:val="000000" w:themeColor="text1"/>
        </w:rPr>
      </w:pPr>
      <w:r w:rsidRPr="00945992">
        <w:rPr>
          <w:color w:val="000000" w:themeColor="text1"/>
        </w:rPr>
        <w:t xml:space="preserve">Nanofluids, known for their enhanced thermal conductivity and heat transfer properties, present a promising alternative to traditional fluids. </w:t>
      </w:r>
      <w:r w:rsidR="007F0B9B" w:rsidRPr="00945992">
        <w:rPr>
          <w:color w:val="000000" w:themeColor="text1"/>
        </w:rPr>
        <w:t xml:space="preserve">This study explores the potential of water-based nanofluids containing </w:t>
      </w:r>
      <w:proofErr w:type="spellStart"/>
      <w:r w:rsidR="007F0B9B" w:rsidRPr="00945992">
        <w:rPr>
          <w:color w:val="000000" w:themeColor="text1"/>
        </w:rPr>
        <w:t>CuO</w:t>
      </w:r>
      <w:proofErr w:type="spellEnd"/>
      <w:r w:rsidR="007F0B9B" w:rsidRPr="00945992">
        <w:rPr>
          <w:color w:val="000000" w:themeColor="text1"/>
        </w:rPr>
        <w:t xml:space="preserve"> and Al</w:t>
      </w:r>
      <w:r w:rsidR="007F0B9B" w:rsidRPr="00945992">
        <w:rPr>
          <w:color w:val="000000" w:themeColor="text1"/>
          <w:vertAlign w:val="subscript"/>
        </w:rPr>
        <w:t>2</w:t>
      </w:r>
      <w:r w:rsidR="007F0B9B" w:rsidRPr="00945992">
        <w:rPr>
          <w:color w:val="000000" w:themeColor="text1"/>
        </w:rPr>
        <w:t>O</w:t>
      </w:r>
      <w:r w:rsidR="007F0B9B" w:rsidRPr="00945992">
        <w:rPr>
          <w:color w:val="000000" w:themeColor="text1"/>
          <w:vertAlign w:val="subscript"/>
        </w:rPr>
        <w:t>3</w:t>
      </w:r>
      <w:r w:rsidR="007F0B9B" w:rsidRPr="00945992">
        <w:rPr>
          <w:color w:val="000000" w:themeColor="text1"/>
        </w:rPr>
        <w:t xml:space="preserve"> nanoparticles as replacements for conventional heat exchange fluids in HVAC systems. </w:t>
      </w:r>
      <w:r w:rsidRPr="00945992">
        <w:rPr>
          <w:color w:val="000000" w:themeColor="text1"/>
        </w:rPr>
        <w:t xml:space="preserve">Detailed modeling of HVAC systems </w:t>
      </w:r>
      <w:proofErr w:type="gramStart"/>
      <w:r w:rsidRPr="00945992">
        <w:rPr>
          <w:color w:val="000000" w:themeColor="text1"/>
        </w:rPr>
        <w:t>were</w:t>
      </w:r>
      <w:proofErr w:type="gramEnd"/>
      <w:r w:rsidRPr="00945992">
        <w:rPr>
          <w:color w:val="000000" w:themeColor="text1"/>
        </w:rPr>
        <w:t xml:space="preserve"> conducted using </w:t>
      </w:r>
      <w:proofErr w:type="spellStart"/>
      <w:r w:rsidR="007F0B9B" w:rsidRPr="00945992">
        <w:rPr>
          <w:color w:val="000000" w:themeColor="text1"/>
        </w:rPr>
        <w:t>EnergyPlus</w:t>
      </w:r>
      <w:proofErr w:type="spellEnd"/>
      <w:r w:rsidR="007F0B9B" w:rsidRPr="00945992">
        <w:rPr>
          <w:color w:val="000000" w:themeColor="text1"/>
        </w:rPr>
        <w:t xml:space="preserve"> </w:t>
      </w:r>
      <w:r w:rsidRPr="00945992">
        <w:rPr>
          <w:color w:val="000000" w:themeColor="text1"/>
        </w:rPr>
        <w:t xml:space="preserve">to </w:t>
      </w:r>
      <w:r w:rsidR="007F0B9B" w:rsidRPr="00945992">
        <w:rPr>
          <w:color w:val="000000" w:themeColor="text1"/>
        </w:rPr>
        <w:t>evaluat</w:t>
      </w:r>
      <w:r w:rsidRPr="00945992">
        <w:rPr>
          <w:color w:val="000000" w:themeColor="text1"/>
        </w:rPr>
        <w:t>e</w:t>
      </w:r>
      <w:r w:rsidR="007F0B9B" w:rsidRPr="00945992">
        <w:rPr>
          <w:color w:val="000000" w:themeColor="text1"/>
        </w:rPr>
        <w:t xml:space="preserve"> energy consumption</w:t>
      </w:r>
      <w:r w:rsidR="001F0699" w:rsidRPr="00945992">
        <w:rPr>
          <w:color w:val="000000" w:themeColor="text1"/>
        </w:rPr>
        <w:t xml:space="preserve"> in a reference building</w:t>
      </w:r>
      <w:r w:rsidR="006F35DB" w:rsidRPr="00945992">
        <w:rPr>
          <w:color w:val="000000" w:themeColor="text1"/>
        </w:rPr>
        <w:t>,</w:t>
      </w:r>
      <w:r w:rsidR="007F0B9B" w:rsidRPr="00945992">
        <w:rPr>
          <w:color w:val="000000" w:themeColor="text1"/>
        </w:rPr>
        <w:t xml:space="preserve"> </w:t>
      </w:r>
      <w:r w:rsidR="006F35DB" w:rsidRPr="00945992">
        <w:rPr>
          <w:color w:val="000000" w:themeColor="text1"/>
        </w:rPr>
        <w:t>while maintaining optimal indoor comfort conditions, by</w:t>
      </w:r>
      <w:r w:rsidRPr="00945992">
        <w:rPr>
          <w:color w:val="000000" w:themeColor="text1"/>
        </w:rPr>
        <w:t xml:space="preserve"> comparing the performance of configurations incorporating the thermophysical properties of </w:t>
      </w:r>
      <w:proofErr w:type="spellStart"/>
      <w:r w:rsidRPr="00945992">
        <w:rPr>
          <w:color w:val="000000" w:themeColor="text1"/>
        </w:rPr>
        <w:t>CuO</w:t>
      </w:r>
      <w:proofErr w:type="spellEnd"/>
      <w:r w:rsidRPr="00945992">
        <w:rPr>
          <w:color w:val="000000" w:themeColor="text1"/>
        </w:rPr>
        <w:t xml:space="preserve"> and Al</w:t>
      </w:r>
      <w:r w:rsidRPr="00945992">
        <w:rPr>
          <w:color w:val="000000" w:themeColor="text1"/>
          <w:vertAlign w:val="subscript"/>
        </w:rPr>
        <w:t>2</w:t>
      </w:r>
      <w:r w:rsidRPr="00945992">
        <w:rPr>
          <w:color w:val="000000" w:themeColor="text1"/>
        </w:rPr>
        <w:t>O</w:t>
      </w:r>
      <w:r w:rsidRPr="00945992">
        <w:rPr>
          <w:color w:val="000000" w:themeColor="text1"/>
          <w:vertAlign w:val="subscript"/>
        </w:rPr>
        <w:t>3</w:t>
      </w:r>
      <w:r w:rsidRPr="00945992">
        <w:rPr>
          <w:color w:val="000000" w:themeColor="text1"/>
        </w:rPr>
        <w:t xml:space="preserve"> nanoparticles against </w:t>
      </w:r>
      <w:r w:rsidR="00EB6E0E" w:rsidRPr="00945992">
        <w:rPr>
          <w:color w:val="000000" w:themeColor="text1"/>
        </w:rPr>
        <w:t xml:space="preserve">a </w:t>
      </w:r>
      <w:r w:rsidRPr="00945992">
        <w:rPr>
          <w:color w:val="000000" w:themeColor="text1"/>
        </w:rPr>
        <w:t>conventional fluid</w:t>
      </w:r>
      <w:r w:rsidR="00EB6E0E" w:rsidRPr="00945992">
        <w:rPr>
          <w:color w:val="000000" w:themeColor="text1"/>
        </w:rPr>
        <w:t xml:space="preserve"> configuration</w:t>
      </w:r>
      <w:r w:rsidRPr="00945992">
        <w:rPr>
          <w:color w:val="000000" w:themeColor="text1"/>
        </w:rPr>
        <w:t>.</w:t>
      </w:r>
      <w:r w:rsidR="007F0B9B" w:rsidRPr="00945992">
        <w:rPr>
          <w:color w:val="000000" w:themeColor="text1"/>
        </w:rPr>
        <w:t xml:space="preserve"> Preliminary results show improvements in heat transfer efficiency and energy savings, with variations based on nanoparticle type and concentration. </w:t>
      </w:r>
      <w:r w:rsidR="00EB6E0E" w:rsidRPr="00945992">
        <w:rPr>
          <w:color w:val="000000" w:themeColor="text1"/>
        </w:rPr>
        <w:t>N</w:t>
      </w:r>
      <w:r w:rsidR="007F0B9B" w:rsidRPr="00945992">
        <w:rPr>
          <w:color w:val="000000" w:themeColor="text1"/>
        </w:rPr>
        <w:t>anofluids exhibit higher thermal conductivity, leading to better energy performance</w:t>
      </w:r>
      <w:r w:rsidR="00EB6E0E" w:rsidRPr="00945992">
        <w:rPr>
          <w:color w:val="000000" w:themeColor="text1"/>
        </w:rPr>
        <w:t xml:space="preserve"> </w:t>
      </w:r>
      <w:r w:rsidR="00737395" w:rsidRPr="00945992">
        <w:rPr>
          <w:color w:val="000000" w:themeColor="text1"/>
        </w:rPr>
        <w:t>depending on the working conditions, such as temperature and concentration</w:t>
      </w:r>
      <w:r w:rsidR="00EB6E0E" w:rsidRPr="00945992">
        <w:rPr>
          <w:color w:val="000000" w:themeColor="text1"/>
        </w:rPr>
        <w:t xml:space="preserve">. </w:t>
      </w:r>
      <w:r w:rsidR="007F0B9B" w:rsidRPr="00945992">
        <w:rPr>
          <w:color w:val="000000" w:themeColor="text1"/>
        </w:rPr>
        <w:t xml:space="preserve">The </w:t>
      </w:r>
      <w:r w:rsidR="006F35DB" w:rsidRPr="00945992">
        <w:rPr>
          <w:color w:val="000000" w:themeColor="text1"/>
        </w:rPr>
        <w:t xml:space="preserve">outcomes of this preliminary </w:t>
      </w:r>
      <w:r w:rsidR="007F0B9B" w:rsidRPr="00945992">
        <w:rPr>
          <w:color w:val="000000" w:themeColor="text1"/>
        </w:rPr>
        <w:t>study</w:t>
      </w:r>
      <w:r w:rsidR="006F35DB" w:rsidRPr="00945992">
        <w:rPr>
          <w:color w:val="000000" w:themeColor="text1"/>
        </w:rPr>
        <w:t xml:space="preserve"> highlight</w:t>
      </w:r>
      <w:r w:rsidR="007F0B9B" w:rsidRPr="00945992">
        <w:rPr>
          <w:color w:val="000000" w:themeColor="text1"/>
        </w:rPr>
        <w:t xml:space="preserve"> the potential of nanofluids to maintain stable and uniform temperatures. This research contributes to the growing body of knowledge on nanofluids in HVAC applications, suggesting that water-based nanofluids could enhance the energy efficiency and sustainability of building systems.</w:t>
      </w:r>
    </w:p>
    <w:p w14:paraId="748458E0" w14:textId="488CA281" w:rsidR="00A770D8" w:rsidRPr="00945992" w:rsidRDefault="00600535" w:rsidP="009D44B4">
      <w:pPr>
        <w:pStyle w:val="CETHeading1"/>
        <w:jc w:val="both"/>
        <w:rPr>
          <w:color w:val="000000" w:themeColor="text1"/>
        </w:rPr>
      </w:pPr>
      <w:r w:rsidRPr="00945992">
        <w:rPr>
          <w:color w:val="000000" w:themeColor="text1"/>
        </w:rPr>
        <w:t>Introduction</w:t>
      </w:r>
    </w:p>
    <w:p w14:paraId="2FF70911" w14:textId="15523AEE" w:rsidR="00A770D8" w:rsidRPr="00945992" w:rsidRDefault="00A770D8" w:rsidP="00A770D8">
      <w:pPr>
        <w:pStyle w:val="CETBodytext"/>
        <w:rPr>
          <w:color w:val="000000" w:themeColor="text1"/>
        </w:rPr>
      </w:pPr>
      <w:r w:rsidRPr="00945992">
        <w:rPr>
          <w:color w:val="000000" w:themeColor="text1"/>
        </w:rPr>
        <w:t>Achieving optimal energy management and reducing carbon emissions in urban areas are key objectives of international, European, and national energy and environmental policies. This is evidenced by initiatives such as the United Nations Sustainable Development Goals (SDGs), particularly Goals 11 and 12, which focus on responsible consumption and production to make cities inclusive, safe, resilient, and sustainable</w:t>
      </w:r>
      <w:r w:rsidR="00EB6E0E" w:rsidRPr="00945992">
        <w:rPr>
          <w:color w:val="000000" w:themeColor="text1"/>
        </w:rPr>
        <w:t xml:space="preserve"> (UN, 2024)</w:t>
      </w:r>
      <w:r w:rsidRPr="00945992">
        <w:rPr>
          <w:color w:val="000000" w:themeColor="text1"/>
        </w:rPr>
        <w:t>. Additionally, the European Union's long-term environmental strategies</w:t>
      </w:r>
      <w:r w:rsidR="00EB6E0E" w:rsidRPr="00945992">
        <w:rPr>
          <w:color w:val="000000" w:themeColor="text1"/>
        </w:rPr>
        <w:t xml:space="preserve"> (EC, 2018)</w:t>
      </w:r>
      <w:r w:rsidRPr="00945992">
        <w:rPr>
          <w:color w:val="000000" w:themeColor="text1"/>
        </w:rPr>
        <w:t>, climate and energy frameworks</w:t>
      </w:r>
      <w:r w:rsidR="00EB6E0E" w:rsidRPr="00945992">
        <w:rPr>
          <w:color w:val="000000" w:themeColor="text1"/>
        </w:rPr>
        <w:t xml:space="preserve"> (EC, 2014)</w:t>
      </w:r>
      <w:r w:rsidRPr="00945992">
        <w:rPr>
          <w:color w:val="000000" w:themeColor="text1"/>
        </w:rPr>
        <w:t xml:space="preserve">, </w:t>
      </w:r>
      <w:proofErr w:type="spellStart"/>
      <w:r w:rsidRPr="00945992">
        <w:rPr>
          <w:color w:val="000000" w:themeColor="text1"/>
        </w:rPr>
        <w:t>GreenDeal</w:t>
      </w:r>
      <w:proofErr w:type="spellEnd"/>
      <w:r w:rsidR="00EB6E0E" w:rsidRPr="00945992">
        <w:rPr>
          <w:color w:val="000000" w:themeColor="text1"/>
        </w:rPr>
        <w:t xml:space="preserve"> (EC, 2019)</w:t>
      </w:r>
      <w:r w:rsidRPr="00945992">
        <w:rPr>
          <w:color w:val="000000" w:themeColor="text1"/>
        </w:rPr>
        <w:t xml:space="preserve">, and </w:t>
      </w:r>
      <w:proofErr w:type="spellStart"/>
      <w:r w:rsidRPr="00945992">
        <w:rPr>
          <w:color w:val="000000" w:themeColor="text1"/>
        </w:rPr>
        <w:t>NextGenerationEU</w:t>
      </w:r>
      <w:proofErr w:type="spellEnd"/>
      <w:r w:rsidR="00EB6E0E" w:rsidRPr="00945992">
        <w:rPr>
          <w:color w:val="000000" w:themeColor="text1"/>
        </w:rPr>
        <w:t xml:space="preserve"> (EC, 2020)</w:t>
      </w:r>
      <w:r w:rsidRPr="00945992">
        <w:rPr>
          <w:color w:val="000000" w:themeColor="text1"/>
        </w:rPr>
        <w:t xml:space="preserve"> policies, which have been adopted nationally, including Italy's National Recovery and Resilience Plan </w:t>
      </w:r>
      <w:r w:rsidR="00EB6E0E" w:rsidRPr="00945992">
        <w:rPr>
          <w:color w:val="000000" w:themeColor="text1"/>
        </w:rPr>
        <w:t xml:space="preserve">– </w:t>
      </w:r>
      <w:r w:rsidRPr="00945992">
        <w:rPr>
          <w:color w:val="000000" w:themeColor="text1"/>
        </w:rPr>
        <w:t>PNRR</w:t>
      </w:r>
      <w:r w:rsidR="00EB6E0E" w:rsidRPr="00945992">
        <w:rPr>
          <w:color w:val="000000" w:themeColor="text1"/>
        </w:rPr>
        <w:t xml:space="preserve"> (MIMIT, 2021)</w:t>
      </w:r>
      <w:r w:rsidRPr="00945992">
        <w:rPr>
          <w:color w:val="000000" w:themeColor="text1"/>
        </w:rPr>
        <w:t>, underscore these goals.</w:t>
      </w:r>
      <w:r w:rsidR="00EB6E0E" w:rsidRPr="00945992">
        <w:rPr>
          <w:color w:val="000000" w:themeColor="text1"/>
        </w:rPr>
        <w:t xml:space="preserve"> </w:t>
      </w:r>
      <w:r w:rsidRPr="00945992">
        <w:rPr>
          <w:color w:val="000000" w:themeColor="text1"/>
        </w:rPr>
        <w:t>Accordingly, improving the energy and environmental performance of buildings is crucial, as they constitute a significant portion of the urban landscape and are responsible for a substantial share of energy consumption and pollutant emissions, accounting for approximately 40% globally</w:t>
      </w:r>
      <w:r w:rsidR="00EB6E0E" w:rsidRPr="00945992">
        <w:rPr>
          <w:color w:val="000000" w:themeColor="text1"/>
        </w:rPr>
        <w:t xml:space="preserve"> (IEA, 2019)</w:t>
      </w:r>
      <w:r w:rsidRPr="00945992">
        <w:rPr>
          <w:color w:val="000000" w:themeColor="text1"/>
        </w:rPr>
        <w:t xml:space="preserve">. </w:t>
      </w:r>
      <w:proofErr w:type="gramStart"/>
      <w:r w:rsidR="00FE46CC" w:rsidRPr="00945992">
        <w:rPr>
          <w:color w:val="000000" w:themeColor="text1"/>
        </w:rPr>
        <w:t>In particular</w:t>
      </w:r>
      <w:r w:rsidRPr="00945992">
        <w:rPr>
          <w:color w:val="000000" w:themeColor="text1"/>
        </w:rPr>
        <w:t>, space</w:t>
      </w:r>
      <w:proofErr w:type="gramEnd"/>
      <w:r w:rsidRPr="00945992">
        <w:rPr>
          <w:color w:val="000000" w:themeColor="text1"/>
        </w:rPr>
        <w:t xml:space="preserve"> conditioning, including heating and cooling, represents the largest energy consumption category within buildings</w:t>
      </w:r>
      <w:r w:rsidR="00EB6E0E" w:rsidRPr="00945992">
        <w:rPr>
          <w:color w:val="000000" w:themeColor="text1"/>
        </w:rPr>
        <w:t xml:space="preserve"> (UNEP, 2020)</w:t>
      </w:r>
      <w:r w:rsidRPr="00945992">
        <w:rPr>
          <w:color w:val="000000" w:themeColor="text1"/>
        </w:rPr>
        <w:t>.</w:t>
      </w:r>
      <w:r w:rsidR="00EB6E0E" w:rsidRPr="00945992">
        <w:rPr>
          <w:color w:val="000000" w:themeColor="text1"/>
        </w:rPr>
        <w:t xml:space="preserve"> </w:t>
      </w:r>
      <w:r w:rsidRPr="00945992">
        <w:rPr>
          <w:color w:val="000000" w:themeColor="text1"/>
        </w:rPr>
        <w:t xml:space="preserve">Consequently, to enhance buildings' resilience to climate change, it is essential to adopt sustainable technologies from a circular economy perspective, promoting energy equity and accessibility. This approach aims to achieve Nearly Zero Energy Buildings </w:t>
      </w:r>
      <w:r w:rsidR="00EB6E0E" w:rsidRPr="00945992">
        <w:rPr>
          <w:color w:val="000000" w:themeColor="text1"/>
        </w:rPr>
        <w:t xml:space="preserve">– </w:t>
      </w:r>
      <w:r w:rsidRPr="00945992">
        <w:rPr>
          <w:color w:val="000000" w:themeColor="text1"/>
        </w:rPr>
        <w:t>NZEB</w:t>
      </w:r>
      <w:r w:rsidR="00EB6E0E" w:rsidRPr="00945992">
        <w:rPr>
          <w:color w:val="000000" w:themeColor="text1"/>
        </w:rPr>
        <w:t xml:space="preserve"> (EC, 2010)</w:t>
      </w:r>
      <w:r w:rsidRPr="00945992">
        <w:rPr>
          <w:color w:val="000000" w:themeColor="text1"/>
        </w:rPr>
        <w:t xml:space="preserve"> and Positive Energy Districts </w:t>
      </w:r>
      <w:r w:rsidR="00EB6E0E" w:rsidRPr="00945992">
        <w:rPr>
          <w:color w:val="000000" w:themeColor="text1"/>
        </w:rPr>
        <w:t xml:space="preserve">– </w:t>
      </w:r>
      <w:r w:rsidRPr="00945992">
        <w:rPr>
          <w:color w:val="000000" w:themeColor="text1"/>
        </w:rPr>
        <w:t>PEDs</w:t>
      </w:r>
      <w:r w:rsidR="00EB6E0E" w:rsidRPr="00945992">
        <w:rPr>
          <w:color w:val="000000" w:themeColor="text1"/>
        </w:rPr>
        <w:t xml:space="preserve"> (</w:t>
      </w:r>
      <w:proofErr w:type="spellStart"/>
      <w:r w:rsidR="00EB6E0E" w:rsidRPr="00945992">
        <w:rPr>
          <w:color w:val="000000" w:themeColor="text1"/>
        </w:rPr>
        <w:t>Cirrincione</w:t>
      </w:r>
      <w:proofErr w:type="spellEnd"/>
      <w:r w:rsidR="00EB6E0E" w:rsidRPr="00945992">
        <w:rPr>
          <w:color w:val="000000" w:themeColor="text1"/>
        </w:rPr>
        <w:t xml:space="preserve"> et al., 2023)</w:t>
      </w:r>
      <w:r w:rsidRPr="00945992">
        <w:rPr>
          <w:color w:val="000000" w:themeColor="text1"/>
        </w:rPr>
        <w:t>, as recommended by various European and national directives</w:t>
      </w:r>
      <w:r w:rsidR="00EB6E0E" w:rsidRPr="00945992">
        <w:rPr>
          <w:color w:val="000000" w:themeColor="text1"/>
        </w:rPr>
        <w:t xml:space="preserve"> (González-Prieto et al., 2023)</w:t>
      </w:r>
      <w:r w:rsidRPr="00945992">
        <w:rPr>
          <w:color w:val="000000" w:themeColor="text1"/>
        </w:rPr>
        <w:t>. Energy-efficient, smart and flexible energy storage and exchange systems are vital for sustainable energy management within district energy systems, where buildings are the primary users</w:t>
      </w:r>
      <w:r w:rsidR="00EB6E0E" w:rsidRPr="00945992">
        <w:rPr>
          <w:color w:val="000000" w:themeColor="text1"/>
        </w:rPr>
        <w:t xml:space="preserve"> (</w:t>
      </w:r>
      <w:proofErr w:type="spellStart"/>
      <w:r w:rsidR="00EB6E0E" w:rsidRPr="00945992">
        <w:rPr>
          <w:color w:val="000000" w:themeColor="text1"/>
        </w:rPr>
        <w:t>Cirrincione</w:t>
      </w:r>
      <w:proofErr w:type="spellEnd"/>
      <w:r w:rsidR="00EB6E0E" w:rsidRPr="00945992">
        <w:rPr>
          <w:color w:val="000000" w:themeColor="text1"/>
        </w:rPr>
        <w:t xml:space="preserve"> et al., 2022)</w:t>
      </w:r>
      <w:r w:rsidRPr="00945992">
        <w:rPr>
          <w:color w:val="000000" w:themeColor="text1"/>
        </w:rPr>
        <w:t>.</w:t>
      </w:r>
    </w:p>
    <w:p w14:paraId="39256EE5" w14:textId="6491533A" w:rsidR="00BB239A" w:rsidRPr="00945992" w:rsidRDefault="001208C8" w:rsidP="00A770D8">
      <w:pPr>
        <w:pStyle w:val="CETBodytext"/>
        <w:rPr>
          <w:color w:val="000000" w:themeColor="text1"/>
        </w:rPr>
      </w:pPr>
      <w:proofErr w:type="gramStart"/>
      <w:r w:rsidRPr="00945992">
        <w:rPr>
          <w:color w:val="000000" w:themeColor="text1"/>
        </w:rPr>
        <w:t>In light</w:t>
      </w:r>
      <w:r w:rsidR="00CD6262" w:rsidRPr="00945992">
        <w:rPr>
          <w:color w:val="000000" w:themeColor="text1"/>
        </w:rPr>
        <w:t xml:space="preserve"> of</w:t>
      </w:r>
      <w:proofErr w:type="gramEnd"/>
      <w:r w:rsidR="00A770D8" w:rsidRPr="00945992">
        <w:rPr>
          <w:color w:val="000000" w:themeColor="text1"/>
        </w:rPr>
        <w:t xml:space="preserve"> the above, innovative solutions are needed to address building energy requirements by increasing process efficiency while maintaining optimal occupant comfort, considering site-specific climate conditions</w:t>
      </w:r>
      <w:r w:rsidR="00EB6E0E" w:rsidRPr="00945992">
        <w:rPr>
          <w:color w:val="000000" w:themeColor="text1"/>
        </w:rPr>
        <w:t xml:space="preserve"> (Du et al., 2023)</w:t>
      </w:r>
      <w:r w:rsidR="00A770D8" w:rsidRPr="00945992">
        <w:rPr>
          <w:color w:val="000000" w:themeColor="text1"/>
        </w:rPr>
        <w:t xml:space="preserve">. Recent advances include systems that integrate renewable energy sources, such as </w:t>
      </w:r>
      <w:r w:rsidR="00A34AF5" w:rsidRPr="00945992">
        <w:rPr>
          <w:color w:val="000000" w:themeColor="text1"/>
        </w:rPr>
        <w:t>photovoltaic-</w:t>
      </w:r>
      <w:r w:rsidR="00A34AF5" w:rsidRPr="00945992">
        <w:rPr>
          <w:color w:val="000000" w:themeColor="text1"/>
        </w:rPr>
        <w:lastRenderedPageBreak/>
        <w:t xml:space="preserve">thermal – </w:t>
      </w:r>
      <w:r w:rsidR="00A770D8" w:rsidRPr="00945992">
        <w:rPr>
          <w:color w:val="000000" w:themeColor="text1"/>
        </w:rPr>
        <w:t>PVT systems</w:t>
      </w:r>
      <w:r w:rsidR="00EB6E0E" w:rsidRPr="00945992">
        <w:rPr>
          <w:color w:val="000000" w:themeColor="text1"/>
        </w:rPr>
        <w:t xml:space="preserve"> (</w:t>
      </w:r>
      <w:proofErr w:type="spellStart"/>
      <w:r w:rsidR="00EB6E0E" w:rsidRPr="00945992">
        <w:rPr>
          <w:color w:val="000000" w:themeColor="text1"/>
        </w:rPr>
        <w:t>Cirrincione</w:t>
      </w:r>
      <w:proofErr w:type="spellEnd"/>
      <w:r w:rsidR="00EB6E0E" w:rsidRPr="00945992">
        <w:rPr>
          <w:color w:val="000000" w:themeColor="text1"/>
        </w:rPr>
        <w:t xml:space="preserve"> et al., 2020)</w:t>
      </w:r>
      <w:r w:rsidR="00A770D8" w:rsidRPr="00945992">
        <w:rPr>
          <w:color w:val="000000" w:themeColor="text1"/>
        </w:rPr>
        <w:t>, with low-impact storage solutions</w:t>
      </w:r>
      <w:r w:rsidR="00EB6E0E" w:rsidRPr="00945992">
        <w:rPr>
          <w:color w:val="000000" w:themeColor="text1"/>
        </w:rPr>
        <w:t xml:space="preserve"> (Cao et al., 2023)</w:t>
      </w:r>
      <w:r w:rsidR="00A770D8" w:rsidRPr="00945992">
        <w:rPr>
          <w:color w:val="000000" w:themeColor="text1"/>
        </w:rPr>
        <w:t xml:space="preserve"> like hydrogen</w:t>
      </w:r>
      <w:r w:rsidR="00EB6E0E" w:rsidRPr="00945992">
        <w:rPr>
          <w:color w:val="000000" w:themeColor="text1"/>
        </w:rPr>
        <w:t xml:space="preserve"> (</w:t>
      </w:r>
      <w:proofErr w:type="spellStart"/>
      <w:r w:rsidR="00EB6E0E" w:rsidRPr="00945992">
        <w:rPr>
          <w:color w:val="000000" w:themeColor="text1"/>
        </w:rPr>
        <w:t>Saeedmanesh</w:t>
      </w:r>
      <w:proofErr w:type="spellEnd"/>
      <w:r w:rsidR="00EB6E0E" w:rsidRPr="00945992">
        <w:rPr>
          <w:color w:val="000000" w:themeColor="text1"/>
        </w:rPr>
        <w:t xml:space="preserve"> et al., 2018)</w:t>
      </w:r>
      <w:r w:rsidR="00A770D8" w:rsidRPr="00945992">
        <w:rPr>
          <w:color w:val="000000" w:themeColor="text1"/>
        </w:rPr>
        <w:t xml:space="preserve"> or PCM materials</w:t>
      </w:r>
      <w:r w:rsidR="00EB6E0E" w:rsidRPr="00945992">
        <w:rPr>
          <w:color w:val="000000" w:themeColor="text1"/>
        </w:rPr>
        <w:t xml:space="preserve"> (</w:t>
      </w:r>
      <w:proofErr w:type="spellStart"/>
      <w:r w:rsidR="00EB6E0E" w:rsidRPr="00945992">
        <w:rPr>
          <w:color w:val="000000" w:themeColor="text1"/>
        </w:rPr>
        <w:t>Utpol</w:t>
      </w:r>
      <w:proofErr w:type="spellEnd"/>
      <w:r w:rsidR="00EB6E0E" w:rsidRPr="00945992">
        <w:rPr>
          <w:color w:val="000000" w:themeColor="text1"/>
        </w:rPr>
        <w:t xml:space="preserve"> et al., 2024)</w:t>
      </w:r>
      <w:r w:rsidR="00A770D8" w:rsidRPr="00945992">
        <w:rPr>
          <w:color w:val="000000" w:themeColor="text1"/>
        </w:rPr>
        <w:t xml:space="preserve">. </w:t>
      </w:r>
      <w:r w:rsidR="00B159A1" w:rsidRPr="00945992">
        <w:rPr>
          <w:color w:val="000000" w:themeColor="text1"/>
        </w:rPr>
        <w:t>In addition</w:t>
      </w:r>
      <w:r w:rsidR="00A770D8" w:rsidRPr="00945992">
        <w:rPr>
          <w:color w:val="000000" w:themeColor="text1"/>
        </w:rPr>
        <w:t xml:space="preserve">, the search for more effective working fluids has led to the exploration of nanofluids </w:t>
      </w:r>
      <w:r w:rsidR="0078527A" w:rsidRPr="00945992">
        <w:rPr>
          <w:color w:val="000000" w:themeColor="text1"/>
        </w:rPr>
        <w:t xml:space="preserve">– </w:t>
      </w:r>
      <w:r w:rsidR="00A770D8" w:rsidRPr="00945992">
        <w:rPr>
          <w:color w:val="000000" w:themeColor="text1"/>
        </w:rPr>
        <w:t>NFs</w:t>
      </w:r>
      <w:r w:rsidR="0078527A" w:rsidRPr="00945992">
        <w:rPr>
          <w:color w:val="000000" w:themeColor="text1"/>
        </w:rPr>
        <w:t xml:space="preserve"> (Choi and Eastman, 1995)</w:t>
      </w:r>
      <w:r w:rsidR="00A770D8" w:rsidRPr="00945992">
        <w:rPr>
          <w:color w:val="000000" w:themeColor="text1"/>
        </w:rPr>
        <w:t>, which are conductive fluids enhanced with nanoparticles</w:t>
      </w:r>
      <w:r w:rsidR="009E6F34" w:rsidRPr="00945992">
        <w:rPr>
          <w:color w:val="000000" w:themeColor="text1"/>
        </w:rPr>
        <w:t xml:space="preserve"> – NPs (</w:t>
      </w:r>
      <w:proofErr w:type="spellStart"/>
      <w:r w:rsidR="009E6F34" w:rsidRPr="00945992">
        <w:rPr>
          <w:color w:val="000000" w:themeColor="text1"/>
        </w:rPr>
        <w:t>Bahiraei</w:t>
      </w:r>
      <w:proofErr w:type="spellEnd"/>
      <w:r w:rsidR="009E6F34" w:rsidRPr="00945992">
        <w:rPr>
          <w:color w:val="000000" w:themeColor="text1"/>
        </w:rPr>
        <w:t xml:space="preserve"> et al., 2018)</w:t>
      </w:r>
      <w:r w:rsidR="00A770D8" w:rsidRPr="00945992">
        <w:rPr>
          <w:color w:val="000000" w:themeColor="text1"/>
        </w:rPr>
        <w:t>. These nanofluids can</w:t>
      </w:r>
      <w:r w:rsidR="00C60D84" w:rsidRPr="00945992">
        <w:rPr>
          <w:color w:val="000000" w:themeColor="text1"/>
        </w:rPr>
        <w:t xml:space="preserve"> indeed</w:t>
      </w:r>
      <w:r w:rsidR="00A770D8" w:rsidRPr="00945992">
        <w:rPr>
          <w:color w:val="000000" w:themeColor="text1"/>
        </w:rPr>
        <w:t xml:space="preserve"> offer improved thermal conductivity and energy efficiency, making them </w:t>
      </w:r>
      <w:proofErr w:type="gramStart"/>
      <w:r w:rsidR="00A770D8" w:rsidRPr="00945992">
        <w:rPr>
          <w:color w:val="000000" w:themeColor="text1"/>
        </w:rPr>
        <w:t>promising</w:t>
      </w:r>
      <w:proofErr w:type="gramEnd"/>
      <w:r w:rsidR="00A770D8" w:rsidRPr="00945992">
        <w:rPr>
          <w:color w:val="000000" w:themeColor="text1"/>
        </w:rPr>
        <w:t xml:space="preserve"> for applications in heat exchangers</w:t>
      </w:r>
      <w:r w:rsidR="009E6F34" w:rsidRPr="00945992">
        <w:rPr>
          <w:color w:val="000000" w:themeColor="text1"/>
        </w:rPr>
        <w:t xml:space="preserve"> – HEs</w:t>
      </w:r>
      <w:r w:rsidR="00A770D8" w:rsidRPr="00945992">
        <w:rPr>
          <w:color w:val="000000" w:themeColor="text1"/>
        </w:rPr>
        <w:t>, microelectronics, household refrigerators, and fuel cells</w:t>
      </w:r>
      <w:r w:rsidR="009E6F34" w:rsidRPr="00945992">
        <w:rPr>
          <w:color w:val="000000" w:themeColor="text1"/>
        </w:rPr>
        <w:t xml:space="preserve"> (Sajid and Ali, 2019), </w:t>
      </w:r>
      <w:r w:rsidR="00593B0A" w:rsidRPr="00945992">
        <w:rPr>
          <w:color w:val="000000" w:themeColor="text1"/>
        </w:rPr>
        <w:t>especially</w:t>
      </w:r>
      <w:r w:rsidR="009E6F34" w:rsidRPr="00945992">
        <w:rPr>
          <w:color w:val="000000" w:themeColor="text1"/>
        </w:rPr>
        <w:t xml:space="preserve"> when </w:t>
      </w:r>
      <w:r w:rsidR="00593B0A" w:rsidRPr="00945992">
        <w:rPr>
          <w:color w:val="000000" w:themeColor="text1"/>
        </w:rPr>
        <w:t>combined</w:t>
      </w:r>
      <w:r w:rsidR="009E6F34" w:rsidRPr="00945992">
        <w:rPr>
          <w:color w:val="000000" w:themeColor="text1"/>
        </w:rPr>
        <w:t xml:space="preserve"> with more efficient </w:t>
      </w:r>
      <w:r w:rsidR="00112CCD" w:rsidRPr="00945992">
        <w:rPr>
          <w:color w:val="000000" w:themeColor="text1"/>
        </w:rPr>
        <w:t>devices</w:t>
      </w:r>
      <w:r w:rsidR="009E6F34" w:rsidRPr="00945992">
        <w:rPr>
          <w:color w:val="000000" w:themeColor="text1"/>
        </w:rPr>
        <w:t xml:space="preserve"> to </w:t>
      </w:r>
      <w:r w:rsidR="00112CCD" w:rsidRPr="00945992">
        <w:rPr>
          <w:color w:val="000000" w:themeColor="text1"/>
        </w:rPr>
        <w:t>further increase</w:t>
      </w:r>
      <w:r w:rsidR="009E6F34" w:rsidRPr="00945992">
        <w:rPr>
          <w:color w:val="000000" w:themeColor="text1"/>
        </w:rPr>
        <w:t xml:space="preserve"> savings (</w:t>
      </w:r>
      <w:proofErr w:type="spellStart"/>
      <w:r w:rsidR="009E6F34" w:rsidRPr="00945992">
        <w:rPr>
          <w:color w:val="000000" w:themeColor="text1"/>
        </w:rPr>
        <w:t>Vocciante</w:t>
      </w:r>
      <w:proofErr w:type="spellEnd"/>
      <w:r w:rsidR="009E6F34" w:rsidRPr="00945992">
        <w:rPr>
          <w:color w:val="000000" w:themeColor="text1"/>
        </w:rPr>
        <w:t xml:space="preserve"> and </w:t>
      </w:r>
      <w:proofErr w:type="spellStart"/>
      <w:r w:rsidR="009E6F34" w:rsidRPr="00945992">
        <w:rPr>
          <w:color w:val="000000" w:themeColor="text1"/>
        </w:rPr>
        <w:t>Kenig</w:t>
      </w:r>
      <w:proofErr w:type="spellEnd"/>
      <w:r w:rsidR="009E6F34" w:rsidRPr="00945992">
        <w:rPr>
          <w:color w:val="000000" w:themeColor="text1"/>
        </w:rPr>
        <w:t xml:space="preserve">, 2021). </w:t>
      </w:r>
      <w:r w:rsidR="00A770D8" w:rsidRPr="00945992">
        <w:rPr>
          <w:color w:val="000000" w:themeColor="text1"/>
        </w:rPr>
        <w:t xml:space="preserve">As a result, the use of nanofluids for buildings applications has </w:t>
      </w:r>
      <w:r w:rsidR="00E31756" w:rsidRPr="00945992">
        <w:rPr>
          <w:color w:val="000000" w:themeColor="text1"/>
        </w:rPr>
        <w:t xml:space="preserve">recently </w:t>
      </w:r>
      <w:r w:rsidR="00A770D8" w:rsidRPr="00945992">
        <w:rPr>
          <w:color w:val="000000" w:themeColor="text1"/>
        </w:rPr>
        <w:t>be</w:t>
      </w:r>
      <w:r w:rsidR="00C138C4" w:rsidRPr="00945992">
        <w:rPr>
          <w:color w:val="000000" w:themeColor="text1"/>
        </w:rPr>
        <w:t>en</w:t>
      </w:r>
      <w:r w:rsidR="00A770D8" w:rsidRPr="00945992">
        <w:rPr>
          <w:color w:val="000000" w:themeColor="text1"/>
        </w:rPr>
        <w:t xml:space="preserve"> explored showing encouraging potential</w:t>
      </w:r>
      <w:r w:rsidR="0078527A" w:rsidRPr="00945992">
        <w:rPr>
          <w:color w:val="000000" w:themeColor="text1"/>
        </w:rPr>
        <w:t xml:space="preserve"> (</w:t>
      </w:r>
      <w:proofErr w:type="spellStart"/>
      <w:r w:rsidR="0078527A" w:rsidRPr="00945992">
        <w:rPr>
          <w:color w:val="000000" w:themeColor="text1"/>
        </w:rPr>
        <w:t>Sathishkumar</w:t>
      </w:r>
      <w:proofErr w:type="spellEnd"/>
      <w:r w:rsidR="0078527A" w:rsidRPr="00945992">
        <w:rPr>
          <w:color w:val="000000" w:themeColor="text1"/>
        </w:rPr>
        <w:t xml:space="preserve"> et al., 2024)</w:t>
      </w:r>
      <w:r w:rsidR="00A770D8" w:rsidRPr="00945992">
        <w:rPr>
          <w:color w:val="000000" w:themeColor="text1"/>
        </w:rPr>
        <w:t xml:space="preserve">. Indeed, this approach not only </w:t>
      </w:r>
      <w:r w:rsidR="0018385D" w:rsidRPr="00945992">
        <w:rPr>
          <w:color w:val="000000" w:themeColor="text1"/>
        </w:rPr>
        <w:t xml:space="preserve">improves </w:t>
      </w:r>
      <w:r w:rsidR="00A770D8" w:rsidRPr="00945992">
        <w:rPr>
          <w:color w:val="000000" w:themeColor="text1"/>
        </w:rPr>
        <w:t>energy efficiency</w:t>
      </w:r>
      <w:r w:rsidR="004712D4" w:rsidRPr="00945992">
        <w:rPr>
          <w:color w:val="000000" w:themeColor="text1"/>
        </w:rPr>
        <w:t>,</w:t>
      </w:r>
      <w:r w:rsidR="00A770D8" w:rsidRPr="00945992">
        <w:rPr>
          <w:color w:val="000000" w:themeColor="text1"/>
        </w:rPr>
        <w:t xml:space="preserve"> but also </w:t>
      </w:r>
      <w:r w:rsidR="0018385D" w:rsidRPr="00945992">
        <w:rPr>
          <w:color w:val="000000" w:themeColor="text1"/>
        </w:rPr>
        <w:t>enhances</w:t>
      </w:r>
      <w:r w:rsidR="00CF1AF7" w:rsidRPr="00945992">
        <w:rPr>
          <w:color w:val="000000" w:themeColor="text1"/>
        </w:rPr>
        <w:t xml:space="preserve"> the</w:t>
      </w:r>
      <w:r w:rsidR="0018385D" w:rsidRPr="00945992">
        <w:rPr>
          <w:color w:val="000000" w:themeColor="text1"/>
        </w:rPr>
        <w:t xml:space="preserve"> </w:t>
      </w:r>
      <w:r w:rsidR="00A770D8" w:rsidRPr="00945992">
        <w:rPr>
          <w:color w:val="000000" w:themeColor="text1"/>
        </w:rPr>
        <w:t xml:space="preserve">resilience </w:t>
      </w:r>
      <w:r w:rsidR="00CF1AF7" w:rsidRPr="00945992">
        <w:rPr>
          <w:color w:val="000000" w:themeColor="text1"/>
        </w:rPr>
        <w:t xml:space="preserve">of buildings </w:t>
      </w:r>
      <w:r w:rsidR="00A770D8" w:rsidRPr="00945992">
        <w:rPr>
          <w:color w:val="000000" w:themeColor="text1"/>
        </w:rPr>
        <w:t>to climate change, a topic of growing interest in recent years</w:t>
      </w:r>
      <w:r w:rsidR="0078527A" w:rsidRPr="00945992">
        <w:rPr>
          <w:color w:val="000000" w:themeColor="text1"/>
        </w:rPr>
        <w:t xml:space="preserve"> (Peri et al.</w:t>
      </w:r>
      <w:r w:rsidR="00B60AE3" w:rsidRPr="00945992">
        <w:rPr>
          <w:color w:val="000000" w:themeColor="text1"/>
        </w:rPr>
        <w:t>,</w:t>
      </w:r>
      <w:r w:rsidR="0078527A" w:rsidRPr="00945992">
        <w:rPr>
          <w:color w:val="000000" w:themeColor="text1"/>
        </w:rPr>
        <w:t xml:space="preserve"> 2024)</w:t>
      </w:r>
      <w:r w:rsidR="00A770D8" w:rsidRPr="00945992">
        <w:rPr>
          <w:color w:val="000000" w:themeColor="text1"/>
        </w:rPr>
        <w:t>.</w:t>
      </w:r>
      <w:r w:rsidR="00BB239A" w:rsidRPr="00945992">
        <w:rPr>
          <w:color w:val="000000" w:themeColor="text1"/>
        </w:rPr>
        <w:t xml:space="preserve"> </w:t>
      </w:r>
    </w:p>
    <w:p w14:paraId="709EC547" w14:textId="66ED4BC8" w:rsidR="00BB239A" w:rsidRPr="00945992" w:rsidRDefault="00B80ADB" w:rsidP="00A770D8">
      <w:pPr>
        <w:pStyle w:val="CETBodytext"/>
        <w:rPr>
          <w:color w:val="000000" w:themeColor="text1"/>
        </w:rPr>
      </w:pPr>
      <w:r w:rsidRPr="00945992">
        <w:rPr>
          <w:color w:val="000000" w:themeColor="text1"/>
        </w:rPr>
        <w:t>B</w:t>
      </w:r>
      <w:r w:rsidR="00BB239A" w:rsidRPr="00945992">
        <w:rPr>
          <w:color w:val="000000" w:themeColor="text1"/>
        </w:rPr>
        <w:t xml:space="preserve">ased on the scientific literature regarding the use of nanofluids for buildings applications, broadly speaking two </w:t>
      </w:r>
      <w:r w:rsidRPr="00945992">
        <w:rPr>
          <w:color w:val="000000" w:themeColor="text1"/>
        </w:rPr>
        <w:t xml:space="preserve">main </w:t>
      </w:r>
      <w:r w:rsidR="00BB239A" w:rsidRPr="00945992">
        <w:rPr>
          <w:color w:val="000000" w:themeColor="text1"/>
        </w:rPr>
        <w:t>macro categories can be identified. The first one involves building systems applications, into which mainly fall cooling and heating</w:t>
      </w:r>
      <w:r w:rsidR="00A34AF5" w:rsidRPr="00945992">
        <w:rPr>
          <w:color w:val="000000" w:themeColor="text1"/>
        </w:rPr>
        <w:t xml:space="preserve"> – HVAC</w:t>
      </w:r>
      <w:r w:rsidR="00BB239A" w:rsidRPr="00945992">
        <w:rPr>
          <w:color w:val="000000" w:themeColor="text1"/>
        </w:rPr>
        <w:t xml:space="preserve"> systems</w:t>
      </w:r>
      <w:r w:rsidR="00F74F32" w:rsidRPr="00945992">
        <w:rPr>
          <w:color w:val="000000" w:themeColor="text1"/>
        </w:rPr>
        <w:t xml:space="preserve"> (</w:t>
      </w:r>
      <w:proofErr w:type="spellStart"/>
      <w:r w:rsidR="00F74F32" w:rsidRPr="00945992">
        <w:rPr>
          <w:color w:val="000000" w:themeColor="text1"/>
        </w:rPr>
        <w:t>Benazzouz</w:t>
      </w:r>
      <w:proofErr w:type="spellEnd"/>
      <w:r w:rsidR="00F74F32" w:rsidRPr="00945992">
        <w:rPr>
          <w:color w:val="000000" w:themeColor="text1"/>
        </w:rPr>
        <w:t xml:space="preserve"> et al., 2025)</w:t>
      </w:r>
      <w:r w:rsidR="00BB239A" w:rsidRPr="00945992">
        <w:rPr>
          <w:color w:val="000000" w:themeColor="text1"/>
        </w:rPr>
        <w:t>, PVT systems</w:t>
      </w:r>
      <w:r w:rsidR="00F74F32" w:rsidRPr="00945992">
        <w:rPr>
          <w:color w:val="000000" w:themeColor="text1"/>
        </w:rPr>
        <w:t xml:space="preserve"> (</w:t>
      </w:r>
      <w:proofErr w:type="spellStart"/>
      <w:r w:rsidR="00F74F32" w:rsidRPr="00945992">
        <w:rPr>
          <w:color w:val="000000" w:themeColor="text1"/>
        </w:rPr>
        <w:t>Chaichan</w:t>
      </w:r>
      <w:proofErr w:type="spellEnd"/>
      <w:r w:rsidR="00F74F32" w:rsidRPr="00945992">
        <w:rPr>
          <w:color w:val="000000" w:themeColor="text1"/>
        </w:rPr>
        <w:t xml:space="preserve"> et al., 2025)</w:t>
      </w:r>
      <w:r w:rsidR="00BB239A" w:rsidRPr="00945992">
        <w:rPr>
          <w:color w:val="000000" w:themeColor="text1"/>
        </w:rPr>
        <w:t xml:space="preserve"> and heath transfer and energy storage</w:t>
      </w:r>
      <w:r w:rsidR="00F74F32" w:rsidRPr="00945992">
        <w:rPr>
          <w:color w:val="000000" w:themeColor="text1"/>
        </w:rPr>
        <w:t xml:space="preserve"> (Liu et al., 2025)</w:t>
      </w:r>
      <w:r w:rsidR="00BB239A" w:rsidRPr="00945992">
        <w:rPr>
          <w:color w:val="000000" w:themeColor="text1"/>
        </w:rPr>
        <w:t xml:space="preserve">. </w:t>
      </w:r>
      <w:r w:rsidR="0055050F" w:rsidRPr="00945992">
        <w:rPr>
          <w:color w:val="000000" w:themeColor="text1"/>
        </w:rPr>
        <w:t xml:space="preserve">On the other hand, the second category covers </w:t>
      </w:r>
      <w:r w:rsidR="00BB239A" w:rsidRPr="00945992">
        <w:rPr>
          <w:color w:val="000000" w:themeColor="text1"/>
        </w:rPr>
        <w:t>building envelope applications, for which the use of nanofluids has been investigated for what concerns both opaque</w:t>
      </w:r>
      <w:r w:rsidR="00D57675" w:rsidRPr="00945992">
        <w:rPr>
          <w:color w:val="000000" w:themeColor="text1"/>
        </w:rPr>
        <w:t xml:space="preserve"> elements</w:t>
      </w:r>
      <w:r w:rsidR="00BB239A" w:rsidRPr="00945992">
        <w:rPr>
          <w:color w:val="000000" w:themeColor="text1"/>
        </w:rPr>
        <w:t xml:space="preserve"> (such as, </w:t>
      </w:r>
      <w:r w:rsidR="0055050F" w:rsidRPr="00945992">
        <w:rPr>
          <w:color w:val="000000" w:themeColor="text1"/>
        </w:rPr>
        <w:t xml:space="preserve">the employment of nanofluid-based additives in </w:t>
      </w:r>
      <w:r w:rsidR="00D36CC0" w:rsidRPr="00945992">
        <w:rPr>
          <w:color w:val="000000" w:themeColor="text1"/>
        </w:rPr>
        <w:t>cementitious materials to</w:t>
      </w:r>
      <w:r w:rsidR="0055050F" w:rsidRPr="00945992">
        <w:rPr>
          <w:color w:val="000000" w:themeColor="text1"/>
        </w:rPr>
        <w:t xml:space="preserve"> enhanc</w:t>
      </w:r>
      <w:r w:rsidR="00D36CC0" w:rsidRPr="00945992">
        <w:rPr>
          <w:color w:val="000000" w:themeColor="text1"/>
        </w:rPr>
        <w:t>e</w:t>
      </w:r>
      <w:r w:rsidR="0055050F" w:rsidRPr="00945992">
        <w:rPr>
          <w:color w:val="000000" w:themeColor="text1"/>
        </w:rPr>
        <w:t xml:space="preserve"> structural </w:t>
      </w:r>
      <w:r w:rsidR="00D36CC0" w:rsidRPr="00945992">
        <w:rPr>
          <w:color w:val="000000" w:themeColor="text1"/>
        </w:rPr>
        <w:t>characteristics (Wei et al., 2024), or the use of nanoparticles in PCMs-based envelope components to improve thermal insulation (</w:t>
      </w:r>
      <w:proofErr w:type="spellStart"/>
      <w:r w:rsidR="00D36CC0" w:rsidRPr="00945992">
        <w:rPr>
          <w:color w:val="000000" w:themeColor="text1"/>
        </w:rPr>
        <w:t>Alqaed</w:t>
      </w:r>
      <w:proofErr w:type="spellEnd"/>
      <w:r w:rsidR="00D36CC0" w:rsidRPr="00945992">
        <w:rPr>
          <w:color w:val="000000" w:themeColor="text1"/>
        </w:rPr>
        <w:t xml:space="preserve"> et al., 2022)</w:t>
      </w:r>
      <w:r w:rsidR="00BB239A" w:rsidRPr="00945992">
        <w:rPr>
          <w:color w:val="000000" w:themeColor="text1"/>
        </w:rPr>
        <w:t xml:space="preserve">) and glazed </w:t>
      </w:r>
      <w:r w:rsidR="00D57675" w:rsidRPr="00945992">
        <w:rPr>
          <w:color w:val="000000" w:themeColor="text1"/>
        </w:rPr>
        <w:t xml:space="preserve">elements </w:t>
      </w:r>
      <w:r w:rsidR="00BB239A" w:rsidRPr="00945992">
        <w:rPr>
          <w:color w:val="000000" w:themeColor="text1"/>
        </w:rPr>
        <w:t xml:space="preserve">(as for example, </w:t>
      </w:r>
      <w:r w:rsidR="00D36CC0" w:rsidRPr="00945992">
        <w:rPr>
          <w:color w:val="000000" w:themeColor="text1"/>
        </w:rPr>
        <w:t>the use of nanofluids in smart and photovoltaic windows for better lighting (Zhang et al., 2023), thermal (Wang et al., 2024) and energy (Abd El-</w:t>
      </w:r>
      <w:proofErr w:type="spellStart"/>
      <w:r w:rsidR="00D36CC0" w:rsidRPr="00945992">
        <w:rPr>
          <w:color w:val="000000" w:themeColor="text1"/>
        </w:rPr>
        <w:t>Samie</w:t>
      </w:r>
      <w:proofErr w:type="spellEnd"/>
      <w:r w:rsidR="00D36CC0" w:rsidRPr="00945992">
        <w:rPr>
          <w:color w:val="000000" w:themeColor="text1"/>
        </w:rPr>
        <w:t xml:space="preserve"> et al., 2024) performance, or the integration of the of nanofluids</w:t>
      </w:r>
      <w:r w:rsidR="00F74F32" w:rsidRPr="00945992">
        <w:rPr>
          <w:color w:val="000000" w:themeColor="text1"/>
        </w:rPr>
        <w:t xml:space="preserve"> in</w:t>
      </w:r>
      <w:r w:rsidR="00D36CC0" w:rsidRPr="00945992">
        <w:rPr>
          <w:color w:val="000000" w:themeColor="text1"/>
        </w:rPr>
        <w:t xml:space="preserve"> tubular daylighting devices </w:t>
      </w:r>
      <w:r w:rsidR="00A34AF5" w:rsidRPr="00945992">
        <w:rPr>
          <w:color w:val="000000" w:themeColor="text1"/>
        </w:rPr>
        <w:t xml:space="preserve">– </w:t>
      </w:r>
      <w:r w:rsidR="00D36CC0" w:rsidRPr="00945992">
        <w:rPr>
          <w:color w:val="000000" w:themeColor="text1"/>
        </w:rPr>
        <w:t xml:space="preserve">TDDs </w:t>
      </w:r>
      <w:r w:rsidR="00F74F32" w:rsidRPr="00945992">
        <w:rPr>
          <w:color w:val="000000" w:themeColor="text1"/>
        </w:rPr>
        <w:t xml:space="preserve">(Wu et al., 2024), also for domestic hot water </w:t>
      </w:r>
      <w:r w:rsidR="00A34AF5" w:rsidRPr="00945992">
        <w:rPr>
          <w:color w:val="000000" w:themeColor="text1"/>
        </w:rPr>
        <w:t xml:space="preserve">– </w:t>
      </w:r>
      <w:r w:rsidR="00F74F32" w:rsidRPr="00945992">
        <w:rPr>
          <w:color w:val="000000" w:themeColor="text1"/>
        </w:rPr>
        <w:t>DHW applications (Liu et al., 2022)</w:t>
      </w:r>
      <w:r w:rsidR="00BB239A" w:rsidRPr="00945992">
        <w:rPr>
          <w:color w:val="000000" w:themeColor="text1"/>
        </w:rPr>
        <w:t>).</w:t>
      </w:r>
    </w:p>
    <w:p w14:paraId="1CE44026" w14:textId="0EB70B81" w:rsidR="00AF4C4B" w:rsidRPr="00945992" w:rsidRDefault="00A770D8" w:rsidP="00AF4C4B">
      <w:pPr>
        <w:pStyle w:val="CETBodytext"/>
        <w:rPr>
          <w:color w:val="000000" w:themeColor="text1"/>
        </w:rPr>
      </w:pPr>
      <w:proofErr w:type="gramStart"/>
      <w:r w:rsidRPr="00945992">
        <w:rPr>
          <w:color w:val="000000" w:themeColor="text1"/>
        </w:rPr>
        <w:t>In light of</w:t>
      </w:r>
      <w:proofErr w:type="gramEnd"/>
      <w:r w:rsidRPr="00945992">
        <w:rPr>
          <w:color w:val="000000" w:themeColor="text1"/>
        </w:rPr>
        <w:t xml:space="preserve"> the above introduced background, and given the novelty of this research topic, the goal of this research is </w:t>
      </w:r>
      <w:r w:rsidR="002B7DED" w:rsidRPr="00945992">
        <w:rPr>
          <w:color w:val="000000" w:themeColor="text1"/>
        </w:rPr>
        <w:t>to contribute</w:t>
      </w:r>
      <w:r w:rsidRPr="00945992">
        <w:rPr>
          <w:color w:val="000000" w:themeColor="text1"/>
        </w:rPr>
        <w:t xml:space="preserve"> to the growing body of knowledge on </w:t>
      </w:r>
      <w:r w:rsidR="00B7462E" w:rsidRPr="00945992">
        <w:rPr>
          <w:color w:val="000000" w:themeColor="text1"/>
        </w:rPr>
        <w:t xml:space="preserve">the use of </w:t>
      </w:r>
      <w:r w:rsidR="004D3E15" w:rsidRPr="00945992">
        <w:rPr>
          <w:color w:val="000000" w:themeColor="text1"/>
        </w:rPr>
        <w:t xml:space="preserve">water-based </w:t>
      </w:r>
      <w:r w:rsidRPr="00945992">
        <w:rPr>
          <w:color w:val="000000" w:themeColor="text1"/>
        </w:rPr>
        <w:t>nanofluids in HVAC applications</w:t>
      </w:r>
      <w:r w:rsidR="00B7462E" w:rsidRPr="00945992">
        <w:rPr>
          <w:color w:val="000000" w:themeColor="text1"/>
        </w:rPr>
        <w:t xml:space="preserve"> in buildings</w:t>
      </w:r>
      <w:r w:rsidRPr="00945992">
        <w:rPr>
          <w:color w:val="000000" w:themeColor="text1"/>
        </w:rPr>
        <w:t>, providing insights into their practical implementation and benefits in reference to the main energy and environmental implications of interest</w:t>
      </w:r>
      <w:r w:rsidR="000D2680" w:rsidRPr="00945992">
        <w:rPr>
          <w:color w:val="000000" w:themeColor="text1"/>
        </w:rPr>
        <w:t xml:space="preserve">, that is energy </w:t>
      </w:r>
      <w:r w:rsidR="006F35DB" w:rsidRPr="00945992">
        <w:rPr>
          <w:color w:val="000000" w:themeColor="text1"/>
        </w:rPr>
        <w:t>consumption</w:t>
      </w:r>
      <w:r w:rsidR="000D2680" w:rsidRPr="00945992">
        <w:rPr>
          <w:color w:val="000000" w:themeColor="text1"/>
        </w:rPr>
        <w:t xml:space="preserve"> and indoor comfort potential</w:t>
      </w:r>
      <w:r w:rsidRPr="00945992">
        <w:rPr>
          <w:color w:val="000000" w:themeColor="text1"/>
        </w:rPr>
        <w:t>.</w:t>
      </w:r>
      <w:r w:rsidR="0078527A" w:rsidRPr="00945992">
        <w:rPr>
          <w:color w:val="000000" w:themeColor="text1"/>
        </w:rPr>
        <w:t xml:space="preserve"> To this purpose, the study involves a detailed modeling of HVAC systems conducted to compare the performance of HVAC systems using nanofluids, incorporating the thermophysical properties of </w:t>
      </w:r>
      <w:proofErr w:type="spellStart"/>
      <w:r w:rsidR="0078527A" w:rsidRPr="00945992">
        <w:rPr>
          <w:color w:val="000000" w:themeColor="text1"/>
        </w:rPr>
        <w:t>CuO</w:t>
      </w:r>
      <w:proofErr w:type="spellEnd"/>
      <w:r w:rsidR="0078527A" w:rsidRPr="00945992">
        <w:rPr>
          <w:color w:val="000000" w:themeColor="text1"/>
        </w:rPr>
        <w:t xml:space="preserve"> and Al</w:t>
      </w:r>
      <w:r w:rsidR="0078527A" w:rsidRPr="00945992">
        <w:rPr>
          <w:color w:val="000000" w:themeColor="text1"/>
          <w:vertAlign w:val="subscript"/>
        </w:rPr>
        <w:t>2</w:t>
      </w:r>
      <w:r w:rsidR="0078527A" w:rsidRPr="00945992">
        <w:rPr>
          <w:color w:val="000000" w:themeColor="text1"/>
        </w:rPr>
        <w:t>O3 nanoparticles, against those using conventional fluids.</w:t>
      </w:r>
    </w:p>
    <w:p w14:paraId="37D35B73" w14:textId="03A90595" w:rsidR="00F74F32" w:rsidRPr="00945992" w:rsidRDefault="00F74F32" w:rsidP="00F74F32">
      <w:pPr>
        <w:pStyle w:val="CETHeading1"/>
        <w:jc w:val="both"/>
        <w:rPr>
          <w:color w:val="000000" w:themeColor="text1"/>
        </w:rPr>
      </w:pPr>
      <w:r w:rsidRPr="00945992">
        <w:rPr>
          <w:color w:val="000000" w:themeColor="text1"/>
        </w:rPr>
        <w:t>Materials and methods</w:t>
      </w:r>
    </w:p>
    <w:p w14:paraId="64A282D2" w14:textId="18864E7A" w:rsidR="00FA30EE" w:rsidRPr="00945992" w:rsidRDefault="008621DB" w:rsidP="00215781">
      <w:pPr>
        <w:pStyle w:val="CETBodytext"/>
        <w:rPr>
          <w:color w:val="000000" w:themeColor="text1"/>
        </w:rPr>
      </w:pPr>
      <w:r w:rsidRPr="00945992">
        <w:rPr>
          <w:color w:val="000000" w:themeColor="text1"/>
        </w:rPr>
        <w:t>As previously mentioned, t</w:t>
      </w:r>
      <w:r w:rsidR="00AF36F0" w:rsidRPr="00945992">
        <w:rPr>
          <w:color w:val="000000" w:themeColor="text1"/>
        </w:rPr>
        <w:t xml:space="preserve">his </w:t>
      </w:r>
      <w:r w:rsidR="0078527A" w:rsidRPr="00945992">
        <w:rPr>
          <w:color w:val="000000" w:themeColor="text1"/>
        </w:rPr>
        <w:t>work</w:t>
      </w:r>
      <w:r w:rsidR="00AF36F0" w:rsidRPr="00945992">
        <w:rPr>
          <w:color w:val="000000" w:themeColor="text1"/>
        </w:rPr>
        <w:t xml:space="preserve"> investigates the potential benefits of replacing </w:t>
      </w:r>
      <w:r w:rsidRPr="00945992">
        <w:rPr>
          <w:color w:val="000000" w:themeColor="text1"/>
        </w:rPr>
        <w:t xml:space="preserve">a </w:t>
      </w:r>
      <w:r w:rsidR="00AF36F0" w:rsidRPr="00945992">
        <w:rPr>
          <w:color w:val="000000" w:themeColor="text1"/>
        </w:rPr>
        <w:t>conventional heat exchange fluid</w:t>
      </w:r>
      <w:r w:rsidRPr="00945992">
        <w:rPr>
          <w:color w:val="000000" w:themeColor="text1"/>
        </w:rPr>
        <w:t>, i.e., water,</w:t>
      </w:r>
      <w:r w:rsidR="00AF36F0" w:rsidRPr="00945992">
        <w:rPr>
          <w:color w:val="000000" w:themeColor="text1"/>
        </w:rPr>
        <w:t xml:space="preserve"> in HVAC systems with water-based nanofluids containing </w:t>
      </w:r>
      <w:proofErr w:type="spellStart"/>
      <w:r w:rsidR="00AF36F0" w:rsidRPr="00945992">
        <w:rPr>
          <w:color w:val="000000" w:themeColor="text1"/>
        </w:rPr>
        <w:t>CuO</w:t>
      </w:r>
      <w:proofErr w:type="spellEnd"/>
      <w:r w:rsidR="00AF36F0" w:rsidRPr="00945992">
        <w:rPr>
          <w:color w:val="000000" w:themeColor="text1"/>
        </w:rPr>
        <w:t xml:space="preserve"> and Al</w:t>
      </w:r>
      <w:r w:rsidR="00AF36F0" w:rsidRPr="00945992">
        <w:rPr>
          <w:color w:val="000000" w:themeColor="text1"/>
          <w:vertAlign w:val="subscript"/>
        </w:rPr>
        <w:t>2</w:t>
      </w:r>
      <w:r w:rsidR="00AF36F0" w:rsidRPr="00945992">
        <w:rPr>
          <w:color w:val="000000" w:themeColor="text1"/>
        </w:rPr>
        <w:t>O</w:t>
      </w:r>
      <w:r w:rsidR="00AF36F0" w:rsidRPr="00945992">
        <w:rPr>
          <w:color w:val="000000" w:themeColor="text1"/>
          <w:vertAlign w:val="subscript"/>
        </w:rPr>
        <w:t>3</w:t>
      </w:r>
      <w:r w:rsidR="00AF36F0" w:rsidRPr="00945992">
        <w:rPr>
          <w:color w:val="000000" w:themeColor="text1"/>
        </w:rPr>
        <w:t xml:space="preserve"> nanoparticles at </w:t>
      </w:r>
      <w:r w:rsidR="00065C89" w:rsidRPr="00945992">
        <w:rPr>
          <w:color w:val="000000" w:themeColor="text1"/>
        </w:rPr>
        <w:t>different</w:t>
      </w:r>
      <w:r w:rsidR="00AF36F0" w:rsidRPr="00945992">
        <w:rPr>
          <w:color w:val="000000" w:themeColor="text1"/>
        </w:rPr>
        <w:t xml:space="preserve"> concentrations. </w:t>
      </w:r>
      <w:r w:rsidRPr="00945992">
        <w:rPr>
          <w:color w:val="000000" w:themeColor="text1"/>
        </w:rPr>
        <w:t>Specifically, u</w:t>
      </w:r>
      <w:r w:rsidR="00FC745C" w:rsidRPr="00945992">
        <w:rPr>
          <w:color w:val="000000" w:themeColor="text1"/>
        </w:rPr>
        <w:t>tilizing</w:t>
      </w:r>
      <w:r w:rsidR="00AF36F0" w:rsidRPr="00945992">
        <w:rPr>
          <w:color w:val="000000" w:themeColor="text1"/>
        </w:rPr>
        <w:t xml:space="preserve"> the </w:t>
      </w:r>
      <w:proofErr w:type="spellStart"/>
      <w:r w:rsidR="00AF36F0" w:rsidRPr="00945992">
        <w:rPr>
          <w:color w:val="000000" w:themeColor="text1"/>
        </w:rPr>
        <w:t>EnergyPlus</w:t>
      </w:r>
      <w:proofErr w:type="spellEnd"/>
      <w:r w:rsidR="00A34AF5" w:rsidRPr="00945992">
        <w:rPr>
          <w:color w:val="000000" w:themeColor="text1"/>
        </w:rPr>
        <w:t xml:space="preserve"> </w:t>
      </w:r>
      <w:r w:rsidR="00AF36F0" w:rsidRPr="00945992">
        <w:rPr>
          <w:color w:val="000000" w:themeColor="text1"/>
        </w:rPr>
        <w:t xml:space="preserve">simulation tool </w:t>
      </w:r>
      <w:r w:rsidR="00176E0A" w:rsidRPr="00945992">
        <w:rPr>
          <w:color w:val="000000" w:themeColor="text1"/>
        </w:rPr>
        <w:t xml:space="preserve">(EP, 2025), </w:t>
      </w:r>
      <w:r w:rsidR="00AF36F0" w:rsidRPr="00945992">
        <w:rPr>
          <w:color w:val="000000" w:themeColor="text1"/>
        </w:rPr>
        <w:t xml:space="preserve">the </w:t>
      </w:r>
      <w:r w:rsidR="006F35DB" w:rsidRPr="00945992">
        <w:rPr>
          <w:color w:val="000000" w:themeColor="text1"/>
        </w:rPr>
        <w:t xml:space="preserve">energy consumption for heating and cooling suitable </w:t>
      </w:r>
      <w:r w:rsidR="00446C8F" w:rsidRPr="00945992">
        <w:rPr>
          <w:color w:val="000000" w:themeColor="text1"/>
        </w:rPr>
        <w:t>to</w:t>
      </w:r>
      <w:r w:rsidR="006F35DB" w:rsidRPr="00945992">
        <w:rPr>
          <w:color w:val="000000" w:themeColor="text1"/>
        </w:rPr>
        <w:t xml:space="preserve"> ensur</w:t>
      </w:r>
      <w:r w:rsidR="00446C8F" w:rsidRPr="00945992">
        <w:rPr>
          <w:color w:val="000000" w:themeColor="text1"/>
        </w:rPr>
        <w:t>e</w:t>
      </w:r>
      <w:r w:rsidR="006F35DB" w:rsidRPr="00945992">
        <w:rPr>
          <w:color w:val="000000" w:themeColor="text1"/>
        </w:rPr>
        <w:t xml:space="preserve"> optimal indoor comfort conditions </w:t>
      </w:r>
      <w:r w:rsidRPr="00945992">
        <w:rPr>
          <w:color w:val="000000" w:themeColor="text1"/>
        </w:rPr>
        <w:t>w</w:t>
      </w:r>
      <w:r w:rsidR="006F35DB" w:rsidRPr="00945992">
        <w:rPr>
          <w:color w:val="000000" w:themeColor="text1"/>
        </w:rPr>
        <w:t>as</w:t>
      </w:r>
      <w:r w:rsidRPr="00945992">
        <w:rPr>
          <w:color w:val="000000" w:themeColor="text1"/>
        </w:rPr>
        <w:t xml:space="preserve"> evaluated for</w:t>
      </w:r>
      <w:r w:rsidR="00AF36F0" w:rsidRPr="00945992">
        <w:rPr>
          <w:color w:val="000000" w:themeColor="text1"/>
        </w:rPr>
        <w:t xml:space="preserve"> a </w:t>
      </w:r>
      <w:r w:rsidR="000229ED" w:rsidRPr="00945992">
        <w:rPr>
          <w:color w:val="000000" w:themeColor="text1"/>
        </w:rPr>
        <w:t>reference</w:t>
      </w:r>
      <w:r w:rsidR="00AF36F0" w:rsidRPr="00945992">
        <w:rPr>
          <w:color w:val="000000" w:themeColor="text1"/>
        </w:rPr>
        <w:t xml:space="preserve"> building</w:t>
      </w:r>
      <w:r w:rsidR="00215781" w:rsidRPr="00945992">
        <w:rPr>
          <w:color w:val="000000" w:themeColor="text1"/>
        </w:rPr>
        <w:t xml:space="preserve">, </w:t>
      </w:r>
      <w:r w:rsidR="00EA2545" w:rsidRPr="00945992">
        <w:rPr>
          <w:color w:val="000000" w:themeColor="text1"/>
        </w:rPr>
        <w:t>i.e.,</w:t>
      </w:r>
      <w:r w:rsidR="00215781" w:rsidRPr="00945992">
        <w:rPr>
          <w:color w:val="000000" w:themeColor="text1"/>
        </w:rPr>
        <w:t xml:space="preserve"> the BESTEST Case 600</w:t>
      </w:r>
      <w:r w:rsidR="001D197E" w:rsidRPr="00945992">
        <w:rPr>
          <w:color w:val="000000" w:themeColor="text1"/>
        </w:rPr>
        <w:t xml:space="preserve"> (</w:t>
      </w:r>
      <w:r w:rsidR="00A77485" w:rsidRPr="00945992">
        <w:rPr>
          <w:color w:val="000000" w:themeColor="text1"/>
        </w:rPr>
        <w:t xml:space="preserve">ASHRAE, 2020), </w:t>
      </w:r>
      <w:r w:rsidR="00EA2545" w:rsidRPr="00945992">
        <w:rPr>
          <w:color w:val="000000" w:themeColor="text1"/>
        </w:rPr>
        <w:t>according to</w:t>
      </w:r>
      <w:r w:rsidR="00A77485" w:rsidRPr="00945992">
        <w:rPr>
          <w:color w:val="000000" w:themeColor="text1"/>
        </w:rPr>
        <w:t xml:space="preserve"> the energy demand calculation methods given by the Standard for </w:t>
      </w:r>
      <w:r w:rsidR="00BF3547" w:rsidRPr="00945992">
        <w:rPr>
          <w:color w:val="000000" w:themeColor="text1"/>
        </w:rPr>
        <w:t>E</w:t>
      </w:r>
      <w:r w:rsidR="00A77485" w:rsidRPr="00945992">
        <w:rPr>
          <w:color w:val="000000" w:themeColor="text1"/>
        </w:rPr>
        <w:t xml:space="preserve">nergy </w:t>
      </w:r>
      <w:r w:rsidR="00BF3547" w:rsidRPr="00945992">
        <w:rPr>
          <w:color w:val="000000" w:themeColor="text1"/>
        </w:rPr>
        <w:t>E</w:t>
      </w:r>
      <w:r w:rsidR="00A77485" w:rsidRPr="00945992">
        <w:rPr>
          <w:color w:val="000000" w:themeColor="text1"/>
        </w:rPr>
        <w:t xml:space="preserve">fficiency in </w:t>
      </w:r>
      <w:r w:rsidR="00BF3547" w:rsidRPr="00945992">
        <w:rPr>
          <w:color w:val="000000" w:themeColor="text1"/>
        </w:rPr>
        <w:t>B</w:t>
      </w:r>
      <w:r w:rsidR="00A77485" w:rsidRPr="00945992">
        <w:rPr>
          <w:color w:val="000000" w:themeColor="text1"/>
        </w:rPr>
        <w:t>uildings (</w:t>
      </w:r>
      <w:r w:rsidR="00432F0B" w:rsidRPr="00945992">
        <w:rPr>
          <w:color w:val="000000" w:themeColor="text1"/>
        </w:rPr>
        <w:t>ISO, 2017</w:t>
      </w:r>
      <w:r w:rsidR="00A77485" w:rsidRPr="00945992">
        <w:rPr>
          <w:color w:val="000000" w:themeColor="text1"/>
        </w:rPr>
        <w:t xml:space="preserve">), </w:t>
      </w:r>
      <w:r w:rsidR="00AF36F0" w:rsidRPr="00945992">
        <w:rPr>
          <w:color w:val="000000" w:themeColor="text1"/>
        </w:rPr>
        <w:t xml:space="preserve">under different </w:t>
      </w:r>
      <w:r w:rsidR="0078527A" w:rsidRPr="00945992">
        <w:rPr>
          <w:color w:val="000000" w:themeColor="text1"/>
        </w:rPr>
        <w:t xml:space="preserve">climate </w:t>
      </w:r>
      <w:r w:rsidR="00AF36F0" w:rsidRPr="00945992">
        <w:rPr>
          <w:color w:val="000000" w:themeColor="text1"/>
        </w:rPr>
        <w:t>scenarios</w:t>
      </w:r>
      <w:r w:rsidR="00215781" w:rsidRPr="00945992">
        <w:rPr>
          <w:color w:val="000000" w:themeColor="text1"/>
        </w:rPr>
        <w:t xml:space="preserve">, using the climatic data of two Italian cities: Genoa and Palermo. </w:t>
      </w:r>
      <w:r w:rsidR="0064508E" w:rsidRPr="00945992">
        <w:rPr>
          <w:color w:val="000000" w:themeColor="text1"/>
        </w:rPr>
        <w:t>In fact, t</w:t>
      </w:r>
      <w:r w:rsidR="00215781" w:rsidRPr="00945992">
        <w:rPr>
          <w:color w:val="000000" w:themeColor="text1"/>
        </w:rPr>
        <w:t xml:space="preserve">hese cities </w:t>
      </w:r>
      <w:proofErr w:type="gramStart"/>
      <w:r w:rsidR="00215781" w:rsidRPr="00945992">
        <w:rPr>
          <w:color w:val="000000" w:themeColor="text1"/>
        </w:rPr>
        <w:t>are</w:t>
      </w:r>
      <w:r w:rsidR="004165A3" w:rsidRPr="00945992">
        <w:rPr>
          <w:color w:val="000000" w:themeColor="text1"/>
        </w:rPr>
        <w:t xml:space="preserve"> </w:t>
      </w:r>
      <w:r w:rsidR="00215781" w:rsidRPr="00945992">
        <w:rPr>
          <w:color w:val="000000" w:themeColor="text1"/>
        </w:rPr>
        <w:t>located in</w:t>
      </w:r>
      <w:proofErr w:type="gramEnd"/>
      <w:r w:rsidR="00215781" w:rsidRPr="00945992">
        <w:rPr>
          <w:color w:val="000000" w:themeColor="text1"/>
        </w:rPr>
        <w:t xml:space="preserve"> different climatic zones</w:t>
      </w:r>
      <w:r w:rsidR="004165A3" w:rsidRPr="00945992">
        <w:rPr>
          <w:color w:val="000000" w:themeColor="text1"/>
        </w:rPr>
        <w:t xml:space="preserve"> </w:t>
      </w:r>
      <w:r w:rsidR="00215781" w:rsidRPr="00945992">
        <w:rPr>
          <w:color w:val="000000" w:themeColor="text1"/>
        </w:rPr>
        <w:t xml:space="preserve">according to the </w:t>
      </w:r>
      <w:proofErr w:type="spellStart"/>
      <w:r w:rsidR="00215781" w:rsidRPr="00945992">
        <w:rPr>
          <w:color w:val="000000" w:themeColor="text1"/>
        </w:rPr>
        <w:t>Koppen</w:t>
      </w:r>
      <w:proofErr w:type="spellEnd"/>
      <w:r w:rsidR="00215781" w:rsidRPr="00945992">
        <w:rPr>
          <w:color w:val="000000" w:themeColor="text1"/>
        </w:rPr>
        <w:t>-Geiger climate classification (</w:t>
      </w:r>
      <w:proofErr w:type="spellStart"/>
      <w:r w:rsidR="00215781" w:rsidRPr="00945992">
        <w:rPr>
          <w:color w:val="000000" w:themeColor="text1"/>
        </w:rPr>
        <w:t>Kottek</w:t>
      </w:r>
      <w:proofErr w:type="spellEnd"/>
      <w:r w:rsidR="00215781" w:rsidRPr="00945992">
        <w:rPr>
          <w:color w:val="000000" w:themeColor="text1"/>
        </w:rPr>
        <w:t xml:space="preserve"> et al., 2006), providing a variety of weather conditions for the analysis</w:t>
      </w:r>
      <w:r w:rsidR="00FC745C" w:rsidRPr="00945992">
        <w:rPr>
          <w:color w:val="000000" w:themeColor="text1"/>
        </w:rPr>
        <w:t xml:space="preserve">, as </w:t>
      </w:r>
      <w:r w:rsidR="005F6639" w:rsidRPr="00945992">
        <w:rPr>
          <w:color w:val="000000" w:themeColor="text1"/>
        </w:rPr>
        <w:t>shown</w:t>
      </w:r>
      <w:r w:rsidR="00FC745C" w:rsidRPr="00945992">
        <w:rPr>
          <w:color w:val="000000" w:themeColor="text1"/>
        </w:rPr>
        <w:t xml:space="preserve"> in</w:t>
      </w:r>
      <w:r w:rsidR="00215781" w:rsidRPr="00945992">
        <w:rPr>
          <w:color w:val="000000" w:themeColor="text1"/>
        </w:rPr>
        <w:t xml:space="preserve"> Fig</w:t>
      </w:r>
      <w:r w:rsidR="004165A3" w:rsidRPr="00945992">
        <w:rPr>
          <w:color w:val="000000" w:themeColor="text1"/>
        </w:rPr>
        <w:t>ure</w:t>
      </w:r>
      <w:r w:rsidR="00215781" w:rsidRPr="00945992">
        <w:rPr>
          <w:color w:val="000000" w:themeColor="text1"/>
        </w:rPr>
        <w:t xml:space="preserve"> 1.</w:t>
      </w:r>
    </w:p>
    <w:p w14:paraId="0CEB4FD4" w14:textId="77777777" w:rsidR="00FA30EE" w:rsidRPr="00945992" w:rsidRDefault="00FA30EE" w:rsidP="00215781">
      <w:pPr>
        <w:pStyle w:val="CETBodytext"/>
        <w:rPr>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737395" w:rsidRPr="00945992" w14:paraId="0E7293AC" w14:textId="77777777" w:rsidTr="00ED41DD">
        <w:tc>
          <w:tcPr>
            <w:tcW w:w="4388" w:type="dxa"/>
          </w:tcPr>
          <w:p w14:paraId="6574C126" w14:textId="3B33184E" w:rsidR="00ED41DD" w:rsidRPr="00945992" w:rsidRDefault="00ED41DD" w:rsidP="00215781">
            <w:pPr>
              <w:pStyle w:val="CETBodytext"/>
              <w:rPr>
                <w:color w:val="000000" w:themeColor="text1"/>
              </w:rPr>
            </w:pPr>
            <w:r w:rsidRPr="00945992">
              <w:rPr>
                <w:noProof/>
                <w:color w:val="000000" w:themeColor="text1"/>
              </w:rPr>
              <w:drawing>
                <wp:inline distT="0" distB="0" distL="0" distR="0" wp14:anchorId="32382AE0" wp14:editId="3A68E264">
                  <wp:extent cx="2700000" cy="1735186"/>
                  <wp:effectExtent l="0" t="0" r="5715" b="0"/>
                  <wp:docPr id="3194920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92035" name="Immagine 1"/>
                          <pic:cNvPicPr/>
                        </pic:nvPicPr>
                        <pic:blipFill>
                          <a:blip r:embed="rId10"/>
                          <a:stretch>
                            <a:fillRect/>
                          </a:stretch>
                        </pic:blipFill>
                        <pic:spPr>
                          <a:xfrm>
                            <a:off x="0" y="0"/>
                            <a:ext cx="2700000" cy="1735186"/>
                          </a:xfrm>
                          <a:prstGeom prst="rect">
                            <a:avLst/>
                          </a:prstGeom>
                        </pic:spPr>
                      </pic:pic>
                    </a:graphicData>
                  </a:graphic>
                </wp:inline>
              </w:drawing>
            </w:r>
          </w:p>
        </w:tc>
        <w:tc>
          <w:tcPr>
            <w:tcW w:w="4389" w:type="dxa"/>
          </w:tcPr>
          <w:p w14:paraId="4B22BB27" w14:textId="715512A5" w:rsidR="00ED41DD" w:rsidRPr="00945992" w:rsidRDefault="00ED41DD" w:rsidP="00215781">
            <w:pPr>
              <w:pStyle w:val="CETBodytext"/>
              <w:rPr>
                <w:color w:val="000000" w:themeColor="text1"/>
              </w:rPr>
            </w:pPr>
            <w:r w:rsidRPr="00945992">
              <w:rPr>
                <w:noProof/>
                <w:color w:val="000000" w:themeColor="text1"/>
              </w:rPr>
              <w:drawing>
                <wp:inline distT="0" distB="0" distL="0" distR="0" wp14:anchorId="67B93EE6" wp14:editId="72F558BE">
                  <wp:extent cx="2700000" cy="1736672"/>
                  <wp:effectExtent l="0" t="0" r="5715" b="0"/>
                  <wp:docPr id="20204086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08625" name="Immagine 2"/>
                          <pic:cNvPicPr/>
                        </pic:nvPicPr>
                        <pic:blipFill>
                          <a:blip r:embed="rId11"/>
                          <a:stretch>
                            <a:fillRect/>
                          </a:stretch>
                        </pic:blipFill>
                        <pic:spPr>
                          <a:xfrm>
                            <a:off x="0" y="0"/>
                            <a:ext cx="2700000" cy="1736672"/>
                          </a:xfrm>
                          <a:prstGeom prst="rect">
                            <a:avLst/>
                          </a:prstGeom>
                        </pic:spPr>
                      </pic:pic>
                    </a:graphicData>
                  </a:graphic>
                </wp:inline>
              </w:drawing>
            </w:r>
          </w:p>
        </w:tc>
      </w:tr>
    </w:tbl>
    <w:p w14:paraId="18EEA17E" w14:textId="486AA9CC" w:rsidR="004165A3" w:rsidRPr="00945992" w:rsidRDefault="004165A3" w:rsidP="004165A3">
      <w:pPr>
        <w:pStyle w:val="CETCaption"/>
        <w:rPr>
          <w:color w:val="000000" w:themeColor="text1"/>
        </w:rPr>
      </w:pPr>
      <w:r w:rsidRPr="00945992">
        <w:rPr>
          <w:rStyle w:val="CETCaptionCarattere"/>
          <w:i/>
          <w:color w:val="000000" w:themeColor="text1"/>
        </w:rPr>
        <w:t xml:space="preserve">Figure 1: </w:t>
      </w:r>
      <w:r w:rsidRPr="00945992">
        <w:rPr>
          <w:color w:val="000000" w:themeColor="text1"/>
        </w:rPr>
        <w:t>Daily outdoor temperature (</w:t>
      </w:r>
      <w:r w:rsidR="00AA75CE" w:rsidRPr="00945992">
        <w:rPr>
          <w:color w:val="000000" w:themeColor="text1"/>
        </w:rPr>
        <w:t>a</w:t>
      </w:r>
      <w:r w:rsidRPr="00945992">
        <w:rPr>
          <w:color w:val="000000" w:themeColor="text1"/>
        </w:rPr>
        <w:t>) and daily global horizontal solar radiation (</w:t>
      </w:r>
      <w:r w:rsidR="00AA75CE" w:rsidRPr="00945992">
        <w:rPr>
          <w:color w:val="000000" w:themeColor="text1"/>
        </w:rPr>
        <w:t>b</w:t>
      </w:r>
      <w:r w:rsidRPr="00945992">
        <w:rPr>
          <w:color w:val="000000" w:themeColor="text1"/>
        </w:rPr>
        <w:t>) for the city of Genova and Palermo</w:t>
      </w:r>
    </w:p>
    <w:p w14:paraId="464B547D" w14:textId="5FDA936E" w:rsidR="00CD3E0B" w:rsidRPr="00945992" w:rsidRDefault="00215781" w:rsidP="00A03762">
      <w:pPr>
        <w:pStyle w:val="CETBodytext"/>
        <w:rPr>
          <w:color w:val="000000" w:themeColor="text1"/>
        </w:rPr>
      </w:pPr>
      <w:r w:rsidRPr="00945992">
        <w:rPr>
          <w:color w:val="000000" w:themeColor="text1"/>
        </w:rPr>
        <w:t>More in detail</w:t>
      </w:r>
      <w:r w:rsidR="0027184B" w:rsidRPr="00945992">
        <w:rPr>
          <w:color w:val="000000" w:themeColor="text1"/>
        </w:rPr>
        <w:t>, the BESTEST Case 600</w:t>
      </w:r>
      <w:r w:rsidRPr="00945992">
        <w:rPr>
          <w:color w:val="000000" w:themeColor="text1"/>
        </w:rPr>
        <w:t xml:space="preserve"> </w:t>
      </w:r>
      <w:r w:rsidR="0027184B" w:rsidRPr="00945992">
        <w:rPr>
          <w:color w:val="000000" w:themeColor="text1"/>
        </w:rPr>
        <w:t>was used for the simulations</w:t>
      </w:r>
      <w:r w:rsidR="00736ED2" w:rsidRPr="00945992">
        <w:rPr>
          <w:color w:val="000000" w:themeColor="text1"/>
        </w:rPr>
        <w:t xml:space="preserve">, which refers to a rectangular single-zone structure measuring 8 meters wide, 6 meters long, and 2.7 meters high, constructed with lightweight materials, </w:t>
      </w:r>
      <w:r w:rsidR="00736ED2" w:rsidRPr="00945992">
        <w:rPr>
          <w:color w:val="000000" w:themeColor="text1"/>
        </w:rPr>
        <w:lastRenderedPageBreak/>
        <w:t>including plasterboard, fiberglass quilt, and wood siding.</w:t>
      </w:r>
      <w:r w:rsidR="000258A4" w:rsidRPr="00945992">
        <w:rPr>
          <w:color w:val="000000" w:themeColor="text1"/>
        </w:rPr>
        <w:t xml:space="preserve"> The building has no interior partitions and features 12 square meters of windows on the south-facing wall</w:t>
      </w:r>
      <w:r w:rsidR="008E4B43" w:rsidRPr="00945992">
        <w:rPr>
          <w:color w:val="000000" w:themeColor="text1"/>
        </w:rPr>
        <w:t xml:space="preserve"> with no shading devices to maximize solar gain</w:t>
      </w:r>
      <w:r w:rsidR="000258A4" w:rsidRPr="00945992">
        <w:rPr>
          <w:color w:val="000000" w:themeColor="text1"/>
        </w:rPr>
        <w:t>.</w:t>
      </w:r>
      <w:r w:rsidR="00CE2BDA" w:rsidRPr="00945992">
        <w:rPr>
          <w:color w:val="000000" w:themeColor="text1"/>
        </w:rPr>
        <w:t xml:space="preserve"> </w:t>
      </w:r>
    </w:p>
    <w:p w14:paraId="77A9509B" w14:textId="294324B3" w:rsidR="00A03762" w:rsidRPr="00945992" w:rsidRDefault="004A4AE2" w:rsidP="00A03762">
      <w:pPr>
        <w:pStyle w:val="CETBodytext"/>
        <w:rPr>
          <w:color w:val="000000" w:themeColor="text1"/>
        </w:rPr>
      </w:pPr>
      <w:r w:rsidRPr="00945992">
        <w:rPr>
          <w:color w:val="000000" w:themeColor="text1"/>
        </w:rPr>
        <w:t>The BESTEST Case 600 is typically used to test simulation programs</w:t>
      </w:r>
      <w:r w:rsidR="003734E5" w:rsidRPr="00945992">
        <w:rPr>
          <w:color w:val="000000" w:themeColor="text1"/>
        </w:rPr>
        <w:t>.</w:t>
      </w:r>
      <w:r w:rsidRPr="00945992">
        <w:rPr>
          <w:color w:val="000000" w:themeColor="text1"/>
        </w:rPr>
        <w:t xml:space="preserve"> </w:t>
      </w:r>
      <w:r w:rsidR="003734E5" w:rsidRPr="00945992">
        <w:rPr>
          <w:color w:val="000000" w:themeColor="text1"/>
        </w:rPr>
        <w:t xml:space="preserve">However, </w:t>
      </w:r>
      <w:r w:rsidR="00DF2764" w:rsidRPr="00945992">
        <w:rPr>
          <w:color w:val="000000" w:themeColor="text1"/>
        </w:rPr>
        <w:t xml:space="preserve">since its </w:t>
      </w:r>
      <w:proofErr w:type="gramStart"/>
      <w:r w:rsidR="00DF2764" w:rsidRPr="00945992">
        <w:rPr>
          <w:color w:val="000000" w:themeColor="text1"/>
        </w:rPr>
        <w:t>main</w:t>
      </w:r>
      <w:r w:rsidRPr="00945992">
        <w:rPr>
          <w:color w:val="000000" w:themeColor="text1"/>
        </w:rPr>
        <w:t xml:space="preserve"> focus</w:t>
      </w:r>
      <w:proofErr w:type="gramEnd"/>
      <w:r w:rsidRPr="00945992">
        <w:rPr>
          <w:color w:val="000000" w:themeColor="text1"/>
        </w:rPr>
        <w:t xml:space="preserve"> </w:t>
      </w:r>
      <w:r w:rsidR="00DF2764" w:rsidRPr="00945992">
        <w:rPr>
          <w:color w:val="000000" w:themeColor="text1"/>
        </w:rPr>
        <w:t>is</w:t>
      </w:r>
      <w:r w:rsidRPr="00945992">
        <w:rPr>
          <w:color w:val="000000" w:themeColor="text1"/>
        </w:rPr>
        <w:t xml:space="preserve"> on </w:t>
      </w:r>
      <w:r w:rsidR="00DF2764" w:rsidRPr="00945992">
        <w:rPr>
          <w:color w:val="000000" w:themeColor="text1"/>
        </w:rPr>
        <w:t xml:space="preserve">testing </w:t>
      </w:r>
      <w:r w:rsidRPr="00945992">
        <w:rPr>
          <w:color w:val="000000" w:themeColor="text1"/>
        </w:rPr>
        <w:t>the building envelope</w:t>
      </w:r>
      <w:r w:rsidR="00DF2764" w:rsidRPr="00945992">
        <w:rPr>
          <w:color w:val="000000" w:themeColor="text1"/>
        </w:rPr>
        <w:t xml:space="preserve">, </w:t>
      </w:r>
      <w:r w:rsidR="00833032" w:rsidRPr="00945992">
        <w:rPr>
          <w:color w:val="000000" w:themeColor="text1"/>
        </w:rPr>
        <w:t>an air</w:t>
      </w:r>
      <w:r w:rsidRPr="00945992">
        <w:rPr>
          <w:color w:val="000000" w:themeColor="text1"/>
        </w:rPr>
        <w:t>-conditioning equipment has been added to the system</w:t>
      </w:r>
      <w:r w:rsidR="00DD1AB8" w:rsidRPr="00945992">
        <w:rPr>
          <w:color w:val="000000" w:themeColor="text1"/>
        </w:rPr>
        <w:t xml:space="preserve"> </w:t>
      </w:r>
      <w:r w:rsidR="0027184B" w:rsidRPr="00945992">
        <w:rPr>
          <w:color w:val="000000" w:themeColor="text1"/>
        </w:rPr>
        <w:t xml:space="preserve">consisting of a fan-coil unit with two coils: one for heating and one for cooling. A natural gas boiler served as the heating element for the water distribution circuit during the heating season, while a chiller was used for cooling during the cooling season. </w:t>
      </w:r>
      <w:proofErr w:type="gramStart"/>
      <w:r w:rsidR="00FC745C" w:rsidRPr="00945992">
        <w:rPr>
          <w:color w:val="000000" w:themeColor="text1"/>
        </w:rPr>
        <w:t>In order to</w:t>
      </w:r>
      <w:proofErr w:type="gramEnd"/>
      <w:r w:rsidR="00FC745C" w:rsidRPr="00945992">
        <w:rPr>
          <w:color w:val="000000" w:themeColor="text1"/>
        </w:rPr>
        <w:t xml:space="preserve"> maintain optimal indoor comfort conditions (ISO, 2005), t</w:t>
      </w:r>
      <w:r w:rsidR="00A03762" w:rsidRPr="00945992">
        <w:rPr>
          <w:color w:val="000000" w:themeColor="text1"/>
        </w:rPr>
        <w:t>he room temperature is controlled with a dual-setpoint system, set to 20°C for heating and 27°C for cooling</w:t>
      </w:r>
      <w:r w:rsidR="00FC745C" w:rsidRPr="00945992">
        <w:rPr>
          <w:color w:val="000000" w:themeColor="text1"/>
        </w:rPr>
        <w:t xml:space="preserve"> (ASHRAE, 2023)</w:t>
      </w:r>
      <w:r w:rsidR="00A03762" w:rsidRPr="00945992">
        <w:rPr>
          <w:color w:val="000000" w:themeColor="text1"/>
        </w:rPr>
        <w:t xml:space="preserve">. </w:t>
      </w:r>
    </w:p>
    <w:p w14:paraId="608E37EA" w14:textId="4B03EC84" w:rsidR="00FC745C" w:rsidRPr="00945992" w:rsidRDefault="00FC745C" w:rsidP="00A03762">
      <w:pPr>
        <w:pStyle w:val="CETBodytext"/>
        <w:rPr>
          <w:color w:val="000000" w:themeColor="text1"/>
        </w:rPr>
      </w:pPr>
      <w:r w:rsidRPr="00945992">
        <w:rPr>
          <w:color w:val="000000" w:themeColor="text1"/>
        </w:rPr>
        <w:t>The energy consumption will be assessed as energy use intensity (MJ/m</w:t>
      </w:r>
      <w:r w:rsidRPr="00945992">
        <w:rPr>
          <w:color w:val="000000" w:themeColor="text1"/>
          <w:vertAlign w:val="superscript"/>
        </w:rPr>
        <w:t>2</w:t>
      </w:r>
      <w:r w:rsidRPr="00945992">
        <w:rPr>
          <w:color w:val="000000" w:themeColor="text1"/>
        </w:rPr>
        <w:t xml:space="preserve">) for cooling – </w:t>
      </w:r>
      <w:proofErr w:type="spellStart"/>
      <w:r w:rsidRPr="00945992">
        <w:rPr>
          <w:color w:val="000000" w:themeColor="text1"/>
        </w:rPr>
        <w:t>HVAC_El</w:t>
      </w:r>
      <w:proofErr w:type="spellEnd"/>
      <w:r w:rsidRPr="00945992">
        <w:rPr>
          <w:color w:val="000000" w:themeColor="text1"/>
        </w:rPr>
        <w:t xml:space="preserve"> and for heating – </w:t>
      </w:r>
      <w:proofErr w:type="spellStart"/>
      <w:r w:rsidRPr="00945992">
        <w:rPr>
          <w:color w:val="000000" w:themeColor="text1"/>
        </w:rPr>
        <w:t>HVAC_NaturalGas</w:t>
      </w:r>
      <w:proofErr w:type="spellEnd"/>
      <w:r w:rsidRPr="00945992">
        <w:rPr>
          <w:color w:val="000000" w:themeColor="text1"/>
        </w:rPr>
        <w:t xml:space="preserve"> (ISO, 2017).</w:t>
      </w:r>
    </w:p>
    <w:p w14:paraId="67047806" w14:textId="757AC9F7" w:rsidR="00CC40AF" w:rsidRPr="00945992" w:rsidRDefault="00A56ADA" w:rsidP="00CC40AF">
      <w:pPr>
        <w:pStyle w:val="CETBodytext"/>
        <w:rPr>
          <w:color w:val="000000" w:themeColor="text1"/>
        </w:rPr>
      </w:pPr>
      <w:r w:rsidRPr="00945992">
        <w:rPr>
          <w:color w:val="000000" w:themeColor="text1"/>
        </w:rPr>
        <w:t xml:space="preserve">Regarding the selected nanofluids, their </w:t>
      </w:r>
      <w:bookmarkStart w:id="2" w:name="_Hlk196912089"/>
      <w:r w:rsidRPr="00945992">
        <w:rPr>
          <w:color w:val="000000" w:themeColor="text1"/>
        </w:rPr>
        <w:t>c</w:t>
      </w:r>
      <w:r w:rsidR="00CC40AF" w:rsidRPr="00945992">
        <w:rPr>
          <w:color w:val="000000" w:themeColor="text1"/>
        </w:rPr>
        <w:t>haracterization data</w:t>
      </w:r>
      <w:r w:rsidR="00463977" w:rsidRPr="00945992">
        <w:rPr>
          <w:color w:val="000000" w:themeColor="text1"/>
        </w:rPr>
        <w:t xml:space="preserve"> </w:t>
      </w:r>
      <w:r w:rsidR="00CC40AF" w:rsidRPr="00945992">
        <w:rPr>
          <w:color w:val="000000" w:themeColor="text1"/>
        </w:rPr>
        <w:t xml:space="preserve">in the temperature range of interest </w:t>
      </w:r>
      <w:bookmarkEnd w:id="2"/>
      <w:r w:rsidR="00CC40AF" w:rsidRPr="00945992">
        <w:rPr>
          <w:color w:val="000000" w:themeColor="text1"/>
        </w:rPr>
        <w:t>for conducting simulations were derived from relevant literature</w:t>
      </w:r>
      <w:r w:rsidR="00455EAD" w:rsidRPr="00945992">
        <w:rPr>
          <w:color w:val="000000" w:themeColor="text1"/>
        </w:rPr>
        <w:t>, as reported in Table 1</w:t>
      </w:r>
      <w:r w:rsidR="00F210C5" w:rsidRPr="00945992">
        <w:rPr>
          <w:color w:val="000000" w:themeColor="text1"/>
        </w:rPr>
        <w:t xml:space="preserve">, together with those relating to the </w:t>
      </w:r>
      <w:r w:rsidR="00737395" w:rsidRPr="00945992">
        <w:rPr>
          <w:color w:val="000000" w:themeColor="text1"/>
        </w:rPr>
        <w:t xml:space="preserve">comparison </w:t>
      </w:r>
      <w:r w:rsidR="00F210C5" w:rsidRPr="00945992">
        <w:rPr>
          <w:color w:val="000000" w:themeColor="text1"/>
        </w:rPr>
        <w:t>traditional fluid, that is water</w:t>
      </w:r>
      <w:r w:rsidR="00455EAD" w:rsidRPr="00945992">
        <w:rPr>
          <w:color w:val="000000" w:themeColor="text1"/>
        </w:rPr>
        <w:t>.</w:t>
      </w:r>
    </w:p>
    <w:p w14:paraId="48241887" w14:textId="023B29FE" w:rsidR="00B80FF4" w:rsidRPr="00945992" w:rsidRDefault="00B80FF4" w:rsidP="00B80FF4">
      <w:pPr>
        <w:keepNext/>
        <w:spacing w:before="240" w:after="80" w:line="240" w:lineRule="exact"/>
        <w:rPr>
          <w:rFonts w:ascii="Arial" w:hAnsi="Arial"/>
          <w:i/>
          <w:color w:val="000000" w:themeColor="text1"/>
          <w:sz w:val="18"/>
          <w:szCs w:val="20"/>
          <w:lang w:val="en-GB" w:eastAsia="en-US"/>
        </w:rPr>
      </w:pPr>
      <w:r w:rsidRPr="00945992">
        <w:rPr>
          <w:rFonts w:ascii="Arial" w:hAnsi="Arial"/>
          <w:i/>
          <w:color w:val="000000" w:themeColor="text1"/>
          <w:sz w:val="18"/>
          <w:szCs w:val="20"/>
          <w:lang w:val="en-GB" w:eastAsia="en-US"/>
        </w:rPr>
        <w:t xml:space="preserve">Table 1: </w:t>
      </w:r>
      <w:r w:rsidR="00AF2B1E" w:rsidRPr="00945992">
        <w:rPr>
          <w:rFonts w:ascii="Arial" w:hAnsi="Arial"/>
          <w:i/>
          <w:color w:val="000000" w:themeColor="text1"/>
          <w:sz w:val="18"/>
          <w:szCs w:val="20"/>
          <w:lang w:val="en-GB" w:eastAsia="en-US"/>
        </w:rPr>
        <w:t>Traditional fluid (water) and selected</w:t>
      </w:r>
      <w:r w:rsidR="009226DD" w:rsidRPr="00945992">
        <w:rPr>
          <w:rFonts w:ascii="Arial" w:hAnsi="Arial"/>
          <w:i/>
          <w:color w:val="000000" w:themeColor="text1"/>
          <w:sz w:val="18"/>
          <w:szCs w:val="20"/>
          <w:lang w:val="en-GB" w:eastAsia="en-US"/>
        </w:rPr>
        <w:t xml:space="preserve"> n</w:t>
      </w:r>
      <w:r w:rsidR="00017766" w:rsidRPr="00945992">
        <w:rPr>
          <w:rFonts w:ascii="Arial" w:hAnsi="Arial"/>
          <w:i/>
          <w:color w:val="000000" w:themeColor="text1"/>
          <w:sz w:val="18"/>
          <w:szCs w:val="20"/>
          <w:lang w:val="en-GB" w:eastAsia="en-US"/>
        </w:rPr>
        <w:t xml:space="preserve">anofluids </w:t>
      </w:r>
      <w:r w:rsidR="009226DD" w:rsidRPr="00945992">
        <w:rPr>
          <w:rFonts w:ascii="Arial" w:hAnsi="Arial"/>
          <w:i/>
          <w:color w:val="000000" w:themeColor="text1"/>
          <w:sz w:val="18"/>
          <w:szCs w:val="20"/>
          <w:lang w:val="en-GB" w:eastAsia="en-US"/>
        </w:rPr>
        <w:t>(</w:t>
      </w:r>
      <w:proofErr w:type="spellStart"/>
      <w:r w:rsidR="009226DD" w:rsidRPr="00945992">
        <w:rPr>
          <w:rFonts w:ascii="Arial" w:hAnsi="Arial"/>
          <w:i/>
          <w:color w:val="000000" w:themeColor="text1"/>
          <w:sz w:val="18"/>
          <w:szCs w:val="20"/>
          <w:lang w:val="en-GB" w:eastAsia="en-US"/>
        </w:rPr>
        <w:t>CuO</w:t>
      </w:r>
      <w:proofErr w:type="spellEnd"/>
      <w:r w:rsidR="009226DD" w:rsidRPr="00945992">
        <w:rPr>
          <w:rFonts w:ascii="Arial" w:hAnsi="Arial"/>
          <w:i/>
          <w:color w:val="000000" w:themeColor="text1"/>
          <w:sz w:val="18"/>
          <w:szCs w:val="20"/>
          <w:lang w:val="en-GB" w:eastAsia="en-US"/>
        </w:rPr>
        <w:t xml:space="preserve"> and Al</w:t>
      </w:r>
      <w:r w:rsidR="009226DD" w:rsidRPr="00945992">
        <w:rPr>
          <w:rFonts w:ascii="Arial" w:hAnsi="Arial"/>
          <w:i/>
          <w:color w:val="000000" w:themeColor="text1"/>
          <w:sz w:val="18"/>
          <w:szCs w:val="20"/>
          <w:vertAlign w:val="subscript"/>
          <w:lang w:val="en-GB" w:eastAsia="en-US"/>
        </w:rPr>
        <w:t>2</w:t>
      </w:r>
      <w:r w:rsidR="009226DD" w:rsidRPr="00945992">
        <w:rPr>
          <w:rFonts w:ascii="Arial" w:hAnsi="Arial"/>
          <w:i/>
          <w:color w:val="000000" w:themeColor="text1"/>
          <w:sz w:val="18"/>
          <w:szCs w:val="20"/>
          <w:lang w:val="en-GB" w:eastAsia="en-US"/>
        </w:rPr>
        <w:t>O</w:t>
      </w:r>
      <w:r w:rsidR="007C6765" w:rsidRPr="00945992">
        <w:rPr>
          <w:rFonts w:ascii="Arial" w:hAnsi="Arial"/>
          <w:i/>
          <w:color w:val="000000" w:themeColor="text1"/>
          <w:sz w:val="18"/>
          <w:szCs w:val="20"/>
          <w:vertAlign w:val="subscript"/>
          <w:lang w:val="en-GB" w:eastAsia="en-US"/>
        </w:rPr>
        <w:t>3</w:t>
      </w:r>
      <w:r w:rsidR="00703289" w:rsidRPr="00945992">
        <w:rPr>
          <w:rFonts w:ascii="Arial" w:hAnsi="Arial"/>
          <w:i/>
          <w:color w:val="000000" w:themeColor="text1"/>
          <w:sz w:val="18"/>
          <w:szCs w:val="20"/>
          <w:lang w:val="en-GB" w:eastAsia="en-US"/>
        </w:rPr>
        <w:t xml:space="preserve"> at different concentration</w:t>
      </w:r>
      <w:r w:rsidR="007C6765" w:rsidRPr="00945992">
        <w:rPr>
          <w:rFonts w:ascii="Arial" w:hAnsi="Arial"/>
          <w:i/>
          <w:color w:val="000000" w:themeColor="text1"/>
          <w:sz w:val="18"/>
          <w:szCs w:val="20"/>
          <w:lang w:val="en-GB" w:eastAsia="en-US"/>
        </w:rPr>
        <w:t xml:space="preserve">) </w:t>
      </w:r>
      <w:r w:rsidR="00017766" w:rsidRPr="00945992">
        <w:rPr>
          <w:rFonts w:ascii="Arial" w:hAnsi="Arial"/>
          <w:i/>
          <w:color w:val="000000" w:themeColor="text1"/>
          <w:sz w:val="18"/>
          <w:szCs w:val="20"/>
          <w:lang w:val="en-GB" w:eastAsia="en-US"/>
        </w:rPr>
        <w:t>characterization data in the temperature range of interest</w:t>
      </w:r>
      <w:r w:rsidR="00002AA7" w:rsidRPr="00945992">
        <w:rPr>
          <w:rFonts w:ascii="Arial" w:hAnsi="Arial"/>
          <w:i/>
          <w:color w:val="000000" w:themeColor="text1"/>
          <w:sz w:val="18"/>
          <w:szCs w:val="20"/>
          <w:lang w:val="en-GB" w:eastAsia="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843"/>
      </w:tblGrid>
      <w:tr w:rsidR="00737395" w:rsidRPr="00945992" w14:paraId="7DD32634" w14:textId="6FC16D76" w:rsidTr="00C01DBB">
        <w:tc>
          <w:tcPr>
            <w:tcW w:w="1134" w:type="dxa"/>
            <w:tcBorders>
              <w:top w:val="single" w:sz="12" w:space="0" w:color="008000"/>
              <w:bottom w:val="single" w:sz="6" w:space="0" w:color="008000"/>
            </w:tcBorders>
            <w:shd w:val="clear" w:color="auto" w:fill="FFFFFF"/>
            <w:vAlign w:val="center"/>
          </w:tcPr>
          <w:p w14:paraId="63CC5D5A" w14:textId="12062E59" w:rsidR="00455EAD" w:rsidRPr="00945992" w:rsidRDefault="00455EAD"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Fluid</w:t>
            </w:r>
          </w:p>
        </w:tc>
        <w:tc>
          <w:tcPr>
            <w:tcW w:w="1134" w:type="dxa"/>
            <w:tcBorders>
              <w:top w:val="single" w:sz="12" w:space="0" w:color="008000"/>
              <w:bottom w:val="single" w:sz="6" w:space="0" w:color="008000"/>
            </w:tcBorders>
            <w:shd w:val="clear" w:color="auto" w:fill="FFFFFF"/>
            <w:vAlign w:val="center"/>
          </w:tcPr>
          <w:p w14:paraId="2BCDC34B" w14:textId="7EA54C25" w:rsidR="00455EAD" w:rsidRPr="00945992" w:rsidRDefault="00455EAD"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Temperature (°C)</w:t>
            </w:r>
          </w:p>
        </w:tc>
        <w:tc>
          <w:tcPr>
            <w:tcW w:w="1134" w:type="dxa"/>
            <w:tcBorders>
              <w:top w:val="single" w:sz="12" w:space="0" w:color="008000"/>
              <w:bottom w:val="single" w:sz="6" w:space="0" w:color="008000"/>
            </w:tcBorders>
            <w:shd w:val="clear" w:color="auto" w:fill="FFFFFF"/>
            <w:vAlign w:val="center"/>
          </w:tcPr>
          <w:p w14:paraId="0FC9DC55" w14:textId="34791196" w:rsidR="00455EAD" w:rsidRPr="00945992" w:rsidRDefault="00455EAD"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Density (kg/m</w:t>
            </w:r>
            <w:r w:rsidRPr="00945992">
              <w:rPr>
                <w:rFonts w:ascii="Arial" w:hAnsi="Arial"/>
                <w:color w:val="000000" w:themeColor="text1"/>
                <w:sz w:val="18"/>
                <w:szCs w:val="20"/>
                <w:vertAlign w:val="superscript"/>
                <w:lang w:val="en-GB" w:eastAsia="en-US"/>
              </w:rPr>
              <w:t>3</w:t>
            </w:r>
            <w:r w:rsidRPr="00945992">
              <w:rPr>
                <w:rFonts w:ascii="Arial" w:hAnsi="Arial"/>
                <w:color w:val="000000" w:themeColor="text1"/>
                <w:sz w:val="18"/>
                <w:szCs w:val="20"/>
                <w:lang w:val="en-GB" w:eastAsia="en-US"/>
              </w:rPr>
              <w:t>)</w:t>
            </w:r>
          </w:p>
        </w:tc>
        <w:tc>
          <w:tcPr>
            <w:tcW w:w="1134" w:type="dxa"/>
            <w:tcBorders>
              <w:top w:val="single" w:sz="12" w:space="0" w:color="008000"/>
              <w:bottom w:val="single" w:sz="6" w:space="0" w:color="008000"/>
            </w:tcBorders>
            <w:shd w:val="clear" w:color="auto" w:fill="FFFFFF"/>
            <w:vAlign w:val="center"/>
          </w:tcPr>
          <w:p w14:paraId="4E165250" w14:textId="10A8D83F" w:rsidR="00455EAD" w:rsidRPr="00945992" w:rsidRDefault="00455EAD"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Viscosity (</w:t>
            </w:r>
            <w:proofErr w:type="spellStart"/>
            <w:r w:rsidRPr="00945992">
              <w:rPr>
                <w:rFonts w:ascii="Arial" w:hAnsi="Arial"/>
                <w:color w:val="000000" w:themeColor="text1"/>
                <w:sz w:val="18"/>
                <w:szCs w:val="20"/>
                <w:lang w:val="en-GB" w:eastAsia="en-US"/>
              </w:rPr>
              <w:t>mPa·s</w:t>
            </w:r>
            <w:proofErr w:type="spellEnd"/>
            <w:r w:rsidRPr="00945992">
              <w:rPr>
                <w:rFonts w:ascii="Arial" w:hAnsi="Arial"/>
                <w:color w:val="000000" w:themeColor="text1"/>
                <w:sz w:val="18"/>
                <w:szCs w:val="20"/>
                <w:lang w:val="en-GB" w:eastAsia="en-US"/>
              </w:rPr>
              <w:t>)</w:t>
            </w:r>
          </w:p>
        </w:tc>
        <w:tc>
          <w:tcPr>
            <w:tcW w:w="1134" w:type="dxa"/>
            <w:tcBorders>
              <w:top w:val="single" w:sz="12" w:space="0" w:color="008000"/>
              <w:bottom w:val="single" w:sz="6" w:space="0" w:color="008000"/>
            </w:tcBorders>
            <w:shd w:val="clear" w:color="auto" w:fill="FFFFFF"/>
            <w:vAlign w:val="center"/>
          </w:tcPr>
          <w:p w14:paraId="4960B20F" w14:textId="6F17F1DA" w:rsidR="00455EAD" w:rsidRPr="00945992" w:rsidRDefault="00455EAD"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Specific Heat (kJ/</w:t>
            </w:r>
            <w:proofErr w:type="spellStart"/>
            <w:r w:rsidRPr="00945992">
              <w:rPr>
                <w:rFonts w:ascii="Arial" w:hAnsi="Arial" w:cs="Arial"/>
                <w:color w:val="000000" w:themeColor="text1"/>
                <w:sz w:val="18"/>
                <w:szCs w:val="18"/>
                <w:lang w:val="en-GB" w:eastAsia="en-US"/>
              </w:rPr>
              <w:t>kg·K</w:t>
            </w:r>
            <w:proofErr w:type="spellEnd"/>
            <w:r w:rsidRPr="00945992">
              <w:rPr>
                <w:rFonts w:ascii="Arial" w:hAnsi="Arial" w:cs="Arial"/>
                <w:color w:val="000000" w:themeColor="text1"/>
                <w:sz w:val="18"/>
                <w:szCs w:val="18"/>
                <w:lang w:val="en-GB" w:eastAsia="en-US"/>
              </w:rPr>
              <w:t>)</w:t>
            </w:r>
          </w:p>
        </w:tc>
        <w:tc>
          <w:tcPr>
            <w:tcW w:w="1134" w:type="dxa"/>
            <w:tcBorders>
              <w:top w:val="single" w:sz="12" w:space="0" w:color="008000"/>
              <w:bottom w:val="single" w:sz="6" w:space="0" w:color="008000"/>
            </w:tcBorders>
            <w:shd w:val="clear" w:color="auto" w:fill="FFFFFF"/>
            <w:vAlign w:val="center"/>
          </w:tcPr>
          <w:p w14:paraId="1D9BD1FA" w14:textId="2EBEF709" w:rsidR="00455EAD" w:rsidRPr="00945992" w:rsidRDefault="00455EAD"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Thermal Conductivity (W/</w:t>
            </w:r>
            <w:proofErr w:type="spellStart"/>
            <w:r w:rsidRPr="00945992">
              <w:rPr>
                <w:rFonts w:ascii="Arial" w:hAnsi="Arial" w:cs="Arial"/>
                <w:color w:val="000000" w:themeColor="text1"/>
                <w:sz w:val="18"/>
                <w:szCs w:val="18"/>
                <w:lang w:val="en-GB" w:eastAsia="en-US"/>
              </w:rPr>
              <w:t>m·K</w:t>
            </w:r>
            <w:proofErr w:type="spellEnd"/>
            <w:r w:rsidRPr="00945992">
              <w:rPr>
                <w:rFonts w:ascii="Arial" w:hAnsi="Arial" w:cs="Arial"/>
                <w:color w:val="000000" w:themeColor="text1"/>
                <w:sz w:val="18"/>
                <w:szCs w:val="18"/>
                <w:lang w:val="en-GB" w:eastAsia="en-US"/>
              </w:rPr>
              <w:t>)</w:t>
            </w:r>
          </w:p>
        </w:tc>
        <w:tc>
          <w:tcPr>
            <w:tcW w:w="1843" w:type="dxa"/>
            <w:tcBorders>
              <w:top w:val="single" w:sz="12" w:space="0" w:color="008000"/>
              <w:bottom w:val="single" w:sz="6" w:space="0" w:color="008000"/>
            </w:tcBorders>
            <w:shd w:val="clear" w:color="auto" w:fill="FFFFFF"/>
            <w:vAlign w:val="center"/>
          </w:tcPr>
          <w:p w14:paraId="6A91309D" w14:textId="42285DBA" w:rsidR="00455EAD" w:rsidRPr="00945992" w:rsidRDefault="006667A7" w:rsidP="00C01DBB">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Reference literature</w:t>
            </w:r>
          </w:p>
        </w:tc>
      </w:tr>
      <w:tr w:rsidR="00737395" w:rsidRPr="00945992" w14:paraId="569C44C6" w14:textId="7E667843" w:rsidTr="00606D2C">
        <w:tc>
          <w:tcPr>
            <w:tcW w:w="1134" w:type="dxa"/>
            <w:vMerge w:val="restart"/>
            <w:shd w:val="clear" w:color="auto" w:fill="FFFFFF"/>
            <w:vAlign w:val="center"/>
          </w:tcPr>
          <w:p w14:paraId="495CAD84" w14:textId="113FC2B0"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bookmarkStart w:id="3" w:name="_Hlk196909584"/>
            <w:r w:rsidRPr="00945992">
              <w:rPr>
                <w:rFonts w:ascii="Arial" w:hAnsi="Arial"/>
                <w:color w:val="000000" w:themeColor="text1"/>
                <w:sz w:val="18"/>
                <w:szCs w:val="20"/>
                <w:lang w:val="en-GB" w:eastAsia="en-US"/>
              </w:rPr>
              <w:t>Water</w:t>
            </w:r>
          </w:p>
        </w:tc>
        <w:tc>
          <w:tcPr>
            <w:tcW w:w="1134" w:type="dxa"/>
            <w:shd w:val="clear" w:color="auto" w:fill="FFFFFF"/>
            <w:vAlign w:val="center"/>
          </w:tcPr>
          <w:p w14:paraId="286D968C" w14:textId="708182F9"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10</w:t>
            </w:r>
          </w:p>
        </w:tc>
        <w:tc>
          <w:tcPr>
            <w:tcW w:w="1134" w:type="dxa"/>
            <w:shd w:val="clear" w:color="auto" w:fill="FFFFFF"/>
            <w:vAlign w:val="center"/>
          </w:tcPr>
          <w:p w14:paraId="0F3543DE" w14:textId="16188AAE"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1000</w:t>
            </w:r>
          </w:p>
        </w:tc>
        <w:tc>
          <w:tcPr>
            <w:tcW w:w="1134" w:type="dxa"/>
            <w:shd w:val="clear" w:color="auto" w:fill="FFFFFF"/>
            <w:vAlign w:val="center"/>
          </w:tcPr>
          <w:p w14:paraId="0979484F" w14:textId="59305BC4"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1.31</w:t>
            </w:r>
          </w:p>
        </w:tc>
        <w:tc>
          <w:tcPr>
            <w:tcW w:w="1134" w:type="dxa"/>
            <w:shd w:val="clear" w:color="auto" w:fill="FFFFFF"/>
            <w:vAlign w:val="center"/>
          </w:tcPr>
          <w:p w14:paraId="0CD7BC12" w14:textId="074BB546"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4.19</w:t>
            </w:r>
          </w:p>
        </w:tc>
        <w:tc>
          <w:tcPr>
            <w:tcW w:w="1134" w:type="dxa"/>
            <w:shd w:val="clear" w:color="auto" w:fill="FFFFFF"/>
            <w:vAlign w:val="center"/>
          </w:tcPr>
          <w:p w14:paraId="4B56A8F3" w14:textId="125A73C4"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0.58</w:t>
            </w:r>
          </w:p>
        </w:tc>
        <w:tc>
          <w:tcPr>
            <w:tcW w:w="1843" w:type="dxa"/>
            <w:vMerge w:val="restart"/>
            <w:shd w:val="clear" w:color="auto" w:fill="FFFFFF"/>
            <w:vAlign w:val="center"/>
          </w:tcPr>
          <w:p w14:paraId="3C20B14E" w14:textId="1496B86D" w:rsidR="00606D2C" w:rsidRPr="00945992" w:rsidRDefault="00606D2C" w:rsidP="00606D2C">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(EP, 2025)</w:t>
            </w:r>
          </w:p>
        </w:tc>
      </w:tr>
      <w:bookmarkEnd w:id="3"/>
      <w:tr w:rsidR="00737395" w:rsidRPr="00945992" w14:paraId="538F1868" w14:textId="0817B844" w:rsidTr="00F210C5">
        <w:tc>
          <w:tcPr>
            <w:tcW w:w="1134" w:type="dxa"/>
            <w:vMerge/>
            <w:shd w:val="clear" w:color="auto" w:fill="FFFFFF"/>
            <w:vAlign w:val="center"/>
          </w:tcPr>
          <w:p w14:paraId="6603B9A6" w14:textId="77777777"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p>
        </w:tc>
        <w:tc>
          <w:tcPr>
            <w:tcW w:w="1134" w:type="dxa"/>
            <w:shd w:val="clear" w:color="auto" w:fill="FFFFFF"/>
            <w:vAlign w:val="center"/>
          </w:tcPr>
          <w:p w14:paraId="37F600AE" w14:textId="54EAF199"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30</w:t>
            </w:r>
          </w:p>
        </w:tc>
        <w:tc>
          <w:tcPr>
            <w:tcW w:w="1134" w:type="dxa"/>
            <w:shd w:val="clear" w:color="auto" w:fill="FFFFFF"/>
            <w:vAlign w:val="center"/>
          </w:tcPr>
          <w:p w14:paraId="7384D1D9" w14:textId="1C51DE6E"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996</w:t>
            </w:r>
          </w:p>
        </w:tc>
        <w:tc>
          <w:tcPr>
            <w:tcW w:w="1134" w:type="dxa"/>
            <w:shd w:val="clear" w:color="auto" w:fill="FFFFFF"/>
            <w:vAlign w:val="center"/>
          </w:tcPr>
          <w:p w14:paraId="49736C57" w14:textId="3685D690"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0.80</w:t>
            </w:r>
          </w:p>
        </w:tc>
        <w:tc>
          <w:tcPr>
            <w:tcW w:w="1134" w:type="dxa"/>
            <w:shd w:val="clear" w:color="auto" w:fill="FFFFFF"/>
            <w:vAlign w:val="center"/>
          </w:tcPr>
          <w:p w14:paraId="6C101ED8" w14:textId="6934C88F"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4.18</w:t>
            </w:r>
          </w:p>
        </w:tc>
        <w:tc>
          <w:tcPr>
            <w:tcW w:w="1134" w:type="dxa"/>
            <w:shd w:val="clear" w:color="auto" w:fill="FFFFFF"/>
            <w:vAlign w:val="center"/>
          </w:tcPr>
          <w:p w14:paraId="417C2B1F" w14:textId="79A0DAFB"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0.61</w:t>
            </w:r>
          </w:p>
        </w:tc>
        <w:tc>
          <w:tcPr>
            <w:tcW w:w="1843" w:type="dxa"/>
            <w:vMerge/>
            <w:shd w:val="clear" w:color="auto" w:fill="FFFFFF"/>
          </w:tcPr>
          <w:p w14:paraId="1104AAF3" w14:textId="77777777"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p>
        </w:tc>
      </w:tr>
      <w:tr w:rsidR="00737395" w:rsidRPr="00945992" w14:paraId="150E09F1" w14:textId="29A2C9F0" w:rsidTr="00F210C5">
        <w:tc>
          <w:tcPr>
            <w:tcW w:w="1134" w:type="dxa"/>
            <w:vMerge/>
            <w:shd w:val="clear" w:color="auto" w:fill="FFFFFF"/>
            <w:vAlign w:val="center"/>
          </w:tcPr>
          <w:p w14:paraId="6CD00B35" w14:textId="77777777"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p>
        </w:tc>
        <w:tc>
          <w:tcPr>
            <w:tcW w:w="1134" w:type="dxa"/>
            <w:shd w:val="clear" w:color="auto" w:fill="FFFFFF"/>
            <w:vAlign w:val="center"/>
          </w:tcPr>
          <w:p w14:paraId="044AD76F" w14:textId="35C867E2"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50</w:t>
            </w:r>
          </w:p>
        </w:tc>
        <w:tc>
          <w:tcPr>
            <w:tcW w:w="1134" w:type="dxa"/>
            <w:shd w:val="clear" w:color="auto" w:fill="FFFFFF"/>
            <w:vAlign w:val="center"/>
          </w:tcPr>
          <w:p w14:paraId="46377572" w14:textId="6279A7E1"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988</w:t>
            </w:r>
          </w:p>
        </w:tc>
        <w:tc>
          <w:tcPr>
            <w:tcW w:w="1134" w:type="dxa"/>
            <w:shd w:val="clear" w:color="auto" w:fill="FFFFFF"/>
            <w:vAlign w:val="center"/>
          </w:tcPr>
          <w:p w14:paraId="58A17220" w14:textId="6FFA07BD" w:rsidR="00606D2C" w:rsidRPr="00945992" w:rsidRDefault="00606D2C" w:rsidP="00DC50B4">
            <w:pPr>
              <w:tabs>
                <w:tab w:val="right" w:pos="7100"/>
              </w:tabs>
              <w:spacing w:line="264" w:lineRule="auto"/>
              <w:jc w:val="center"/>
              <w:rPr>
                <w:rFonts w:ascii="Arial" w:hAnsi="Arial"/>
                <w:color w:val="000000" w:themeColor="text1"/>
                <w:sz w:val="18"/>
                <w:szCs w:val="20"/>
                <w:lang w:val="en-GB" w:eastAsia="en-US"/>
              </w:rPr>
            </w:pPr>
            <w:r w:rsidRPr="00945992">
              <w:rPr>
                <w:rFonts w:ascii="Arial" w:hAnsi="Arial"/>
                <w:color w:val="000000" w:themeColor="text1"/>
                <w:sz w:val="18"/>
                <w:szCs w:val="20"/>
                <w:lang w:val="en-GB" w:eastAsia="en-US"/>
              </w:rPr>
              <w:t>0.55</w:t>
            </w:r>
          </w:p>
        </w:tc>
        <w:tc>
          <w:tcPr>
            <w:tcW w:w="1134" w:type="dxa"/>
            <w:shd w:val="clear" w:color="auto" w:fill="FFFFFF"/>
            <w:vAlign w:val="center"/>
          </w:tcPr>
          <w:p w14:paraId="44A41C0D" w14:textId="4BE8B8A3"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4.18</w:t>
            </w:r>
          </w:p>
        </w:tc>
        <w:tc>
          <w:tcPr>
            <w:tcW w:w="1134" w:type="dxa"/>
            <w:shd w:val="clear" w:color="auto" w:fill="FFFFFF"/>
            <w:vAlign w:val="center"/>
          </w:tcPr>
          <w:p w14:paraId="66D5042C" w14:textId="7EF39EFF"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0.64</w:t>
            </w:r>
          </w:p>
        </w:tc>
        <w:tc>
          <w:tcPr>
            <w:tcW w:w="1843" w:type="dxa"/>
            <w:vMerge/>
            <w:shd w:val="clear" w:color="auto" w:fill="FFFFFF"/>
          </w:tcPr>
          <w:p w14:paraId="6529D341" w14:textId="77777777"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p>
        </w:tc>
      </w:tr>
      <w:tr w:rsidR="00737395" w:rsidRPr="00945992" w14:paraId="74934809" w14:textId="40F14A3C" w:rsidTr="00F210C5">
        <w:tc>
          <w:tcPr>
            <w:tcW w:w="1134" w:type="dxa"/>
            <w:vMerge/>
            <w:tcBorders>
              <w:bottom w:val="single" w:sz="6" w:space="0" w:color="008000"/>
            </w:tcBorders>
            <w:shd w:val="clear" w:color="auto" w:fill="FFFFFF"/>
            <w:vAlign w:val="center"/>
          </w:tcPr>
          <w:p w14:paraId="0E996967" w14:textId="77777777"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tcBorders>
              <w:bottom w:val="single" w:sz="6" w:space="0" w:color="008000"/>
            </w:tcBorders>
            <w:shd w:val="clear" w:color="auto" w:fill="FFFFFF"/>
            <w:vAlign w:val="center"/>
          </w:tcPr>
          <w:p w14:paraId="4407393F" w14:textId="4D505562"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70</w:t>
            </w:r>
          </w:p>
        </w:tc>
        <w:tc>
          <w:tcPr>
            <w:tcW w:w="1134" w:type="dxa"/>
            <w:tcBorders>
              <w:bottom w:val="single" w:sz="6" w:space="0" w:color="008000"/>
            </w:tcBorders>
            <w:shd w:val="clear" w:color="auto" w:fill="FFFFFF"/>
            <w:vAlign w:val="center"/>
          </w:tcPr>
          <w:p w14:paraId="642BED24" w14:textId="1438AA6D"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978</w:t>
            </w:r>
          </w:p>
        </w:tc>
        <w:tc>
          <w:tcPr>
            <w:tcW w:w="1134" w:type="dxa"/>
            <w:tcBorders>
              <w:bottom w:val="single" w:sz="6" w:space="0" w:color="008000"/>
            </w:tcBorders>
            <w:shd w:val="clear" w:color="auto" w:fill="FFFFFF"/>
            <w:vAlign w:val="center"/>
          </w:tcPr>
          <w:p w14:paraId="04357452" w14:textId="288B0C91"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0.40</w:t>
            </w:r>
          </w:p>
        </w:tc>
        <w:tc>
          <w:tcPr>
            <w:tcW w:w="1134" w:type="dxa"/>
            <w:tcBorders>
              <w:bottom w:val="single" w:sz="6" w:space="0" w:color="008000"/>
            </w:tcBorders>
            <w:shd w:val="clear" w:color="auto" w:fill="FFFFFF"/>
            <w:vAlign w:val="center"/>
          </w:tcPr>
          <w:p w14:paraId="11BC1308" w14:textId="67E5BFA1"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4.19</w:t>
            </w:r>
          </w:p>
        </w:tc>
        <w:tc>
          <w:tcPr>
            <w:tcW w:w="1134" w:type="dxa"/>
            <w:tcBorders>
              <w:bottom w:val="single" w:sz="6" w:space="0" w:color="008000"/>
            </w:tcBorders>
            <w:shd w:val="clear" w:color="auto" w:fill="FFFFFF"/>
            <w:vAlign w:val="center"/>
          </w:tcPr>
          <w:p w14:paraId="7732D7F2" w14:textId="113FAF48"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0.66</w:t>
            </w:r>
          </w:p>
        </w:tc>
        <w:tc>
          <w:tcPr>
            <w:tcW w:w="1843" w:type="dxa"/>
            <w:vMerge/>
            <w:tcBorders>
              <w:bottom w:val="single" w:sz="6" w:space="0" w:color="008000"/>
            </w:tcBorders>
            <w:shd w:val="clear" w:color="auto" w:fill="FFFFFF"/>
          </w:tcPr>
          <w:p w14:paraId="03B9BAC4" w14:textId="77777777" w:rsidR="00606D2C" w:rsidRPr="00945992" w:rsidRDefault="00606D2C" w:rsidP="00DC50B4">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56FCA491" w14:textId="58A6E6D3" w:rsidTr="00426187">
        <w:tc>
          <w:tcPr>
            <w:tcW w:w="1134" w:type="dxa"/>
            <w:vMerge w:val="restart"/>
            <w:tcBorders>
              <w:top w:val="single" w:sz="6" w:space="0" w:color="008000"/>
            </w:tcBorders>
            <w:shd w:val="clear" w:color="auto" w:fill="FFFFFF"/>
            <w:vAlign w:val="center"/>
          </w:tcPr>
          <w:p w14:paraId="497DE89F" w14:textId="01F917B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roofErr w:type="spellStart"/>
            <w:r w:rsidRPr="00945992">
              <w:rPr>
                <w:rFonts w:ascii="Arial" w:hAnsi="Arial" w:cs="Arial"/>
                <w:color w:val="000000" w:themeColor="text1"/>
                <w:sz w:val="18"/>
                <w:szCs w:val="18"/>
                <w:lang w:val="en-GB" w:eastAsia="en-US"/>
              </w:rPr>
              <w:t>CuO</w:t>
            </w:r>
            <w:proofErr w:type="spellEnd"/>
            <w:r w:rsidRPr="00945992">
              <w:rPr>
                <w:rFonts w:ascii="Arial" w:hAnsi="Arial" w:cs="Arial"/>
                <w:color w:val="000000" w:themeColor="text1"/>
                <w:sz w:val="18"/>
                <w:szCs w:val="18"/>
                <w:lang w:val="en-GB" w:eastAsia="en-US"/>
              </w:rPr>
              <w:t xml:space="preserve"> </w:t>
            </w:r>
            <w:r w:rsidRPr="00945992">
              <w:rPr>
                <w:rFonts w:ascii="Arial" w:hAnsi="Arial" w:cs="Arial"/>
                <w:color w:val="000000" w:themeColor="text1"/>
                <w:sz w:val="18"/>
                <w:szCs w:val="18"/>
                <w:lang w:val="en-GB" w:eastAsia="en-US"/>
              </w:rPr>
              <w:br/>
              <w:t xml:space="preserve">1% </w:t>
            </w:r>
            <w:proofErr w:type="spellStart"/>
            <w:r w:rsidRPr="00945992">
              <w:rPr>
                <w:rFonts w:ascii="Arial" w:hAnsi="Arial" w:cs="Arial"/>
                <w:color w:val="000000" w:themeColor="text1"/>
                <w:sz w:val="18"/>
                <w:szCs w:val="18"/>
                <w:lang w:val="en-GB" w:eastAsia="en-US"/>
              </w:rPr>
              <w:t>wt</w:t>
            </w:r>
            <w:proofErr w:type="spellEnd"/>
          </w:p>
        </w:tc>
        <w:tc>
          <w:tcPr>
            <w:tcW w:w="1134" w:type="dxa"/>
            <w:tcBorders>
              <w:top w:val="single" w:sz="6" w:space="0" w:color="008000"/>
              <w:bottom w:val="nil"/>
            </w:tcBorders>
            <w:shd w:val="clear" w:color="auto" w:fill="FFFFFF"/>
            <w:vAlign w:val="center"/>
          </w:tcPr>
          <w:p w14:paraId="7E51E51D" w14:textId="0E4D2F8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w:t>
            </w:r>
          </w:p>
        </w:tc>
        <w:tc>
          <w:tcPr>
            <w:tcW w:w="1134" w:type="dxa"/>
            <w:tcBorders>
              <w:top w:val="single" w:sz="6" w:space="0" w:color="008000"/>
              <w:bottom w:val="nil"/>
            </w:tcBorders>
            <w:shd w:val="clear" w:color="auto" w:fill="FFFFFF"/>
            <w:vAlign w:val="center"/>
          </w:tcPr>
          <w:p w14:paraId="26CF8312" w14:textId="366EA412"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1004</w:t>
            </w:r>
          </w:p>
        </w:tc>
        <w:tc>
          <w:tcPr>
            <w:tcW w:w="1134" w:type="dxa"/>
            <w:tcBorders>
              <w:top w:val="single" w:sz="6" w:space="0" w:color="008000"/>
              <w:bottom w:val="nil"/>
            </w:tcBorders>
            <w:shd w:val="clear" w:color="auto" w:fill="FFFFFF"/>
            <w:vAlign w:val="center"/>
          </w:tcPr>
          <w:p w14:paraId="01E414FF" w14:textId="060E777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1.03</w:t>
            </w:r>
          </w:p>
        </w:tc>
        <w:tc>
          <w:tcPr>
            <w:tcW w:w="1134" w:type="dxa"/>
            <w:tcBorders>
              <w:top w:val="single" w:sz="6" w:space="0" w:color="008000"/>
              <w:bottom w:val="nil"/>
            </w:tcBorders>
            <w:shd w:val="clear" w:color="auto" w:fill="FFFFFF"/>
            <w:vAlign w:val="center"/>
          </w:tcPr>
          <w:p w14:paraId="26062ABE" w14:textId="0DD08EF4"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4.10</w:t>
            </w:r>
          </w:p>
        </w:tc>
        <w:tc>
          <w:tcPr>
            <w:tcW w:w="1134" w:type="dxa"/>
            <w:tcBorders>
              <w:top w:val="single" w:sz="6" w:space="0" w:color="008000"/>
              <w:bottom w:val="nil"/>
            </w:tcBorders>
            <w:shd w:val="clear" w:color="auto" w:fill="FFFFFF"/>
            <w:vAlign w:val="center"/>
          </w:tcPr>
          <w:p w14:paraId="55A28607" w14:textId="12C8850D"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0.57</w:t>
            </w:r>
          </w:p>
        </w:tc>
        <w:tc>
          <w:tcPr>
            <w:tcW w:w="1843" w:type="dxa"/>
            <w:vMerge w:val="restart"/>
            <w:tcBorders>
              <w:top w:val="single" w:sz="6" w:space="0" w:color="008000"/>
            </w:tcBorders>
            <w:shd w:val="clear" w:color="auto" w:fill="FFFFFF"/>
            <w:vAlign w:val="center"/>
          </w:tcPr>
          <w:p w14:paraId="790E15AF" w14:textId="79E6B9E3" w:rsidR="00426187" w:rsidRPr="00945992" w:rsidRDefault="00426187" w:rsidP="00426187">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w:t>
            </w:r>
            <w:proofErr w:type="spellStart"/>
            <w:r w:rsidRPr="00945992">
              <w:rPr>
                <w:rFonts w:ascii="Arial" w:hAnsi="Arial" w:cs="Arial"/>
                <w:color w:val="000000" w:themeColor="text1"/>
                <w:sz w:val="18"/>
                <w:szCs w:val="18"/>
                <w:lang w:val="en-GB" w:eastAsia="en-US"/>
              </w:rPr>
              <w:t>Sohel</w:t>
            </w:r>
            <w:proofErr w:type="spellEnd"/>
            <w:r w:rsidRPr="00945992">
              <w:rPr>
                <w:rFonts w:ascii="Arial" w:hAnsi="Arial" w:cs="Arial"/>
                <w:color w:val="000000" w:themeColor="text1"/>
                <w:sz w:val="18"/>
                <w:szCs w:val="18"/>
                <w:lang w:val="en-GB" w:eastAsia="en-US"/>
              </w:rPr>
              <w:t xml:space="preserve"> </w:t>
            </w:r>
            <w:proofErr w:type="spellStart"/>
            <w:r w:rsidRPr="00945992">
              <w:rPr>
                <w:rFonts w:ascii="Arial" w:hAnsi="Arial" w:cs="Arial"/>
                <w:color w:val="000000" w:themeColor="text1"/>
                <w:sz w:val="18"/>
                <w:szCs w:val="18"/>
                <w:lang w:val="en-GB" w:eastAsia="en-US"/>
              </w:rPr>
              <w:t>Murshed</w:t>
            </w:r>
            <w:proofErr w:type="spellEnd"/>
            <w:r w:rsidRPr="00945992">
              <w:rPr>
                <w:rFonts w:ascii="Arial" w:hAnsi="Arial" w:cs="Arial"/>
                <w:color w:val="000000" w:themeColor="text1"/>
                <w:sz w:val="18"/>
                <w:szCs w:val="18"/>
                <w:lang w:val="en-GB" w:eastAsia="en-US"/>
              </w:rPr>
              <w:t xml:space="preserve"> </w:t>
            </w:r>
            <w:r w:rsidR="00E93944" w:rsidRPr="00945992">
              <w:rPr>
                <w:rFonts w:ascii="Arial" w:hAnsi="Arial" w:cs="Arial"/>
                <w:color w:val="000000" w:themeColor="text1"/>
                <w:sz w:val="18"/>
                <w:szCs w:val="18"/>
                <w:lang w:val="en-GB" w:eastAsia="en-US"/>
              </w:rPr>
              <w:t>and</w:t>
            </w:r>
            <w:r w:rsidRPr="00945992">
              <w:rPr>
                <w:rFonts w:ascii="Arial" w:hAnsi="Arial" w:cs="Arial"/>
                <w:color w:val="000000" w:themeColor="text1"/>
                <w:sz w:val="18"/>
                <w:szCs w:val="18"/>
                <w:lang w:val="en-GB" w:eastAsia="en-US"/>
              </w:rPr>
              <w:t xml:space="preserve"> </w:t>
            </w:r>
            <w:proofErr w:type="spellStart"/>
            <w:r w:rsidRPr="00945992">
              <w:rPr>
                <w:rFonts w:ascii="Arial" w:hAnsi="Arial" w:cs="Arial"/>
                <w:color w:val="000000" w:themeColor="text1"/>
                <w:sz w:val="18"/>
                <w:szCs w:val="18"/>
                <w:lang w:val="en-GB" w:eastAsia="en-US"/>
              </w:rPr>
              <w:t>Estellé</w:t>
            </w:r>
            <w:proofErr w:type="spellEnd"/>
            <w:r w:rsidRPr="00945992">
              <w:rPr>
                <w:rFonts w:ascii="Arial" w:hAnsi="Arial" w:cs="Arial"/>
                <w:color w:val="000000" w:themeColor="text1"/>
                <w:sz w:val="18"/>
                <w:szCs w:val="18"/>
                <w:lang w:val="en-GB" w:eastAsia="en-US"/>
              </w:rPr>
              <w:t>, 2017)</w:t>
            </w:r>
          </w:p>
          <w:p w14:paraId="691F02A4" w14:textId="77777777" w:rsidR="00896645" w:rsidRPr="00945992" w:rsidRDefault="00896645" w:rsidP="00426187">
            <w:pPr>
              <w:tabs>
                <w:tab w:val="right" w:pos="7100"/>
              </w:tabs>
              <w:spacing w:line="264" w:lineRule="auto"/>
              <w:ind w:right="-1"/>
              <w:jc w:val="center"/>
              <w:rPr>
                <w:rFonts w:ascii="Arial" w:hAnsi="Arial" w:cs="Arial"/>
                <w:color w:val="000000" w:themeColor="text1"/>
                <w:sz w:val="18"/>
                <w:szCs w:val="18"/>
                <w:lang w:val="en-GB" w:eastAsia="en-US"/>
              </w:rPr>
            </w:pPr>
          </w:p>
          <w:p w14:paraId="37F309B7" w14:textId="77777777" w:rsidR="00896645" w:rsidRPr="002E0950" w:rsidRDefault="00896645" w:rsidP="00896645">
            <w:pPr>
              <w:tabs>
                <w:tab w:val="right" w:pos="7100"/>
              </w:tabs>
              <w:spacing w:line="264" w:lineRule="auto"/>
              <w:ind w:right="-1"/>
              <w:jc w:val="center"/>
              <w:rPr>
                <w:rFonts w:ascii="Arial" w:hAnsi="Arial" w:cs="Arial"/>
                <w:color w:val="000000" w:themeColor="text1"/>
                <w:sz w:val="18"/>
                <w:szCs w:val="18"/>
                <w:lang w:val="en-US" w:eastAsia="en-US"/>
              </w:rPr>
            </w:pPr>
            <w:r w:rsidRPr="002E0950">
              <w:rPr>
                <w:rFonts w:ascii="Arial" w:hAnsi="Arial" w:cs="Arial"/>
                <w:color w:val="000000" w:themeColor="text1"/>
                <w:sz w:val="18"/>
                <w:szCs w:val="18"/>
                <w:lang w:val="en-US" w:eastAsia="en-US"/>
              </w:rPr>
              <w:t>(Okonkwo et al., 2021)</w:t>
            </w:r>
          </w:p>
          <w:p w14:paraId="040EAC0E" w14:textId="77777777" w:rsidR="00896645" w:rsidRPr="002E0950" w:rsidRDefault="00896645" w:rsidP="00896645">
            <w:pPr>
              <w:tabs>
                <w:tab w:val="right" w:pos="7100"/>
              </w:tabs>
              <w:spacing w:line="264" w:lineRule="auto"/>
              <w:ind w:right="-1"/>
              <w:jc w:val="center"/>
              <w:rPr>
                <w:rFonts w:ascii="Arial" w:hAnsi="Arial" w:cs="Arial"/>
                <w:color w:val="000000" w:themeColor="text1"/>
                <w:sz w:val="18"/>
                <w:szCs w:val="18"/>
                <w:lang w:val="en-US" w:eastAsia="en-US"/>
              </w:rPr>
            </w:pPr>
          </w:p>
          <w:p w14:paraId="15F2104F" w14:textId="34848720" w:rsidR="00896645" w:rsidRPr="00945992" w:rsidRDefault="00896645" w:rsidP="00896645">
            <w:pPr>
              <w:tabs>
                <w:tab w:val="right" w:pos="7100"/>
              </w:tabs>
              <w:spacing w:line="264" w:lineRule="auto"/>
              <w:ind w:right="-1"/>
              <w:jc w:val="center"/>
              <w:rPr>
                <w:rFonts w:ascii="Arial" w:hAnsi="Arial" w:cs="Arial"/>
                <w:color w:val="000000" w:themeColor="text1"/>
                <w:sz w:val="18"/>
                <w:szCs w:val="18"/>
                <w:lang w:eastAsia="en-US"/>
              </w:rPr>
            </w:pPr>
            <w:r w:rsidRPr="00945992">
              <w:rPr>
                <w:rFonts w:ascii="Arial" w:hAnsi="Arial" w:cs="Arial"/>
                <w:color w:val="000000" w:themeColor="text1"/>
                <w:sz w:val="18"/>
                <w:szCs w:val="18"/>
                <w:lang w:eastAsia="en-US"/>
              </w:rPr>
              <w:t xml:space="preserve">(Al </w:t>
            </w:r>
            <w:proofErr w:type="spellStart"/>
            <w:r w:rsidRPr="00945992">
              <w:rPr>
                <w:rFonts w:ascii="Arial" w:hAnsi="Arial" w:cs="Arial"/>
                <w:color w:val="000000" w:themeColor="text1"/>
                <w:sz w:val="18"/>
                <w:szCs w:val="18"/>
                <w:lang w:eastAsia="en-US"/>
              </w:rPr>
              <w:t>Shdaifat</w:t>
            </w:r>
            <w:proofErr w:type="spellEnd"/>
            <w:r w:rsidRPr="00945992">
              <w:rPr>
                <w:rFonts w:ascii="Arial" w:hAnsi="Arial" w:cs="Arial"/>
                <w:color w:val="000000" w:themeColor="text1"/>
                <w:sz w:val="18"/>
                <w:szCs w:val="18"/>
                <w:lang w:eastAsia="en-US"/>
              </w:rPr>
              <w:t xml:space="preserve"> et al., 2020)</w:t>
            </w:r>
          </w:p>
        </w:tc>
      </w:tr>
      <w:tr w:rsidR="00426187" w:rsidRPr="00945992" w14:paraId="084FCC82" w14:textId="4AE0D6A0" w:rsidTr="008B7DA4">
        <w:tc>
          <w:tcPr>
            <w:tcW w:w="1134" w:type="dxa"/>
            <w:vMerge/>
            <w:shd w:val="clear" w:color="auto" w:fill="FFFFFF"/>
            <w:vAlign w:val="center"/>
          </w:tcPr>
          <w:p w14:paraId="0CC5ACF7"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eastAsia="en-US"/>
              </w:rPr>
            </w:pPr>
          </w:p>
        </w:tc>
        <w:tc>
          <w:tcPr>
            <w:tcW w:w="1134" w:type="dxa"/>
            <w:tcBorders>
              <w:top w:val="nil"/>
            </w:tcBorders>
            <w:shd w:val="clear" w:color="auto" w:fill="FFFFFF"/>
            <w:vAlign w:val="center"/>
          </w:tcPr>
          <w:p w14:paraId="16892473" w14:textId="42247E2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30</w:t>
            </w:r>
          </w:p>
        </w:tc>
        <w:tc>
          <w:tcPr>
            <w:tcW w:w="1134" w:type="dxa"/>
            <w:tcBorders>
              <w:top w:val="nil"/>
            </w:tcBorders>
            <w:shd w:val="clear" w:color="auto" w:fill="FFFFFF"/>
            <w:vAlign w:val="center"/>
          </w:tcPr>
          <w:p w14:paraId="26480368" w14:textId="4D992446"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1002</w:t>
            </w:r>
          </w:p>
        </w:tc>
        <w:tc>
          <w:tcPr>
            <w:tcW w:w="1134" w:type="dxa"/>
            <w:tcBorders>
              <w:top w:val="nil"/>
            </w:tcBorders>
            <w:shd w:val="clear" w:color="auto" w:fill="FFFFFF"/>
            <w:vAlign w:val="center"/>
          </w:tcPr>
          <w:p w14:paraId="33B76607" w14:textId="3EFA6A3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0.98</w:t>
            </w:r>
          </w:p>
        </w:tc>
        <w:tc>
          <w:tcPr>
            <w:tcW w:w="1134" w:type="dxa"/>
            <w:tcBorders>
              <w:top w:val="nil"/>
            </w:tcBorders>
            <w:shd w:val="clear" w:color="auto" w:fill="FFFFFF"/>
            <w:vAlign w:val="center"/>
          </w:tcPr>
          <w:p w14:paraId="1DD1EBB1" w14:textId="0FD28081"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4.00</w:t>
            </w:r>
          </w:p>
        </w:tc>
        <w:tc>
          <w:tcPr>
            <w:tcW w:w="1134" w:type="dxa"/>
            <w:tcBorders>
              <w:top w:val="nil"/>
            </w:tcBorders>
            <w:shd w:val="clear" w:color="auto" w:fill="FFFFFF"/>
            <w:vAlign w:val="center"/>
          </w:tcPr>
          <w:p w14:paraId="194BB447" w14:textId="286115F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0.61</w:t>
            </w:r>
          </w:p>
        </w:tc>
        <w:tc>
          <w:tcPr>
            <w:tcW w:w="1843" w:type="dxa"/>
            <w:vMerge/>
            <w:shd w:val="clear" w:color="auto" w:fill="FFFFFF"/>
          </w:tcPr>
          <w:p w14:paraId="2E9699E8"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7F2D6E2C" w14:textId="215542EB" w:rsidTr="00F210C5">
        <w:tc>
          <w:tcPr>
            <w:tcW w:w="1134" w:type="dxa"/>
            <w:vMerge/>
            <w:shd w:val="clear" w:color="auto" w:fill="FFFFFF"/>
            <w:vAlign w:val="center"/>
          </w:tcPr>
          <w:p w14:paraId="7829D77E"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783CEE49" w14:textId="0D091FB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50</w:t>
            </w:r>
          </w:p>
        </w:tc>
        <w:tc>
          <w:tcPr>
            <w:tcW w:w="1134" w:type="dxa"/>
            <w:shd w:val="clear" w:color="auto" w:fill="FFFFFF"/>
            <w:vAlign w:val="center"/>
          </w:tcPr>
          <w:p w14:paraId="548E6DEA" w14:textId="0711743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1000</w:t>
            </w:r>
          </w:p>
        </w:tc>
        <w:tc>
          <w:tcPr>
            <w:tcW w:w="1134" w:type="dxa"/>
            <w:shd w:val="clear" w:color="auto" w:fill="FFFFFF"/>
            <w:vAlign w:val="center"/>
          </w:tcPr>
          <w:p w14:paraId="771B8C89" w14:textId="46343E96"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0.93</w:t>
            </w:r>
          </w:p>
        </w:tc>
        <w:tc>
          <w:tcPr>
            <w:tcW w:w="1134" w:type="dxa"/>
            <w:shd w:val="clear" w:color="auto" w:fill="FFFFFF"/>
            <w:vAlign w:val="center"/>
          </w:tcPr>
          <w:p w14:paraId="76EB5E80" w14:textId="0D73FCF6"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3.90</w:t>
            </w:r>
          </w:p>
        </w:tc>
        <w:tc>
          <w:tcPr>
            <w:tcW w:w="1134" w:type="dxa"/>
            <w:shd w:val="clear" w:color="auto" w:fill="FFFFFF"/>
            <w:vAlign w:val="center"/>
          </w:tcPr>
          <w:p w14:paraId="3E9542B8" w14:textId="1F159D26"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0.65</w:t>
            </w:r>
          </w:p>
        </w:tc>
        <w:tc>
          <w:tcPr>
            <w:tcW w:w="1843" w:type="dxa"/>
            <w:vMerge/>
            <w:shd w:val="clear" w:color="auto" w:fill="FFFFFF"/>
          </w:tcPr>
          <w:p w14:paraId="5EF5079D"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187248CE" w14:textId="48EB99FF" w:rsidTr="008B7DA4">
        <w:tc>
          <w:tcPr>
            <w:tcW w:w="1134" w:type="dxa"/>
            <w:vMerge/>
            <w:tcBorders>
              <w:bottom w:val="single" w:sz="6" w:space="0" w:color="008000"/>
            </w:tcBorders>
            <w:shd w:val="clear" w:color="auto" w:fill="FFFFFF"/>
            <w:vAlign w:val="center"/>
          </w:tcPr>
          <w:p w14:paraId="19A44A76"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tcBorders>
              <w:bottom w:val="single" w:sz="6" w:space="0" w:color="008000"/>
            </w:tcBorders>
            <w:shd w:val="clear" w:color="auto" w:fill="FFFFFF"/>
            <w:vAlign w:val="center"/>
          </w:tcPr>
          <w:p w14:paraId="4EC94A7D" w14:textId="3211D4F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70</w:t>
            </w:r>
          </w:p>
        </w:tc>
        <w:tc>
          <w:tcPr>
            <w:tcW w:w="1134" w:type="dxa"/>
            <w:tcBorders>
              <w:bottom w:val="single" w:sz="6" w:space="0" w:color="008000"/>
            </w:tcBorders>
            <w:shd w:val="clear" w:color="auto" w:fill="FFFFFF"/>
            <w:vAlign w:val="center"/>
          </w:tcPr>
          <w:p w14:paraId="1B3B6B0A" w14:textId="43A31859"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998</w:t>
            </w:r>
          </w:p>
        </w:tc>
        <w:tc>
          <w:tcPr>
            <w:tcW w:w="1134" w:type="dxa"/>
            <w:tcBorders>
              <w:bottom w:val="single" w:sz="6" w:space="0" w:color="008000"/>
            </w:tcBorders>
            <w:shd w:val="clear" w:color="auto" w:fill="FFFFFF"/>
            <w:vAlign w:val="center"/>
          </w:tcPr>
          <w:p w14:paraId="51861900" w14:textId="024E673A"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0.88</w:t>
            </w:r>
          </w:p>
        </w:tc>
        <w:tc>
          <w:tcPr>
            <w:tcW w:w="1134" w:type="dxa"/>
            <w:tcBorders>
              <w:bottom w:val="single" w:sz="6" w:space="0" w:color="008000"/>
            </w:tcBorders>
            <w:shd w:val="clear" w:color="auto" w:fill="FFFFFF"/>
            <w:vAlign w:val="center"/>
          </w:tcPr>
          <w:p w14:paraId="207A01F3" w14:textId="75CB25BF"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3.80</w:t>
            </w:r>
          </w:p>
        </w:tc>
        <w:tc>
          <w:tcPr>
            <w:tcW w:w="1134" w:type="dxa"/>
            <w:tcBorders>
              <w:bottom w:val="single" w:sz="6" w:space="0" w:color="008000"/>
            </w:tcBorders>
            <w:shd w:val="clear" w:color="auto" w:fill="FFFFFF"/>
            <w:vAlign w:val="center"/>
          </w:tcPr>
          <w:p w14:paraId="03A97ECE" w14:textId="5CA804C6"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0.69</w:t>
            </w:r>
          </w:p>
        </w:tc>
        <w:tc>
          <w:tcPr>
            <w:tcW w:w="1843" w:type="dxa"/>
            <w:vMerge/>
            <w:shd w:val="clear" w:color="auto" w:fill="FFFFFF"/>
          </w:tcPr>
          <w:p w14:paraId="117FADF2"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1FE4C2D2" w14:textId="77302DE4" w:rsidTr="008B7DA4">
        <w:tc>
          <w:tcPr>
            <w:tcW w:w="1134" w:type="dxa"/>
            <w:vMerge w:val="restart"/>
            <w:tcBorders>
              <w:top w:val="single" w:sz="6" w:space="0" w:color="008000"/>
            </w:tcBorders>
            <w:shd w:val="clear" w:color="auto" w:fill="FFFFFF"/>
            <w:vAlign w:val="center"/>
          </w:tcPr>
          <w:p w14:paraId="5538690A" w14:textId="1CA82EDE"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roofErr w:type="spellStart"/>
            <w:r w:rsidRPr="00945992">
              <w:rPr>
                <w:rFonts w:ascii="Arial" w:hAnsi="Arial" w:cs="Arial"/>
                <w:color w:val="000000" w:themeColor="text1"/>
                <w:sz w:val="18"/>
                <w:szCs w:val="18"/>
                <w:lang w:val="en-GB" w:eastAsia="en-US"/>
              </w:rPr>
              <w:t>CuO</w:t>
            </w:r>
            <w:proofErr w:type="spellEnd"/>
            <w:r w:rsidRPr="00945992">
              <w:rPr>
                <w:rFonts w:ascii="Arial" w:hAnsi="Arial" w:cs="Arial"/>
                <w:color w:val="000000" w:themeColor="text1"/>
                <w:sz w:val="18"/>
                <w:szCs w:val="18"/>
                <w:lang w:val="en-GB" w:eastAsia="en-US"/>
              </w:rPr>
              <w:t xml:space="preserve"> </w:t>
            </w:r>
            <w:r w:rsidRPr="00945992">
              <w:rPr>
                <w:rFonts w:ascii="Arial" w:hAnsi="Arial" w:cs="Arial"/>
                <w:color w:val="000000" w:themeColor="text1"/>
                <w:sz w:val="18"/>
                <w:szCs w:val="18"/>
                <w:lang w:val="en-GB" w:eastAsia="en-US"/>
              </w:rPr>
              <w:br/>
              <w:t xml:space="preserve">5% </w:t>
            </w:r>
            <w:proofErr w:type="spellStart"/>
            <w:r w:rsidRPr="00945992">
              <w:rPr>
                <w:rFonts w:ascii="Arial" w:hAnsi="Arial" w:cs="Arial"/>
                <w:color w:val="000000" w:themeColor="text1"/>
                <w:sz w:val="18"/>
                <w:szCs w:val="18"/>
                <w:lang w:val="en-GB" w:eastAsia="en-US"/>
              </w:rPr>
              <w:t>wt</w:t>
            </w:r>
            <w:proofErr w:type="spellEnd"/>
          </w:p>
        </w:tc>
        <w:tc>
          <w:tcPr>
            <w:tcW w:w="1134" w:type="dxa"/>
            <w:tcBorders>
              <w:top w:val="single" w:sz="6" w:space="0" w:color="008000"/>
            </w:tcBorders>
            <w:shd w:val="clear" w:color="auto" w:fill="FFFFFF"/>
            <w:vAlign w:val="center"/>
          </w:tcPr>
          <w:p w14:paraId="70227D45" w14:textId="507A1F4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w:t>
            </w:r>
          </w:p>
        </w:tc>
        <w:tc>
          <w:tcPr>
            <w:tcW w:w="1134" w:type="dxa"/>
            <w:tcBorders>
              <w:top w:val="single" w:sz="6" w:space="0" w:color="008000"/>
            </w:tcBorders>
            <w:shd w:val="clear" w:color="auto" w:fill="FFFFFF"/>
            <w:vAlign w:val="center"/>
          </w:tcPr>
          <w:p w14:paraId="762CBBB2" w14:textId="2E59F815"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1028</w:t>
            </w:r>
          </w:p>
        </w:tc>
        <w:tc>
          <w:tcPr>
            <w:tcW w:w="1134" w:type="dxa"/>
            <w:tcBorders>
              <w:top w:val="single" w:sz="6" w:space="0" w:color="008000"/>
            </w:tcBorders>
            <w:shd w:val="clear" w:color="auto" w:fill="FFFFFF"/>
            <w:vAlign w:val="center"/>
          </w:tcPr>
          <w:p w14:paraId="2D2990C7" w14:textId="579295B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1.20</w:t>
            </w:r>
          </w:p>
        </w:tc>
        <w:tc>
          <w:tcPr>
            <w:tcW w:w="1134" w:type="dxa"/>
            <w:tcBorders>
              <w:top w:val="single" w:sz="6" w:space="0" w:color="008000"/>
            </w:tcBorders>
            <w:shd w:val="clear" w:color="auto" w:fill="FFFFFF"/>
            <w:vAlign w:val="center"/>
          </w:tcPr>
          <w:p w14:paraId="2EA3F889" w14:textId="654A46C6"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3.80</w:t>
            </w:r>
          </w:p>
        </w:tc>
        <w:tc>
          <w:tcPr>
            <w:tcW w:w="1134" w:type="dxa"/>
            <w:tcBorders>
              <w:top w:val="single" w:sz="6" w:space="0" w:color="008000"/>
            </w:tcBorders>
            <w:shd w:val="clear" w:color="auto" w:fill="FFFFFF"/>
            <w:vAlign w:val="center"/>
          </w:tcPr>
          <w:p w14:paraId="63827C3B" w14:textId="09DE347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0.62</w:t>
            </w:r>
          </w:p>
        </w:tc>
        <w:tc>
          <w:tcPr>
            <w:tcW w:w="1843" w:type="dxa"/>
            <w:vMerge/>
            <w:shd w:val="clear" w:color="auto" w:fill="FFFFFF"/>
          </w:tcPr>
          <w:p w14:paraId="0E5D8E00"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4B29783E" w14:textId="1664BABA" w:rsidTr="00F210C5">
        <w:tc>
          <w:tcPr>
            <w:tcW w:w="1134" w:type="dxa"/>
            <w:vMerge/>
            <w:shd w:val="clear" w:color="auto" w:fill="FFFFFF"/>
            <w:vAlign w:val="center"/>
          </w:tcPr>
          <w:p w14:paraId="7827E8BE"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2E18C666" w14:textId="780EF54E"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30</w:t>
            </w:r>
          </w:p>
        </w:tc>
        <w:tc>
          <w:tcPr>
            <w:tcW w:w="1134" w:type="dxa"/>
            <w:shd w:val="clear" w:color="auto" w:fill="FFFFFF"/>
            <w:vAlign w:val="center"/>
          </w:tcPr>
          <w:p w14:paraId="077FF6D3" w14:textId="442263F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1022</w:t>
            </w:r>
          </w:p>
        </w:tc>
        <w:tc>
          <w:tcPr>
            <w:tcW w:w="1134" w:type="dxa"/>
            <w:shd w:val="clear" w:color="auto" w:fill="FFFFFF"/>
            <w:vAlign w:val="center"/>
          </w:tcPr>
          <w:p w14:paraId="532C9FDE" w14:textId="2D8691E1"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1.10</w:t>
            </w:r>
          </w:p>
        </w:tc>
        <w:tc>
          <w:tcPr>
            <w:tcW w:w="1134" w:type="dxa"/>
            <w:shd w:val="clear" w:color="auto" w:fill="FFFFFF"/>
            <w:vAlign w:val="center"/>
          </w:tcPr>
          <w:p w14:paraId="71FDEFB9" w14:textId="6D8A16FC"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3.70</w:t>
            </w:r>
          </w:p>
        </w:tc>
        <w:tc>
          <w:tcPr>
            <w:tcW w:w="1134" w:type="dxa"/>
            <w:shd w:val="clear" w:color="auto" w:fill="FFFFFF"/>
            <w:vAlign w:val="center"/>
          </w:tcPr>
          <w:p w14:paraId="35E27183" w14:textId="427C38FF"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0.66</w:t>
            </w:r>
          </w:p>
        </w:tc>
        <w:tc>
          <w:tcPr>
            <w:tcW w:w="1843" w:type="dxa"/>
            <w:vMerge/>
            <w:shd w:val="clear" w:color="auto" w:fill="FFFFFF"/>
          </w:tcPr>
          <w:p w14:paraId="315C354F"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2C6E96AD" w14:textId="2E7F50D6" w:rsidTr="00F210C5">
        <w:tc>
          <w:tcPr>
            <w:tcW w:w="1134" w:type="dxa"/>
            <w:vMerge/>
            <w:shd w:val="clear" w:color="auto" w:fill="FFFFFF"/>
            <w:vAlign w:val="center"/>
          </w:tcPr>
          <w:p w14:paraId="3DEFF555"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39A3843D" w14:textId="70E59D9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50</w:t>
            </w:r>
          </w:p>
        </w:tc>
        <w:tc>
          <w:tcPr>
            <w:tcW w:w="1134" w:type="dxa"/>
            <w:shd w:val="clear" w:color="auto" w:fill="FFFFFF"/>
            <w:vAlign w:val="center"/>
          </w:tcPr>
          <w:p w14:paraId="5114E124" w14:textId="7A05A6E9"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1016</w:t>
            </w:r>
          </w:p>
        </w:tc>
        <w:tc>
          <w:tcPr>
            <w:tcW w:w="1134" w:type="dxa"/>
            <w:shd w:val="clear" w:color="auto" w:fill="FFFFFF"/>
            <w:vAlign w:val="center"/>
          </w:tcPr>
          <w:p w14:paraId="290DF8C6" w14:textId="0C6D436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1.00</w:t>
            </w:r>
          </w:p>
        </w:tc>
        <w:tc>
          <w:tcPr>
            <w:tcW w:w="1134" w:type="dxa"/>
            <w:shd w:val="clear" w:color="auto" w:fill="FFFFFF"/>
            <w:vAlign w:val="center"/>
          </w:tcPr>
          <w:p w14:paraId="180D7D7A" w14:textId="5E5ECC29"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3.60</w:t>
            </w:r>
          </w:p>
        </w:tc>
        <w:tc>
          <w:tcPr>
            <w:tcW w:w="1134" w:type="dxa"/>
            <w:shd w:val="clear" w:color="auto" w:fill="FFFFFF"/>
            <w:vAlign w:val="center"/>
          </w:tcPr>
          <w:p w14:paraId="589377FA" w14:textId="01385711"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0.70</w:t>
            </w:r>
          </w:p>
        </w:tc>
        <w:tc>
          <w:tcPr>
            <w:tcW w:w="1843" w:type="dxa"/>
            <w:vMerge/>
            <w:shd w:val="clear" w:color="auto" w:fill="FFFFFF"/>
          </w:tcPr>
          <w:p w14:paraId="654CF0A4"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1A0BDEB1" w14:textId="6B83CFE7" w:rsidTr="00F210C5">
        <w:tc>
          <w:tcPr>
            <w:tcW w:w="1134" w:type="dxa"/>
            <w:vMerge/>
            <w:tcBorders>
              <w:bottom w:val="single" w:sz="6" w:space="0" w:color="008000"/>
            </w:tcBorders>
            <w:shd w:val="clear" w:color="auto" w:fill="FFFFFF"/>
            <w:vAlign w:val="center"/>
          </w:tcPr>
          <w:p w14:paraId="2BD91E76"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tcBorders>
              <w:bottom w:val="single" w:sz="6" w:space="0" w:color="008000"/>
            </w:tcBorders>
            <w:shd w:val="clear" w:color="auto" w:fill="FFFFFF"/>
            <w:vAlign w:val="center"/>
          </w:tcPr>
          <w:p w14:paraId="43726B69" w14:textId="33DC2F4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70</w:t>
            </w:r>
          </w:p>
        </w:tc>
        <w:tc>
          <w:tcPr>
            <w:tcW w:w="1134" w:type="dxa"/>
            <w:tcBorders>
              <w:bottom w:val="single" w:sz="6" w:space="0" w:color="008000"/>
            </w:tcBorders>
            <w:shd w:val="clear" w:color="auto" w:fill="FFFFFF"/>
            <w:vAlign w:val="center"/>
          </w:tcPr>
          <w:p w14:paraId="178F6D1E" w14:textId="2D26DB8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1010</w:t>
            </w:r>
          </w:p>
        </w:tc>
        <w:tc>
          <w:tcPr>
            <w:tcW w:w="1134" w:type="dxa"/>
            <w:tcBorders>
              <w:bottom w:val="single" w:sz="6" w:space="0" w:color="008000"/>
            </w:tcBorders>
            <w:shd w:val="clear" w:color="auto" w:fill="FFFFFF"/>
            <w:vAlign w:val="center"/>
          </w:tcPr>
          <w:p w14:paraId="7459E6CC" w14:textId="56BE803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0.90</w:t>
            </w:r>
          </w:p>
        </w:tc>
        <w:tc>
          <w:tcPr>
            <w:tcW w:w="1134" w:type="dxa"/>
            <w:tcBorders>
              <w:bottom w:val="single" w:sz="6" w:space="0" w:color="008000"/>
            </w:tcBorders>
            <w:shd w:val="clear" w:color="auto" w:fill="FFFFFF"/>
            <w:vAlign w:val="center"/>
          </w:tcPr>
          <w:p w14:paraId="37F80437" w14:textId="65A0A174"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3.50</w:t>
            </w:r>
          </w:p>
        </w:tc>
        <w:tc>
          <w:tcPr>
            <w:tcW w:w="1134" w:type="dxa"/>
            <w:tcBorders>
              <w:bottom w:val="single" w:sz="6" w:space="0" w:color="008000"/>
            </w:tcBorders>
            <w:shd w:val="clear" w:color="auto" w:fill="FFFFFF"/>
            <w:vAlign w:val="center"/>
          </w:tcPr>
          <w:p w14:paraId="40C67F3B" w14:textId="0B3C863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0.74</w:t>
            </w:r>
          </w:p>
        </w:tc>
        <w:tc>
          <w:tcPr>
            <w:tcW w:w="1843" w:type="dxa"/>
            <w:vMerge/>
            <w:tcBorders>
              <w:bottom w:val="single" w:sz="6" w:space="0" w:color="008000"/>
            </w:tcBorders>
            <w:shd w:val="clear" w:color="auto" w:fill="FFFFFF"/>
          </w:tcPr>
          <w:p w14:paraId="3ACBD29F"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7035B225" w14:textId="38523727" w:rsidTr="00426187">
        <w:tc>
          <w:tcPr>
            <w:tcW w:w="1134" w:type="dxa"/>
            <w:vMerge w:val="restart"/>
            <w:tcBorders>
              <w:top w:val="single" w:sz="6" w:space="0" w:color="008000"/>
            </w:tcBorders>
            <w:shd w:val="clear" w:color="auto" w:fill="FFFFFF"/>
            <w:vAlign w:val="center"/>
          </w:tcPr>
          <w:p w14:paraId="6E9E423D" w14:textId="5CC80415"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Al</w:t>
            </w:r>
            <w:r w:rsidRPr="00945992">
              <w:rPr>
                <w:rFonts w:ascii="Arial" w:hAnsi="Arial" w:cs="Arial"/>
                <w:color w:val="000000" w:themeColor="text1"/>
                <w:sz w:val="18"/>
                <w:szCs w:val="18"/>
                <w:vertAlign w:val="subscript"/>
                <w:lang w:val="en-GB" w:eastAsia="en-US"/>
              </w:rPr>
              <w:t>2</w:t>
            </w:r>
            <w:r w:rsidRPr="00945992">
              <w:rPr>
                <w:rFonts w:ascii="Arial" w:hAnsi="Arial" w:cs="Arial"/>
                <w:color w:val="000000" w:themeColor="text1"/>
                <w:sz w:val="18"/>
                <w:szCs w:val="18"/>
                <w:lang w:val="en-GB" w:eastAsia="en-US"/>
              </w:rPr>
              <w:t>O</w:t>
            </w:r>
            <w:r w:rsidRPr="00945992">
              <w:rPr>
                <w:rFonts w:ascii="Arial" w:hAnsi="Arial" w:cs="Arial"/>
                <w:color w:val="000000" w:themeColor="text1"/>
                <w:sz w:val="18"/>
                <w:szCs w:val="18"/>
                <w:vertAlign w:val="subscript"/>
                <w:lang w:val="en-GB" w:eastAsia="en-US"/>
              </w:rPr>
              <w:t>3</w:t>
            </w:r>
            <w:r w:rsidRPr="00945992">
              <w:rPr>
                <w:rFonts w:ascii="Arial" w:hAnsi="Arial" w:cs="Arial"/>
                <w:color w:val="000000" w:themeColor="text1"/>
                <w:sz w:val="18"/>
                <w:szCs w:val="18"/>
                <w:lang w:val="en-GB" w:eastAsia="en-US"/>
              </w:rPr>
              <w:t xml:space="preserve"> </w:t>
            </w:r>
            <w:r w:rsidRPr="00945992">
              <w:rPr>
                <w:rFonts w:ascii="Arial" w:hAnsi="Arial" w:cs="Arial"/>
                <w:color w:val="000000" w:themeColor="text1"/>
                <w:sz w:val="18"/>
                <w:szCs w:val="18"/>
                <w:lang w:val="en-GB" w:eastAsia="en-US"/>
              </w:rPr>
              <w:br/>
              <w:t xml:space="preserve">1% </w:t>
            </w:r>
            <w:proofErr w:type="spellStart"/>
            <w:r w:rsidRPr="00945992">
              <w:rPr>
                <w:rFonts w:ascii="Arial" w:hAnsi="Arial" w:cs="Arial"/>
                <w:color w:val="000000" w:themeColor="text1"/>
                <w:sz w:val="18"/>
                <w:szCs w:val="18"/>
                <w:lang w:val="en-GB" w:eastAsia="en-US"/>
              </w:rPr>
              <w:t>wt</w:t>
            </w:r>
            <w:proofErr w:type="spellEnd"/>
          </w:p>
        </w:tc>
        <w:tc>
          <w:tcPr>
            <w:tcW w:w="1134" w:type="dxa"/>
            <w:tcBorders>
              <w:top w:val="single" w:sz="6" w:space="0" w:color="008000"/>
            </w:tcBorders>
            <w:shd w:val="clear" w:color="auto" w:fill="FFFFFF"/>
            <w:vAlign w:val="center"/>
          </w:tcPr>
          <w:p w14:paraId="48601080" w14:textId="7FEEAAD9"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w:t>
            </w:r>
          </w:p>
        </w:tc>
        <w:tc>
          <w:tcPr>
            <w:tcW w:w="1134" w:type="dxa"/>
            <w:tcBorders>
              <w:top w:val="single" w:sz="6" w:space="0" w:color="008000"/>
            </w:tcBorders>
            <w:shd w:val="clear" w:color="auto" w:fill="FFFFFF"/>
            <w:vAlign w:val="center"/>
          </w:tcPr>
          <w:p w14:paraId="2865DF89" w14:textId="3AB74AB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1001</w:t>
            </w:r>
          </w:p>
        </w:tc>
        <w:tc>
          <w:tcPr>
            <w:tcW w:w="1134" w:type="dxa"/>
            <w:tcBorders>
              <w:top w:val="single" w:sz="6" w:space="0" w:color="008000"/>
            </w:tcBorders>
            <w:shd w:val="clear" w:color="auto" w:fill="FFFFFF"/>
            <w:vAlign w:val="center"/>
          </w:tcPr>
          <w:p w14:paraId="673D46DC" w14:textId="50B95D5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1.08</w:t>
            </w:r>
          </w:p>
        </w:tc>
        <w:tc>
          <w:tcPr>
            <w:tcW w:w="1134" w:type="dxa"/>
            <w:tcBorders>
              <w:top w:val="single" w:sz="6" w:space="0" w:color="008000"/>
            </w:tcBorders>
            <w:shd w:val="clear" w:color="auto" w:fill="FFFFFF"/>
            <w:vAlign w:val="center"/>
          </w:tcPr>
          <w:p w14:paraId="34D459B0" w14:textId="0377878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4.15</w:t>
            </w:r>
          </w:p>
        </w:tc>
        <w:tc>
          <w:tcPr>
            <w:tcW w:w="1134" w:type="dxa"/>
            <w:tcBorders>
              <w:top w:val="single" w:sz="6" w:space="0" w:color="008000"/>
            </w:tcBorders>
            <w:shd w:val="clear" w:color="auto" w:fill="FFFFFF"/>
            <w:vAlign w:val="center"/>
          </w:tcPr>
          <w:p w14:paraId="518180C4" w14:textId="05AE0D1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0.60</w:t>
            </w:r>
          </w:p>
        </w:tc>
        <w:tc>
          <w:tcPr>
            <w:tcW w:w="1843" w:type="dxa"/>
            <w:vMerge w:val="restart"/>
            <w:tcBorders>
              <w:top w:val="single" w:sz="6" w:space="0" w:color="008000"/>
            </w:tcBorders>
            <w:shd w:val="clear" w:color="auto" w:fill="FFFFFF"/>
            <w:vAlign w:val="center"/>
          </w:tcPr>
          <w:p w14:paraId="0992A693" w14:textId="1D25F5D3" w:rsidR="00426187" w:rsidRPr="00945992" w:rsidRDefault="00426187" w:rsidP="00426187">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w:t>
            </w:r>
            <w:proofErr w:type="spellStart"/>
            <w:r w:rsidRPr="00945992">
              <w:rPr>
                <w:rFonts w:ascii="Arial" w:hAnsi="Arial" w:cs="Arial"/>
                <w:color w:val="000000" w:themeColor="text1"/>
                <w:sz w:val="18"/>
                <w:szCs w:val="18"/>
                <w:lang w:val="en-GB" w:eastAsia="en-US"/>
              </w:rPr>
              <w:t>Sohel</w:t>
            </w:r>
            <w:proofErr w:type="spellEnd"/>
            <w:r w:rsidRPr="00945992">
              <w:rPr>
                <w:rFonts w:ascii="Arial" w:hAnsi="Arial" w:cs="Arial"/>
                <w:color w:val="000000" w:themeColor="text1"/>
                <w:sz w:val="18"/>
                <w:szCs w:val="18"/>
                <w:lang w:val="en-GB" w:eastAsia="en-US"/>
              </w:rPr>
              <w:t xml:space="preserve"> </w:t>
            </w:r>
            <w:proofErr w:type="spellStart"/>
            <w:r w:rsidRPr="00945992">
              <w:rPr>
                <w:rFonts w:ascii="Arial" w:hAnsi="Arial" w:cs="Arial"/>
                <w:color w:val="000000" w:themeColor="text1"/>
                <w:sz w:val="18"/>
                <w:szCs w:val="18"/>
                <w:lang w:val="en-GB" w:eastAsia="en-US"/>
              </w:rPr>
              <w:t>Murshed</w:t>
            </w:r>
            <w:proofErr w:type="spellEnd"/>
            <w:r w:rsidRPr="00945992">
              <w:rPr>
                <w:rFonts w:ascii="Arial" w:hAnsi="Arial" w:cs="Arial"/>
                <w:color w:val="000000" w:themeColor="text1"/>
                <w:sz w:val="18"/>
                <w:szCs w:val="18"/>
                <w:lang w:val="en-GB" w:eastAsia="en-US"/>
              </w:rPr>
              <w:t xml:space="preserve"> </w:t>
            </w:r>
            <w:r w:rsidR="00E93944" w:rsidRPr="00945992">
              <w:rPr>
                <w:rFonts w:ascii="Arial" w:hAnsi="Arial" w:cs="Arial"/>
                <w:color w:val="000000" w:themeColor="text1"/>
                <w:sz w:val="18"/>
                <w:szCs w:val="18"/>
                <w:lang w:val="en-GB" w:eastAsia="en-US"/>
              </w:rPr>
              <w:t>and</w:t>
            </w:r>
            <w:r w:rsidRPr="00945992">
              <w:rPr>
                <w:rFonts w:ascii="Arial" w:hAnsi="Arial" w:cs="Arial"/>
                <w:color w:val="000000" w:themeColor="text1"/>
                <w:sz w:val="18"/>
                <w:szCs w:val="18"/>
                <w:lang w:val="en-GB" w:eastAsia="en-US"/>
              </w:rPr>
              <w:t xml:space="preserve"> </w:t>
            </w:r>
            <w:proofErr w:type="spellStart"/>
            <w:r w:rsidRPr="00945992">
              <w:rPr>
                <w:rFonts w:ascii="Arial" w:hAnsi="Arial" w:cs="Arial"/>
                <w:color w:val="000000" w:themeColor="text1"/>
                <w:sz w:val="18"/>
                <w:szCs w:val="18"/>
                <w:lang w:val="en-GB" w:eastAsia="en-US"/>
              </w:rPr>
              <w:t>Estellé</w:t>
            </w:r>
            <w:proofErr w:type="spellEnd"/>
            <w:r w:rsidRPr="00945992">
              <w:rPr>
                <w:rFonts w:ascii="Arial" w:hAnsi="Arial" w:cs="Arial"/>
                <w:color w:val="000000" w:themeColor="text1"/>
                <w:sz w:val="18"/>
                <w:szCs w:val="18"/>
                <w:lang w:val="en-GB" w:eastAsia="en-US"/>
              </w:rPr>
              <w:t>, 2017)</w:t>
            </w:r>
          </w:p>
          <w:p w14:paraId="4336D919" w14:textId="77777777" w:rsidR="00896645" w:rsidRPr="00945992" w:rsidRDefault="00896645" w:rsidP="00426187">
            <w:pPr>
              <w:tabs>
                <w:tab w:val="right" w:pos="7100"/>
              </w:tabs>
              <w:spacing w:line="264" w:lineRule="auto"/>
              <w:ind w:right="-1"/>
              <w:jc w:val="center"/>
              <w:rPr>
                <w:rFonts w:ascii="Arial" w:hAnsi="Arial" w:cs="Arial"/>
                <w:color w:val="000000" w:themeColor="text1"/>
                <w:sz w:val="18"/>
                <w:szCs w:val="18"/>
                <w:lang w:val="en-GB" w:eastAsia="en-US"/>
              </w:rPr>
            </w:pPr>
          </w:p>
          <w:p w14:paraId="6FD675E8" w14:textId="77777777" w:rsidR="00896645" w:rsidRPr="00945992" w:rsidRDefault="00896645" w:rsidP="00426187">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(Okonkwo et al., 2021)</w:t>
            </w:r>
          </w:p>
          <w:p w14:paraId="003224EF" w14:textId="77777777" w:rsidR="00896645" w:rsidRPr="00945992" w:rsidRDefault="00896645" w:rsidP="00426187">
            <w:pPr>
              <w:tabs>
                <w:tab w:val="right" w:pos="7100"/>
              </w:tabs>
              <w:spacing w:line="264" w:lineRule="auto"/>
              <w:ind w:right="-1"/>
              <w:jc w:val="center"/>
              <w:rPr>
                <w:rFonts w:ascii="Arial" w:hAnsi="Arial" w:cs="Arial"/>
                <w:color w:val="000000" w:themeColor="text1"/>
                <w:sz w:val="18"/>
                <w:szCs w:val="18"/>
                <w:lang w:val="en-GB" w:eastAsia="en-US"/>
              </w:rPr>
            </w:pPr>
          </w:p>
          <w:p w14:paraId="451AA597" w14:textId="759BC051" w:rsidR="00896645" w:rsidRPr="00945992" w:rsidRDefault="00896645" w:rsidP="00426187">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(Sivakumar et al., 2024)</w:t>
            </w:r>
          </w:p>
        </w:tc>
      </w:tr>
      <w:tr w:rsidR="00426187" w:rsidRPr="00945992" w14:paraId="31FAD634" w14:textId="70FF2890" w:rsidTr="00F210C5">
        <w:tc>
          <w:tcPr>
            <w:tcW w:w="1134" w:type="dxa"/>
            <w:vMerge/>
            <w:shd w:val="clear" w:color="auto" w:fill="FFFFFF"/>
            <w:vAlign w:val="center"/>
          </w:tcPr>
          <w:p w14:paraId="7A1A3C32"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5B84481E" w14:textId="021D3834"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30</w:t>
            </w:r>
          </w:p>
        </w:tc>
        <w:tc>
          <w:tcPr>
            <w:tcW w:w="1134" w:type="dxa"/>
            <w:shd w:val="clear" w:color="auto" w:fill="FFFFFF"/>
            <w:vAlign w:val="center"/>
          </w:tcPr>
          <w:p w14:paraId="7CCF8DC6" w14:textId="6C493F9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999</w:t>
            </w:r>
          </w:p>
        </w:tc>
        <w:tc>
          <w:tcPr>
            <w:tcW w:w="1134" w:type="dxa"/>
            <w:shd w:val="clear" w:color="auto" w:fill="FFFFFF"/>
            <w:vAlign w:val="center"/>
          </w:tcPr>
          <w:p w14:paraId="417ECDD4" w14:textId="1F0B22C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1.03</w:t>
            </w:r>
          </w:p>
        </w:tc>
        <w:tc>
          <w:tcPr>
            <w:tcW w:w="1134" w:type="dxa"/>
            <w:shd w:val="clear" w:color="auto" w:fill="FFFFFF"/>
            <w:vAlign w:val="center"/>
          </w:tcPr>
          <w:p w14:paraId="38AB233F" w14:textId="55AECCD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4.05</w:t>
            </w:r>
          </w:p>
        </w:tc>
        <w:tc>
          <w:tcPr>
            <w:tcW w:w="1134" w:type="dxa"/>
            <w:shd w:val="clear" w:color="auto" w:fill="FFFFFF"/>
            <w:vAlign w:val="center"/>
          </w:tcPr>
          <w:p w14:paraId="1873EA93" w14:textId="3AADF08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0.64</w:t>
            </w:r>
          </w:p>
        </w:tc>
        <w:tc>
          <w:tcPr>
            <w:tcW w:w="1843" w:type="dxa"/>
            <w:vMerge/>
            <w:shd w:val="clear" w:color="auto" w:fill="FFFFFF"/>
          </w:tcPr>
          <w:p w14:paraId="07C411CE"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7207CE5A" w14:textId="0C741D30" w:rsidTr="00F210C5">
        <w:tc>
          <w:tcPr>
            <w:tcW w:w="1134" w:type="dxa"/>
            <w:vMerge/>
            <w:shd w:val="clear" w:color="auto" w:fill="FFFFFF"/>
            <w:vAlign w:val="center"/>
          </w:tcPr>
          <w:p w14:paraId="65E08151"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70CDE953" w14:textId="3601CFA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50</w:t>
            </w:r>
          </w:p>
        </w:tc>
        <w:tc>
          <w:tcPr>
            <w:tcW w:w="1134" w:type="dxa"/>
            <w:shd w:val="clear" w:color="auto" w:fill="FFFFFF"/>
            <w:vAlign w:val="center"/>
          </w:tcPr>
          <w:p w14:paraId="267CFA62" w14:textId="5A79583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997</w:t>
            </w:r>
          </w:p>
        </w:tc>
        <w:tc>
          <w:tcPr>
            <w:tcW w:w="1134" w:type="dxa"/>
            <w:shd w:val="clear" w:color="auto" w:fill="FFFFFF"/>
            <w:vAlign w:val="center"/>
          </w:tcPr>
          <w:p w14:paraId="239E445D" w14:textId="0A2986FA"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0.98</w:t>
            </w:r>
          </w:p>
        </w:tc>
        <w:tc>
          <w:tcPr>
            <w:tcW w:w="1134" w:type="dxa"/>
            <w:shd w:val="clear" w:color="auto" w:fill="FFFFFF"/>
            <w:vAlign w:val="center"/>
          </w:tcPr>
          <w:p w14:paraId="09B1778F" w14:textId="586A3C3E"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3.95</w:t>
            </w:r>
          </w:p>
        </w:tc>
        <w:tc>
          <w:tcPr>
            <w:tcW w:w="1134" w:type="dxa"/>
            <w:shd w:val="clear" w:color="auto" w:fill="FFFFFF"/>
            <w:vAlign w:val="center"/>
          </w:tcPr>
          <w:p w14:paraId="78445F45" w14:textId="187C482F"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0.68</w:t>
            </w:r>
          </w:p>
        </w:tc>
        <w:tc>
          <w:tcPr>
            <w:tcW w:w="1843" w:type="dxa"/>
            <w:vMerge/>
            <w:shd w:val="clear" w:color="auto" w:fill="FFFFFF"/>
          </w:tcPr>
          <w:p w14:paraId="5D9064C5"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1614ABE8" w14:textId="7D5DF86E" w:rsidTr="00BC064A">
        <w:tc>
          <w:tcPr>
            <w:tcW w:w="1134" w:type="dxa"/>
            <w:vMerge/>
            <w:tcBorders>
              <w:bottom w:val="single" w:sz="6" w:space="0" w:color="008000"/>
            </w:tcBorders>
            <w:shd w:val="clear" w:color="auto" w:fill="FFFFFF"/>
            <w:vAlign w:val="center"/>
          </w:tcPr>
          <w:p w14:paraId="3BDE6048"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tcBorders>
              <w:bottom w:val="single" w:sz="6" w:space="0" w:color="008000"/>
            </w:tcBorders>
            <w:shd w:val="clear" w:color="auto" w:fill="FFFFFF"/>
            <w:vAlign w:val="center"/>
          </w:tcPr>
          <w:p w14:paraId="5D2088F0" w14:textId="7E86F175"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70</w:t>
            </w:r>
          </w:p>
        </w:tc>
        <w:tc>
          <w:tcPr>
            <w:tcW w:w="1134" w:type="dxa"/>
            <w:tcBorders>
              <w:bottom w:val="single" w:sz="6" w:space="0" w:color="008000"/>
            </w:tcBorders>
            <w:shd w:val="clear" w:color="auto" w:fill="FFFFFF"/>
            <w:vAlign w:val="center"/>
          </w:tcPr>
          <w:p w14:paraId="443256C6" w14:textId="4D23B701"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995</w:t>
            </w:r>
          </w:p>
        </w:tc>
        <w:tc>
          <w:tcPr>
            <w:tcW w:w="1134" w:type="dxa"/>
            <w:tcBorders>
              <w:bottom w:val="single" w:sz="6" w:space="0" w:color="008000"/>
            </w:tcBorders>
            <w:shd w:val="clear" w:color="auto" w:fill="FFFFFF"/>
            <w:vAlign w:val="center"/>
          </w:tcPr>
          <w:p w14:paraId="5A37BFDF" w14:textId="618D32F3"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0.93</w:t>
            </w:r>
          </w:p>
        </w:tc>
        <w:tc>
          <w:tcPr>
            <w:tcW w:w="1134" w:type="dxa"/>
            <w:tcBorders>
              <w:bottom w:val="single" w:sz="6" w:space="0" w:color="008000"/>
            </w:tcBorders>
            <w:shd w:val="clear" w:color="auto" w:fill="FFFFFF"/>
            <w:vAlign w:val="center"/>
          </w:tcPr>
          <w:p w14:paraId="27C8B4F7" w14:textId="5680101F"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3.85</w:t>
            </w:r>
          </w:p>
        </w:tc>
        <w:tc>
          <w:tcPr>
            <w:tcW w:w="1134" w:type="dxa"/>
            <w:tcBorders>
              <w:bottom w:val="single" w:sz="6" w:space="0" w:color="008000"/>
            </w:tcBorders>
            <w:shd w:val="clear" w:color="auto" w:fill="FFFFFF"/>
            <w:vAlign w:val="center"/>
          </w:tcPr>
          <w:p w14:paraId="59D3313C" w14:textId="0104D0ED"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0.72</w:t>
            </w:r>
          </w:p>
        </w:tc>
        <w:tc>
          <w:tcPr>
            <w:tcW w:w="1843" w:type="dxa"/>
            <w:vMerge/>
            <w:shd w:val="clear" w:color="auto" w:fill="FFFFFF"/>
          </w:tcPr>
          <w:p w14:paraId="19108DDF"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32A06F88" w14:textId="371B0948" w:rsidTr="00BC064A">
        <w:tc>
          <w:tcPr>
            <w:tcW w:w="1134" w:type="dxa"/>
            <w:vMerge w:val="restart"/>
            <w:tcBorders>
              <w:top w:val="single" w:sz="6" w:space="0" w:color="008000"/>
            </w:tcBorders>
            <w:shd w:val="clear" w:color="auto" w:fill="FFFFFF"/>
            <w:vAlign w:val="center"/>
          </w:tcPr>
          <w:p w14:paraId="7595C67C" w14:textId="45C6EE9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Al</w:t>
            </w:r>
            <w:r w:rsidRPr="00945992">
              <w:rPr>
                <w:rFonts w:ascii="Arial" w:hAnsi="Arial" w:cs="Arial"/>
                <w:color w:val="000000" w:themeColor="text1"/>
                <w:sz w:val="18"/>
                <w:szCs w:val="18"/>
                <w:vertAlign w:val="subscript"/>
                <w:lang w:val="en-GB" w:eastAsia="en-US"/>
              </w:rPr>
              <w:t>2</w:t>
            </w:r>
            <w:r w:rsidRPr="00945992">
              <w:rPr>
                <w:rFonts w:ascii="Arial" w:hAnsi="Arial" w:cs="Arial"/>
                <w:color w:val="000000" w:themeColor="text1"/>
                <w:sz w:val="18"/>
                <w:szCs w:val="18"/>
                <w:lang w:val="en-GB" w:eastAsia="en-US"/>
              </w:rPr>
              <w:t>O</w:t>
            </w:r>
            <w:r w:rsidRPr="00945992">
              <w:rPr>
                <w:rFonts w:ascii="Arial" w:hAnsi="Arial" w:cs="Arial"/>
                <w:color w:val="000000" w:themeColor="text1"/>
                <w:sz w:val="18"/>
                <w:szCs w:val="18"/>
                <w:vertAlign w:val="subscript"/>
                <w:lang w:val="en-GB" w:eastAsia="en-US"/>
              </w:rPr>
              <w:t>3</w:t>
            </w:r>
            <w:r w:rsidRPr="00945992">
              <w:rPr>
                <w:rFonts w:ascii="Arial" w:hAnsi="Arial" w:cs="Arial"/>
                <w:color w:val="000000" w:themeColor="text1"/>
                <w:sz w:val="18"/>
                <w:szCs w:val="18"/>
                <w:lang w:val="en-GB" w:eastAsia="en-US"/>
              </w:rPr>
              <w:t xml:space="preserve"> </w:t>
            </w:r>
            <w:r w:rsidRPr="00945992">
              <w:rPr>
                <w:rFonts w:ascii="Arial" w:hAnsi="Arial" w:cs="Arial"/>
                <w:color w:val="000000" w:themeColor="text1"/>
                <w:sz w:val="18"/>
                <w:szCs w:val="18"/>
                <w:lang w:val="en-GB" w:eastAsia="en-US"/>
              </w:rPr>
              <w:br/>
              <w:t xml:space="preserve">5% </w:t>
            </w:r>
            <w:proofErr w:type="spellStart"/>
            <w:r w:rsidRPr="00945992">
              <w:rPr>
                <w:rFonts w:ascii="Arial" w:hAnsi="Arial" w:cs="Arial"/>
                <w:color w:val="000000" w:themeColor="text1"/>
                <w:sz w:val="18"/>
                <w:szCs w:val="18"/>
                <w:lang w:val="en-GB" w:eastAsia="en-US"/>
              </w:rPr>
              <w:t>wt</w:t>
            </w:r>
            <w:proofErr w:type="spellEnd"/>
          </w:p>
        </w:tc>
        <w:tc>
          <w:tcPr>
            <w:tcW w:w="1134" w:type="dxa"/>
            <w:tcBorders>
              <w:top w:val="single" w:sz="6" w:space="0" w:color="008000"/>
            </w:tcBorders>
            <w:shd w:val="clear" w:color="auto" w:fill="FFFFFF"/>
            <w:vAlign w:val="center"/>
          </w:tcPr>
          <w:p w14:paraId="0DEC6C66" w14:textId="41F82279"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10</w:t>
            </w:r>
          </w:p>
        </w:tc>
        <w:tc>
          <w:tcPr>
            <w:tcW w:w="1134" w:type="dxa"/>
            <w:tcBorders>
              <w:top w:val="single" w:sz="6" w:space="0" w:color="008000"/>
            </w:tcBorders>
            <w:shd w:val="clear" w:color="auto" w:fill="FFFFFF"/>
            <w:vAlign w:val="center"/>
          </w:tcPr>
          <w:p w14:paraId="42074784" w14:textId="765CC835"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1033</w:t>
            </w:r>
          </w:p>
        </w:tc>
        <w:tc>
          <w:tcPr>
            <w:tcW w:w="1134" w:type="dxa"/>
            <w:tcBorders>
              <w:top w:val="single" w:sz="6" w:space="0" w:color="008000"/>
            </w:tcBorders>
            <w:shd w:val="clear" w:color="auto" w:fill="FFFFFF"/>
            <w:vAlign w:val="center"/>
          </w:tcPr>
          <w:p w14:paraId="2C4F7137" w14:textId="1587A97D"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1.25</w:t>
            </w:r>
          </w:p>
        </w:tc>
        <w:tc>
          <w:tcPr>
            <w:tcW w:w="1134" w:type="dxa"/>
            <w:tcBorders>
              <w:top w:val="single" w:sz="6" w:space="0" w:color="008000"/>
            </w:tcBorders>
            <w:shd w:val="clear" w:color="auto" w:fill="FFFFFF"/>
            <w:vAlign w:val="center"/>
          </w:tcPr>
          <w:p w14:paraId="7EB711C9" w14:textId="77967A4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3.85</w:t>
            </w:r>
          </w:p>
        </w:tc>
        <w:tc>
          <w:tcPr>
            <w:tcW w:w="1134" w:type="dxa"/>
            <w:tcBorders>
              <w:top w:val="single" w:sz="6" w:space="0" w:color="008000"/>
            </w:tcBorders>
            <w:shd w:val="clear" w:color="auto" w:fill="FFFFFF"/>
            <w:vAlign w:val="center"/>
          </w:tcPr>
          <w:p w14:paraId="50323ECF" w14:textId="0C839B82"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0.67</w:t>
            </w:r>
          </w:p>
        </w:tc>
        <w:tc>
          <w:tcPr>
            <w:tcW w:w="1843" w:type="dxa"/>
            <w:vMerge/>
            <w:shd w:val="clear" w:color="auto" w:fill="FFFFFF"/>
          </w:tcPr>
          <w:p w14:paraId="233FD045"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22756234" w14:textId="32419DAB" w:rsidTr="00F210C5">
        <w:tc>
          <w:tcPr>
            <w:tcW w:w="1134" w:type="dxa"/>
            <w:vMerge/>
            <w:shd w:val="clear" w:color="auto" w:fill="FFFFFF"/>
            <w:vAlign w:val="center"/>
          </w:tcPr>
          <w:p w14:paraId="6762F77D"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5ABD6B86" w14:textId="674F4935"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30</w:t>
            </w:r>
          </w:p>
        </w:tc>
        <w:tc>
          <w:tcPr>
            <w:tcW w:w="1134" w:type="dxa"/>
            <w:shd w:val="clear" w:color="auto" w:fill="FFFFFF"/>
            <w:vAlign w:val="center"/>
          </w:tcPr>
          <w:p w14:paraId="2FD2C9D9" w14:textId="6702B62E"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1027</w:t>
            </w:r>
          </w:p>
        </w:tc>
        <w:tc>
          <w:tcPr>
            <w:tcW w:w="1134" w:type="dxa"/>
            <w:shd w:val="clear" w:color="auto" w:fill="FFFFFF"/>
            <w:vAlign w:val="center"/>
          </w:tcPr>
          <w:p w14:paraId="44965F53" w14:textId="4AF9A251"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1.15</w:t>
            </w:r>
          </w:p>
        </w:tc>
        <w:tc>
          <w:tcPr>
            <w:tcW w:w="1134" w:type="dxa"/>
            <w:shd w:val="clear" w:color="auto" w:fill="FFFFFF"/>
            <w:vAlign w:val="center"/>
          </w:tcPr>
          <w:p w14:paraId="57D3D6A8" w14:textId="47BA1AA1"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3.75</w:t>
            </w:r>
          </w:p>
        </w:tc>
        <w:tc>
          <w:tcPr>
            <w:tcW w:w="1134" w:type="dxa"/>
            <w:shd w:val="clear" w:color="auto" w:fill="FFFFFF"/>
            <w:vAlign w:val="center"/>
          </w:tcPr>
          <w:p w14:paraId="74DECD42" w14:textId="00E676B2"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0.71</w:t>
            </w:r>
          </w:p>
        </w:tc>
        <w:tc>
          <w:tcPr>
            <w:tcW w:w="1843" w:type="dxa"/>
            <w:vMerge/>
            <w:shd w:val="clear" w:color="auto" w:fill="FFFFFF"/>
          </w:tcPr>
          <w:p w14:paraId="1A4A801E"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2CD8A03B" w14:textId="0B6012B4" w:rsidTr="00F210C5">
        <w:tc>
          <w:tcPr>
            <w:tcW w:w="1134" w:type="dxa"/>
            <w:vMerge/>
            <w:shd w:val="clear" w:color="auto" w:fill="FFFFFF"/>
            <w:vAlign w:val="center"/>
          </w:tcPr>
          <w:p w14:paraId="50816744"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0F636CEE" w14:textId="67B85A82"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olor w:val="000000" w:themeColor="text1"/>
                <w:sz w:val="18"/>
                <w:szCs w:val="20"/>
                <w:lang w:val="en-GB" w:eastAsia="en-US"/>
              </w:rPr>
              <w:t>50</w:t>
            </w:r>
          </w:p>
        </w:tc>
        <w:tc>
          <w:tcPr>
            <w:tcW w:w="1134" w:type="dxa"/>
            <w:shd w:val="clear" w:color="auto" w:fill="FFFFFF"/>
            <w:vAlign w:val="center"/>
          </w:tcPr>
          <w:p w14:paraId="7456960A" w14:textId="121A3BC8"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1021</w:t>
            </w:r>
          </w:p>
        </w:tc>
        <w:tc>
          <w:tcPr>
            <w:tcW w:w="1134" w:type="dxa"/>
            <w:shd w:val="clear" w:color="auto" w:fill="FFFFFF"/>
            <w:vAlign w:val="center"/>
          </w:tcPr>
          <w:p w14:paraId="38C6E496" w14:textId="22D526C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1.05</w:t>
            </w:r>
          </w:p>
        </w:tc>
        <w:tc>
          <w:tcPr>
            <w:tcW w:w="1134" w:type="dxa"/>
            <w:shd w:val="clear" w:color="auto" w:fill="FFFFFF"/>
            <w:vAlign w:val="center"/>
          </w:tcPr>
          <w:p w14:paraId="413C1826" w14:textId="198D1ABE"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3.65</w:t>
            </w:r>
          </w:p>
        </w:tc>
        <w:tc>
          <w:tcPr>
            <w:tcW w:w="1134" w:type="dxa"/>
            <w:shd w:val="clear" w:color="auto" w:fill="FFFFFF"/>
            <w:vAlign w:val="center"/>
          </w:tcPr>
          <w:p w14:paraId="3977327C" w14:textId="10AE7BCA"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0.75</w:t>
            </w:r>
          </w:p>
        </w:tc>
        <w:tc>
          <w:tcPr>
            <w:tcW w:w="1843" w:type="dxa"/>
            <w:vMerge/>
            <w:shd w:val="clear" w:color="auto" w:fill="FFFFFF"/>
          </w:tcPr>
          <w:p w14:paraId="7FBA3B82"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r w:rsidR="00426187" w:rsidRPr="00945992" w14:paraId="7A8B8AAD" w14:textId="3D232A82" w:rsidTr="00F210C5">
        <w:tc>
          <w:tcPr>
            <w:tcW w:w="1134" w:type="dxa"/>
            <w:vMerge/>
            <w:shd w:val="clear" w:color="auto" w:fill="FFFFFF"/>
            <w:vAlign w:val="center"/>
          </w:tcPr>
          <w:p w14:paraId="38CD0915"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c>
          <w:tcPr>
            <w:tcW w:w="1134" w:type="dxa"/>
            <w:shd w:val="clear" w:color="auto" w:fill="FFFFFF"/>
            <w:vAlign w:val="center"/>
          </w:tcPr>
          <w:p w14:paraId="2CE24585" w14:textId="2675086B"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70</w:t>
            </w:r>
          </w:p>
        </w:tc>
        <w:tc>
          <w:tcPr>
            <w:tcW w:w="1134" w:type="dxa"/>
            <w:shd w:val="clear" w:color="auto" w:fill="FFFFFF"/>
            <w:vAlign w:val="center"/>
          </w:tcPr>
          <w:p w14:paraId="7F91BF74" w14:textId="45803F5F"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1015</w:t>
            </w:r>
          </w:p>
        </w:tc>
        <w:tc>
          <w:tcPr>
            <w:tcW w:w="1134" w:type="dxa"/>
            <w:shd w:val="clear" w:color="auto" w:fill="FFFFFF"/>
            <w:vAlign w:val="center"/>
          </w:tcPr>
          <w:p w14:paraId="156AB191" w14:textId="1EF23760"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0.95</w:t>
            </w:r>
          </w:p>
        </w:tc>
        <w:tc>
          <w:tcPr>
            <w:tcW w:w="1134" w:type="dxa"/>
            <w:shd w:val="clear" w:color="auto" w:fill="FFFFFF"/>
            <w:vAlign w:val="center"/>
          </w:tcPr>
          <w:p w14:paraId="392AB4DC" w14:textId="0A30E5AE"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3.55</w:t>
            </w:r>
          </w:p>
        </w:tc>
        <w:tc>
          <w:tcPr>
            <w:tcW w:w="1134" w:type="dxa"/>
            <w:shd w:val="clear" w:color="auto" w:fill="FFFFFF"/>
            <w:vAlign w:val="center"/>
          </w:tcPr>
          <w:p w14:paraId="366923B4" w14:textId="521FA242"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r w:rsidRPr="00945992">
              <w:rPr>
                <w:rFonts w:ascii="Arial" w:hAnsi="Arial" w:cs="Arial"/>
                <w:color w:val="000000" w:themeColor="text1"/>
                <w:sz w:val="18"/>
                <w:szCs w:val="18"/>
                <w:lang w:val="en-GB" w:eastAsia="en-US"/>
              </w:rPr>
              <w:t>0.79</w:t>
            </w:r>
          </w:p>
        </w:tc>
        <w:tc>
          <w:tcPr>
            <w:tcW w:w="1843" w:type="dxa"/>
            <w:vMerge/>
            <w:shd w:val="clear" w:color="auto" w:fill="FFFFFF"/>
          </w:tcPr>
          <w:p w14:paraId="092294D2" w14:textId="77777777" w:rsidR="00426187" w:rsidRPr="00945992" w:rsidRDefault="00426187" w:rsidP="00A1420D">
            <w:pPr>
              <w:tabs>
                <w:tab w:val="right" w:pos="7100"/>
              </w:tabs>
              <w:spacing w:line="264" w:lineRule="auto"/>
              <w:ind w:right="-1"/>
              <w:jc w:val="center"/>
              <w:rPr>
                <w:rFonts w:ascii="Arial" w:hAnsi="Arial" w:cs="Arial"/>
                <w:color w:val="000000" w:themeColor="text1"/>
                <w:sz w:val="18"/>
                <w:szCs w:val="18"/>
                <w:lang w:val="en-GB" w:eastAsia="en-US"/>
              </w:rPr>
            </w:pPr>
          </w:p>
        </w:tc>
      </w:tr>
    </w:tbl>
    <w:p w14:paraId="70CCCC08" w14:textId="77777777" w:rsidR="00431FB0" w:rsidRPr="00945992" w:rsidRDefault="00431FB0" w:rsidP="00AF4C4B">
      <w:pPr>
        <w:pStyle w:val="CETBodytext"/>
        <w:rPr>
          <w:color w:val="000000" w:themeColor="text1"/>
          <w:lang w:val="it-IT"/>
        </w:rPr>
      </w:pPr>
    </w:p>
    <w:p w14:paraId="3B1E76E5" w14:textId="177EAE72" w:rsidR="00A77E6C" w:rsidRPr="00945992" w:rsidRDefault="00BD1FD5" w:rsidP="007D1274">
      <w:pPr>
        <w:pStyle w:val="CETHeading1"/>
        <w:jc w:val="both"/>
        <w:rPr>
          <w:color w:val="000000" w:themeColor="text1"/>
        </w:rPr>
      </w:pPr>
      <w:r w:rsidRPr="00945992">
        <w:rPr>
          <w:color w:val="000000" w:themeColor="text1"/>
        </w:rPr>
        <w:t>Results and discussion</w:t>
      </w:r>
    </w:p>
    <w:p w14:paraId="08E41A5C" w14:textId="4F250737" w:rsidR="007F335A" w:rsidRPr="00945992" w:rsidRDefault="00EF7F9C" w:rsidP="00EF7F9C">
      <w:pPr>
        <w:pStyle w:val="CETBodytext"/>
      </w:pPr>
      <w:r w:rsidRPr="00945992">
        <w:rPr>
          <w:color w:val="000000" w:themeColor="text1"/>
        </w:rPr>
        <w:t xml:space="preserve">The results of the analyses of the energy aspect are summarized in Figure 2. </w:t>
      </w:r>
      <w:r w:rsidR="0042796F" w:rsidRPr="00945992">
        <w:rPr>
          <w:color w:val="000000" w:themeColor="text1"/>
        </w:rPr>
        <w:t xml:space="preserve">From the perspective of indoor conditions, the indoor temperature values remained practically unchanged, and therefore, the indoor comfort </w:t>
      </w:r>
      <w:r w:rsidR="0042796F" w:rsidRPr="00945992">
        <w:t>performance did not experience any alterations. However, i</w:t>
      </w:r>
      <w:r w:rsidRPr="00945992">
        <w:t>t is possible to observe that there is minimal deviation in energy consumption for air conditioning, with benefits observed only for cooling. This discrepancy is likely due to the varying properties of the nanofluids at different temperatures. Considering that the</w:t>
      </w:r>
      <w:r w:rsidR="007F335A" w:rsidRPr="00945992">
        <w:t xml:space="preserve"> </w:t>
      </w:r>
      <w:r w:rsidR="00E93944" w:rsidRPr="00945992">
        <w:t>selected</w:t>
      </w:r>
      <w:r w:rsidRPr="00945992">
        <w:t xml:space="preserve"> nanofluids have higher thermal conductivity compared to water, they </w:t>
      </w:r>
      <w:r w:rsidR="00312F5B" w:rsidRPr="00945992">
        <w:t xml:space="preserve">are confirmed to </w:t>
      </w:r>
      <w:r w:rsidRPr="00945992">
        <w:t xml:space="preserve">enhance heat exchange. However, </w:t>
      </w:r>
      <w:r w:rsidR="00E93944" w:rsidRPr="00945992">
        <w:t xml:space="preserve">having lower specific heat, </w:t>
      </w:r>
      <w:r w:rsidRPr="00945992">
        <w:t>at the same flow rate they result in a lower transport of thermal energy.</w:t>
      </w:r>
      <w:r w:rsidR="00D34195" w:rsidRPr="00945992">
        <w:t xml:space="preserve"> </w:t>
      </w:r>
      <w:r w:rsidR="004D2C16" w:rsidRPr="00945992">
        <w:t xml:space="preserve">At increasing temperature, the loss in specific heat becomes </w:t>
      </w:r>
      <w:r w:rsidR="00B90699" w:rsidRPr="00945992">
        <w:t xml:space="preserve">generally </w:t>
      </w:r>
      <w:r w:rsidR="004D2C16" w:rsidRPr="00945992">
        <w:t>more marked, overcoming the gain in terms of improved thermal conductivity. This is in line with</w:t>
      </w:r>
      <w:r w:rsidR="007F335A" w:rsidRPr="00945992">
        <w:t xml:space="preserve"> what </w:t>
      </w:r>
      <w:r w:rsidR="00E93944" w:rsidRPr="00945992">
        <w:t>is shown</w:t>
      </w:r>
      <w:r w:rsidR="007F335A" w:rsidRPr="00945992">
        <w:t xml:space="preserve"> in F</w:t>
      </w:r>
      <w:r w:rsidR="00E93944" w:rsidRPr="00945992">
        <w:t>i</w:t>
      </w:r>
      <w:r w:rsidR="007F335A" w:rsidRPr="00945992">
        <w:t xml:space="preserve">gure 2, </w:t>
      </w:r>
      <w:r w:rsidR="004D2C16" w:rsidRPr="00945992">
        <w:t>where</w:t>
      </w:r>
      <w:r w:rsidR="007F335A" w:rsidRPr="00945992">
        <w:t xml:space="preserve"> there is a benefit in terms of cooling </w:t>
      </w:r>
      <w:r w:rsidR="004D2C16" w:rsidRPr="00945992">
        <w:t>but</w:t>
      </w:r>
      <w:r w:rsidR="007F335A" w:rsidRPr="00945992">
        <w:t xml:space="preserve"> a slight penalty in terms of heating after replacing the traditional fluid (water) with the two selected nanofluids (</w:t>
      </w:r>
      <w:proofErr w:type="spellStart"/>
      <w:r w:rsidR="007F335A" w:rsidRPr="00945992">
        <w:t>CuO</w:t>
      </w:r>
      <w:proofErr w:type="spellEnd"/>
      <w:r w:rsidR="007F335A" w:rsidRPr="00945992">
        <w:t xml:space="preserve"> and Al</w:t>
      </w:r>
      <w:r w:rsidR="007F335A" w:rsidRPr="00945992">
        <w:rPr>
          <w:vertAlign w:val="subscript"/>
        </w:rPr>
        <w:t>2</w:t>
      </w:r>
      <w:r w:rsidR="007F335A" w:rsidRPr="00945992">
        <w:t>O</w:t>
      </w:r>
      <w:r w:rsidR="007F335A" w:rsidRPr="00945992">
        <w:rPr>
          <w:vertAlign w:val="subscript"/>
        </w:rPr>
        <w:t>3</w:t>
      </w:r>
      <w:r w:rsidR="007F335A" w:rsidRPr="00945992">
        <w:t>).</w:t>
      </w:r>
    </w:p>
    <w:p w14:paraId="7E443C48" w14:textId="11C90E29" w:rsidR="00D34195" w:rsidRPr="00945992" w:rsidRDefault="00D34195" w:rsidP="00D34195">
      <w:pPr>
        <w:pStyle w:val="CETBodytext"/>
        <w:rPr>
          <w:color w:val="000000" w:themeColor="text1"/>
        </w:rPr>
      </w:pPr>
      <w:r w:rsidRPr="00945992">
        <w:t xml:space="preserve">Although </w:t>
      </w:r>
      <w:proofErr w:type="spellStart"/>
      <w:r w:rsidRPr="00945992">
        <w:t>EnergyPlus</w:t>
      </w:r>
      <w:proofErr w:type="spellEnd"/>
      <w:r w:rsidRPr="00945992">
        <w:t xml:space="preserve"> is not a software designed to carry out detailed studies of this kind (</w:t>
      </w:r>
      <w:r w:rsidR="00312F5B" w:rsidRPr="00945992">
        <w:t xml:space="preserve">e.g., due to limitations on </w:t>
      </w:r>
      <w:r w:rsidRPr="00945992">
        <w:t>modeling the behavior of non-Newtonian fluids</w:t>
      </w:r>
      <w:r w:rsidR="00312F5B" w:rsidRPr="00945992">
        <w:t xml:space="preserve"> </w:t>
      </w:r>
      <w:r w:rsidRPr="00945992">
        <w:t xml:space="preserve">such as precisely nanofluids), the results obtained appear to be consistent and in line with the characterization of the selected nanofluids, depending strongly on how the </w:t>
      </w:r>
      <w:r w:rsidRPr="00945992">
        <w:rPr>
          <w:color w:val="000000" w:themeColor="text1"/>
        </w:rPr>
        <w:t xml:space="preserve">properties of these vary as the temperature changes (see Table 1). Specifically, there is a general increase in </w:t>
      </w:r>
      <w:r w:rsidRPr="00945992">
        <w:rPr>
          <w:color w:val="000000" w:themeColor="text1"/>
        </w:rPr>
        <w:lastRenderedPageBreak/>
        <w:t>thermal conductivity that is favored by higher percentages of nanoparticles dispersed in the fluids, which therefore promotes thermal transport. However, the addition of nanoparticles results in an increase in the complexity of rheological behavior, with viscosity that overall varies less predictably with temperature and flow conditions (compared to a traditional Newtonian fluid such as water), and a reduction in the heat capacity/specific heat of the fluid. Even not considering the increased rheological complexity (</w:t>
      </w:r>
      <w:proofErr w:type="spellStart"/>
      <w:r w:rsidRPr="00945992">
        <w:rPr>
          <w:color w:val="000000" w:themeColor="text1"/>
        </w:rPr>
        <w:t>EnergyPlus</w:t>
      </w:r>
      <w:proofErr w:type="spellEnd"/>
      <w:r w:rsidRPr="00945992">
        <w:rPr>
          <w:color w:val="000000" w:themeColor="text1"/>
        </w:rPr>
        <w:t xml:space="preserve"> uncertainty in considering non-Newtonian behaviors for fluids), it is observed that the reduction in specific heat is more pronounced for high temperatures. This results in reduced heat transport with the fluid that is not compensated for by the increased thermal conductivity when the fluid is used for heating. In contrast, for lower temperature ranges this loss of heat capacity is smaller and thus the benefit in terms of thermal conductivity leads to an overall benefit relative to the use of these nanofluids for cooling.</w:t>
      </w:r>
    </w:p>
    <w:p w14:paraId="7514D022" w14:textId="77777777" w:rsidR="007F335A" w:rsidRPr="00945992" w:rsidRDefault="007F335A" w:rsidP="007F335A">
      <w:pPr>
        <w:pStyle w:val="CETBodytext"/>
        <w:rPr>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7F335A" w:rsidRPr="00945992" w14:paraId="2E76CE0E" w14:textId="77777777" w:rsidTr="000369EF">
        <w:tc>
          <w:tcPr>
            <w:tcW w:w="4388" w:type="dxa"/>
            <w:vAlign w:val="center"/>
          </w:tcPr>
          <w:p w14:paraId="3A819C7E" w14:textId="77777777" w:rsidR="007F335A" w:rsidRPr="00945992" w:rsidRDefault="007F335A" w:rsidP="000369EF">
            <w:pPr>
              <w:pStyle w:val="CETBodytext"/>
              <w:jc w:val="center"/>
              <w:rPr>
                <w:color w:val="000000" w:themeColor="text1"/>
              </w:rPr>
            </w:pPr>
            <w:r w:rsidRPr="00945992">
              <w:rPr>
                <w:noProof/>
                <w:color w:val="000000" w:themeColor="text1"/>
              </w:rPr>
              <w:drawing>
                <wp:inline distT="0" distB="0" distL="0" distR="0" wp14:anchorId="0880D973" wp14:editId="402D1670">
                  <wp:extent cx="2700000" cy="1734244"/>
                  <wp:effectExtent l="0" t="0" r="5715" b="0"/>
                  <wp:docPr id="1342124828"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24828" name="Immagine 1" descr="Immagine che contiene testo, schermata, linea, diagramma&#10;&#10;Descrizione generata automaticamente"/>
                          <pic:cNvPicPr/>
                        </pic:nvPicPr>
                        <pic:blipFill>
                          <a:blip r:embed="rId12"/>
                          <a:stretch>
                            <a:fillRect/>
                          </a:stretch>
                        </pic:blipFill>
                        <pic:spPr>
                          <a:xfrm>
                            <a:off x="0" y="0"/>
                            <a:ext cx="2700000" cy="1734244"/>
                          </a:xfrm>
                          <a:prstGeom prst="rect">
                            <a:avLst/>
                          </a:prstGeom>
                        </pic:spPr>
                      </pic:pic>
                    </a:graphicData>
                  </a:graphic>
                </wp:inline>
              </w:drawing>
            </w:r>
          </w:p>
        </w:tc>
        <w:tc>
          <w:tcPr>
            <w:tcW w:w="4389" w:type="dxa"/>
            <w:vAlign w:val="center"/>
          </w:tcPr>
          <w:p w14:paraId="195D619F" w14:textId="77777777" w:rsidR="007F335A" w:rsidRPr="00945992" w:rsidRDefault="007F335A" w:rsidP="000369EF">
            <w:pPr>
              <w:pStyle w:val="CETBodytext"/>
              <w:jc w:val="center"/>
              <w:rPr>
                <w:color w:val="000000" w:themeColor="text1"/>
              </w:rPr>
            </w:pPr>
            <w:r w:rsidRPr="00945992">
              <w:rPr>
                <w:noProof/>
                <w:color w:val="000000" w:themeColor="text1"/>
              </w:rPr>
              <w:drawing>
                <wp:inline distT="0" distB="0" distL="0" distR="0" wp14:anchorId="1AAD44D7" wp14:editId="0436AA3A">
                  <wp:extent cx="2700000" cy="1735780"/>
                  <wp:effectExtent l="0" t="0" r="5715" b="0"/>
                  <wp:docPr id="1252651106" name="Immagine 2"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51106" name="Immagine 2" descr="Immagine che contiene testo, schermata, Carattere, numero&#10;&#10;Il contenuto generato dall'IA potrebbe non essere corretto."/>
                          <pic:cNvPicPr/>
                        </pic:nvPicPr>
                        <pic:blipFill>
                          <a:blip r:embed="rId13"/>
                          <a:stretch>
                            <a:fillRect/>
                          </a:stretch>
                        </pic:blipFill>
                        <pic:spPr>
                          <a:xfrm>
                            <a:off x="0" y="0"/>
                            <a:ext cx="2700000" cy="1735780"/>
                          </a:xfrm>
                          <a:prstGeom prst="rect">
                            <a:avLst/>
                          </a:prstGeom>
                        </pic:spPr>
                      </pic:pic>
                    </a:graphicData>
                  </a:graphic>
                </wp:inline>
              </w:drawing>
            </w:r>
          </w:p>
        </w:tc>
      </w:tr>
    </w:tbl>
    <w:p w14:paraId="1ECBB8E5" w14:textId="77777777" w:rsidR="007F335A" w:rsidRPr="00945992" w:rsidRDefault="007F335A" w:rsidP="007F335A">
      <w:pPr>
        <w:pStyle w:val="CETCaption"/>
        <w:rPr>
          <w:color w:val="000000" w:themeColor="text1"/>
        </w:rPr>
      </w:pPr>
      <w:r w:rsidRPr="00945992">
        <w:rPr>
          <w:rStyle w:val="CETCaptionCarattere"/>
          <w:i/>
          <w:color w:val="000000" w:themeColor="text1"/>
        </w:rPr>
        <w:t xml:space="preserve">Figure 2: </w:t>
      </w:r>
      <w:r w:rsidRPr="00945992">
        <w:rPr>
          <w:color w:val="000000" w:themeColor="text1"/>
        </w:rPr>
        <w:t>Energy intensity for heating (natural gas) and cooling (electricity) systems using the weather data from Genova (a) and Palermo (b)</w:t>
      </w:r>
    </w:p>
    <w:p w14:paraId="2F583C0A" w14:textId="65AC657E" w:rsidR="00EF7F9C" w:rsidRPr="00945992" w:rsidRDefault="00EF7F9C" w:rsidP="009C05BE">
      <w:pPr>
        <w:pStyle w:val="CETBodytext"/>
        <w:rPr>
          <w:color w:val="000000" w:themeColor="text1"/>
        </w:rPr>
      </w:pPr>
      <w:r w:rsidRPr="00945992">
        <w:rPr>
          <w:color w:val="000000" w:themeColor="text1"/>
        </w:rPr>
        <w:t xml:space="preserve">Overall, the obtained preliminary results indicate that improvements in heat transfer efficiency and energy savings could be achieved, with variations observed based on nanoparticle type and concentration. </w:t>
      </w:r>
      <w:proofErr w:type="spellStart"/>
      <w:r w:rsidRPr="00945992">
        <w:rPr>
          <w:color w:val="000000" w:themeColor="text1"/>
        </w:rPr>
        <w:t>CuO</w:t>
      </w:r>
      <w:proofErr w:type="spellEnd"/>
      <w:r w:rsidRPr="00945992">
        <w:rPr>
          <w:color w:val="000000" w:themeColor="text1"/>
        </w:rPr>
        <w:t xml:space="preserve"> nanofluids demonstrate higher thermal conductivity, leading to better energy performance, while Al</w:t>
      </w:r>
      <w:r w:rsidRPr="00945992">
        <w:rPr>
          <w:color w:val="000000" w:themeColor="text1"/>
          <w:vertAlign w:val="subscript"/>
        </w:rPr>
        <w:t>2</w:t>
      </w:r>
      <w:r w:rsidRPr="00945992">
        <w:rPr>
          <w:color w:val="000000" w:themeColor="text1"/>
        </w:rPr>
        <w:t>O</w:t>
      </w:r>
      <w:r w:rsidRPr="00945992">
        <w:rPr>
          <w:color w:val="000000" w:themeColor="text1"/>
          <w:vertAlign w:val="subscript"/>
        </w:rPr>
        <w:t>3</w:t>
      </w:r>
      <w:r w:rsidRPr="00945992">
        <w:rPr>
          <w:color w:val="000000" w:themeColor="text1"/>
        </w:rPr>
        <w:t xml:space="preserve"> nanofluids offer a balanced improvement in both thermal and rheological properties. Concerning the maintenance of indoor thermal comfort conditions, the outcomes also highlight the potential of nanofluids to maintain more stable and uniform temperatures.</w:t>
      </w:r>
    </w:p>
    <w:p w14:paraId="73A275F3" w14:textId="4394F7A7" w:rsidR="00686A23" w:rsidRPr="00945992" w:rsidRDefault="00470D9B" w:rsidP="009D44B4">
      <w:pPr>
        <w:pStyle w:val="CETHeading1"/>
        <w:jc w:val="both"/>
        <w:rPr>
          <w:color w:val="000000" w:themeColor="text1"/>
        </w:rPr>
      </w:pPr>
      <w:r w:rsidRPr="00945992">
        <w:rPr>
          <w:color w:val="000000" w:themeColor="text1"/>
        </w:rPr>
        <w:t>Conclusions</w:t>
      </w:r>
    </w:p>
    <w:p w14:paraId="1AB814F5" w14:textId="3C01BAFC" w:rsidR="00DC29BC" w:rsidRPr="00945992" w:rsidRDefault="00DC29BC" w:rsidP="00DC29BC">
      <w:pPr>
        <w:pStyle w:val="CETBodytext"/>
        <w:rPr>
          <w:color w:val="000000" w:themeColor="text1"/>
        </w:rPr>
      </w:pPr>
      <w:r w:rsidRPr="00945992">
        <w:rPr>
          <w:color w:val="000000" w:themeColor="text1"/>
        </w:rPr>
        <w:t xml:space="preserve">The pursuit of energy-efficient and sustainable building systems has driven </w:t>
      </w:r>
      <w:r w:rsidR="008F640C" w:rsidRPr="00945992">
        <w:rPr>
          <w:color w:val="000000" w:themeColor="text1"/>
        </w:rPr>
        <w:t>research into</w:t>
      </w:r>
      <w:r w:rsidRPr="00945992">
        <w:rPr>
          <w:color w:val="000000" w:themeColor="text1"/>
        </w:rPr>
        <w:t xml:space="preserve"> advanced materials and technologies. In particular,</w:t>
      </w:r>
      <w:r w:rsidR="00F85F40" w:rsidRPr="00945992">
        <w:rPr>
          <w:color w:val="000000" w:themeColor="text1"/>
        </w:rPr>
        <w:t xml:space="preserve"> the</w:t>
      </w:r>
      <w:r w:rsidRPr="00945992">
        <w:rPr>
          <w:color w:val="000000" w:themeColor="text1"/>
        </w:rPr>
        <w:t xml:space="preserve"> increased energy demand for building climatization due to climate change poses challenges </w:t>
      </w:r>
      <w:r w:rsidR="00E17C73" w:rsidRPr="00945992">
        <w:rPr>
          <w:color w:val="000000" w:themeColor="text1"/>
        </w:rPr>
        <w:t>in terms of</w:t>
      </w:r>
      <w:r w:rsidRPr="00945992">
        <w:rPr>
          <w:color w:val="000000" w:themeColor="text1"/>
        </w:rPr>
        <w:t xml:space="preserve"> energy savings, indoor thermal comfort, and environmental impacts. In this perspective, </w:t>
      </w:r>
      <w:r w:rsidR="000D2680" w:rsidRPr="00945992">
        <w:rPr>
          <w:color w:val="000000" w:themeColor="text1"/>
        </w:rPr>
        <w:t>n</w:t>
      </w:r>
      <w:r w:rsidRPr="00945992">
        <w:rPr>
          <w:color w:val="000000" w:themeColor="text1"/>
        </w:rPr>
        <w:t xml:space="preserve">anofluids, with their superior thermal conductivity and heat transfer properties, </w:t>
      </w:r>
      <w:r w:rsidR="00E17C73" w:rsidRPr="00945992">
        <w:rPr>
          <w:color w:val="000000" w:themeColor="text1"/>
        </w:rPr>
        <w:t>re</w:t>
      </w:r>
      <w:r w:rsidRPr="00945992">
        <w:rPr>
          <w:color w:val="000000" w:themeColor="text1"/>
        </w:rPr>
        <w:t>present a promising alternative to traditional fluids in HVAC systems.</w:t>
      </w:r>
    </w:p>
    <w:p w14:paraId="27B66EF1" w14:textId="3E898164" w:rsidR="00C57433" w:rsidRPr="00945992" w:rsidRDefault="00C57433" w:rsidP="00DC29BC">
      <w:pPr>
        <w:pStyle w:val="CETBodytext"/>
        <w:rPr>
          <w:color w:val="000000" w:themeColor="text1"/>
        </w:rPr>
      </w:pPr>
      <w:r w:rsidRPr="00945992">
        <w:rPr>
          <w:color w:val="000000" w:themeColor="text1"/>
        </w:rPr>
        <w:t xml:space="preserve">This study provides an initial assessment of the benefits of nanofluids using </w:t>
      </w:r>
      <w:proofErr w:type="spellStart"/>
      <w:r w:rsidRPr="00945992">
        <w:rPr>
          <w:color w:val="000000" w:themeColor="text1"/>
        </w:rPr>
        <w:t>EnergyPlus</w:t>
      </w:r>
      <w:proofErr w:type="spellEnd"/>
      <w:r w:rsidRPr="00945992">
        <w:rPr>
          <w:color w:val="000000" w:themeColor="text1"/>
        </w:rPr>
        <w:t xml:space="preserve"> software. Although </w:t>
      </w:r>
      <w:proofErr w:type="spellStart"/>
      <w:r w:rsidRPr="00945992">
        <w:rPr>
          <w:color w:val="000000" w:themeColor="text1"/>
        </w:rPr>
        <w:t>EnergyPlus</w:t>
      </w:r>
      <w:proofErr w:type="spellEnd"/>
      <w:r w:rsidRPr="00945992">
        <w:rPr>
          <w:color w:val="000000" w:themeColor="text1"/>
        </w:rPr>
        <w:t xml:space="preserve"> isn't specifically designed for HVACs assessments, it enabled a quick preliminary evaluation of energy demands, forming a basis for further detailed analyses.</w:t>
      </w:r>
    </w:p>
    <w:p w14:paraId="4F7E9983" w14:textId="46D4056A" w:rsidR="000760E2" w:rsidRPr="00945992" w:rsidRDefault="00D34195" w:rsidP="00DC29BC">
      <w:pPr>
        <w:pStyle w:val="CETBodytext"/>
        <w:rPr>
          <w:color w:val="000000" w:themeColor="text1"/>
        </w:rPr>
      </w:pPr>
      <w:r w:rsidRPr="00945992">
        <w:rPr>
          <w:color w:val="000000" w:themeColor="text1"/>
        </w:rPr>
        <w:t>Findings of the performed preliminary research on water-based nanofluids integration in HVAC systems allow to make some considerations on the main significant benefits that they could entail: (</w:t>
      </w:r>
      <w:proofErr w:type="spellStart"/>
      <w:r w:rsidRPr="00945992">
        <w:rPr>
          <w:color w:val="000000" w:themeColor="text1"/>
        </w:rPr>
        <w:t>i</w:t>
      </w:r>
      <w:proofErr w:type="spellEnd"/>
      <w:r w:rsidRPr="00945992">
        <w:rPr>
          <w:color w:val="000000" w:themeColor="text1"/>
        </w:rPr>
        <w:t>) Energy efficiency: Enhanced thermal conductivity and heat transfer properties could lead to energy savings, maintaining comfortable indoor temperatures with less energy consumption. (ii) Sustainability: Possible improved energy efficiency could reduce buildings' carbon footprint, supporting climate change mitigation efforts. (iii) Cost savings: Achievable energy efficiency could lower operational costs, offsetting initial investments in nanofluid technology. (iv) Indoor comfort: Feasibility of nanofluids to maintain stable and uniform temperatures ensures the needs related to productivity and well-being in both residential and work environments (such as, offices, schools, etc.). (v) Technological advancement: Successful implementation of nanofluids in HVAC systems can drive further research and development in nanotechnology applications like refrigeration and heat exchangers.</w:t>
      </w:r>
    </w:p>
    <w:p w14:paraId="6E342843" w14:textId="671A1361" w:rsidR="000D2680" w:rsidRPr="00945992" w:rsidRDefault="000D2680" w:rsidP="000D2680">
      <w:pPr>
        <w:pStyle w:val="CETBodytext"/>
        <w:rPr>
          <w:color w:val="000000" w:themeColor="text1"/>
        </w:rPr>
      </w:pPr>
      <w:r w:rsidRPr="00945992">
        <w:rPr>
          <w:color w:val="000000" w:themeColor="text1"/>
        </w:rPr>
        <w:t xml:space="preserve">In conclusion, this work enhances the understanding of water-based nanofluids in HVAC applications, highlighting their practical benefits. Accordingly, future research, </w:t>
      </w:r>
      <w:r w:rsidR="00453413" w:rsidRPr="00945992">
        <w:rPr>
          <w:color w:val="000000" w:themeColor="text1"/>
        </w:rPr>
        <w:t xml:space="preserve">which is </w:t>
      </w:r>
      <w:r w:rsidRPr="00945992">
        <w:rPr>
          <w:color w:val="000000" w:themeColor="text1"/>
        </w:rPr>
        <w:t>currently under evaluation, will focus on experimental and simulative applications to identify the optimal fluid</w:t>
      </w:r>
      <w:r w:rsidR="00737395" w:rsidRPr="00945992">
        <w:rPr>
          <w:color w:val="000000" w:themeColor="text1"/>
        </w:rPr>
        <w:t xml:space="preserve"> configuration</w:t>
      </w:r>
      <w:r w:rsidRPr="00945992">
        <w:rPr>
          <w:color w:val="000000" w:themeColor="text1"/>
        </w:rPr>
        <w:t xml:space="preserve"> for different HVAC systems</w:t>
      </w:r>
      <w:r w:rsidR="00737395" w:rsidRPr="00945992">
        <w:rPr>
          <w:color w:val="000000" w:themeColor="text1"/>
        </w:rPr>
        <w:t>, using ad hoc modeling tools</w:t>
      </w:r>
      <w:r w:rsidRPr="00945992">
        <w:rPr>
          <w:color w:val="000000" w:themeColor="text1"/>
        </w:rPr>
        <w:t xml:space="preserve">. The outcomes suggest that water-based nanofluids can significantly </w:t>
      </w:r>
      <w:r w:rsidRPr="00945992">
        <w:rPr>
          <w:color w:val="000000" w:themeColor="text1"/>
        </w:rPr>
        <w:lastRenderedPageBreak/>
        <w:t>improve the energy efficiency, environmental performance, and cost-effectiveness of building systems, supporting sustainable and resilient practices in line with the United Nations SDGs.</w:t>
      </w:r>
    </w:p>
    <w:p w14:paraId="31115B79" w14:textId="77777777" w:rsidR="009C2D71" w:rsidRPr="00945992" w:rsidRDefault="009C2D71" w:rsidP="009D44B4">
      <w:pPr>
        <w:pStyle w:val="CETAcknowledgementstitle"/>
        <w:jc w:val="both"/>
        <w:rPr>
          <w:color w:val="000000" w:themeColor="text1"/>
          <w:lang w:val="en-US"/>
        </w:rPr>
      </w:pPr>
      <w:r w:rsidRPr="00945992">
        <w:rPr>
          <w:color w:val="000000" w:themeColor="text1"/>
          <w:lang w:val="en-US"/>
        </w:rPr>
        <w:t>Acknowledgments</w:t>
      </w:r>
    </w:p>
    <w:p w14:paraId="51277635" w14:textId="04DF5D44" w:rsidR="00AE33DB" w:rsidRPr="00945992" w:rsidRDefault="00AE33DB" w:rsidP="00DE3614">
      <w:pPr>
        <w:pStyle w:val="CETBodytext"/>
        <w:rPr>
          <w:color w:val="000000" w:themeColor="text1"/>
        </w:rPr>
      </w:pPr>
      <w:r w:rsidRPr="00945992">
        <w:rPr>
          <w:color w:val="000000" w:themeColor="text1"/>
        </w:rPr>
        <w:t xml:space="preserve">This study was developed in the framework of the research activities carried out within the Project “Network 4 Energy Sustainable Transition — NEST”, Spoke 8: Final use optimization, sustainability \&amp; resilience in energy supply chain, Project code PE00000021, Concession Decree No. 1561 of 11.10.2022 adopted by </w:t>
      </w:r>
      <w:proofErr w:type="spellStart"/>
      <w:r w:rsidRPr="00945992">
        <w:rPr>
          <w:color w:val="000000" w:themeColor="text1"/>
        </w:rPr>
        <w:t>Ministero</w:t>
      </w:r>
      <w:proofErr w:type="spellEnd"/>
      <w:r w:rsidRPr="00945992">
        <w:rPr>
          <w:color w:val="000000" w:themeColor="text1"/>
        </w:rPr>
        <w:t xml:space="preserve"> </w:t>
      </w:r>
      <w:proofErr w:type="spellStart"/>
      <w:r w:rsidRPr="00945992">
        <w:rPr>
          <w:color w:val="000000" w:themeColor="text1"/>
        </w:rPr>
        <w:t>dell’Università</w:t>
      </w:r>
      <w:proofErr w:type="spellEnd"/>
      <w:r w:rsidRPr="00945992">
        <w:rPr>
          <w:color w:val="000000" w:themeColor="text1"/>
        </w:rPr>
        <w:t xml:space="preserve"> e </w:t>
      </w:r>
      <w:proofErr w:type="spellStart"/>
      <w:r w:rsidRPr="00945992">
        <w:rPr>
          <w:color w:val="000000" w:themeColor="text1"/>
        </w:rPr>
        <w:t>della</w:t>
      </w:r>
      <w:proofErr w:type="spellEnd"/>
      <w:r w:rsidRPr="00945992">
        <w:rPr>
          <w:color w:val="000000" w:themeColor="text1"/>
        </w:rPr>
        <w:t xml:space="preserve"> </w:t>
      </w:r>
      <w:proofErr w:type="spellStart"/>
      <w:r w:rsidRPr="00945992">
        <w:rPr>
          <w:color w:val="000000" w:themeColor="text1"/>
        </w:rPr>
        <w:t>Ricerca</w:t>
      </w:r>
      <w:proofErr w:type="spellEnd"/>
      <w:r w:rsidRPr="00945992">
        <w:rPr>
          <w:color w:val="000000" w:themeColor="text1"/>
        </w:rPr>
        <w:t xml:space="preserve"> (MUR), CUP UNIPA B73C22001280006, Project funded under the National Recovery and Resilience Plan (NRRP), Mission 4 Component 2 Investment 1.3 - Call for tender No. 341 of 15.03.2022 of </w:t>
      </w:r>
      <w:proofErr w:type="spellStart"/>
      <w:r w:rsidRPr="00945992">
        <w:rPr>
          <w:color w:val="000000" w:themeColor="text1"/>
        </w:rPr>
        <w:t>Ministero</w:t>
      </w:r>
      <w:proofErr w:type="spellEnd"/>
      <w:r w:rsidRPr="00945992">
        <w:rPr>
          <w:color w:val="000000" w:themeColor="text1"/>
        </w:rPr>
        <w:t xml:space="preserve"> </w:t>
      </w:r>
      <w:proofErr w:type="spellStart"/>
      <w:r w:rsidRPr="00945992">
        <w:rPr>
          <w:color w:val="000000" w:themeColor="text1"/>
        </w:rPr>
        <w:t>dell’Università</w:t>
      </w:r>
      <w:proofErr w:type="spellEnd"/>
      <w:r w:rsidRPr="00945992">
        <w:rPr>
          <w:color w:val="000000" w:themeColor="text1"/>
        </w:rPr>
        <w:t xml:space="preserve"> e </w:t>
      </w:r>
      <w:proofErr w:type="spellStart"/>
      <w:r w:rsidRPr="00945992">
        <w:rPr>
          <w:color w:val="000000" w:themeColor="text1"/>
        </w:rPr>
        <w:t>della</w:t>
      </w:r>
      <w:proofErr w:type="spellEnd"/>
      <w:r w:rsidRPr="00945992">
        <w:rPr>
          <w:color w:val="000000" w:themeColor="text1"/>
        </w:rPr>
        <w:t xml:space="preserve"> </w:t>
      </w:r>
      <w:proofErr w:type="spellStart"/>
      <w:r w:rsidRPr="00945992">
        <w:rPr>
          <w:color w:val="000000" w:themeColor="text1"/>
        </w:rPr>
        <w:t>Ricerca</w:t>
      </w:r>
      <w:proofErr w:type="spellEnd"/>
      <w:r w:rsidRPr="00945992">
        <w:rPr>
          <w:color w:val="000000" w:themeColor="text1"/>
        </w:rPr>
        <w:t xml:space="preserve"> (MUR); funded by the European Union – </w:t>
      </w:r>
      <w:proofErr w:type="spellStart"/>
      <w:r w:rsidRPr="00945992">
        <w:rPr>
          <w:color w:val="000000" w:themeColor="text1"/>
        </w:rPr>
        <w:t>NextGenerationEU</w:t>
      </w:r>
      <w:proofErr w:type="spellEnd"/>
      <w:r w:rsidRPr="00945992">
        <w:rPr>
          <w:color w:val="000000" w:themeColor="text1"/>
        </w:rPr>
        <w:t>.</w:t>
      </w:r>
    </w:p>
    <w:p w14:paraId="4B1EFE8A" w14:textId="77777777" w:rsidR="009C2D71" w:rsidRPr="00945992" w:rsidRDefault="009C2D71" w:rsidP="009D44B4">
      <w:pPr>
        <w:pStyle w:val="CETReference"/>
        <w:jc w:val="both"/>
        <w:rPr>
          <w:color w:val="000000" w:themeColor="text1"/>
          <w:lang w:val="en-US"/>
        </w:rPr>
      </w:pPr>
      <w:r w:rsidRPr="00945992">
        <w:rPr>
          <w:color w:val="000000" w:themeColor="text1"/>
          <w:lang w:val="en-US"/>
        </w:rPr>
        <w:t>References</w:t>
      </w:r>
    </w:p>
    <w:p w14:paraId="6F21E94E" w14:textId="1FBD8D3D" w:rsidR="00BC4B08" w:rsidRPr="00945992" w:rsidRDefault="00BC4B08" w:rsidP="00BC4B08">
      <w:pPr>
        <w:pStyle w:val="CETBodytext"/>
        <w:ind w:left="284" w:hanging="284"/>
        <w:rPr>
          <w:color w:val="000000" w:themeColor="text1"/>
        </w:rPr>
      </w:pPr>
      <w:r w:rsidRPr="00945992">
        <w:rPr>
          <w:color w:val="000000" w:themeColor="text1"/>
        </w:rPr>
        <w:t>Abd El-</w:t>
      </w:r>
      <w:proofErr w:type="spellStart"/>
      <w:r w:rsidRPr="00945992">
        <w:rPr>
          <w:color w:val="000000" w:themeColor="text1"/>
        </w:rPr>
        <w:t>Samie</w:t>
      </w:r>
      <w:proofErr w:type="spellEnd"/>
      <w:r w:rsidRPr="00945992">
        <w:rPr>
          <w:color w:val="000000" w:themeColor="text1"/>
        </w:rPr>
        <w:t xml:space="preserve"> M.M., Mahmoud O.E., Yang Y., </w:t>
      </w:r>
      <w:proofErr w:type="spellStart"/>
      <w:r w:rsidRPr="00945992">
        <w:rPr>
          <w:color w:val="000000" w:themeColor="text1"/>
        </w:rPr>
        <w:t>Fatouh</w:t>
      </w:r>
      <w:proofErr w:type="spellEnd"/>
      <w:r w:rsidRPr="00945992">
        <w:rPr>
          <w:color w:val="000000" w:themeColor="text1"/>
        </w:rPr>
        <w:t xml:space="preserve"> M., 2024, Performance evaluation of multifunctional windows for commercial buildings under hot-humid climatic environments, Energy and Buildings, 303, 113816.</w:t>
      </w:r>
    </w:p>
    <w:p w14:paraId="3F9EF84A" w14:textId="147635D2" w:rsidR="00BC4B08" w:rsidRPr="00945992" w:rsidRDefault="00BC4B08" w:rsidP="00BC4B08">
      <w:pPr>
        <w:pStyle w:val="CETBodytext"/>
        <w:ind w:left="284" w:hanging="284"/>
        <w:rPr>
          <w:color w:val="000000" w:themeColor="text1"/>
        </w:rPr>
      </w:pPr>
      <w:proofErr w:type="spellStart"/>
      <w:r w:rsidRPr="00945992">
        <w:rPr>
          <w:color w:val="000000" w:themeColor="text1"/>
        </w:rPr>
        <w:t>Alqaed</w:t>
      </w:r>
      <w:proofErr w:type="spellEnd"/>
      <w:r w:rsidRPr="00945992">
        <w:rPr>
          <w:color w:val="000000" w:themeColor="text1"/>
        </w:rPr>
        <w:t xml:space="preserve"> S., Mustafa J., </w:t>
      </w:r>
      <w:proofErr w:type="spellStart"/>
      <w:r w:rsidRPr="00945992">
        <w:rPr>
          <w:color w:val="000000" w:themeColor="text1"/>
        </w:rPr>
        <w:t>Sharifpur</w:t>
      </w:r>
      <w:proofErr w:type="spellEnd"/>
      <w:r w:rsidRPr="00945992">
        <w:rPr>
          <w:color w:val="000000" w:themeColor="text1"/>
        </w:rPr>
        <w:t xml:space="preserve"> M., 2022, Annual energy analysis of a building equipped with CaCl</w:t>
      </w:r>
      <w:r w:rsidRPr="00945992">
        <w:rPr>
          <w:color w:val="000000" w:themeColor="text1"/>
          <w:vertAlign w:val="subscript"/>
        </w:rPr>
        <w:t>2</w:t>
      </w:r>
      <w:r w:rsidR="00F8246B" w:rsidRPr="00945992">
        <w:rPr>
          <w:color w:val="000000" w:themeColor="text1"/>
        </w:rPr>
        <w:t>·</w:t>
      </w:r>
      <w:r w:rsidRPr="00945992">
        <w:rPr>
          <w:color w:val="000000" w:themeColor="text1"/>
        </w:rPr>
        <w:t>6H</w:t>
      </w:r>
      <w:r w:rsidR="00F8246B" w:rsidRPr="00945992">
        <w:rPr>
          <w:color w:val="000000" w:themeColor="text1"/>
          <w:vertAlign w:val="subscript"/>
        </w:rPr>
        <w:t>2</w:t>
      </w:r>
      <w:r w:rsidRPr="00945992">
        <w:rPr>
          <w:color w:val="000000" w:themeColor="text1"/>
        </w:rPr>
        <w:t>O as PCM and CaCl</w:t>
      </w:r>
      <w:r w:rsidRPr="00945992">
        <w:rPr>
          <w:color w:val="000000" w:themeColor="text1"/>
          <w:vertAlign w:val="subscript"/>
        </w:rPr>
        <w:t>2</w:t>
      </w:r>
      <w:r w:rsidR="00F8246B" w:rsidRPr="00945992">
        <w:rPr>
          <w:color w:val="000000" w:themeColor="text1"/>
        </w:rPr>
        <w:t>·</w:t>
      </w:r>
      <w:r w:rsidRPr="00945992">
        <w:rPr>
          <w:color w:val="000000" w:themeColor="text1"/>
        </w:rPr>
        <w:t>6H</w:t>
      </w:r>
      <w:r w:rsidR="00F8246B" w:rsidRPr="00945992">
        <w:rPr>
          <w:color w:val="000000" w:themeColor="text1"/>
          <w:vertAlign w:val="subscript"/>
        </w:rPr>
        <w:t>2</w:t>
      </w:r>
      <w:r w:rsidRPr="00945992">
        <w:rPr>
          <w:color w:val="000000" w:themeColor="text1"/>
        </w:rPr>
        <w:t>O/CsxWO</w:t>
      </w:r>
      <w:r w:rsidRPr="00945992">
        <w:rPr>
          <w:color w:val="000000" w:themeColor="text1"/>
          <w:vertAlign w:val="subscript"/>
        </w:rPr>
        <w:t>3</w:t>
      </w:r>
      <w:r w:rsidRPr="00945992">
        <w:rPr>
          <w:color w:val="000000" w:themeColor="text1"/>
        </w:rPr>
        <w:t xml:space="preserve"> as nano PCM-Useless of adding nanoparticles</w:t>
      </w:r>
      <w:r w:rsidR="00F8246B" w:rsidRPr="00945992">
        <w:rPr>
          <w:color w:val="000000" w:themeColor="text1"/>
        </w:rPr>
        <w:t xml:space="preserve">, </w:t>
      </w:r>
      <w:r w:rsidRPr="00945992">
        <w:rPr>
          <w:color w:val="000000" w:themeColor="text1"/>
        </w:rPr>
        <w:t>Journal of Building Engineering, 53.</w:t>
      </w:r>
    </w:p>
    <w:p w14:paraId="22F98BB8" w14:textId="56BC223E" w:rsidR="00896645" w:rsidRPr="00945992" w:rsidRDefault="00896645" w:rsidP="00431FB0">
      <w:pPr>
        <w:pStyle w:val="CETBodytext"/>
        <w:ind w:left="284" w:hanging="284"/>
        <w:rPr>
          <w:color w:val="000000" w:themeColor="text1"/>
        </w:rPr>
      </w:pPr>
      <w:r w:rsidRPr="00945992">
        <w:rPr>
          <w:color w:val="000000" w:themeColor="text1"/>
        </w:rPr>
        <w:t xml:space="preserve">Al </w:t>
      </w:r>
      <w:proofErr w:type="spellStart"/>
      <w:r w:rsidRPr="00945992">
        <w:rPr>
          <w:color w:val="000000" w:themeColor="text1"/>
        </w:rPr>
        <w:t>Shdaifat</w:t>
      </w:r>
      <w:proofErr w:type="spellEnd"/>
      <w:r w:rsidRPr="00945992">
        <w:rPr>
          <w:color w:val="000000" w:themeColor="text1"/>
        </w:rPr>
        <w:t xml:space="preserve"> M.Y., </w:t>
      </w:r>
      <w:proofErr w:type="spellStart"/>
      <w:r w:rsidRPr="00945992">
        <w:rPr>
          <w:color w:val="000000" w:themeColor="text1"/>
        </w:rPr>
        <w:t>Zulkifli</w:t>
      </w:r>
      <w:proofErr w:type="spellEnd"/>
      <w:r w:rsidRPr="00945992">
        <w:rPr>
          <w:color w:val="000000" w:themeColor="text1"/>
        </w:rPr>
        <w:t xml:space="preserve"> R., </w:t>
      </w:r>
      <w:proofErr w:type="spellStart"/>
      <w:r w:rsidRPr="00945992">
        <w:rPr>
          <w:color w:val="000000" w:themeColor="text1"/>
        </w:rPr>
        <w:t>Sopian</w:t>
      </w:r>
      <w:proofErr w:type="spellEnd"/>
      <w:r w:rsidRPr="00945992">
        <w:rPr>
          <w:color w:val="000000" w:themeColor="text1"/>
        </w:rPr>
        <w:t xml:space="preserve"> K., Salih A.A., 2020, Thermal and Hydraulic Performance of </w:t>
      </w:r>
      <w:proofErr w:type="spellStart"/>
      <w:r w:rsidRPr="00945992">
        <w:rPr>
          <w:color w:val="000000" w:themeColor="text1"/>
        </w:rPr>
        <w:t>CuO</w:t>
      </w:r>
      <w:proofErr w:type="spellEnd"/>
      <w:r w:rsidRPr="00945992">
        <w:rPr>
          <w:color w:val="000000" w:themeColor="text1"/>
        </w:rPr>
        <w:t>/Water Nanofluids: A Review. Micromachines, 11(4):416.</w:t>
      </w:r>
    </w:p>
    <w:p w14:paraId="7F59F6F2" w14:textId="66493EC2" w:rsidR="00431FB0" w:rsidRPr="00945992" w:rsidRDefault="00431FB0" w:rsidP="00431FB0">
      <w:pPr>
        <w:pStyle w:val="CETBodytext"/>
        <w:ind w:left="284" w:hanging="284"/>
        <w:rPr>
          <w:color w:val="000000" w:themeColor="text1"/>
        </w:rPr>
      </w:pPr>
      <w:r w:rsidRPr="00945992">
        <w:rPr>
          <w:color w:val="000000" w:themeColor="text1"/>
        </w:rPr>
        <w:t>ANSI/ASHRAE Standard 140-2017 (2020), available at: https://www.ashrae.org (accessed on 15 April 2025).</w:t>
      </w:r>
    </w:p>
    <w:p w14:paraId="75291033" w14:textId="4C087CB3" w:rsidR="00A77485" w:rsidRPr="00945992" w:rsidRDefault="00A77485" w:rsidP="00A77485">
      <w:pPr>
        <w:pStyle w:val="CETBodytext"/>
        <w:ind w:left="284" w:hanging="284"/>
        <w:rPr>
          <w:color w:val="000000" w:themeColor="text1"/>
        </w:rPr>
      </w:pPr>
      <w:r w:rsidRPr="00945992">
        <w:rPr>
          <w:color w:val="000000" w:themeColor="text1"/>
        </w:rPr>
        <w:t xml:space="preserve">ANSI/ASHRAE Standard </w:t>
      </w:r>
      <w:r w:rsidR="00431FB0" w:rsidRPr="00945992">
        <w:rPr>
          <w:color w:val="000000" w:themeColor="text1"/>
        </w:rPr>
        <w:t>55</w:t>
      </w:r>
      <w:r w:rsidRPr="00945992">
        <w:rPr>
          <w:color w:val="000000" w:themeColor="text1"/>
        </w:rPr>
        <w:t>-20</w:t>
      </w:r>
      <w:r w:rsidR="00431FB0" w:rsidRPr="00945992">
        <w:rPr>
          <w:color w:val="000000" w:themeColor="text1"/>
        </w:rPr>
        <w:t>23</w:t>
      </w:r>
      <w:r w:rsidRPr="00945992">
        <w:rPr>
          <w:color w:val="000000" w:themeColor="text1"/>
        </w:rPr>
        <w:t xml:space="preserve"> (202</w:t>
      </w:r>
      <w:r w:rsidR="00431FB0" w:rsidRPr="00945992">
        <w:rPr>
          <w:color w:val="000000" w:themeColor="text1"/>
        </w:rPr>
        <w:t>3</w:t>
      </w:r>
      <w:r w:rsidRPr="00945992">
        <w:rPr>
          <w:color w:val="000000" w:themeColor="text1"/>
        </w:rPr>
        <w:t>), available at: https://www.ashrae.org (accessed on 15 April 2025).</w:t>
      </w:r>
    </w:p>
    <w:p w14:paraId="6A7B2B44" w14:textId="41FF0059" w:rsidR="00C60185" w:rsidRPr="00945992" w:rsidRDefault="00C60185" w:rsidP="00C60185">
      <w:pPr>
        <w:pStyle w:val="CETBodytext"/>
        <w:ind w:left="284" w:hanging="284"/>
        <w:rPr>
          <w:color w:val="000000" w:themeColor="text1"/>
        </w:rPr>
      </w:pPr>
      <w:proofErr w:type="spellStart"/>
      <w:r w:rsidRPr="00945992">
        <w:rPr>
          <w:color w:val="000000" w:themeColor="text1"/>
        </w:rPr>
        <w:t>Bahiraei</w:t>
      </w:r>
      <w:proofErr w:type="spellEnd"/>
      <w:r w:rsidRPr="00945992">
        <w:rPr>
          <w:color w:val="000000" w:themeColor="text1"/>
        </w:rPr>
        <w:t xml:space="preserve"> M., Rahmani R., Yaghoobi A., </w:t>
      </w:r>
      <w:proofErr w:type="spellStart"/>
      <w:r w:rsidRPr="00945992">
        <w:rPr>
          <w:color w:val="000000" w:themeColor="text1"/>
        </w:rPr>
        <w:t>Khodabandeh</w:t>
      </w:r>
      <w:proofErr w:type="spellEnd"/>
      <w:r w:rsidRPr="00945992">
        <w:rPr>
          <w:color w:val="000000" w:themeColor="text1"/>
        </w:rPr>
        <w:t xml:space="preserve"> E., </w:t>
      </w:r>
      <w:proofErr w:type="spellStart"/>
      <w:r w:rsidRPr="00945992">
        <w:rPr>
          <w:color w:val="000000" w:themeColor="text1"/>
        </w:rPr>
        <w:t>Mashayekhi</w:t>
      </w:r>
      <w:proofErr w:type="spellEnd"/>
      <w:r w:rsidRPr="00945992">
        <w:rPr>
          <w:color w:val="000000" w:themeColor="text1"/>
        </w:rPr>
        <w:t xml:space="preserve"> R., Amani M., 2018, Recent research contributions concerning use of nanofluids in heat exchangers: a critical review, Applied Thermal Engineering</w:t>
      </w:r>
      <w:r w:rsidRPr="00945992">
        <w:rPr>
          <w:i/>
          <w:iCs/>
          <w:color w:val="000000" w:themeColor="text1"/>
        </w:rPr>
        <w:t>,</w:t>
      </w:r>
      <w:r w:rsidRPr="00945992">
        <w:rPr>
          <w:color w:val="000000" w:themeColor="text1"/>
        </w:rPr>
        <w:t xml:space="preserve"> 133, 137–159.</w:t>
      </w:r>
    </w:p>
    <w:p w14:paraId="626820C9" w14:textId="1F855500" w:rsidR="00BC4B08" w:rsidRPr="00945992" w:rsidRDefault="00BC4B08" w:rsidP="00BC4B08">
      <w:pPr>
        <w:pStyle w:val="CETBodytext"/>
        <w:ind w:left="284" w:hanging="284"/>
        <w:rPr>
          <w:color w:val="000000" w:themeColor="text1"/>
        </w:rPr>
      </w:pPr>
      <w:proofErr w:type="spellStart"/>
      <w:r w:rsidRPr="00945992">
        <w:rPr>
          <w:color w:val="000000" w:themeColor="text1"/>
        </w:rPr>
        <w:t>Benazzouz</w:t>
      </w:r>
      <w:proofErr w:type="spellEnd"/>
      <w:r w:rsidRPr="00945992">
        <w:rPr>
          <w:color w:val="000000" w:themeColor="text1"/>
        </w:rPr>
        <w:t xml:space="preserve"> A., Ammar M.A.H., </w:t>
      </w:r>
      <w:proofErr w:type="spellStart"/>
      <w:r w:rsidRPr="00945992">
        <w:rPr>
          <w:color w:val="000000" w:themeColor="text1"/>
        </w:rPr>
        <w:t>Settou</w:t>
      </w:r>
      <w:proofErr w:type="spellEnd"/>
      <w:r w:rsidRPr="00945992">
        <w:rPr>
          <w:color w:val="000000" w:themeColor="text1"/>
        </w:rPr>
        <w:t xml:space="preserve"> B., </w:t>
      </w:r>
      <w:proofErr w:type="spellStart"/>
      <w:r w:rsidRPr="00945992">
        <w:rPr>
          <w:color w:val="000000" w:themeColor="text1"/>
        </w:rPr>
        <w:t>Marif</w:t>
      </w:r>
      <w:proofErr w:type="spellEnd"/>
      <w:r w:rsidRPr="00945992">
        <w:rPr>
          <w:color w:val="000000" w:themeColor="text1"/>
        </w:rPr>
        <w:t xml:space="preserve"> Y., </w:t>
      </w:r>
      <w:proofErr w:type="spellStart"/>
      <w:r w:rsidRPr="00945992">
        <w:rPr>
          <w:color w:val="000000" w:themeColor="text1"/>
        </w:rPr>
        <w:t>Djemoui</w:t>
      </w:r>
      <w:proofErr w:type="spellEnd"/>
      <w:r w:rsidRPr="00945992">
        <w:rPr>
          <w:color w:val="000000" w:themeColor="text1"/>
        </w:rPr>
        <w:t xml:space="preserve"> K., 2025, Thermal performance analysis of a domestic-size absorption cooling system incorporating nanofluid with thermal insulation in hot climate of Algeria, International Journal of Refrigeration, 170, 192–213.</w:t>
      </w:r>
    </w:p>
    <w:p w14:paraId="36485EC8" w14:textId="7531BE92" w:rsidR="00BC4B08" w:rsidRPr="00945992" w:rsidRDefault="00BC4B08" w:rsidP="00BC4B08">
      <w:pPr>
        <w:pStyle w:val="CETBodytext"/>
        <w:ind w:left="284" w:hanging="284"/>
        <w:rPr>
          <w:color w:val="000000" w:themeColor="text1"/>
        </w:rPr>
      </w:pPr>
      <w:r w:rsidRPr="00945992">
        <w:rPr>
          <w:color w:val="000000" w:themeColor="text1"/>
        </w:rPr>
        <w:t>Cao X., Li N., Li Y., Che L., Yu B., Liu H., 2023, A review of photovoltaic/thermal (PV/T) technology applied in building environment control, Energy and Built Environment.</w:t>
      </w:r>
    </w:p>
    <w:p w14:paraId="4FBEABAA" w14:textId="6DE22738" w:rsidR="00BC4B08" w:rsidRPr="00945992" w:rsidRDefault="00BC4B08" w:rsidP="00BC4B08">
      <w:pPr>
        <w:pStyle w:val="CETBodytext"/>
        <w:ind w:left="284" w:hanging="284"/>
        <w:rPr>
          <w:color w:val="000000" w:themeColor="text1"/>
        </w:rPr>
      </w:pPr>
      <w:proofErr w:type="spellStart"/>
      <w:r w:rsidRPr="00945992">
        <w:rPr>
          <w:color w:val="000000" w:themeColor="text1"/>
        </w:rPr>
        <w:t>Chaichan</w:t>
      </w:r>
      <w:proofErr w:type="spellEnd"/>
      <w:r w:rsidRPr="00945992">
        <w:rPr>
          <w:color w:val="000000" w:themeColor="text1"/>
        </w:rPr>
        <w:t xml:space="preserve"> M.T., Kazem H.A., Mahdi M.T., Al-</w:t>
      </w:r>
      <w:proofErr w:type="spellStart"/>
      <w:r w:rsidRPr="00945992">
        <w:rPr>
          <w:color w:val="000000" w:themeColor="text1"/>
        </w:rPr>
        <w:t>Waeli</w:t>
      </w:r>
      <w:proofErr w:type="spellEnd"/>
      <w:r w:rsidRPr="00945992">
        <w:rPr>
          <w:color w:val="000000" w:themeColor="text1"/>
        </w:rPr>
        <w:t xml:space="preserve"> A.H., </w:t>
      </w:r>
      <w:proofErr w:type="spellStart"/>
      <w:r w:rsidRPr="00945992">
        <w:rPr>
          <w:color w:val="000000" w:themeColor="text1"/>
        </w:rPr>
        <w:t>Khadom</w:t>
      </w:r>
      <w:proofErr w:type="spellEnd"/>
      <w:r w:rsidRPr="00945992">
        <w:rPr>
          <w:color w:val="000000" w:themeColor="text1"/>
        </w:rPr>
        <w:t xml:space="preserve"> A.A., </w:t>
      </w:r>
      <w:proofErr w:type="spellStart"/>
      <w:r w:rsidRPr="00945992">
        <w:rPr>
          <w:color w:val="000000" w:themeColor="text1"/>
        </w:rPr>
        <w:t>Sopian</w:t>
      </w:r>
      <w:proofErr w:type="spellEnd"/>
      <w:r w:rsidRPr="00945992">
        <w:rPr>
          <w:color w:val="000000" w:themeColor="text1"/>
        </w:rPr>
        <w:t xml:space="preserve"> K., 2025, Optimal nanofluid selection for photovoltaic/thermal (PV/T) systems in adverse climatic conditions, Case Studies in Thermal Engineering, 65, 105610.</w:t>
      </w:r>
    </w:p>
    <w:p w14:paraId="7EF7390B" w14:textId="4EF6962D" w:rsidR="00C60185" w:rsidRPr="00945992" w:rsidRDefault="00C60185" w:rsidP="00BC4B08">
      <w:pPr>
        <w:pStyle w:val="CETBodytext"/>
        <w:ind w:left="284" w:hanging="284"/>
        <w:rPr>
          <w:color w:val="000000" w:themeColor="text1"/>
        </w:rPr>
      </w:pPr>
      <w:r w:rsidRPr="00945992">
        <w:rPr>
          <w:color w:val="000000" w:themeColor="text1"/>
        </w:rPr>
        <w:t>Choi S.U., Eastman, J.A., 1995, Enhancing thermal conductivity of fluids with nanoparticles</w:t>
      </w:r>
      <w:r w:rsidRPr="00945992">
        <w:rPr>
          <w:i/>
          <w:iCs/>
          <w:color w:val="000000" w:themeColor="text1"/>
        </w:rPr>
        <w:t>,</w:t>
      </w:r>
      <w:r w:rsidRPr="00945992">
        <w:rPr>
          <w:color w:val="000000" w:themeColor="text1"/>
        </w:rPr>
        <w:t xml:space="preserve"> Argonne National Lab. (ANL), Argonne, IL, United States.</w:t>
      </w:r>
    </w:p>
    <w:p w14:paraId="6CA04B1C" w14:textId="04920212" w:rsidR="00BC4B08" w:rsidRPr="00945992" w:rsidRDefault="00BC4B08" w:rsidP="00BC4B08">
      <w:pPr>
        <w:pStyle w:val="CETBodytext"/>
        <w:ind w:left="284" w:hanging="284"/>
        <w:rPr>
          <w:color w:val="000000" w:themeColor="text1"/>
        </w:rPr>
      </w:pPr>
      <w:proofErr w:type="spellStart"/>
      <w:r w:rsidRPr="00945992">
        <w:rPr>
          <w:color w:val="000000" w:themeColor="text1"/>
        </w:rPr>
        <w:t>Cirrincione</w:t>
      </w:r>
      <w:proofErr w:type="spellEnd"/>
      <w:r w:rsidRPr="00945992">
        <w:rPr>
          <w:color w:val="000000" w:themeColor="text1"/>
        </w:rPr>
        <w:t xml:space="preserve"> L., </w:t>
      </w:r>
      <w:proofErr w:type="spellStart"/>
      <w:r w:rsidRPr="00945992">
        <w:rPr>
          <w:color w:val="000000" w:themeColor="text1"/>
        </w:rPr>
        <w:t>Malara</w:t>
      </w:r>
      <w:proofErr w:type="spellEnd"/>
      <w:r w:rsidRPr="00945992">
        <w:rPr>
          <w:color w:val="000000" w:themeColor="text1"/>
        </w:rPr>
        <w:t xml:space="preserve"> C., Marino C., </w:t>
      </w:r>
      <w:proofErr w:type="spellStart"/>
      <w:r w:rsidRPr="00945992">
        <w:rPr>
          <w:color w:val="000000" w:themeColor="text1"/>
        </w:rPr>
        <w:t>Nucara</w:t>
      </w:r>
      <w:proofErr w:type="spellEnd"/>
      <w:r w:rsidRPr="00945992">
        <w:rPr>
          <w:color w:val="000000" w:themeColor="text1"/>
        </w:rPr>
        <w:t xml:space="preserve"> A., Peri G., </w:t>
      </w:r>
      <w:proofErr w:type="spellStart"/>
      <w:r w:rsidRPr="00945992">
        <w:rPr>
          <w:color w:val="000000" w:themeColor="text1"/>
        </w:rPr>
        <w:t>Pietrafesa</w:t>
      </w:r>
      <w:proofErr w:type="spellEnd"/>
      <w:r w:rsidRPr="00945992">
        <w:rPr>
          <w:color w:val="000000" w:themeColor="text1"/>
        </w:rPr>
        <w:t xml:space="preserve"> M., 2020, Effect of the thermal storage dimensions on the performances of solar photovoltaic-thermal systems, Renewable Energy, 162, 2004–2018.</w:t>
      </w:r>
    </w:p>
    <w:p w14:paraId="5C6E60D0" w14:textId="6B9DC4B0" w:rsidR="00BC4B08" w:rsidRPr="00945992" w:rsidRDefault="00BC4B08" w:rsidP="00BC4B08">
      <w:pPr>
        <w:pStyle w:val="CETBodytext"/>
        <w:ind w:left="284" w:hanging="284"/>
        <w:rPr>
          <w:color w:val="000000" w:themeColor="text1"/>
        </w:rPr>
      </w:pPr>
      <w:proofErr w:type="spellStart"/>
      <w:r w:rsidRPr="00945992">
        <w:rPr>
          <w:color w:val="000000" w:themeColor="text1"/>
        </w:rPr>
        <w:t>Cirrincione</w:t>
      </w:r>
      <w:proofErr w:type="spellEnd"/>
      <w:r w:rsidRPr="00945992">
        <w:rPr>
          <w:color w:val="000000" w:themeColor="text1"/>
        </w:rPr>
        <w:t xml:space="preserve"> L., La </w:t>
      </w:r>
      <w:proofErr w:type="spellStart"/>
      <w:r w:rsidRPr="00945992">
        <w:rPr>
          <w:color w:val="000000" w:themeColor="text1"/>
        </w:rPr>
        <w:t>Gennusa</w:t>
      </w:r>
      <w:proofErr w:type="spellEnd"/>
      <w:r w:rsidRPr="00945992">
        <w:rPr>
          <w:color w:val="000000" w:themeColor="text1"/>
        </w:rPr>
        <w:t xml:space="preserve"> M., Peri G., Rizzo G., </w:t>
      </w:r>
      <w:proofErr w:type="spellStart"/>
      <w:r w:rsidRPr="00945992">
        <w:rPr>
          <w:color w:val="000000" w:themeColor="text1"/>
        </w:rPr>
        <w:t>Scaccianoce</w:t>
      </w:r>
      <w:proofErr w:type="spellEnd"/>
      <w:r w:rsidRPr="00945992">
        <w:rPr>
          <w:color w:val="000000" w:themeColor="text1"/>
        </w:rPr>
        <w:t xml:space="preserve"> G.,2022, Foster carbon-neutrality in the built environment: A Blockchain-based approach for the energy interaction among buildings, Proceedings in 2022 Workshop on Blockchain for Renewables Integration (BLORIN), IEEE, 167–171.</w:t>
      </w:r>
    </w:p>
    <w:p w14:paraId="1184FE48" w14:textId="14B7D61D" w:rsidR="00BC4B08" w:rsidRPr="00945992" w:rsidRDefault="00BC4B08" w:rsidP="00BC4B08">
      <w:pPr>
        <w:pStyle w:val="CETBodytext"/>
        <w:ind w:left="284" w:hanging="284"/>
        <w:rPr>
          <w:color w:val="000000" w:themeColor="text1"/>
        </w:rPr>
      </w:pPr>
      <w:proofErr w:type="spellStart"/>
      <w:r w:rsidRPr="00945992">
        <w:rPr>
          <w:color w:val="000000" w:themeColor="text1"/>
        </w:rPr>
        <w:t>Cirrincione</w:t>
      </w:r>
      <w:proofErr w:type="spellEnd"/>
      <w:r w:rsidRPr="00945992">
        <w:rPr>
          <w:color w:val="000000" w:themeColor="text1"/>
        </w:rPr>
        <w:t xml:space="preserve"> L., </w:t>
      </w:r>
      <w:proofErr w:type="spellStart"/>
      <w:r w:rsidRPr="00945992">
        <w:rPr>
          <w:color w:val="000000" w:themeColor="text1"/>
        </w:rPr>
        <w:t>Gennusa</w:t>
      </w:r>
      <w:proofErr w:type="spellEnd"/>
      <w:r w:rsidRPr="00945992">
        <w:rPr>
          <w:color w:val="000000" w:themeColor="text1"/>
        </w:rPr>
        <w:t xml:space="preserve"> M.L., Peri G., </w:t>
      </w:r>
      <w:proofErr w:type="spellStart"/>
      <w:r w:rsidRPr="00945992">
        <w:rPr>
          <w:color w:val="000000" w:themeColor="text1"/>
        </w:rPr>
        <w:t>Scaccianoce</w:t>
      </w:r>
      <w:proofErr w:type="spellEnd"/>
      <w:r w:rsidRPr="00945992">
        <w:rPr>
          <w:color w:val="000000" w:themeColor="text1"/>
        </w:rPr>
        <w:t xml:space="preserve"> G., </w:t>
      </w:r>
      <w:proofErr w:type="spellStart"/>
      <w:r w:rsidRPr="00945992">
        <w:rPr>
          <w:color w:val="000000" w:themeColor="text1"/>
        </w:rPr>
        <w:t>Camarda</w:t>
      </w:r>
      <w:proofErr w:type="spellEnd"/>
      <w:r w:rsidRPr="00945992">
        <w:rPr>
          <w:color w:val="000000" w:themeColor="text1"/>
        </w:rPr>
        <w:t xml:space="preserve"> M.C., 2023, Towards the energy optimization and decarbonization of urban settings: Proposal of a strategy at </w:t>
      </w:r>
      <w:proofErr w:type="spellStart"/>
      <w:r w:rsidRPr="00945992">
        <w:rPr>
          <w:color w:val="000000" w:themeColor="text1"/>
        </w:rPr>
        <w:t>Neighbourhood</w:t>
      </w:r>
      <w:proofErr w:type="spellEnd"/>
      <w:r w:rsidRPr="00945992">
        <w:rPr>
          <w:color w:val="000000" w:themeColor="text1"/>
        </w:rPr>
        <w:t xml:space="preserve"> Level to Foster Nearly Zero and Positive Energy Districts, Proceedings in 2023 IEEE International Conference on Environment and Electrical Engineering.</w:t>
      </w:r>
    </w:p>
    <w:p w14:paraId="7EDC8285" w14:textId="1559E12D" w:rsidR="008265ED" w:rsidRPr="00945992" w:rsidRDefault="008265ED" w:rsidP="009D44B4">
      <w:pPr>
        <w:pStyle w:val="CETBodytext"/>
        <w:ind w:left="284" w:hanging="284"/>
        <w:rPr>
          <w:color w:val="000000" w:themeColor="text1"/>
        </w:rPr>
      </w:pPr>
      <w:r w:rsidRPr="00945992">
        <w:rPr>
          <w:color w:val="000000" w:themeColor="text1"/>
        </w:rPr>
        <w:t xml:space="preserve">Du J., Wang W., Lou T., Zhou H., </w:t>
      </w:r>
      <w:r w:rsidR="008A26DE" w:rsidRPr="00945992">
        <w:rPr>
          <w:color w:val="000000" w:themeColor="text1"/>
        </w:rPr>
        <w:t xml:space="preserve">2023, </w:t>
      </w:r>
      <w:r w:rsidRPr="00945992">
        <w:rPr>
          <w:color w:val="000000" w:themeColor="text1"/>
        </w:rPr>
        <w:t>Resilience and sustainability-informed probabilistic multi-criteria decision-making framework for design solutions selection, Journal of Building Engineering, 71, 106421.</w:t>
      </w:r>
    </w:p>
    <w:p w14:paraId="4BA583F2" w14:textId="35E8567C" w:rsidR="008265ED" w:rsidRPr="00945992" w:rsidRDefault="008265ED" w:rsidP="009D44B4">
      <w:pPr>
        <w:pStyle w:val="CETBodytext"/>
        <w:ind w:left="284" w:hanging="284"/>
        <w:rPr>
          <w:color w:val="000000" w:themeColor="text1"/>
        </w:rPr>
      </w:pPr>
      <w:r w:rsidRPr="00945992">
        <w:rPr>
          <w:color w:val="000000" w:themeColor="text1"/>
        </w:rPr>
        <w:t>European Commission</w:t>
      </w:r>
      <w:r w:rsidR="003540DB" w:rsidRPr="00945992">
        <w:rPr>
          <w:color w:val="000000" w:themeColor="text1"/>
        </w:rPr>
        <w:t xml:space="preserve">, </w:t>
      </w:r>
      <w:r w:rsidRPr="00945992">
        <w:rPr>
          <w:color w:val="000000" w:themeColor="text1"/>
        </w:rPr>
        <w:t>2010</w:t>
      </w:r>
      <w:r w:rsidR="003540DB" w:rsidRPr="00945992">
        <w:rPr>
          <w:color w:val="000000" w:themeColor="text1"/>
        </w:rPr>
        <w:t>,</w:t>
      </w:r>
      <w:r w:rsidRPr="00945992">
        <w:rPr>
          <w:color w:val="000000" w:themeColor="text1"/>
        </w:rPr>
        <w:t xml:space="preserve"> Directive 2010/31/EU of the European Parliament and of the Council of 19 May 2010 on the Energy Performance of Buildings (recast) 18.6. </w:t>
      </w:r>
      <w:r w:rsidR="003540DB" w:rsidRPr="00945992">
        <w:rPr>
          <w:color w:val="000000" w:themeColor="text1"/>
        </w:rPr>
        <w:t>Official Journal of the European Union,</w:t>
      </w:r>
      <w:r w:rsidRPr="00945992">
        <w:rPr>
          <w:color w:val="000000" w:themeColor="text1"/>
        </w:rPr>
        <w:t xml:space="preserve"> 153/13.</w:t>
      </w:r>
    </w:p>
    <w:p w14:paraId="35398A6A" w14:textId="3B6F9737" w:rsidR="008265ED" w:rsidRPr="00945992" w:rsidRDefault="008265ED" w:rsidP="009D44B4">
      <w:pPr>
        <w:pStyle w:val="CETBodytext"/>
        <w:ind w:left="284" w:hanging="284"/>
        <w:rPr>
          <w:color w:val="000000" w:themeColor="text1"/>
        </w:rPr>
      </w:pPr>
      <w:r w:rsidRPr="00945992">
        <w:rPr>
          <w:color w:val="000000" w:themeColor="text1"/>
        </w:rPr>
        <w:t>European Commission</w:t>
      </w:r>
      <w:r w:rsidR="003540DB" w:rsidRPr="00945992">
        <w:rPr>
          <w:color w:val="000000" w:themeColor="text1"/>
        </w:rPr>
        <w:t xml:space="preserve">, </w:t>
      </w:r>
      <w:r w:rsidRPr="00945992">
        <w:rPr>
          <w:color w:val="000000" w:themeColor="text1"/>
        </w:rPr>
        <w:t>2014</w:t>
      </w:r>
      <w:r w:rsidR="003540DB" w:rsidRPr="00945992">
        <w:rPr>
          <w:color w:val="000000" w:themeColor="text1"/>
        </w:rPr>
        <w:t>,</w:t>
      </w:r>
      <w:r w:rsidRPr="00945992">
        <w:rPr>
          <w:color w:val="000000" w:themeColor="text1"/>
        </w:rPr>
        <w:t xml:space="preserve"> A Policy Framework for Climate and Energy in the Period from 2020 to 2030 </w:t>
      </w:r>
      <w:proofErr w:type="gramStart"/>
      <w:r w:rsidRPr="00945992">
        <w:rPr>
          <w:color w:val="000000" w:themeColor="text1"/>
        </w:rPr>
        <w:t>COM(</w:t>
      </w:r>
      <w:proofErr w:type="gramEnd"/>
      <w:r w:rsidRPr="00945992">
        <w:rPr>
          <w:color w:val="000000" w:themeColor="text1"/>
        </w:rPr>
        <w:t xml:space="preserve">2014) 15 final. </w:t>
      </w:r>
    </w:p>
    <w:p w14:paraId="270B6E56" w14:textId="1368ED98" w:rsidR="008265ED" w:rsidRPr="00945992" w:rsidRDefault="008265ED" w:rsidP="009D44B4">
      <w:pPr>
        <w:pStyle w:val="CETBodytext"/>
        <w:ind w:left="284" w:hanging="284"/>
        <w:rPr>
          <w:color w:val="000000" w:themeColor="text1"/>
        </w:rPr>
      </w:pPr>
      <w:r w:rsidRPr="00945992">
        <w:rPr>
          <w:color w:val="000000" w:themeColor="text1"/>
        </w:rPr>
        <w:t>European Commission</w:t>
      </w:r>
      <w:r w:rsidR="003540DB" w:rsidRPr="00945992">
        <w:rPr>
          <w:color w:val="000000" w:themeColor="text1"/>
        </w:rPr>
        <w:t>,</w:t>
      </w:r>
      <w:r w:rsidRPr="00945992">
        <w:rPr>
          <w:color w:val="000000" w:themeColor="text1"/>
        </w:rPr>
        <w:t xml:space="preserve"> 2018</w:t>
      </w:r>
      <w:r w:rsidR="003540DB" w:rsidRPr="00945992">
        <w:rPr>
          <w:color w:val="000000" w:themeColor="text1"/>
        </w:rPr>
        <w:t>,</w:t>
      </w:r>
      <w:r w:rsidRPr="00945992">
        <w:rPr>
          <w:color w:val="000000" w:themeColor="text1"/>
        </w:rPr>
        <w:t xml:space="preserve"> A Clean Planet for all. A European strategic long-term vision for a prosperous, modern, competitive and climate neutral economy </w:t>
      </w:r>
      <w:proofErr w:type="gramStart"/>
      <w:r w:rsidRPr="00945992">
        <w:rPr>
          <w:color w:val="000000" w:themeColor="text1"/>
        </w:rPr>
        <w:t>COM(</w:t>
      </w:r>
      <w:proofErr w:type="gramEnd"/>
      <w:r w:rsidRPr="00945992">
        <w:rPr>
          <w:color w:val="000000" w:themeColor="text1"/>
        </w:rPr>
        <w:t>2018) 773 final.</w:t>
      </w:r>
    </w:p>
    <w:p w14:paraId="5DA3F898" w14:textId="13D46BB0" w:rsidR="008265ED" w:rsidRPr="00945992" w:rsidRDefault="008265ED" w:rsidP="009D44B4">
      <w:pPr>
        <w:pStyle w:val="CETBodytext"/>
        <w:ind w:left="284" w:hanging="284"/>
        <w:rPr>
          <w:color w:val="000000" w:themeColor="text1"/>
        </w:rPr>
      </w:pPr>
      <w:r w:rsidRPr="00945992">
        <w:rPr>
          <w:color w:val="000000" w:themeColor="text1"/>
        </w:rPr>
        <w:t>European Commission</w:t>
      </w:r>
      <w:r w:rsidR="003540DB" w:rsidRPr="00945992">
        <w:rPr>
          <w:color w:val="000000" w:themeColor="text1"/>
        </w:rPr>
        <w:t>,</w:t>
      </w:r>
      <w:r w:rsidRPr="00945992">
        <w:rPr>
          <w:color w:val="000000" w:themeColor="text1"/>
        </w:rPr>
        <w:t xml:space="preserve"> 2019</w:t>
      </w:r>
      <w:r w:rsidR="003540DB" w:rsidRPr="00945992">
        <w:rPr>
          <w:color w:val="000000" w:themeColor="text1"/>
        </w:rPr>
        <w:t>,</w:t>
      </w:r>
      <w:r w:rsidRPr="00945992">
        <w:rPr>
          <w:color w:val="000000" w:themeColor="text1"/>
        </w:rPr>
        <w:t xml:space="preserve"> The European Green Deal </w:t>
      </w:r>
      <w:r w:rsidR="0070145E" w:rsidRPr="00945992">
        <w:rPr>
          <w:color w:val="000000" w:themeColor="text1"/>
        </w:rPr>
        <w:t>&lt;</w:t>
      </w:r>
      <w:r w:rsidRPr="00945992">
        <w:rPr>
          <w:color w:val="000000" w:themeColor="text1"/>
        </w:rPr>
        <w:t>ec.europa.eu/info/strategy/priorities-2019-2024/european-green-deal_en</w:t>
      </w:r>
      <w:r w:rsidR="0070145E" w:rsidRPr="00945992">
        <w:rPr>
          <w:color w:val="000000" w:themeColor="text1"/>
        </w:rPr>
        <w:t>&gt; accessed 06.03.2024.</w:t>
      </w:r>
    </w:p>
    <w:p w14:paraId="3584ADC1" w14:textId="2C520184" w:rsidR="008265ED" w:rsidRPr="00945992" w:rsidRDefault="008265ED" w:rsidP="009D44B4">
      <w:pPr>
        <w:pStyle w:val="CETBodytext"/>
        <w:ind w:left="284" w:hanging="284"/>
        <w:rPr>
          <w:color w:val="000000" w:themeColor="text1"/>
        </w:rPr>
      </w:pPr>
      <w:r w:rsidRPr="00945992">
        <w:rPr>
          <w:color w:val="000000" w:themeColor="text1"/>
        </w:rPr>
        <w:t>European Commission</w:t>
      </w:r>
      <w:r w:rsidR="003540DB" w:rsidRPr="00945992">
        <w:rPr>
          <w:color w:val="000000" w:themeColor="text1"/>
        </w:rPr>
        <w:t>,</w:t>
      </w:r>
      <w:r w:rsidRPr="00945992">
        <w:rPr>
          <w:color w:val="000000" w:themeColor="text1"/>
        </w:rPr>
        <w:t xml:space="preserve"> 2020</w:t>
      </w:r>
      <w:r w:rsidR="003540DB" w:rsidRPr="00945992">
        <w:rPr>
          <w:color w:val="000000" w:themeColor="text1"/>
        </w:rPr>
        <w:t>,</w:t>
      </w:r>
      <w:r w:rsidRPr="00945992">
        <w:rPr>
          <w:color w:val="000000" w:themeColor="text1"/>
        </w:rPr>
        <w:t xml:space="preserve"> Recovery plan for Europe </w:t>
      </w:r>
      <w:r w:rsidR="0070145E" w:rsidRPr="00945992">
        <w:rPr>
          <w:color w:val="000000" w:themeColor="text1"/>
        </w:rPr>
        <w:t>&lt;</w:t>
      </w:r>
      <w:r w:rsidRPr="00945992">
        <w:rPr>
          <w:color w:val="000000" w:themeColor="text1"/>
        </w:rPr>
        <w:t>commission.europa.eu/strategy-and-policy/recovery-plan-europe_en#nextgenerationeu</w:t>
      </w:r>
      <w:r w:rsidR="0070145E" w:rsidRPr="00945992">
        <w:rPr>
          <w:color w:val="000000" w:themeColor="text1"/>
        </w:rPr>
        <w:t>&gt; accessed 06.03.2024.</w:t>
      </w:r>
    </w:p>
    <w:p w14:paraId="25EAA25E" w14:textId="5EA9F47A" w:rsidR="001D197E" w:rsidRPr="00945992" w:rsidRDefault="001D197E" w:rsidP="009D44B4">
      <w:pPr>
        <w:pStyle w:val="CETBodytext"/>
        <w:ind w:left="284" w:hanging="284"/>
        <w:rPr>
          <w:color w:val="000000" w:themeColor="text1"/>
        </w:rPr>
      </w:pPr>
      <w:proofErr w:type="spellStart"/>
      <w:r w:rsidRPr="00945992">
        <w:rPr>
          <w:color w:val="000000" w:themeColor="text1"/>
        </w:rPr>
        <w:lastRenderedPageBreak/>
        <w:t>EnergyPlus</w:t>
      </w:r>
      <w:proofErr w:type="spellEnd"/>
      <w:r w:rsidRPr="00945992">
        <w:rPr>
          <w:color w:val="000000" w:themeColor="text1"/>
        </w:rPr>
        <w:t>, available at: https://energyplus.net (accessed on 15 April 2025)</w:t>
      </w:r>
      <w:r w:rsidR="00432F0B" w:rsidRPr="00945992">
        <w:rPr>
          <w:color w:val="000000" w:themeColor="text1"/>
        </w:rPr>
        <w:t>.</w:t>
      </w:r>
    </w:p>
    <w:p w14:paraId="379896E0" w14:textId="6EBCE42C" w:rsidR="008265ED" w:rsidRPr="00945992" w:rsidRDefault="008265ED" w:rsidP="009D44B4">
      <w:pPr>
        <w:pStyle w:val="CETBodytext"/>
        <w:ind w:left="284" w:hanging="284"/>
        <w:rPr>
          <w:color w:val="000000" w:themeColor="text1"/>
        </w:rPr>
      </w:pPr>
      <w:r w:rsidRPr="00945992">
        <w:rPr>
          <w:color w:val="000000" w:themeColor="text1"/>
        </w:rPr>
        <w:t xml:space="preserve">González-Prieto D., Fernández-Nava Y., </w:t>
      </w:r>
      <w:proofErr w:type="spellStart"/>
      <w:r w:rsidRPr="00945992">
        <w:rPr>
          <w:color w:val="000000" w:themeColor="text1"/>
        </w:rPr>
        <w:t>Megido</w:t>
      </w:r>
      <w:proofErr w:type="spellEnd"/>
      <w:r w:rsidRPr="00945992">
        <w:rPr>
          <w:color w:val="000000" w:themeColor="text1"/>
        </w:rPr>
        <w:t xml:space="preserve"> L., Prieto M.M., 2023</w:t>
      </w:r>
      <w:r w:rsidR="0070145E" w:rsidRPr="00945992">
        <w:rPr>
          <w:color w:val="000000" w:themeColor="text1"/>
        </w:rPr>
        <w:t>,</w:t>
      </w:r>
      <w:r w:rsidRPr="00945992">
        <w:rPr>
          <w:color w:val="000000" w:themeColor="text1"/>
        </w:rPr>
        <w:t xml:space="preserve"> Economic and environmental </w:t>
      </w:r>
      <w:proofErr w:type="spellStart"/>
      <w:r w:rsidRPr="00945992">
        <w:rPr>
          <w:color w:val="000000" w:themeColor="text1"/>
        </w:rPr>
        <w:t>prioritisation</w:t>
      </w:r>
      <w:proofErr w:type="spellEnd"/>
      <w:r w:rsidRPr="00945992">
        <w:rPr>
          <w:color w:val="000000" w:themeColor="text1"/>
        </w:rPr>
        <w:t xml:space="preserve"> of potential retrofitting interventions in electricity </w:t>
      </w:r>
      <w:proofErr w:type="spellStart"/>
      <w:r w:rsidRPr="00945992">
        <w:rPr>
          <w:color w:val="000000" w:themeColor="text1"/>
        </w:rPr>
        <w:t>decarbonisation</w:t>
      </w:r>
      <w:proofErr w:type="spellEnd"/>
      <w:r w:rsidRPr="00945992">
        <w:rPr>
          <w:color w:val="000000" w:themeColor="text1"/>
        </w:rPr>
        <w:t xml:space="preserve"> scenarios: Application to a heritage building used as offices, Journal of Building Engineering, 72, 106561.</w:t>
      </w:r>
    </w:p>
    <w:p w14:paraId="0423A121" w14:textId="33E0B166" w:rsidR="008265ED" w:rsidRPr="00945992" w:rsidRDefault="008265ED" w:rsidP="009D44B4">
      <w:pPr>
        <w:pStyle w:val="CETBodytext"/>
        <w:ind w:left="284" w:hanging="284"/>
        <w:rPr>
          <w:color w:val="000000" w:themeColor="text1"/>
        </w:rPr>
      </w:pPr>
      <w:r w:rsidRPr="00945992">
        <w:rPr>
          <w:color w:val="000000" w:themeColor="text1"/>
        </w:rPr>
        <w:t>International Energy Agency</w:t>
      </w:r>
      <w:r w:rsidR="0070145E" w:rsidRPr="00945992">
        <w:rPr>
          <w:color w:val="000000" w:themeColor="text1"/>
        </w:rPr>
        <w:t xml:space="preserve">, </w:t>
      </w:r>
      <w:r w:rsidRPr="00945992">
        <w:rPr>
          <w:color w:val="000000" w:themeColor="text1"/>
        </w:rPr>
        <w:t>2019</w:t>
      </w:r>
      <w:r w:rsidR="0070145E" w:rsidRPr="00945992">
        <w:rPr>
          <w:color w:val="000000" w:themeColor="text1"/>
        </w:rPr>
        <w:t>,</w:t>
      </w:r>
      <w:r w:rsidRPr="00945992">
        <w:rPr>
          <w:color w:val="000000" w:themeColor="text1"/>
        </w:rPr>
        <w:t xml:space="preserve"> Global Status Report for Buildings and Construction</w:t>
      </w:r>
      <w:r w:rsidR="00945992" w:rsidRPr="00945992">
        <w:rPr>
          <w:color w:val="000000" w:themeColor="text1"/>
        </w:rPr>
        <w:t>–</w:t>
      </w:r>
      <w:r w:rsidRPr="00945992">
        <w:rPr>
          <w:color w:val="000000" w:themeColor="text1"/>
        </w:rPr>
        <w:t>Towards a Zero-Emission, Efficient and Resilient Buildings and Construction Sector</w:t>
      </w:r>
      <w:r w:rsidR="00945992" w:rsidRPr="00945992">
        <w:rPr>
          <w:color w:val="000000" w:themeColor="text1"/>
        </w:rPr>
        <w:t>–</w:t>
      </w:r>
      <w:r w:rsidRPr="00945992">
        <w:rPr>
          <w:color w:val="000000" w:themeColor="text1"/>
        </w:rPr>
        <w:t xml:space="preserve">UN Environment </w:t>
      </w:r>
      <w:proofErr w:type="spellStart"/>
      <w:r w:rsidRPr="00945992">
        <w:rPr>
          <w:color w:val="000000" w:themeColor="text1"/>
        </w:rPr>
        <w:t>Programme</w:t>
      </w:r>
      <w:proofErr w:type="spellEnd"/>
      <w:r w:rsidRPr="00945992">
        <w:rPr>
          <w:color w:val="000000" w:themeColor="text1"/>
        </w:rPr>
        <w:t>; International Energy Agency (IEA), 2019. ISBN No: 978-92-807-3768-4.</w:t>
      </w:r>
    </w:p>
    <w:p w14:paraId="3643AF88" w14:textId="6BF62A0A" w:rsidR="00C807E5" w:rsidRPr="00945992" w:rsidRDefault="00C807E5" w:rsidP="00C807E5">
      <w:pPr>
        <w:pStyle w:val="CETBodytext"/>
        <w:ind w:left="284" w:hanging="284"/>
        <w:rPr>
          <w:color w:val="000000" w:themeColor="text1"/>
        </w:rPr>
      </w:pPr>
      <w:r w:rsidRPr="00945992">
        <w:rPr>
          <w:color w:val="000000" w:themeColor="text1"/>
        </w:rPr>
        <w:t>International Organization for Standardization (ISO), 20</w:t>
      </w:r>
      <w:r w:rsidR="00431FB0" w:rsidRPr="00945992">
        <w:rPr>
          <w:color w:val="000000" w:themeColor="text1"/>
        </w:rPr>
        <w:t>05</w:t>
      </w:r>
      <w:r w:rsidRPr="00945992">
        <w:rPr>
          <w:color w:val="000000" w:themeColor="text1"/>
        </w:rPr>
        <w:t xml:space="preserve">, EN ISO </w:t>
      </w:r>
      <w:r w:rsidR="00431FB0" w:rsidRPr="00945992">
        <w:rPr>
          <w:color w:val="000000" w:themeColor="text1"/>
        </w:rPr>
        <w:t>7730</w:t>
      </w:r>
      <w:r w:rsidRPr="00945992">
        <w:rPr>
          <w:color w:val="000000" w:themeColor="text1"/>
        </w:rPr>
        <w:t xml:space="preserve"> -</w:t>
      </w:r>
      <w:r w:rsidR="00431FB0" w:rsidRPr="00945992">
        <w:rPr>
          <w:color w:val="000000" w:themeColor="text1"/>
        </w:rPr>
        <w:t xml:space="preserve"> Ergonomics of the thermal environment — Analytical determination and interpretation of thermal comfort using calculation of the PMV and PPD indices and local thermal comfort criteria</w:t>
      </w:r>
      <w:r w:rsidRPr="00945992">
        <w:rPr>
          <w:color w:val="000000" w:themeColor="text1"/>
        </w:rPr>
        <w:t>, available at: https://www.iso.org/ (accessed on 15 April 2025).</w:t>
      </w:r>
    </w:p>
    <w:p w14:paraId="7A6DC1A0" w14:textId="3CC03F28" w:rsidR="00432F0B" w:rsidRPr="00945992" w:rsidRDefault="00432F0B" w:rsidP="009D44B4">
      <w:pPr>
        <w:pStyle w:val="CETBodytext"/>
        <w:ind w:left="284" w:hanging="284"/>
        <w:rPr>
          <w:color w:val="000000" w:themeColor="text1"/>
        </w:rPr>
      </w:pPr>
      <w:r w:rsidRPr="00945992">
        <w:rPr>
          <w:color w:val="000000" w:themeColor="text1"/>
        </w:rPr>
        <w:t>International Organization for Standardization (ISO), 2017, EN ISO 52016-1 -Energy performance of buildings - Energy needs for heating and cooling, internal temperatures and sensible and latent heat loads - Part 1: Calculation procedures, available at: https://www.iso.org/ (accessed on 15 April 2025).</w:t>
      </w:r>
    </w:p>
    <w:p w14:paraId="423A3EBD" w14:textId="43215080" w:rsidR="001D197E" w:rsidRPr="00945992" w:rsidRDefault="001D197E" w:rsidP="001D197E">
      <w:pPr>
        <w:pStyle w:val="CETBodytext"/>
        <w:ind w:left="284" w:hanging="284"/>
        <w:rPr>
          <w:color w:val="000000" w:themeColor="text1"/>
        </w:rPr>
      </w:pPr>
      <w:proofErr w:type="spellStart"/>
      <w:r w:rsidRPr="00945992">
        <w:rPr>
          <w:color w:val="000000" w:themeColor="text1"/>
        </w:rPr>
        <w:t>Kottek</w:t>
      </w:r>
      <w:proofErr w:type="spellEnd"/>
      <w:r w:rsidRPr="00945992">
        <w:rPr>
          <w:color w:val="000000" w:themeColor="text1"/>
        </w:rPr>
        <w:t xml:space="preserve"> M., </w:t>
      </w:r>
      <w:proofErr w:type="spellStart"/>
      <w:r w:rsidRPr="00945992">
        <w:rPr>
          <w:color w:val="000000" w:themeColor="text1"/>
        </w:rPr>
        <w:t>Grieser</w:t>
      </w:r>
      <w:proofErr w:type="spellEnd"/>
      <w:r w:rsidRPr="00945992">
        <w:rPr>
          <w:color w:val="000000" w:themeColor="text1"/>
        </w:rPr>
        <w:t xml:space="preserve"> J., Beck C., Rudolf B., Rubel F., 2006, World Map of the </w:t>
      </w:r>
      <w:proofErr w:type="spellStart"/>
      <w:r w:rsidRPr="00945992">
        <w:rPr>
          <w:color w:val="000000" w:themeColor="text1"/>
        </w:rPr>
        <w:t>Koppen</w:t>
      </w:r>
      <w:proofErr w:type="spellEnd"/>
      <w:r w:rsidRPr="00945992">
        <w:rPr>
          <w:color w:val="000000" w:themeColor="text1"/>
        </w:rPr>
        <w:t xml:space="preserve">-Geiger climate classification updated, </w:t>
      </w:r>
      <w:proofErr w:type="spellStart"/>
      <w:r w:rsidRPr="00945992">
        <w:rPr>
          <w:color w:val="000000" w:themeColor="text1"/>
        </w:rPr>
        <w:t>Meteorol</w:t>
      </w:r>
      <w:proofErr w:type="spellEnd"/>
      <w:r w:rsidRPr="00945992">
        <w:rPr>
          <w:color w:val="000000" w:themeColor="text1"/>
        </w:rPr>
        <w:t>. Z. 15 (2006) 259–263 (https://doi.org/10.1127/0941-2948/2006/0130).</w:t>
      </w:r>
    </w:p>
    <w:p w14:paraId="04ED4A64" w14:textId="3BFBB422" w:rsidR="00BC4B08" w:rsidRPr="00945992" w:rsidRDefault="00BC4B08" w:rsidP="00BC4B08">
      <w:pPr>
        <w:pStyle w:val="CETBodytext"/>
        <w:ind w:left="284" w:hanging="284"/>
        <w:rPr>
          <w:color w:val="000000" w:themeColor="text1"/>
        </w:rPr>
      </w:pPr>
      <w:r w:rsidRPr="00945992">
        <w:rPr>
          <w:color w:val="000000" w:themeColor="text1"/>
        </w:rPr>
        <w:t xml:space="preserve">Liu Q., </w:t>
      </w:r>
      <w:proofErr w:type="spellStart"/>
      <w:r w:rsidRPr="00945992">
        <w:rPr>
          <w:color w:val="000000" w:themeColor="text1"/>
        </w:rPr>
        <w:t>Lv</w:t>
      </w:r>
      <w:proofErr w:type="spellEnd"/>
      <w:r w:rsidRPr="00945992">
        <w:rPr>
          <w:color w:val="000000" w:themeColor="text1"/>
        </w:rPr>
        <w:t xml:space="preserve"> C., Wen M., Wang Y., 2025, Research on the heat transfer performance of a ground heat exchanger under the synergistic effect of nanofluid and phase change material, Energy Conversion and Management, 326, 119490.</w:t>
      </w:r>
    </w:p>
    <w:p w14:paraId="2BAAAEE2" w14:textId="7626BD5A" w:rsidR="006B16B7" w:rsidRPr="00945992" w:rsidRDefault="006B16B7" w:rsidP="006B16B7">
      <w:pPr>
        <w:pStyle w:val="CETBodytext"/>
        <w:ind w:left="284" w:hanging="284"/>
        <w:rPr>
          <w:color w:val="000000" w:themeColor="text1"/>
        </w:rPr>
      </w:pPr>
      <w:r w:rsidRPr="00945992">
        <w:rPr>
          <w:color w:val="000000" w:themeColor="text1"/>
        </w:rPr>
        <w:t>Liu X., Shen C., Wang J.</w:t>
      </w:r>
      <w:r w:rsidR="00BC4B08" w:rsidRPr="00945992">
        <w:rPr>
          <w:color w:val="000000" w:themeColor="text1"/>
        </w:rPr>
        <w:t xml:space="preserve">, </w:t>
      </w:r>
      <w:r w:rsidRPr="00945992">
        <w:rPr>
          <w:color w:val="000000" w:themeColor="text1"/>
        </w:rPr>
        <w:t>2022</w:t>
      </w:r>
      <w:r w:rsidR="00BC4B08" w:rsidRPr="00945992">
        <w:rPr>
          <w:color w:val="000000" w:themeColor="text1"/>
        </w:rPr>
        <w:t>,</w:t>
      </w:r>
      <w:r w:rsidRPr="00945992">
        <w:rPr>
          <w:color w:val="000000" w:themeColor="text1"/>
        </w:rPr>
        <w:t xml:space="preserve"> Investigation on the lighting/heating performance of tubular daylighting devices (TDDs) based on nanofluids</w:t>
      </w:r>
      <w:r w:rsidR="00BC4B08" w:rsidRPr="00945992">
        <w:rPr>
          <w:color w:val="000000" w:themeColor="text1"/>
        </w:rPr>
        <w:t xml:space="preserve">, </w:t>
      </w:r>
      <w:r w:rsidRPr="00945992">
        <w:rPr>
          <w:color w:val="000000" w:themeColor="text1"/>
        </w:rPr>
        <w:t>Energy and Buildings, 263, 112028.</w:t>
      </w:r>
    </w:p>
    <w:p w14:paraId="6CAF5B35" w14:textId="77777777" w:rsidR="00BC4B08" w:rsidRPr="00945992" w:rsidRDefault="00BC4B08" w:rsidP="00BC4B08">
      <w:pPr>
        <w:pStyle w:val="CETBodytext"/>
        <w:ind w:left="284" w:hanging="284"/>
        <w:rPr>
          <w:color w:val="000000" w:themeColor="text1"/>
        </w:rPr>
      </w:pPr>
      <w:r w:rsidRPr="00945992">
        <w:rPr>
          <w:color w:val="000000" w:themeColor="text1"/>
        </w:rPr>
        <w:t xml:space="preserve">MIMIT, 2021, Italian Ministry of Enterprises and Made in Italy, PNRR - Piano Nazionale di </w:t>
      </w:r>
      <w:proofErr w:type="spellStart"/>
      <w:r w:rsidRPr="00945992">
        <w:rPr>
          <w:color w:val="000000" w:themeColor="text1"/>
        </w:rPr>
        <w:t>Ripresa</w:t>
      </w:r>
      <w:proofErr w:type="spellEnd"/>
      <w:r w:rsidRPr="00945992">
        <w:rPr>
          <w:color w:val="000000" w:themeColor="text1"/>
        </w:rPr>
        <w:t xml:space="preserve"> e </w:t>
      </w:r>
      <w:proofErr w:type="spellStart"/>
      <w:r w:rsidRPr="00945992">
        <w:rPr>
          <w:color w:val="000000" w:themeColor="text1"/>
        </w:rPr>
        <w:t>Resilienza</w:t>
      </w:r>
      <w:proofErr w:type="spellEnd"/>
      <w:r w:rsidRPr="00945992">
        <w:rPr>
          <w:color w:val="000000" w:themeColor="text1"/>
        </w:rPr>
        <w:t>, &lt;www.mimit.gov.it/it/pnrr/piano&gt; accessed: 06.03.2024.</w:t>
      </w:r>
    </w:p>
    <w:p w14:paraId="1FF8F801" w14:textId="2316C5A7" w:rsidR="00896645" w:rsidRPr="00945992" w:rsidRDefault="00896645" w:rsidP="00426187">
      <w:pPr>
        <w:pStyle w:val="CETBodytext"/>
        <w:ind w:left="284" w:hanging="284"/>
        <w:rPr>
          <w:color w:val="000000" w:themeColor="text1"/>
        </w:rPr>
      </w:pPr>
      <w:r w:rsidRPr="00945992">
        <w:rPr>
          <w:color w:val="000000" w:themeColor="text1"/>
        </w:rPr>
        <w:t xml:space="preserve">Okonkwo E.C., Wole-Osho I., </w:t>
      </w:r>
      <w:proofErr w:type="spellStart"/>
      <w:r w:rsidRPr="00945992">
        <w:rPr>
          <w:color w:val="000000" w:themeColor="text1"/>
        </w:rPr>
        <w:t>Almanassra</w:t>
      </w:r>
      <w:proofErr w:type="spellEnd"/>
      <w:r w:rsidRPr="00945992">
        <w:rPr>
          <w:color w:val="000000" w:themeColor="text1"/>
        </w:rPr>
        <w:t xml:space="preserve">, I.W. et al., 2021, An updated review of nanofluids in various heat transfer devices. J </w:t>
      </w:r>
      <w:proofErr w:type="spellStart"/>
      <w:r w:rsidRPr="00945992">
        <w:rPr>
          <w:color w:val="000000" w:themeColor="text1"/>
        </w:rPr>
        <w:t>Therm</w:t>
      </w:r>
      <w:proofErr w:type="spellEnd"/>
      <w:r w:rsidRPr="00945992">
        <w:rPr>
          <w:color w:val="000000" w:themeColor="text1"/>
        </w:rPr>
        <w:t xml:space="preserve"> Anal </w:t>
      </w:r>
      <w:proofErr w:type="spellStart"/>
      <w:r w:rsidRPr="00945992">
        <w:rPr>
          <w:color w:val="000000" w:themeColor="text1"/>
        </w:rPr>
        <w:t>Calorim</w:t>
      </w:r>
      <w:proofErr w:type="spellEnd"/>
      <w:r w:rsidRPr="00945992">
        <w:rPr>
          <w:color w:val="000000" w:themeColor="text1"/>
        </w:rPr>
        <w:t xml:space="preserve"> 145, 2817–2872.</w:t>
      </w:r>
    </w:p>
    <w:p w14:paraId="7CA840BA" w14:textId="7F6410DB" w:rsidR="00BC4B08" w:rsidRPr="00945992" w:rsidRDefault="00BC4B08" w:rsidP="00BC4B08">
      <w:pPr>
        <w:pStyle w:val="CETBodytext"/>
        <w:ind w:left="284" w:hanging="284"/>
        <w:rPr>
          <w:color w:val="000000" w:themeColor="text1"/>
        </w:rPr>
      </w:pPr>
      <w:r w:rsidRPr="00945992">
        <w:rPr>
          <w:color w:val="000000" w:themeColor="text1"/>
        </w:rPr>
        <w:t xml:space="preserve">Peri G., </w:t>
      </w:r>
      <w:proofErr w:type="spellStart"/>
      <w:r w:rsidRPr="00945992">
        <w:rPr>
          <w:color w:val="000000" w:themeColor="text1"/>
        </w:rPr>
        <w:t>Cirrincione</w:t>
      </w:r>
      <w:proofErr w:type="spellEnd"/>
      <w:r w:rsidRPr="00945992">
        <w:rPr>
          <w:color w:val="000000" w:themeColor="text1"/>
        </w:rPr>
        <w:t xml:space="preserve"> L., </w:t>
      </w:r>
      <w:proofErr w:type="spellStart"/>
      <w:r w:rsidRPr="00945992">
        <w:rPr>
          <w:color w:val="000000" w:themeColor="text1"/>
        </w:rPr>
        <w:t>Mazzeo</w:t>
      </w:r>
      <w:proofErr w:type="spellEnd"/>
      <w:r w:rsidRPr="00945992">
        <w:rPr>
          <w:color w:val="000000" w:themeColor="text1"/>
        </w:rPr>
        <w:t xml:space="preserve"> D., Matera N., </w:t>
      </w:r>
      <w:proofErr w:type="spellStart"/>
      <w:r w:rsidRPr="00945992">
        <w:rPr>
          <w:color w:val="000000" w:themeColor="text1"/>
        </w:rPr>
        <w:t>Scaccianoce</w:t>
      </w:r>
      <w:proofErr w:type="spellEnd"/>
      <w:r w:rsidRPr="00945992">
        <w:rPr>
          <w:color w:val="000000" w:themeColor="text1"/>
        </w:rPr>
        <w:t xml:space="preserve"> G., 2024, Building resilience to a warming world: A contribution toward a definition of “Integrated Climate Resilience” specific for buildings - Literature review and proposals, Energy and Buildings, 315, 114319.</w:t>
      </w:r>
    </w:p>
    <w:p w14:paraId="32F2D6A7" w14:textId="77777777" w:rsidR="00BC4B08" w:rsidRPr="00945992" w:rsidRDefault="00BC4B08" w:rsidP="00BC4B08">
      <w:pPr>
        <w:pStyle w:val="CETBodytext"/>
        <w:ind w:left="284" w:hanging="284"/>
        <w:rPr>
          <w:color w:val="000000" w:themeColor="text1"/>
        </w:rPr>
      </w:pPr>
      <w:proofErr w:type="spellStart"/>
      <w:r w:rsidRPr="00945992">
        <w:rPr>
          <w:color w:val="000000" w:themeColor="text1"/>
        </w:rPr>
        <w:t>Saeedmanesh</w:t>
      </w:r>
      <w:proofErr w:type="spellEnd"/>
      <w:r w:rsidRPr="00945992">
        <w:rPr>
          <w:color w:val="000000" w:themeColor="text1"/>
        </w:rPr>
        <w:t xml:space="preserve"> A., Mac </w:t>
      </w:r>
      <w:proofErr w:type="spellStart"/>
      <w:r w:rsidRPr="00945992">
        <w:rPr>
          <w:color w:val="000000" w:themeColor="text1"/>
        </w:rPr>
        <w:t>Kinnon</w:t>
      </w:r>
      <w:proofErr w:type="spellEnd"/>
      <w:r w:rsidRPr="00945992">
        <w:rPr>
          <w:color w:val="000000" w:themeColor="text1"/>
        </w:rPr>
        <w:t xml:space="preserve"> M.A., Brouwer J., 2018, Hydrogen is essential for sustainability, Current Opinion in Electrochemistry, 12, 166–181.</w:t>
      </w:r>
    </w:p>
    <w:p w14:paraId="6A6C7F79" w14:textId="2D64A899" w:rsidR="00C60185" w:rsidRPr="00945992" w:rsidRDefault="00C60185" w:rsidP="00BC4B08">
      <w:pPr>
        <w:pStyle w:val="CETBodytext"/>
        <w:ind w:left="284" w:hanging="284"/>
        <w:rPr>
          <w:color w:val="000000" w:themeColor="text1"/>
        </w:rPr>
      </w:pPr>
      <w:r w:rsidRPr="00945992">
        <w:rPr>
          <w:color w:val="000000" w:themeColor="text1"/>
        </w:rPr>
        <w:t>Sajid M.U., Ali, H.M., 2019, Recent advances in application of nanofluids in heat transfer devices: a critical review, Renewable and Sustainable Energy Reviews, 103,</w:t>
      </w:r>
      <w:r w:rsidRPr="00945992">
        <w:rPr>
          <w:i/>
          <w:iCs/>
          <w:color w:val="000000" w:themeColor="text1"/>
        </w:rPr>
        <w:t xml:space="preserve"> </w:t>
      </w:r>
      <w:r w:rsidRPr="00945992">
        <w:rPr>
          <w:color w:val="000000" w:themeColor="text1"/>
        </w:rPr>
        <w:t>556–592</w:t>
      </w:r>
      <w:r w:rsidRPr="00945992">
        <w:rPr>
          <w:i/>
          <w:iCs/>
          <w:color w:val="000000" w:themeColor="text1"/>
        </w:rPr>
        <w:t>.</w:t>
      </w:r>
    </w:p>
    <w:p w14:paraId="2921A554" w14:textId="1E3E3596" w:rsidR="00BC4B08" w:rsidRPr="00945992" w:rsidRDefault="00BC4B08" w:rsidP="00BC4B08">
      <w:pPr>
        <w:pStyle w:val="CETBodytext"/>
        <w:ind w:left="284" w:hanging="284"/>
        <w:rPr>
          <w:color w:val="000000" w:themeColor="text1"/>
        </w:rPr>
      </w:pPr>
      <w:proofErr w:type="spellStart"/>
      <w:r w:rsidRPr="00945992">
        <w:rPr>
          <w:color w:val="000000" w:themeColor="text1"/>
        </w:rPr>
        <w:t>Sathishkumar</w:t>
      </w:r>
      <w:proofErr w:type="spellEnd"/>
      <w:r w:rsidRPr="00945992">
        <w:rPr>
          <w:color w:val="000000" w:themeColor="text1"/>
        </w:rPr>
        <w:t xml:space="preserve"> A., Sundaram P., Cheralathan M., Kumar P.G., 2024, Effect of nano-enhanced phase change materials on performance of cool thermal energy storage system: A review, Journal of Energy Storage, 78, 110079.</w:t>
      </w:r>
    </w:p>
    <w:p w14:paraId="5D0EE7C5" w14:textId="435EEFB1" w:rsidR="00896645" w:rsidRPr="00945992" w:rsidRDefault="00896645" w:rsidP="00896645">
      <w:pPr>
        <w:pStyle w:val="CETBodytext"/>
        <w:ind w:left="284" w:hanging="284"/>
        <w:rPr>
          <w:color w:val="000000" w:themeColor="text1"/>
        </w:rPr>
      </w:pPr>
      <w:r w:rsidRPr="00945992">
        <w:rPr>
          <w:color w:val="000000" w:themeColor="text1"/>
        </w:rPr>
        <w:t xml:space="preserve">Sivakumar V., </w:t>
      </w:r>
      <w:proofErr w:type="spellStart"/>
      <w:r w:rsidRPr="00945992">
        <w:rPr>
          <w:color w:val="000000" w:themeColor="text1"/>
        </w:rPr>
        <w:t>Visagavel</w:t>
      </w:r>
      <w:proofErr w:type="spellEnd"/>
      <w:r w:rsidRPr="00945992">
        <w:rPr>
          <w:color w:val="000000" w:themeColor="text1"/>
        </w:rPr>
        <w:t xml:space="preserve"> K., Kumaraswamy J. et al., 2024, Performance study and analysis of Al2O3 Nanofluid under different flow conditions. Interactions 245, 213.</w:t>
      </w:r>
    </w:p>
    <w:p w14:paraId="0460F48C" w14:textId="41098D48" w:rsidR="00896645" w:rsidRPr="00945992" w:rsidRDefault="00896645" w:rsidP="00896645">
      <w:pPr>
        <w:pStyle w:val="CETBodytext"/>
        <w:ind w:left="284" w:hanging="284"/>
        <w:rPr>
          <w:color w:val="000000" w:themeColor="text1"/>
        </w:rPr>
      </w:pPr>
      <w:proofErr w:type="spellStart"/>
      <w:r w:rsidRPr="00945992">
        <w:rPr>
          <w:color w:val="000000" w:themeColor="text1"/>
        </w:rPr>
        <w:t>Sohel</w:t>
      </w:r>
      <w:proofErr w:type="spellEnd"/>
      <w:r w:rsidRPr="00945992">
        <w:rPr>
          <w:color w:val="000000" w:themeColor="text1"/>
        </w:rPr>
        <w:t xml:space="preserve"> </w:t>
      </w:r>
      <w:proofErr w:type="spellStart"/>
      <w:r w:rsidRPr="00945992">
        <w:rPr>
          <w:color w:val="000000" w:themeColor="text1"/>
        </w:rPr>
        <w:t>Murshed</w:t>
      </w:r>
      <w:proofErr w:type="spellEnd"/>
      <w:r w:rsidRPr="00945992">
        <w:rPr>
          <w:color w:val="000000" w:themeColor="text1"/>
        </w:rPr>
        <w:t xml:space="preserve"> S.M., </w:t>
      </w:r>
      <w:proofErr w:type="spellStart"/>
      <w:r w:rsidRPr="00945992">
        <w:rPr>
          <w:color w:val="000000" w:themeColor="text1"/>
        </w:rPr>
        <w:t>Estellé</w:t>
      </w:r>
      <w:proofErr w:type="spellEnd"/>
      <w:r w:rsidRPr="00945992">
        <w:rPr>
          <w:color w:val="000000" w:themeColor="text1"/>
        </w:rPr>
        <w:t xml:space="preserve"> P</w:t>
      </w:r>
      <w:r w:rsidR="00945992">
        <w:rPr>
          <w:color w:val="000000" w:themeColor="text1"/>
        </w:rPr>
        <w:t>.</w:t>
      </w:r>
      <w:r w:rsidRPr="00945992">
        <w:rPr>
          <w:color w:val="000000" w:themeColor="text1"/>
        </w:rPr>
        <w:t>, 2017, A state of the art review on viscosity of nanofluids, Renewable and Sustainable Energy Reviews, 76, 1134-1152.</w:t>
      </w:r>
    </w:p>
    <w:p w14:paraId="578B68D6" w14:textId="74C9FFA3" w:rsidR="00BC4B08" w:rsidRPr="00945992" w:rsidRDefault="00BC4B08" w:rsidP="00BC4B08">
      <w:pPr>
        <w:pStyle w:val="CETBodytext"/>
        <w:ind w:left="284" w:hanging="284"/>
        <w:rPr>
          <w:color w:val="000000" w:themeColor="text1"/>
        </w:rPr>
      </w:pPr>
      <w:r w:rsidRPr="00945992">
        <w:rPr>
          <w:color w:val="000000" w:themeColor="text1"/>
        </w:rPr>
        <w:t xml:space="preserve">UNEP, 2020, United Nations Environment </w:t>
      </w:r>
      <w:proofErr w:type="spellStart"/>
      <w:r w:rsidRPr="00945992">
        <w:rPr>
          <w:color w:val="000000" w:themeColor="text1"/>
        </w:rPr>
        <w:t>Programme</w:t>
      </w:r>
      <w:proofErr w:type="spellEnd"/>
      <w:r w:rsidRPr="00945992">
        <w:rPr>
          <w:color w:val="000000" w:themeColor="text1"/>
        </w:rPr>
        <w:t>, 2020 Global Status Report for Buildings and Construction: Towards a Zero-emission, Efficient and Resilient Buildings and Construction Sector, Nairobi, 2020.</w:t>
      </w:r>
    </w:p>
    <w:p w14:paraId="41BA85C8" w14:textId="77777777" w:rsidR="002F41CC" w:rsidRPr="00945992" w:rsidRDefault="002F41CC" w:rsidP="002F41CC">
      <w:pPr>
        <w:pStyle w:val="CETBodytext"/>
        <w:ind w:left="284" w:hanging="284"/>
        <w:rPr>
          <w:color w:val="000000" w:themeColor="text1"/>
        </w:rPr>
      </w:pPr>
      <w:r w:rsidRPr="00945992">
        <w:rPr>
          <w:color w:val="000000" w:themeColor="text1"/>
        </w:rPr>
        <w:t>United Nations, 2024, United Nations, Sustainable Development Goals &lt;www.un.org/sustainabledevelopment/sustainable-development-goals/&gt; accessed: 04.07.2024.</w:t>
      </w:r>
    </w:p>
    <w:p w14:paraId="4090E0CF" w14:textId="0C1DCDC2" w:rsidR="00E1492D" w:rsidRPr="00945992" w:rsidRDefault="00E1492D" w:rsidP="00E1492D">
      <w:pPr>
        <w:pStyle w:val="CETBodytext"/>
        <w:ind w:left="284" w:hanging="284"/>
        <w:rPr>
          <w:color w:val="000000" w:themeColor="text1"/>
        </w:rPr>
      </w:pPr>
      <w:proofErr w:type="spellStart"/>
      <w:r w:rsidRPr="00945992">
        <w:rPr>
          <w:color w:val="000000" w:themeColor="text1"/>
        </w:rPr>
        <w:t>Utpol</w:t>
      </w:r>
      <w:proofErr w:type="spellEnd"/>
      <w:r w:rsidRPr="00945992">
        <w:rPr>
          <w:color w:val="000000" w:themeColor="text1"/>
        </w:rPr>
        <w:t xml:space="preserve"> K.P., Shahriar M., Golam K., </w:t>
      </w:r>
      <w:proofErr w:type="spellStart"/>
      <w:r w:rsidRPr="00945992">
        <w:rPr>
          <w:color w:val="000000" w:themeColor="text1"/>
        </w:rPr>
        <w:t>Barun</w:t>
      </w:r>
      <w:proofErr w:type="spellEnd"/>
      <w:r w:rsidRPr="00945992">
        <w:rPr>
          <w:color w:val="000000" w:themeColor="text1"/>
        </w:rPr>
        <w:t xml:space="preserve"> K.D, 2024, </w:t>
      </w:r>
      <w:proofErr w:type="gramStart"/>
      <w:r w:rsidRPr="00945992">
        <w:rPr>
          <w:color w:val="000000" w:themeColor="text1"/>
        </w:rPr>
        <w:t>Nano-material</w:t>
      </w:r>
      <w:proofErr w:type="gramEnd"/>
      <w:r w:rsidRPr="00945992">
        <w:rPr>
          <w:color w:val="000000" w:themeColor="text1"/>
        </w:rPr>
        <w:t xml:space="preserve"> based composite phase change materials and nanofluid for solar thermal energy storage applications: Featuring numerical and experimental approaches, Journal of Energy Storage, 98(B), 113032.</w:t>
      </w:r>
    </w:p>
    <w:p w14:paraId="265E9F83" w14:textId="7A42DEAF" w:rsidR="00C60185" w:rsidRPr="00945992" w:rsidRDefault="00C60185" w:rsidP="00C60185">
      <w:pPr>
        <w:pStyle w:val="CETBodytext"/>
        <w:ind w:left="284" w:hanging="284"/>
        <w:rPr>
          <w:color w:val="000000" w:themeColor="text1"/>
        </w:rPr>
      </w:pPr>
      <w:proofErr w:type="spellStart"/>
      <w:r w:rsidRPr="00945992">
        <w:rPr>
          <w:color w:val="000000" w:themeColor="text1"/>
        </w:rPr>
        <w:t>Vocciante</w:t>
      </w:r>
      <w:proofErr w:type="spellEnd"/>
      <w:r w:rsidRPr="00945992">
        <w:rPr>
          <w:color w:val="000000" w:themeColor="text1"/>
        </w:rPr>
        <w:t xml:space="preserve"> M., </w:t>
      </w:r>
      <w:proofErr w:type="spellStart"/>
      <w:r w:rsidRPr="00945992">
        <w:rPr>
          <w:color w:val="000000" w:themeColor="text1"/>
        </w:rPr>
        <w:t>Kenig</w:t>
      </w:r>
      <w:proofErr w:type="spellEnd"/>
      <w:r w:rsidRPr="00945992">
        <w:rPr>
          <w:color w:val="000000" w:themeColor="text1"/>
        </w:rPr>
        <w:t xml:space="preserve"> E.Y., 2021, Pillow-plate heat exchangers: an overview on advances, limitations and prospects, Chemical Engineering Transactions, 88, 865–870.</w:t>
      </w:r>
    </w:p>
    <w:p w14:paraId="1B148FC0" w14:textId="2E7741CE" w:rsidR="00BC4B08" w:rsidRPr="00945992" w:rsidRDefault="00BC4B08" w:rsidP="00BC4B08">
      <w:pPr>
        <w:pStyle w:val="CETBodytext"/>
        <w:ind w:left="284" w:hanging="284"/>
        <w:rPr>
          <w:color w:val="000000" w:themeColor="text1"/>
        </w:rPr>
      </w:pPr>
      <w:r w:rsidRPr="00945992">
        <w:rPr>
          <w:color w:val="000000" w:themeColor="text1"/>
        </w:rPr>
        <w:t xml:space="preserve">Wang L., Li D., Wang Z., Ma A., Lang Y., Jin Y., Fang J., 2024, Indoor dynamic light/thermal environment of smart windows using ATO nanofluids in summer: An experimental study, Renewable Energy, 234, 121210. </w:t>
      </w:r>
    </w:p>
    <w:p w14:paraId="172DC435" w14:textId="3FFB8056" w:rsidR="00BC4B08" w:rsidRPr="00945992" w:rsidRDefault="00BC4B08" w:rsidP="00BC4B08">
      <w:pPr>
        <w:pStyle w:val="CETBodytext"/>
        <w:ind w:left="284" w:hanging="284"/>
        <w:rPr>
          <w:color w:val="000000" w:themeColor="text1"/>
        </w:rPr>
      </w:pPr>
      <w:r w:rsidRPr="00945992">
        <w:rPr>
          <w:color w:val="000000" w:themeColor="text1"/>
        </w:rPr>
        <w:t>Wei X.X., Jia Q., Zheng C., Zhu J.H., Pei C., 2024, Enhancement in durability and performance for cement-based materials through tailored water-based graphene nanofluid additives, Construction and Building Materials, 457, 139455.</w:t>
      </w:r>
    </w:p>
    <w:p w14:paraId="383357D4" w14:textId="23033887" w:rsidR="00BC4B08" w:rsidRPr="00945992" w:rsidRDefault="00BC4B08" w:rsidP="00BC4B08">
      <w:pPr>
        <w:pStyle w:val="CETBodytext"/>
        <w:ind w:left="284" w:hanging="284"/>
        <w:rPr>
          <w:color w:val="000000" w:themeColor="text1"/>
        </w:rPr>
      </w:pPr>
      <w:r w:rsidRPr="00945992">
        <w:rPr>
          <w:color w:val="000000" w:themeColor="text1"/>
        </w:rPr>
        <w:t>Wu Y., Jin M., Liu M., Li S., 2024, Integrated Systems of Light Pipes in Buildings: A State-of-the-Art Review, Buildings, 14(2), 425.</w:t>
      </w:r>
    </w:p>
    <w:p w14:paraId="38951237" w14:textId="21D8A1B1" w:rsidR="00917F9B" w:rsidRPr="00737395" w:rsidRDefault="00BC4B08" w:rsidP="00491F6F">
      <w:pPr>
        <w:pStyle w:val="CETBodytext"/>
        <w:ind w:left="284" w:hanging="284"/>
        <w:rPr>
          <w:color w:val="000000" w:themeColor="text1"/>
        </w:rPr>
      </w:pPr>
      <w:r w:rsidRPr="00945992">
        <w:rPr>
          <w:color w:val="000000" w:themeColor="text1"/>
        </w:rPr>
        <w:t>Zhang C., Shen C., Zhang Y., Zheng K., Pu J., Zhao X., Ma X., 2023, Experimental study of indoor light/thermal environment with spectrally selective windows using ATO nanofluids in winter, Energy and Buildings, 278, 112597.</w:t>
      </w:r>
    </w:p>
    <w:sectPr w:rsidR="00917F9B" w:rsidRPr="0073739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308D2" w14:textId="77777777" w:rsidR="001A2025" w:rsidRDefault="001A2025" w:rsidP="004F5E36">
      <w:r>
        <w:separator/>
      </w:r>
    </w:p>
  </w:endnote>
  <w:endnote w:type="continuationSeparator" w:id="0">
    <w:p w14:paraId="08AD49A7" w14:textId="77777777" w:rsidR="001A2025" w:rsidRDefault="001A20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237E" w14:textId="77777777" w:rsidR="001A2025" w:rsidRDefault="001A2025" w:rsidP="004F5E36">
      <w:r>
        <w:separator/>
      </w:r>
    </w:p>
  </w:footnote>
  <w:footnote w:type="continuationSeparator" w:id="0">
    <w:p w14:paraId="20EEA2D8" w14:textId="77777777" w:rsidR="001A2025" w:rsidRDefault="001A202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29488D"/>
    <w:multiLevelType w:val="hybridMultilevel"/>
    <w:tmpl w:val="F2D22C18"/>
    <w:lvl w:ilvl="0" w:tplc="2472921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D79C20B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49F2988"/>
    <w:multiLevelType w:val="hybridMultilevel"/>
    <w:tmpl w:val="2574229A"/>
    <w:lvl w:ilvl="0" w:tplc="D8DAD396">
      <w:start w:val="1"/>
      <w:numFmt w:val="bullet"/>
      <w:lvlText w:val=""/>
      <w:lvlJc w:val="left"/>
      <w:pPr>
        <w:ind w:left="720" w:hanging="360"/>
      </w:pPr>
      <w:rPr>
        <w:rFonts w:ascii="Symbol" w:hAnsi="Symbol"/>
      </w:rPr>
    </w:lvl>
    <w:lvl w:ilvl="1" w:tplc="B64C02BE">
      <w:start w:val="1"/>
      <w:numFmt w:val="bullet"/>
      <w:lvlText w:val=""/>
      <w:lvlJc w:val="left"/>
      <w:pPr>
        <w:ind w:left="720" w:hanging="360"/>
      </w:pPr>
      <w:rPr>
        <w:rFonts w:ascii="Symbol" w:hAnsi="Symbol"/>
      </w:rPr>
    </w:lvl>
    <w:lvl w:ilvl="2" w:tplc="888E37E8">
      <w:start w:val="1"/>
      <w:numFmt w:val="bullet"/>
      <w:lvlText w:val=""/>
      <w:lvlJc w:val="left"/>
      <w:pPr>
        <w:ind w:left="720" w:hanging="360"/>
      </w:pPr>
      <w:rPr>
        <w:rFonts w:ascii="Symbol" w:hAnsi="Symbol"/>
      </w:rPr>
    </w:lvl>
    <w:lvl w:ilvl="3" w:tplc="3560EABA">
      <w:start w:val="1"/>
      <w:numFmt w:val="bullet"/>
      <w:lvlText w:val=""/>
      <w:lvlJc w:val="left"/>
      <w:pPr>
        <w:ind w:left="720" w:hanging="360"/>
      </w:pPr>
      <w:rPr>
        <w:rFonts w:ascii="Symbol" w:hAnsi="Symbol"/>
      </w:rPr>
    </w:lvl>
    <w:lvl w:ilvl="4" w:tplc="631CA2EC">
      <w:start w:val="1"/>
      <w:numFmt w:val="bullet"/>
      <w:lvlText w:val=""/>
      <w:lvlJc w:val="left"/>
      <w:pPr>
        <w:ind w:left="720" w:hanging="360"/>
      </w:pPr>
      <w:rPr>
        <w:rFonts w:ascii="Symbol" w:hAnsi="Symbol"/>
      </w:rPr>
    </w:lvl>
    <w:lvl w:ilvl="5" w:tplc="BAFE4A32">
      <w:start w:val="1"/>
      <w:numFmt w:val="bullet"/>
      <w:lvlText w:val=""/>
      <w:lvlJc w:val="left"/>
      <w:pPr>
        <w:ind w:left="720" w:hanging="360"/>
      </w:pPr>
      <w:rPr>
        <w:rFonts w:ascii="Symbol" w:hAnsi="Symbol"/>
      </w:rPr>
    </w:lvl>
    <w:lvl w:ilvl="6" w:tplc="CF9E66D0">
      <w:start w:val="1"/>
      <w:numFmt w:val="bullet"/>
      <w:lvlText w:val=""/>
      <w:lvlJc w:val="left"/>
      <w:pPr>
        <w:ind w:left="720" w:hanging="360"/>
      </w:pPr>
      <w:rPr>
        <w:rFonts w:ascii="Symbol" w:hAnsi="Symbol"/>
      </w:rPr>
    </w:lvl>
    <w:lvl w:ilvl="7" w:tplc="A17ECF2E">
      <w:start w:val="1"/>
      <w:numFmt w:val="bullet"/>
      <w:lvlText w:val=""/>
      <w:lvlJc w:val="left"/>
      <w:pPr>
        <w:ind w:left="720" w:hanging="360"/>
      </w:pPr>
      <w:rPr>
        <w:rFonts w:ascii="Symbol" w:hAnsi="Symbol"/>
      </w:rPr>
    </w:lvl>
    <w:lvl w:ilvl="8" w:tplc="9CAE40EC">
      <w:start w:val="1"/>
      <w:numFmt w:val="bullet"/>
      <w:lvlText w:val=""/>
      <w:lvlJc w:val="left"/>
      <w:pPr>
        <w:ind w:left="720" w:hanging="360"/>
      </w:pPr>
      <w:rPr>
        <w:rFonts w:ascii="Symbol" w:hAnsi="Symbol"/>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3"/>
  </w:num>
  <w:num w:numId="16" w16cid:durableId="1977102699">
    <w:abstractNumId w:val="22"/>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185682492">
    <w:abstractNumId w:val="13"/>
  </w:num>
  <w:num w:numId="25" w16cid:durableId="1223173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AA"/>
    <w:rsid w:val="000027C0"/>
    <w:rsid w:val="00002919"/>
    <w:rsid w:val="00002AA7"/>
    <w:rsid w:val="00003AB8"/>
    <w:rsid w:val="000052FB"/>
    <w:rsid w:val="00005A19"/>
    <w:rsid w:val="00011699"/>
    <w:rsid w:val="000117CB"/>
    <w:rsid w:val="0001608E"/>
    <w:rsid w:val="00017766"/>
    <w:rsid w:val="00017CC4"/>
    <w:rsid w:val="000229ED"/>
    <w:rsid w:val="00024D25"/>
    <w:rsid w:val="000258A4"/>
    <w:rsid w:val="0003148D"/>
    <w:rsid w:val="00031EEC"/>
    <w:rsid w:val="000401E0"/>
    <w:rsid w:val="00045A7A"/>
    <w:rsid w:val="00051566"/>
    <w:rsid w:val="00052C86"/>
    <w:rsid w:val="00053BAA"/>
    <w:rsid w:val="00054B69"/>
    <w:rsid w:val="000562A9"/>
    <w:rsid w:val="00061A4C"/>
    <w:rsid w:val="00062A9A"/>
    <w:rsid w:val="00062BDE"/>
    <w:rsid w:val="00065058"/>
    <w:rsid w:val="00065C89"/>
    <w:rsid w:val="0006740E"/>
    <w:rsid w:val="00067605"/>
    <w:rsid w:val="00070811"/>
    <w:rsid w:val="0007227A"/>
    <w:rsid w:val="000731F3"/>
    <w:rsid w:val="000760E2"/>
    <w:rsid w:val="000837DB"/>
    <w:rsid w:val="00086C39"/>
    <w:rsid w:val="000930E3"/>
    <w:rsid w:val="000A03B2"/>
    <w:rsid w:val="000B0BA2"/>
    <w:rsid w:val="000B498B"/>
    <w:rsid w:val="000B732E"/>
    <w:rsid w:val="000C05A1"/>
    <w:rsid w:val="000D0268"/>
    <w:rsid w:val="000D0736"/>
    <w:rsid w:val="000D2680"/>
    <w:rsid w:val="000D34BE"/>
    <w:rsid w:val="000E0B3C"/>
    <w:rsid w:val="000E102F"/>
    <w:rsid w:val="000E30EF"/>
    <w:rsid w:val="000E323F"/>
    <w:rsid w:val="000E36F1"/>
    <w:rsid w:val="000E3A73"/>
    <w:rsid w:val="000E414A"/>
    <w:rsid w:val="000E75FD"/>
    <w:rsid w:val="000F093C"/>
    <w:rsid w:val="000F787B"/>
    <w:rsid w:val="00100ECD"/>
    <w:rsid w:val="00110164"/>
    <w:rsid w:val="00112CCD"/>
    <w:rsid w:val="001151DD"/>
    <w:rsid w:val="001208C8"/>
    <w:rsid w:val="0012091F"/>
    <w:rsid w:val="00126BC2"/>
    <w:rsid w:val="001308B6"/>
    <w:rsid w:val="0013121F"/>
    <w:rsid w:val="00131FE6"/>
    <w:rsid w:val="001321F2"/>
    <w:rsid w:val="0013263F"/>
    <w:rsid w:val="001329E3"/>
    <w:rsid w:val="001331DF"/>
    <w:rsid w:val="00134DE4"/>
    <w:rsid w:val="00137154"/>
    <w:rsid w:val="0014034D"/>
    <w:rsid w:val="00140FE3"/>
    <w:rsid w:val="00144D16"/>
    <w:rsid w:val="00145E6D"/>
    <w:rsid w:val="00150E59"/>
    <w:rsid w:val="00152DE3"/>
    <w:rsid w:val="001534F1"/>
    <w:rsid w:val="001545A3"/>
    <w:rsid w:val="00162B61"/>
    <w:rsid w:val="00164CF9"/>
    <w:rsid w:val="001667A6"/>
    <w:rsid w:val="00176E0A"/>
    <w:rsid w:val="00177195"/>
    <w:rsid w:val="00177430"/>
    <w:rsid w:val="001801FD"/>
    <w:rsid w:val="0018171E"/>
    <w:rsid w:val="0018385D"/>
    <w:rsid w:val="0018451C"/>
    <w:rsid w:val="00184AD6"/>
    <w:rsid w:val="00195AC8"/>
    <w:rsid w:val="001A042A"/>
    <w:rsid w:val="001A18C6"/>
    <w:rsid w:val="001A2025"/>
    <w:rsid w:val="001A4AF7"/>
    <w:rsid w:val="001B0349"/>
    <w:rsid w:val="001B1E93"/>
    <w:rsid w:val="001B65C1"/>
    <w:rsid w:val="001C260F"/>
    <w:rsid w:val="001C300D"/>
    <w:rsid w:val="001C40E0"/>
    <w:rsid w:val="001C5C3A"/>
    <w:rsid w:val="001C684B"/>
    <w:rsid w:val="001D0CFB"/>
    <w:rsid w:val="001D197E"/>
    <w:rsid w:val="001D21AF"/>
    <w:rsid w:val="001D415E"/>
    <w:rsid w:val="001D53FC"/>
    <w:rsid w:val="001F0699"/>
    <w:rsid w:val="001F2AE1"/>
    <w:rsid w:val="001F42A5"/>
    <w:rsid w:val="001F7B9D"/>
    <w:rsid w:val="00200583"/>
    <w:rsid w:val="00201C93"/>
    <w:rsid w:val="00202A35"/>
    <w:rsid w:val="00205CA3"/>
    <w:rsid w:val="00215781"/>
    <w:rsid w:val="00221485"/>
    <w:rsid w:val="002224B4"/>
    <w:rsid w:val="00222E89"/>
    <w:rsid w:val="00235023"/>
    <w:rsid w:val="002447EF"/>
    <w:rsid w:val="00251550"/>
    <w:rsid w:val="00257B5C"/>
    <w:rsid w:val="00263B05"/>
    <w:rsid w:val="00265C17"/>
    <w:rsid w:val="00267CAB"/>
    <w:rsid w:val="00271695"/>
    <w:rsid w:val="0027184B"/>
    <w:rsid w:val="0027221A"/>
    <w:rsid w:val="00275B61"/>
    <w:rsid w:val="00280FAF"/>
    <w:rsid w:val="00282656"/>
    <w:rsid w:val="00286BBA"/>
    <w:rsid w:val="00293B27"/>
    <w:rsid w:val="0029581C"/>
    <w:rsid w:val="00296B83"/>
    <w:rsid w:val="00296FCF"/>
    <w:rsid w:val="002A6BEC"/>
    <w:rsid w:val="002A6C92"/>
    <w:rsid w:val="002A790C"/>
    <w:rsid w:val="002B4015"/>
    <w:rsid w:val="002B620C"/>
    <w:rsid w:val="002B6456"/>
    <w:rsid w:val="002B78CE"/>
    <w:rsid w:val="002B7DED"/>
    <w:rsid w:val="002C2FB6"/>
    <w:rsid w:val="002C33FB"/>
    <w:rsid w:val="002D5DA3"/>
    <w:rsid w:val="002E0950"/>
    <w:rsid w:val="002E5FA7"/>
    <w:rsid w:val="002F0707"/>
    <w:rsid w:val="002F2D82"/>
    <w:rsid w:val="002F3309"/>
    <w:rsid w:val="002F41CC"/>
    <w:rsid w:val="002F7A09"/>
    <w:rsid w:val="003008CE"/>
    <w:rsid w:val="003009B7"/>
    <w:rsid w:val="00300E56"/>
    <w:rsid w:val="0030152C"/>
    <w:rsid w:val="00304649"/>
    <w:rsid w:val="0030469C"/>
    <w:rsid w:val="00312F5B"/>
    <w:rsid w:val="003153AD"/>
    <w:rsid w:val="00320354"/>
    <w:rsid w:val="00321CA6"/>
    <w:rsid w:val="00323763"/>
    <w:rsid w:val="00323C5F"/>
    <w:rsid w:val="00331BE6"/>
    <w:rsid w:val="00334C09"/>
    <w:rsid w:val="003370BE"/>
    <w:rsid w:val="003540DB"/>
    <w:rsid w:val="003654AC"/>
    <w:rsid w:val="003723D4"/>
    <w:rsid w:val="003734E5"/>
    <w:rsid w:val="00381905"/>
    <w:rsid w:val="0038439C"/>
    <w:rsid w:val="00384CC8"/>
    <w:rsid w:val="003871FD"/>
    <w:rsid w:val="0038763A"/>
    <w:rsid w:val="003904D3"/>
    <w:rsid w:val="00393891"/>
    <w:rsid w:val="00393A72"/>
    <w:rsid w:val="003A10C3"/>
    <w:rsid w:val="003A1E30"/>
    <w:rsid w:val="003A2829"/>
    <w:rsid w:val="003A28B9"/>
    <w:rsid w:val="003A4CD4"/>
    <w:rsid w:val="003A7247"/>
    <w:rsid w:val="003A7D1C"/>
    <w:rsid w:val="003B2615"/>
    <w:rsid w:val="003B304B"/>
    <w:rsid w:val="003B3146"/>
    <w:rsid w:val="003B49CD"/>
    <w:rsid w:val="003B679E"/>
    <w:rsid w:val="003B72C8"/>
    <w:rsid w:val="003C1AC3"/>
    <w:rsid w:val="003C6CAD"/>
    <w:rsid w:val="003C7133"/>
    <w:rsid w:val="003D090E"/>
    <w:rsid w:val="003D1BFE"/>
    <w:rsid w:val="003D1E02"/>
    <w:rsid w:val="003E4A37"/>
    <w:rsid w:val="003E4B6E"/>
    <w:rsid w:val="003E611F"/>
    <w:rsid w:val="003E7D1A"/>
    <w:rsid w:val="003F015E"/>
    <w:rsid w:val="00400414"/>
    <w:rsid w:val="00405320"/>
    <w:rsid w:val="0041223C"/>
    <w:rsid w:val="0041446B"/>
    <w:rsid w:val="004165A3"/>
    <w:rsid w:val="00422450"/>
    <w:rsid w:val="00426187"/>
    <w:rsid w:val="0042796F"/>
    <w:rsid w:val="004312D5"/>
    <w:rsid w:val="00431FB0"/>
    <w:rsid w:val="004325CB"/>
    <w:rsid w:val="00432F0B"/>
    <w:rsid w:val="00436317"/>
    <w:rsid w:val="0044071E"/>
    <w:rsid w:val="0044329C"/>
    <w:rsid w:val="00443C05"/>
    <w:rsid w:val="00444839"/>
    <w:rsid w:val="00446C8F"/>
    <w:rsid w:val="00453413"/>
    <w:rsid w:val="00453E24"/>
    <w:rsid w:val="00455EAD"/>
    <w:rsid w:val="00457456"/>
    <w:rsid w:val="004577FE"/>
    <w:rsid w:val="00457B9C"/>
    <w:rsid w:val="00461529"/>
    <w:rsid w:val="0046164A"/>
    <w:rsid w:val="004628D2"/>
    <w:rsid w:val="00462DCD"/>
    <w:rsid w:val="00463977"/>
    <w:rsid w:val="004648AD"/>
    <w:rsid w:val="004703A9"/>
    <w:rsid w:val="00470C4F"/>
    <w:rsid w:val="00470D9B"/>
    <w:rsid w:val="004712D4"/>
    <w:rsid w:val="004733BA"/>
    <w:rsid w:val="004760DE"/>
    <w:rsid w:val="004763D7"/>
    <w:rsid w:val="00481B11"/>
    <w:rsid w:val="00491F6F"/>
    <w:rsid w:val="00492A85"/>
    <w:rsid w:val="00493E93"/>
    <w:rsid w:val="004A004E"/>
    <w:rsid w:val="004A24CF"/>
    <w:rsid w:val="004A4AE2"/>
    <w:rsid w:val="004A7908"/>
    <w:rsid w:val="004A7D14"/>
    <w:rsid w:val="004B1859"/>
    <w:rsid w:val="004C154F"/>
    <w:rsid w:val="004C3D1D"/>
    <w:rsid w:val="004C3D84"/>
    <w:rsid w:val="004C7913"/>
    <w:rsid w:val="004D127B"/>
    <w:rsid w:val="004D2C16"/>
    <w:rsid w:val="004D3E15"/>
    <w:rsid w:val="004D4D6C"/>
    <w:rsid w:val="004D6293"/>
    <w:rsid w:val="004E2B84"/>
    <w:rsid w:val="004E4DD6"/>
    <w:rsid w:val="004E5BB2"/>
    <w:rsid w:val="004F1436"/>
    <w:rsid w:val="004F5E36"/>
    <w:rsid w:val="0050107E"/>
    <w:rsid w:val="005021D4"/>
    <w:rsid w:val="00506084"/>
    <w:rsid w:val="00507B47"/>
    <w:rsid w:val="00507BEF"/>
    <w:rsid w:val="00507CC9"/>
    <w:rsid w:val="00510C83"/>
    <w:rsid w:val="005119A5"/>
    <w:rsid w:val="00516DDD"/>
    <w:rsid w:val="0052028A"/>
    <w:rsid w:val="0052058C"/>
    <w:rsid w:val="0052758C"/>
    <w:rsid w:val="005278B7"/>
    <w:rsid w:val="00527C9F"/>
    <w:rsid w:val="00531205"/>
    <w:rsid w:val="00532016"/>
    <w:rsid w:val="005346C8"/>
    <w:rsid w:val="005373D5"/>
    <w:rsid w:val="005412B1"/>
    <w:rsid w:val="00543E7D"/>
    <w:rsid w:val="005452D6"/>
    <w:rsid w:val="005473D6"/>
    <w:rsid w:val="00547A68"/>
    <w:rsid w:val="0055050F"/>
    <w:rsid w:val="005531C9"/>
    <w:rsid w:val="00554879"/>
    <w:rsid w:val="00566DC4"/>
    <w:rsid w:val="00570C43"/>
    <w:rsid w:val="00571D6B"/>
    <w:rsid w:val="00573CF8"/>
    <w:rsid w:val="00582676"/>
    <w:rsid w:val="0058383D"/>
    <w:rsid w:val="005849C0"/>
    <w:rsid w:val="00591C28"/>
    <w:rsid w:val="00592243"/>
    <w:rsid w:val="00592274"/>
    <w:rsid w:val="00593B0A"/>
    <w:rsid w:val="0059573A"/>
    <w:rsid w:val="005A4AB3"/>
    <w:rsid w:val="005A5FDC"/>
    <w:rsid w:val="005B2110"/>
    <w:rsid w:val="005B350B"/>
    <w:rsid w:val="005B5EAD"/>
    <w:rsid w:val="005B61E6"/>
    <w:rsid w:val="005C1A38"/>
    <w:rsid w:val="005C34C7"/>
    <w:rsid w:val="005C77E1"/>
    <w:rsid w:val="005D4F28"/>
    <w:rsid w:val="005D668A"/>
    <w:rsid w:val="005D6A2F"/>
    <w:rsid w:val="005E0592"/>
    <w:rsid w:val="005E1A82"/>
    <w:rsid w:val="005E3F9D"/>
    <w:rsid w:val="005E4660"/>
    <w:rsid w:val="005E794C"/>
    <w:rsid w:val="005F0A28"/>
    <w:rsid w:val="005F0E5E"/>
    <w:rsid w:val="005F2FC4"/>
    <w:rsid w:val="005F6417"/>
    <w:rsid w:val="005F6639"/>
    <w:rsid w:val="00600535"/>
    <w:rsid w:val="00600B00"/>
    <w:rsid w:val="00602FC6"/>
    <w:rsid w:val="00606D2C"/>
    <w:rsid w:val="00610CD6"/>
    <w:rsid w:val="006112DF"/>
    <w:rsid w:val="00620DEE"/>
    <w:rsid w:val="00621F92"/>
    <w:rsid w:val="0062280A"/>
    <w:rsid w:val="006231E1"/>
    <w:rsid w:val="00625639"/>
    <w:rsid w:val="006259AD"/>
    <w:rsid w:val="00631B33"/>
    <w:rsid w:val="0064184D"/>
    <w:rsid w:val="006422CC"/>
    <w:rsid w:val="00642A0B"/>
    <w:rsid w:val="00643323"/>
    <w:rsid w:val="0064508E"/>
    <w:rsid w:val="00651D18"/>
    <w:rsid w:val="006527F0"/>
    <w:rsid w:val="006533DD"/>
    <w:rsid w:val="00660E3E"/>
    <w:rsid w:val="00662E74"/>
    <w:rsid w:val="006667A7"/>
    <w:rsid w:val="00673A08"/>
    <w:rsid w:val="00680C23"/>
    <w:rsid w:val="00682237"/>
    <w:rsid w:val="00683625"/>
    <w:rsid w:val="00683E23"/>
    <w:rsid w:val="006856B9"/>
    <w:rsid w:val="00686A23"/>
    <w:rsid w:val="006921DA"/>
    <w:rsid w:val="00693766"/>
    <w:rsid w:val="00694EAC"/>
    <w:rsid w:val="006A00F3"/>
    <w:rsid w:val="006A3281"/>
    <w:rsid w:val="006A6DE5"/>
    <w:rsid w:val="006A7FB1"/>
    <w:rsid w:val="006B0E55"/>
    <w:rsid w:val="006B16B7"/>
    <w:rsid w:val="006B4888"/>
    <w:rsid w:val="006C2A68"/>
    <w:rsid w:val="006C2E45"/>
    <w:rsid w:val="006C359C"/>
    <w:rsid w:val="006C5579"/>
    <w:rsid w:val="006C6737"/>
    <w:rsid w:val="006D6E8B"/>
    <w:rsid w:val="006D7209"/>
    <w:rsid w:val="006E4EDA"/>
    <w:rsid w:val="006E6A03"/>
    <w:rsid w:val="006E737D"/>
    <w:rsid w:val="006F05EC"/>
    <w:rsid w:val="006F35DB"/>
    <w:rsid w:val="0070145E"/>
    <w:rsid w:val="007027E4"/>
    <w:rsid w:val="00703289"/>
    <w:rsid w:val="007033D5"/>
    <w:rsid w:val="007067F9"/>
    <w:rsid w:val="00707DD1"/>
    <w:rsid w:val="007135CA"/>
    <w:rsid w:val="00713973"/>
    <w:rsid w:val="00713EEF"/>
    <w:rsid w:val="0071667C"/>
    <w:rsid w:val="00716C5D"/>
    <w:rsid w:val="00720A24"/>
    <w:rsid w:val="0073058E"/>
    <w:rsid w:val="00732386"/>
    <w:rsid w:val="0073514D"/>
    <w:rsid w:val="00736ED2"/>
    <w:rsid w:val="00737395"/>
    <w:rsid w:val="00741DCA"/>
    <w:rsid w:val="007447F3"/>
    <w:rsid w:val="007500AF"/>
    <w:rsid w:val="0075499F"/>
    <w:rsid w:val="0076461F"/>
    <w:rsid w:val="007661C8"/>
    <w:rsid w:val="0077098D"/>
    <w:rsid w:val="0078527A"/>
    <w:rsid w:val="00785BF9"/>
    <w:rsid w:val="00787ABF"/>
    <w:rsid w:val="007931FA"/>
    <w:rsid w:val="00795B52"/>
    <w:rsid w:val="007A1AD7"/>
    <w:rsid w:val="007A228D"/>
    <w:rsid w:val="007A4861"/>
    <w:rsid w:val="007A7BBA"/>
    <w:rsid w:val="007B0C50"/>
    <w:rsid w:val="007B48F9"/>
    <w:rsid w:val="007B54A0"/>
    <w:rsid w:val="007C10A0"/>
    <w:rsid w:val="007C1A43"/>
    <w:rsid w:val="007C4A73"/>
    <w:rsid w:val="007C6765"/>
    <w:rsid w:val="007D0951"/>
    <w:rsid w:val="007D1274"/>
    <w:rsid w:val="007D610D"/>
    <w:rsid w:val="007D6950"/>
    <w:rsid w:val="007E5047"/>
    <w:rsid w:val="007F0B9B"/>
    <w:rsid w:val="007F2422"/>
    <w:rsid w:val="007F335A"/>
    <w:rsid w:val="007F55CA"/>
    <w:rsid w:val="0080013E"/>
    <w:rsid w:val="00800653"/>
    <w:rsid w:val="00801759"/>
    <w:rsid w:val="00802E55"/>
    <w:rsid w:val="00804A13"/>
    <w:rsid w:val="00811196"/>
    <w:rsid w:val="00813288"/>
    <w:rsid w:val="008168FC"/>
    <w:rsid w:val="00824658"/>
    <w:rsid w:val="008265ED"/>
    <w:rsid w:val="008278A5"/>
    <w:rsid w:val="00830996"/>
    <w:rsid w:val="00831756"/>
    <w:rsid w:val="00833032"/>
    <w:rsid w:val="008345F1"/>
    <w:rsid w:val="008346CE"/>
    <w:rsid w:val="00847CFE"/>
    <w:rsid w:val="0085551C"/>
    <w:rsid w:val="008568E5"/>
    <w:rsid w:val="008621DB"/>
    <w:rsid w:val="00865B07"/>
    <w:rsid w:val="008667EA"/>
    <w:rsid w:val="008721EF"/>
    <w:rsid w:val="0087637F"/>
    <w:rsid w:val="008832AA"/>
    <w:rsid w:val="00884BE0"/>
    <w:rsid w:val="008858B6"/>
    <w:rsid w:val="00892AD5"/>
    <w:rsid w:val="008959AC"/>
    <w:rsid w:val="00896645"/>
    <w:rsid w:val="0089721B"/>
    <w:rsid w:val="0089778E"/>
    <w:rsid w:val="008A1512"/>
    <w:rsid w:val="008A1DFE"/>
    <w:rsid w:val="008A1F3C"/>
    <w:rsid w:val="008A1FDD"/>
    <w:rsid w:val="008A26DE"/>
    <w:rsid w:val="008A60F1"/>
    <w:rsid w:val="008B15B4"/>
    <w:rsid w:val="008C0066"/>
    <w:rsid w:val="008C56F1"/>
    <w:rsid w:val="008D3297"/>
    <w:rsid w:val="008D32B9"/>
    <w:rsid w:val="008D433B"/>
    <w:rsid w:val="008D4A16"/>
    <w:rsid w:val="008D63BB"/>
    <w:rsid w:val="008E1125"/>
    <w:rsid w:val="008E4B43"/>
    <w:rsid w:val="008E5401"/>
    <w:rsid w:val="008E566E"/>
    <w:rsid w:val="008F27A5"/>
    <w:rsid w:val="008F640C"/>
    <w:rsid w:val="009010EA"/>
    <w:rsid w:val="0090161A"/>
    <w:rsid w:val="00901EB6"/>
    <w:rsid w:val="009041F8"/>
    <w:rsid w:val="00904C62"/>
    <w:rsid w:val="00910024"/>
    <w:rsid w:val="00910380"/>
    <w:rsid w:val="009145B1"/>
    <w:rsid w:val="0091591C"/>
    <w:rsid w:val="00917F9B"/>
    <w:rsid w:val="009226DD"/>
    <w:rsid w:val="00922BA8"/>
    <w:rsid w:val="00924104"/>
    <w:rsid w:val="00924DAC"/>
    <w:rsid w:val="00926399"/>
    <w:rsid w:val="00927058"/>
    <w:rsid w:val="00942750"/>
    <w:rsid w:val="009436B4"/>
    <w:rsid w:val="009450CE"/>
    <w:rsid w:val="00945992"/>
    <w:rsid w:val="009459BB"/>
    <w:rsid w:val="00946050"/>
    <w:rsid w:val="00947179"/>
    <w:rsid w:val="0095164B"/>
    <w:rsid w:val="00954090"/>
    <w:rsid w:val="009573E7"/>
    <w:rsid w:val="00963E05"/>
    <w:rsid w:val="00964A45"/>
    <w:rsid w:val="00967843"/>
    <w:rsid w:val="009678DA"/>
    <w:rsid w:val="00967D54"/>
    <w:rsid w:val="00971028"/>
    <w:rsid w:val="00971647"/>
    <w:rsid w:val="009744EF"/>
    <w:rsid w:val="009767D0"/>
    <w:rsid w:val="00993B84"/>
    <w:rsid w:val="00994608"/>
    <w:rsid w:val="00994C6A"/>
    <w:rsid w:val="00996414"/>
    <w:rsid w:val="00996483"/>
    <w:rsid w:val="00996F5A"/>
    <w:rsid w:val="009B041A"/>
    <w:rsid w:val="009C05BE"/>
    <w:rsid w:val="009C283F"/>
    <w:rsid w:val="009C2D71"/>
    <w:rsid w:val="009C37C3"/>
    <w:rsid w:val="009C4E14"/>
    <w:rsid w:val="009C7C86"/>
    <w:rsid w:val="009D2FF7"/>
    <w:rsid w:val="009D44B4"/>
    <w:rsid w:val="009E24A5"/>
    <w:rsid w:val="009E4A58"/>
    <w:rsid w:val="009E6F34"/>
    <w:rsid w:val="009E7884"/>
    <w:rsid w:val="009E788A"/>
    <w:rsid w:val="009F0E08"/>
    <w:rsid w:val="009F27FC"/>
    <w:rsid w:val="009F5EB9"/>
    <w:rsid w:val="00A03762"/>
    <w:rsid w:val="00A053F7"/>
    <w:rsid w:val="00A079AE"/>
    <w:rsid w:val="00A1420D"/>
    <w:rsid w:val="00A1763D"/>
    <w:rsid w:val="00A17CEC"/>
    <w:rsid w:val="00A227B8"/>
    <w:rsid w:val="00A24AE5"/>
    <w:rsid w:val="00A275DA"/>
    <w:rsid w:val="00A27EF0"/>
    <w:rsid w:val="00A34AF5"/>
    <w:rsid w:val="00A37599"/>
    <w:rsid w:val="00A37FF4"/>
    <w:rsid w:val="00A4094A"/>
    <w:rsid w:val="00A42361"/>
    <w:rsid w:val="00A44F8E"/>
    <w:rsid w:val="00A50B20"/>
    <w:rsid w:val="00A51390"/>
    <w:rsid w:val="00A51926"/>
    <w:rsid w:val="00A56ADA"/>
    <w:rsid w:val="00A60D13"/>
    <w:rsid w:val="00A633E1"/>
    <w:rsid w:val="00A7223D"/>
    <w:rsid w:val="00A72745"/>
    <w:rsid w:val="00A7400C"/>
    <w:rsid w:val="00A76EFC"/>
    <w:rsid w:val="00A770D8"/>
    <w:rsid w:val="00A77485"/>
    <w:rsid w:val="00A77820"/>
    <w:rsid w:val="00A77E6C"/>
    <w:rsid w:val="00A821D6"/>
    <w:rsid w:val="00A82B8C"/>
    <w:rsid w:val="00A86A45"/>
    <w:rsid w:val="00A87D50"/>
    <w:rsid w:val="00A91010"/>
    <w:rsid w:val="00A97F29"/>
    <w:rsid w:val="00AA406A"/>
    <w:rsid w:val="00AA702E"/>
    <w:rsid w:val="00AA75CE"/>
    <w:rsid w:val="00AA7D26"/>
    <w:rsid w:val="00AB0964"/>
    <w:rsid w:val="00AB3B6D"/>
    <w:rsid w:val="00AB5011"/>
    <w:rsid w:val="00AC0A22"/>
    <w:rsid w:val="00AC3C3E"/>
    <w:rsid w:val="00AC448F"/>
    <w:rsid w:val="00AC7368"/>
    <w:rsid w:val="00AD16B9"/>
    <w:rsid w:val="00AE33DB"/>
    <w:rsid w:val="00AE377D"/>
    <w:rsid w:val="00AE393B"/>
    <w:rsid w:val="00AE54D4"/>
    <w:rsid w:val="00AE59D3"/>
    <w:rsid w:val="00AF0EBA"/>
    <w:rsid w:val="00AF2463"/>
    <w:rsid w:val="00AF2B1E"/>
    <w:rsid w:val="00AF36F0"/>
    <w:rsid w:val="00AF4C4B"/>
    <w:rsid w:val="00AF65C3"/>
    <w:rsid w:val="00B025E9"/>
    <w:rsid w:val="00B02C8A"/>
    <w:rsid w:val="00B06DD3"/>
    <w:rsid w:val="00B112A0"/>
    <w:rsid w:val="00B159A1"/>
    <w:rsid w:val="00B17FBD"/>
    <w:rsid w:val="00B31171"/>
    <w:rsid w:val="00B315A6"/>
    <w:rsid w:val="00B317A9"/>
    <w:rsid w:val="00B31813"/>
    <w:rsid w:val="00B33365"/>
    <w:rsid w:val="00B35A94"/>
    <w:rsid w:val="00B4067F"/>
    <w:rsid w:val="00B53412"/>
    <w:rsid w:val="00B57B36"/>
    <w:rsid w:val="00B57E6F"/>
    <w:rsid w:val="00B60AE3"/>
    <w:rsid w:val="00B61F71"/>
    <w:rsid w:val="00B70864"/>
    <w:rsid w:val="00B71524"/>
    <w:rsid w:val="00B7462E"/>
    <w:rsid w:val="00B74D2D"/>
    <w:rsid w:val="00B7583E"/>
    <w:rsid w:val="00B80ADB"/>
    <w:rsid w:val="00B80FF4"/>
    <w:rsid w:val="00B8686D"/>
    <w:rsid w:val="00B90699"/>
    <w:rsid w:val="00B9082B"/>
    <w:rsid w:val="00B91D95"/>
    <w:rsid w:val="00B93F69"/>
    <w:rsid w:val="00BA101D"/>
    <w:rsid w:val="00BA4A79"/>
    <w:rsid w:val="00BB1DDC"/>
    <w:rsid w:val="00BB239A"/>
    <w:rsid w:val="00BB3D84"/>
    <w:rsid w:val="00BB5F0C"/>
    <w:rsid w:val="00BC04FB"/>
    <w:rsid w:val="00BC30C9"/>
    <w:rsid w:val="00BC4B08"/>
    <w:rsid w:val="00BD077D"/>
    <w:rsid w:val="00BD1FD5"/>
    <w:rsid w:val="00BD3C95"/>
    <w:rsid w:val="00BD4A32"/>
    <w:rsid w:val="00BE3E58"/>
    <w:rsid w:val="00BE44E0"/>
    <w:rsid w:val="00BF13CE"/>
    <w:rsid w:val="00BF3082"/>
    <w:rsid w:val="00BF3547"/>
    <w:rsid w:val="00BF49FA"/>
    <w:rsid w:val="00BF61B0"/>
    <w:rsid w:val="00BF7B93"/>
    <w:rsid w:val="00C01616"/>
    <w:rsid w:val="00C0162B"/>
    <w:rsid w:val="00C01DBB"/>
    <w:rsid w:val="00C068ED"/>
    <w:rsid w:val="00C06C19"/>
    <w:rsid w:val="00C11DF7"/>
    <w:rsid w:val="00C138C4"/>
    <w:rsid w:val="00C14962"/>
    <w:rsid w:val="00C152D1"/>
    <w:rsid w:val="00C206F4"/>
    <w:rsid w:val="00C22164"/>
    <w:rsid w:val="00C22E0C"/>
    <w:rsid w:val="00C32C7D"/>
    <w:rsid w:val="00C345B1"/>
    <w:rsid w:val="00C40142"/>
    <w:rsid w:val="00C43D7B"/>
    <w:rsid w:val="00C52C3C"/>
    <w:rsid w:val="00C54567"/>
    <w:rsid w:val="00C570F9"/>
    <w:rsid w:val="00C57182"/>
    <w:rsid w:val="00C57433"/>
    <w:rsid w:val="00C57863"/>
    <w:rsid w:val="00C60185"/>
    <w:rsid w:val="00C60D84"/>
    <w:rsid w:val="00C640AF"/>
    <w:rsid w:val="00C655FD"/>
    <w:rsid w:val="00C67F1A"/>
    <w:rsid w:val="00C75407"/>
    <w:rsid w:val="00C75640"/>
    <w:rsid w:val="00C75707"/>
    <w:rsid w:val="00C807E5"/>
    <w:rsid w:val="00C81E7D"/>
    <w:rsid w:val="00C841C6"/>
    <w:rsid w:val="00C85291"/>
    <w:rsid w:val="00C870A8"/>
    <w:rsid w:val="00C92804"/>
    <w:rsid w:val="00C94434"/>
    <w:rsid w:val="00CA0902"/>
    <w:rsid w:val="00CA0D75"/>
    <w:rsid w:val="00CA1C95"/>
    <w:rsid w:val="00CA5A9C"/>
    <w:rsid w:val="00CB2DC2"/>
    <w:rsid w:val="00CC1518"/>
    <w:rsid w:val="00CC40AF"/>
    <w:rsid w:val="00CC4300"/>
    <w:rsid w:val="00CC4C20"/>
    <w:rsid w:val="00CD3177"/>
    <w:rsid w:val="00CD3517"/>
    <w:rsid w:val="00CD3E0B"/>
    <w:rsid w:val="00CD5AE8"/>
    <w:rsid w:val="00CD5FE2"/>
    <w:rsid w:val="00CD6262"/>
    <w:rsid w:val="00CD7EDD"/>
    <w:rsid w:val="00CE1BDF"/>
    <w:rsid w:val="00CE2BDA"/>
    <w:rsid w:val="00CE7C68"/>
    <w:rsid w:val="00CF1AF7"/>
    <w:rsid w:val="00CF635E"/>
    <w:rsid w:val="00D0293A"/>
    <w:rsid w:val="00D02B4C"/>
    <w:rsid w:val="00D0339B"/>
    <w:rsid w:val="00D040C4"/>
    <w:rsid w:val="00D12261"/>
    <w:rsid w:val="00D1401C"/>
    <w:rsid w:val="00D20AD1"/>
    <w:rsid w:val="00D22867"/>
    <w:rsid w:val="00D2582C"/>
    <w:rsid w:val="00D34195"/>
    <w:rsid w:val="00D3544C"/>
    <w:rsid w:val="00D36CC0"/>
    <w:rsid w:val="00D41C99"/>
    <w:rsid w:val="00D439B3"/>
    <w:rsid w:val="00D45801"/>
    <w:rsid w:val="00D46B7E"/>
    <w:rsid w:val="00D47A0C"/>
    <w:rsid w:val="00D517A0"/>
    <w:rsid w:val="00D542D0"/>
    <w:rsid w:val="00D57675"/>
    <w:rsid w:val="00D57C84"/>
    <w:rsid w:val="00D6057D"/>
    <w:rsid w:val="00D63708"/>
    <w:rsid w:val="00D6677D"/>
    <w:rsid w:val="00D66BCD"/>
    <w:rsid w:val="00D71640"/>
    <w:rsid w:val="00D73E85"/>
    <w:rsid w:val="00D73FD9"/>
    <w:rsid w:val="00D81813"/>
    <w:rsid w:val="00D82B07"/>
    <w:rsid w:val="00D836C5"/>
    <w:rsid w:val="00D84576"/>
    <w:rsid w:val="00D94E74"/>
    <w:rsid w:val="00DA1399"/>
    <w:rsid w:val="00DA1CF8"/>
    <w:rsid w:val="00DA24C6"/>
    <w:rsid w:val="00DA4D7B"/>
    <w:rsid w:val="00DA6B3D"/>
    <w:rsid w:val="00DA7839"/>
    <w:rsid w:val="00DB0987"/>
    <w:rsid w:val="00DB5642"/>
    <w:rsid w:val="00DC2840"/>
    <w:rsid w:val="00DC29BC"/>
    <w:rsid w:val="00DC50B4"/>
    <w:rsid w:val="00DC73EE"/>
    <w:rsid w:val="00DD1AB8"/>
    <w:rsid w:val="00DD271C"/>
    <w:rsid w:val="00DE264A"/>
    <w:rsid w:val="00DE3614"/>
    <w:rsid w:val="00DE3B7F"/>
    <w:rsid w:val="00DF2764"/>
    <w:rsid w:val="00DF5072"/>
    <w:rsid w:val="00DF749E"/>
    <w:rsid w:val="00E00950"/>
    <w:rsid w:val="00E017FE"/>
    <w:rsid w:val="00E02D18"/>
    <w:rsid w:val="00E041E7"/>
    <w:rsid w:val="00E1492D"/>
    <w:rsid w:val="00E17C73"/>
    <w:rsid w:val="00E2099A"/>
    <w:rsid w:val="00E23CA1"/>
    <w:rsid w:val="00E311EA"/>
    <w:rsid w:val="00E311F8"/>
    <w:rsid w:val="00E31756"/>
    <w:rsid w:val="00E409A8"/>
    <w:rsid w:val="00E45B28"/>
    <w:rsid w:val="00E50C12"/>
    <w:rsid w:val="00E51940"/>
    <w:rsid w:val="00E65B91"/>
    <w:rsid w:val="00E670C5"/>
    <w:rsid w:val="00E70AAB"/>
    <w:rsid w:val="00E7209D"/>
    <w:rsid w:val="00E72EAD"/>
    <w:rsid w:val="00E77223"/>
    <w:rsid w:val="00E8528B"/>
    <w:rsid w:val="00E85B94"/>
    <w:rsid w:val="00E85D30"/>
    <w:rsid w:val="00E93944"/>
    <w:rsid w:val="00E95C34"/>
    <w:rsid w:val="00E978D0"/>
    <w:rsid w:val="00EA2024"/>
    <w:rsid w:val="00EA2545"/>
    <w:rsid w:val="00EA3A92"/>
    <w:rsid w:val="00EA4613"/>
    <w:rsid w:val="00EA7F91"/>
    <w:rsid w:val="00EB1523"/>
    <w:rsid w:val="00EB6E0E"/>
    <w:rsid w:val="00EC0E49"/>
    <w:rsid w:val="00EC101F"/>
    <w:rsid w:val="00EC1D9F"/>
    <w:rsid w:val="00ED41DD"/>
    <w:rsid w:val="00ED72A3"/>
    <w:rsid w:val="00ED7FAD"/>
    <w:rsid w:val="00EE0131"/>
    <w:rsid w:val="00EE1084"/>
    <w:rsid w:val="00EE17B0"/>
    <w:rsid w:val="00EE47B2"/>
    <w:rsid w:val="00EE49D6"/>
    <w:rsid w:val="00EF06D9"/>
    <w:rsid w:val="00EF7F9C"/>
    <w:rsid w:val="00F01023"/>
    <w:rsid w:val="00F210C5"/>
    <w:rsid w:val="00F21FB3"/>
    <w:rsid w:val="00F224BF"/>
    <w:rsid w:val="00F2639D"/>
    <w:rsid w:val="00F276C4"/>
    <w:rsid w:val="00F3049E"/>
    <w:rsid w:val="00F30C64"/>
    <w:rsid w:val="00F32BA2"/>
    <w:rsid w:val="00F32CDB"/>
    <w:rsid w:val="00F415F7"/>
    <w:rsid w:val="00F41EE4"/>
    <w:rsid w:val="00F42259"/>
    <w:rsid w:val="00F43943"/>
    <w:rsid w:val="00F43FBA"/>
    <w:rsid w:val="00F440CC"/>
    <w:rsid w:val="00F44E6F"/>
    <w:rsid w:val="00F45B7D"/>
    <w:rsid w:val="00F5468F"/>
    <w:rsid w:val="00F5491A"/>
    <w:rsid w:val="00F55829"/>
    <w:rsid w:val="00F5587F"/>
    <w:rsid w:val="00F565FE"/>
    <w:rsid w:val="00F57AB1"/>
    <w:rsid w:val="00F63A70"/>
    <w:rsid w:val="00F63D8C"/>
    <w:rsid w:val="00F64EA1"/>
    <w:rsid w:val="00F71B77"/>
    <w:rsid w:val="00F74F32"/>
    <w:rsid w:val="00F7534E"/>
    <w:rsid w:val="00F8246B"/>
    <w:rsid w:val="00F8415E"/>
    <w:rsid w:val="00F85F40"/>
    <w:rsid w:val="00F93EDF"/>
    <w:rsid w:val="00F9589A"/>
    <w:rsid w:val="00FA1802"/>
    <w:rsid w:val="00FA2080"/>
    <w:rsid w:val="00FA21D0"/>
    <w:rsid w:val="00FA30EE"/>
    <w:rsid w:val="00FA5F5F"/>
    <w:rsid w:val="00FB730C"/>
    <w:rsid w:val="00FC2695"/>
    <w:rsid w:val="00FC3374"/>
    <w:rsid w:val="00FC3E03"/>
    <w:rsid w:val="00FC3FC1"/>
    <w:rsid w:val="00FC745C"/>
    <w:rsid w:val="00FE46CC"/>
    <w:rsid w:val="00FF680F"/>
    <w:rsid w:val="1E768503"/>
    <w:rsid w:val="3ABD9C40"/>
    <w:rsid w:val="669DB3EB"/>
    <w:rsid w:val="7D20464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C6018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86A23"/>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86A23"/>
    <w:rPr>
      <w:rFonts w:ascii="Arial" w:eastAsia="Times New Roman" w:hAnsi="Arial" w:cs="Times New Roman"/>
      <w:b/>
      <w:color w:val="000000" w:themeColor="text1"/>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rPr>
      <w:b/>
      <w:bCs/>
      <w:color w:val="4F81BD" w:themeColor="accent1"/>
      <w:szCs w:val="18"/>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ind w:left="440" w:hanging="220"/>
    </w:pPr>
  </w:style>
  <w:style w:type="paragraph" w:styleId="Indice3">
    <w:name w:val="index 3"/>
    <w:basedOn w:val="Normale"/>
    <w:next w:val="Normale"/>
    <w:autoRedefine/>
    <w:uiPriority w:val="99"/>
    <w:semiHidden/>
    <w:unhideWhenUsed/>
    <w:rsid w:val="0003148D"/>
    <w:pPr>
      <w:ind w:left="660" w:hanging="220"/>
    </w:pPr>
  </w:style>
  <w:style w:type="paragraph" w:styleId="Indice4">
    <w:name w:val="index 4"/>
    <w:basedOn w:val="Normale"/>
    <w:next w:val="Normale"/>
    <w:autoRedefine/>
    <w:uiPriority w:val="99"/>
    <w:semiHidden/>
    <w:unhideWhenUsed/>
    <w:rsid w:val="0003148D"/>
    <w:pPr>
      <w:ind w:left="880" w:hanging="220"/>
    </w:pPr>
  </w:style>
  <w:style w:type="paragraph" w:styleId="Indice5">
    <w:name w:val="index 5"/>
    <w:basedOn w:val="Normale"/>
    <w:next w:val="Normale"/>
    <w:autoRedefine/>
    <w:uiPriority w:val="99"/>
    <w:semiHidden/>
    <w:unhideWhenUsed/>
    <w:rsid w:val="0003148D"/>
    <w:pPr>
      <w:ind w:left="1100" w:hanging="220"/>
    </w:pPr>
  </w:style>
  <w:style w:type="paragraph" w:styleId="Indice6">
    <w:name w:val="index 6"/>
    <w:basedOn w:val="Normale"/>
    <w:next w:val="Normale"/>
    <w:autoRedefine/>
    <w:uiPriority w:val="99"/>
    <w:semiHidden/>
    <w:unhideWhenUsed/>
    <w:rsid w:val="0003148D"/>
    <w:pPr>
      <w:ind w:left="1320" w:hanging="220"/>
    </w:pPr>
  </w:style>
  <w:style w:type="paragraph" w:styleId="Indice7">
    <w:name w:val="index 7"/>
    <w:basedOn w:val="Normale"/>
    <w:next w:val="Normale"/>
    <w:autoRedefine/>
    <w:uiPriority w:val="99"/>
    <w:semiHidden/>
    <w:unhideWhenUsed/>
    <w:rsid w:val="0003148D"/>
    <w:pPr>
      <w:ind w:left="1540" w:hanging="220"/>
    </w:pPr>
  </w:style>
  <w:style w:type="paragraph" w:styleId="Indice8">
    <w:name w:val="index 8"/>
    <w:basedOn w:val="Normale"/>
    <w:next w:val="Normale"/>
    <w:autoRedefine/>
    <w:uiPriority w:val="99"/>
    <w:semiHidden/>
    <w:unhideWhenUsed/>
    <w:rsid w:val="0003148D"/>
    <w:pPr>
      <w:ind w:left="1760" w:hanging="220"/>
    </w:pPr>
  </w:style>
  <w:style w:type="paragraph" w:styleId="Indice9">
    <w:name w:val="index 9"/>
    <w:basedOn w:val="Normale"/>
    <w:next w:val="Normale"/>
    <w:autoRedefine/>
    <w:uiPriority w:val="99"/>
    <w:semiHidden/>
    <w:unhideWhenUsed/>
    <w:rsid w:val="0003148D"/>
    <w:pPr>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Paragrafoelenco">
    <w:name w:val="List Paragraph"/>
    <w:basedOn w:val="Normale"/>
    <w:uiPriority w:val="34"/>
    <w:rsid w:val="00280FAF"/>
    <w:pPr>
      <w:tabs>
        <w:tab w:val="right" w:pos="7100"/>
      </w:tabs>
      <w:spacing w:line="264" w:lineRule="auto"/>
      <w:ind w:left="720"/>
      <w:contextualSpacing/>
      <w:jc w:val="both"/>
    </w:pPr>
    <w:rPr>
      <w:rFonts w:ascii="Arial" w:hAnsi="Arial"/>
      <w:sz w:val="18"/>
      <w:szCs w:val="20"/>
      <w:lang w:val="en-GB" w:eastAsia="en-US"/>
    </w:r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B71524"/>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B9082B"/>
    <w:rPr>
      <w:color w:val="605E5C"/>
      <w:shd w:val="clear" w:color="auto" w:fill="E1DFDD"/>
    </w:rPr>
  </w:style>
  <w:style w:type="character" w:styleId="Collegamentovisitato">
    <w:name w:val="FollowedHyperlink"/>
    <w:basedOn w:val="Carpredefinitoparagrafo"/>
    <w:uiPriority w:val="99"/>
    <w:semiHidden/>
    <w:unhideWhenUsed/>
    <w:rsid w:val="00EA2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069">
      <w:bodyDiv w:val="1"/>
      <w:marLeft w:val="0"/>
      <w:marRight w:val="0"/>
      <w:marTop w:val="0"/>
      <w:marBottom w:val="0"/>
      <w:divBdr>
        <w:top w:val="none" w:sz="0" w:space="0" w:color="auto"/>
        <w:left w:val="none" w:sz="0" w:space="0" w:color="auto"/>
        <w:bottom w:val="none" w:sz="0" w:space="0" w:color="auto"/>
        <w:right w:val="none" w:sz="0" w:space="0" w:color="auto"/>
      </w:divBdr>
      <w:divsChild>
        <w:div w:id="1858807460">
          <w:marLeft w:val="0"/>
          <w:marRight w:val="0"/>
          <w:marTop w:val="0"/>
          <w:marBottom w:val="0"/>
          <w:divBdr>
            <w:top w:val="none" w:sz="0" w:space="0" w:color="auto"/>
            <w:left w:val="none" w:sz="0" w:space="0" w:color="auto"/>
            <w:bottom w:val="none" w:sz="0" w:space="0" w:color="auto"/>
            <w:right w:val="none" w:sz="0" w:space="0" w:color="auto"/>
          </w:divBdr>
        </w:div>
      </w:divsChild>
    </w:div>
    <w:div w:id="68188281">
      <w:bodyDiv w:val="1"/>
      <w:marLeft w:val="0"/>
      <w:marRight w:val="0"/>
      <w:marTop w:val="0"/>
      <w:marBottom w:val="0"/>
      <w:divBdr>
        <w:top w:val="none" w:sz="0" w:space="0" w:color="auto"/>
        <w:left w:val="none" w:sz="0" w:space="0" w:color="auto"/>
        <w:bottom w:val="none" w:sz="0" w:space="0" w:color="auto"/>
        <w:right w:val="none" w:sz="0" w:space="0" w:color="auto"/>
      </w:divBdr>
      <w:divsChild>
        <w:div w:id="58670828">
          <w:marLeft w:val="0"/>
          <w:marRight w:val="0"/>
          <w:marTop w:val="0"/>
          <w:marBottom w:val="0"/>
          <w:divBdr>
            <w:top w:val="none" w:sz="0" w:space="0" w:color="auto"/>
            <w:left w:val="none" w:sz="0" w:space="0" w:color="auto"/>
            <w:bottom w:val="none" w:sz="0" w:space="0" w:color="auto"/>
            <w:right w:val="none" w:sz="0" w:space="0" w:color="auto"/>
          </w:divBdr>
        </w:div>
      </w:divsChild>
    </w:div>
    <w:div w:id="171146217">
      <w:bodyDiv w:val="1"/>
      <w:marLeft w:val="0"/>
      <w:marRight w:val="0"/>
      <w:marTop w:val="0"/>
      <w:marBottom w:val="0"/>
      <w:divBdr>
        <w:top w:val="none" w:sz="0" w:space="0" w:color="auto"/>
        <w:left w:val="none" w:sz="0" w:space="0" w:color="auto"/>
        <w:bottom w:val="none" w:sz="0" w:space="0" w:color="auto"/>
        <w:right w:val="none" w:sz="0" w:space="0" w:color="auto"/>
      </w:divBdr>
      <w:divsChild>
        <w:div w:id="777333540">
          <w:marLeft w:val="0"/>
          <w:marRight w:val="0"/>
          <w:marTop w:val="0"/>
          <w:marBottom w:val="0"/>
          <w:divBdr>
            <w:top w:val="none" w:sz="0" w:space="0" w:color="auto"/>
            <w:left w:val="none" w:sz="0" w:space="0" w:color="auto"/>
            <w:bottom w:val="none" w:sz="0" w:space="0" w:color="auto"/>
            <w:right w:val="none" w:sz="0" w:space="0" w:color="auto"/>
          </w:divBdr>
        </w:div>
      </w:divsChild>
    </w:div>
    <w:div w:id="214584577">
      <w:bodyDiv w:val="1"/>
      <w:marLeft w:val="0"/>
      <w:marRight w:val="0"/>
      <w:marTop w:val="0"/>
      <w:marBottom w:val="0"/>
      <w:divBdr>
        <w:top w:val="none" w:sz="0" w:space="0" w:color="auto"/>
        <w:left w:val="none" w:sz="0" w:space="0" w:color="auto"/>
        <w:bottom w:val="none" w:sz="0" w:space="0" w:color="auto"/>
        <w:right w:val="none" w:sz="0" w:space="0" w:color="auto"/>
      </w:divBdr>
      <w:divsChild>
        <w:div w:id="256253898">
          <w:marLeft w:val="0"/>
          <w:marRight w:val="0"/>
          <w:marTop w:val="0"/>
          <w:marBottom w:val="0"/>
          <w:divBdr>
            <w:top w:val="none" w:sz="0" w:space="0" w:color="auto"/>
            <w:left w:val="none" w:sz="0" w:space="0" w:color="auto"/>
            <w:bottom w:val="none" w:sz="0" w:space="0" w:color="auto"/>
            <w:right w:val="none" w:sz="0" w:space="0" w:color="auto"/>
          </w:divBdr>
        </w:div>
      </w:divsChild>
    </w:div>
    <w:div w:id="234052791">
      <w:bodyDiv w:val="1"/>
      <w:marLeft w:val="0"/>
      <w:marRight w:val="0"/>
      <w:marTop w:val="0"/>
      <w:marBottom w:val="0"/>
      <w:divBdr>
        <w:top w:val="none" w:sz="0" w:space="0" w:color="auto"/>
        <w:left w:val="none" w:sz="0" w:space="0" w:color="auto"/>
        <w:bottom w:val="none" w:sz="0" w:space="0" w:color="auto"/>
        <w:right w:val="none" w:sz="0" w:space="0" w:color="auto"/>
      </w:divBdr>
      <w:divsChild>
        <w:div w:id="912817204">
          <w:marLeft w:val="0"/>
          <w:marRight w:val="0"/>
          <w:marTop w:val="0"/>
          <w:marBottom w:val="0"/>
          <w:divBdr>
            <w:top w:val="none" w:sz="0" w:space="0" w:color="auto"/>
            <w:left w:val="none" w:sz="0" w:space="0" w:color="auto"/>
            <w:bottom w:val="none" w:sz="0" w:space="0" w:color="auto"/>
            <w:right w:val="none" w:sz="0" w:space="0" w:color="auto"/>
          </w:divBdr>
        </w:div>
      </w:divsChild>
    </w:div>
    <w:div w:id="260526078">
      <w:bodyDiv w:val="1"/>
      <w:marLeft w:val="0"/>
      <w:marRight w:val="0"/>
      <w:marTop w:val="0"/>
      <w:marBottom w:val="0"/>
      <w:divBdr>
        <w:top w:val="none" w:sz="0" w:space="0" w:color="auto"/>
        <w:left w:val="none" w:sz="0" w:space="0" w:color="auto"/>
        <w:bottom w:val="none" w:sz="0" w:space="0" w:color="auto"/>
        <w:right w:val="none" w:sz="0" w:space="0" w:color="auto"/>
      </w:divBdr>
    </w:div>
    <w:div w:id="282616757">
      <w:bodyDiv w:val="1"/>
      <w:marLeft w:val="0"/>
      <w:marRight w:val="0"/>
      <w:marTop w:val="0"/>
      <w:marBottom w:val="0"/>
      <w:divBdr>
        <w:top w:val="none" w:sz="0" w:space="0" w:color="auto"/>
        <w:left w:val="none" w:sz="0" w:space="0" w:color="auto"/>
        <w:bottom w:val="none" w:sz="0" w:space="0" w:color="auto"/>
        <w:right w:val="none" w:sz="0" w:space="0" w:color="auto"/>
      </w:divBdr>
      <w:divsChild>
        <w:div w:id="1440107963">
          <w:marLeft w:val="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443351669">
      <w:bodyDiv w:val="1"/>
      <w:marLeft w:val="0"/>
      <w:marRight w:val="0"/>
      <w:marTop w:val="0"/>
      <w:marBottom w:val="0"/>
      <w:divBdr>
        <w:top w:val="none" w:sz="0" w:space="0" w:color="auto"/>
        <w:left w:val="none" w:sz="0" w:space="0" w:color="auto"/>
        <w:bottom w:val="none" w:sz="0" w:space="0" w:color="auto"/>
        <w:right w:val="none" w:sz="0" w:space="0" w:color="auto"/>
      </w:divBdr>
      <w:divsChild>
        <w:div w:id="465777218">
          <w:marLeft w:val="0"/>
          <w:marRight w:val="0"/>
          <w:marTop w:val="0"/>
          <w:marBottom w:val="0"/>
          <w:divBdr>
            <w:top w:val="none" w:sz="0" w:space="0" w:color="auto"/>
            <w:left w:val="none" w:sz="0" w:space="0" w:color="auto"/>
            <w:bottom w:val="none" w:sz="0" w:space="0" w:color="auto"/>
            <w:right w:val="none" w:sz="0" w:space="0" w:color="auto"/>
          </w:divBdr>
        </w:div>
      </w:divsChild>
    </w:div>
    <w:div w:id="483474180">
      <w:bodyDiv w:val="1"/>
      <w:marLeft w:val="0"/>
      <w:marRight w:val="0"/>
      <w:marTop w:val="0"/>
      <w:marBottom w:val="0"/>
      <w:divBdr>
        <w:top w:val="none" w:sz="0" w:space="0" w:color="auto"/>
        <w:left w:val="none" w:sz="0" w:space="0" w:color="auto"/>
        <w:bottom w:val="none" w:sz="0" w:space="0" w:color="auto"/>
        <w:right w:val="none" w:sz="0" w:space="0" w:color="auto"/>
      </w:divBdr>
    </w:div>
    <w:div w:id="520123590">
      <w:bodyDiv w:val="1"/>
      <w:marLeft w:val="0"/>
      <w:marRight w:val="0"/>
      <w:marTop w:val="0"/>
      <w:marBottom w:val="0"/>
      <w:divBdr>
        <w:top w:val="none" w:sz="0" w:space="0" w:color="auto"/>
        <w:left w:val="none" w:sz="0" w:space="0" w:color="auto"/>
        <w:bottom w:val="none" w:sz="0" w:space="0" w:color="auto"/>
        <w:right w:val="none" w:sz="0" w:space="0" w:color="auto"/>
      </w:divBdr>
      <w:divsChild>
        <w:div w:id="1829445124">
          <w:marLeft w:val="0"/>
          <w:marRight w:val="0"/>
          <w:marTop w:val="0"/>
          <w:marBottom w:val="0"/>
          <w:divBdr>
            <w:top w:val="none" w:sz="0" w:space="0" w:color="auto"/>
            <w:left w:val="none" w:sz="0" w:space="0" w:color="auto"/>
            <w:bottom w:val="none" w:sz="0" w:space="0" w:color="auto"/>
            <w:right w:val="none" w:sz="0" w:space="0" w:color="auto"/>
          </w:divBdr>
        </w:div>
      </w:divsChild>
    </w:div>
    <w:div w:id="522938977">
      <w:bodyDiv w:val="1"/>
      <w:marLeft w:val="0"/>
      <w:marRight w:val="0"/>
      <w:marTop w:val="0"/>
      <w:marBottom w:val="0"/>
      <w:divBdr>
        <w:top w:val="none" w:sz="0" w:space="0" w:color="auto"/>
        <w:left w:val="none" w:sz="0" w:space="0" w:color="auto"/>
        <w:bottom w:val="none" w:sz="0" w:space="0" w:color="auto"/>
        <w:right w:val="none" w:sz="0" w:space="0" w:color="auto"/>
      </w:divBdr>
      <w:divsChild>
        <w:div w:id="1766533644">
          <w:marLeft w:val="0"/>
          <w:marRight w:val="0"/>
          <w:marTop w:val="0"/>
          <w:marBottom w:val="0"/>
          <w:divBdr>
            <w:top w:val="none" w:sz="0" w:space="0" w:color="auto"/>
            <w:left w:val="none" w:sz="0" w:space="0" w:color="auto"/>
            <w:bottom w:val="none" w:sz="0" w:space="0" w:color="auto"/>
            <w:right w:val="none" w:sz="0" w:space="0" w:color="auto"/>
          </w:divBdr>
        </w:div>
      </w:divsChild>
    </w:div>
    <w:div w:id="636380236">
      <w:bodyDiv w:val="1"/>
      <w:marLeft w:val="0"/>
      <w:marRight w:val="0"/>
      <w:marTop w:val="0"/>
      <w:marBottom w:val="0"/>
      <w:divBdr>
        <w:top w:val="none" w:sz="0" w:space="0" w:color="auto"/>
        <w:left w:val="none" w:sz="0" w:space="0" w:color="auto"/>
        <w:bottom w:val="none" w:sz="0" w:space="0" w:color="auto"/>
        <w:right w:val="none" w:sz="0" w:space="0" w:color="auto"/>
      </w:divBdr>
      <w:divsChild>
        <w:div w:id="1005747810">
          <w:marLeft w:val="0"/>
          <w:marRight w:val="0"/>
          <w:marTop w:val="0"/>
          <w:marBottom w:val="0"/>
          <w:divBdr>
            <w:top w:val="none" w:sz="0" w:space="0" w:color="auto"/>
            <w:left w:val="none" w:sz="0" w:space="0" w:color="auto"/>
            <w:bottom w:val="none" w:sz="0" w:space="0" w:color="auto"/>
            <w:right w:val="none" w:sz="0" w:space="0" w:color="auto"/>
          </w:divBdr>
        </w:div>
      </w:divsChild>
    </w:div>
    <w:div w:id="710035005">
      <w:bodyDiv w:val="1"/>
      <w:marLeft w:val="0"/>
      <w:marRight w:val="0"/>
      <w:marTop w:val="0"/>
      <w:marBottom w:val="0"/>
      <w:divBdr>
        <w:top w:val="none" w:sz="0" w:space="0" w:color="auto"/>
        <w:left w:val="none" w:sz="0" w:space="0" w:color="auto"/>
        <w:bottom w:val="none" w:sz="0" w:space="0" w:color="auto"/>
        <w:right w:val="none" w:sz="0" w:space="0" w:color="auto"/>
      </w:divBdr>
      <w:divsChild>
        <w:div w:id="1291550363">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8566">
      <w:bodyDiv w:val="1"/>
      <w:marLeft w:val="0"/>
      <w:marRight w:val="0"/>
      <w:marTop w:val="0"/>
      <w:marBottom w:val="0"/>
      <w:divBdr>
        <w:top w:val="none" w:sz="0" w:space="0" w:color="auto"/>
        <w:left w:val="none" w:sz="0" w:space="0" w:color="auto"/>
        <w:bottom w:val="none" w:sz="0" w:space="0" w:color="auto"/>
        <w:right w:val="none" w:sz="0" w:space="0" w:color="auto"/>
      </w:divBdr>
      <w:divsChild>
        <w:div w:id="779111831">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119398">
      <w:bodyDiv w:val="1"/>
      <w:marLeft w:val="0"/>
      <w:marRight w:val="0"/>
      <w:marTop w:val="0"/>
      <w:marBottom w:val="0"/>
      <w:divBdr>
        <w:top w:val="none" w:sz="0" w:space="0" w:color="auto"/>
        <w:left w:val="none" w:sz="0" w:space="0" w:color="auto"/>
        <w:bottom w:val="none" w:sz="0" w:space="0" w:color="auto"/>
        <w:right w:val="none" w:sz="0" w:space="0" w:color="auto"/>
      </w:divBdr>
      <w:divsChild>
        <w:div w:id="1066610749">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7963">
      <w:bodyDiv w:val="1"/>
      <w:marLeft w:val="0"/>
      <w:marRight w:val="0"/>
      <w:marTop w:val="0"/>
      <w:marBottom w:val="0"/>
      <w:divBdr>
        <w:top w:val="none" w:sz="0" w:space="0" w:color="auto"/>
        <w:left w:val="none" w:sz="0" w:space="0" w:color="auto"/>
        <w:bottom w:val="none" w:sz="0" w:space="0" w:color="auto"/>
        <w:right w:val="none" w:sz="0" w:space="0" w:color="auto"/>
      </w:divBdr>
    </w:div>
    <w:div w:id="1093623596">
      <w:bodyDiv w:val="1"/>
      <w:marLeft w:val="0"/>
      <w:marRight w:val="0"/>
      <w:marTop w:val="0"/>
      <w:marBottom w:val="0"/>
      <w:divBdr>
        <w:top w:val="none" w:sz="0" w:space="0" w:color="auto"/>
        <w:left w:val="none" w:sz="0" w:space="0" w:color="auto"/>
        <w:bottom w:val="none" w:sz="0" w:space="0" w:color="auto"/>
        <w:right w:val="none" w:sz="0" w:space="0" w:color="auto"/>
      </w:divBdr>
      <w:divsChild>
        <w:div w:id="871311121">
          <w:marLeft w:val="0"/>
          <w:marRight w:val="0"/>
          <w:marTop w:val="0"/>
          <w:marBottom w:val="0"/>
          <w:divBdr>
            <w:top w:val="none" w:sz="0" w:space="0" w:color="auto"/>
            <w:left w:val="none" w:sz="0" w:space="0" w:color="auto"/>
            <w:bottom w:val="none" w:sz="0" w:space="0" w:color="auto"/>
            <w:right w:val="none" w:sz="0" w:space="0" w:color="auto"/>
          </w:divBdr>
        </w:div>
      </w:divsChild>
    </w:div>
    <w:div w:id="1108893362">
      <w:bodyDiv w:val="1"/>
      <w:marLeft w:val="0"/>
      <w:marRight w:val="0"/>
      <w:marTop w:val="0"/>
      <w:marBottom w:val="0"/>
      <w:divBdr>
        <w:top w:val="none" w:sz="0" w:space="0" w:color="auto"/>
        <w:left w:val="none" w:sz="0" w:space="0" w:color="auto"/>
        <w:bottom w:val="none" w:sz="0" w:space="0" w:color="auto"/>
        <w:right w:val="none" w:sz="0" w:space="0" w:color="auto"/>
      </w:divBdr>
    </w:div>
    <w:div w:id="1220677725">
      <w:bodyDiv w:val="1"/>
      <w:marLeft w:val="0"/>
      <w:marRight w:val="0"/>
      <w:marTop w:val="0"/>
      <w:marBottom w:val="0"/>
      <w:divBdr>
        <w:top w:val="none" w:sz="0" w:space="0" w:color="auto"/>
        <w:left w:val="none" w:sz="0" w:space="0" w:color="auto"/>
        <w:bottom w:val="none" w:sz="0" w:space="0" w:color="auto"/>
        <w:right w:val="none" w:sz="0" w:space="0" w:color="auto"/>
      </w:divBdr>
      <w:divsChild>
        <w:div w:id="1975211126">
          <w:marLeft w:val="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647550">
      <w:bodyDiv w:val="1"/>
      <w:marLeft w:val="0"/>
      <w:marRight w:val="0"/>
      <w:marTop w:val="0"/>
      <w:marBottom w:val="0"/>
      <w:divBdr>
        <w:top w:val="none" w:sz="0" w:space="0" w:color="auto"/>
        <w:left w:val="none" w:sz="0" w:space="0" w:color="auto"/>
        <w:bottom w:val="none" w:sz="0" w:space="0" w:color="auto"/>
        <w:right w:val="none" w:sz="0" w:space="0" w:color="auto"/>
      </w:divBdr>
      <w:divsChild>
        <w:div w:id="643655933">
          <w:marLeft w:val="0"/>
          <w:marRight w:val="0"/>
          <w:marTop w:val="0"/>
          <w:marBottom w:val="0"/>
          <w:divBdr>
            <w:top w:val="none" w:sz="0" w:space="0" w:color="auto"/>
            <w:left w:val="none" w:sz="0" w:space="0" w:color="auto"/>
            <w:bottom w:val="none" w:sz="0" w:space="0" w:color="auto"/>
            <w:right w:val="none" w:sz="0" w:space="0" w:color="auto"/>
          </w:divBdr>
        </w:div>
      </w:divsChild>
    </w:div>
    <w:div w:id="1503467881">
      <w:bodyDiv w:val="1"/>
      <w:marLeft w:val="0"/>
      <w:marRight w:val="0"/>
      <w:marTop w:val="0"/>
      <w:marBottom w:val="0"/>
      <w:divBdr>
        <w:top w:val="none" w:sz="0" w:space="0" w:color="auto"/>
        <w:left w:val="none" w:sz="0" w:space="0" w:color="auto"/>
        <w:bottom w:val="none" w:sz="0" w:space="0" w:color="auto"/>
        <w:right w:val="none" w:sz="0" w:space="0" w:color="auto"/>
      </w:divBdr>
      <w:divsChild>
        <w:div w:id="1758090688">
          <w:marLeft w:val="0"/>
          <w:marRight w:val="0"/>
          <w:marTop w:val="0"/>
          <w:marBottom w:val="0"/>
          <w:divBdr>
            <w:top w:val="none" w:sz="0" w:space="0" w:color="auto"/>
            <w:left w:val="none" w:sz="0" w:space="0" w:color="auto"/>
            <w:bottom w:val="none" w:sz="0" w:space="0" w:color="auto"/>
            <w:right w:val="none" w:sz="0" w:space="0" w:color="auto"/>
          </w:divBdr>
        </w:div>
      </w:divsChild>
    </w:div>
    <w:div w:id="1572884637">
      <w:bodyDiv w:val="1"/>
      <w:marLeft w:val="0"/>
      <w:marRight w:val="0"/>
      <w:marTop w:val="0"/>
      <w:marBottom w:val="0"/>
      <w:divBdr>
        <w:top w:val="none" w:sz="0" w:space="0" w:color="auto"/>
        <w:left w:val="none" w:sz="0" w:space="0" w:color="auto"/>
        <w:bottom w:val="none" w:sz="0" w:space="0" w:color="auto"/>
        <w:right w:val="none" w:sz="0" w:space="0" w:color="auto"/>
      </w:divBdr>
      <w:divsChild>
        <w:div w:id="2110225946">
          <w:marLeft w:val="0"/>
          <w:marRight w:val="0"/>
          <w:marTop w:val="0"/>
          <w:marBottom w:val="0"/>
          <w:divBdr>
            <w:top w:val="none" w:sz="0" w:space="0" w:color="auto"/>
            <w:left w:val="none" w:sz="0" w:space="0" w:color="auto"/>
            <w:bottom w:val="none" w:sz="0" w:space="0" w:color="auto"/>
            <w:right w:val="none" w:sz="0" w:space="0" w:color="auto"/>
          </w:divBdr>
        </w:div>
      </w:divsChild>
    </w:div>
    <w:div w:id="1600719313">
      <w:bodyDiv w:val="1"/>
      <w:marLeft w:val="0"/>
      <w:marRight w:val="0"/>
      <w:marTop w:val="0"/>
      <w:marBottom w:val="0"/>
      <w:divBdr>
        <w:top w:val="none" w:sz="0" w:space="0" w:color="auto"/>
        <w:left w:val="none" w:sz="0" w:space="0" w:color="auto"/>
        <w:bottom w:val="none" w:sz="0" w:space="0" w:color="auto"/>
        <w:right w:val="none" w:sz="0" w:space="0" w:color="auto"/>
      </w:divBdr>
      <w:divsChild>
        <w:div w:id="1467317222">
          <w:marLeft w:val="0"/>
          <w:marRight w:val="0"/>
          <w:marTop w:val="0"/>
          <w:marBottom w:val="0"/>
          <w:divBdr>
            <w:top w:val="none" w:sz="0" w:space="0" w:color="auto"/>
            <w:left w:val="none" w:sz="0" w:space="0" w:color="auto"/>
            <w:bottom w:val="none" w:sz="0" w:space="0" w:color="auto"/>
            <w:right w:val="none" w:sz="0" w:space="0" w:color="auto"/>
          </w:divBdr>
        </w:div>
      </w:divsChild>
    </w:div>
    <w:div w:id="1613584920">
      <w:bodyDiv w:val="1"/>
      <w:marLeft w:val="0"/>
      <w:marRight w:val="0"/>
      <w:marTop w:val="0"/>
      <w:marBottom w:val="0"/>
      <w:divBdr>
        <w:top w:val="none" w:sz="0" w:space="0" w:color="auto"/>
        <w:left w:val="none" w:sz="0" w:space="0" w:color="auto"/>
        <w:bottom w:val="none" w:sz="0" w:space="0" w:color="auto"/>
        <w:right w:val="none" w:sz="0" w:space="0" w:color="auto"/>
      </w:divBdr>
      <w:divsChild>
        <w:div w:id="280184472">
          <w:marLeft w:val="0"/>
          <w:marRight w:val="0"/>
          <w:marTop w:val="0"/>
          <w:marBottom w:val="0"/>
          <w:divBdr>
            <w:top w:val="none" w:sz="0" w:space="0" w:color="auto"/>
            <w:left w:val="none" w:sz="0" w:space="0" w:color="auto"/>
            <w:bottom w:val="none" w:sz="0" w:space="0" w:color="auto"/>
            <w:right w:val="none" w:sz="0" w:space="0" w:color="auto"/>
          </w:divBdr>
        </w:div>
      </w:divsChild>
    </w:div>
    <w:div w:id="163329049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974">
      <w:bodyDiv w:val="1"/>
      <w:marLeft w:val="0"/>
      <w:marRight w:val="0"/>
      <w:marTop w:val="0"/>
      <w:marBottom w:val="0"/>
      <w:divBdr>
        <w:top w:val="none" w:sz="0" w:space="0" w:color="auto"/>
        <w:left w:val="none" w:sz="0" w:space="0" w:color="auto"/>
        <w:bottom w:val="none" w:sz="0" w:space="0" w:color="auto"/>
        <w:right w:val="none" w:sz="0" w:space="0" w:color="auto"/>
      </w:divBdr>
      <w:divsChild>
        <w:div w:id="2134204722">
          <w:marLeft w:val="0"/>
          <w:marRight w:val="0"/>
          <w:marTop w:val="0"/>
          <w:marBottom w:val="0"/>
          <w:divBdr>
            <w:top w:val="none" w:sz="0" w:space="0" w:color="auto"/>
            <w:left w:val="none" w:sz="0" w:space="0" w:color="auto"/>
            <w:bottom w:val="none" w:sz="0" w:space="0" w:color="auto"/>
            <w:right w:val="none" w:sz="0" w:space="0" w:color="auto"/>
          </w:divBdr>
        </w:div>
      </w:divsChild>
    </w:div>
    <w:div w:id="1701586495">
      <w:bodyDiv w:val="1"/>
      <w:marLeft w:val="0"/>
      <w:marRight w:val="0"/>
      <w:marTop w:val="0"/>
      <w:marBottom w:val="0"/>
      <w:divBdr>
        <w:top w:val="none" w:sz="0" w:space="0" w:color="auto"/>
        <w:left w:val="none" w:sz="0" w:space="0" w:color="auto"/>
        <w:bottom w:val="none" w:sz="0" w:space="0" w:color="auto"/>
        <w:right w:val="none" w:sz="0" w:space="0" w:color="auto"/>
      </w:divBdr>
      <w:divsChild>
        <w:div w:id="1043677211">
          <w:marLeft w:val="0"/>
          <w:marRight w:val="0"/>
          <w:marTop w:val="0"/>
          <w:marBottom w:val="0"/>
          <w:divBdr>
            <w:top w:val="none" w:sz="0" w:space="0" w:color="auto"/>
            <w:left w:val="none" w:sz="0" w:space="0" w:color="auto"/>
            <w:bottom w:val="none" w:sz="0" w:space="0" w:color="auto"/>
            <w:right w:val="none" w:sz="0" w:space="0" w:color="auto"/>
          </w:divBdr>
        </w:div>
        <w:div w:id="1443183955">
          <w:marLeft w:val="0"/>
          <w:marRight w:val="0"/>
          <w:marTop w:val="0"/>
          <w:marBottom w:val="0"/>
          <w:divBdr>
            <w:top w:val="none" w:sz="0" w:space="0" w:color="auto"/>
            <w:left w:val="none" w:sz="0" w:space="0" w:color="auto"/>
            <w:bottom w:val="none" w:sz="0" w:space="0" w:color="auto"/>
            <w:right w:val="none" w:sz="0" w:space="0" w:color="auto"/>
          </w:divBdr>
        </w:div>
        <w:div w:id="361052493">
          <w:marLeft w:val="0"/>
          <w:marRight w:val="0"/>
          <w:marTop w:val="0"/>
          <w:marBottom w:val="0"/>
          <w:divBdr>
            <w:top w:val="none" w:sz="0" w:space="0" w:color="auto"/>
            <w:left w:val="none" w:sz="0" w:space="0" w:color="auto"/>
            <w:bottom w:val="none" w:sz="0" w:space="0" w:color="auto"/>
            <w:right w:val="none" w:sz="0" w:space="0" w:color="auto"/>
          </w:divBdr>
          <w:divsChild>
            <w:div w:id="707490834">
              <w:marLeft w:val="0"/>
              <w:marRight w:val="0"/>
              <w:marTop w:val="0"/>
              <w:marBottom w:val="0"/>
              <w:divBdr>
                <w:top w:val="none" w:sz="0" w:space="0" w:color="auto"/>
                <w:left w:val="none" w:sz="0" w:space="0" w:color="auto"/>
                <w:bottom w:val="none" w:sz="0" w:space="0" w:color="auto"/>
                <w:right w:val="none" w:sz="0" w:space="0" w:color="auto"/>
              </w:divBdr>
            </w:div>
            <w:div w:id="248739279">
              <w:marLeft w:val="0"/>
              <w:marRight w:val="0"/>
              <w:marTop w:val="0"/>
              <w:marBottom w:val="0"/>
              <w:divBdr>
                <w:top w:val="none" w:sz="0" w:space="0" w:color="auto"/>
                <w:left w:val="none" w:sz="0" w:space="0" w:color="auto"/>
                <w:bottom w:val="none" w:sz="0" w:space="0" w:color="auto"/>
                <w:right w:val="none" w:sz="0" w:space="0" w:color="auto"/>
              </w:divBdr>
            </w:div>
            <w:div w:id="5898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8642862">
      <w:bodyDiv w:val="1"/>
      <w:marLeft w:val="0"/>
      <w:marRight w:val="0"/>
      <w:marTop w:val="0"/>
      <w:marBottom w:val="0"/>
      <w:divBdr>
        <w:top w:val="none" w:sz="0" w:space="0" w:color="auto"/>
        <w:left w:val="none" w:sz="0" w:space="0" w:color="auto"/>
        <w:bottom w:val="none" w:sz="0" w:space="0" w:color="auto"/>
        <w:right w:val="none" w:sz="0" w:space="0" w:color="auto"/>
      </w:divBdr>
      <w:divsChild>
        <w:div w:id="801265770">
          <w:marLeft w:val="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42767874">
      <w:bodyDiv w:val="1"/>
      <w:marLeft w:val="0"/>
      <w:marRight w:val="0"/>
      <w:marTop w:val="0"/>
      <w:marBottom w:val="0"/>
      <w:divBdr>
        <w:top w:val="none" w:sz="0" w:space="0" w:color="auto"/>
        <w:left w:val="none" w:sz="0" w:space="0" w:color="auto"/>
        <w:bottom w:val="none" w:sz="0" w:space="0" w:color="auto"/>
        <w:right w:val="none" w:sz="0" w:space="0" w:color="auto"/>
      </w:divBdr>
      <w:divsChild>
        <w:div w:id="349528534">
          <w:marLeft w:val="0"/>
          <w:marRight w:val="0"/>
          <w:marTop w:val="0"/>
          <w:marBottom w:val="0"/>
          <w:divBdr>
            <w:top w:val="none" w:sz="0" w:space="0" w:color="auto"/>
            <w:left w:val="none" w:sz="0" w:space="0" w:color="auto"/>
            <w:bottom w:val="none" w:sz="0" w:space="0" w:color="auto"/>
            <w:right w:val="none" w:sz="0" w:space="0" w:color="auto"/>
          </w:divBdr>
        </w:div>
      </w:divsChild>
    </w:div>
    <w:div w:id="1860582380">
      <w:bodyDiv w:val="1"/>
      <w:marLeft w:val="0"/>
      <w:marRight w:val="0"/>
      <w:marTop w:val="0"/>
      <w:marBottom w:val="0"/>
      <w:divBdr>
        <w:top w:val="none" w:sz="0" w:space="0" w:color="auto"/>
        <w:left w:val="none" w:sz="0" w:space="0" w:color="auto"/>
        <w:bottom w:val="none" w:sz="0" w:space="0" w:color="auto"/>
        <w:right w:val="none" w:sz="0" w:space="0" w:color="auto"/>
      </w:divBdr>
      <w:divsChild>
        <w:div w:id="495536166">
          <w:marLeft w:val="0"/>
          <w:marRight w:val="0"/>
          <w:marTop w:val="0"/>
          <w:marBottom w:val="0"/>
          <w:divBdr>
            <w:top w:val="none" w:sz="0" w:space="0" w:color="auto"/>
            <w:left w:val="none" w:sz="0" w:space="0" w:color="auto"/>
            <w:bottom w:val="none" w:sz="0" w:space="0" w:color="auto"/>
            <w:right w:val="none" w:sz="0" w:space="0" w:color="auto"/>
          </w:divBdr>
        </w:div>
      </w:divsChild>
    </w:div>
    <w:div w:id="1904683735">
      <w:bodyDiv w:val="1"/>
      <w:marLeft w:val="0"/>
      <w:marRight w:val="0"/>
      <w:marTop w:val="0"/>
      <w:marBottom w:val="0"/>
      <w:divBdr>
        <w:top w:val="none" w:sz="0" w:space="0" w:color="auto"/>
        <w:left w:val="none" w:sz="0" w:space="0" w:color="auto"/>
        <w:bottom w:val="none" w:sz="0" w:space="0" w:color="auto"/>
        <w:right w:val="none" w:sz="0" w:space="0" w:color="auto"/>
      </w:divBdr>
    </w:div>
    <w:div w:id="1928027970">
      <w:bodyDiv w:val="1"/>
      <w:marLeft w:val="0"/>
      <w:marRight w:val="0"/>
      <w:marTop w:val="0"/>
      <w:marBottom w:val="0"/>
      <w:divBdr>
        <w:top w:val="none" w:sz="0" w:space="0" w:color="auto"/>
        <w:left w:val="none" w:sz="0" w:space="0" w:color="auto"/>
        <w:bottom w:val="none" w:sz="0" w:space="0" w:color="auto"/>
        <w:right w:val="none" w:sz="0" w:space="0" w:color="auto"/>
      </w:divBdr>
      <w:divsChild>
        <w:div w:id="683213330">
          <w:marLeft w:val="0"/>
          <w:marRight w:val="0"/>
          <w:marTop w:val="0"/>
          <w:marBottom w:val="0"/>
          <w:divBdr>
            <w:top w:val="none" w:sz="0" w:space="0" w:color="auto"/>
            <w:left w:val="none" w:sz="0" w:space="0" w:color="auto"/>
            <w:bottom w:val="none" w:sz="0" w:space="0" w:color="auto"/>
            <w:right w:val="none" w:sz="0" w:space="0" w:color="auto"/>
          </w:divBdr>
        </w:div>
      </w:divsChild>
    </w:div>
    <w:div w:id="1997799569">
      <w:bodyDiv w:val="1"/>
      <w:marLeft w:val="0"/>
      <w:marRight w:val="0"/>
      <w:marTop w:val="0"/>
      <w:marBottom w:val="0"/>
      <w:divBdr>
        <w:top w:val="none" w:sz="0" w:space="0" w:color="auto"/>
        <w:left w:val="none" w:sz="0" w:space="0" w:color="auto"/>
        <w:bottom w:val="none" w:sz="0" w:space="0" w:color="auto"/>
        <w:right w:val="none" w:sz="0" w:space="0" w:color="auto"/>
      </w:divBdr>
      <w:divsChild>
        <w:div w:id="1435439468">
          <w:marLeft w:val="0"/>
          <w:marRight w:val="0"/>
          <w:marTop w:val="0"/>
          <w:marBottom w:val="0"/>
          <w:divBdr>
            <w:top w:val="none" w:sz="0" w:space="0" w:color="auto"/>
            <w:left w:val="none" w:sz="0" w:space="0" w:color="auto"/>
            <w:bottom w:val="none" w:sz="0" w:space="0" w:color="auto"/>
            <w:right w:val="none" w:sz="0" w:space="0" w:color="auto"/>
          </w:divBdr>
        </w:div>
      </w:divsChild>
    </w:div>
    <w:div w:id="2055344753">
      <w:bodyDiv w:val="1"/>
      <w:marLeft w:val="0"/>
      <w:marRight w:val="0"/>
      <w:marTop w:val="0"/>
      <w:marBottom w:val="0"/>
      <w:divBdr>
        <w:top w:val="none" w:sz="0" w:space="0" w:color="auto"/>
        <w:left w:val="none" w:sz="0" w:space="0" w:color="auto"/>
        <w:bottom w:val="none" w:sz="0" w:space="0" w:color="auto"/>
        <w:right w:val="none" w:sz="0" w:space="0" w:color="auto"/>
      </w:divBdr>
    </w:div>
    <w:div w:id="2056469192">
      <w:bodyDiv w:val="1"/>
      <w:marLeft w:val="0"/>
      <w:marRight w:val="0"/>
      <w:marTop w:val="0"/>
      <w:marBottom w:val="0"/>
      <w:divBdr>
        <w:top w:val="none" w:sz="0" w:space="0" w:color="auto"/>
        <w:left w:val="none" w:sz="0" w:space="0" w:color="auto"/>
        <w:bottom w:val="none" w:sz="0" w:space="0" w:color="auto"/>
        <w:right w:val="none" w:sz="0" w:space="0" w:color="auto"/>
      </w:divBdr>
    </w:div>
    <w:div w:id="2110541719">
      <w:bodyDiv w:val="1"/>
      <w:marLeft w:val="0"/>
      <w:marRight w:val="0"/>
      <w:marTop w:val="0"/>
      <w:marBottom w:val="0"/>
      <w:divBdr>
        <w:top w:val="none" w:sz="0" w:space="0" w:color="auto"/>
        <w:left w:val="none" w:sz="0" w:space="0" w:color="auto"/>
        <w:bottom w:val="none" w:sz="0" w:space="0" w:color="auto"/>
        <w:right w:val="none" w:sz="0" w:space="0" w:color="auto"/>
      </w:divBdr>
    </w:div>
    <w:div w:id="2122650657">
      <w:bodyDiv w:val="1"/>
      <w:marLeft w:val="0"/>
      <w:marRight w:val="0"/>
      <w:marTop w:val="0"/>
      <w:marBottom w:val="0"/>
      <w:divBdr>
        <w:top w:val="none" w:sz="0" w:space="0" w:color="auto"/>
        <w:left w:val="none" w:sz="0" w:space="0" w:color="auto"/>
        <w:bottom w:val="none" w:sz="0" w:space="0" w:color="auto"/>
        <w:right w:val="none" w:sz="0" w:space="0" w:color="auto"/>
      </w:divBdr>
      <w:divsChild>
        <w:div w:id="660086366">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120552">
      <w:bodyDiv w:val="1"/>
      <w:marLeft w:val="0"/>
      <w:marRight w:val="0"/>
      <w:marTop w:val="0"/>
      <w:marBottom w:val="0"/>
      <w:divBdr>
        <w:top w:val="none" w:sz="0" w:space="0" w:color="auto"/>
        <w:left w:val="none" w:sz="0" w:space="0" w:color="auto"/>
        <w:bottom w:val="none" w:sz="0" w:space="0" w:color="auto"/>
        <w:right w:val="none" w:sz="0" w:space="0" w:color="auto"/>
      </w:divBdr>
      <w:divsChild>
        <w:div w:id="74287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3872</Words>
  <Characters>22071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Laura Cirrincione</cp:lastModifiedBy>
  <cp:revision>3</cp:revision>
  <cp:lastPrinted>2015-05-12T18:31:00Z</cp:lastPrinted>
  <dcterms:created xsi:type="dcterms:W3CDTF">2025-06-26T13:39:00Z</dcterms:created>
  <dcterms:modified xsi:type="dcterms:W3CDTF">2025-06-26T13:45:00Z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