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226B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226B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226BF">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EC299E9" w:rsidR="00E978D0" w:rsidRPr="00B57B36" w:rsidRDefault="003226BF" w:rsidP="00E978D0">
      <w:pPr>
        <w:pStyle w:val="CETTitle"/>
      </w:pPr>
      <w:r w:rsidRPr="003226BF">
        <w:t xml:space="preserve">Decarbonizing The Brazilian Truck Transportation Sector Using Green Hydrogen: A Case Study </w:t>
      </w:r>
      <w:r>
        <w:t>o</w:t>
      </w:r>
      <w:r w:rsidRPr="003226BF">
        <w:t>f B</w:t>
      </w:r>
      <w:r>
        <w:t>R</w:t>
      </w:r>
      <w:r w:rsidRPr="003226BF">
        <w:t xml:space="preserve"> 242 </w:t>
      </w:r>
      <w:r w:rsidR="0057644F" w:rsidRPr="0057644F">
        <w:t>Highway</w:t>
      </w:r>
      <w:r w:rsidRPr="003226BF">
        <w:t xml:space="preserve"> in Bahia</w:t>
      </w:r>
    </w:p>
    <w:p w14:paraId="0488FED2" w14:textId="089F0043" w:rsidR="00B57E6F" w:rsidRPr="000C57A3" w:rsidRDefault="003226BF" w:rsidP="00B57E6F">
      <w:pPr>
        <w:pStyle w:val="CETAuthors"/>
      </w:pPr>
      <w:r w:rsidRPr="000C57A3">
        <w:t>Lucca Bastos</w:t>
      </w:r>
      <w:r w:rsidR="00B57E6F" w:rsidRPr="000C57A3">
        <w:rPr>
          <w:vertAlign w:val="superscript"/>
        </w:rPr>
        <w:t>a</w:t>
      </w:r>
      <w:r w:rsidRPr="000C57A3">
        <w:rPr>
          <w:vertAlign w:val="superscript"/>
        </w:rPr>
        <w:t>,</w:t>
      </w:r>
      <w:r w:rsidRPr="000C57A3">
        <w:t>*</w:t>
      </w:r>
      <w:r w:rsidR="00B57E6F" w:rsidRPr="000C57A3">
        <w:t>,</w:t>
      </w:r>
      <w:r w:rsidRPr="000C57A3">
        <w:t xml:space="preserve"> Leonardo O. S. Santana</w:t>
      </w:r>
      <w:r w:rsidRPr="000C57A3">
        <w:rPr>
          <w:vertAlign w:val="superscript"/>
        </w:rPr>
        <w:t>a</w:t>
      </w:r>
      <w:r w:rsidRPr="000C57A3">
        <w:t>, Gehard Ett</w:t>
      </w:r>
      <w:r w:rsidRPr="000C57A3">
        <w:rPr>
          <w:vertAlign w:val="superscript"/>
        </w:rPr>
        <w:t>a</w:t>
      </w:r>
      <w:r w:rsidRPr="000C57A3">
        <w:t>, Fernando L. P. Pessoa</w:t>
      </w:r>
      <w:r w:rsidRPr="000C57A3">
        <w:rPr>
          <w:vertAlign w:val="superscript"/>
        </w:rPr>
        <w:t>a</w:t>
      </w:r>
      <w:r w:rsidRPr="000C57A3">
        <w:t>, Ana Barbosa-Póvoa</w:t>
      </w:r>
      <w:r w:rsidR="00B57E6F" w:rsidRPr="000C57A3">
        <w:rPr>
          <w:vertAlign w:val="superscript"/>
        </w:rPr>
        <w:t>b</w:t>
      </w:r>
    </w:p>
    <w:p w14:paraId="1B05C66E" w14:textId="3A3243E9" w:rsidR="009D23B6" w:rsidRPr="008F7E36" w:rsidRDefault="00B57E6F" w:rsidP="009D23B6">
      <w:pPr>
        <w:pStyle w:val="CETAddress"/>
        <w:rPr>
          <w:lang w:val="pt-BR"/>
        </w:rPr>
      </w:pPr>
      <w:r w:rsidRPr="00B57B36">
        <w:rPr>
          <w:vertAlign w:val="superscript"/>
        </w:rPr>
        <w:t>a</w:t>
      </w:r>
      <w:r w:rsidR="009D23B6" w:rsidRPr="009D23B6">
        <w:t>SENAI CIMATEC University, Department of Computational Modeling,</w:t>
      </w:r>
      <w:r w:rsidR="009D23B6">
        <w:t xml:space="preserve"> Av. </w:t>
      </w:r>
      <w:r w:rsidR="009D23B6" w:rsidRPr="008F7E36">
        <w:rPr>
          <w:lang w:val="pt-BR"/>
        </w:rPr>
        <w:t>Orlando Gomes 1845, Salvador, Brazil</w:t>
      </w:r>
    </w:p>
    <w:p w14:paraId="3D72B0B0" w14:textId="02FBCC85" w:rsidR="00B57E6F" w:rsidRPr="009D23B6" w:rsidRDefault="00B57E6F" w:rsidP="00B57E6F">
      <w:pPr>
        <w:pStyle w:val="CETAddress"/>
        <w:rPr>
          <w:lang w:val="pt-BR"/>
        </w:rPr>
      </w:pPr>
      <w:r w:rsidRPr="009D23B6">
        <w:rPr>
          <w:vertAlign w:val="superscript"/>
          <w:lang w:val="pt-BR"/>
        </w:rPr>
        <w:t>b</w:t>
      </w:r>
      <w:r w:rsidR="00604D4C">
        <w:rPr>
          <w:lang w:val="pt-BR"/>
        </w:rPr>
        <w:t>Center for Management Studies(CEGIST)</w:t>
      </w:r>
      <w:r w:rsidR="009D23B6" w:rsidRPr="009D23B6">
        <w:rPr>
          <w:lang w:val="pt-BR"/>
        </w:rPr>
        <w:t>, Instituto Superior Técnico,</w:t>
      </w:r>
      <w:r w:rsidR="009D23B6">
        <w:rPr>
          <w:lang w:val="pt-BR"/>
        </w:rPr>
        <w:t xml:space="preserve"> </w:t>
      </w:r>
      <w:r w:rsidR="00604D4C" w:rsidRPr="009D23B6">
        <w:rPr>
          <w:lang w:val="pt-BR"/>
        </w:rPr>
        <w:t>University of Lisbon</w:t>
      </w:r>
      <w:r w:rsidR="00604D4C">
        <w:rPr>
          <w:lang w:val="pt-BR"/>
        </w:rPr>
        <w:t xml:space="preserve">, </w:t>
      </w:r>
      <w:r w:rsidR="009D23B6" w:rsidRPr="009D23B6">
        <w:rPr>
          <w:lang w:val="pt-BR"/>
        </w:rPr>
        <w:t>Avenida Rovisco Pais 1</w:t>
      </w:r>
      <w:r w:rsidR="009D23B6">
        <w:rPr>
          <w:lang w:val="pt-BR"/>
        </w:rPr>
        <w:t>,</w:t>
      </w:r>
      <w:r w:rsidR="009D23B6" w:rsidRPr="009D23B6">
        <w:rPr>
          <w:lang w:val="pt-BR"/>
        </w:rPr>
        <w:t xml:space="preserve"> Lisbon, Portugal</w:t>
      </w:r>
      <w:r w:rsidRPr="009D23B6">
        <w:rPr>
          <w:lang w:val="pt-BR"/>
        </w:rPr>
        <w:t xml:space="preserve"> </w:t>
      </w:r>
    </w:p>
    <w:p w14:paraId="73F1267A" w14:textId="500201B9" w:rsidR="00B57E6F" w:rsidRPr="00C77B02" w:rsidRDefault="00761AFA" w:rsidP="00B57E6F">
      <w:pPr>
        <w:pStyle w:val="CETemail"/>
        <w:rPr>
          <w:lang w:val="pt-BR"/>
        </w:rPr>
      </w:pPr>
      <w:r w:rsidRPr="00C77B02">
        <w:rPr>
          <w:lang w:val="pt-BR"/>
        </w:rPr>
        <w:t>lucca.bastos@aln.senaicimatec.edu.br</w:t>
      </w:r>
      <w:r w:rsidR="00B57E6F" w:rsidRPr="00C77B02">
        <w:rPr>
          <w:lang w:val="pt-BR"/>
        </w:rPr>
        <w:t xml:space="preserve"> </w:t>
      </w:r>
    </w:p>
    <w:p w14:paraId="36135560" w14:textId="6BEF7E31" w:rsidR="00E67921" w:rsidRPr="00E67921" w:rsidRDefault="008D0371" w:rsidP="00E67921">
      <w:pPr>
        <w:pStyle w:val="CETBodytext"/>
        <w:rPr>
          <w:color w:val="0070C0"/>
          <w:lang w:eastAsia="pt-BR"/>
        </w:rPr>
      </w:pPr>
      <w:bookmarkStart w:id="1" w:name="_Hlk195877574"/>
      <w:r w:rsidRPr="00714671">
        <w:rPr>
          <w:lang w:eastAsia="pt-BR"/>
        </w:rPr>
        <w:t xml:space="preserve">Brazil faces substantial </w:t>
      </w:r>
      <w:r w:rsidR="00A53D3C">
        <w:rPr>
          <w:lang w:eastAsia="pt-BR"/>
        </w:rPr>
        <w:t xml:space="preserve">sustainability </w:t>
      </w:r>
      <w:r w:rsidRPr="00714671">
        <w:rPr>
          <w:lang w:eastAsia="pt-BR"/>
        </w:rPr>
        <w:t xml:space="preserve">challenges. </w:t>
      </w:r>
      <w:r w:rsidR="00A53D3C">
        <w:rPr>
          <w:lang w:eastAsia="pt-BR"/>
        </w:rPr>
        <w:t>In this setting we</w:t>
      </w:r>
      <w:r w:rsidRPr="00714671">
        <w:rPr>
          <w:lang w:eastAsia="pt-BR"/>
        </w:rPr>
        <w:t xml:space="preserve"> aim to create a roadmap for the hydrogen (H</w:t>
      </w:r>
      <w:r>
        <w:rPr>
          <w:vertAlign w:val="subscript"/>
          <w:lang w:eastAsia="pt-BR"/>
        </w:rPr>
        <w:t>2</w:t>
      </w:r>
      <w:r w:rsidRPr="00714671">
        <w:rPr>
          <w:lang w:eastAsia="pt-BR"/>
        </w:rPr>
        <w:t xml:space="preserve">) supply network in Brazil, aligning economic and governmental interests. It is a strategic initiative to ensure that the country not only keeps up with but also leads the transition to a hydrogen economy, promoting sustainable economic growth and energy security. Based on this analysis, a case study </w:t>
      </w:r>
      <w:r w:rsidR="00A53D3C">
        <w:rPr>
          <w:lang w:eastAsia="pt-BR"/>
        </w:rPr>
        <w:t xml:space="preserve">on the decarbonization of the transportation sector </w:t>
      </w:r>
      <w:r w:rsidRPr="00714671">
        <w:rPr>
          <w:lang w:eastAsia="pt-BR"/>
        </w:rPr>
        <w:t xml:space="preserve">was conducted in the region of Salvador and </w:t>
      </w:r>
      <w:proofErr w:type="spellStart"/>
      <w:r w:rsidRPr="00714671">
        <w:rPr>
          <w:lang w:eastAsia="pt-BR"/>
        </w:rPr>
        <w:t>Barreiras</w:t>
      </w:r>
      <w:proofErr w:type="spellEnd"/>
      <w:r w:rsidRPr="00714671">
        <w:rPr>
          <w:lang w:eastAsia="pt-BR"/>
        </w:rPr>
        <w:t>, focusing on the BR-242 highway</w:t>
      </w:r>
      <w:r w:rsidR="00A53D3C">
        <w:rPr>
          <w:lang w:eastAsia="pt-BR"/>
        </w:rPr>
        <w:t xml:space="preserve">. </w:t>
      </w:r>
      <w:r w:rsidR="00180194">
        <w:rPr>
          <w:lang w:eastAsia="pt-BR"/>
        </w:rPr>
        <w:t>U</w:t>
      </w:r>
      <w:r w:rsidRPr="00714671">
        <w:rPr>
          <w:lang w:eastAsia="pt-BR"/>
        </w:rPr>
        <w:t>sed for transporting agricultural products and fertilizers by trucks that emit large amounts of CO</w:t>
      </w:r>
      <w:r>
        <w:rPr>
          <w:vertAlign w:val="subscript"/>
          <w:lang w:eastAsia="pt-BR"/>
        </w:rPr>
        <w:t>2</w:t>
      </w:r>
      <w:r w:rsidRPr="00714671">
        <w:rPr>
          <w:lang w:eastAsia="pt-BR"/>
        </w:rPr>
        <w:t xml:space="preserve">. </w:t>
      </w:r>
      <w:r w:rsidR="003F3EF1" w:rsidRPr="003F3EF1">
        <w:rPr>
          <w:lang w:val="en-GB" w:eastAsia="pt-BR"/>
        </w:rPr>
        <w:t>The study resulted in the development of a regional roadmap, supplemented by sensitivity analyses that illustrate potential economic impacts under varying carbon or hydrogen price scenarios.</w:t>
      </w:r>
    </w:p>
    <w:bookmarkEnd w:id="1"/>
    <w:p w14:paraId="476B2F2E" w14:textId="52B36035" w:rsidR="00600535" w:rsidRPr="00B57B36" w:rsidRDefault="00600535" w:rsidP="00600535">
      <w:pPr>
        <w:pStyle w:val="CETHeading1"/>
        <w:rPr>
          <w:lang w:val="en-GB"/>
        </w:rPr>
      </w:pPr>
      <w:r w:rsidRPr="00B57B36">
        <w:rPr>
          <w:lang w:val="en-GB"/>
        </w:rPr>
        <w:t>Introduction</w:t>
      </w:r>
    </w:p>
    <w:p w14:paraId="6EFA2D1D" w14:textId="39A0A5D3" w:rsidR="008D0371" w:rsidRPr="0029572E" w:rsidRDefault="008D0371" w:rsidP="008D0371">
      <w:pPr>
        <w:pStyle w:val="CETBodytext"/>
        <w:tabs>
          <w:tab w:val="clear" w:pos="7100"/>
          <w:tab w:val="right" w:pos="0"/>
        </w:tabs>
        <w:rPr>
          <w:color w:val="000000" w:themeColor="text1"/>
          <w:lang w:val="en-GB"/>
        </w:rPr>
      </w:pPr>
      <w:r>
        <w:t>Brazil has potential to become a leader in the global energy transition due to its predominantly renewable energy matrix</w:t>
      </w:r>
      <w:r w:rsidRPr="002C0EB7">
        <w:t>.</w:t>
      </w:r>
      <w:r>
        <w:t xml:space="preserve"> Hydrogen (produced from renewable sources) stands out as a key energy source to decarbonize sectors that are difficult to electrify directly, such as heavy transportation, petrochemicals and refining, fertilizer production, and the steel industry (</w:t>
      </w:r>
      <w:r w:rsidRPr="002C0EB7">
        <w:rPr>
          <w:lang w:val="en-GB"/>
        </w:rPr>
        <w:t>Carvalho, 2011</w:t>
      </w:r>
      <w:r>
        <w:t xml:space="preserve">). However, the implementation of a hydrogen refueling network in Brazil still faces substantial challenges. </w:t>
      </w:r>
      <w:r w:rsidR="002F50AF" w:rsidRPr="002F50AF">
        <w:rPr>
          <w:color w:val="000000" w:themeColor="text1"/>
          <w:lang w:val="en-GB"/>
        </w:rPr>
        <w:t xml:space="preserve">Given that Brazil’s transportation sector is responsible for approximately </w:t>
      </w:r>
      <w:r w:rsidR="00545635">
        <w:rPr>
          <w:color w:val="000000" w:themeColor="text1"/>
          <w:lang w:val="en-GB"/>
        </w:rPr>
        <w:t>9</w:t>
      </w:r>
      <w:r w:rsidR="002F50AF" w:rsidRPr="002F50AF">
        <w:rPr>
          <w:color w:val="000000" w:themeColor="text1"/>
          <w:lang w:val="en-GB"/>
        </w:rPr>
        <w:t xml:space="preserve">% </w:t>
      </w:r>
      <w:proofErr w:type="gramStart"/>
      <w:r w:rsidR="002F50AF" w:rsidRPr="002F50AF">
        <w:rPr>
          <w:color w:val="000000" w:themeColor="text1"/>
          <w:lang w:val="en-GB"/>
        </w:rPr>
        <w:t>of</w:t>
      </w:r>
      <w:r w:rsidR="00545635">
        <w:rPr>
          <w:color w:val="000000" w:themeColor="text1"/>
          <w:lang w:val="en-GB"/>
        </w:rPr>
        <w:t xml:space="preserve"> </w:t>
      </w:r>
      <w:r w:rsidR="002F50AF" w:rsidRPr="002F50AF">
        <w:rPr>
          <w:color w:val="000000" w:themeColor="text1"/>
          <w:lang w:val="en-GB"/>
        </w:rPr>
        <w:t xml:space="preserve"> CO</w:t>
      </w:r>
      <w:proofErr w:type="gramEnd"/>
      <w:r w:rsidR="002F50AF" w:rsidRPr="002F50AF">
        <w:rPr>
          <w:rFonts w:ascii="Cambria Math" w:hAnsi="Cambria Math" w:cs="Cambria Math"/>
          <w:color w:val="000000" w:themeColor="text1"/>
          <w:lang w:val="en-GB"/>
        </w:rPr>
        <w:t>₂</w:t>
      </w:r>
      <w:r w:rsidR="002F50AF" w:rsidRPr="002F50AF">
        <w:rPr>
          <w:color w:val="000000" w:themeColor="text1"/>
          <w:lang w:val="en-GB"/>
        </w:rPr>
        <w:t xml:space="preserve"> emissions</w:t>
      </w:r>
      <w:r w:rsidR="002F50AF">
        <w:rPr>
          <w:rFonts w:cs="Arial"/>
          <w:color w:val="000000" w:themeColor="text1"/>
          <w:lang w:val="en-GB"/>
        </w:rPr>
        <w:t xml:space="preserve">, </w:t>
      </w:r>
      <w:r w:rsidR="002F50AF" w:rsidRPr="002F50AF">
        <w:rPr>
          <w:color w:val="000000" w:themeColor="text1"/>
          <w:lang w:val="en-GB"/>
        </w:rPr>
        <w:t>one of the primary greenhouse gases</w:t>
      </w:r>
      <w:r w:rsidR="00DA34A4">
        <w:rPr>
          <w:rFonts w:cs="Arial"/>
          <w:color w:val="000000" w:themeColor="text1"/>
          <w:lang w:val="en-GB"/>
        </w:rPr>
        <w:t xml:space="preserve">, </w:t>
      </w:r>
      <w:r w:rsidR="002F50AF" w:rsidRPr="002F50AF">
        <w:rPr>
          <w:color w:val="000000" w:themeColor="text1"/>
          <w:lang w:val="en-GB"/>
        </w:rPr>
        <w:t>excluding the additional emissions of other environmentally harmful pollutants (Carvalho, 2011), a roadmap was developed in response to this context. This roadmap serves as a strategic planning tool, designed to guide project teams through a structured sequence of stages, effectively functioning as a compass to ensure coordinated progress toward the achievement of the project’s ultimate goals</w:t>
      </w:r>
      <w:r w:rsidR="002F50AF">
        <w:rPr>
          <w:color w:val="000000" w:themeColor="text1"/>
          <w:lang w:val="en-GB"/>
        </w:rPr>
        <w:t xml:space="preserve"> (</w:t>
      </w:r>
      <w:r w:rsidR="002F50AF" w:rsidRPr="002C0EB7">
        <w:rPr>
          <w:lang w:val="en-GB"/>
        </w:rPr>
        <w:t>FIA, 2022</w:t>
      </w:r>
      <w:r w:rsidR="002F50AF">
        <w:rPr>
          <w:lang w:val="en-GB"/>
        </w:rPr>
        <w:t>)</w:t>
      </w:r>
      <w:r w:rsidR="0029572E">
        <w:rPr>
          <w:color w:val="000000" w:themeColor="text1"/>
          <w:lang w:val="en-GB"/>
        </w:rPr>
        <w:t>.</w:t>
      </w:r>
    </w:p>
    <w:p w14:paraId="0EA1B410" w14:textId="0824ACE2" w:rsidR="008D0371" w:rsidRDefault="00133F67" w:rsidP="008D0371">
      <w:pPr>
        <w:pStyle w:val="CETBodytext"/>
        <w:tabs>
          <w:tab w:val="clear" w:pos="7100"/>
          <w:tab w:val="right" w:pos="0"/>
        </w:tabs>
        <w:rPr>
          <w:lang w:val="en-GB"/>
        </w:rPr>
      </w:pPr>
      <w:r>
        <w:rPr>
          <w:lang w:val="en-GB"/>
        </w:rPr>
        <w:t xml:space="preserve">Considering the context, </w:t>
      </w:r>
      <w:r>
        <w:t xml:space="preserve">a case study was undertaken along the route that connects the </w:t>
      </w:r>
      <w:proofErr w:type="spellStart"/>
      <w:r w:rsidR="008D0371" w:rsidRPr="0071013E">
        <w:rPr>
          <w:lang w:val="en-GB"/>
        </w:rPr>
        <w:t>Cotegipe</w:t>
      </w:r>
      <w:proofErr w:type="spellEnd"/>
      <w:r w:rsidR="008D0371" w:rsidRPr="0071013E">
        <w:rPr>
          <w:lang w:val="en-GB"/>
        </w:rPr>
        <w:t xml:space="preserve"> Port Terminal, a grain (soybean) transport company that exports approximately 3,927,488 tons annually (Embrapa, 2024), located in the Salvador region. The route extends to the city of </w:t>
      </w:r>
      <w:proofErr w:type="spellStart"/>
      <w:r w:rsidR="008D0371" w:rsidRPr="0071013E">
        <w:rPr>
          <w:lang w:val="en-GB"/>
        </w:rPr>
        <w:t>Barreiras</w:t>
      </w:r>
      <w:proofErr w:type="spellEnd"/>
      <w:r w:rsidR="008D0371" w:rsidRPr="0071013E">
        <w:rPr>
          <w:lang w:val="en-GB"/>
        </w:rPr>
        <w:t xml:space="preserve">, a prominent soybean-producing and exporting area situated in the western part of Bahia. The total distance covered is approximately 855 </w:t>
      </w:r>
      <w:proofErr w:type="spellStart"/>
      <w:r w:rsidR="008D0371" w:rsidRPr="0071013E">
        <w:rPr>
          <w:lang w:val="en-GB"/>
        </w:rPr>
        <w:t>kilometers</w:t>
      </w:r>
      <w:proofErr w:type="spellEnd"/>
      <w:r w:rsidR="008D0371" w:rsidRPr="0071013E">
        <w:rPr>
          <w:lang w:val="en-GB"/>
        </w:rPr>
        <w:t>.</w:t>
      </w:r>
    </w:p>
    <w:p w14:paraId="6C858D78" w14:textId="79032162" w:rsidR="008D0371" w:rsidRDefault="002538D7" w:rsidP="008D0371">
      <w:pPr>
        <w:pStyle w:val="CETBodytext"/>
        <w:tabs>
          <w:tab w:val="clear" w:pos="7100"/>
          <w:tab w:val="right" w:pos="0"/>
        </w:tabs>
      </w:pPr>
      <w:r>
        <w:rPr>
          <w:color w:val="000000" w:themeColor="text1"/>
        </w:rPr>
        <w:t>A</w:t>
      </w:r>
      <w:r w:rsidR="008D0371">
        <w:t xml:space="preserve">n analysis of the BR-242 highway, which connects these two areas, was </w:t>
      </w:r>
      <w:r w:rsidR="00A53D3C">
        <w:t>performed</w:t>
      </w:r>
      <w:r w:rsidR="008D0371">
        <w:t xml:space="preserve">. The study considered the distribution of hydrogen stations along the route, the average number of stations, the costs of diesel and hydrogen, and the financial data required to better understand the economic landscape. Additionally, the consumption rates of hydrogen and diesel trucks, the average lifespan of these vehicles, and the current carbon pricing in Brazil were also </w:t>
      </w:r>
      <w:r w:rsidR="00826F76">
        <w:t>considered</w:t>
      </w:r>
      <w:r w:rsidR="00445FA4">
        <w:t>.</w:t>
      </w:r>
    </w:p>
    <w:p w14:paraId="75A623C8" w14:textId="14D1ABA8" w:rsidR="0075113D" w:rsidRDefault="0075113D" w:rsidP="007B338B">
      <w:pPr>
        <w:pStyle w:val="CETBodytext"/>
        <w:rPr>
          <w:lang w:val="en-GB"/>
        </w:rPr>
      </w:pPr>
      <w:r w:rsidRPr="0075113D">
        <w:rPr>
          <w:lang w:val="en-GB"/>
        </w:rPr>
        <w:t xml:space="preserve">Section 2 outlines the methodology used in this study, including the description of the case study. Section 3 presents the main results, and Section 4 concludes by discussing the key findings and suggesting future work. For clarity and reproducibility, all variables and parameters used in the model formulation are defined in the </w:t>
      </w:r>
      <w:r w:rsidRPr="0075113D">
        <w:rPr>
          <w:i/>
          <w:iCs/>
          <w:lang w:val="en-GB"/>
        </w:rPr>
        <w:t>Nomenclature</w:t>
      </w:r>
      <w:r w:rsidRPr="0075113D">
        <w:rPr>
          <w:lang w:val="en-GB"/>
        </w:rPr>
        <w:t xml:space="preserve"> section.</w:t>
      </w:r>
    </w:p>
    <w:p w14:paraId="64FAC7BD" w14:textId="77777777" w:rsidR="007B338B" w:rsidRDefault="007B338B" w:rsidP="008D0371">
      <w:pPr>
        <w:pStyle w:val="CETBodytext"/>
        <w:tabs>
          <w:tab w:val="clear" w:pos="7100"/>
          <w:tab w:val="right" w:pos="0"/>
        </w:tabs>
        <w:rPr>
          <w:lang w:val="en-GB"/>
        </w:rPr>
      </w:pPr>
    </w:p>
    <w:p w14:paraId="5741900F" w14:textId="0DDE38E2" w:rsidR="00453E24" w:rsidRDefault="00981E7A" w:rsidP="00453E24">
      <w:pPr>
        <w:pStyle w:val="CETHeading1"/>
      </w:pPr>
      <w:r w:rsidRPr="0089667C">
        <w:t>Methodology</w:t>
      </w:r>
    </w:p>
    <w:p w14:paraId="72EFE8CF" w14:textId="37967323" w:rsidR="007B338B" w:rsidRDefault="00432120" w:rsidP="007B338B">
      <w:pPr>
        <w:pStyle w:val="CETBodytext"/>
        <w:rPr>
          <w:lang w:val="en-GB"/>
        </w:rPr>
      </w:pPr>
      <w:r w:rsidRPr="00432120">
        <w:rPr>
          <w:lang w:val="en-GB"/>
        </w:rPr>
        <w:t xml:space="preserve">This study evaluates the economic and environmental feasibility of adopting hydrogen fuel cell vehicles (HFCVs) along the BR-242 highway, from </w:t>
      </w:r>
      <w:proofErr w:type="spellStart"/>
      <w:r w:rsidRPr="00432120">
        <w:rPr>
          <w:lang w:val="en-GB"/>
        </w:rPr>
        <w:t>Barreiras</w:t>
      </w:r>
      <w:proofErr w:type="spellEnd"/>
      <w:r w:rsidRPr="00432120">
        <w:rPr>
          <w:lang w:val="en-GB"/>
        </w:rPr>
        <w:t xml:space="preserve"> to Salvador, in Bahia, Brazil. The first step involves assessing the demand for hydrogen, including factors such as tank capacity and vehicle range</w:t>
      </w:r>
      <w:r w:rsidR="00725F14">
        <w:rPr>
          <w:lang w:val="en-GB"/>
        </w:rPr>
        <w:t xml:space="preserve"> for </w:t>
      </w:r>
      <w:r w:rsidR="00BE4B07">
        <w:rPr>
          <w:lang w:val="en-GB"/>
        </w:rPr>
        <w:t xml:space="preserve">HD </w:t>
      </w:r>
      <w:r w:rsidR="00725F14">
        <w:rPr>
          <w:lang w:val="en-GB"/>
        </w:rPr>
        <w:t>HFCVs</w:t>
      </w:r>
      <w:r w:rsidRPr="00432120">
        <w:rPr>
          <w:lang w:val="en-GB"/>
        </w:rPr>
        <w:t xml:space="preserve">, followed by determining the number of </w:t>
      </w:r>
      <w:proofErr w:type="gramStart"/>
      <w:r w:rsidRPr="00432120">
        <w:rPr>
          <w:lang w:val="en-GB"/>
        </w:rPr>
        <w:t>hydrogen</w:t>
      </w:r>
      <w:proofErr w:type="gramEnd"/>
      <w:r w:rsidRPr="00432120">
        <w:rPr>
          <w:lang w:val="en-GB"/>
        </w:rPr>
        <w:t xml:space="preserve"> </w:t>
      </w:r>
      <w:proofErr w:type="spellStart"/>
      <w:r w:rsidRPr="00432120">
        <w:rPr>
          <w:lang w:val="en-GB"/>
        </w:rPr>
        <w:t>refueling</w:t>
      </w:r>
      <w:proofErr w:type="spellEnd"/>
      <w:r w:rsidRPr="00432120">
        <w:rPr>
          <w:lang w:val="en-GB"/>
        </w:rPr>
        <w:t xml:space="preserve"> stations (HRS) needed to support the truck fleet along the route.</w:t>
      </w:r>
    </w:p>
    <w:p w14:paraId="67EA5CAB" w14:textId="7778CB4B" w:rsidR="007B338B" w:rsidRPr="007B338B" w:rsidRDefault="00B05E3D" w:rsidP="007B338B">
      <w:pPr>
        <w:pStyle w:val="CETBodytext"/>
        <w:rPr>
          <w:lang w:val="en-GB"/>
        </w:rPr>
      </w:pPr>
      <w:r w:rsidRPr="00B05E3D">
        <w:rPr>
          <w:lang w:val="en-GB"/>
        </w:rPr>
        <w:t xml:space="preserve">The location of the </w:t>
      </w:r>
      <w:proofErr w:type="spellStart"/>
      <w:r w:rsidRPr="00B05E3D">
        <w:rPr>
          <w:lang w:val="en-GB"/>
        </w:rPr>
        <w:t>refueling</w:t>
      </w:r>
      <w:proofErr w:type="spellEnd"/>
      <w:r w:rsidRPr="00B05E3D">
        <w:rPr>
          <w:lang w:val="en-GB"/>
        </w:rPr>
        <w:t xml:space="preserve"> stations will be determined only for HD HFCVs, as </w:t>
      </w:r>
      <w:proofErr w:type="spellStart"/>
      <w:r w:rsidRPr="00B05E3D">
        <w:rPr>
          <w:lang w:val="en-GB"/>
        </w:rPr>
        <w:t>refueling</w:t>
      </w:r>
      <w:proofErr w:type="spellEnd"/>
      <w:r w:rsidRPr="00B05E3D">
        <w:rPr>
          <w:lang w:val="en-GB"/>
        </w:rPr>
        <w:t xml:space="preserve"> infrastructure already exists for HD diesel vehicles along the BR-242</w:t>
      </w:r>
      <w:r>
        <w:rPr>
          <w:lang w:val="en-GB"/>
        </w:rPr>
        <w:t>, thus t</w:t>
      </w:r>
      <w:r w:rsidR="0088409A" w:rsidRPr="000B7A88">
        <w:t>he minimum number and optimal locations of HRS required to ensure safe transportation between the production point (</w:t>
      </w:r>
      <w:proofErr w:type="spellStart"/>
      <w:r w:rsidR="0088409A" w:rsidRPr="000B7A88">
        <w:t>Barreiras</w:t>
      </w:r>
      <w:proofErr w:type="spellEnd"/>
      <w:r w:rsidR="0088409A" w:rsidRPr="000B7A88">
        <w:t>) and the demand point (Salvador) were determined using a deterministic optimization model implemented in Python</w:t>
      </w:r>
      <w:r w:rsidR="0088409A">
        <w:t xml:space="preserve"> </w:t>
      </w:r>
      <w:r w:rsidR="0088409A" w:rsidRPr="00AB7BFD">
        <w:rPr>
          <w:lang w:val="en-GB"/>
        </w:rPr>
        <w:t xml:space="preserve">formulated as a binary linear programming </w:t>
      </w:r>
      <w:r w:rsidR="0088409A">
        <w:rPr>
          <w:lang w:val="en-GB"/>
        </w:rPr>
        <w:t xml:space="preserve">(BIP) </w:t>
      </w:r>
      <w:r w:rsidR="0088409A" w:rsidRPr="00AB7BFD">
        <w:rPr>
          <w:lang w:val="en-GB"/>
        </w:rPr>
        <w:t>model, which is a special case of MILP formulation</w:t>
      </w:r>
      <w:r w:rsidR="007B338B">
        <w:t xml:space="preserve">, </w:t>
      </w:r>
      <w:r w:rsidR="007B338B" w:rsidRPr="00432120">
        <w:rPr>
          <w:lang w:val="en-GB"/>
        </w:rPr>
        <w:t xml:space="preserve">presented in Equation </w:t>
      </w:r>
      <w:r w:rsidR="007B338B">
        <w:rPr>
          <w:lang w:val="en-GB"/>
        </w:rPr>
        <w:t>1</w:t>
      </w:r>
      <w:r w:rsidR="007B338B" w:rsidRPr="00432120">
        <w:rPr>
          <w:lang w:val="en-GB"/>
        </w:rPr>
        <w:t>.</w:t>
      </w:r>
      <w:r w:rsidR="0088409A" w:rsidRPr="000B7A88">
        <w:t xml:space="preserve"> </w:t>
      </w:r>
    </w:p>
    <w:p w14:paraId="2729C999" w14:textId="19C2F980" w:rsidR="0088409A" w:rsidRPr="000B7A88" w:rsidRDefault="0088409A" w:rsidP="0088409A">
      <w:pPr>
        <w:pStyle w:val="CETBodytext"/>
      </w:pPr>
      <w:r>
        <w:t>Given</w:t>
      </w:r>
      <w:r w:rsidRPr="000B7A88">
        <w:t>:</w:t>
      </w:r>
    </w:p>
    <w:p w14:paraId="0927CAC7" w14:textId="651142C6" w:rsidR="0088409A" w:rsidRPr="000B7A88" w:rsidRDefault="0088409A" w:rsidP="005A47A3">
      <w:pPr>
        <w:pStyle w:val="CETBodytext"/>
        <w:numPr>
          <w:ilvl w:val="0"/>
          <w:numId w:val="25"/>
        </w:numPr>
        <w:tabs>
          <w:tab w:val="clear" w:pos="720"/>
          <w:tab w:val="num" w:pos="567"/>
        </w:tabs>
        <w:ind w:left="709" w:hanging="283"/>
      </w:pPr>
      <w:r w:rsidRPr="000B7A88">
        <w:t>A set of 14 discrete candidate locations for HRS along the BR-242 highway, including two fixed stations at the origin and destination.</w:t>
      </w:r>
      <w:r w:rsidR="005A47A3">
        <w:t xml:space="preserve"> </w:t>
      </w:r>
      <w:r w:rsidR="005A47A3" w:rsidRPr="005A47A3">
        <w:rPr>
          <w:lang w:val="en-GB"/>
        </w:rPr>
        <w:t xml:space="preserve">These 14 discrete locations constitute the elements of the set </w:t>
      </w:r>
      <m:oMath>
        <m:r>
          <w:rPr>
            <w:rFonts w:ascii="Cambria Math" w:hAnsi="Cambria Math" w:cs="Arial"/>
            <w:szCs w:val="18"/>
            <w:lang w:val="en-GB"/>
          </w:rPr>
          <m:t>S</m:t>
        </m:r>
        <m:d>
          <m:dPr>
            <m:ctrlPr>
              <w:rPr>
                <w:rFonts w:ascii="Cambria Math" w:hAnsi="Cambria Math" w:cs="Arial"/>
                <w:i/>
                <w:szCs w:val="18"/>
                <w:lang w:val="en-GB"/>
              </w:rPr>
            </m:ctrlPr>
          </m:dPr>
          <m:e>
            <m:r>
              <w:rPr>
                <w:rFonts w:ascii="Cambria Math" w:hAnsi="Cambria Math" w:cs="Arial"/>
                <w:szCs w:val="18"/>
                <w:lang w:val="en-GB"/>
              </w:rPr>
              <m:t>i</m:t>
            </m:r>
          </m:e>
        </m:d>
      </m:oMath>
      <w:r w:rsidR="005A47A3" w:rsidRPr="005A47A3">
        <w:rPr>
          <w:lang w:val="en-GB"/>
        </w:rPr>
        <w:t xml:space="preserve">, where each location </w:t>
      </w:r>
      <m:oMath>
        <m:r>
          <w:rPr>
            <w:rFonts w:ascii="Cambria Math" w:hAnsi="Cambria Math" w:cs="Arial"/>
            <w:szCs w:val="18"/>
            <w:lang w:val="en-GB"/>
          </w:rPr>
          <m:t>j</m:t>
        </m:r>
      </m:oMath>
      <w:r w:rsidR="005A47A3" w:rsidRPr="005A47A3">
        <w:rPr>
          <w:lang w:val="en-GB"/>
        </w:rPr>
        <w:t xml:space="preserve"> is reachable from point </w:t>
      </w:r>
      <m:oMath>
        <m:r>
          <w:rPr>
            <w:rFonts w:ascii="Cambria Math" w:hAnsi="Cambria Math" w:cs="Arial"/>
            <w:szCs w:val="18"/>
            <w:lang w:val="en-GB"/>
          </w:rPr>
          <m:t>i</m:t>
        </m:r>
      </m:oMath>
      <w:r w:rsidR="005A47A3" w:rsidRPr="005A47A3">
        <w:rPr>
          <w:lang w:val="en-GB"/>
        </w:rPr>
        <w:t xml:space="preserve"> within the safe driving range</w:t>
      </w:r>
      <w:r w:rsidR="005A47A3">
        <w:rPr>
          <w:lang w:val="en-GB"/>
        </w:rPr>
        <w:t xml:space="preserve"> </w:t>
      </w:r>
      <m:oMath>
        <m:r>
          <w:rPr>
            <w:rFonts w:ascii="Cambria Math" w:hAnsi="Cambria Math"/>
          </w:rPr>
          <m:t>A</m:t>
        </m:r>
      </m:oMath>
    </w:p>
    <w:p w14:paraId="569ADFC0" w14:textId="4247535A" w:rsidR="0088409A" w:rsidRPr="000B7A88" w:rsidRDefault="0088409A" w:rsidP="005A47A3">
      <w:pPr>
        <w:pStyle w:val="CETBodytext"/>
        <w:numPr>
          <w:ilvl w:val="0"/>
          <w:numId w:val="25"/>
        </w:numPr>
        <w:tabs>
          <w:tab w:val="clear" w:pos="720"/>
          <w:tab w:val="num" w:pos="567"/>
        </w:tabs>
        <w:ind w:left="709" w:hanging="283"/>
      </w:pPr>
      <w:r w:rsidRPr="000B7A88">
        <w:t>The autonomy of HD HFCVs</w:t>
      </w:r>
      <w:r w:rsidR="005A47A3">
        <w:t xml:space="preserve"> (</w:t>
      </w:r>
      <m:oMath>
        <m:r>
          <w:rPr>
            <w:rFonts w:ascii="Cambria Math" w:hAnsi="Cambria Math"/>
          </w:rPr>
          <m:t>A)</m:t>
        </m:r>
      </m:oMath>
      <w:r w:rsidRPr="000B7A88">
        <w:t>, calculated based on a 35 kg tank and a fuel efficiency of 13.16 km/kg</w:t>
      </w:r>
      <w:r w:rsidR="00BE4B07">
        <w:t xml:space="preserve">, </w:t>
      </w:r>
      <w:r w:rsidR="00BE4B07" w:rsidRPr="00BE4B07">
        <w:rPr>
          <w:lang w:val="en-GB"/>
        </w:rPr>
        <w:t>with a safety margin applied to restrict the maximum distance between consecutive HRS to 80% of the full autonomy</w:t>
      </w:r>
      <w:r w:rsidR="00BE4B07">
        <w:rPr>
          <w:lang w:val="en-GB"/>
        </w:rPr>
        <w:t xml:space="preserve"> (</w:t>
      </w:r>
      <m:oMath>
        <m:r>
          <w:rPr>
            <w:rFonts w:ascii="Cambria Math" w:hAnsi="Cambria Math"/>
          </w:rPr>
          <m:t>A=368.48</m:t>
        </m:r>
      </m:oMath>
      <w:r w:rsidR="00BE4B07">
        <w:t xml:space="preserve"> km</w:t>
      </w:r>
      <w:r w:rsidR="00BE4B07" w:rsidRPr="007D0CFD">
        <w:t>)</w:t>
      </w:r>
      <w:r w:rsidR="000C57A3" w:rsidRPr="007D0CFD">
        <w:t xml:space="preserve"> (</w:t>
      </w:r>
      <w:r w:rsidR="007D0CFD" w:rsidRPr="007D0CFD">
        <w:t>Almaraz, 2022</w:t>
      </w:r>
      <w:r w:rsidR="000C57A3" w:rsidRPr="007D0CFD">
        <w:t>)</w:t>
      </w:r>
      <w:r w:rsidR="00BE4B07" w:rsidRPr="007D0CFD">
        <w:rPr>
          <w:lang w:val="en-GB"/>
        </w:rPr>
        <w:t>.</w:t>
      </w:r>
    </w:p>
    <w:p w14:paraId="6EBF24C0" w14:textId="3197707B" w:rsidR="0088409A" w:rsidRDefault="0088409A" w:rsidP="0088409A">
      <w:pPr>
        <w:rPr>
          <w:lang w:val="en-US"/>
        </w:rPr>
      </w:pPr>
      <w:r>
        <w:rPr>
          <w:lang w:val="en-US"/>
        </w:rPr>
        <w:t>T</w:t>
      </w:r>
      <w:r w:rsidRPr="00AB7BFD">
        <w:rPr>
          <w:lang w:val="en-US"/>
        </w:rPr>
        <w:t xml:space="preserve">he model was implemented using the </w:t>
      </w:r>
      <w:proofErr w:type="spellStart"/>
      <w:r w:rsidRPr="00AB7BFD">
        <w:rPr>
          <w:lang w:val="en-US"/>
        </w:rPr>
        <w:t>PuLP</w:t>
      </w:r>
      <w:proofErr w:type="spellEnd"/>
      <w:r w:rsidRPr="00AB7BFD">
        <w:rPr>
          <w:lang w:val="en-US"/>
        </w:rPr>
        <w:t xml:space="preserve"> optimization library and solved using the default CBC solver (Coin-or branch and cut)</w:t>
      </w:r>
      <w:r>
        <w:rPr>
          <w:lang w:val="en-US"/>
        </w:rPr>
        <w:t>.</w:t>
      </w:r>
    </w:p>
    <w:p w14:paraId="7276D8DA" w14:textId="77777777" w:rsidR="007B338B" w:rsidRDefault="007B338B" w:rsidP="0088409A">
      <w:pPr>
        <w:rPr>
          <w:lang w:val="en-US"/>
        </w:rPr>
      </w:pPr>
    </w:p>
    <w:tbl>
      <w:tblPr>
        <w:tblW w:w="8789" w:type="dxa"/>
        <w:shd w:val="clear" w:color="auto" w:fill="FFFFFF"/>
        <w:tblCellMar>
          <w:left w:w="0" w:type="dxa"/>
          <w:right w:w="0" w:type="dxa"/>
        </w:tblCellMar>
        <w:tblLook w:val="00A0" w:firstRow="1" w:lastRow="0" w:firstColumn="1" w:lastColumn="0" w:noHBand="0" w:noVBand="0"/>
      </w:tblPr>
      <w:tblGrid>
        <w:gridCol w:w="8172"/>
        <w:gridCol w:w="617"/>
      </w:tblGrid>
      <w:tr w:rsidR="0088409A" w:rsidRPr="00B57B36" w14:paraId="2C403514" w14:textId="77777777" w:rsidTr="00E0408A">
        <w:tc>
          <w:tcPr>
            <w:tcW w:w="8172" w:type="dxa"/>
            <w:shd w:val="clear" w:color="auto" w:fill="FFFFFF"/>
          </w:tcPr>
          <w:p w14:paraId="35F1C50C" w14:textId="77777777" w:rsidR="0088409A" w:rsidRPr="00AB7BFD" w:rsidRDefault="00000000" w:rsidP="00E0408A">
            <w:pPr>
              <w:pStyle w:val="CETBodytext"/>
              <w:ind w:left="142" w:right="-1"/>
              <w:rPr>
                <w:rFonts w:cs="Arial"/>
                <w:szCs w:val="18"/>
                <w:lang w:val="en-GB"/>
              </w:rPr>
            </w:pPr>
            <m:oMathPara>
              <m:oMathParaPr>
                <m:jc m:val="left"/>
              </m:oMathParaPr>
              <m:oMath>
                <m:func>
                  <m:funcPr>
                    <m:ctrlPr>
                      <w:rPr>
                        <w:rFonts w:ascii="Cambria Math" w:hAnsi="Cambria Math" w:cs="Arial"/>
                        <w:i/>
                        <w:szCs w:val="18"/>
                        <w:lang w:val="en-GB"/>
                      </w:rPr>
                    </m:ctrlPr>
                  </m:funcPr>
                  <m:fName>
                    <m:r>
                      <m:rPr>
                        <m:sty m:val="p"/>
                      </m:rPr>
                      <w:rPr>
                        <w:rFonts w:ascii="Cambria Math" w:hAnsi="Cambria Math" w:cs="Arial"/>
                        <w:szCs w:val="18"/>
                        <w:lang w:val="en-GB"/>
                      </w:rPr>
                      <m:t>min</m:t>
                    </m:r>
                  </m:fName>
                  <m:e>
                    <m:sSub>
                      <m:sSubPr>
                        <m:ctrlPr>
                          <w:rPr>
                            <w:rFonts w:ascii="Cambria Math" w:hAnsi="Cambria Math" w:cs="Arial"/>
                            <w:i/>
                            <w:szCs w:val="18"/>
                            <w:lang w:val="en-GB"/>
                          </w:rPr>
                        </m:ctrlPr>
                      </m:sSubPr>
                      <m:e>
                        <m:r>
                          <w:rPr>
                            <w:rFonts w:ascii="Cambria Math" w:hAnsi="Cambria Math" w:cs="Arial"/>
                            <w:szCs w:val="18"/>
                            <w:lang w:val="en-GB"/>
                          </w:rPr>
                          <m:t>n</m:t>
                        </m:r>
                      </m:e>
                      <m:sub>
                        <m:r>
                          <w:rPr>
                            <w:rFonts w:ascii="Cambria Math" w:hAnsi="Cambria Math" w:cs="Arial"/>
                            <w:szCs w:val="18"/>
                            <w:lang w:val="en-GB"/>
                          </w:rPr>
                          <m:t>HRS</m:t>
                        </m:r>
                      </m:sub>
                    </m:sSub>
                    <m:r>
                      <w:rPr>
                        <w:rFonts w:ascii="Cambria Math" w:hAnsi="Cambria Math" w:cs="Arial"/>
                        <w:szCs w:val="18"/>
                        <w:lang w:val="en-GB"/>
                      </w:rPr>
                      <m:t>=</m:t>
                    </m:r>
                  </m:e>
                </m:func>
                <m:nary>
                  <m:naryPr>
                    <m:chr m:val="∑"/>
                    <m:limLoc m:val="subSup"/>
                    <m:ctrlPr>
                      <w:rPr>
                        <w:rFonts w:ascii="Cambria Math" w:hAnsi="Cambria Math" w:cs="Arial"/>
                        <w:i/>
                        <w:szCs w:val="18"/>
                        <w:lang w:val="en-GB"/>
                      </w:rPr>
                    </m:ctrlPr>
                  </m:naryPr>
                  <m:sub>
                    <m:r>
                      <w:rPr>
                        <w:rFonts w:ascii="Cambria Math" w:hAnsi="Cambria Math" w:cs="Arial"/>
                        <w:szCs w:val="18"/>
                        <w:lang w:val="en-GB"/>
                      </w:rPr>
                      <m:t>i=0</m:t>
                    </m:r>
                  </m:sub>
                  <m:sup>
                    <m:r>
                      <w:rPr>
                        <w:rFonts w:ascii="Cambria Math" w:hAnsi="Cambria Math" w:cs="Arial"/>
                        <w:szCs w:val="18"/>
                        <w:lang w:val="en-GB"/>
                      </w:rPr>
                      <m:t>N-1</m:t>
                    </m:r>
                  </m:sup>
                  <m:e>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e>
                </m:nary>
              </m:oMath>
            </m:oMathPara>
          </w:p>
          <w:p w14:paraId="17213B66" w14:textId="77777777" w:rsidR="0088409A" w:rsidRPr="00AB7BFD" w:rsidRDefault="0088409A" w:rsidP="00E0408A">
            <w:pPr>
              <w:pStyle w:val="CETBodytext"/>
              <w:ind w:left="142" w:right="-1"/>
              <w:rPr>
                <w:rFonts w:cs="Arial"/>
                <w:szCs w:val="18"/>
                <w:lang w:val="en-GB"/>
              </w:rPr>
            </w:pPr>
            <m:oMathPara>
              <m:oMathParaPr>
                <m:jc m:val="left"/>
              </m:oMathParaPr>
              <m:oMath>
                <m:r>
                  <w:rPr>
                    <w:rFonts w:ascii="Cambria Math" w:hAnsi="Cambria Math" w:cs="Arial"/>
                    <w:szCs w:val="18"/>
                    <w:lang w:val="en-GB"/>
                  </w:rPr>
                  <m:t>Subject to:</m:t>
                </m:r>
              </m:oMath>
            </m:oMathPara>
          </w:p>
          <w:p w14:paraId="70F069F4" w14:textId="77777777" w:rsidR="0088409A" w:rsidRPr="00AB7BFD" w:rsidRDefault="00000000" w:rsidP="00E0408A">
            <w:pPr>
              <w:pStyle w:val="CETBodytext"/>
              <w:ind w:left="142" w:right="-1"/>
              <w:rPr>
                <w:rFonts w:cs="Arial"/>
                <w:szCs w:val="18"/>
                <w:lang w:val="en-GB"/>
              </w:rPr>
            </w:pPr>
            <m:oMathPara>
              <m:oMath>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0</m:t>
                    </m:r>
                  </m:sub>
                </m:sSub>
                <m:r>
                  <w:rPr>
                    <w:rFonts w:ascii="Cambria Math" w:hAnsi="Cambria Math" w:cs="Arial"/>
                    <w:szCs w:val="18"/>
                    <w:lang w:val="en-GB"/>
                  </w:rPr>
                  <m:t>=1</m:t>
                </m:r>
              </m:oMath>
            </m:oMathPara>
          </w:p>
          <w:p w14:paraId="521DB4CB" w14:textId="77777777" w:rsidR="0088409A" w:rsidRPr="00AB7BFD" w:rsidRDefault="00000000" w:rsidP="00E0408A">
            <w:pPr>
              <w:pStyle w:val="CETBodytext"/>
              <w:ind w:left="142" w:right="-1"/>
              <w:rPr>
                <w:rFonts w:cs="Arial"/>
                <w:szCs w:val="18"/>
                <w:lang w:val="en-GB"/>
              </w:rPr>
            </w:pPr>
            <m:oMathPara>
              <m:oMath>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N-1</m:t>
                    </m:r>
                  </m:sub>
                </m:sSub>
                <m:r>
                  <w:rPr>
                    <w:rFonts w:ascii="Cambria Math" w:hAnsi="Cambria Math" w:cs="Arial"/>
                    <w:szCs w:val="18"/>
                    <w:lang w:val="en-GB"/>
                  </w:rPr>
                  <m:t>=1</m:t>
                </m:r>
              </m:oMath>
            </m:oMathPara>
          </w:p>
          <w:p w14:paraId="58ADB306" w14:textId="77777777" w:rsidR="0088409A" w:rsidRPr="00690F5C" w:rsidRDefault="00000000" w:rsidP="00E0408A">
            <w:pPr>
              <w:pStyle w:val="CETBodytext"/>
              <w:ind w:left="142" w:right="-1"/>
              <w:rPr>
                <w:rFonts w:cs="Arial"/>
                <w:szCs w:val="18"/>
                <w:lang w:val="en-GB"/>
              </w:rPr>
            </w:pPr>
            <m:oMath>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r>
                <w:rPr>
                  <w:rFonts w:ascii="Cambria Math" w:hAnsi="Cambria Math" w:cs="Arial"/>
                  <w:szCs w:val="18"/>
                  <w:lang w:val="en-GB"/>
                </w:rPr>
                <m:t>≤</m:t>
              </m:r>
              <m:nary>
                <m:naryPr>
                  <m:chr m:val="∑"/>
                  <m:limLoc m:val="subSup"/>
                  <m:supHide m:val="1"/>
                  <m:ctrlPr>
                    <w:rPr>
                      <w:rFonts w:ascii="Cambria Math" w:hAnsi="Cambria Math" w:cs="Arial"/>
                      <w:i/>
                      <w:szCs w:val="18"/>
                      <w:lang w:val="en-GB"/>
                    </w:rPr>
                  </m:ctrlPr>
                </m:naryPr>
                <m:sub>
                  <m:r>
                    <w:rPr>
                      <w:rFonts w:ascii="Cambria Math" w:hAnsi="Cambria Math" w:cs="Arial"/>
                      <w:szCs w:val="18"/>
                      <w:lang w:val="en-GB"/>
                    </w:rPr>
                    <m:t>j∈S</m:t>
                  </m:r>
                  <m:d>
                    <m:dPr>
                      <m:ctrlPr>
                        <w:rPr>
                          <w:rFonts w:ascii="Cambria Math" w:hAnsi="Cambria Math" w:cs="Arial"/>
                          <w:i/>
                          <w:szCs w:val="18"/>
                          <w:lang w:val="en-GB"/>
                        </w:rPr>
                      </m:ctrlPr>
                    </m:dPr>
                    <m:e>
                      <m:r>
                        <w:rPr>
                          <w:rFonts w:ascii="Cambria Math" w:hAnsi="Cambria Math" w:cs="Arial"/>
                          <w:szCs w:val="18"/>
                          <w:lang w:val="en-GB"/>
                        </w:rPr>
                        <m:t>i</m:t>
                      </m:r>
                    </m:e>
                  </m:d>
                </m:sub>
                <m:sup/>
                <m:e>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j</m:t>
                      </m:r>
                    </m:sub>
                  </m:sSub>
                </m:e>
              </m:nary>
              <m:r>
                <w:rPr>
                  <w:rFonts w:ascii="Cambria Math" w:hAnsi="Cambria Math" w:cs="Arial"/>
                  <w:szCs w:val="18"/>
                  <w:lang w:val="en-GB"/>
                </w:rPr>
                <m:t xml:space="preserve"> ∀i∈</m:t>
              </m:r>
              <m:d>
                <m:dPr>
                  <m:begChr m:val="{"/>
                  <m:endChr m:val="}"/>
                  <m:ctrlPr>
                    <w:rPr>
                      <w:rFonts w:ascii="Cambria Math" w:hAnsi="Cambria Math" w:cs="Arial"/>
                      <w:i/>
                      <w:szCs w:val="18"/>
                      <w:lang w:val="en-GB"/>
                    </w:rPr>
                  </m:ctrlPr>
                </m:dPr>
                <m:e>
                  <m:r>
                    <w:rPr>
                      <w:rFonts w:ascii="Cambria Math" w:hAnsi="Cambria Math" w:cs="Arial"/>
                      <w:szCs w:val="18"/>
                      <w:lang w:val="en-GB"/>
                    </w:rPr>
                    <m:t>0,…, N-2</m:t>
                  </m:r>
                </m:e>
              </m:d>
            </m:oMath>
            <w:r w:rsidR="0088409A">
              <w:rPr>
                <w:rFonts w:cs="Arial"/>
                <w:szCs w:val="18"/>
                <w:lang w:val="en-GB"/>
              </w:rPr>
              <w:t xml:space="preserve">, where  </w:t>
            </w:r>
            <m:oMath>
              <m:r>
                <w:rPr>
                  <w:rFonts w:ascii="Cambria Math" w:hAnsi="Cambria Math" w:cs="Arial"/>
                  <w:szCs w:val="18"/>
                  <w:lang w:val="en-GB"/>
                </w:rPr>
                <m:t>S</m:t>
              </m:r>
              <m:d>
                <m:dPr>
                  <m:ctrlPr>
                    <w:rPr>
                      <w:rFonts w:ascii="Cambria Math" w:hAnsi="Cambria Math" w:cs="Arial"/>
                      <w:i/>
                      <w:szCs w:val="18"/>
                      <w:lang w:val="en-GB"/>
                    </w:rPr>
                  </m:ctrlPr>
                </m:dPr>
                <m:e>
                  <m:r>
                    <w:rPr>
                      <w:rFonts w:ascii="Cambria Math" w:hAnsi="Cambria Math" w:cs="Arial"/>
                      <w:szCs w:val="18"/>
                      <w:lang w:val="en-GB"/>
                    </w:rPr>
                    <m:t>i</m:t>
                  </m:r>
                </m:e>
              </m:d>
              <m:r>
                <w:rPr>
                  <w:rFonts w:ascii="Cambria Math" w:hAnsi="Cambria Math" w:cs="Arial"/>
                  <w:szCs w:val="18"/>
                  <w:lang w:val="en-GB"/>
                </w:rPr>
                <m:t>=</m:t>
              </m:r>
              <m:d>
                <m:dPr>
                  <m:begChr m:val="{"/>
                  <m:endChr m:val="}"/>
                  <m:ctrlPr>
                    <w:rPr>
                      <w:rFonts w:ascii="Cambria Math" w:hAnsi="Cambria Math" w:cs="Arial"/>
                      <w:i/>
                      <w:szCs w:val="18"/>
                      <w:lang w:val="en-GB"/>
                    </w:rPr>
                  </m:ctrlPr>
                </m:dPr>
                <m:e>
                  <m:d>
                    <m:dPr>
                      <m:begChr m:val=""/>
                      <m:endChr m:val="|"/>
                      <m:ctrlPr>
                        <w:rPr>
                          <w:rFonts w:ascii="Cambria Math" w:hAnsi="Cambria Math" w:cs="Arial"/>
                          <w:i/>
                          <w:szCs w:val="18"/>
                          <w:lang w:val="en-GB"/>
                        </w:rPr>
                      </m:ctrlPr>
                    </m:dPr>
                    <m:e>
                      <m:r>
                        <w:rPr>
                          <w:rFonts w:ascii="Cambria Math" w:hAnsi="Cambria Math" w:cs="Arial"/>
                          <w:szCs w:val="18"/>
                          <w:lang w:val="en-GB"/>
                        </w:rPr>
                        <m:t>j∈</m:t>
                      </m:r>
                      <m:d>
                        <m:dPr>
                          <m:begChr m:val="{"/>
                          <m:endChr m:val="}"/>
                          <m:ctrlPr>
                            <w:rPr>
                              <w:rFonts w:ascii="Cambria Math" w:hAnsi="Cambria Math" w:cs="Arial"/>
                              <w:i/>
                              <w:szCs w:val="18"/>
                              <w:lang w:val="en-GB"/>
                            </w:rPr>
                          </m:ctrlPr>
                        </m:dPr>
                        <m:e>
                          <m:r>
                            <w:rPr>
                              <w:rFonts w:ascii="Cambria Math" w:hAnsi="Cambria Math" w:cs="Arial"/>
                              <w:szCs w:val="18"/>
                              <w:lang w:val="en-GB"/>
                            </w:rPr>
                            <m:t>i+1,…,N-1</m:t>
                          </m:r>
                        </m:e>
                      </m:d>
                    </m:e>
                  </m:d>
                  <m:r>
                    <w:rPr>
                      <w:rFonts w:ascii="Cambria Math" w:hAnsi="Cambria Math" w:cs="Arial"/>
                      <w:szCs w:val="18"/>
                      <w:lang w:val="en-GB"/>
                    </w:rPr>
                    <m:t xml:space="preserve"> </m:t>
                  </m:r>
                  <m:sSub>
                    <m:sSubPr>
                      <m:ctrlPr>
                        <w:rPr>
                          <w:rFonts w:ascii="Cambria Math" w:hAnsi="Cambria Math" w:cs="Arial"/>
                          <w:i/>
                          <w:szCs w:val="18"/>
                          <w:lang w:val="en-GB"/>
                        </w:rPr>
                      </m:ctrlPr>
                    </m:sSubPr>
                    <m:e>
                      <m:r>
                        <w:rPr>
                          <w:rFonts w:ascii="Cambria Math" w:hAnsi="Cambria Math" w:cs="Arial"/>
                          <w:szCs w:val="18"/>
                          <w:lang w:val="en-GB"/>
                        </w:rPr>
                        <m:t>d</m:t>
                      </m:r>
                    </m:e>
                    <m:sub>
                      <m:r>
                        <w:rPr>
                          <w:rFonts w:ascii="Cambria Math" w:hAnsi="Cambria Math" w:cs="Arial"/>
                          <w:szCs w:val="18"/>
                          <w:lang w:val="en-GB"/>
                        </w:rPr>
                        <m:t>j</m:t>
                      </m:r>
                    </m:sub>
                  </m:sSub>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d</m:t>
                      </m:r>
                    </m:e>
                    <m:sub>
                      <m:r>
                        <w:rPr>
                          <w:rFonts w:ascii="Cambria Math" w:hAnsi="Cambria Math" w:cs="Arial"/>
                          <w:szCs w:val="18"/>
                          <w:lang w:val="en-GB"/>
                        </w:rPr>
                        <m:t>j</m:t>
                      </m:r>
                    </m:sub>
                  </m:sSub>
                  <m:r>
                    <w:rPr>
                      <w:rFonts w:ascii="Cambria Math" w:hAnsi="Cambria Math" w:cs="Arial"/>
                      <w:szCs w:val="18"/>
                      <w:lang w:val="en-GB"/>
                    </w:rPr>
                    <m:t>≤A</m:t>
                  </m:r>
                </m:e>
              </m:d>
            </m:oMath>
          </w:p>
          <w:p w14:paraId="1AB9E0DF" w14:textId="77777777" w:rsidR="0088409A" w:rsidRPr="000E4B50" w:rsidRDefault="00000000" w:rsidP="00E0408A">
            <w:pPr>
              <w:pStyle w:val="CETBodytext"/>
              <w:ind w:left="142" w:right="-1"/>
              <w:rPr>
                <w:rFonts w:cs="Arial"/>
                <w:szCs w:val="18"/>
                <w:lang w:val="en-GB"/>
              </w:rPr>
            </w:pPr>
            <m:oMathPara>
              <m:oMath>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r>
                  <w:rPr>
                    <w:rFonts w:ascii="Cambria Math" w:hAnsi="Cambria Math" w:cs="Arial"/>
                    <w:szCs w:val="18"/>
                    <w:lang w:val="en-GB"/>
                  </w:rPr>
                  <m:t>∈</m:t>
                </m:r>
                <m:d>
                  <m:dPr>
                    <m:begChr m:val="{"/>
                    <m:endChr m:val="}"/>
                    <m:ctrlPr>
                      <w:rPr>
                        <w:rFonts w:ascii="Cambria Math" w:hAnsi="Cambria Math" w:cs="Arial"/>
                        <w:i/>
                        <w:szCs w:val="18"/>
                        <w:lang w:val="en-GB"/>
                      </w:rPr>
                    </m:ctrlPr>
                  </m:dPr>
                  <m:e>
                    <m:r>
                      <w:rPr>
                        <w:rFonts w:ascii="Cambria Math" w:hAnsi="Cambria Math" w:cs="Arial"/>
                        <w:szCs w:val="18"/>
                        <w:lang w:val="en-GB"/>
                      </w:rPr>
                      <m:t>0,1</m:t>
                    </m:r>
                  </m:e>
                </m:d>
                <m:r>
                  <w:rPr>
                    <w:rFonts w:ascii="Cambria Math" w:hAnsi="Cambria Math" w:cs="Arial"/>
                    <w:szCs w:val="18"/>
                    <w:lang w:val="en-GB"/>
                  </w:rPr>
                  <m:t xml:space="preserve">  ∀i</m:t>
                </m:r>
              </m:oMath>
            </m:oMathPara>
          </w:p>
        </w:tc>
        <w:tc>
          <w:tcPr>
            <w:tcW w:w="617" w:type="dxa"/>
            <w:shd w:val="clear" w:color="auto" w:fill="FFFFFF"/>
          </w:tcPr>
          <w:p w14:paraId="67F48FDE" w14:textId="25034DDB" w:rsidR="0088409A" w:rsidRPr="00B57B36" w:rsidRDefault="0088409A" w:rsidP="00E0408A">
            <w:pPr>
              <w:pStyle w:val="CETBodytext"/>
              <w:ind w:right="-5"/>
              <w:jc w:val="right"/>
              <w:rPr>
                <w:rFonts w:cs="Arial"/>
                <w:szCs w:val="18"/>
                <w:lang w:val="en-GB"/>
              </w:rPr>
            </w:pPr>
            <w:r>
              <w:rPr>
                <w:rFonts w:cs="Arial"/>
                <w:szCs w:val="18"/>
                <w:lang w:val="en-GB"/>
              </w:rPr>
              <w:t>(</w:t>
            </w:r>
            <w:r w:rsidR="007B338B">
              <w:rPr>
                <w:rFonts w:cs="Arial"/>
                <w:szCs w:val="18"/>
                <w:lang w:val="en-GB"/>
              </w:rPr>
              <w:t>1</w:t>
            </w:r>
            <w:r>
              <w:rPr>
                <w:rFonts w:cs="Arial"/>
                <w:szCs w:val="18"/>
                <w:lang w:val="en-GB"/>
              </w:rPr>
              <w:t>)</w:t>
            </w:r>
          </w:p>
        </w:tc>
      </w:tr>
      <w:tr w:rsidR="0088409A" w:rsidRPr="00B57B36" w14:paraId="25B70B5C" w14:textId="77777777" w:rsidTr="00E0408A">
        <w:tc>
          <w:tcPr>
            <w:tcW w:w="8172" w:type="dxa"/>
            <w:shd w:val="clear" w:color="auto" w:fill="FFFFFF"/>
          </w:tcPr>
          <w:p w14:paraId="36411CA7" w14:textId="77777777" w:rsidR="0088409A" w:rsidRDefault="0088409A" w:rsidP="00E0408A">
            <w:pPr>
              <w:pStyle w:val="CETBodytext"/>
              <w:ind w:left="142" w:right="-1"/>
              <w:rPr>
                <w:szCs w:val="18"/>
                <w:lang w:val="en-GB"/>
              </w:rPr>
            </w:pPr>
          </w:p>
        </w:tc>
        <w:tc>
          <w:tcPr>
            <w:tcW w:w="617" w:type="dxa"/>
            <w:shd w:val="clear" w:color="auto" w:fill="FFFFFF"/>
          </w:tcPr>
          <w:p w14:paraId="7AF50B15" w14:textId="77777777" w:rsidR="0088409A" w:rsidRDefault="0088409A" w:rsidP="00E0408A">
            <w:pPr>
              <w:pStyle w:val="CETBodytext"/>
              <w:ind w:right="-5"/>
              <w:jc w:val="right"/>
              <w:rPr>
                <w:rFonts w:cs="Arial"/>
                <w:szCs w:val="18"/>
                <w:lang w:val="en-GB"/>
              </w:rPr>
            </w:pPr>
          </w:p>
        </w:tc>
      </w:tr>
    </w:tbl>
    <w:p w14:paraId="232A3BCE" w14:textId="778A9152" w:rsidR="0088409A" w:rsidRDefault="0088409A" w:rsidP="00B33898">
      <w:pPr>
        <w:pStyle w:val="CETBodytext"/>
      </w:pPr>
      <w:r w:rsidRPr="00A826C5">
        <w:t xml:space="preserve">The objective function minimizes the total number of HRS installed along the route. The first two constraints ensure that HRS stations are installed at both the </w:t>
      </w:r>
      <w:proofErr w:type="gramStart"/>
      <w:r w:rsidRPr="00A826C5">
        <w:t>origin</w:t>
      </w:r>
      <w:proofErr w:type="gramEnd"/>
      <w:r w:rsidRPr="00A826C5">
        <w:t xml:space="preserve"> and the destination. The third constraint ensures that each segment between consecutive stations is covered by an HRS within the safe driving range </w:t>
      </w:r>
      <w:r>
        <w:t>(</w:t>
      </w:r>
      <m:oMath>
        <m:r>
          <w:rPr>
            <w:rFonts w:ascii="Cambria Math" w:hAnsi="Cambria Math"/>
          </w:rPr>
          <m:t>A</m:t>
        </m:r>
      </m:oMath>
      <w:r>
        <w:t>)</w:t>
      </w:r>
      <w:r w:rsidRPr="00A826C5">
        <w:t xml:space="preserve">, which is determined by the </w:t>
      </w:r>
      <w:r w:rsidR="00B05E3D">
        <w:t>HD HFCV</w:t>
      </w:r>
      <w:r w:rsidRPr="00A826C5">
        <w:t xml:space="preserve"> autonomy</w:t>
      </w:r>
      <w:r w:rsidR="00B05E3D">
        <w:t xml:space="preserve"> (</w:t>
      </w:r>
      <m:oMath>
        <m:r>
          <w:rPr>
            <w:rFonts w:ascii="Cambria Math" w:hAnsi="Cambria Math"/>
          </w:rPr>
          <m:t>A</m:t>
        </m:r>
      </m:oMath>
      <w:r w:rsidR="00B05E3D">
        <w:t>)</w:t>
      </w:r>
      <w:r w:rsidRPr="00A826C5">
        <w:t xml:space="preserve"> with a safety margin</w:t>
      </w:r>
      <w:r w:rsidR="007B338B">
        <w:t>.</w:t>
      </w:r>
    </w:p>
    <w:p w14:paraId="26EF49C7" w14:textId="701EA138" w:rsidR="004840C6" w:rsidRPr="004840C6" w:rsidRDefault="004840C6" w:rsidP="004840C6">
      <w:r>
        <w:t>For comparison between vehicles type f, t</w:t>
      </w:r>
      <w:r w:rsidRPr="004840C6">
        <w:t>he analysis considers several factors</w:t>
      </w:r>
      <w:r>
        <w:t xml:space="preserve"> such as</w:t>
      </w:r>
      <w:r w:rsidRPr="004840C6">
        <w:t xml:space="preserve"> the annual operation</w:t>
      </w:r>
      <w:r>
        <w:t xml:space="preserve"> distances</w:t>
      </w:r>
      <w:r w:rsidRPr="004840C6">
        <w:t xml:space="preserve"> of the vehicles, the amount of CO</w:t>
      </w:r>
      <w:r w:rsidRPr="004840C6">
        <w:rPr>
          <w:rFonts w:ascii="Cambria Math" w:hAnsi="Cambria Math" w:cs="Cambria Math"/>
        </w:rPr>
        <w:t>₂</w:t>
      </w:r>
      <w:r w:rsidRPr="004840C6">
        <w:t xml:space="preserve"> emissions, and the cost of hydrogen</w:t>
      </w:r>
      <w:r>
        <w:t xml:space="preserve"> and diesel</w:t>
      </w:r>
      <w:r w:rsidRPr="004840C6">
        <w:t>-powered trucks. To assess whether hydrogen is the most economically and environmentally viable option, the Total Sustainable Cost of Ownership (TSCO</w:t>
      </w:r>
      <w:r>
        <w:t>- Equation 2</w:t>
      </w:r>
      <w:r w:rsidRPr="004840C6">
        <w:t>) is calculated, incorporating carbon pricing and considering both operational costs and environmental impacts</w:t>
      </w:r>
      <w:r>
        <w:t>, for that, t</w:t>
      </w:r>
      <w:r w:rsidRPr="004840C6">
        <w:t>he Total Cost of Ownership (TCO</w:t>
      </w:r>
      <w:r>
        <w:t>- Equation 3</w:t>
      </w:r>
      <w:r w:rsidRPr="004840C6">
        <w:t>) is determined, which includes the vehicle's purchase cost, fuel consumption, and maintenance costs.</w:t>
      </w:r>
      <w:r>
        <w:t xml:space="preserve"> Also</w:t>
      </w:r>
      <w:r w:rsidRPr="004840C6">
        <w:t>, an analysis of CO</w:t>
      </w:r>
      <w:r w:rsidRPr="004840C6">
        <w:rPr>
          <w:rFonts w:ascii="Cambria Math" w:hAnsi="Cambria Math" w:cs="Cambria Math"/>
        </w:rPr>
        <w:t>₂</w:t>
      </w:r>
      <w:r w:rsidRPr="004840C6">
        <w:t xml:space="preserve"> emissions is conducted for both vehicle types, focusing on the emission reductions achieved using green hydrogen, as represented by the carbon emissions (CE) formula</w:t>
      </w:r>
      <w:r>
        <w:t xml:space="preserve"> (equation4)</w:t>
      </w:r>
      <w:r w:rsidRPr="004840C6">
        <w:t>.</w:t>
      </w:r>
    </w:p>
    <w:p w14:paraId="78694FB4" w14:textId="77777777" w:rsidR="004840C6" w:rsidRDefault="004840C6" w:rsidP="007B338B">
      <w:pPr>
        <w:pStyle w:val="CETBodytext"/>
        <w:rPr>
          <w:lang w:val="en-GB"/>
        </w:rPr>
      </w:pPr>
    </w:p>
    <w:tbl>
      <w:tblPr>
        <w:tblW w:w="8931" w:type="dxa"/>
        <w:shd w:val="clear" w:color="auto" w:fill="FFFFFF"/>
        <w:tblCellMar>
          <w:left w:w="0" w:type="dxa"/>
          <w:right w:w="0" w:type="dxa"/>
        </w:tblCellMar>
        <w:tblLook w:val="00A0" w:firstRow="1" w:lastRow="0" w:firstColumn="1" w:lastColumn="0" w:noHBand="0" w:noVBand="0"/>
      </w:tblPr>
      <w:tblGrid>
        <w:gridCol w:w="4962"/>
        <w:gridCol w:w="3969"/>
      </w:tblGrid>
      <w:tr w:rsidR="00B33898" w:rsidRPr="00B57B36" w14:paraId="634A6524" w14:textId="77777777" w:rsidTr="005B587B">
        <w:tc>
          <w:tcPr>
            <w:tcW w:w="4962" w:type="dxa"/>
            <w:shd w:val="clear" w:color="auto" w:fill="FFFFFF"/>
          </w:tcPr>
          <w:p w14:paraId="26B11E18" w14:textId="77777777" w:rsidR="00B33898" w:rsidRPr="004945E9" w:rsidRDefault="00000000" w:rsidP="00110564">
            <w:pPr>
              <w:pStyle w:val="CETBodytext"/>
              <w:ind w:left="142" w:right="-1"/>
              <w:rPr>
                <w:rFonts w:cs="Arial"/>
                <w:szCs w:val="18"/>
                <w:lang w:val="en-GB"/>
              </w:rPr>
            </w:pPr>
            <m:oMathPara>
              <m:oMathParaPr>
                <m:jc m:val="left"/>
              </m:oMathParaPr>
              <m:oMath>
                <m:sSup>
                  <m:sSupPr>
                    <m:ctrlPr>
                      <w:rPr>
                        <w:rFonts w:ascii="Cambria Math" w:hAnsi="Cambria Math" w:cs="Arial"/>
                        <w:i/>
                        <w:szCs w:val="18"/>
                        <w:lang w:val="en-GB"/>
                      </w:rPr>
                    </m:ctrlPr>
                  </m:sSupPr>
                  <m:e>
                    <m:r>
                      <w:rPr>
                        <w:rFonts w:ascii="Cambria Math" w:hAnsi="Cambria Math" w:cs="Arial"/>
                        <w:szCs w:val="18"/>
                        <w:lang w:val="en-GB"/>
                      </w:rPr>
                      <m:t>TSCO</m:t>
                    </m:r>
                  </m:e>
                  <m:sup>
                    <m:r>
                      <w:rPr>
                        <w:rFonts w:ascii="Cambria Math" w:hAnsi="Cambria Math" w:cs="Arial"/>
                        <w:szCs w:val="18"/>
                        <w:lang w:val="en-GB"/>
                      </w:rPr>
                      <m:t>f</m:t>
                    </m:r>
                  </m:sup>
                </m:sSup>
                <m:r>
                  <w:rPr>
                    <w:rFonts w:ascii="Cambria Math" w:hAnsi="Cambria Math" w:cs="Arial"/>
                    <w:szCs w:val="18"/>
                    <w:lang w:val="en-GB"/>
                  </w:rPr>
                  <m:t>=</m:t>
                </m:r>
                <m:sSup>
                  <m:sSupPr>
                    <m:ctrlPr>
                      <w:rPr>
                        <w:rFonts w:ascii="Cambria Math" w:hAnsi="Cambria Math" w:cs="Arial"/>
                        <w:i/>
                        <w:szCs w:val="18"/>
                        <w:lang w:val="en-GB"/>
                      </w:rPr>
                    </m:ctrlPr>
                  </m:sSupPr>
                  <m:e>
                    <m:r>
                      <w:rPr>
                        <w:rFonts w:ascii="Cambria Math" w:hAnsi="Cambria Math" w:cs="Arial"/>
                        <w:szCs w:val="18"/>
                        <w:lang w:val="en-GB"/>
                      </w:rPr>
                      <m:t>TCO</m:t>
                    </m:r>
                  </m:e>
                  <m:sup>
                    <m:r>
                      <w:rPr>
                        <w:rFonts w:ascii="Cambria Math" w:hAnsi="Cambria Math" w:cs="Arial"/>
                        <w:szCs w:val="18"/>
                        <w:lang w:val="en-GB"/>
                      </w:rPr>
                      <m:t>f</m:t>
                    </m:r>
                  </m:sup>
                </m:sSup>
                <m:r>
                  <w:rPr>
                    <w:rFonts w:ascii="Cambria Math" w:hAnsi="Cambria Math" w:cs="Arial"/>
                    <w:szCs w:val="18"/>
                    <w:lang w:val="en-GB"/>
                  </w:rPr>
                  <m:t>+</m:t>
                </m:r>
                <m:sSup>
                  <m:sSupPr>
                    <m:ctrlPr>
                      <w:rPr>
                        <w:rFonts w:ascii="Cambria Math" w:hAnsi="Cambria Math" w:cs="Arial"/>
                        <w:i/>
                        <w:szCs w:val="18"/>
                        <w:lang w:val="en-GB"/>
                      </w:rPr>
                    </m:ctrlPr>
                  </m:sSupPr>
                  <m:e>
                    <m:r>
                      <w:rPr>
                        <w:rFonts w:ascii="Cambria Math" w:hAnsi="Cambria Math" w:cs="Arial"/>
                        <w:szCs w:val="18"/>
                        <w:lang w:val="en-GB"/>
                      </w:rPr>
                      <m:t>CE</m:t>
                    </m:r>
                  </m:e>
                  <m:sup>
                    <m:r>
                      <w:rPr>
                        <w:rFonts w:ascii="Cambria Math" w:hAnsi="Cambria Math" w:cs="Arial"/>
                        <w:szCs w:val="18"/>
                        <w:lang w:val="en-GB"/>
                      </w:rPr>
                      <m:t>f</m:t>
                    </m:r>
                  </m:sup>
                </m:sSup>
              </m:oMath>
            </m:oMathPara>
          </w:p>
        </w:tc>
        <w:tc>
          <w:tcPr>
            <w:tcW w:w="3969" w:type="dxa"/>
            <w:shd w:val="clear" w:color="auto" w:fill="FFFFFF"/>
            <w:vAlign w:val="center"/>
          </w:tcPr>
          <w:p w14:paraId="73DC3E2E" w14:textId="631B846E" w:rsidR="00B33898" w:rsidRPr="00B57B36" w:rsidRDefault="00B33898" w:rsidP="005B587B">
            <w:pPr>
              <w:pStyle w:val="CETBodytext"/>
              <w:tabs>
                <w:tab w:val="left" w:pos="3679"/>
              </w:tabs>
              <w:ind w:right="140"/>
              <w:jc w:val="right"/>
              <w:rPr>
                <w:rFonts w:cs="Arial"/>
                <w:szCs w:val="18"/>
                <w:lang w:val="en-GB"/>
              </w:rPr>
            </w:pPr>
            <w:r>
              <w:rPr>
                <w:rFonts w:cs="Arial"/>
                <w:szCs w:val="18"/>
                <w:lang w:val="en-GB"/>
              </w:rPr>
              <w:t>(</w:t>
            </w:r>
            <w:r w:rsidR="004840C6">
              <w:rPr>
                <w:rFonts w:cs="Arial"/>
                <w:szCs w:val="18"/>
                <w:lang w:val="en-GB"/>
              </w:rPr>
              <w:t>2</w:t>
            </w:r>
            <w:r>
              <w:rPr>
                <w:rFonts w:cs="Arial"/>
                <w:szCs w:val="18"/>
                <w:lang w:val="en-GB"/>
              </w:rPr>
              <w:t>)</w:t>
            </w:r>
          </w:p>
        </w:tc>
      </w:tr>
    </w:tbl>
    <w:p w14:paraId="38170ECA" w14:textId="77777777" w:rsidR="00B33898" w:rsidRDefault="00B33898" w:rsidP="00B33898">
      <w:pPr>
        <w:pStyle w:val="CETBodytext"/>
      </w:pPr>
    </w:p>
    <w:tbl>
      <w:tblPr>
        <w:tblStyle w:val="Tabelacomgrade"/>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2"/>
        <w:gridCol w:w="3969"/>
      </w:tblGrid>
      <w:tr w:rsidR="00B33898" w:rsidRPr="00B57B36" w14:paraId="4B505694" w14:textId="77777777" w:rsidTr="005B587B">
        <w:tc>
          <w:tcPr>
            <w:tcW w:w="4962" w:type="dxa"/>
          </w:tcPr>
          <w:p w14:paraId="5F9ED656" w14:textId="77777777" w:rsidR="00B33898" w:rsidRPr="004945E9" w:rsidRDefault="00000000" w:rsidP="00110564">
            <w:pPr>
              <w:pStyle w:val="CETBodytext"/>
              <w:ind w:left="-108" w:right="-1"/>
              <w:rPr>
                <w:rFonts w:cs="Arial"/>
                <w:szCs w:val="18"/>
                <w:lang w:val="en-GB"/>
              </w:rPr>
            </w:pPr>
            <m:oMathPara>
              <m:oMathParaPr>
                <m:jc m:val="left"/>
              </m:oMathParaPr>
              <m:oMath>
                <m:sSup>
                  <m:sSupPr>
                    <m:ctrlPr>
                      <w:rPr>
                        <w:rFonts w:ascii="Cambria Math" w:hAnsi="Cambria Math" w:cs="Arial"/>
                        <w:i/>
                        <w:szCs w:val="18"/>
                        <w:lang w:val="en-GB"/>
                      </w:rPr>
                    </m:ctrlPr>
                  </m:sSupPr>
                  <m:e>
                    <m:r>
                      <w:rPr>
                        <w:rFonts w:ascii="Cambria Math" w:hAnsi="Cambria Math" w:cs="Arial"/>
                        <w:szCs w:val="18"/>
                        <w:lang w:val="en-GB"/>
                      </w:rPr>
                      <m:t>TCO</m:t>
                    </m:r>
                  </m:e>
                  <m:sup>
                    <m:r>
                      <w:rPr>
                        <w:rFonts w:ascii="Cambria Math" w:hAnsi="Cambria Math" w:cs="Arial"/>
                        <w:szCs w:val="18"/>
                        <w:lang w:val="en-GB"/>
                      </w:rPr>
                      <m:t>f</m:t>
                    </m:r>
                  </m:sup>
                </m:sSup>
                <m:r>
                  <w:rPr>
                    <w:rFonts w:ascii="Cambria Math" w:hAnsi="Cambria Math" w:cs="Arial"/>
                    <w:szCs w:val="18"/>
                    <w:lang w:val="en-GB"/>
                  </w:rPr>
                  <m:t>=</m:t>
                </m:r>
                <m:f>
                  <m:fPr>
                    <m:ctrlPr>
                      <w:rPr>
                        <w:rFonts w:ascii="Cambria Math" w:hAnsi="Cambria Math" w:cs="Arial"/>
                        <w:i/>
                        <w:szCs w:val="18"/>
                        <w:lang w:val="en-GB"/>
                      </w:rPr>
                    </m:ctrlPr>
                  </m:fPr>
                  <m:num>
                    <m:d>
                      <m:dPr>
                        <m:ctrlPr>
                          <w:rPr>
                            <w:rFonts w:ascii="Cambria Math" w:hAnsi="Cambria Math" w:cs="Arial"/>
                            <w:i/>
                            <w:szCs w:val="18"/>
                            <w:lang w:val="en-GB"/>
                          </w:rPr>
                        </m:ctrlPr>
                      </m:dPr>
                      <m:e>
                        <m:f>
                          <m:fPr>
                            <m:type m:val="lin"/>
                            <m:ctrlPr>
                              <w:rPr>
                                <w:rFonts w:ascii="Cambria Math" w:hAnsi="Cambria Math" w:cs="Arial"/>
                                <w:i/>
                                <w:szCs w:val="18"/>
                                <w:lang w:val="en-GB"/>
                              </w:rPr>
                            </m:ctrlPr>
                          </m:fPr>
                          <m:num>
                            <m:sSup>
                              <m:sSupPr>
                                <m:ctrlPr>
                                  <w:rPr>
                                    <w:rFonts w:ascii="Cambria Math" w:hAnsi="Cambria Math" w:cs="Arial"/>
                                    <w:i/>
                                    <w:szCs w:val="18"/>
                                    <w:lang w:val="en-GB"/>
                                  </w:rPr>
                                </m:ctrlPr>
                              </m:sSupPr>
                              <m:e>
                                <m:r>
                                  <w:rPr>
                                    <w:rFonts w:ascii="Cambria Math" w:hAnsi="Cambria Math" w:cs="Arial"/>
                                    <w:szCs w:val="18"/>
                                    <w:lang w:val="en-GB"/>
                                  </w:rPr>
                                  <m:t>PP</m:t>
                                </m:r>
                              </m:e>
                              <m:sup>
                                <m:r>
                                  <w:rPr>
                                    <w:rFonts w:ascii="Cambria Math" w:hAnsi="Cambria Math" w:cs="Arial"/>
                                    <w:szCs w:val="18"/>
                                    <w:lang w:val="en-GB"/>
                                  </w:rPr>
                                  <m:t>f</m:t>
                                </m:r>
                              </m:sup>
                            </m:sSup>
                            <m:r>
                              <w:rPr>
                                <w:rFonts w:ascii="Cambria Math" w:hAnsi="Cambria Math" w:cs="Arial"/>
                                <w:szCs w:val="18"/>
                                <w:lang w:val="en-GB"/>
                              </w:rPr>
                              <m:t>×</m:t>
                            </m:r>
                            <m:sSup>
                              <m:sSupPr>
                                <m:ctrlPr>
                                  <w:rPr>
                                    <w:rFonts w:ascii="Cambria Math" w:hAnsi="Cambria Math" w:cs="Arial"/>
                                    <w:i/>
                                    <w:szCs w:val="18"/>
                                    <w:lang w:val="en-GB"/>
                                  </w:rPr>
                                </m:ctrlPr>
                              </m:sSupPr>
                              <m:e>
                                <m:r>
                                  <w:rPr>
                                    <w:rFonts w:ascii="Cambria Math" w:hAnsi="Cambria Math" w:cs="Arial"/>
                                    <w:szCs w:val="18"/>
                                    <w:lang w:val="en-GB"/>
                                  </w:rPr>
                                  <m:t>n</m:t>
                                </m:r>
                              </m:e>
                              <m:sup>
                                <m:r>
                                  <w:rPr>
                                    <w:rFonts w:ascii="Cambria Math" w:hAnsi="Cambria Math" w:cs="Arial"/>
                                    <w:szCs w:val="18"/>
                                    <w:lang w:val="en-GB"/>
                                  </w:rPr>
                                  <m:t>f</m:t>
                                </m:r>
                              </m:sup>
                            </m:sSup>
                          </m:num>
                          <m:den>
                            <m:r>
                              <w:rPr>
                                <w:rFonts w:ascii="Cambria Math" w:hAnsi="Cambria Math" w:cs="Arial"/>
                                <w:szCs w:val="18"/>
                                <w:lang w:val="en-GB"/>
                              </w:rPr>
                              <m:t>Lt</m:t>
                            </m:r>
                          </m:den>
                        </m:f>
                      </m:e>
                    </m:d>
                    <m:r>
                      <w:rPr>
                        <w:rFonts w:ascii="Cambria Math" w:hAnsi="Cambria Math" w:cs="Arial"/>
                        <w:szCs w:val="18"/>
                        <w:lang w:val="en-GB"/>
                      </w:rPr>
                      <m:t>+</m:t>
                    </m:r>
                    <m:d>
                      <m:dPr>
                        <m:ctrlPr>
                          <w:rPr>
                            <w:rFonts w:ascii="Cambria Math" w:hAnsi="Cambria Math" w:cs="Arial"/>
                            <w:i/>
                            <w:szCs w:val="18"/>
                            <w:lang w:val="en-GB"/>
                          </w:rPr>
                        </m:ctrlPr>
                      </m:dPr>
                      <m:e>
                        <m:sSup>
                          <m:sSupPr>
                            <m:ctrlPr>
                              <w:rPr>
                                <w:rFonts w:ascii="Cambria Math" w:hAnsi="Cambria Math" w:cs="Arial"/>
                                <w:i/>
                                <w:szCs w:val="18"/>
                                <w:lang w:val="en-GB"/>
                              </w:rPr>
                            </m:ctrlPr>
                          </m:sSupPr>
                          <m:e>
                            <m:r>
                              <w:rPr>
                                <w:rFonts w:ascii="Cambria Math" w:hAnsi="Cambria Math" w:cs="Arial"/>
                                <w:szCs w:val="18"/>
                                <w:lang w:val="en-GB"/>
                              </w:rPr>
                              <m:t>FP</m:t>
                            </m:r>
                          </m:e>
                          <m:sup>
                            <m:r>
                              <w:rPr>
                                <w:rFonts w:ascii="Cambria Math" w:hAnsi="Cambria Math" w:cs="Arial"/>
                                <w:szCs w:val="18"/>
                                <w:lang w:val="en-GB"/>
                              </w:rPr>
                              <m:t>f</m:t>
                            </m:r>
                          </m:sup>
                        </m:sSup>
                        <m:r>
                          <w:rPr>
                            <w:rFonts w:ascii="Cambria Math" w:hAnsi="Cambria Math" w:cs="Arial"/>
                            <w:szCs w:val="18"/>
                            <w:lang w:val="en-GB"/>
                          </w:rPr>
                          <m:t>×</m:t>
                        </m:r>
                        <m:sSup>
                          <m:sSupPr>
                            <m:ctrlPr>
                              <w:rPr>
                                <w:rFonts w:ascii="Cambria Math" w:hAnsi="Cambria Math" w:cs="Arial"/>
                                <w:i/>
                                <w:szCs w:val="18"/>
                                <w:lang w:val="en-GB"/>
                              </w:rPr>
                            </m:ctrlPr>
                          </m:sSupPr>
                          <m:e>
                            <m:r>
                              <w:rPr>
                                <w:rFonts w:ascii="Cambria Math" w:hAnsi="Cambria Math" w:cs="Arial"/>
                                <w:szCs w:val="18"/>
                                <w:lang w:val="en-GB"/>
                              </w:rPr>
                              <m:t>FQ</m:t>
                            </m:r>
                          </m:e>
                          <m:sup>
                            <m:r>
                              <w:rPr>
                                <w:rFonts w:ascii="Cambria Math" w:hAnsi="Cambria Math" w:cs="Arial"/>
                                <w:szCs w:val="18"/>
                                <w:lang w:val="en-GB"/>
                              </w:rPr>
                              <m:t>f</m:t>
                            </m:r>
                          </m:sup>
                        </m:sSup>
                      </m:e>
                    </m:d>
                  </m:num>
                  <m:den>
                    <m:r>
                      <w:rPr>
                        <w:rFonts w:ascii="Cambria Math" w:hAnsi="Cambria Math" w:cs="Arial"/>
                        <w:szCs w:val="18"/>
                        <w:lang w:val="en-GB"/>
                      </w:rPr>
                      <m:t>HDC</m:t>
                    </m:r>
                  </m:den>
                </m:f>
              </m:oMath>
            </m:oMathPara>
          </w:p>
        </w:tc>
        <w:tc>
          <w:tcPr>
            <w:tcW w:w="3969" w:type="dxa"/>
            <w:vAlign w:val="center"/>
          </w:tcPr>
          <w:p w14:paraId="6B9196BA" w14:textId="7184F555" w:rsidR="00B33898" w:rsidRPr="00B57B36" w:rsidRDefault="00B33898" w:rsidP="005B587B">
            <w:pPr>
              <w:pStyle w:val="CETBodytext"/>
              <w:tabs>
                <w:tab w:val="left" w:pos="3571"/>
              </w:tabs>
              <w:ind w:right="31"/>
              <w:jc w:val="right"/>
              <w:rPr>
                <w:rFonts w:cs="Arial"/>
                <w:szCs w:val="18"/>
                <w:lang w:val="en-GB"/>
              </w:rPr>
            </w:pPr>
            <w:r>
              <w:rPr>
                <w:rFonts w:cs="Arial"/>
                <w:szCs w:val="18"/>
                <w:lang w:val="en-GB"/>
              </w:rPr>
              <w:t>(</w:t>
            </w:r>
            <w:r w:rsidR="004840C6">
              <w:rPr>
                <w:rFonts w:cs="Arial"/>
                <w:szCs w:val="18"/>
                <w:lang w:val="en-GB"/>
              </w:rPr>
              <w:t>3</w:t>
            </w:r>
            <w:r>
              <w:rPr>
                <w:rFonts w:cs="Arial"/>
                <w:szCs w:val="18"/>
                <w:lang w:val="en-GB"/>
              </w:rPr>
              <w:t>)</w:t>
            </w:r>
          </w:p>
        </w:tc>
      </w:tr>
    </w:tbl>
    <w:p w14:paraId="64165317" w14:textId="77777777" w:rsidR="00B33898" w:rsidRPr="001457F4" w:rsidRDefault="00B33898" w:rsidP="00B33898">
      <w:pPr>
        <w:pStyle w:val="CETListbullets"/>
        <w:ind w:left="113" w:firstLine="0"/>
      </w:pP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216"/>
        <w:gridCol w:w="2573"/>
      </w:tblGrid>
      <w:tr w:rsidR="00B33898" w:rsidRPr="00B57B36" w14:paraId="7E7BEDA8" w14:textId="77777777" w:rsidTr="005B587B">
        <w:tc>
          <w:tcPr>
            <w:tcW w:w="6216" w:type="dxa"/>
            <w:tcBorders>
              <w:top w:val="nil"/>
              <w:bottom w:val="nil"/>
            </w:tcBorders>
            <w:shd w:val="clear" w:color="auto" w:fill="FFFFFF"/>
          </w:tcPr>
          <w:p w14:paraId="5BDC16E4" w14:textId="77777777" w:rsidR="00B33898" w:rsidRPr="004945E9" w:rsidRDefault="00000000" w:rsidP="00110564">
            <w:pPr>
              <w:pStyle w:val="CETBodytext"/>
              <w:ind w:left="142" w:right="-1"/>
              <w:rPr>
                <w:rFonts w:cs="Arial"/>
                <w:szCs w:val="18"/>
                <w:lang w:val="en-GB"/>
              </w:rPr>
            </w:pPr>
            <m:oMathPara>
              <m:oMathParaPr>
                <m:jc m:val="left"/>
              </m:oMathParaPr>
              <m:oMath>
                <m:sSup>
                  <m:sSupPr>
                    <m:ctrlPr>
                      <w:rPr>
                        <w:rFonts w:ascii="Cambria Math" w:hAnsi="Cambria Math" w:cs="Arial"/>
                        <w:i/>
                        <w:szCs w:val="18"/>
                        <w:lang w:val="en-GB"/>
                      </w:rPr>
                    </m:ctrlPr>
                  </m:sSupPr>
                  <m:e>
                    <m:r>
                      <w:rPr>
                        <w:rFonts w:ascii="Cambria Math" w:hAnsi="Cambria Math" w:cs="Arial"/>
                        <w:szCs w:val="18"/>
                        <w:lang w:val="en-GB"/>
                      </w:rPr>
                      <m:t>CE</m:t>
                    </m:r>
                  </m:e>
                  <m:sup>
                    <m:r>
                      <w:rPr>
                        <w:rFonts w:ascii="Cambria Math" w:hAnsi="Cambria Math" w:cs="Arial"/>
                        <w:szCs w:val="18"/>
                        <w:lang w:val="en-GB"/>
                      </w:rPr>
                      <m:t>f</m:t>
                    </m:r>
                  </m:sup>
                </m:sSup>
                <m:r>
                  <w:rPr>
                    <w:rFonts w:ascii="Cambria Math" w:hAnsi="Cambria Math" w:cs="Arial"/>
                    <w:szCs w:val="18"/>
                    <w:lang w:val="en-GB"/>
                  </w:rPr>
                  <m:t>=</m:t>
                </m:r>
                <m:f>
                  <m:fPr>
                    <m:ctrlPr>
                      <w:rPr>
                        <w:rFonts w:ascii="Cambria Math" w:hAnsi="Cambria Math" w:cs="Arial"/>
                        <w:i/>
                        <w:szCs w:val="18"/>
                        <w:lang w:val="en-GB"/>
                      </w:rPr>
                    </m:ctrlPr>
                  </m:fPr>
                  <m:num>
                    <m:sSup>
                      <m:sSupPr>
                        <m:ctrlPr>
                          <w:rPr>
                            <w:rFonts w:ascii="Cambria Math" w:hAnsi="Cambria Math" w:cs="Arial"/>
                            <w:i/>
                            <w:szCs w:val="18"/>
                            <w:lang w:val="en-GB"/>
                          </w:rPr>
                        </m:ctrlPr>
                      </m:sSupPr>
                      <m:e>
                        <m:r>
                          <w:rPr>
                            <w:rFonts w:ascii="Cambria Math" w:hAnsi="Cambria Math" w:cs="Arial"/>
                            <w:szCs w:val="18"/>
                            <w:lang w:val="en-GB"/>
                          </w:rPr>
                          <m:t>GWP</m:t>
                        </m:r>
                      </m:e>
                      <m:sup>
                        <m:r>
                          <w:rPr>
                            <w:rFonts w:ascii="Cambria Math" w:hAnsi="Cambria Math" w:cs="Arial"/>
                            <w:szCs w:val="18"/>
                            <w:lang w:val="en-GB"/>
                          </w:rPr>
                          <m:t>f</m:t>
                        </m:r>
                      </m:sup>
                    </m:sSup>
                    <m:r>
                      <w:rPr>
                        <w:rFonts w:ascii="Cambria Math" w:hAnsi="Cambria Math" w:cs="Arial"/>
                        <w:szCs w:val="18"/>
                        <w:lang w:val="en-GB"/>
                      </w:rPr>
                      <m:t>×CP</m:t>
                    </m:r>
                  </m:num>
                  <m:den>
                    <m:r>
                      <w:rPr>
                        <w:rFonts w:ascii="Cambria Math" w:hAnsi="Cambria Math" w:cs="Arial"/>
                        <w:szCs w:val="18"/>
                        <w:lang w:val="en-GB"/>
                      </w:rPr>
                      <m:t>TGQ</m:t>
                    </m:r>
                  </m:den>
                </m:f>
              </m:oMath>
            </m:oMathPara>
          </w:p>
        </w:tc>
        <w:tc>
          <w:tcPr>
            <w:tcW w:w="2573" w:type="dxa"/>
            <w:tcBorders>
              <w:top w:val="nil"/>
              <w:bottom w:val="nil"/>
            </w:tcBorders>
            <w:shd w:val="clear" w:color="auto" w:fill="FFFFFF"/>
            <w:vAlign w:val="center"/>
          </w:tcPr>
          <w:p w14:paraId="25671421" w14:textId="5A91DF3D" w:rsidR="00B33898" w:rsidRPr="00B57B36" w:rsidRDefault="00B33898" w:rsidP="005B587B">
            <w:pPr>
              <w:pStyle w:val="CETBodytext"/>
              <w:ind w:right="-5"/>
              <w:jc w:val="right"/>
              <w:rPr>
                <w:rFonts w:cs="Arial"/>
                <w:szCs w:val="18"/>
                <w:lang w:val="en-GB"/>
              </w:rPr>
            </w:pPr>
            <w:r>
              <w:rPr>
                <w:rFonts w:cs="Arial"/>
                <w:szCs w:val="18"/>
                <w:lang w:val="en-GB"/>
              </w:rPr>
              <w:t>(</w:t>
            </w:r>
            <w:r w:rsidR="004840C6">
              <w:rPr>
                <w:rFonts w:cs="Arial"/>
                <w:szCs w:val="18"/>
                <w:lang w:val="en-GB"/>
              </w:rPr>
              <w:t>4</w:t>
            </w:r>
            <w:r>
              <w:rPr>
                <w:rFonts w:cs="Arial"/>
                <w:szCs w:val="18"/>
                <w:lang w:val="en-GB"/>
              </w:rPr>
              <w:t>)</w:t>
            </w:r>
          </w:p>
        </w:tc>
      </w:tr>
    </w:tbl>
    <w:p w14:paraId="335CA47A" w14:textId="77777777" w:rsidR="0088409A" w:rsidRDefault="0088409A" w:rsidP="0088409A">
      <w:pPr>
        <w:pStyle w:val="CETEquation"/>
        <w:jc w:val="both"/>
        <w:rPr>
          <w:lang w:val="en-US"/>
        </w:rPr>
      </w:pPr>
      <w:r>
        <w:t>T</w:t>
      </w:r>
      <w:r w:rsidRPr="009569AB">
        <w:rPr>
          <w:lang w:val="en-US"/>
        </w:rPr>
        <w:t xml:space="preserve">o support long-term strategic planning, </w:t>
      </w:r>
      <w:r>
        <w:rPr>
          <w:lang w:val="en-US"/>
        </w:rPr>
        <w:t>some</w:t>
      </w:r>
      <w:r w:rsidRPr="009569AB">
        <w:rPr>
          <w:lang w:val="en-US"/>
        </w:rPr>
        <w:t xml:space="preserve"> sensitivity analysis</w:t>
      </w:r>
      <w:r>
        <w:rPr>
          <w:lang w:val="en-US"/>
        </w:rPr>
        <w:t xml:space="preserve"> are performed</w:t>
      </w:r>
      <w:r w:rsidRPr="009569AB">
        <w:rPr>
          <w:lang w:val="en-US"/>
        </w:rPr>
        <w:t xml:space="preserve"> to </w:t>
      </w:r>
      <w:r>
        <w:rPr>
          <w:lang w:val="en-US"/>
        </w:rPr>
        <w:t xml:space="preserve">(1) </w:t>
      </w:r>
      <w:r w:rsidRPr="009569AB">
        <w:rPr>
          <w:lang w:val="en-US"/>
        </w:rPr>
        <w:t>determine the levelized cost of hydrogen (LCOH) at which hydrogen</w:t>
      </w:r>
      <w:r>
        <w:rPr>
          <w:lang w:val="en-US"/>
        </w:rPr>
        <w:t xml:space="preserve"> fuel cell</w:t>
      </w:r>
      <w:r w:rsidRPr="009569AB">
        <w:rPr>
          <w:lang w:val="en-US"/>
        </w:rPr>
        <w:t xml:space="preserve"> vehicles</w:t>
      </w:r>
      <w:r>
        <w:rPr>
          <w:lang w:val="en-US"/>
        </w:rPr>
        <w:t xml:space="preserve"> (HFCV)</w:t>
      </w:r>
      <w:r w:rsidRPr="009569AB">
        <w:rPr>
          <w:lang w:val="en-US"/>
        </w:rPr>
        <w:t xml:space="preserve"> become economically competitive with diesel alternatives</w:t>
      </w:r>
      <w:r>
        <w:rPr>
          <w:lang w:val="en-US"/>
        </w:rPr>
        <w:t xml:space="preserve"> (breakeven point); and (2) </w:t>
      </w:r>
      <w:r w:rsidRPr="009569AB">
        <w:rPr>
          <w:lang w:val="en-US"/>
        </w:rPr>
        <w:t>explore future trends in fuel and carbon pricing, simulating how these dynamics influence the comparative performance of diesel and hydrogen technologies across a 20-year horizon.</w:t>
      </w:r>
      <w:r>
        <w:rPr>
          <w:lang w:val="en-US"/>
        </w:rPr>
        <w:t xml:space="preserve"> A base case scenario (BC) where LCOH decreases, and Diesel prices increases and an alternative scenario (SC 1) where the LCOH increases over years are evaluated.</w:t>
      </w:r>
    </w:p>
    <w:p w14:paraId="23BBD588" w14:textId="48389014" w:rsidR="00432120" w:rsidRDefault="0088409A" w:rsidP="00432120">
      <w:pPr>
        <w:pStyle w:val="CETheadingx"/>
      </w:pPr>
      <w:r>
        <w:lastRenderedPageBreak/>
        <w:t>Study case</w:t>
      </w:r>
    </w:p>
    <w:p w14:paraId="53557C4C" w14:textId="4586F955" w:rsidR="0088409A" w:rsidRDefault="0088409A" w:rsidP="0088409A">
      <w:pPr>
        <w:pStyle w:val="CETBodytext"/>
      </w:pPr>
      <w:r w:rsidRPr="001B4044">
        <w:t xml:space="preserve">The assessment considers the implementation of a small fleet of Heavy-Duty vehicles (HD) operating under two different fuel types f (Diesel and Hydrogen). Data for 4x2 tractor (+ trailer) of 40 </w:t>
      </w:r>
      <w:proofErr w:type="spellStart"/>
      <w:r w:rsidRPr="001B4044">
        <w:t>tonnes</w:t>
      </w:r>
      <w:proofErr w:type="spellEnd"/>
      <w:r w:rsidRPr="001B4044">
        <w:t xml:space="preserve"> gross vehicle weight (Ruf et al. 2021) have been used to calculate TSCO</w:t>
      </w:r>
      <w:r w:rsidR="007B338B">
        <w:t xml:space="preserve">, </w:t>
      </w:r>
      <w:r w:rsidRPr="001B4044">
        <w:t>TCO</w:t>
      </w:r>
      <w:r>
        <w:t xml:space="preserve"> and CE</w:t>
      </w:r>
      <w:r w:rsidR="007B338B">
        <w:t>.</w:t>
      </w:r>
      <w:r w:rsidRPr="001B4044">
        <w:t xml:space="preserve"> </w:t>
      </w:r>
    </w:p>
    <w:p w14:paraId="50E45103" w14:textId="118E4328" w:rsidR="0088409A" w:rsidRDefault="0088409A" w:rsidP="0088409A">
      <w:pPr>
        <w:pStyle w:val="CETBodytext"/>
      </w:pPr>
      <w:r w:rsidRPr="001B4044">
        <w:t>For each configuration, technical, economic, and environmental parameters were compiled from the literature and institutional sources as described in table 1.</w:t>
      </w:r>
      <w:r>
        <w:t xml:space="preserve"> </w:t>
      </w:r>
      <w:r w:rsidRPr="00B33898">
        <w:t>The exchange rate values</w:t>
      </w:r>
      <w:r>
        <w:t xml:space="preserve"> </w:t>
      </w:r>
      <w:r w:rsidRPr="00B33898">
        <w:t>used in the study were 1 BRL = 0.17 USD and 1 EUR = 1.13 USD according to data from the Central Bank of Brazil (BCB, 2025).</w:t>
      </w:r>
    </w:p>
    <w:p w14:paraId="7A7840E7" w14:textId="4FA39051" w:rsidR="00981E7A" w:rsidRPr="00B57B36" w:rsidRDefault="00981E7A" w:rsidP="00BE4B07">
      <w:pPr>
        <w:pStyle w:val="CETTabletitle"/>
        <w:spacing w:before="120"/>
      </w:pPr>
      <w:r w:rsidRPr="00B57B36">
        <w:t xml:space="preserve">Table 1: </w:t>
      </w:r>
      <w:r w:rsidR="0089667C">
        <w:t xml:space="preserve">HD vehicles </w:t>
      </w:r>
      <w:proofErr w:type="spellStart"/>
      <w:proofErr w:type="gramStart"/>
      <w:r w:rsidR="0089667C">
        <w:t>informations</w:t>
      </w:r>
      <w:proofErr w:type="spellEnd"/>
      <w:proofErr w:type="gramEnd"/>
      <w:r w:rsidR="0089667C">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28"/>
        <w:gridCol w:w="1275"/>
        <w:gridCol w:w="905"/>
        <w:gridCol w:w="2781"/>
      </w:tblGrid>
      <w:tr w:rsidR="008F7E36" w:rsidRPr="00B57B36" w14:paraId="1F903DC2" w14:textId="77777777" w:rsidTr="008350AF">
        <w:tc>
          <w:tcPr>
            <w:tcW w:w="3828" w:type="dxa"/>
            <w:tcBorders>
              <w:top w:val="single" w:sz="12" w:space="0" w:color="008000"/>
              <w:bottom w:val="single" w:sz="6" w:space="0" w:color="008000"/>
            </w:tcBorders>
            <w:shd w:val="clear" w:color="auto" w:fill="FFFFFF"/>
          </w:tcPr>
          <w:p w14:paraId="725ED5BA" w14:textId="2E4E8B9C" w:rsidR="008F7E36" w:rsidRPr="006541AA" w:rsidRDefault="006541AA" w:rsidP="00E82849">
            <w:pPr>
              <w:pStyle w:val="CETBodytext"/>
              <w:rPr>
                <w:b/>
                <w:bCs/>
                <w:lang w:val="en-GB"/>
              </w:rPr>
            </w:pPr>
            <w:r w:rsidRPr="006541AA">
              <w:rPr>
                <w:b/>
                <w:bCs/>
                <w:lang w:val="en-GB"/>
              </w:rPr>
              <w:t>Information</w:t>
            </w:r>
          </w:p>
        </w:tc>
        <w:tc>
          <w:tcPr>
            <w:tcW w:w="1275" w:type="dxa"/>
            <w:tcBorders>
              <w:top w:val="single" w:sz="12" w:space="0" w:color="008000"/>
              <w:bottom w:val="single" w:sz="6" w:space="0" w:color="008000"/>
            </w:tcBorders>
            <w:shd w:val="clear" w:color="auto" w:fill="FFFFFF"/>
          </w:tcPr>
          <w:p w14:paraId="3B3A2B7E" w14:textId="0D9C0281" w:rsidR="008F7E36" w:rsidRPr="006541AA" w:rsidRDefault="008F7E36" w:rsidP="00964543">
            <w:pPr>
              <w:pStyle w:val="CETBodytext"/>
              <w:jc w:val="center"/>
              <w:rPr>
                <w:b/>
                <w:bCs/>
                <w:lang w:val="en-GB"/>
              </w:rPr>
            </w:pPr>
            <w:r w:rsidRPr="006541AA">
              <w:rPr>
                <w:b/>
                <w:bCs/>
                <w:lang w:val="en-GB"/>
              </w:rPr>
              <w:t>HD HFCV</w:t>
            </w:r>
          </w:p>
        </w:tc>
        <w:tc>
          <w:tcPr>
            <w:tcW w:w="905" w:type="dxa"/>
            <w:tcBorders>
              <w:top w:val="single" w:sz="12" w:space="0" w:color="008000"/>
              <w:bottom w:val="single" w:sz="6" w:space="0" w:color="008000"/>
            </w:tcBorders>
            <w:shd w:val="clear" w:color="auto" w:fill="FFFFFF"/>
          </w:tcPr>
          <w:p w14:paraId="41A36268" w14:textId="6998463E" w:rsidR="008F7E36" w:rsidRPr="006541AA" w:rsidRDefault="008F7E36" w:rsidP="00964543">
            <w:pPr>
              <w:pStyle w:val="CETBodytext"/>
              <w:jc w:val="center"/>
              <w:rPr>
                <w:b/>
                <w:bCs/>
                <w:lang w:val="en-GB"/>
              </w:rPr>
            </w:pPr>
            <w:r w:rsidRPr="006541AA">
              <w:rPr>
                <w:b/>
                <w:bCs/>
                <w:lang w:val="en-GB"/>
              </w:rPr>
              <w:t>HD Diesel</w:t>
            </w:r>
          </w:p>
        </w:tc>
        <w:tc>
          <w:tcPr>
            <w:tcW w:w="2781" w:type="dxa"/>
            <w:tcBorders>
              <w:top w:val="single" w:sz="12" w:space="0" w:color="008000"/>
              <w:bottom w:val="single" w:sz="6" w:space="0" w:color="008000"/>
            </w:tcBorders>
            <w:shd w:val="clear" w:color="auto" w:fill="FFFFFF"/>
          </w:tcPr>
          <w:p w14:paraId="3402FD42" w14:textId="6FA64A86" w:rsidR="008F7E36" w:rsidRPr="006541AA" w:rsidRDefault="008F7E36" w:rsidP="008350AF">
            <w:pPr>
              <w:pStyle w:val="CETBodytext"/>
              <w:ind w:right="-1"/>
              <w:jc w:val="center"/>
              <w:rPr>
                <w:rFonts w:cs="Arial"/>
                <w:b/>
                <w:bCs/>
                <w:szCs w:val="18"/>
                <w:lang w:val="en-GB"/>
              </w:rPr>
            </w:pPr>
            <w:r w:rsidRPr="006541AA">
              <w:rPr>
                <w:rFonts w:cs="Arial"/>
                <w:b/>
                <w:bCs/>
                <w:szCs w:val="18"/>
                <w:lang w:val="en-GB"/>
              </w:rPr>
              <w:t>Reference</w:t>
            </w:r>
          </w:p>
        </w:tc>
      </w:tr>
      <w:tr w:rsidR="008F7E36" w:rsidRPr="00B57B36" w14:paraId="35FC7540" w14:textId="77777777" w:rsidTr="008350AF">
        <w:tc>
          <w:tcPr>
            <w:tcW w:w="3828" w:type="dxa"/>
            <w:shd w:val="clear" w:color="auto" w:fill="FFFFFF"/>
          </w:tcPr>
          <w:p w14:paraId="4B8F0DB3" w14:textId="5ACB817E" w:rsidR="008F7E36" w:rsidRPr="00B57B36" w:rsidRDefault="008F7E36" w:rsidP="00E82849">
            <w:pPr>
              <w:pStyle w:val="CETBodytext"/>
              <w:ind w:right="-1"/>
              <w:rPr>
                <w:rFonts w:cs="Arial"/>
                <w:szCs w:val="18"/>
                <w:lang w:val="en-GB"/>
              </w:rPr>
            </w:pPr>
            <w:r>
              <w:rPr>
                <w:rFonts w:cs="Arial"/>
                <w:szCs w:val="18"/>
                <w:lang w:val="en-GB"/>
              </w:rPr>
              <w:t>Purchase Price (€/ vehicle)</w:t>
            </w:r>
          </w:p>
        </w:tc>
        <w:tc>
          <w:tcPr>
            <w:tcW w:w="1275" w:type="dxa"/>
            <w:shd w:val="clear" w:color="auto" w:fill="FFFFFF"/>
            <w:vAlign w:val="center"/>
          </w:tcPr>
          <w:p w14:paraId="4A0D796C" w14:textId="5D779B07" w:rsidR="008F7E36" w:rsidRPr="00B57B36" w:rsidRDefault="008F7E36" w:rsidP="00964543">
            <w:pPr>
              <w:pStyle w:val="CETBodytext"/>
              <w:ind w:right="-1"/>
              <w:jc w:val="center"/>
              <w:rPr>
                <w:rFonts w:cs="Arial"/>
                <w:szCs w:val="18"/>
                <w:lang w:val="en-GB"/>
              </w:rPr>
            </w:pPr>
            <w:r>
              <w:rPr>
                <w:rFonts w:cs="Arial"/>
                <w:szCs w:val="18"/>
                <w:lang w:val="en-GB"/>
              </w:rPr>
              <w:t>181,000.00</w:t>
            </w:r>
          </w:p>
        </w:tc>
        <w:tc>
          <w:tcPr>
            <w:tcW w:w="905" w:type="dxa"/>
            <w:shd w:val="clear" w:color="auto" w:fill="FFFFFF"/>
            <w:vAlign w:val="center"/>
          </w:tcPr>
          <w:p w14:paraId="01F80592" w14:textId="0FDEFABC" w:rsidR="008F7E36" w:rsidRPr="00B57B36" w:rsidRDefault="008F7E36" w:rsidP="00964543">
            <w:pPr>
              <w:pStyle w:val="CETBodytext"/>
              <w:ind w:right="-1"/>
              <w:jc w:val="center"/>
              <w:rPr>
                <w:rFonts w:cs="Arial"/>
                <w:szCs w:val="18"/>
                <w:lang w:val="en-GB"/>
              </w:rPr>
            </w:pPr>
            <w:r>
              <w:rPr>
                <w:rFonts w:cs="Arial"/>
                <w:szCs w:val="18"/>
                <w:lang w:val="en-GB"/>
              </w:rPr>
              <w:t>167,000.00</w:t>
            </w:r>
          </w:p>
        </w:tc>
        <w:tc>
          <w:tcPr>
            <w:tcW w:w="2781" w:type="dxa"/>
            <w:shd w:val="clear" w:color="auto" w:fill="FFFFFF"/>
          </w:tcPr>
          <w:p w14:paraId="22FA63A5" w14:textId="424F587E" w:rsidR="008F7E36" w:rsidRPr="00B57B36" w:rsidRDefault="00F06378" w:rsidP="008350AF">
            <w:pPr>
              <w:pStyle w:val="CETBodytext"/>
              <w:ind w:right="-1"/>
              <w:jc w:val="center"/>
              <w:rPr>
                <w:rFonts w:cs="Arial"/>
                <w:szCs w:val="18"/>
                <w:lang w:val="en-GB"/>
              </w:rPr>
            </w:pPr>
            <w:r>
              <w:rPr>
                <w:rFonts w:cs="Arial"/>
                <w:szCs w:val="18"/>
                <w:lang w:val="en-GB"/>
              </w:rPr>
              <w:t>Almaraz et al. (2022)</w:t>
            </w:r>
          </w:p>
        </w:tc>
      </w:tr>
      <w:tr w:rsidR="008F7E36" w:rsidRPr="008F7E36" w14:paraId="16DBC179" w14:textId="77777777" w:rsidTr="008350AF">
        <w:tc>
          <w:tcPr>
            <w:tcW w:w="3828" w:type="dxa"/>
            <w:shd w:val="clear" w:color="auto" w:fill="FFFFFF"/>
          </w:tcPr>
          <w:p w14:paraId="33C05AEB" w14:textId="30C61F1C" w:rsidR="008F7E36" w:rsidRPr="008F7E36" w:rsidRDefault="008F7E36" w:rsidP="00E82849">
            <w:pPr>
              <w:pStyle w:val="CETBodytext"/>
              <w:ind w:right="-1"/>
              <w:rPr>
                <w:rFonts w:cs="Arial"/>
                <w:szCs w:val="18"/>
              </w:rPr>
            </w:pPr>
            <w:r w:rsidRPr="008F7E36">
              <w:rPr>
                <w:rFonts w:cs="Arial"/>
                <w:szCs w:val="18"/>
              </w:rPr>
              <w:t>Fuel economy (km/</w:t>
            </w:r>
            <w:r>
              <w:rPr>
                <w:rFonts w:cs="Arial"/>
                <w:szCs w:val="18"/>
              </w:rPr>
              <w:t xml:space="preserve"> l (or kgH</w:t>
            </w:r>
            <w:r>
              <w:rPr>
                <w:rFonts w:cs="Arial"/>
                <w:szCs w:val="18"/>
                <w:vertAlign w:val="subscript"/>
              </w:rPr>
              <w:t>2</w:t>
            </w:r>
            <w:r>
              <w:rPr>
                <w:rFonts w:cs="Arial"/>
                <w:szCs w:val="18"/>
              </w:rPr>
              <w:t>))</w:t>
            </w:r>
          </w:p>
        </w:tc>
        <w:tc>
          <w:tcPr>
            <w:tcW w:w="1275" w:type="dxa"/>
            <w:shd w:val="clear" w:color="auto" w:fill="FFFFFF"/>
            <w:vAlign w:val="center"/>
          </w:tcPr>
          <w:p w14:paraId="756CC42E" w14:textId="57CC3653" w:rsidR="008F7E36" w:rsidRPr="008F7E36" w:rsidRDefault="008F7E36" w:rsidP="00964543">
            <w:pPr>
              <w:pStyle w:val="CETBodytext"/>
              <w:ind w:right="-1"/>
              <w:jc w:val="center"/>
              <w:rPr>
                <w:rFonts w:cs="Arial"/>
                <w:szCs w:val="18"/>
              </w:rPr>
            </w:pPr>
            <w:r>
              <w:rPr>
                <w:rFonts w:cs="Arial"/>
                <w:szCs w:val="18"/>
              </w:rPr>
              <w:t>13.16</w:t>
            </w:r>
          </w:p>
        </w:tc>
        <w:tc>
          <w:tcPr>
            <w:tcW w:w="905" w:type="dxa"/>
            <w:shd w:val="clear" w:color="auto" w:fill="FFFFFF"/>
            <w:vAlign w:val="center"/>
          </w:tcPr>
          <w:p w14:paraId="68AF1E9B" w14:textId="3648ED18" w:rsidR="008F7E36" w:rsidRPr="008F7E36" w:rsidRDefault="008F7E36" w:rsidP="00964543">
            <w:pPr>
              <w:pStyle w:val="CETBodytext"/>
              <w:ind w:right="-1"/>
              <w:jc w:val="center"/>
              <w:rPr>
                <w:rFonts w:cs="Arial"/>
                <w:szCs w:val="18"/>
              </w:rPr>
            </w:pPr>
            <w:r>
              <w:rPr>
                <w:rFonts w:cs="Arial"/>
                <w:szCs w:val="18"/>
              </w:rPr>
              <w:t>3.28</w:t>
            </w:r>
          </w:p>
        </w:tc>
        <w:tc>
          <w:tcPr>
            <w:tcW w:w="2781" w:type="dxa"/>
            <w:shd w:val="clear" w:color="auto" w:fill="FFFFFF"/>
          </w:tcPr>
          <w:p w14:paraId="213610EE" w14:textId="74BA81D9" w:rsidR="008F7E36" w:rsidRPr="008F7E36" w:rsidRDefault="00F06378" w:rsidP="008350AF">
            <w:pPr>
              <w:pStyle w:val="CETBodytext"/>
              <w:ind w:right="-1"/>
              <w:jc w:val="center"/>
              <w:rPr>
                <w:rFonts w:cs="Arial"/>
                <w:szCs w:val="18"/>
              </w:rPr>
            </w:pPr>
            <w:r>
              <w:rPr>
                <w:rFonts w:cs="Arial"/>
                <w:szCs w:val="18"/>
                <w:lang w:val="en-GB"/>
              </w:rPr>
              <w:t>Almaraz et al. (2022)</w:t>
            </w:r>
          </w:p>
        </w:tc>
      </w:tr>
      <w:tr w:rsidR="008F7E36" w:rsidRPr="008F7E36" w14:paraId="1E34A676" w14:textId="77777777" w:rsidTr="008350AF">
        <w:tc>
          <w:tcPr>
            <w:tcW w:w="3828" w:type="dxa"/>
            <w:shd w:val="clear" w:color="auto" w:fill="FFFFFF"/>
          </w:tcPr>
          <w:p w14:paraId="5B9408DC" w14:textId="45CC825B" w:rsidR="008F7E36" w:rsidRPr="008F7E36" w:rsidRDefault="008F7E36" w:rsidP="00E82849">
            <w:pPr>
              <w:pStyle w:val="CETBodytext"/>
              <w:ind w:right="-1"/>
              <w:rPr>
                <w:rFonts w:cs="Arial"/>
                <w:szCs w:val="18"/>
              </w:rPr>
            </w:pPr>
            <w:r>
              <w:rPr>
                <w:rFonts w:cs="Arial"/>
                <w:szCs w:val="18"/>
              </w:rPr>
              <w:t>GWP (kgCO</w:t>
            </w:r>
            <w:r>
              <w:rPr>
                <w:rFonts w:cs="Arial"/>
                <w:szCs w:val="18"/>
                <w:vertAlign w:val="subscript"/>
              </w:rPr>
              <w:t>2</w:t>
            </w:r>
            <w:r>
              <w:rPr>
                <w:rFonts w:cs="Arial"/>
                <w:szCs w:val="18"/>
              </w:rPr>
              <w:t>eq/km)</w:t>
            </w:r>
          </w:p>
        </w:tc>
        <w:tc>
          <w:tcPr>
            <w:tcW w:w="1275" w:type="dxa"/>
            <w:shd w:val="clear" w:color="auto" w:fill="FFFFFF"/>
            <w:vAlign w:val="center"/>
          </w:tcPr>
          <w:p w14:paraId="5924D9C1" w14:textId="74F8ACFA" w:rsidR="008F7E36" w:rsidRPr="008F7E36" w:rsidRDefault="008F7E36" w:rsidP="00964543">
            <w:pPr>
              <w:pStyle w:val="CETBodytext"/>
              <w:ind w:right="-1"/>
              <w:jc w:val="center"/>
              <w:rPr>
                <w:rFonts w:cs="Arial"/>
                <w:szCs w:val="18"/>
              </w:rPr>
            </w:pPr>
            <w:r>
              <w:rPr>
                <w:rFonts w:cs="Arial"/>
                <w:szCs w:val="18"/>
              </w:rPr>
              <w:t>0.48</w:t>
            </w:r>
          </w:p>
        </w:tc>
        <w:tc>
          <w:tcPr>
            <w:tcW w:w="905" w:type="dxa"/>
            <w:shd w:val="clear" w:color="auto" w:fill="FFFFFF"/>
            <w:vAlign w:val="center"/>
          </w:tcPr>
          <w:p w14:paraId="75C2A849" w14:textId="665452B3" w:rsidR="008F7E36" w:rsidRPr="008F7E36" w:rsidRDefault="008F7E36" w:rsidP="00964543">
            <w:pPr>
              <w:pStyle w:val="CETBodytext"/>
              <w:ind w:right="-1"/>
              <w:jc w:val="center"/>
              <w:rPr>
                <w:rFonts w:cs="Arial"/>
                <w:szCs w:val="18"/>
              </w:rPr>
            </w:pPr>
            <w:r>
              <w:rPr>
                <w:rFonts w:cs="Arial"/>
                <w:szCs w:val="18"/>
              </w:rPr>
              <w:t>0.99</w:t>
            </w:r>
          </w:p>
        </w:tc>
        <w:tc>
          <w:tcPr>
            <w:tcW w:w="2781" w:type="dxa"/>
            <w:shd w:val="clear" w:color="auto" w:fill="FFFFFF"/>
          </w:tcPr>
          <w:p w14:paraId="47BEFD4B" w14:textId="32144929" w:rsidR="008F7E36" w:rsidRPr="008F7E36" w:rsidRDefault="00F06378" w:rsidP="008350AF">
            <w:pPr>
              <w:pStyle w:val="CETBodytext"/>
              <w:ind w:right="-1"/>
              <w:jc w:val="center"/>
              <w:rPr>
                <w:rFonts w:cs="Arial"/>
                <w:szCs w:val="18"/>
              </w:rPr>
            </w:pPr>
            <w:r>
              <w:rPr>
                <w:rFonts w:cs="Arial"/>
                <w:szCs w:val="18"/>
                <w:lang w:val="en-GB"/>
              </w:rPr>
              <w:t>Almaraz et al. (2022)</w:t>
            </w:r>
          </w:p>
        </w:tc>
      </w:tr>
      <w:tr w:rsidR="008350AF" w:rsidRPr="008F7E36" w14:paraId="5C750A70" w14:textId="77777777" w:rsidTr="008350AF">
        <w:trPr>
          <w:trHeight w:val="239"/>
        </w:trPr>
        <w:tc>
          <w:tcPr>
            <w:tcW w:w="3828" w:type="dxa"/>
            <w:tcBorders>
              <w:bottom w:val="single" w:sz="4" w:space="0" w:color="auto"/>
            </w:tcBorders>
            <w:shd w:val="clear" w:color="auto" w:fill="FFFFFF"/>
          </w:tcPr>
          <w:p w14:paraId="64E2BB95" w14:textId="6888128C" w:rsidR="008F7E36" w:rsidRPr="001455BA" w:rsidRDefault="001455BA" w:rsidP="00E82849">
            <w:pPr>
              <w:pStyle w:val="CETBodytext"/>
              <w:ind w:right="-1"/>
              <w:rPr>
                <w:rFonts w:cs="Arial"/>
                <w:szCs w:val="18"/>
              </w:rPr>
            </w:pPr>
            <w:r>
              <w:rPr>
                <w:rFonts w:cs="Arial"/>
                <w:szCs w:val="18"/>
              </w:rPr>
              <w:t>Fuel Price (US$/l (or kgH</w:t>
            </w:r>
            <w:r>
              <w:rPr>
                <w:rFonts w:cs="Arial"/>
                <w:szCs w:val="18"/>
                <w:vertAlign w:val="subscript"/>
              </w:rPr>
              <w:t>2</w:t>
            </w:r>
            <w:r>
              <w:rPr>
                <w:rFonts w:cs="Arial"/>
                <w:szCs w:val="18"/>
              </w:rPr>
              <w:t>)</w:t>
            </w:r>
          </w:p>
        </w:tc>
        <w:tc>
          <w:tcPr>
            <w:tcW w:w="1275" w:type="dxa"/>
            <w:tcBorders>
              <w:bottom w:val="single" w:sz="4" w:space="0" w:color="auto"/>
            </w:tcBorders>
            <w:shd w:val="clear" w:color="auto" w:fill="FFFFFF"/>
            <w:vAlign w:val="center"/>
          </w:tcPr>
          <w:p w14:paraId="69431E3D" w14:textId="4A641B58" w:rsidR="008F7E36" w:rsidRPr="008F7E36" w:rsidRDefault="001455BA" w:rsidP="00964543">
            <w:pPr>
              <w:pStyle w:val="CETBodytext"/>
              <w:ind w:right="-1"/>
              <w:jc w:val="center"/>
              <w:rPr>
                <w:rFonts w:cs="Arial"/>
                <w:szCs w:val="18"/>
              </w:rPr>
            </w:pPr>
            <w:r>
              <w:rPr>
                <w:rFonts w:cs="Arial"/>
                <w:szCs w:val="18"/>
              </w:rPr>
              <w:t>4.84</w:t>
            </w:r>
          </w:p>
        </w:tc>
        <w:tc>
          <w:tcPr>
            <w:tcW w:w="905" w:type="dxa"/>
            <w:tcBorders>
              <w:bottom w:val="single" w:sz="4" w:space="0" w:color="auto"/>
            </w:tcBorders>
            <w:shd w:val="clear" w:color="auto" w:fill="FFFFFF"/>
            <w:vAlign w:val="center"/>
          </w:tcPr>
          <w:p w14:paraId="4EEC0591" w14:textId="28E4559A" w:rsidR="008F7E36" w:rsidRPr="008F7E36" w:rsidRDefault="001455BA" w:rsidP="00964543">
            <w:pPr>
              <w:pStyle w:val="CETBodytext"/>
              <w:ind w:right="-1"/>
              <w:jc w:val="center"/>
              <w:rPr>
                <w:rFonts w:cs="Arial"/>
                <w:szCs w:val="18"/>
              </w:rPr>
            </w:pPr>
            <w:r>
              <w:rPr>
                <w:rFonts w:cs="Arial"/>
                <w:szCs w:val="18"/>
              </w:rPr>
              <w:t>1.0</w:t>
            </w:r>
            <w:r w:rsidR="008350AF">
              <w:rPr>
                <w:rFonts w:cs="Arial"/>
                <w:szCs w:val="18"/>
              </w:rPr>
              <w:t>2</w:t>
            </w:r>
          </w:p>
        </w:tc>
        <w:tc>
          <w:tcPr>
            <w:tcW w:w="2781" w:type="dxa"/>
            <w:tcBorders>
              <w:bottom w:val="single" w:sz="4" w:space="0" w:color="auto"/>
            </w:tcBorders>
            <w:shd w:val="clear" w:color="auto" w:fill="FFFFFF"/>
          </w:tcPr>
          <w:p w14:paraId="4F9E6BBC" w14:textId="38E6C8F2" w:rsidR="008F7E36" w:rsidRPr="008F7E36" w:rsidRDefault="001455BA" w:rsidP="008350AF">
            <w:pPr>
              <w:pStyle w:val="CETBodytext"/>
              <w:ind w:right="-1"/>
              <w:jc w:val="left"/>
              <w:rPr>
                <w:rFonts w:cs="Arial"/>
                <w:szCs w:val="18"/>
              </w:rPr>
            </w:pPr>
            <w:r w:rsidRPr="000D216F">
              <w:rPr>
                <w:rFonts w:cs="Arial"/>
                <w:szCs w:val="18"/>
              </w:rPr>
              <w:t xml:space="preserve">Santana et al. </w:t>
            </w:r>
            <w:r w:rsidR="000D216F" w:rsidRPr="000D216F">
              <w:rPr>
                <w:rFonts w:cs="Arial"/>
                <w:szCs w:val="18"/>
              </w:rPr>
              <w:t>(</w:t>
            </w:r>
            <w:r w:rsidRPr="000D216F">
              <w:rPr>
                <w:rFonts w:cs="Arial"/>
                <w:szCs w:val="18"/>
              </w:rPr>
              <w:t>2024</w:t>
            </w:r>
            <w:r w:rsidR="000D216F" w:rsidRPr="000D216F">
              <w:rPr>
                <w:rFonts w:cs="Arial"/>
                <w:szCs w:val="18"/>
              </w:rPr>
              <w:t>);</w:t>
            </w:r>
            <w:r w:rsidRPr="000D216F">
              <w:rPr>
                <w:rFonts w:cs="Arial"/>
                <w:szCs w:val="18"/>
              </w:rPr>
              <w:t xml:space="preserve"> ANP</w:t>
            </w:r>
            <w:r w:rsidR="000D216F" w:rsidRPr="000D216F">
              <w:rPr>
                <w:rFonts w:cs="Arial"/>
                <w:szCs w:val="18"/>
              </w:rPr>
              <w:t xml:space="preserve"> (2025)</w:t>
            </w:r>
          </w:p>
        </w:tc>
      </w:tr>
      <w:tr w:rsidR="001455BA" w:rsidRPr="008F7E36" w14:paraId="0CA74040" w14:textId="77777777" w:rsidTr="008350AF">
        <w:tc>
          <w:tcPr>
            <w:tcW w:w="3828" w:type="dxa"/>
            <w:tcBorders>
              <w:top w:val="single" w:sz="4" w:space="0" w:color="auto"/>
              <w:bottom w:val="nil"/>
            </w:tcBorders>
            <w:shd w:val="clear" w:color="auto" w:fill="FFFFFF"/>
          </w:tcPr>
          <w:p w14:paraId="3BD46ED7" w14:textId="1BDE4B93" w:rsidR="001455BA" w:rsidRPr="001455BA" w:rsidRDefault="001455BA" w:rsidP="00E82849">
            <w:pPr>
              <w:pStyle w:val="CETBodytext"/>
              <w:ind w:right="-1"/>
              <w:rPr>
                <w:rFonts w:cs="Arial"/>
                <w:szCs w:val="18"/>
              </w:rPr>
            </w:pPr>
            <w:r>
              <w:rPr>
                <w:rFonts w:cs="Arial"/>
                <w:szCs w:val="18"/>
              </w:rPr>
              <w:t>Carbon price (US$/tonCO</w:t>
            </w:r>
            <w:r>
              <w:rPr>
                <w:rFonts w:cs="Arial"/>
                <w:szCs w:val="18"/>
                <w:vertAlign w:val="subscript"/>
              </w:rPr>
              <w:t>2</w:t>
            </w:r>
            <w:r>
              <w:rPr>
                <w:rFonts w:cs="Arial"/>
                <w:szCs w:val="18"/>
              </w:rPr>
              <w:t>eq)</w:t>
            </w:r>
          </w:p>
        </w:tc>
        <w:tc>
          <w:tcPr>
            <w:tcW w:w="2180" w:type="dxa"/>
            <w:gridSpan w:val="2"/>
            <w:tcBorders>
              <w:top w:val="single" w:sz="4" w:space="0" w:color="auto"/>
              <w:bottom w:val="nil"/>
            </w:tcBorders>
            <w:shd w:val="clear" w:color="auto" w:fill="FFFFFF"/>
            <w:vAlign w:val="center"/>
          </w:tcPr>
          <w:p w14:paraId="0A2556F6" w14:textId="068B64F9" w:rsidR="001455BA" w:rsidRDefault="001455BA" w:rsidP="00964543">
            <w:pPr>
              <w:pStyle w:val="CETBodytext"/>
              <w:ind w:right="-1"/>
              <w:jc w:val="center"/>
              <w:rPr>
                <w:rFonts w:cs="Arial"/>
                <w:szCs w:val="18"/>
              </w:rPr>
            </w:pPr>
            <w:r>
              <w:rPr>
                <w:rFonts w:cs="Arial"/>
                <w:szCs w:val="18"/>
              </w:rPr>
              <w:t>67.69</w:t>
            </w:r>
          </w:p>
        </w:tc>
        <w:tc>
          <w:tcPr>
            <w:tcW w:w="2781" w:type="dxa"/>
            <w:tcBorders>
              <w:top w:val="single" w:sz="4" w:space="0" w:color="auto"/>
              <w:bottom w:val="nil"/>
            </w:tcBorders>
            <w:shd w:val="clear" w:color="auto" w:fill="FFFFFF"/>
          </w:tcPr>
          <w:p w14:paraId="5585E4CC" w14:textId="30F8DA80" w:rsidR="001455BA" w:rsidRDefault="00964543" w:rsidP="008350AF">
            <w:pPr>
              <w:pStyle w:val="CETBodytext"/>
              <w:ind w:right="-1"/>
              <w:jc w:val="center"/>
              <w:rPr>
                <w:rFonts w:cs="Arial"/>
                <w:szCs w:val="18"/>
              </w:rPr>
            </w:pPr>
            <w:r>
              <w:rPr>
                <w:rFonts w:cs="Arial"/>
                <w:szCs w:val="18"/>
              </w:rPr>
              <w:t>Investing.com</w:t>
            </w:r>
            <w:r w:rsidR="008350AF">
              <w:rPr>
                <w:rFonts w:cs="Arial"/>
                <w:szCs w:val="18"/>
              </w:rPr>
              <w:t xml:space="preserve"> (2025)</w:t>
            </w:r>
          </w:p>
        </w:tc>
      </w:tr>
      <w:tr w:rsidR="00420657" w:rsidRPr="008F7E36" w14:paraId="7EA0C026" w14:textId="77777777" w:rsidTr="008350AF">
        <w:tc>
          <w:tcPr>
            <w:tcW w:w="3828" w:type="dxa"/>
            <w:tcBorders>
              <w:top w:val="nil"/>
              <w:bottom w:val="nil"/>
            </w:tcBorders>
            <w:shd w:val="clear" w:color="auto" w:fill="FFFFFF"/>
          </w:tcPr>
          <w:p w14:paraId="65284CEC" w14:textId="2E9A8DE9" w:rsidR="00420657" w:rsidRDefault="00420657" w:rsidP="00E82849">
            <w:pPr>
              <w:pStyle w:val="CETBodytext"/>
              <w:ind w:right="-1"/>
              <w:rPr>
                <w:rFonts w:cs="Arial"/>
                <w:szCs w:val="18"/>
              </w:rPr>
            </w:pPr>
            <w:r>
              <w:rPr>
                <w:rFonts w:cs="Arial"/>
                <w:szCs w:val="18"/>
              </w:rPr>
              <w:t>Vehicles load capacity (ton/trip)</w:t>
            </w:r>
          </w:p>
        </w:tc>
        <w:tc>
          <w:tcPr>
            <w:tcW w:w="2180" w:type="dxa"/>
            <w:gridSpan w:val="2"/>
            <w:tcBorders>
              <w:top w:val="nil"/>
              <w:bottom w:val="nil"/>
            </w:tcBorders>
            <w:shd w:val="clear" w:color="auto" w:fill="FFFFFF"/>
            <w:vAlign w:val="center"/>
          </w:tcPr>
          <w:p w14:paraId="561BF331" w14:textId="75C9FDD0" w:rsidR="00420657" w:rsidRDefault="00420657" w:rsidP="00964543">
            <w:pPr>
              <w:pStyle w:val="CETBodytext"/>
              <w:ind w:right="-1"/>
              <w:jc w:val="center"/>
              <w:rPr>
                <w:rFonts w:cs="Arial"/>
                <w:szCs w:val="18"/>
              </w:rPr>
            </w:pPr>
            <w:r>
              <w:rPr>
                <w:rFonts w:cs="Arial"/>
                <w:szCs w:val="18"/>
              </w:rPr>
              <w:t>20</w:t>
            </w:r>
          </w:p>
        </w:tc>
        <w:tc>
          <w:tcPr>
            <w:tcW w:w="2781" w:type="dxa"/>
            <w:tcBorders>
              <w:top w:val="nil"/>
              <w:bottom w:val="nil"/>
            </w:tcBorders>
            <w:shd w:val="clear" w:color="auto" w:fill="FFFFFF"/>
          </w:tcPr>
          <w:p w14:paraId="094D8981" w14:textId="5198AAA8" w:rsidR="00420657" w:rsidRDefault="00B85E1F" w:rsidP="008350AF">
            <w:pPr>
              <w:pStyle w:val="CETBodytext"/>
              <w:ind w:right="-1"/>
              <w:jc w:val="center"/>
              <w:rPr>
                <w:rFonts w:cs="Arial"/>
                <w:szCs w:val="18"/>
              </w:rPr>
            </w:pPr>
            <w:r>
              <w:rPr>
                <w:rFonts w:cs="Arial"/>
                <w:szCs w:val="18"/>
                <w:lang w:val="en-GB"/>
              </w:rPr>
              <w:t>Almaraz et al. (2022)</w:t>
            </w:r>
          </w:p>
        </w:tc>
      </w:tr>
      <w:tr w:rsidR="001455BA" w:rsidRPr="008F7E36" w14:paraId="32EBA899" w14:textId="77777777" w:rsidTr="008350AF">
        <w:tc>
          <w:tcPr>
            <w:tcW w:w="3828" w:type="dxa"/>
            <w:tcBorders>
              <w:top w:val="nil"/>
              <w:bottom w:val="nil"/>
            </w:tcBorders>
            <w:shd w:val="clear" w:color="auto" w:fill="FFFFFF"/>
          </w:tcPr>
          <w:p w14:paraId="07589E70" w14:textId="53313592" w:rsidR="001455BA" w:rsidRDefault="001455BA" w:rsidP="00E82849">
            <w:pPr>
              <w:pStyle w:val="CETBodytext"/>
              <w:ind w:right="-1"/>
              <w:rPr>
                <w:rFonts w:cs="Arial"/>
                <w:szCs w:val="18"/>
              </w:rPr>
            </w:pPr>
            <w:r>
              <w:rPr>
                <w:rFonts w:cs="Arial"/>
                <w:szCs w:val="18"/>
              </w:rPr>
              <w:t>Vehicles lifetime (years)</w:t>
            </w:r>
          </w:p>
        </w:tc>
        <w:tc>
          <w:tcPr>
            <w:tcW w:w="2180" w:type="dxa"/>
            <w:gridSpan w:val="2"/>
            <w:tcBorders>
              <w:top w:val="nil"/>
              <w:bottom w:val="nil"/>
            </w:tcBorders>
            <w:shd w:val="clear" w:color="auto" w:fill="FFFFFF"/>
            <w:vAlign w:val="center"/>
          </w:tcPr>
          <w:p w14:paraId="65E19428" w14:textId="2B0EDB4D" w:rsidR="001455BA" w:rsidRDefault="001455BA" w:rsidP="00964543">
            <w:pPr>
              <w:pStyle w:val="CETBodytext"/>
              <w:ind w:right="-1"/>
              <w:jc w:val="center"/>
              <w:rPr>
                <w:rFonts w:cs="Arial"/>
                <w:szCs w:val="18"/>
              </w:rPr>
            </w:pPr>
            <w:r>
              <w:rPr>
                <w:rFonts w:cs="Arial"/>
                <w:szCs w:val="18"/>
              </w:rPr>
              <w:t>10</w:t>
            </w:r>
          </w:p>
        </w:tc>
        <w:tc>
          <w:tcPr>
            <w:tcW w:w="2781" w:type="dxa"/>
            <w:tcBorders>
              <w:top w:val="nil"/>
              <w:bottom w:val="nil"/>
            </w:tcBorders>
            <w:shd w:val="clear" w:color="auto" w:fill="FFFFFF"/>
          </w:tcPr>
          <w:p w14:paraId="19FDA690" w14:textId="5157A824" w:rsidR="001455BA" w:rsidRDefault="00A41A82" w:rsidP="008350AF">
            <w:pPr>
              <w:pStyle w:val="CETBodytext"/>
              <w:ind w:right="-1"/>
              <w:jc w:val="center"/>
              <w:rPr>
                <w:rFonts w:cs="Arial"/>
                <w:szCs w:val="18"/>
              </w:rPr>
            </w:pPr>
            <w:r>
              <w:rPr>
                <w:rFonts w:cs="Arial"/>
                <w:szCs w:val="18"/>
              </w:rPr>
              <w:t>Ruf et al. (2021)</w:t>
            </w:r>
          </w:p>
        </w:tc>
      </w:tr>
      <w:tr w:rsidR="00964543" w:rsidRPr="008F7E36" w14:paraId="4DC68771" w14:textId="77777777" w:rsidTr="008350AF">
        <w:tc>
          <w:tcPr>
            <w:tcW w:w="3828" w:type="dxa"/>
            <w:tcBorders>
              <w:top w:val="nil"/>
              <w:bottom w:val="single" w:sz="12" w:space="0" w:color="008000"/>
            </w:tcBorders>
            <w:shd w:val="clear" w:color="auto" w:fill="FFFFFF"/>
          </w:tcPr>
          <w:p w14:paraId="3C77E07B" w14:textId="37CFA5B7" w:rsidR="00964543" w:rsidRDefault="00964543" w:rsidP="00964543">
            <w:pPr>
              <w:pStyle w:val="CETBodytext"/>
              <w:ind w:right="-1"/>
              <w:rPr>
                <w:rFonts w:cs="Arial"/>
                <w:szCs w:val="18"/>
              </w:rPr>
            </w:pPr>
            <w:r>
              <w:rPr>
                <w:rFonts w:cs="Arial"/>
                <w:szCs w:val="18"/>
              </w:rPr>
              <w:t>A</w:t>
            </w:r>
            <w:r w:rsidRPr="00964543">
              <w:rPr>
                <w:rFonts w:cs="Arial"/>
                <w:szCs w:val="18"/>
              </w:rPr>
              <w:t xml:space="preserve">nnual </w:t>
            </w:r>
            <w:r>
              <w:rPr>
                <w:rFonts w:cs="Arial"/>
                <w:szCs w:val="18"/>
              </w:rPr>
              <w:t>D</w:t>
            </w:r>
            <w:r w:rsidRPr="00964543">
              <w:rPr>
                <w:rFonts w:cs="Arial"/>
                <w:szCs w:val="18"/>
              </w:rPr>
              <w:t xml:space="preserve">istance </w:t>
            </w:r>
            <w:r>
              <w:rPr>
                <w:rFonts w:cs="Arial"/>
                <w:szCs w:val="18"/>
              </w:rPr>
              <w:t>T</w:t>
            </w:r>
            <w:r w:rsidRPr="00964543">
              <w:rPr>
                <w:rFonts w:cs="Arial"/>
                <w:szCs w:val="18"/>
              </w:rPr>
              <w:t xml:space="preserve">raveled by </w:t>
            </w:r>
            <w:r>
              <w:rPr>
                <w:rFonts w:cs="Arial"/>
                <w:szCs w:val="18"/>
              </w:rPr>
              <w:t>V</w:t>
            </w:r>
            <w:r w:rsidRPr="00964543">
              <w:rPr>
                <w:rFonts w:cs="Arial"/>
                <w:szCs w:val="18"/>
              </w:rPr>
              <w:t>ehicle</w:t>
            </w:r>
            <w:r>
              <w:rPr>
                <w:rFonts w:cs="Arial"/>
                <w:szCs w:val="18"/>
              </w:rPr>
              <w:t xml:space="preserve"> (km/Year)</w:t>
            </w:r>
          </w:p>
        </w:tc>
        <w:tc>
          <w:tcPr>
            <w:tcW w:w="2180" w:type="dxa"/>
            <w:gridSpan w:val="2"/>
            <w:tcBorders>
              <w:top w:val="nil"/>
              <w:bottom w:val="single" w:sz="12" w:space="0" w:color="008000"/>
            </w:tcBorders>
            <w:shd w:val="clear" w:color="auto" w:fill="FFFFFF"/>
            <w:vAlign w:val="center"/>
          </w:tcPr>
          <w:p w14:paraId="5DEBA4DA" w14:textId="34153E5D" w:rsidR="00964543" w:rsidRDefault="00964543" w:rsidP="00964543">
            <w:pPr>
              <w:pStyle w:val="CETBodytext"/>
              <w:ind w:right="-1"/>
              <w:jc w:val="center"/>
              <w:rPr>
                <w:rFonts w:cs="Arial"/>
                <w:szCs w:val="18"/>
              </w:rPr>
            </w:pPr>
            <w:r>
              <w:rPr>
                <w:rFonts w:cs="Arial"/>
                <w:szCs w:val="18"/>
              </w:rPr>
              <w:t>110,000.00</w:t>
            </w:r>
          </w:p>
        </w:tc>
        <w:tc>
          <w:tcPr>
            <w:tcW w:w="2781" w:type="dxa"/>
            <w:tcBorders>
              <w:top w:val="nil"/>
              <w:bottom w:val="single" w:sz="12" w:space="0" w:color="008000"/>
            </w:tcBorders>
            <w:shd w:val="clear" w:color="auto" w:fill="FFFFFF"/>
          </w:tcPr>
          <w:p w14:paraId="342014B1" w14:textId="72CEDA60" w:rsidR="00964543" w:rsidRDefault="00F06378" w:rsidP="008350AF">
            <w:pPr>
              <w:pStyle w:val="CETBodytext"/>
              <w:ind w:right="-1"/>
              <w:jc w:val="center"/>
              <w:rPr>
                <w:rFonts w:cs="Arial"/>
                <w:szCs w:val="18"/>
              </w:rPr>
            </w:pPr>
            <w:r>
              <w:rPr>
                <w:rFonts w:cs="Arial"/>
                <w:szCs w:val="18"/>
                <w:lang w:val="en-GB"/>
              </w:rPr>
              <w:t>Almaraz et al. (2022)</w:t>
            </w:r>
          </w:p>
        </w:tc>
      </w:tr>
    </w:tbl>
    <w:p w14:paraId="1E062520" w14:textId="205A53BD" w:rsidR="00964543" w:rsidRDefault="0084141E" w:rsidP="00D946B7">
      <w:pPr>
        <w:pStyle w:val="CETEquation"/>
        <w:jc w:val="both"/>
      </w:pPr>
      <w:r w:rsidRPr="0084141E">
        <w:t xml:space="preserve">The case study investigates the annual transportation of soybean from the city of </w:t>
      </w:r>
      <w:proofErr w:type="spellStart"/>
      <w:r w:rsidRPr="0084141E">
        <w:t>Barreiras</w:t>
      </w:r>
      <w:proofErr w:type="spellEnd"/>
      <w:r w:rsidRPr="0084141E">
        <w:t xml:space="preserve"> to the </w:t>
      </w:r>
      <w:proofErr w:type="spellStart"/>
      <w:r w:rsidRPr="0084141E">
        <w:t>Cotegipe</w:t>
      </w:r>
      <w:proofErr w:type="spellEnd"/>
      <w:r w:rsidRPr="0084141E">
        <w:t xml:space="preserve"> terminal, located in Salvador, in the state of Bahia, Brazil. This terminal is identified as the primary port for solid bulk exports in the region (SENAI, 2023). The logistical and operational parameters considered in this route</w:t>
      </w:r>
      <w:r>
        <w:t xml:space="preserve"> </w:t>
      </w:r>
      <w:r w:rsidRPr="0084141E">
        <w:t>are detailed in Table 2.</w:t>
      </w:r>
    </w:p>
    <w:p w14:paraId="2109A3A7" w14:textId="6C238886" w:rsidR="00964543" w:rsidRPr="00B57B36" w:rsidRDefault="00964543" w:rsidP="00BE4B07">
      <w:pPr>
        <w:pStyle w:val="CETTabletitle"/>
        <w:spacing w:before="120"/>
      </w:pPr>
      <w:r w:rsidRPr="00B57B36">
        <w:t xml:space="preserve">Table </w:t>
      </w:r>
      <w:r>
        <w:t>2</w:t>
      </w:r>
      <w:r w:rsidRPr="00B57B36">
        <w:t xml:space="preserve">: </w:t>
      </w:r>
      <w:r w:rsidR="0084141E">
        <w:t>Case study</w:t>
      </w:r>
      <w:r w:rsidR="0089667C">
        <w:t xml:space="preserve"> inputs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111"/>
        <w:gridCol w:w="2410"/>
        <w:gridCol w:w="2268"/>
      </w:tblGrid>
      <w:tr w:rsidR="00964543" w:rsidRPr="00B57B36" w14:paraId="34B908D9" w14:textId="77777777" w:rsidTr="00964543">
        <w:tc>
          <w:tcPr>
            <w:tcW w:w="4111" w:type="dxa"/>
            <w:tcBorders>
              <w:top w:val="single" w:sz="12" w:space="0" w:color="008000"/>
              <w:bottom w:val="single" w:sz="6" w:space="0" w:color="008000"/>
            </w:tcBorders>
            <w:shd w:val="clear" w:color="auto" w:fill="FFFFFF"/>
          </w:tcPr>
          <w:p w14:paraId="09D7F15F" w14:textId="3220EC0C" w:rsidR="00964543" w:rsidRPr="006541AA" w:rsidRDefault="006541AA" w:rsidP="009D5A8C">
            <w:pPr>
              <w:pStyle w:val="CETBodytext"/>
              <w:rPr>
                <w:b/>
                <w:bCs/>
                <w:lang w:val="en-GB"/>
              </w:rPr>
            </w:pPr>
            <w:r w:rsidRPr="006541AA">
              <w:rPr>
                <w:b/>
                <w:bCs/>
                <w:lang w:val="en-GB"/>
              </w:rPr>
              <w:t>Information</w:t>
            </w:r>
          </w:p>
        </w:tc>
        <w:tc>
          <w:tcPr>
            <w:tcW w:w="2410" w:type="dxa"/>
            <w:tcBorders>
              <w:top w:val="single" w:sz="12" w:space="0" w:color="008000"/>
              <w:bottom w:val="single" w:sz="6" w:space="0" w:color="008000"/>
            </w:tcBorders>
            <w:shd w:val="clear" w:color="auto" w:fill="FFFFFF"/>
          </w:tcPr>
          <w:p w14:paraId="3C5389BA" w14:textId="1F1F0F1B" w:rsidR="00964543" w:rsidRPr="006541AA" w:rsidRDefault="006541AA" w:rsidP="00964543">
            <w:pPr>
              <w:pStyle w:val="CETBodytext"/>
              <w:jc w:val="center"/>
              <w:rPr>
                <w:b/>
                <w:bCs/>
                <w:lang w:val="en-GB"/>
              </w:rPr>
            </w:pPr>
            <w:r w:rsidRPr="006541AA">
              <w:rPr>
                <w:b/>
                <w:bCs/>
                <w:lang w:val="en-GB"/>
              </w:rPr>
              <w:t>Input</w:t>
            </w:r>
          </w:p>
        </w:tc>
        <w:tc>
          <w:tcPr>
            <w:tcW w:w="2268" w:type="dxa"/>
            <w:tcBorders>
              <w:top w:val="single" w:sz="12" w:space="0" w:color="008000"/>
              <w:bottom w:val="single" w:sz="6" w:space="0" w:color="008000"/>
            </w:tcBorders>
            <w:shd w:val="clear" w:color="auto" w:fill="FFFFFF"/>
          </w:tcPr>
          <w:p w14:paraId="6BD77198" w14:textId="11A4F2D2" w:rsidR="00964543" w:rsidRPr="006541AA" w:rsidRDefault="004945E9" w:rsidP="00F126CB">
            <w:pPr>
              <w:pStyle w:val="CETBodytext"/>
              <w:jc w:val="center"/>
              <w:rPr>
                <w:b/>
                <w:bCs/>
                <w:lang w:val="en-GB"/>
              </w:rPr>
            </w:pPr>
            <w:r w:rsidRPr="006541AA">
              <w:rPr>
                <w:b/>
                <w:bCs/>
                <w:lang w:val="en-GB"/>
              </w:rPr>
              <w:t>Reference</w:t>
            </w:r>
          </w:p>
        </w:tc>
      </w:tr>
      <w:tr w:rsidR="00964543" w:rsidRPr="00964543" w14:paraId="3EEC3D51" w14:textId="77777777" w:rsidTr="00964543">
        <w:tc>
          <w:tcPr>
            <w:tcW w:w="4111" w:type="dxa"/>
            <w:shd w:val="clear" w:color="auto" w:fill="FFFFFF"/>
          </w:tcPr>
          <w:p w14:paraId="39954F37" w14:textId="5B61E9AF" w:rsidR="00964543" w:rsidRPr="00964543" w:rsidRDefault="00964543" w:rsidP="009D5A8C">
            <w:pPr>
              <w:pStyle w:val="CETBodytext"/>
              <w:rPr>
                <w:lang w:val="pt-BR"/>
              </w:rPr>
            </w:pPr>
            <w:r w:rsidRPr="00964543">
              <w:rPr>
                <w:lang w:val="pt-BR"/>
              </w:rPr>
              <w:t>Distance</w:t>
            </w:r>
            <w:r>
              <w:rPr>
                <w:lang w:val="pt-BR"/>
              </w:rPr>
              <w:t xml:space="preserve"> (km)</w:t>
            </w:r>
            <w:r w:rsidRPr="00964543">
              <w:rPr>
                <w:lang w:val="pt-BR"/>
              </w:rPr>
              <w:t xml:space="preserve"> (Barreiras </w:t>
            </w:r>
            <w:proofErr w:type="spellStart"/>
            <w:r w:rsidRPr="00964543">
              <w:rPr>
                <w:lang w:val="pt-BR"/>
              </w:rPr>
              <w:t>to</w:t>
            </w:r>
            <w:proofErr w:type="spellEnd"/>
            <w:r w:rsidRPr="00964543">
              <w:rPr>
                <w:lang w:val="pt-BR"/>
              </w:rPr>
              <w:t xml:space="preserve"> Cotegipe </w:t>
            </w:r>
            <w:proofErr w:type="spellStart"/>
            <w:r w:rsidRPr="00964543">
              <w:rPr>
                <w:lang w:val="pt-BR"/>
              </w:rPr>
              <w:t>p</w:t>
            </w:r>
            <w:r>
              <w:rPr>
                <w:lang w:val="pt-BR"/>
              </w:rPr>
              <w:t>ort</w:t>
            </w:r>
            <w:proofErr w:type="spellEnd"/>
            <w:r>
              <w:rPr>
                <w:lang w:val="pt-BR"/>
              </w:rPr>
              <w:t xml:space="preserve"> -Salvador)</w:t>
            </w:r>
          </w:p>
        </w:tc>
        <w:tc>
          <w:tcPr>
            <w:tcW w:w="2410" w:type="dxa"/>
            <w:shd w:val="clear" w:color="auto" w:fill="FFFFFF"/>
          </w:tcPr>
          <w:p w14:paraId="300CB76A" w14:textId="49E9EEC0" w:rsidR="00964543" w:rsidRPr="00964543" w:rsidRDefault="00964543" w:rsidP="00964543">
            <w:pPr>
              <w:pStyle w:val="CETBodytext"/>
              <w:jc w:val="center"/>
              <w:rPr>
                <w:lang w:val="pt-BR"/>
              </w:rPr>
            </w:pPr>
            <w:r>
              <w:rPr>
                <w:lang w:val="pt-BR"/>
              </w:rPr>
              <w:t>855.00</w:t>
            </w:r>
          </w:p>
        </w:tc>
        <w:tc>
          <w:tcPr>
            <w:tcW w:w="2268" w:type="dxa"/>
            <w:shd w:val="clear" w:color="auto" w:fill="FFFFFF"/>
          </w:tcPr>
          <w:p w14:paraId="72E52D74" w14:textId="00DF70BB" w:rsidR="00964543" w:rsidRPr="00964543" w:rsidRDefault="00F06378" w:rsidP="00F126CB">
            <w:pPr>
              <w:pStyle w:val="CETBodytext"/>
              <w:jc w:val="center"/>
              <w:rPr>
                <w:lang w:val="pt-BR"/>
              </w:rPr>
            </w:pPr>
            <w:r>
              <w:rPr>
                <w:lang w:val="pt-BR"/>
              </w:rPr>
              <w:t xml:space="preserve">Google </w:t>
            </w:r>
            <w:r w:rsidR="00964543">
              <w:rPr>
                <w:lang w:val="pt-BR"/>
              </w:rPr>
              <w:t>Maps</w:t>
            </w:r>
          </w:p>
        </w:tc>
      </w:tr>
      <w:tr w:rsidR="00964543" w:rsidRPr="00964543" w14:paraId="2D570DEE" w14:textId="77777777" w:rsidTr="00964543">
        <w:tc>
          <w:tcPr>
            <w:tcW w:w="4111" w:type="dxa"/>
            <w:shd w:val="clear" w:color="auto" w:fill="FFFFFF"/>
          </w:tcPr>
          <w:p w14:paraId="07F91496" w14:textId="25C20E72" w:rsidR="00964543" w:rsidRPr="00964543" w:rsidRDefault="00964543" w:rsidP="009D5A8C">
            <w:pPr>
              <w:pStyle w:val="CETBodytext"/>
              <w:ind w:right="-1"/>
              <w:rPr>
                <w:rFonts w:cs="Arial"/>
                <w:szCs w:val="18"/>
              </w:rPr>
            </w:pPr>
            <w:r w:rsidRPr="00964543">
              <w:rPr>
                <w:rFonts w:cs="Arial"/>
                <w:szCs w:val="18"/>
              </w:rPr>
              <w:t>Annually transported soybean (ton/y</w:t>
            </w:r>
            <w:r>
              <w:rPr>
                <w:rFonts w:cs="Arial"/>
                <w:szCs w:val="18"/>
              </w:rPr>
              <w:t>ear)</w:t>
            </w:r>
          </w:p>
        </w:tc>
        <w:tc>
          <w:tcPr>
            <w:tcW w:w="2410" w:type="dxa"/>
            <w:shd w:val="clear" w:color="auto" w:fill="FFFFFF"/>
          </w:tcPr>
          <w:p w14:paraId="79976EE5" w14:textId="16214EB2" w:rsidR="00964543" w:rsidRPr="00964543" w:rsidRDefault="00964543" w:rsidP="00964543">
            <w:pPr>
              <w:pStyle w:val="CETBodytext"/>
              <w:ind w:right="-1"/>
              <w:jc w:val="center"/>
              <w:rPr>
                <w:rFonts w:cs="Arial"/>
                <w:szCs w:val="18"/>
              </w:rPr>
            </w:pPr>
            <w:r>
              <w:rPr>
                <w:rFonts w:cs="Arial"/>
                <w:szCs w:val="18"/>
              </w:rPr>
              <w:t>4,233.00</w:t>
            </w:r>
          </w:p>
        </w:tc>
        <w:tc>
          <w:tcPr>
            <w:tcW w:w="2268" w:type="dxa"/>
            <w:shd w:val="clear" w:color="auto" w:fill="FFFFFF"/>
          </w:tcPr>
          <w:p w14:paraId="41862E11" w14:textId="50B484C3" w:rsidR="00964543" w:rsidRPr="00964543" w:rsidRDefault="00964543" w:rsidP="00F126CB">
            <w:pPr>
              <w:pStyle w:val="CETBodytext"/>
              <w:ind w:right="-1"/>
              <w:jc w:val="center"/>
              <w:rPr>
                <w:rFonts w:cs="Arial"/>
                <w:szCs w:val="18"/>
              </w:rPr>
            </w:pPr>
            <w:r>
              <w:rPr>
                <w:rFonts w:cs="Arial"/>
                <w:szCs w:val="18"/>
              </w:rPr>
              <w:t>Embrapa</w:t>
            </w:r>
            <w:r w:rsidR="00F06378">
              <w:rPr>
                <w:rFonts w:cs="Arial"/>
                <w:szCs w:val="18"/>
              </w:rPr>
              <w:t xml:space="preserve"> (2025)</w:t>
            </w:r>
          </w:p>
        </w:tc>
      </w:tr>
      <w:tr w:rsidR="00964543" w:rsidRPr="00964543" w14:paraId="204805C6" w14:textId="77777777" w:rsidTr="00964543">
        <w:tc>
          <w:tcPr>
            <w:tcW w:w="4111" w:type="dxa"/>
            <w:shd w:val="clear" w:color="auto" w:fill="FFFFFF"/>
          </w:tcPr>
          <w:p w14:paraId="6EE65C5F" w14:textId="63764213" w:rsidR="00964543" w:rsidRPr="00964543" w:rsidRDefault="00420657" w:rsidP="009D5A8C">
            <w:pPr>
              <w:pStyle w:val="CETBodytext"/>
              <w:ind w:right="-1"/>
              <w:rPr>
                <w:rFonts w:cs="Arial"/>
                <w:szCs w:val="18"/>
              </w:rPr>
            </w:pPr>
            <w:r>
              <w:rPr>
                <w:rFonts w:cs="Arial"/>
                <w:szCs w:val="18"/>
              </w:rPr>
              <w:t>Number of vehicles (per fuel type f)</w:t>
            </w:r>
          </w:p>
        </w:tc>
        <w:tc>
          <w:tcPr>
            <w:tcW w:w="2410" w:type="dxa"/>
            <w:shd w:val="clear" w:color="auto" w:fill="FFFFFF"/>
          </w:tcPr>
          <w:p w14:paraId="16729277" w14:textId="24CE1B95" w:rsidR="00964543" w:rsidRPr="00964543" w:rsidRDefault="00420657" w:rsidP="00964543">
            <w:pPr>
              <w:pStyle w:val="CETBodytext"/>
              <w:ind w:right="-1"/>
              <w:jc w:val="center"/>
              <w:rPr>
                <w:rFonts w:cs="Arial"/>
                <w:szCs w:val="18"/>
              </w:rPr>
            </w:pPr>
            <w:r>
              <w:rPr>
                <w:rFonts w:cs="Arial"/>
                <w:szCs w:val="18"/>
              </w:rPr>
              <w:t>3</w:t>
            </w:r>
          </w:p>
        </w:tc>
        <w:tc>
          <w:tcPr>
            <w:tcW w:w="2268" w:type="dxa"/>
            <w:shd w:val="clear" w:color="auto" w:fill="FFFFFF"/>
          </w:tcPr>
          <w:p w14:paraId="44698CB6" w14:textId="77777777" w:rsidR="00964543" w:rsidRPr="00964543" w:rsidRDefault="00964543" w:rsidP="00F126CB">
            <w:pPr>
              <w:pStyle w:val="CETBodytext"/>
              <w:ind w:right="-1"/>
              <w:jc w:val="center"/>
              <w:rPr>
                <w:rFonts w:cs="Arial"/>
                <w:szCs w:val="18"/>
              </w:rPr>
            </w:pPr>
          </w:p>
        </w:tc>
      </w:tr>
      <w:tr w:rsidR="00964543" w:rsidRPr="00964543" w14:paraId="571DF06E" w14:textId="77777777" w:rsidTr="00964543">
        <w:tc>
          <w:tcPr>
            <w:tcW w:w="4111" w:type="dxa"/>
            <w:shd w:val="clear" w:color="auto" w:fill="FFFFFF"/>
          </w:tcPr>
          <w:p w14:paraId="46E6CA0E" w14:textId="41A42170" w:rsidR="00964543" w:rsidRPr="00964543" w:rsidRDefault="004945E9" w:rsidP="009D5A8C">
            <w:pPr>
              <w:pStyle w:val="CETBodytext"/>
              <w:ind w:right="-1"/>
              <w:rPr>
                <w:rFonts w:cs="Arial"/>
                <w:szCs w:val="18"/>
              </w:rPr>
            </w:pPr>
            <w:r>
              <w:rPr>
                <w:rFonts w:cs="Arial"/>
                <w:szCs w:val="18"/>
              </w:rPr>
              <w:t>T</w:t>
            </w:r>
            <w:r w:rsidRPr="004945E9">
              <w:rPr>
                <w:rFonts w:cs="Arial"/>
                <w:szCs w:val="18"/>
              </w:rPr>
              <w:t xml:space="preserve">otal </w:t>
            </w:r>
            <w:r>
              <w:rPr>
                <w:rFonts w:cs="Arial"/>
                <w:szCs w:val="18"/>
              </w:rPr>
              <w:t>D</w:t>
            </w:r>
            <w:r w:rsidRPr="004945E9">
              <w:rPr>
                <w:rFonts w:cs="Arial"/>
                <w:szCs w:val="18"/>
              </w:rPr>
              <w:t xml:space="preserve">istance </w:t>
            </w:r>
            <w:r>
              <w:rPr>
                <w:rFonts w:cs="Arial"/>
                <w:szCs w:val="18"/>
              </w:rPr>
              <w:t>T</w:t>
            </w:r>
            <w:r w:rsidRPr="004945E9">
              <w:rPr>
                <w:rFonts w:cs="Arial"/>
                <w:szCs w:val="18"/>
              </w:rPr>
              <w:t>raveled</w:t>
            </w:r>
            <w:r>
              <w:rPr>
                <w:rFonts w:cs="Arial"/>
                <w:szCs w:val="18"/>
              </w:rPr>
              <w:t xml:space="preserve"> (km/year)</w:t>
            </w:r>
          </w:p>
        </w:tc>
        <w:tc>
          <w:tcPr>
            <w:tcW w:w="2410" w:type="dxa"/>
            <w:shd w:val="clear" w:color="auto" w:fill="FFFFFF"/>
          </w:tcPr>
          <w:p w14:paraId="1EE25F91" w14:textId="5EEF0650" w:rsidR="00964543" w:rsidRPr="00964543" w:rsidRDefault="004945E9" w:rsidP="00964543">
            <w:pPr>
              <w:pStyle w:val="CETBodytext"/>
              <w:ind w:right="-1"/>
              <w:jc w:val="center"/>
              <w:rPr>
                <w:rFonts w:cs="Arial"/>
                <w:szCs w:val="18"/>
              </w:rPr>
            </w:pPr>
            <w:r>
              <w:rPr>
                <w:rFonts w:cs="Arial"/>
                <w:szCs w:val="18"/>
              </w:rPr>
              <w:t>362,520.00</w:t>
            </w:r>
          </w:p>
        </w:tc>
        <w:tc>
          <w:tcPr>
            <w:tcW w:w="2268" w:type="dxa"/>
            <w:shd w:val="clear" w:color="auto" w:fill="FFFFFF"/>
          </w:tcPr>
          <w:p w14:paraId="6D790767" w14:textId="77777777" w:rsidR="00964543" w:rsidRPr="00964543" w:rsidRDefault="00964543" w:rsidP="00F126CB">
            <w:pPr>
              <w:pStyle w:val="CETBodytext"/>
              <w:ind w:right="-1"/>
              <w:jc w:val="center"/>
              <w:rPr>
                <w:rFonts w:cs="Arial"/>
                <w:szCs w:val="18"/>
              </w:rPr>
            </w:pPr>
          </w:p>
        </w:tc>
      </w:tr>
      <w:tr w:rsidR="00964543" w:rsidRPr="00964543" w14:paraId="58DDC986" w14:textId="77777777" w:rsidTr="00964543">
        <w:tc>
          <w:tcPr>
            <w:tcW w:w="4111" w:type="dxa"/>
            <w:shd w:val="clear" w:color="auto" w:fill="FFFFFF"/>
          </w:tcPr>
          <w:p w14:paraId="329D8919" w14:textId="192CABDD" w:rsidR="00964543" w:rsidRPr="00964543" w:rsidRDefault="004945E9" w:rsidP="009D5A8C">
            <w:pPr>
              <w:pStyle w:val="CETBodytext"/>
              <w:ind w:right="-1"/>
              <w:rPr>
                <w:rFonts w:cs="Arial"/>
                <w:szCs w:val="18"/>
              </w:rPr>
            </w:pPr>
            <w:r>
              <w:rPr>
                <w:rFonts w:cs="Arial"/>
                <w:szCs w:val="18"/>
              </w:rPr>
              <w:t>Annual number of trips (trips/year)</w:t>
            </w:r>
          </w:p>
        </w:tc>
        <w:tc>
          <w:tcPr>
            <w:tcW w:w="2410" w:type="dxa"/>
            <w:shd w:val="clear" w:color="auto" w:fill="FFFFFF"/>
          </w:tcPr>
          <w:p w14:paraId="60A15574" w14:textId="12A7BCA9" w:rsidR="00964543" w:rsidRPr="00964543" w:rsidRDefault="004945E9" w:rsidP="00964543">
            <w:pPr>
              <w:pStyle w:val="CETBodytext"/>
              <w:ind w:right="-1"/>
              <w:jc w:val="center"/>
              <w:rPr>
                <w:rFonts w:cs="Arial"/>
                <w:szCs w:val="18"/>
              </w:rPr>
            </w:pPr>
            <w:r>
              <w:rPr>
                <w:rFonts w:cs="Arial"/>
                <w:szCs w:val="18"/>
              </w:rPr>
              <w:t>212</w:t>
            </w:r>
          </w:p>
        </w:tc>
        <w:tc>
          <w:tcPr>
            <w:tcW w:w="2268" w:type="dxa"/>
            <w:shd w:val="clear" w:color="auto" w:fill="FFFFFF"/>
          </w:tcPr>
          <w:p w14:paraId="28582706" w14:textId="77777777" w:rsidR="00964543" w:rsidRPr="00964543" w:rsidRDefault="00964543" w:rsidP="00F126CB">
            <w:pPr>
              <w:pStyle w:val="CETBodytext"/>
              <w:ind w:right="-1"/>
              <w:jc w:val="center"/>
              <w:rPr>
                <w:rFonts w:cs="Arial"/>
                <w:szCs w:val="18"/>
              </w:rPr>
            </w:pPr>
          </w:p>
        </w:tc>
      </w:tr>
      <w:tr w:rsidR="00C767CE" w:rsidRPr="00964543" w14:paraId="24480D4E" w14:textId="77777777" w:rsidTr="00964543">
        <w:tc>
          <w:tcPr>
            <w:tcW w:w="4111" w:type="dxa"/>
            <w:shd w:val="clear" w:color="auto" w:fill="FFFFFF"/>
          </w:tcPr>
          <w:p w14:paraId="55329098" w14:textId="123568A1" w:rsidR="00C767CE" w:rsidRDefault="00C767CE" w:rsidP="009D5A8C">
            <w:pPr>
              <w:pStyle w:val="CETBodytext"/>
              <w:ind w:right="-1"/>
              <w:rPr>
                <w:rFonts w:cs="Arial"/>
                <w:szCs w:val="18"/>
              </w:rPr>
            </w:pPr>
            <w:r>
              <w:rPr>
                <w:rFonts w:cs="Arial"/>
                <w:szCs w:val="18"/>
              </w:rPr>
              <w:t>Electricity Price (US$/</w:t>
            </w:r>
            <w:r w:rsidR="008818A2">
              <w:rPr>
                <w:rFonts w:cs="Arial"/>
                <w:szCs w:val="18"/>
              </w:rPr>
              <w:t>M</w:t>
            </w:r>
            <w:r>
              <w:rPr>
                <w:rFonts w:cs="Arial"/>
                <w:szCs w:val="18"/>
              </w:rPr>
              <w:t>Wh)</w:t>
            </w:r>
          </w:p>
        </w:tc>
        <w:tc>
          <w:tcPr>
            <w:tcW w:w="2410" w:type="dxa"/>
            <w:shd w:val="clear" w:color="auto" w:fill="FFFFFF"/>
          </w:tcPr>
          <w:p w14:paraId="0FE207EA" w14:textId="5AB7204D" w:rsidR="00C767CE" w:rsidRDefault="008818A2" w:rsidP="00964543">
            <w:pPr>
              <w:pStyle w:val="CETBodytext"/>
              <w:ind w:right="-1"/>
              <w:jc w:val="center"/>
              <w:rPr>
                <w:rFonts w:cs="Arial"/>
                <w:szCs w:val="18"/>
              </w:rPr>
            </w:pPr>
            <w:r w:rsidRPr="008818A2">
              <w:rPr>
                <w:rFonts w:cs="Arial"/>
                <w:szCs w:val="18"/>
                <w:lang w:val="en-GB"/>
              </w:rPr>
              <w:t>52,43</w:t>
            </w:r>
          </w:p>
        </w:tc>
        <w:tc>
          <w:tcPr>
            <w:tcW w:w="2268" w:type="dxa"/>
            <w:shd w:val="clear" w:color="auto" w:fill="FFFFFF"/>
          </w:tcPr>
          <w:p w14:paraId="6D5656AD" w14:textId="6B7D3171" w:rsidR="00C767CE" w:rsidRPr="00964543" w:rsidRDefault="00B809C1" w:rsidP="00F126CB">
            <w:pPr>
              <w:pStyle w:val="CETBodytext"/>
              <w:ind w:right="-1"/>
              <w:jc w:val="center"/>
              <w:rPr>
                <w:rFonts w:cs="Arial"/>
                <w:szCs w:val="18"/>
              </w:rPr>
            </w:pPr>
            <w:proofErr w:type="spellStart"/>
            <w:r>
              <w:rPr>
                <w:rFonts w:cs="Arial"/>
                <w:szCs w:val="18"/>
              </w:rPr>
              <w:t>Imprensa</w:t>
            </w:r>
            <w:proofErr w:type="spellEnd"/>
            <w:r>
              <w:rPr>
                <w:rFonts w:cs="Arial"/>
                <w:szCs w:val="18"/>
              </w:rPr>
              <w:t xml:space="preserve"> Nacional (2025)</w:t>
            </w:r>
          </w:p>
        </w:tc>
      </w:tr>
    </w:tbl>
    <w:p w14:paraId="59FC6821" w14:textId="5315514F" w:rsidR="00F06378" w:rsidRPr="00B57B36" w:rsidRDefault="00F06378" w:rsidP="00BE4B07">
      <w:pPr>
        <w:pStyle w:val="CETHeading1"/>
        <w:spacing w:before="120"/>
        <w:rPr>
          <w:lang w:val="en-GB"/>
        </w:rPr>
      </w:pPr>
      <w:r>
        <w:rPr>
          <w:lang w:val="en-GB"/>
        </w:rPr>
        <w:t>Results and discussion</w:t>
      </w:r>
    </w:p>
    <w:p w14:paraId="677EBFF0" w14:textId="3E1FEC29" w:rsidR="00600535" w:rsidRDefault="00BE4B07" w:rsidP="004436A2">
      <w:pPr>
        <w:pStyle w:val="CETEquation"/>
        <w:jc w:val="both"/>
      </w:pPr>
      <w:r>
        <w:rPr>
          <w:noProof/>
          <w:lang w:val="pt-BR" w:eastAsia="pt-BR"/>
        </w:rPr>
        <w:drawing>
          <wp:anchor distT="0" distB="0" distL="114300" distR="114300" simplePos="0" relativeHeight="251659264" behindDoc="0" locked="0" layoutInCell="1" allowOverlap="1" wp14:anchorId="793D91D4" wp14:editId="3B24C780">
            <wp:simplePos x="0" y="0"/>
            <wp:positionH relativeFrom="column">
              <wp:posOffset>1905</wp:posOffset>
            </wp:positionH>
            <wp:positionV relativeFrom="paragraph">
              <wp:posOffset>616585</wp:posOffset>
            </wp:positionV>
            <wp:extent cx="3587590" cy="2194560"/>
            <wp:effectExtent l="0" t="0" r="0" b="0"/>
            <wp:wrapNone/>
            <wp:docPr id="1457106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0638" name="Imagem 1"/>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3593792" cy="2198354"/>
                    </a:xfrm>
                    <a:prstGeom prst="rect">
                      <a:avLst/>
                    </a:prstGeom>
                  </pic:spPr>
                </pic:pic>
              </a:graphicData>
            </a:graphic>
            <wp14:sizeRelH relativeFrom="page">
              <wp14:pctWidth>0</wp14:pctWidth>
            </wp14:sizeRelH>
            <wp14:sizeRelV relativeFrom="page">
              <wp14:pctHeight>0</wp14:pctHeight>
            </wp14:sizeRelV>
          </wp:anchor>
        </w:drawing>
      </w:r>
      <w:r w:rsidR="00C7445D">
        <w:t xml:space="preserve">Figure 1 summarizes the main </w:t>
      </w:r>
      <w:r w:rsidR="00B225A4">
        <w:t xml:space="preserve">economic </w:t>
      </w:r>
      <w:r w:rsidR="00C7445D">
        <w:t xml:space="preserve">results of </w:t>
      </w:r>
      <w:r w:rsidR="00B225A4">
        <w:t xml:space="preserve">the study. </w:t>
      </w:r>
      <w:r w:rsidR="00CA6F11" w:rsidRPr="00CA6F11">
        <w:t xml:space="preserve">The analysis of the Total Cost of Ownership (TCO) reveals a higher operational cost for hydrogen fuel cell vehicles (HFCVs) compared to diesel vehicles under current market conditions. Despite their superior fuel efficiency and lower carbon emissions, the elevated hydrogen fuel price still positions diesel as the economically preferred option in the short </w:t>
      </w:r>
      <w:r w:rsidR="00A826C5" w:rsidRPr="00CA6F11">
        <w:t>term.</w:t>
      </w:r>
    </w:p>
    <w:p w14:paraId="0173933D" w14:textId="19391679" w:rsidR="000A36E0" w:rsidRDefault="000A36E0" w:rsidP="00BE4B07">
      <w:pPr>
        <w:pStyle w:val="CETBodytext"/>
      </w:pPr>
    </w:p>
    <w:p w14:paraId="304FDC52" w14:textId="77777777" w:rsidR="00BE4B07" w:rsidRDefault="00BE4B07" w:rsidP="00BE4B07">
      <w:pPr>
        <w:pStyle w:val="CETBodytext"/>
      </w:pPr>
    </w:p>
    <w:p w14:paraId="0006CB0B" w14:textId="3D6E54F0" w:rsidR="002538D7" w:rsidRDefault="002538D7" w:rsidP="000A36E0">
      <w:pPr>
        <w:pStyle w:val="CETListbullets"/>
        <w:ind w:left="113" w:firstLine="0"/>
        <w:jc w:val="left"/>
      </w:pPr>
    </w:p>
    <w:p w14:paraId="0C9D8435" w14:textId="082BA640" w:rsidR="002538D7" w:rsidRDefault="002538D7" w:rsidP="000A36E0">
      <w:pPr>
        <w:pStyle w:val="CETListbullets"/>
        <w:ind w:left="113" w:firstLine="0"/>
        <w:jc w:val="left"/>
      </w:pPr>
    </w:p>
    <w:p w14:paraId="2EB6DFE7" w14:textId="77777777" w:rsidR="002538D7" w:rsidRDefault="002538D7" w:rsidP="000A36E0">
      <w:pPr>
        <w:pStyle w:val="CETListbullets"/>
        <w:ind w:left="113" w:firstLine="0"/>
        <w:jc w:val="left"/>
      </w:pPr>
    </w:p>
    <w:p w14:paraId="3F42FEFA" w14:textId="77777777" w:rsidR="002538D7" w:rsidRDefault="002538D7" w:rsidP="000A36E0">
      <w:pPr>
        <w:pStyle w:val="CETListbullets"/>
        <w:ind w:left="113" w:firstLine="0"/>
        <w:jc w:val="left"/>
      </w:pPr>
    </w:p>
    <w:p w14:paraId="3463423D" w14:textId="77777777" w:rsidR="002538D7" w:rsidRDefault="002538D7" w:rsidP="000A36E0">
      <w:pPr>
        <w:pStyle w:val="CETListbullets"/>
        <w:ind w:left="113" w:firstLine="0"/>
        <w:jc w:val="left"/>
      </w:pPr>
    </w:p>
    <w:p w14:paraId="5DA06715" w14:textId="77777777" w:rsidR="002538D7" w:rsidRDefault="002538D7" w:rsidP="000A36E0">
      <w:pPr>
        <w:pStyle w:val="CETListbullets"/>
        <w:ind w:left="113" w:firstLine="0"/>
        <w:jc w:val="left"/>
      </w:pPr>
    </w:p>
    <w:p w14:paraId="1C9857A8" w14:textId="77777777" w:rsidR="002538D7" w:rsidRDefault="002538D7" w:rsidP="000A36E0">
      <w:pPr>
        <w:pStyle w:val="CETListbullets"/>
        <w:ind w:left="113" w:firstLine="0"/>
        <w:jc w:val="left"/>
      </w:pPr>
    </w:p>
    <w:p w14:paraId="708EC721" w14:textId="77777777" w:rsidR="002538D7" w:rsidRDefault="002538D7" w:rsidP="000A36E0">
      <w:pPr>
        <w:pStyle w:val="CETListbullets"/>
        <w:ind w:left="113" w:firstLine="0"/>
        <w:jc w:val="left"/>
      </w:pPr>
    </w:p>
    <w:p w14:paraId="5D7607F1" w14:textId="77777777" w:rsidR="002538D7" w:rsidRDefault="002538D7" w:rsidP="000A36E0">
      <w:pPr>
        <w:pStyle w:val="CETListbullets"/>
        <w:ind w:left="113" w:firstLine="0"/>
        <w:jc w:val="left"/>
      </w:pPr>
    </w:p>
    <w:p w14:paraId="752B3D53" w14:textId="77777777" w:rsidR="00BE4B07" w:rsidRDefault="00BE4B07" w:rsidP="000A36E0">
      <w:pPr>
        <w:pStyle w:val="CETListbullets"/>
        <w:ind w:left="113" w:firstLine="0"/>
        <w:jc w:val="left"/>
      </w:pPr>
    </w:p>
    <w:p w14:paraId="0079D014" w14:textId="77777777" w:rsidR="002538D7" w:rsidRDefault="002538D7" w:rsidP="000A36E0">
      <w:pPr>
        <w:pStyle w:val="CETListbullets"/>
        <w:ind w:left="113" w:firstLine="0"/>
        <w:jc w:val="left"/>
      </w:pPr>
    </w:p>
    <w:p w14:paraId="4326DD11" w14:textId="77777777" w:rsidR="002538D7" w:rsidRDefault="002538D7" w:rsidP="000A36E0">
      <w:pPr>
        <w:pStyle w:val="CETListbullets"/>
        <w:ind w:left="113" w:firstLine="0"/>
        <w:jc w:val="left"/>
      </w:pPr>
    </w:p>
    <w:p w14:paraId="062B417E" w14:textId="77777777" w:rsidR="002538D7" w:rsidRDefault="002538D7" w:rsidP="000A36E0">
      <w:pPr>
        <w:pStyle w:val="CETListbullets"/>
        <w:ind w:left="113" w:firstLine="0"/>
        <w:jc w:val="left"/>
      </w:pPr>
    </w:p>
    <w:p w14:paraId="55E85F7F" w14:textId="2EBA0A5C" w:rsidR="006212F7" w:rsidRPr="004436A2" w:rsidRDefault="006212F7" w:rsidP="00BE4B07">
      <w:pPr>
        <w:pStyle w:val="CETTabletitle"/>
        <w:spacing w:before="0" w:after="120"/>
        <w:rPr>
          <w:rStyle w:val="CETCaptionCarattere"/>
          <w:i/>
        </w:rPr>
      </w:pPr>
      <w:r w:rsidRPr="00F7670C">
        <w:rPr>
          <w:rStyle w:val="CETCaptionCarattere"/>
        </w:rPr>
        <w:t xml:space="preserve">Figure 1: </w:t>
      </w:r>
      <w:r w:rsidR="00F7670C" w:rsidRPr="00F7670C">
        <w:rPr>
          <w:i w:val="0"/>
        </w:rPr>
        <w:t>Comparison of economic and environmental performance between Diesel and H</w:t>
      </w:r>
      <w:r w:rsidR="00F7670C" w:rsidRPr="00F7670C">
        <w:rPr>
          <w:i w:val="0"/>
        </w:rPr>
        <w:t>FCVs</w:t>
      </w:r>
      <w:r w:rsidR="00F7670C" w:rsidRPr="00F7670C">
        <w:rPr>
          <w:i w:val="0"/>
        </w:rPr>
        <w:t xml:space="preserve"> Vehicles</w:t>
      </w:r>
      <w:r w:rsidR="00F7670C" w:rsidRPr="00F7670C">
        <w:rPr>
          <w:i w:val="0"/>
        </w:rPr>
        <w:t>.</w:t>
      </w:r>
    </w:p>
    <w:p w14:paraId="1B3185D8" w14:textId="208D973B" w:rsidR="006212F7" w:rsidRDefault="004436A2" w:rsidP="004436A2">
      <w:pPr>
        <w:pStyle w:val="CETEquation"/>
        <w:jc w:val="both"/>
      </w:pPr>
      <w:r w:rsidRPr="004436A2">
        <w:t xml:space="preserve">Regarding environmental performance, Figure 2 demonstrates that HFCVs achieve a substantial reduction in greenhouse gas emissions, with approximately half the emissions per </w:t>
      </w:r>
      <w:proofErr w:type="spellStart"/>
      <w:r w:rsidRPr="004436A2">
        <w:t>kilometer</w:t>
      </w:r>
      <w:proofErr w:type="spellEnd"/>
      <w:r w:rsidRPr="004436A2">
        <w:t xml:space="preserve"> when compared to </w:t>
      </w:r>
      <w:r w:rsidR="005F6427">
        <w:t>HD</w:t>
      </w:r>
      <w:r w:rsidRPr="004436A2">
        <w:t xml:space="preserve"> diesel. </w:t>
      </w:r>
      <w:r w:rsidRPr="004436A2">
        <w:lastRenderedPageBreak/>
        <w:t>This supports the environmental case for adopting hydrogen in long-haul freight, particularly in emission-sensitive supply chains or under stricter regulatory scenarios.</w:t>
      </w:r>
    </w:p>
    <w:p w14:paraId="06BBA258" w14:textId="3ADF0456" w:rsidR="00981E7A" w:rsidRDefault="000A36E0" w:rsidP="006541AA">
      <w:pPr>
        <w:pStyle w:val="CETListbullets"/>
        <w:ind w:left="113" w:firstLine="0"/>
        <w:jc w:val="left"/>
      </w:pPr>
      <w:r>
        <w:rPr>
          <w:noProof/>
          <w:lang w:val="pt-BR" w:eastAsia="pt-BR"/>
        </w:rPr>
        <w:drawing>
          <wp:inline distT="0" distB="0" distL="0" distR="0" wp14:anchorId="30F7AC3F" wp14:editId="33505DB5">
            <wp:extent cx="3703320" cy="2225071"/>
            <wp:effectExtent l="0" t="0" r="0" b="3810"/>
            <wp:docPr id="20130464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46437" name="Imagem 3"/>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718080" cy="2233939"/>
                    </a:xfrm>
                    <a:prstGeom prst="rect">
                      <a:avLst/>
                    </a:prstGeom>
                  </pic:spPr>
                </pic:pic>
              </a:graphicData>
            </a:graphic>
          </wp:inline>
        </w:drawing>
      </w:r>
    </w:p>
    <w:p w14:paraId="62E26608" w14:textId="5D3E92C9" w:rsidR="006541AA" w:rsidRPr="004436A2" w:rsidRDefault="006541AA" w:rsidP="004436A2">
      <w:pPr>
        <w:pStyle w:val="CETTabletitle"/>
        <w:spacing w:before="80" w:after="240"/>
        <w:rPr>
          <w:rStyle w:val="CETCaptionCarattere"/>
        </w:rPr>
      </w:pPr>
      <w:r w:rsidRPr="00F7670C">
        <w:rPr>
          <w:rStyle w:val="CETCaptionCarattere"/>
        </w:rPr>
        <w:t xml:space="preserve">Figure 2: </w:t>
      </w:r>
      <w:r w:rsidR="00F7670C" w:rsidRPr="00F7670C">
        <w:rPr>
          <w:i w:val="0"/>
        </w:rPr>
        <w:t xml:space="preserve">Annual </w:t>
      </w:r>
      <w:r w:rsidR="00F7670C" w:rsidRPr="00F7670C">
        <w:rPr>
          <w:i w:val="0"/>
        </w:rPr>
        <w:t>GHG</w:t>
      </w:r>
      <w:r w:rsidR="00F7670C" w:rsidRPr="00F7670C">
        <w:rPr>
          <w:i w:val="0"/>
        </w:rPr>
        <w:t xml:space="preserve"> emissions from HD Diesel and H</w:t>
      </w:r>
      <w:r w:rsidR="00F7670C" w:rsidRPr="00F7670C">
        <w:rPr>
          <w:i w:val="0"/>
        </w:rPr>
        <w:t>FCVs</w:t>
      </w:r>
      <w:r w:rsidR="00F7670C" w:rsidRPr="00F7670C">
        <w:rPr>
          <w:i w:val="0"/>
        </w:rPr>
        <w:t xml:space="preserve"> Vehicles</w:t>
      </w:r>
      <w:r w:rsidR="00F7670C" w:rsidRPr="00F7670C">
        <w:rPr>
          <w:i w:val="0"/>
        </w:rPr>
        <w:t>.</w:t>
      </w:r>
    </w:p>
    <w:p w14:paraId="479BCEA0" w14:textId="39598E3E" w:rsidR="00981E7A" w:rsidRDefault="00754836" w:rsidP="00D23BE4">
      <w:pPr>
        <w:pStyle w:val="CETEquation"/>
        <w:jc w:val="both"/>
      </w:pPr>
      <w:r w:rsidRPr="00754836">
        <w:t xml:space="preserve">A breakeven analysis was conducted to identify the hydrogen price at which TCO for HFCVs becomes equal to that of diesel vehicles. As shown in Figure 3, the breakeven point is reached when the LCOH falls to approximately </w:t>
      </w:r>
      <w:r w:rsidR="00882C08">
        <w:t>US$ 3</w:t>
      </w:r>
      <w:r w:rsidRPr="00754836">
        <w:t>.</w:t>
      </w:r>
      <w:r w:rsidR="00882C08">
        <w:t xml:space="preserve">86 </w:t>
      </w:r>
      <w:r w:rsidRPr="00754836">
        <w:t>/kg, under the given vehicle and operational assumptions. This benchmark provides a clear signal for policymakers and investors regarding the economic competitiveness threshold for hydrogen adoption in the heavy transport sector.</w:t>
      </w:r>
    </w:p>
    <w:p w14:paraId="60C5409C" w14:textId="1832DBCB" w:rsidR="00981E7A" w:rsidRDefault="00981E7A" w:rsidP="006541AA">
      <w:pPr>
        <w:pStyle w:val="CETListbullets"/>
        <w:ind w:left="113" w:firstLine="0"/>
        <w:jc w:val="left"/>
      </w:pPr>
      <w:r>
        <w:rPr>
          <w:noProof/>
          <w:lang w:val="pt-BR" w:eastAsia="pt-BR"/>
        </w:rPr>
        <w:drawing>
          <wp:inline distT="0" distB="0" distL="0" distR="0" wp14:anchorId="7C35A634" wp14:editId="2DB2ED38">
            <wp:extent cx="3709983" cy="2268855"/>
            <wp:effectExtent l="0" t="0" r="5080" b="0"/>
            <wp:docPr id="2270133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13338" name="Imagem 2"/>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3729469" cy="2280772"/>
                    </a:xfrm>
                    <a:prstGeom prst="rect">
                      <a:avLst/>
                    </a:prstGeom>
                  </pic:spPr>
                </pic:pic>
              </a:graphicData>
            </a:graphic>
          </wp:inline>
        </w:drawing>
      </w:r>
    </w:p>
    <w:p w14:paraId="2A0AD25E" w14:textId="38476E92" w:rsidR="000A36E0" w:rsidRPr="00F7670C" w:rsidRDefault="000A36E0" w:rsidP="004436A2">
      <w:pPr>
        <w:pStyle w:val="CETTabletitle"/>
        <w:spacing w:before="80" w:after="240"/>
        <w:rPr>
          <w:i w:val="0"/>
        </w:rPr>
      </w:pPr>
      <w:r w:rsidRPr="00F7670C">
        <w:rPr>
          <w:rStyle w:val="CETCaptionCarattere"/>
        </w:rPr>
        <w:t xml:space="preserve">Figure 3: </w:t>
      </w:r>
      <w:r w:rsidR="00F7670C" w:rsidRPr="00F7670C">
        <w:rPr>
          <w:i w:val="0"/>
        </w:rPr>
        <w:t xml:space="preserve">Breakeven analysis between Diesel and </w:t>
      </w:r>
      <w:r w:rsidR="00F7670C" w:rsidRPr="00F7670C">
        <w:rPr>
          <w:i w:val="0"/>
        </w:rPr>
        <w:t>HFCV</w:t>
      </w:r>
      <w:r w:rsidR="00F7670C" w:rsidRPr="00F7670C">
        <w:rPr>
          <w:i w:val="0"/>
        </w:rPr>
        <w:t xml:space="preserve"> Vehicles based on the LCOH</w:t>
      </w:r>
      <w:r w:rsidR="006541AA" w:rsidRPr="00F7670C">
        <w:rPr>
          <w:rStyle w:val="CETCaptionCarattere"/>
        </w:rPr>
        <w:t>.</w:t>
      </w:r>
    </w:p>
    <w:p w14:paraId="0846B536" w14:textId="2AD7511D" w:rsidR="00420657" w:rsidRPr="00D23BE4" w:rsidRDefault="00D23BE4" w:rsidP="00D23BE4">
      <w:pPr>
        <w:pStyle w:val="CETEquation"/>
        <w:jc w:val="both"/>
        <w:rPr>
          <w:i/>
        </w:rPr>
      </w:pPr>
      <w:r w:rsidRPr="00D23BE4">
        <w:t>To further understand the evolution of this breakeven point, a multiperiod sensitivity analysis was performed. Table 3 and Figures 4 and 5 present projections for diesel prices, carbon prices, and hydrogen costs over a 20-year horizon, under both a base case (BC) and an alternative scenario (SC 1). In the base case—assuming progressive increases in diesel and carbon prices and a decline in LCOH—HFCVs become increasingly viable after 2040. Conversely, in scenario SC 1, where LCOH increases over time, the economic case for hydrogen adoption weakens significantly.</w:t>
      </w:r>
    </w:p>
    <w:p w14:paraId="28583B74" w14:textId="51D22453" w:rsidR="00420657" w:rsidRPr="00B57B36" w:rsidRDefault="00420657" w:rsidP="00420657">
      <w:pPr>
        <w:pStyle w:val="CETTabletitle"/>
      </w:pPr>
      <w:r w:rsidRPr="00B57B36">
        <w:t xml:space="preserve">Table </w:t>
      </w:r>
      <w:r w:rsidR="00A85A53">
        <w:t>3</w:t>
      </w:r>
      <w:r w:rsidRPr="00B57B36">
        <w:t xml:space="preserve">: </w:t>
      </w:r>
      <w:r w:rsidR="006541AA">
        <w:t>Multiperiod sensitivity analysis projections.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380"/>
        <w:gridCol w:w="731"/>
        <w:gridCol w:w="709"/>
        <w:gridCol w:w="709"/>
        <w:gridCol w:w="567"/>
        <w:gridCol w:w="802"/>
        <w:gridCol w:w="1889"/>
      </w:tblGrid>
      <w:tr w:rsidR="004945E9" w:rsidRPr="00B57B36" w14:paraId="66F19462" w14:textId="570F54B2" w:rsidTr="0089667C">
        <w:tc>
          <w:tcPr>
            <w:tcW w:w="3380" w:type="dxa"/>
            <w:tcBorders>
              <w:top w:val="single" w:sz="12" w:space="0" w:color="008000"/>
              <w:bottom w:val="single" w:sz="6" w:space="0" w:color="008000"/>
            </w:tcBorders>
            <w:shd w:val="clear" w:color="auto" w:fill="FFFFFF"/>
          </w:tcPr>
          <w:p w14:paraId="5BED909A" w14:textId="4EC014AE" w:rsidR="00420657" w:rsidRPr="00B57B36" w:rsidRDefault="00420657" w:rsidP="009D5A8C">
            <w:pPr>
              <w:pStyle w:val="CETBodytext"/>
              <w:rPr>
                <w:lang w:val="en-GB"/>
              </w:rPr>
            </w:pPr>
            <w:r w:rsidRPr="00B57B36">
              <w:rPr>
                <w:lang w:val="en-GB"/>
              </w:rPr>
              <w:t xml:space="preserve"> </w:t>
            </w:r>
          </w:p>
        </w:tc>
        <w:tc>
          <w:tcPr>
            <w:tcW w:w="731" w:type="dxa"/>
            <w:tcBorders>
              <w:top w:val="single" w:sz="12" w:space="0" w:color="008000"/>
              <w:bottom w:val="single" w:sz="6" w:space="0" w:color="008000"/>
            </w:tcBorders>
            <w:shd w:val="clear" w:color="auto" w:fill="FFFFFF"/>
          </w:tcPr>
          <w:p w14:paraId="43D15E61" w14:textId="049EAF2B" w:rsidR="00420657" w:rsidRPr="006541AA" w:rsidRDefault="00420657" w:rsidP="004945E9">
            <w:pPr>
              <w:pStyle w:val="CETBodytext"/>
              <w:jc w:val="center"/>
              <w:rPr>
                <w:b/>
                <w:bCs/>
                <w:lang w:val="en-GB"/>
              </w:rPr>
            </w:pPr>
            <w:r w:rsidRPr="006541AA">
              <w:rPr>
                <w:b/>
                <w:bCs/>
                <w:lang w:val="en-GB"/>
              </w:rPr>
              <w:t>2030</w:t>
            </w:r>
          </w:p>
        </w:tc>
        <w:tc>
          <w:tcPr>
            <w:tcW w:w="709" w:type="dxa"/>
            <w:tcBorders>
              <w:top w:val="single" w:sz="12" w:space="0" w:color="008000"/>
              <w:bottom w:val="single" w:sz="6" w:space="0" w:color="008000"/>
            </w:tcBorders>
            <w:shd w:val="clear" w:color="auto" w:fill="FFFFFF"/>
          </w:tcPr>
          <w:p w14:paraId="521E816F" w14:textId="153369D9" w:rsidR="00420657" w:rsidRPr="006541AA" w:rsidRDefault="00420657" w:rsidP="004945E9">
            <w:pPr>
              <w:pStyle w:val="CETBodytext"/>
              <w:jc w:val="center"/>
              <w:rPr>
                <w:b/>
                <w:bCs/>
                <w:lang w:val="en-GB"/>
              </w:rPr>
            </w:pPr>
            <w:r w:rsidRPr="006541AA">
              <w:rPr>
                <w:b/>
                <w:bCs/>
                <w:lang w:val="en-GB"/>
              </w:rPr>
              <w:t>2035</w:t>
            </w:r>
          </w:p>
        </w:tc>
        <w:tc>
          <w:tcPr>
            <w:tcW w:w="709" w:type="dxa"/>
            <w:tcBorders>
              <w:top w:val="single" w:sz="12" w:space="0" w:color="008000"/>
              <w:bottom w:val="single" w:sz="6" w:space="0" w:color="008000"/>
            </w:tcBorders>
            <w:shd w:val="clear" w:color="auto" w:fill="FFFFFF"/>
          </w:tcPr>
          <w:p w14:paraId="77586320" w14:textId="28BF69CB" w:rsidR="00420657" w:rsidRPr="006541AA" w:rsidRDefault="00420657" w:rsidP="004945E9">
            <w:pPr>
              <w:pStyle w:val="CETBodytext"/>
              <w:ind w:right="-1"/>
              <w:jc w:val="center"/>
              <w:rPr>
                <w:rFonts w:cs="Arial"/>
                <w:b/>
                <w:bCs/>
                <w:szCs w:val="18"/>
                <w:lang w:val="en-GB"/>
              </w:rPr>
            </w:pPr>
            <w:r w:rsidRPr="006541AA">
              <w:rPr>
                <w:rFonts w:cs="Arial"/>
                <w:b/>
                <w:bCs/>
                <w:szCs w:val="18"/>
                <w:lang w:val="en-GB"/>
              </w:rPr>
              <w:t>2040</w:t>
            </w:r>
          </w:p>
        </w:tc>
        <w:tc>
          <w:tcPr>
            <w:tcW w:w="567" w:type="dxa"/>
            <w:tcBorders>
              <w:top w:val="single" w:sz="12" w:space="0" w:color="008000"/>
              <w:bottom w:val="single" w:sz="6" w:space="0" w:color="008000"/>
            </w:tcBorders>
            <w:shd w:val="clear" w:color="auto" w:fill="FFFFFF"/>
          </w:tcPr>
          <w:p w14:paraId="14DFC0BB" w14:textId="5C25FEE8" w:rsidR="00420657" w:rsidRPr="006541AA" w:rsidRDefault="00420657" w:rsidP="004945E9">
            <w:pPr>
              <w:pStyle w:val="CETBodytext"/>
              <w:ind w:right="-1"/>
              <w:jc w:val="center"/>
              <w:rPr>
                <w:rFonts w:cs="Arial"/>
                <w:b/>
                <w:bCs/>
                <w:szCs w:val="18"/>
                <w:lang w:val="en-GB"/>
              </w:rPr>
            </w:pPr>
            <w:r w:rsidRPr="006541AA">
              <w:rPr>
                <w:rFonts w:cs="Arial"/>
                <w:b/>
                <w:bCs/>
                <w:szCs w:val="18"/>
                <w:lang w:val="en-GB"/>
              </w:rPr>
              <w:t>2045</w:t>
            </w:r>
          </w:p>
        </w:tc>
        <w:tc>
          <w:tcPr>
            <w:tcW w:w="802" w:type="dxa"/>
            <w:tcBorders>
              <w:top w:val="single" w:sz="12" w:space="0" w:color="008000"/>
              <w:bottom w:val="single" w:sz="6" w:space="0" w:color="008000"/>
            </w:tcBorders>
            <w:shd w:val="clear" w:color="auto" w:fill="FFFFFF"/>
          </w:tcPr>
          <w:p w14:paraId="02311419" w14:textId="0971CE67" w:rsidR="00420657" w:rsidRPr="006541AA" w:rsidRDefault="00420657" w:rsidP="004945E9">
            <w:pPr>
              <w:pStyle w:val="CETBodytext"/>
              <w:ind w:right="-1"/>
              <w:jc w:val="center"/>
              <w:rPr>
                <w:rFonts w:cs="Arial"/>
                <w:b/>
                <w:bCs/>
                <w:szCs w:val="18"/>
                <w:lang w:val="en-GB"/>
              </w:rPr>
            </w:pPr>
            <w:r w:rsidRPr="006541AA">
              <w:rPr>
                <w:rFonts w:cs="Arial"/>
                <w:b/>
                <w:bCs/>
                <w:szCs w:val="18"/>
                <w:lang w:val="en-GB"/>
              </w:rPr>
              <w:t>2050</w:t>
            </w:r>
          </w:p>
        </w:tc>
        <w:tc>
          <w:tcPr>
            <w:tcW w:w="1889" w:type="dxa"/>
            <w:tcBorders>
              <w:top w:val="single" w:sz="12" w:space="0" w:color="008000"/>
              <w:bottom w:val="single" w:sz="6" w:space="0" w:color="008000"/>
            </w:tcBorders>
            <w:shd w:val="clear" w:color="auto" w:fill="FFFFFF"/>
          </w:tcPr>
          <w:p w14:paraId="2FDCB7FC" w14:textId="3E271CAB" w:rsidR="00420657" w:rsidRPr="006541AA" w:rsidRDefault="00420657" w:rsidP="009D5A8C">
            <w:pPr>
              <w:pStyle w:val="CETBodytext"/>
              <w:ind w:right="-1"/>
              <w:rPr>
                <w:rFonts w:cs="Arial"/>
                <w:b/>
                <w:bCs/>
                <w:szCs w:val="18"/>
                <w:lang w:val="en-GB"/>
              </w:rPr>
            </w:pPr>
            <w:r w:rsidRPr="006541AA">
              <w:rPr>
                <w:rFonts w:cs="Arial"/>
                <w:b/>
                <w:bCs/>
                <w:szCs w:val="18"/>
                <w:lang w:val="en-GB"/>
              </w:rPr>
              <w:t>Reference</w:t>
            </w:r>
          </w:p>
        </w:tc>
      </w:tr>
      <w:tr w:rsidR="004945E9" w:rsidRPr="00B57B36" w14:paraId="40C86B1B" w14:textId="418AFB2B" w:rsidTr="0089667C">
        <w:tc>
          <w:tcPr>
            <w:tcW w:w="3380" w:type="dxa"/>
            <w:shd w:val="clear" w:color="auto" w:fill="FFFFFF"/>
          </w:tcPr>
          <w:p w14:paraId="5CD65442" w14:textId="685A74D6" w:rsidR="00420657" w:rsidRPr="00420657" w:rsidRDefault="00420657" w:rsidP="009D5A8C">
            <w:pPr>
              <w:pStyle w:val="CETBodytext"/>
              <w:rPr>
                <w:lang w:val="en-GB"/>
              </w:rPr>
            </w:pPr>
            <w:r>
              <w:rPr>
                <w:lang w:val="en-GB"/>
              </w:rPr>
              <w:t>Carbon price projections (US$/tonCO</w:t>
            </w:r>
            <w:r>
              <w:rPr>
                <w:vertAlign w:val="subscript"/>
                <w:lang w:val="en-GB"/>
              </w:rPr>
              <w:t>2</w:t>
            </w:r>
            <w:r>
              <w:rPr>
                <w:lang w:val="en-GB"/>
              </w:rPr>
              <w:t>eq)</w:t>
            </w:r>
          </w:p>
        </w:tc>
        <w:tc>
          <w:tcPr>
            <w:tcW w:w="731" w:type="dxa"/>
            <w:shd w:val="clear" w:color="auto" w:fill="FFFFFF"/>
          </w:tcPr>
          <w:p w14:paraId="256B4DF5" w14:textId="1A722CA3" w:rsidR="00420657" w:rsidRPr="00B57B36" w:rsidRDefault="00420657" w:rsidP="004945E9">
            <w:pPr>
              <w:pStyle w:val="CETBodytext"/>
              <w:jc w:val="center"/>
              <w:rPr>
                <w:lang w:val="en-GB"/>
              </w:rPr>
            </w:pPr>
            <w:r>
              <w:rPr>
                <w:lang w:val="en-GB"/>
              </w:rPr>
              <w:t>90.00</w:t>
            </w:r>
          </w:p>
        </w:tc>
        <w:tc>
          <w:tcPr>
            <w:tcW w:w="709" w:type="dxa"/>
            <w:shd w:val="clear" w:color="auto" w:fill="FFFFFF"/>
          </w:tcPr>
          <w:p w14:paraId="209A6BA6" w14:textId="00306C7C" w:rsidR="00420657" w:rsidRPr="00B57B36" w:rsidRDefault="00420657" w:rsidP="004945E9">
            <w:pPr>
              <w:pStyle w:val="CETBodytext"/>
              <w:jc w:val="center"/>
              <w:rPr>
                <w:lang w:val="en-GB"/>
              </w:rPr>
            </w:pPr>
            <w:r>
              <w:rPr>
                <w:lang w:val="en-GB"/>
              </w:rPr>
              <w:t>110.00</w:t>
            </w:r>
          </w:p>
        </w:tc>
        <w:tc>
          <w:tcPr>
            <w:tcW w:w="709" w:type="dxa"/>
            <w:shd w:val="clear" w:color="auto" w:fill="FFFFFF"/>
          </w:tcPr>
          <w:p w14:paraId="5F208942" w14:textId="1F692AFE" w:rsidR="00420657" w:rsidRPr="00B57B36" w:rsidRDefault="00420657" w:rsidP="004945E9">
            <w:pPr>
              <w:pStyle w:val="CETBodytext"/>
              <w:ind w:right="-1"/>
              <w:jc w:val="center"/>
              <w:rPr>
                <w:rFonts w:cs="Arial"/>
                <w:szCs w:val="18"/>
                <w:lang w:val="en-GB"/>
              </w:rPr>
            </w:pPr>
            <w:r>
              <w:rPr>
                <w:rFonts w:cs="Arial"/>
                <w:szCs w:val="18"/>
                <w:lang w:val="en-GB"/>
              </w:rPr>
              <w:t>130.00</w:t>
            </w:r>
          </w:p>
        </w:tc>
        <w:tc>
          <w:tcPr>
            <w:tcW w:w="567" w:type="dxa"/>
            <w:shd w:val="clear" w:color="auto" w:fill="FFFFFF"/>
          </w:tcPr>
          <w:p w14:paraId="7E3E8D87" w14:textId="7EC3688B" w:rsidR="00420657" w:rsidRPr="00B57B36" w:rsidRDefault="00420657" w:rsidP="004945E9">
            <w:pPr>
              <w:pStyle w:val="CETBodytext"/>
              <w:ind w:right="-1"/>
              <w:jc w:val="center"/>
              <w:rPr>
                <w:rFonts w:cs="Arial"/>
                <w:szCs w:val="18"/>
                <w:lang w:val="en-GB"/>
              </w:rPr>
            </w:pPr>
            <w:r>
              <w:rPr>
                <w:rFonts w:cs="Arial"/>
                <w:szCs w:val="18"/>
                <w:lang w:val="en-GB"/>
              </w:rPr>
              <w:t>142.50</w:t>
            </w:r>
          </w:p>
        </w:tc>
        <w:tc>
          <w:tcPr>
            <w:tcW w:w="802" w:type="dxa"/>
            <w:shd w:val="clear" w:color="auto" w:fill="FFFFFF"/>
          </w:tcPr>
          <w:p w14:paraId="0BD26915" w14:textId="15A0E909" w:rsidR="00420657" w:rsidRPr="00B57B36" w:rsidRDefault="00420657" w:rsidP="004945E9">
            <w:pPr>
              <w:pStyle w:val="CETBodytext"/>
              <w:ind w:right="-1"/>
              <w:jc w:val="center"/>
              <w:rPr>
                <w:rFonts w:cs="Arial"/>
                <w:szCs w:val="18"/>
                <w:lang w:val="en-GB"/>
              </w:rPr>
            </w:pPr>
            <w:r>
              <w:rPr>
                <w:rFonts w:cs="Arial"/>
                <w:szCs w:val="18"/>
                <w:lang w:val="en-GB"/>
              </w:rPr>
              <w:t>155.00</w:t>
            </w:r>
          </w:p>
        </w:tc>
        <w:tc>
          <w:tcPr>
            <w:tcW w:w="1889" w:type="dxa"/>
            <w:shd w:val="clear" w:color="auto" w:fill="FFFFFF"/>
          </w:tcPr>
          <w:p w14:paraId="2215F08B" w14:textId="0E24D961" w:rsidR="00420657" w:rsidRPr="00B57B36" w:rsidRDefault="00420657" w:rsidP="009D5A8C">
            <w:pPr>
              <w:pStyle w:val="CETBodytext"/>
              <w:ind w:right="-1"/>
              <w:rPr>
                <w:rFonts w:cs="Arial"/>
                <w:szCs w:val="18"/>
                <w:lang w:val="en-GB"/>
              </w:rPr>
            </w:pPr>
            <w:r>
              <w:rPr>
                <w:rFonts w:cs="Arial"/>
                <w:szCs w:val="18"/>
                <w:lang w:val="en-GB"/>
              </w:rPr>
              <w:t>Almaraz</w:t>
            </w:r>
            <w:r w:rsidR="0089667C">
              <w:rPr>
                <w:rFonts w:cs="Arial"/>
                <w:szCs w:val="18"/>
                <w:lang w:val="en-GB"/>
              </w:rPr>
              <w:t xml:space="preserve"> </w:t>
            </w:r>
            <w:r w:rsidR="0089667C">
              <w:rPr>
                <w:rFonts w:cs="Arial"/>
                <w:szCs w:val="18"/>
              </w:rPr>
              <w:t>et al. (2022)</w:t>
            </w:r>
          </w:p>
        </w:tc>
      </w:tr>
      <w:tr w:rsidR="00653239" w:rsidRPr="00B57B36" w14:paraId="4C114626" w14:textId="77777777" w:rsidTr="0089667C">
        <w:tc>
          <w:tcPr>
            <w:tcW w:w="3380" w:type="dxa"/>
            <w:shd w:val="clear" w:color="auto" w:fill="FFFFFF"/>
          </w:tcPr>
          <w:p w14:paraId="49B73566" w14:textId="3C477519" w:rsidR="00653239" w:rsidRDefault="00653239" w:rsidP="009D5A8C">
            <w:pPr>
              <w:pStyle w:val="CETBodytext"/>
              <w:ind w:right="-1"/>
              <w:rPr>
                <w:rFonts w:cs="Arial"/>
                <w:szCs w:val="18"/>
                <w:lang w:val="en-GB"/>
              </w:rPr>
            </w:pPr>
            <w:r>
              <w:rPr>
                <w:rFonts w:cs="Arial"/>
                <w:szCs w:val="18"/>
                <w:lang w:val="en-GB"/>
              </w:rPr>
              <w:t>Diesel Price projections Base Case (R$/ l)</w:t>
            </w:r>
          </w:p>
        </w:tc>
        <w:tc>
          <w:tcPr>
            <w:tcW w:w="731" w:type="dxa"/>
            <w:shd w:val="clear" w:color="auto" w:fill="FFFFFF"/>
          </w:tcPr>
          <w:p w14:paraId="14885A75" w14:textId="3E97A891" w:rsidR="00653239" w:rsidRPr="00B57B36" w:rsidRDefault="00653239" w:rsidP="00420657">
            <w:pPr>
              <w:pStyle w:val="CETBodytext"/>
              <w:ind w:right="-1"/>
              <w:jc w:val="center"/>
              <w:rPr>
                <w:rFonts w:cs="Arial"/>
                <w:szCs w:val="18"/>
                <w:lang w:val="en-GB"/>
              </w:rPr>
            </w:pPr>
            <w:r>
              <w:rPr>
                <w:rFonts w:cs="Arial"/>
                <w:szCs w:val="18"/>
                <w:lang w:val="en-GB"/>
              </w:rPr>
              <w:t>7.00</w:t>
            </w:r>
          </w:p>
        </w:tc>
        <w:tc>
          <w:tcPr>
            <w:tcW w:w="709" w:type="dxa"/>
            <w:shd w:val="clear" w:color="auto" w:fill="FFFFFF"/>
          </w:tcPr>
          <w:p w14:paraId="4E02EA28" w14:textId="3F93F576" w:rsidR="00653239" w:rsidRPr="00B57B36" w:rsidRDefault="00653239" w:rsidP="00420657">
            <w:pPr>
              <w:pStyle w:val="CETBodytext"/>
              <w:ind w:right="-1"/>
              <w:jc w:val="center"/>
              <w:rPr>
                <w:rFonts w:cs="Arial"/>
                <w:szCs w:val="18"/>
                <w:lang w:val="en-GB"/>
              </w:rPr>
            </w:pPr>
            <w:r>
              <w:rPr>
                <w:rFonts w:cs="Arial"/>
                <w:szCs w:val="18"/>
                <w:lang w:val="en-GB"/>
              </w:rPr>
              <w:t>8.00</w:t>
            </w:r>
          </w:p>
        </w:tc>
        <w:tc>
          <w:tcPr>
            <w:tcW w:w="709" w:type="dxa"/>
            <w:shd w:val="clear" w:color="auto" w:fill="FFFFFF"/>
          </w:tcPr>
          <w:p w14:paraId="60DDEE73" w14:textId="24D0204E" w:rsidR="00653239" w:rsidRPr="00B57B36" w:rsidRDefault="00653239" w:rsidP="00420657">
            <w:pPr>
              <w:pStyle w:val="CETBodytext"/>
              <w:ind w:right="-1"/>
              <w:jc w:val="center"/>
              <w:rPr>
                <w:rFonts w:cs="Arial"/>
                <w:szCs w:val="18"/>
                <w:lang w:val="en-GB"/>
              </w:rPr>
            </w:pPr>
            <w:r>
              <w:rPr>
                <w:rFonts w:cs="Arial"/>
                <w:szCs w:val="18"/>
                <w:lang w:val="en-GB"/>
              </w:rPr>
              <w:t>9.00</w:t>
            </w:r>
          </w:p>
        </w:tc>
        <w:tc>
          <w:tcPr>
            <w:tcW w:w="567" w:type="dxa"/>
            <w:shd w:val="clear" w:color="auto" w:fill="FFFFFF"/>
          </w:tcPr>
          <w:p w14:paraId="3D119D86" w14:textId="48BBA4EC" w:rsidR="00653239" w:rsidRPr="00B57B36" w:rsidRDefault="00653239" w:rsidP="00420657">
            <w:pPr>
              <w:pStyle w:val="CETBodytext"/>
              <w:ind w:right="-1"/>
              <w:jc w:val="center"/>
              <w:rPr>
                <w:rFonts w:cs="Arial"/>
                <w:szCs w:val="18"/>
                <w:lang w:val="en-GB"/>
              </w:rPr>
            </w:pPr>
            <w:r>
              <w:rPr>
                <w:rFonts w:cs="Arial"/>
                <w:szCs w:val="18"/>
                <w:lang w:val="en-GB"/>
              </w:rPr>
              <w:t>10.00</w:t>
            </w:r>
          </w:p>
        </w:tc>
        <w:tc>
          <w:tcPr>
            <w:tcW w:w="802" w:type="dxa"/>
            <w:shd w:val="clear" w:color="auto" w:fill="FFFFFF"/>
          </w:tcPr>
          <w:p w14:paraId="67D4FF29" w14:textId="61D5860E" w:rsidR="00653239" w:rsidRPr="00B57B36" w:rsidRDefault="00653239" w:rsidP="00420657">
            <w:pPr>
              <w:pStyle w:val="CETBodytext"/>
              <w:ind w:right="-1"/>
              <w:jc w:val="center"/>
              <w:rPr>
                <w:rFonts w:cs="Arial"/>
                <w:szCs w:val="18"/>
                <w:lang w:val="en-GB"/>
              </w:rPr>
            </w:pPr>
            <w:r>
              <w:rPr>
                <w:rFonts w:cs="Arial"/>
                <w:szCs w:val="18"/>
                <w:lang w:val="en-GB"/>
              </w:rPr>
              <w:t>11.00</w:t>
            </w:r>
          </w:p>
        </w:tc>
        <w:tc>
          <w:tcPr>
            <w:tcW w:w="1889" w:type="dxa"/>
            <w:shd w:val="clear" w:color="auto" w:fill="FFFFFF"/>
          </w:tcPr>
          <w:p w14:paraId="714DADCB" w14:textId="77777777" w:rsidR="00653239" w:rsidRDefault="00653239" w:rsidP="009D5A8C">
            <w:pPr>
              <w:pStyle w:val="CETBodytext"/>
              <w:ind w:right="-1"/>
              <w:rPr>
                <w:rFonts w:cs="Arial"/>
                <w:szCs w:val="18"/>
                <w:lang w:val="en-GB"/>
              </w:rPr>
            </w:pPr>
          </w:p>
        </w:tc>
      </w:tr>
      <w:tr w:rsidR="004945E9" w:rsidRPr="00B57B36" w14:paraId="17174277" w14:textId="3EB9DAE4" w:rsidTr="0089667C">
        <w:tc>
          <w:tcPr>
            <w:tcW w:w="3380" w:type="dxa"/>
            <w:shd w:val="clear" w:color="auto" w:fill="FFFFFF"/>
          </w:tcPr>
          <w:p w14:paraId="63C1B669" w14:textId="42067600" w:rsidR="00420657" w:rsidRPr="00420657" w:rsidRDefault="00420657" w:rsidP="009D5A8C">
            <w:pPr>
              <w:pStyle w:val="CETBodytext"/>
              <w:ind w:right="-1"/>
              <w:rPr>
                <w:rFonts w:cs="Arial"/>
                <w:szCs w:val="18"/>
                <w:lang w:val="en-GB"/>
              </w:rPr>
            </w:pPr>
            <w:r>
              <w:rPr>
                <w:rFonts w:cs="Arial"/>
                <w:szCs w:val="18"/>
                <w:lang w:val="en-GB"/>
              </w:rPr>
              <w:t>LCOH projections Base case (US$/kgH</w:t>
            </w:r>
            <w:r>
              <w:rPr>
                <w:rFonts w:cs="Arial"/>
                <w:szCs w:val="18"/>
                <w:vertAlign w:val="subscript"/>
                <w:lang w:val="en-GB"/>
              </w:rPr>
              <w:t>2</w:t>
            </w:r>
            <w:r>
              <w:rPr>
                <w:rFonts w:cs="Arial"/>
                <w:szCs w:val="18"/>
                <w:lang w:val="en-GB"/>
              </w:rPr>
              <w:t>)</w:t>
            </w:r>
          </w:p>
        </w:tc>
        <w:tc>
          <w:tcPr>
            <w:tcW w:w="731" w:type="dxa"/>
            <w:shd w:val="clear" w:color="auto" w:fill="FFFFFF"/>
          </w:tcPr>
          <w:p w14:paraId="197FBE8D" w14:textId="44DFC066" w:rsidR="00420657" w:rsidRPr="00B57B36" w:rsidRDefault="00AD3070" w:rsidP="00AD3070">
            <w:pPr>
              <w:pStyle w:val="CETBodytext"/>
              <w:ind w:right="-1"/>
              <w:jc w:val="center"/>
              <w:rPr>
                <w:rFonts w:cs="Arial"/>
                <w:szCs w:val="18"/>
                <w:lang w:val="en-GB"/>
              </w:rPr>
            </w:pPr>
            <w:r>
              <w:rPr>
                <w:rFonts w:cs="Arial"/>
                <w:szCs w:val="18"/>
                <w:lang w:val="en-GB"/>
              </w:rPr>
              <w:t>16.12</w:t>
            </w:r>
          </w:p>
        </w:tc>
        <w:tc>
          <w:tcPr>
            <w:tcW w:w="709" w:type="dxa"/>
            <w:shd w:val="clear" w:color="auto" w:fill="FFFFFF"/>
          </w:tcPr>
          <w:p w14:paraId="54BDE9FC" w14:textId="6C5D3D7A" w:rsidR="00420657" w:rsidRPr="00B57B36" w:rsidRDefault="00AD3070" w:rsidP="00AD3070">
            <w:pPr>
              <w:pStyle w:val="CETBodytext"/>
              <w:ind w:right="-1"/>
              <w:jc w:val="center"/>
              <w:rPr>
                <w:rFonts w:cs="Arial"/>
                <w:szCs w:val="18"/>
                <w:lang w:val="en-GB"/>
              </w:rPr>
            </w:pPr>
            <w:r>
              <w:rPr>
                <w:rFonts w:cs="Arial"/>
                <w:szCs w:val="18"/>
                <w:lang w:val="en-GB"/>
              </w:rPr>
              <w:t>12.27</w:t>
            </w:r>
          </w:p>
        </w:tc>
        <w:tc>
          <w:tcPr>
            <w:tcW w:w="709" w:type="dxa"/>
            <w:shd w:val="clear" w:color="auto" w:fill="FFFFFF"/>
          </w:tcPr>
          <w:p w14:paraId="14C63C52" w14:textId="77EDEB4E" w:rsidR="00420657" w:rsidRPr="00B57B36" w:rsidRDefault="00AD3070" w:rsidP="00AD3070">
            <w:pPr>
              <w:pStyle w:val="CETBodytext"/>
              <w:ind w:right="-1"/>
              <w:jc w:val="center"/>
              <w:rPr>
                <w:rFonts w:cs="Arial"/>
                <w:szCs w:val="18"/>
                <w:lang w:val="en-GB"/>
              </w:rPr>
            </w:pPr>
            <w:r>
              <w:rPr>
                <w:rFonts w:cs="Arial"/>
                <w:szCs w:val="18"/>
                <w:lang w:val="en-GB"/>
              </w:rPr>
              <w:t>8.42</w:t>
            </w:r>
          </w:p>
        </w:tc>
        <w:tc>
          <w:tcPr>
            <w:tcW w:w="567" w:type="dxa"/>
            <w:shd w:val="clear" w:color="auto" w:fill="FFFFFF"/>
          </w:tcPr>
          <w:p w14:paraId="1404CC1D" w14:textId="0B9D5F45" w:rsidR="00420657" w:rsidRPr="00B57B36" w:rsidRDefault="00AD3070" w:rsidP="00AD3070">
            <w:pPr>
              <w:pStyle w:val="CETBodytext"/>
              <w:ind w:right="-1"/>
              <w:jc w:val="center"/>
              <w:rPr>
                <w:rFonts w:cs="Arial"/>
                <w:szCs w:val="18"/>
                <w:lang w:val="en-GB"/>
              </w:rPr>
            </w:pPr>
            <w:r>
              <w:rPr>
                <w:rFonts w:cs="Arial"/>
                <w:szCs w:val="18"/>
                <w:lang w:val="en-GB"/>
              </w:rPr>
              <w:t>4.58</w:t>
            </w:r>
          </w:p>
        </w:tc>
        <w:tc>
          <w:tcPr>
            <w:tcW w:w="802" w:type="dxa"/>
            <w:shd w:val="clear" w:color="auto" w:fill="FFFFFF"/>
          </w:tcPr>
          <w:p w14:paraId="7B0F20DC" w14:textId="2C6CED41" w:rsidR="00420657" w:rsidRPr="00B57B36" w:rsidRDefault="00AD3070" w:rsidP="00AD3070">
            <w:pPr>
              <w:pStyle w:val="CETBodytext"/>
              <w:ind w:right="-1"/>
              <w:jc w:val="center"/>
              <w:rPr>
                <w:rFonts w:cs="Arial"/>
                <w:szCs w:val="18"/>
                <w:lang w:val="en-GB"/>
              </w:rPr>
            </w:pPr>
            <w:r>
              <w:rPr>
                <w:rFonts w:cs="Arial"/>
                <w:szCs w:val="18"/>
                <w:lang w:val="en-GB"/>
              </w:rPr>
              <w:t>2.65</w:t>
            </w:r>
          </w:p>
        </w:tc>
        <w:tc>
          <w:tcPr>
            <w:tcW w:w="1889" w:type="dxa"/>
            <w:shd w:val="clear" w:color="auto" w:fill="FFFFFF"/>
          </w:tcPr>
          <w:p w14:paraId="0E6C956E" w14:textId="1D5EFD35" w:rsidR="00420657" w:rsidRPr="00B57B36" w:rsidRDefault="00420657" w:rsidP="009D5A8C">
            <w:pPr>
              <w:pStyle w:val="CETBodytext"/>
              <w:ind w:right="-1"/>
              <w:rPr>
                <w:rFonts w:cs="Arial"/>
                <w:szCs w:val="18"/>
                <w:lang w:val="en-GB"/>
              </w:rPr>
            </w:pPr>
            <w:r>
              <w:rPr>
                <w:rFonts w:cs="Arial"/>
                <w:szCs w:val="18"/>
                <w:lang w:val="en-GB"/>
              </w:rPr>
              <w:t>Santana</w:t>
            </w:r>
            <w:r w:rsidR="0089667C">
              <w:rPr>
                <w:rFonts w:cs="Arial"/>
                <w:szCs w:val="18"/>
                <w:lang w:val="en-GB"/>
              </w:rPr>
              <w:t xml:space="preserve"> </w:t>
            </w:r>
            <w:r w:rsidR="0089667C">
              <w:rPr>
                <w:rFonts w:cs="Arial"/>
                <w:szCs w:val="18"/>
              </w:rPr>
              <w:t>et al. (2024)</w:t>
            </w:r>
          </w:p>
        </w:tc>
      </w:tr>
      <w:tr w:rsidR="0089667C" w:rsidRPr="00B57B36" w14:paraId="6BEC3B0A" w14:textId="77777777" w:rsidTr="0089667C">
        <w:tc>
          <w:tcPr>
            <w:tcW w:w="3380" w:type="dxa"/>
            <w:shd w:val="clear" w:color="auto" w:fill="FFFFFF"/>
          </w:tcPr>
          <w:p w14:paraId="0BDD0EDB" w14:textId="65A9873C" w:rsidR="0089667C" w:rsidRDefault="0089667C" w:rsidP="0089667C">
            <w:pPr>
              <w:pStyle w:val="CETBodytext"/>
              <w:ind w:right="-1"/>
              <w:rPr>
                <w:rFonts w:cs="Arial"/>
                <w:szCs w:val="18"/>
                <w:lang w:val="en-GB"/>
              </w:rPr>
            </w:pPr>
            <w:r>
              <w:rPr>
                <w:rFonts w:cs="Arial"/>
                <w:szCs w:val="18"/>
                <w:lang w:val="en-GB"/>
              </w:rPr>
              <w:t>LCOH projections scenario 1 (US$/kgH</w:t>
            </w:r>
            <w:r>
              <w:rPr>
                <w:rFonts w:cs="Arial"/>
                <w:szCs w:val="18"/>
                <w:vertAlign w:val="subscript"/>
                <w:lang w:val="en-GB"/>
              </w:rPr>
              <w:t>2</w:t>
            </w:r>
            <w:r>
              <w:rPr>
                <w:rFonts w:cs="Arial"/>
                <w:szCs w:val="18"/>
                <w:lang w:val="en-GB"/>
              </w:rPr>
              <w:t>)</w:t>
            </w:r>
          </w:p>
        </w:tc>
        <w:tc>
          <w:tcPr>
            <w:tcW w:w="731" w:type="dxa"/>
            <w:shd w:val="clear" w:color="auto" w:fill="FFFFFF"/>
            <w:vAlign w:val="center"/>
          </w:tcPr>
          <w:p w14:paraId="3A8F9A83" w14:textId="4564C2A6" w:rsidR="0089667C" w:rsidRPr="00B57B36" w:rsidRDefault="00AD3070" w:rsidP="00AD3070">
            <w:pPr>
              <w:pStyle w:val="CETBodytext"/>
              <w:ind w:right="-5"/>
              <w:jc w:val="center"/>
              <w:rPr>
                <w:rFonts w:cs="Arial"/>
                <w:szCs w:val="18"/>
                <w:lang w:val="en-GB"/>
              </w:rPr>
            </w:pPr>
            <w:r>
              <w:rPr>
                <w:rFonts w:cs="Arial"/>
                <w:szCs w:val="18"/>
                <w:lang w:val="en-GB"/>
              </w:rPr>
              <w:t>2.65</w:t>
            </w:r>
          </w:p>
        </w:tc>
        <w:tc>
          <w:tcPr>
            <w:tcW w:w="709" w:type="dxa"/>
            <w:shd w:val="clear" w:color="auto" w:fill="FFFFFF"/>
          </w:tcPr>
          <w:p w14:paraId="32275AD9" w14:textId="0BFDA931" w:rsidR="0089667C" w:rsidRPr="00B57B36" w:rsidRDefault="00AD3070" w:rsidP="00AD3070">
            <w:pPr>
              <w:pStyle w:val="CETBodytext"/>
              <w:ind w:right="-1"/>
              <w:jc w:val="center"/>
              <w:rPr>
                <w:rFonts w:cs="Arial"/>
                <w:szCs w:val="18"/>
                <w:lang w:val="en-GB"/>
              </w:rPr>
            </w:pPr>
            <w:r>
              <w:rPr>
                <w:rFonts w:cs="Arial"/>
                <w:szCs w:val="18"/>
                <w:lang w:val="en-GB"/>
              </w:rPr>
              <w:t>4.58</w:t>
            </w:r>
          </w:p>
        </w:tc>
        <w:tc>
          <w:tcPr>
            <w:tcW w:w="709" w:type="dxa"/>
            <w:shd w:val="clear" w:color="auto" w:fill="FFFFFF"/>
          </w:tcPr>
          <w:p w14:paraId="2AD506B5" w14:textId="7BC9A9E8" w:rsidR="0089667C" w:rsidRPr="00B57B36" w:rsidRDefault="00AD3070" w:rsidP="00AD3070">
            <w:pPr>
              <w:pStyle w:val="CETBodytext"/>
              <w:ind w:right="-1"/>
              <w:jc w:val="center"/>
              <w:rPr>
                <w:rFonts w:cs="Arial"/>
                <w:szCs w:val="18"/>
                <w:lang w:val="en-GB"/>
              </w:rPr>
            </w:pPr>
            <w:r>
              <w:rPr>
                <w:rFonts w:cs="Arial"/>
                <w:szCs w:val="18"/>
                <w:lang w:val="en-GB"/>
              </w:rPr>
              <w:t>8.42</w:t>
            </w:r>
          </w:p>
        </w:tc>
        <w:tc>
          <w:tcPr>
            <w:tcW w:w="567" w:type="dxa"/>
            <w:shd w:val="clear" w:color="auto" w:fill="FFFFFF"/>
          </w:tcPr>
          <w:p w14:paraId="496F195B" w14:textId="38350A9C" w:rsidR="0089667C" w:rsidRPr="00B57B36" w:rsidRDefault="00AD3070" w:rsidP="00AD3070">
            <w:pPr>
              <w:pStyle w:val="CETBodytext"/>
              <w:ind w:right="-1"/>
              <w:jc w:val="center"/>
              <w:rPr>
                <w:rFonts w:cs="Arial"/>
                <w:szCs w:val="18"/>
                <w:lang w:val="en-GB"/>
              </w:rPr>
            </w:pPr>
            <w:r>
              <w:rPr>
                <w:rFonts w:cs="Arial"/>
                <w:szCs w:val="18"/>
                <w:lang w:val="en-GB"/>
              </w:rPr>
              <w:t>12.27</w:t>
            </w:r>
          </w:p>
        </w:tc>
        <w:tc>
          <w:tcPr>
            <w:tcW w:w="802" w:type="dxa"/>
            <w:shd w:val="clear" w:color="auto" w:fill="FFFFFF"/>
          </w:tcPr>
          <w:p w14:paraId="462C9C76" w14:textId="2986D711" w:rsidR="0089667C" w:rsidRPr="00B57B36" w:rsidRDefault="00AD3070" w:rsidP="00AD3070">
            <w:pPr>
              <w:pStyle w:val="CETBodytext"/>
              <w:ind w:right="-1"/>
              <w:jc w:val="center"/>
              <w:rPr>
                <w:rFonts w:cs="Arial"/>
                <w:szCs w:val="18"/>
                <w:lang w:val="en-GB"/>
              </w:rPr>
            </w:pPr>
            <w:r>
              <w:rPr>
                <w:rFonts w:cs="Arial"/>
                <w:szCs w:val="18"/>
                <w:lang w:val="en-GB"/>
              </w:rPr>
              <w:t>16.12</w:t>
            </w:r>
          </w:p>
        </w:tc>
        <w:tc>
          <w:tcPr>
            <w:tcW w:w="1889" w:type="dxa"/>
            <w:shd w:val="clear" w:color="auto" w:fill="FFFFFF"/>
          </w:tcPr>
          <w:p w14:paraId="387B43FE" w14:textId="670DDBA7" w:rsidR="0089667C" w:rsidRDefault="0089667C" w:rsidP="0089667C">
            <w:pPr>
              <w:pStyle w:val="CETBodytext"/>
              <w:ind w:right="-1"/>
              <w:rPr>
                <w:rFonts w:cs="Arial"/>
                <w:szCs w:val="18"/>
                <w:lang w:val="en-GB"/>
              </w:rPr>
            </w:pPr>
            <w:r>
              <w:rPr>
                <w:rFonts w:cs="Arial"/>
                <w:szCs w:val="18"/>
                <w:lang w:val="en-GB"/>
              </w:rPr>
              <w:t xml:space="preserve">Santana </w:t>
            </w:r>
            <w:r>
              <w:rPr>
                <w:rFonts w:cs="Arial"/>
                <w:szCs w:val="18"/>
              </w:rPr>
              <w:t>et al. (2024)</w:t>
            </w:r>
          </w:p>
        </w:tc>
      </w:tr>
    </w:tbl>
    <w:p w14:paraId="00CAFF1F" w14:textId="40D48A99" w:rsidR="00981E7A" w:rsidRDefault="00981E7A" w:rsidP="008B4108">
      <w:pPr>
        <w:pStyle w:val="CETListbullets"/>
        <w:spacing w:before="240" w:line="240" w:lineRule="auto"/>
        <w:ind w:left="113" w:firstLine="0"/>
        <w:jc w:val="left"/>
      </w:pPr>
      <w:r>
        <w:rPr>
          <w:noProof/>
          <w:lang w:val="pt-BR" w:eastAsia="pt-BR"/>
        </w:rPr>
        <w:lastRenderedPageBreak/>
        <w:drawing>
          <wp:inline distT="0" distB="0" distL="0" distR="0" wp14:anchorId="35EE1AF1" wp14:editId="31E1B3ED">
            <wp:extent cx="3703320" cy="2299691"/>
            <wp:effectExtent l="0" t="0" r="0" b="5715"/>
            <wp:docPr id="12140887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88720" name="Imagem 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734798" cy="2319238"/>
                    </a:xfrm>
                    <a:prstGeom prst="rect">
                      <a:avLst/>
                    </a:prstGeom>
                  </pic:spPr>
                </pic:pic>
              </a:graphicData>
            </a:graphic>
          </wp:inline>
        </w:drawing>
      </w:r>
    </w:p>
    <w:p w14:paraId="49B1BB4F" w14:textId="063939AE" w:rsidR="00981E7A" w:rsidRDefault="00981E7A" w:rsidP="00BE4B07">
      <w:pPr>
        <w:pStyle w:val="CETListbullets"/>
        <w:spacing w:after="120" w:line="240" w:lineRule="auto"/>
        <w:ind w:left="113" w:firstLine="0"/>
        <w:jc w:val="left"/>
      </w:pPr>
      <w:r w:rsidRPr="00BD077D">
        <w:rPr>
          <w:rStyle w:val="CETCaptionCarattere"/>
        </w:rPr>
        <w:t xml:space="preserve">Figure </w:t>
      </w:r>
      <w:r w:rsidR="006541AA">
        <w:rPr>
          <w:rStyle w:val="CETCaptionCarattere"/>
        </w:rPr>
        <w:t>4</w:t>
      </w:r>
      <w:r w:rsidRPr="00BD077D">
        <w:rPr>
          <w:rStyle w:val="CETCaptionCarattere"/>
        </w:rPr>
        <w:t>: S</w:t>
      </w:r>
      <w:r w:rsidR="00B85E1F">
        <w:rPr>
          <w:rStyle w:val="CETCaptionCarattere"/>
        </w:rPr>
        <w:t xml:space="preserve">ensitivity analysis of carbon price future projections for various </w:t>
      </w:r>
      <w:r w:rsidRPr="00BD077D">
        <w:rPr>
          <w:rStyle w:val="CETCaptionCarattere"/>
        </w:rPr>
        <w:t>h</w:t>
      </w:r>
      <w:r w:rsidR="00B85E1F">
        <w:rPr>
          <w:rStyle w:val="CETCaptionCarattere"/>
        </w:rPr>
        <w:t>ydrogen prices.</w:t>
      </w:r>
    </w:p>
    <w:p w14:paraId="147BC00C" w14:textId="5F4C21B0" w:rsidR="00981E7A" w:rsidRDefault="00981E7A" w:rsidP="00981E7A">
      <w:pPr>
        <w:pStyle w:val="CETListbullets"/>
        <w:ind w:left="113" w:firstLine="0"/>
      </w:pPr>
      <w:r>
        <w:rPr>
          <w:noProof/>
          <w:lang w:val="pt-BR" w:eastAsia="pt-BR"/>
        </w:rPr>
        <w:drawing>
          <wp:inline distT="0" distB="0" distL="0" distR="0" wp14:anchorId="300915B8" wp14:editId="7EFB9E15">
            <wp:extent cx="3703320" cy="2055310"/>
            <wp:effectExtent l="0" t="0" r="0" b="2540"/>
            <wp:docPr id="5831883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8833" name="Imagem 5"/>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727448" cy="2068701"/>
                    </a:xfrm>
                    <a:prstGeom prst="rect">
                      <a:avLst/>
                    </a:prstGeom>
                  </pic:spPr>
                </pic:pic>
              </a:graphicData>
            </a:graphic>
          </wp:inline>
        </w:drawing>
      </w:r>
    </w:p>
    <w:p w14:paraId="24A45765" w14:textId="502A15EF" w:rsidR="00981E7A" w:rsidRDefault="00981E7A" w:rsidP="00981E7A">
      <w:pPr>
        <w:pStyle w:val="CETListbullets"/>
        <w:ind w:left="113" w:firstLine="0"/>
        <w:rPr>
          <w:rStyle w:val="CETCaptionCarattere"/>
        </w:rPr>
      </w:pPr>
      <w:r w:rsidRPr="00BD077D">
        <w:rPr>
          <w:rStyle w:val="CETCaptionCarattere"/>
        </w:rPr>
        <w:t xml:space="preserve">Figure </w:t>
      </w:r>
      <w:r w:rsidR="006541AA">
        <w:rPr>
          <w:rStyle w:val="CETCaptionCarattere"/>
        </w:rPr>
        <w:t>5</w:t>
      </w:r>
      <w:r w:rsidRPr="00BD077D">
        <w:rPr>
          <w:rStyle w:val="CETCaptionCarattere"/>
        </w:rPr>
        <w:t xml:space="preserve">: </w:t>
      </w:r>
      <w:r w:rsidR="00B85E1F" w:rsidRPr="00BD077D">
        <w:rPr>
          <w:rStyle w:val="CETCaptionCarattere"/>
        </w:rPr>
        <w:t>S</w:t>
      </w:r>
      <w:r w:rsidR="00B85E1F">
        <w:rPr>
          <w:rStyle w:val="CETCaptionCarattere"/>
        </w:rPr>
        <w:t>ensitivity analysis of carbon price future projections for BC and SC 1.</w:t>
      </w:r>
    </w:p>
    <w:p w14:paraId="7ED2EF22" w14:textId="77777777" w:rsidR="00711150" w:rsidRDefault="00711150" w:rsidP="00711150">
      <w:pPr>
        <w:pStyle w:val="CETEquation"/>
        <w:jc w:val="both"/>
      </w:pPr>
      <w:r w:rsidRPr="00711150">
        <w:t>These findings suggest that the cost trajectory of hydrogen production and distribution infrastructure will be a decisive factor in enabling its large-scale deployment. Incentives or regulatory mechanisms that internalize carbon externalities—such as carbon pricing—can accelerate the transition by narrowing the TCO gap between hydrogen and diesel technologies.</w:t>
      </w:r>
    </w:p>
    <w:p w14:paraId="1745C851" w14:textId="4F46E5E4" w:rsidR="001B2D1B" w:rsidRPr="005F6427" w:rsidRDefault="001B2D1B" w:rsidP="007B3C4B">
      <w:pPr>
        <w:pStyle w:val="CETBodytext"/>
        <w:rPr>
          <w:lang w:val="pt-BR"/>
        </w:rPr>
      </w:pPr>
      <w:r w:rsidRPr="001B2D1B">
        <w:rPr>
          <w:lang w:val="en-GB"/>
        </w:rPr>
        <w:t xml:space="preserve">For the creation of the roadmap, </w:t>
      </w:r>
      <w:r w:rsidR="005F6427">
        <w:rPr>
          <w:lang w:val="en-GB"/>
        </w:rPr>
        <w:t xml:space="preserve">the optimal HRS locations given by the BIP model are described in figure 6. </w:t>
      </w:r>
      <w:proofErr w:type="spellStart"/>
      <w:r w:rsidR="005F6427" w:rsidRPr="005F6427">
        <w:rPr>
          <w:lang w:val="pt-BR"/>
        </w:rPr>
        <w:t>With</w:t>
      </w:r>
      <w:proofErr w:type="spellEnd"/>
      <w:r w:rsidR="005F6427" w:rsidRPr="005F6427">
        <w:rPr>
          <w:lang w:val="pt-BR"/>
        </w:rPr>
        <w:t xml:space="preserve"> a </w:t>
      </w:r>
      <w:proofErr w:type="spellStart"/>
      <w:r w:rsidR="005F6427" w:rsidRPr="005F6427">
        <w:rPr>
          <w:lang w:val="pt-BR"/>
        </w:rPr>
        <w:t>minim</w:t>
      </w:r>
      <w:r w:rsidR="00B4078B">
        <w:rPr>
          <w:lang w:val="pt-BR"/>
        </w:rPr>
        <w:t>um</w:t>
      </w:r>
      <w:proofErr w:type="spellEnd"/>
      <w:r w:rsidR="005F6427">
        <w:rPr>
          <w:lang w:val="pt-BR"/>
        </w:rPr>
        <w:t xml:space="preserve"> </w:t>
      </w:r>
      <m:oMath>
        <m:sSub>
          <m:sSubPr>
            <m:ctrlPr>
              <w:rPr>
                <w:rFonts w:ascii="Cambria Math" w:hAnsi="Cambria Math" w:cs="Arial"/>
                <w:i/>
                <w:szCs w:val="18"/>
                <w:lang w:val="en-GB"/>
              </w:rPr>
            </m:ctrlPr>
          </m:sSubPr>
          <m:e>
            <m:r>
              <w:rPr>
                <w:rFonts w:ascii="Cambria Math" w:hAnsi="Cambria Math" w:cs="Arial"/>
                <w:szCs w:val="18"/>
                <w:lang w:val="en-GB"/>
              </w:rPr>
              <m:t>n</m:t>
            </m:r>
          </m:e>
          <m:sub>
            <m:r>
              <w:rPr>
                <w:rFonts w:ascii="Cambria Math" w:hAnsi="Cambria Math" w:cs="Arial"/>
                <w:szCs w:val="18"/>
                <w:lang w:val="en-GB"/>
              </w:rPr>
              <m:t>HRS</m:t>
            </m:r>
          </m:sub>
        </m:sSub>
        <m:r>
          <w:rPr>
            <w:rFonts w:ascii="Cambria Math" w:hAnsi="Cambria Math" w:cs="Arial"/>
            <w:szCs w:val="18"/>
            <w:lang w:val="pt-BR"/>
          </w:rPr>
          <m:t>=4</m:t>
        </m:r>
      </m:oMath>
      <w:r w:rsidR="005F6427">
        <w:rPr>
          <w:rFonts w:eastAsia="SimSun"/>
          <w:lang w:val="pt-BR"/>
        </w:rPr>
        <w:t>. Localized i</w:t>
      </w:r>
      <w:r w:rsidR="005F6427" w:rsidRPr="005F6427">
        <w:rPr>
          <w:lang w:val="pt-BR"/>
        </w:rPr>
        <w:t xml:space="preserve">n </w:t>
      </w:r>
      <w:proofErr w:type="spellStart"/>
      <w:r w:rsidR="005F6427" w:rsidRPr="005F6427">
        <w:rPr>
          <w:lang w:val="pt-BR"/>
        </w:rPr>
        <w:t>the</w:t>
      </w:r>
      <w:proofErr w:type="spellEnd"/>
      <w:r w:rsidR="005F6427" w:rsidRPr="005F6427">
        <w:rPr>
          <w:lang w:val="pt-BR"/>
        </w:rPr>
        <w:t xml:space="preserve"> </w:t>
      </w:r>
      <w:proofErr w:type="spellStart"/>
      <w:r w:rsidR="005F6427" w:rsidRPr="005F6427">
        <w:rPr>
          <w:lang w:val="pt-BR"/>
        </w:rPr>
        <w:t>cities</w:t>
      </w:r>
      <w:proofErr w:type="spellEnd"/>
      <w:r w:rsidR="005F6427" w:rsidRPr="005F6427">
        <w:rPr>
          <w:lang w:val="pt-BR"/>
        </w:rPr>
        <w:t xml:space="preserve"> </w:t>
      </w:r>
      <w:proofErr w:type="spellStart"/>
      <w:r w:rsidR="005F6427" w:rsidRPr="005F6427">
        <w:rPr>
          <w:lang w:val="pt-BR"/>
        </w:rPr>
        <w:t>of</w:t>
      </w:r>
      <w:proofErr w:type="spellEnd"/>
      <w:r w:rsidR="005F6427" w:rsidRPr="005F6427">
        <w:rPr>
          <w:lang w:val="pt-BR"/>
        </w:rPr>
        <w:t xml:space="preserve"> Barreiras (0 km); Oliveira dos Brejinhos (340 km); Santo Estevão</w:t>
      </w:r>
      <w:r w:rsidR="005F6427">
        <w:rPr>
          <w:lang w:val="pt-BR"/>
        </w:rPr>
        <w:t xml:space="preserve"> </w:t>
      </w:r>
      <w:r w:rsidR="005F6427" w:rsidRPr="005F6427">
        <w:rPr>
          <w:lang w:val="pt-BR"/>
        </w:rPr>
        <w:t>(700 km);</w:t>
      </w:r>
      <w:r w:rsidR="005F6427">
        <w:rPr>
          <w:lang w:val="pt-BR"/>
        </w:rPr>
        <w:t xml:space="preserve"> Salvador</w:t>
      </w:r>
      <w:r w:rsidR="005F6427" w:rsidRPr="005F6427">
        <w:rPr>
          <w:lang w:val="pt-BR"/>
        </w:rPr>
        <w:t xml:space="preserve"> (855 km)</w:t>
      </w:r>
      <w:r w:rsidR="005F6427">
        <w:rPr>
          <w:lang w:val="pt-BR"/>
        </w:rPr>
        <w:t>.</w:t>
      </w:r>
    </w:p>
    <w:p w14:paraId="1EB27FFF" w14:textId="10DA3EF0" w:rsidR="007B3C4B" w:rsidRDefault="00980228" w:rsidP="007B3C4B">
      <w:pPr>
        <w:pStyle w:val="CETBodytext"/>
        <w:rPr>
          <w:lang w:val="en-GB"/>
        </w:rPr>
      </w:pPr>
      <w:r>
        <w:rPr>
          <w:noProof/>
          <w:lang w:val="pt-BR" w:eastAsia="pt-BR"/>
        </w:rPr>
        <w:drawing>
          <wp:inline distT="0" distB="0" distL="0" distR="0" wp14:anchorId="29FFF786" wp14:editId="2AA8DD7F">
            <wp:extent cx="4518660" cy="1489485"/>
            <wp:effectExtent l="0" t="0" r="0" b="0"/>
            <wp:docPr id="4984672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67271" name="Imagem 498467271"/>
                    <pic:cNvPicPr/>
                  </pic:nvPicPr>
                  <pic:blipFill rotWithShape="1">
                    <a:blip r:embed="rId20"/>
                    <a:srcRect l="3926" t="22460" r="3893" b="23513"/>
                    <a:stretch/>
                  </pic:blipFill>
                  <pic:spPr bwMode="auto">
                    <a:xfrm>
                      <a:off x="0" y="0"/>
                      <a:ext cx="4527833" cy="1492509"/>
                    </a:xfrm>
                    <a:prstGeom prst="rect">
                      <a:avLst/>
                    </a:prstGeom>
                    <a:ln>
                      <a:noFill/>
                    </a:ln>
                    <a:extLst>
                      <a:ext uri="{53640926-AAD7-44D8-BBD7-CCE9431645EC}">
                        <a14:shadowObscured xmlns:a14="http://schemas.microsoft.com/office/drawing/2010/main"/>
                      </a:ext>
                    </a:extLst>
                  </pic:spPr>
                </pic:pic>
              </a:graphicData>
            </a:graphic>
          </wp:inline>
        </w:drawing>
      </w:r>
    </w:p>
    <w:p w14:paraId="2ED7B46D" w14:textId="02BDED1D" w:rsidR="00E50670" w:rsidRDefault="00E50670" w:rsidP="007B338B">
      <w:pPr>
        <w:pStyle w:val="CETCaption"/>
        <w:spacing w:before="120" w:after="120"/>
        <w:rPr>
          <w:lang w:val="en"/>
        </w:rPr>
      </w:pPr>
      <w:r w:rsidRPr="00F7670C">
        <w:t>Figure 6:</w:t>
      </w:r>
      <w:r w:rsidR="005F6427" w:rsidRPr="00F7670C">
        <w:t xml:space="preserve"> </w:t>
      </w:r>
      <w:r w:rsidR="00F7670C" w:rsidRPr="00F7670C">
        <w:t xml:space="preserve">Proposed locations for Hydrogen </w:t>
      </w:r>
      <w:proofErr w:type="spellStart"/>
      <w:r w:rsidR="00F7670C" w:rsidRPr="00F7670C">
        <w:t>Refueling</w:t>
      </w:r>
      <w:proofErr w:type="spellEnd"/>
      <w:r w:rsidR="00F7670C" w:rsidRPr="00F7670C">
        <w:t xml:space="preserve"> Stations (HRS) along the logistics corridor between </w:t>
      </w:r>
      <w:proofErr w:type="spellStart"/>
      <w:r w:rsidR="00F7670C" w:rsidRPr="00F7670C">
        <w:t>Barreiras</w:t>
      </w:r>
      <w:proofErr w:type="spellEnd"/>
      <w:r w:rsidR="00F7670C" w:rsidRPr="00F7670C">
        <w:t xml:space="preserve"> and the </w:t>
      </w:r>
      <w:proofErr w:type="spellStart"/>
      <w:r w:rsidR="00F7670C" w:rsidRPr="00F7670C">
        <w:t>Cotegipe</w:t>
      </w:r>
      <w:proofErr w:type="spellEnd"/>
      <w:r w:rsidR="00F7670C" w:rsidRPr="00F7670C">
        <w:t xml:space="preserve"> Port Terminal in Salvador</w:t>
      </w:r>
      <w:r w:rsidR="00F7670C" w:rsidRPr="00F7670C">
        <w:t>.</w:t>
      </w:r>
    </w:p>
    <w:p w14:paraId="68D26B83" w14:textId="77777777" w:rsidR="00600535" w:rsidRPr="00B57B36" w:rsidRDefault="00600535" w:rsidP="00BE4B07">
      <w:pPr>
        <w:pStyle w:val="CETHeading1"/>
        <w:spacing w:before="120"/>
        <w:rPr>
          <w:lang w:val="en-GB"/>
        </w:rPr>
      </w:pPr>
      <w:r w:rsidRPr="00B57B36">
        <w:rPr>
          <w:lang w:val="en-GB"/>
        </w:rPr>
        <w:t>Conclusions</w:t>
      </w:r>
    </w:p>
    <w:p w14:paraId="304EB1D2" w14:textId="43CB1CA3" w:rsidR="009F4B0E" w:rsidRPr="009F4B0E" w:rsidRDefault="009F4B0E" w:rsidP="009F4B0E">
      <w:pPr>
        <w:pStyle w:val="CETBodytext"/>
      </w:pPr>
      <w:r w:rsidRPr="009F4B0E">
        <w:t>It can be concluded that hydrogen presents itself as an excellent alternative fuel for large-scale transportation, due to its energy efficiency and low CO</w:t>
      </w:r>
      <w:r w:rsidRPr="009F4B0E">
        <w:rPr>
          <w:rFonts w:ascii="Cambria Math" w:hAnsi="Cambria Math" w:cs="Cambria Math"/>
        </w:rPr>
        <w:t>₂</w:t>
      </w:r>
      <w:r w:rsidRPr="009F4B0E">
        <w:t xml:space="preserve"> emissions</w:t>
      </w:r>
      <w:r w:rsidRPr="009F4B0E">
        <w:rPr>
          <w:rFonts w:cs="Arial"/>
        </w:rPr>
        <w:t>—</w:t>
      </w:r>
      <w:r w:rsidRPr="009F4B0E">
        <w:t xml:space="preserve">factors that contribute to environmental improvement. Additionally, the decreasing price of hydrogen over time makes it a competitive alternative to diesel in the </w:t>
      </w:r>
      <w:r w:rsidRPr="009F4B0E">
        <w:lastRenderedPageBreak/>
        <w:t xml:space="preserve">Brazilian market, offering a promising economic option for the future. The roadmap created for Highway </w:t>
      </w:r>
      <w:r>
        <w:t xml:space="preserve">BR </w:t>
      </w:r>
      <w:r w:rsidRPr="009F4B0E">
        <w:t>242 supports the distribution of hydrogen fuel for H</w:t>
      </w:r>
      <w:r w:rsidRPr="009F4B0E">
        <w:rPr>
          <w:rFonts w:ascii="Cambria Math" w:hAnsi="Cambria Math" w:cs="Cambria Math"/>
        </w:rPr>
        <w:t>₂</w:t>
      </w:r>
      <w:r w:rsidRPr="009F4B0E">
        <w:t xml:space="preserve">-powered trucks by identifying strategic refueling points that enhance the efficiency of grain exports in the region. However, the country still faces significant challenges in implementing a comprehensive </w:t>
      </w:r>
      <w:r>
        <w:t>HRS</w:t>
      </w:r>
      <w:r w:rsidRPr="009F4B0E">
        <w:t xml:space="preserve"> network, given the current underdevelopment of infrastructure</w:t>
      </w:r>
      <w:r>
        <w:t>.</w:t>
      </w:r>
    </w:p>
    <w:p w14:paraId="408DEAA2" w14:textId="07E04D72" w:rsidR="00D2239C" w:rsidRDefault="009F4B0E" w:rsidP="009F4B0E">
      <w:pPr>
        <w:pStyle w:val="CETBodytext"/>
        <w:rPr>
          <w:b/>
        </w:rPr>
      </w:pPr>
      <w:r w:rsidRPr="009F4B0E">
        <w:t xml:space="preserve">Future work could enhance the optimization problem by incorporating additional supply chain echelons, considering both centralized and decentralized hydrogen production site options. Moreover, integrating decentralized renewable energy sources (e.g., solar and wind) into hydrogen production systems could be explored to improve sustainability and system autonomy. Alternative scenarios could also be evaluated by varying hydrogen demand at </w:t>
      </w:r>
      <w:r>
        <w:t>HRS</w:t>
      </w:r>
      <w:r w:rsidRPr="009F4B0E">
        <w:t xml:space="preserve">, particularly in the context of large-scale </w:t>
      </w:r>
      <w:r>
        <w:t>HD</w:t>
      </w:r>
      <w:r w:rsidRPr="009F4B0E">
        <w:t xml:space="preserve"> freight operations.</w:t>
      </w:r>
    </w:p>
    <w:p w14:paraId="07A6D20F" w14:textId="2DEB8D06" w:rsidR="00280FAF" w:rsidRPr="00280FAF" w:rsidRDefault="00280FAF" w:rsidP="008D0371">
      <w:pPr>
        <w:pStyle w:val="CETHeadingxx"/>
        <w:rPr>
          <w:lang w:val="en-GB"/>
        </w:rPr>
        <w:sectPr w:rsidR="00280FAF" w:rsidRPr="00280FAF" w:rsidSect="00DC73EE">
          <w:type w:val="continuous"/>
          <w:pgSz w:w="11906" w:h="16838" w:code="9"/>
          <w:pgMar w:top="1701" w:right="1418" w:bottom="1701" w:left="1701" w:header="1701" w:footer="0" w:gutter="0"/>
          <w:cols w:space="708"/>
          <w:formProt w:val="0"/>
          <w:titlePg/>
          <w:docGrid w:linePitch="360"/>
        </w:sectPr>
      </w:pPr>
      <w:r>
        <w:t>Nomenclature</w:t>
      </w:r>
    </w:p>
    <w:p w14:paraId="75508A70" w14:textId="10437AAE" w:rsidR="00690F5C" w:rsidRPr="006E5735" w:rsidRDefault="00083A23" w:rsidP="00280FAF">
      <w:pPr>
        <w:pStyle w:val="CETBodytext"/>
        <w:jc w:val="left"/>
        <w:rPr>
          <w:szCs w:val="18"/>
          <w:lang w:val="en-GB"/>
        </w:rPr>
      </w:pPr>
      <m:oMath>
        <m:r>
          <w:rPr>
            <w:rFonts w:ascii="Cambria Math" w:hAnsi="Cambria Math" w:cs="Arial"/>
            <w:szCs w:val="18"/>
            <w:lang w:val="en-GB"/>
          </w:rPr>
          <m:t>A</m:t>
        </m:r>
      </m:oMath>
      <w:r w:rsidR="00690F5C" w:rsidRPr="006E5735">
        <w:rPr>
          <w:rFonts w:eastAsia="SimSun"/>
        </w:rPr>
        <w:t xml:space="preserve"> – </w:t>
      </w:r>
      <w:r w:rsidRPr="006E5735">
        <w:rPr>
          <w:rFonts w:eastAsia="SimSun"/>
        </w:rPr>
        <w:t xml:space="preserve">Autonomy with safe margin of 80%, </w:t>
      </w:r>
      <w:r w:rsidR="00690F5C" w:rsidRPr="006E5735">
        <w:rPr>
          <w:rFonts w:eastAsia="SimSun"/>
        </w:rPr>
        <w:t>km</w:t>
      </w:r>
    </w:p>
    <w:p w14:paraId="25D52BD8" w14:textId="08671300" w:rsidR="00280FAF" w:rsidRPr="006E5735" w:rsidRDefault="00000000" w:rsidP="00280FAF">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CE</m:t>
            </m:r>
          </m:e>
          <m:sup>
            <m:r>
              <w:rPr>
                <w:rFonts w:ascii="Cambria Math" w:hAnsi="Cambria Math" w:cs="Arial"/>
                <w:szCs w:val="18"/>
                <w:lang w:val="en-GB"/>
              </w:rPr>
              <m:t>f</m:t>
            </m:r>
          </m:sup>
        </m:sSup>
      </m:oMath>
      <w:r w:rsidR="00280FAF" w:rsidRPr="006E5735">
        <w:rPr>
          <w:rFonts w:eastAsia="SimSun"/>
        </w:rPr>
        <w:t xml:space="preserve"> – </w:t>
      </w:r>
      <w:r w:rsidR="00251C6A" w:rsidRPr="006E5735">
        <w:rPr>
          <w:rFonts w:eastAsia="SimSun"/>
        </w:rPr>
        <w:t>Carbon emissions</w:t>
      </w:r>
      <w:r w:rsidR="00280FAF" w:rsidRPr="006E5735">
        <w:rPr>
          <w:rFonts w:eastAsia="SimSun"/>
        </w:rPr>
        <w:t xml:space="preserve">, </w:t>
      </w:r>
      <w:r w:rsidR="00C047C1" w:rsidRPr="006E5735">
        <w:rPr>
          <w:rFonts w:eastAsia="SimSun"/>
        </w:rPr>
        <w:t>kg</w:t>
      </w:r>
      <w:r w:rsidR="00653239" w:rsidRPr="006E5735">
        <w:rPr>
          <w:rFonts w:eastAsia="SimSun"/>
        </w:rPr>
        <w:t>CO</w:t>
      </w:r>
      <w:r w:rsidR="00653239" w:rsidRPr="006E5735">
        <w:rPr>
          <w:rFonts w:eastAsia="SimSun"/>
          <w:vertAlign w:val="subscript"/>
        </w:rPr>
        <w:t>2</w:t>
      </w:r>
      <w:r w:rsidR="00653239" w:rsidRPr="006E5735">
        <w:rPr>
          <w:rFonts w:eastAsia="SimSun"/>
        </w:rPr>
        <w:t>eq/</w:t>
      </w:r>
      <w:r w:rsidR="00C047C1" w:rsidRPr="006E5735">
        <w:rPr>
          <w:rFonts w:eastAsia="SimSun"/>
        </w:rPr>
        <w:t xml:space="preserve"> km</w:t>
      </w:r>
    </w:p>
    <w:p w14:paraId="7DFFBF41" w14:textId="77777777" w:rsidR="00280FAF" w:rsidRPr="006E5735" w:rsidRDefault="00280FAF" w:rsidP="00280FAF">
      <w:pPr>
        <w:pStyle w:val="CETBodytext"/>
        <w:jc w:val="left"/>
        <w:rPr>
          <w:rFonts w:eastAsia="SimSun"/>
        </w:rPr>
        <w:sectPr w:rsidR="00280FAF" w:rsidRPr="006E5735" w:rsidSect="00DC73EE">
          <w:type w:val="continuous"/>
          <w:pgSz w:w="11906" w:h="16838" w:code="9"/>
          <w:pgMar w:top="1701" w:right="1418" w:bottom="1701" w:left="1701" w:header="1701" w:footer="0" w:gutter="0"/>
          <w:cols w:space="708"/>
          <w:formProt w:val="0"/>
          <w:titlePg/>
          <w:docGrid w:linePitch="360"/>
        </w:sectPr>
      </w:pPr>
    </w:p>
    <w:p w14:paraId="57590CE2" w14:textId="468D7F64" w:rsidR="00280FAF" w:rsidRPr="006E5735" w:rsidRDefault="00251C6A" w:rsidP="00280FAF">
      <w:pPr>
        <w:pStyle w:val="CETBodytext"/>
        <w:jc w:val="left"/>
        <w:rPr>
          <w:rFonts w:eastAsia="SimSun"/>
        </w:rPr>
      </w:pPr>
      <m:oMath>
        <m:r>
          <w:rPr>
            <w:rFonts w:ascii="Cambria Math" w:hAnsi="Cambria Math" w:cs="Arial"/>
            <w:szCs w:val="18"/>
            <w:lang w:val="en-GB"/>
          </w:rPr>
          <m:t>CP</m:t>
        </m:r>
      </m:oMath>
      <w:r w:rsidR="00280FAF" w:rsidRPr="006E5735">
        <w:rPr>
          <w:rFonts w:eastAsia="SimSun"/>
        </w:rPr>
        <w:t xml:space="preserve"> – </w:t>
      </w:r>
      <w:r w:rsidRPr="006E5735">
        <w:rPr>
          <w:rFonts w:eastAsia="SimSun"/>
        </w:rPr>
        <w:t>Carbon price</w:t>
      </w:r>
      <w:r w:rsidR="00280FAF" w:rsidRPr="006E5735">
        <w:rPr>
          <w:rFonts w:eastAsia="SimSun"/>
        </w:rPr>
        <w:t xml:space="preserve">, </w:t>
      </w:r>
      <w:r w:rsidRPr="006E5735">
        <w:rPr>
          <w:rFonts w:eastAsia="SimSun"/>
        </w:rPr>
        <w:t>US$/</w:t>
      </w:r>
      <w:r w:rsidR="00653239" w:rsidRPr="006E5735">
        <w:rPr>
          <w:rFonts w:eastAsia="SimSun"/>
        </w:rPr>
        <w:t>kg</w:t>
      </w:r>
      <w:r w:rsidRPr="006E5735">
        <w:rPr>
          <w:rFonts w:eastAsia="SimSun"/>
        </w:rPr>
        <w:t>CO</w:t>
      </w:r>
      <w:r w:rsidRPr="006E5735">
        <w:rPr>
          <w:rFonts w:eastAsia="SimSun"/>
          <w:vertAlign w:val="subscript"/>
        </w:rPr>
        <w:t>2</w:t>
      </w:r>
      <w:r w:rsidRPr="006E5735">
        <w:rPr>
          <w:rFonts w:eastAsia="SimSun"/>
        </w:rPr>
        <w:t>eq</w:t>
      </w:r>
    </w:p>
    <w:p w14:paraId="2A58B337" w14:textId="156EE7DE" w:rsidR="00083A23" w:rsidRPr="006E5735"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i</m:t>
            </m:r>
          </m:sub>
        </m:sSub>
      </m:oMath>
      <w:r w:rsidR="00083A23" w:rsidRPr="006E5735">
        <w:rPr>
          <w:rFonts w:eastAsia="SimSun"/>
        </w:rPr>
        <w:t xml:space="preserve"> – Distance of point </w:t>
      </w:r>
      <m:oMath>
        <m:r>
          <w:rPr>
            <w:rFonts w:ascii="Cambria Math" w:hAnsi="Cambria Math" w:cs="Arial"/>
            <w:szCs w:val="18"/>
            <w:lang w:val="en-GB"/>
          </w:rPr>
          <m:t>i</m:t>
        </m:r>
      </m:oMath>
      <w:r w:rsidR="004B4596" w:rsidRPr="006E5735">
        <w:rPr>
          <w:rFonts w:eastAsia="SimSun"/>
          <w:szCs w:val="18"/>
          <w:lang w:val="en-GB"/>
        </w:rPr>
        <w:t xml:space="preserve"> from the origin</w:t>
      </w:r>
      <w:r w:rsidR="00083A23" w:rsidRPr="006E5735">
        <w:rPr>
          <w:rFonts w:eastAsia="SimSun"/>
        </w:rPr>
        <w:t>, km</w:t>
      </w:r>
    </w:p>
    <w:p w14:paraId="6CAF11D0" w14:textId="0233CA12" w:rsidR="00083A23"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j</m:t>
            </m:r>
          </m:sub>
        </m:sSub>
      </m:oMath>
      <w:r w:rsidR="00083A23" w:rsidRPr="006E5735">
        <w:rPr>
          <w:rFonts w:eastAsia="SimSun"/>
        </w:rPr>
        <w:t xml:space="preserve"> – Distance </w:t>
      </w:r>
      <w:r w:rsidR="004B4596" w:rsidRPr="006E5735">
        <w:rPr>
          <w:rFonts w:eastAsia="SimSun"/>
        </w:rPr>
        <w:t xml:space="preserve">of point </w:t>
      </w:r>
      <m:oMath>
        <m:r>
          <w:rPr>
            <w:rFonts w:ascii="Cambria Math" w:hAnsi="Cambria Math" w:cs="Arial"/>
            <w:szCs w:val="18"/>
            <w:lang w:val="en-GB"/>
          </w:rPr>
          <m:t>j</m:t>
        </m:r>
      </m:oMath>
      <w:r w:rsidR="004B4596" w:rsidRPr="006E5735">
        <w:rPr>
          <w:rFonts w:eastAsia="SimSun"/>
          <w:szCs w:val="18"/>
          <w:lang w:val="en-GB"/>
        </w:rPr>
        <w:t xml:space="preserve"> from the origin</w:t>
      </w:r>
      <w:r w:rsidR="00083A23" w:rsidRPr="006E5735">
        <w:rPr>
          <w:rFonts w:eastAsia="SimSun"/>
        </w:rPr>
        <w:t>, km</w:t>
      </w:r>
    </w:p>
    <w:p w14:paraId="39C0C8ED" w14:textId="33E8F83A" w:rsidR="005631BF" w:rsidRDefault="005631BF" w:rsidP="00280FAF">
      <w:pPr>
        <w:pStyle w:val="CETBodytext"/>
        <w:jc w:val="left"/>
        <w:rPr>
          <w:rFonts w:eastAsia="SimSun"/>
          <w:szCs w:val="18"/>
          <w:lang w:val="en-GB"/>
        </w:rPr>
      </w:pPr>
      <w:r>
        <w:rPr>
          <w:rFonts w:eastAsia="SimSun"/>
          <w:szCs w:val="18"/>
          <w:lang w:val="en-GB"/>
        </w:rPr>
        <w:t xml:space="preserve">f - </w:t>
      </w:r>
      <w:r>
        <w:rPr>
          <w:rFonts w:eastAsia="SimSun"/>
        </w:rPr>
        <w:t>fuel type f</w:t>
      </w:r>
    </w:p>
    <w:p w14:paraId="0E502614" w14:textId="7007EE5B" w:rsidR="00280FAF" w:rsidRPr="00280FAF" w:rsidRDefault="00000000" w:rsidP="00280FAF">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FP</m:t>
            </m:r>
          </m:e>
          <m:sup>
            <m:r>
              <w:rPr>
                <w:rFonts w:ascii="Cambria Math" w:hAnsi="Cambria Math" w:cs="Arial"/>
                <w:szCs w:val="18"/>
                <w:lang w:val="en-GB"/>
              </w:rPr>
              <m:t>f</m:t>
            </m:r>
          </m:sup>
        </m:sSup>
      </m:oMath>
      <w:r w:rsidR="00280FAF" w:rsidRPr="00280FAF">
        <w:rPr>
          <w:rFonts w:eastAsia="SimSun"/>
        </w:rPr>
        <w:t xml:space="preserve">– </w:t>
      </w:r>
      <w:r w:rsidR="00C047C1">
        <w:rPr>
          <w:rFonts w:eastAsia="SimSun"/>
        </w:rPr>
        <w:t>Fuel price</w:t>
      </w:r>
      <w:r w:rsidR="00604D4C">
        <w:rPr>
          <w:rFonts w:eastAsia="SimSun"/>
        </w:rPr>
        <w:t xml:space="preserve"> f</w:t>
      </w:r>
      <w:r w:rsidR="00C047C1">
        <w:rPr>
          <w:rFonts w:eastAsia="SimSun"/>
        </w:rPr>
        <w:t>, US$/ l or kgH</w:t>
      </w:r>
      <w:r w:rsidR="00C047C1">
        <w:rPr>
          <w:rFonts w:eastAsia="SimSun"/>
          <w:vertAlign w:val="subscript"/>
        </w:rPr>
        <w:t>2</w:t>
      </w:r>
    </w:p>
    <w:p w14:paraId="33D176ED" w14:textId="54575CC6" w:rsidR="00280FAF" w:rsidRPr="00C047C1" w:rsidRDefault="00000000" w:rsidP="00280FAF">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FQ</m:t>
            </m:r>
          </m:e>
          <m:sup>
            <m:r>
              <w:rPr>
                <w:rFonts w:ascii="Cambria Math" w:hAnsi="Cambria Math" w:cs="Arial"/>
                <w:szCs w:val="18"/>
                <w:lang w:val="en-GB"/>
              </w:rPr>
              <m:t>f</m:t>
            </m:r>
          </m:sup>
        </m:sSup>
      </m:oMath>
      <w:r w:rsidR="00280FAF" w:rsidRPr="00C047C1">
        <w:rPr>
          <w:rFonts w:eastAsia="SimSun"/>
        </w:rPr>
        <w:t xml:space="preserve">– </w:t>
      </w:r>
      <w:r w:rsidR="00C047C1" w:rsidRPr="00C047C1">
        <w:rPr>
          <w:rFonts w:eastAsia="SimSun"/>
        </w:rPr>
        <w:t>Fuel Quantity</w:t>
      </w:r>
      <w:r w:rsidR="00604D4C">
        <w:rPr>
          <w:rFonts w:eastAsia="SimSun"/>
        </w:rPr>
        <w:t xml:space="preserve"> f</w:t>
      </w:r>
      <w:r w:rsidR="00C047C1" w:rsidRPr="00C047C1">
        <w:rPr>
          <w:rFonts w:eastAsia="SimSun"/>
        </w:rPr>
        <w:t>, l or kgH</w:t>
      </w:r>
      <w:r w:rsidR="00C047C1" w:rsidRPr="00C047C1">
        <w:rPr>
          <w:rFonts w:eastAsia="SimSun"/>
          <w:vertAlign w:val="subscript"/>
        </w:rPr>
        <w:t>2</w:t>
      </w:r>
      <w:r w:rsidR="00C047C1" w:rsidRPr="00C047C1">
        <w:rPr>
          <w:rFonts w:eastAsia="SimSun"/>
        </w:rPr>
        <w:t>/ year</w:t>
      </w:r>
    </w:p>
    <w:p w14:paraId="05CC3BA4" w14:textId="5BC7D6B3" w:rsidR="00280FAF" w:rsidRPr="00C047C1" w:rsidRDefault="00000000" w:rsidP="00280FAF">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GWP</m:t>
            </m:r>
          </m:e>
          <m:sup>
            <m:r>
              <w:rPr>
                <w:rFonts w:ascii="Cambria Math" w:hAnsi="Cambria Math" w:cs="Arial"/>
                <w:szCs w:val="18"/>
                <w:lang w:val="en-GB"/>
              </w:rPr>
              <m:t>f</m:t>
            </m:r>
          </m:sup>
        </m:sSup>
      </m:oMath>
      <w:r w:rsidR="00280FAF" w:rsidRPr="00280FAF">
        <w:rPr>
          <w:rFonts w:eastAsia="SimSun"/>
        </w:rPr>
        <w:t xml:space="preserve">– </w:t>
      </w:r>
      <w:r w:rsidR="00C047C1">
        <w:rPr>
          <w:rFonts w:eastAsia="SimSun"/>
        </w:rPr>
        <w:t>Global warming potential</w:t>
      </w:r>
      <w:r w:rsidR="005631BF">
        <w:rPr>
          <w:rFonts w:eastAsia="SimSun"/>
        </w:rPr>
        <w:t xml:space="preserve"> of fuel f</w:t>
      </w:r>
      <w:r w:rsidR="00C047C1">
        <w:rPr>
          <w:rFonts w:eastAsia="SimSun"/>
        </w:rPr>
        <w:t>, kgCO</w:t>
      </w:r>
      <w:r w:rsidR="00C047C1">
        <w:rPr>
          <w:rFonts w:eastAsia="SimSun"/>
          <w:vertAlign w:val="subscript"/>
        </w:rPr>
        <w:t>2</w:t>
      </w:r>
      <w:r w:rsidR="00C047C1">
        <w:rPr>
          <w:rFonts w:eastAsia="SimSun"/>
        </w:rPr>
        <w:t>eq/km</w:t>
      </w:r>
    </w:p>
    <w:p w14:paraId="23FF4C40" w14:textId="0659593D" w:rsidR="00280FAF" w:rsidRDefault="00C047C1" w:rsidP="00280FAF">
      <w:pPr>
        <w:pStyle w:val="CETBodytext"/>
        <w:jc w:val="left"/>
        <w:rPr>
          <w:rFonts w:eastAsia="SimSun"/>
        </w:rPr>
      </w:pPr>
      <m:oMath>
        <m:r>
          <w:rPr>
            <w:rFonts w:ascii="Cambria Math" w:hAnsi="Cambria Math" w:cs="Arial"/>
            <w:szCs w:val="18"/>
            <w:lang w:val="en-GB"/>
          </w:rPr>
          <m:t>HDC</m:t>
        </m:r>
      </m:oMath>
      <w:r w:rsidR="00280FAF" w:rsidRPr="00280FAF">
        <w:rPr>
          <w:rFonts w:eastAsia="SimSun"/>
        </w:rPr>
        <w:t xml:space="preserve">– </w:t>
      </w:r>
      <w:r>
        <w:rPr>
          <w:rFonts w:eastAsia="SimSun"/>
        </w:rPr>
        <w:t>Vehicle capacity</w:t>
      </w:r>
      <w:r w:rsidR="00280FAF" w:rsidRPr="00280FAF">
        <w:rPr>
          <w:rFonts w:eastAsia="SimSun"/>
        </w:rPr>
        <w:t xml:space="preserve">, </w:t>
      </w:r>
      <w:r>
        <w:rPr>
          <w:rFonts w:eastAsia="SimSun"/>
        </w:rPr>
        <w:t>ton/trip</w:t>
      </w:r>
    </w:p>
    <w:p w14:paraId="78640DBB" w14:textId="1E971BB2" w:rsidR="00EF3C97" w:rsidRPr="00280FAF" w:rsidRDefault="00EF3C97" w:rsidP="00280FAF">
      <w:pPr>
        <w:pStyle w:val="CETBodytext"/>
        <w:jc w:val="left"/>
        <w:rPr>
          <w:rFonts w:eastAsia="SimSun"/>
        </w:rPr>
      </w:pPr>
      <m:oMath>
        <m:r>
          <w:rPr>
            <w:rFonts w:ascii="Cambria Math" w:hAnsi="Cambria Math" w:cs="Arial"/>
            <w:szCs w:val="18"/>
            <w:lang w:val="en-GB"/>
          </w:rPr>
          <m:t>i,j</m:t>
        </m:r>
      </m:oMath>
      <w:r w:rsidRPr="00280FAF">
        <w:rPr>
          <w:rFonts w:eastAsia="SimSun"/>
        </w:rPr>
        <w:t xml:space="preserve">– </w:t>
      </w:r>
      <w:r>
        <w:rPr>
          <w:rFonts w:eastAsia="SimSun"/>
        </w:rPr>
        <w:t xml:space="preserve">Indices of candidate points (with </w:t>
      </w:r>
      <m:oMath>
        <m:r>
          <w:rPr>
            <w:rFonts w:ascii="Cambria Math" w:eastAsia="SimSun" w:hAnsi="Cambria Math"/>
          </w:rPr>
          <m:t>i&lt;</m:t>
        </m:r>
        <m:r>
          <w:rPr>
            <w:rFonts w:ascii="Cambria Math" w:hAnsi="Cambria Math" w:cs="Arial"/>
            <w:szCs w:val="18"/>
            <w:lang w:val="en-GB"/>
          </w:rPr>
          <m:t>j</m:t>
        </m:r>
      </m:oMath>
      <w:r>
        <w:rPr>
          <w:rFonts w:eastAsia="SimSun"/>
          <w:szCs w:val="18"/>
          <w:lang w:val="en-GB"/>
        </w:rPr>
        <w:t>)</w:t>
      </w:r>
    </w:p>
    <w:p w14:paraId="77896278" w14:textId="18758616" w:rsidR="00EF3C97" w:rsidRPr="00280FAF" w:rsidRDefault="007866AC" w:rsidP="007866AC">
      <w:pPr>
        <w:pStyle w:val="CETBodytext"/>
        <w:jc w:val="left"/>
        <w:rPr>
          <w:rFonts w:eastAsia="SimSun"/>
        </w:rPr>
      </w:pPr>
      <m:oMath>
        <m:r>
          <w:rPr>
            <w:rFonts w:ascii="Cambria Math" w:hAnsi="Cambria Math" w:cs="Arial"/>
            <w:szCs w:val="18"/>
            <w:lang w:val="en-GB"/>
          </w:rPr>
          <m:t>Lt</m:t>
        </m:r>
      </m:oMath>
      <w:r w:rsidRPr="00280FAF">
        <w:rPr>
          <w:rFonts w:eastAsia="SimSun"/>
        </w:rPr>
        <w:t xml:space="preserve"> – </w:t>
      </w:r>
      <w:r>
        <w:rPr>
          <w:rFonts w:eastAsia="SimSun"/>
        </w:rPr>
        <w:t>Vehicle Lifetime, years</w:t>
      </w:r>
    </w:p>
    <w:p w14:paraId="38E74D43" w14:textId="77777777" w:rsidR="007866AC" w:rsidRDefault="00000000" w:rsidP="007866AC">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n</m:t>
            </m:r>
          </m:e>
          <m:sup>
            <m:r>
              <w:rPr>
                <w:rFonts w:ascii="Cambria Math" w:hAnsi="Cambria Math" w:cs="Arial"/>
                <w:szCs w:val="18"/>
                <w:lang w:val="en-GB"/>
              </w:rPr>
              <m:t>f</m:t>
            </m:r>
          </m:sup>
        </m:sSup>
      </m:oMath>
      <w:r w:rsidR="007866AC" w:rsidRPr="00280FAF">
        <w:rPr>
          <w:rFonts w:eastAsia="SimSun"/>
        </w:rPr>
        <w:t xml:space="preserve">– </w:t>
      </w:r>
      <w:r w:rsidR="007866AC">
        <w:rPr>
          <w:rFonts w:eastAsia="SimSun"/>
        </w:rPr>
        <w:t>Number of vehicles using fuel type f</w:t>
      </w:r>
    </w:p>
    <w:p w14:paraId="1A4D546D" w14:textId="3B31DCBE" w:rsidR="000E4B50" w:rsidRPr="00280FAF" w:rsidRDefault="00000000" w:rsidP="007866AC">
      <w:pPr>
        <w:pStyle w:val="CETBodytext"/>
        <w:jc w:val="left"/>
        <w:rPr>
          <w:rFonts w:eastAsia="SimSun"/>
        </w:rPr>
      </w:pPr>
      <m:oMath>
        <m:sSub>
          <m:sSubPr>
            <m:ctrlPr>
              <w:rPr>
                <w:rFonts w:ascii="Cambria Math" w:hAnsi="Cambria Math" w:cs="Arial"/>
                <w:i/>
                <w:szCs w:val="18"/>
                <w:lang w:val="en-GB"/>
              </w:rPr>
            </m:ctrlPr>
          </m:sSubPr>
          <m:e>
            <m:r>
              <w:rPr>
                <w:rFonts w:ascii="Cambria Math" w:hAnsi="Cambria Math" w:cs="Arial"/>
                <w:szCs w:val="18"/>
                <w:lang w:val="en-GB"/>
              </w:rPr>
              <m:t>n</m:t>
            </m:r>
          </m:e>
          <m:sub>
            <m:r>
              <w:rPr>
                <w:rFonts w:ascii="Cambria Math" w:hAnsi="Cambria Math" w:cs="Arial"/>
                <w:szCs w:val="18"/>
                <w:lang w:val="en-GB"/>
              </w:rPr>
              <m:t>HRS</m:t>
            </m:r>
          </m:sub>
        </m:sSub>
      </m:oMath>
      <w:r w:rsidR="000E4B50" w:rsidRPr="00280FAF">
        <w:rPr>
          <w:rFonts w:eastAsia="SimSun"/>
        </w:rPr>
        <w:t xml:space="preserve">– </w:t>
      </w:r>
      <w:r w:rsidR="00EF3C97">
        <w:rPr>
          <w:rFonts w:eastAsia="SimSun"/>
        </w:rPr>
        <w:t>Total number of HRS instal</w:t>
      </w:r>
      <w:r w:rsidR="00B4078B">
        <w:rPr>
          <w:rFonts w:eastAsia="SimSun"/>
        </w:rPr>
        <w:t>l</w:t>
      </w:r>
      <w:r w:rsidR="00EF3C97">
        <w:rPr>
          <w:rFonts w:eastAsia="SimSun"/>
        </w:rPr>
        <w:t>ed along the route</w:t>
      </w:r>
    </w:p>
    <w:p w14:paraId="1C8BD7C9" w14:textId="314E0072" w:rsidR="007866AC" w:rsidRDefault="00000000" w:rsidP="007866AC">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PP</m:t>
            </m:r>
          </m:e>
          <m:sup>
            <m:r>
              <w:rPr>
                <w:rFonts w:ascii="Cambria Math" w:hAnsi="Cambria Math" w:cs="Arial"/>
                <w:szCs w:val="18"/>
                <w:lang w:val="en-GB"/>
              </w:rPr>
              <m:t>f</m:t>
            </m:r>
          </m:sup>
        </m:sSup>
      </m:oMath>
      <w:r w:rsidR="007866AC" w:rsidRPr="00280FAF">
        <w:rPr>
          <w:rFonts w:eastAsia="SimSun"/>
        </w:rPr>
        <w:t xml:space="preserve">– </w:t>
      </w:r>
      <w:r w:rsidR="007866AC">
        <w:rPr>
          <w:rFonts w:eastAsia="SimSun"/>
        </w:rPr>
        <w:t>Vehicle</w:t>
      </w:r>
      <w:r w:rsidR="00604D4C">
        <w:rPr>
          <w:rFonts w:eastAsia="SimSun"/>
        </w:rPr>
        <w:t xml:space="preserve"> of fuel type </w:t>
      </w:r>
      <w:proofErr w:type="spellStart"/>
      <w:r w:rsidR="00604D4C">
        <w:rPr>
          <w:rFonts w:eastAsia="SimSun"/>
        </w:rPr>
        <w:t>f</w:t>
      </w:r>
      <w:proofErr w:type="spellEnd"/>
      <w:r w:rsidR="007866AC">
        <w:rPr>
          <w:rFonts w:eastAsia="SimSun"/>
        </w:rPr>
        <w:t xml:space="preserve"> purchase price</w:t>
      </w:r>
      <w:r w:rsidR="007866AC" w:rsidRPr="00280FAF">
        <w:rPr>
          <w:rFonts w:eastAsia="SimSun"/>
        </w:rPr>
        <w:t xml:space="preserve">, </w:t>
      </w:r>
      <w:r w:rsidR="007866AC">
        <w:rPr>
          <w:rFonts w:eastAsia="SimSun"/>
        </w:rPr>
        <w:t>US$</w:t>
      </w:r>
    </w:p>
    <w:p w14:paraId="0F106068" w14:textId="7972EED9" w:rsidR="00083A23" w:rsidRPr="00280FAF" w:rsidRDefault="00083A23" w:rsidP="007866AC">
      <w:pPr>
        <w:pStyle w:val="CETBodytext"/>
        <w:jc w:val="left"/>
        <w:rPr>
          <w:rFonts w:eastAsia="SimSun"/>
        </w:rPr>
      </w:pPr>
      <m:oMath>
        <m:r>
          <w:rPr>
            <w:rFonts w:ascii="Cambria Math" w:eastAsia="SimSun" w:hAnsi="Cambria Math"/>
          </w:rPr>
          <m:t>S(i)</m:t>
        </m:r>
      </m:oMath>
      <w:r w:rsidRPr="00A448A8">
        <w:rPr>
          <w:rFonts w:eastAsia="SimSun"/>
        </w:rPr>
        <w:t xml:space="preserve"> – </w:t>
      </w:r>
      <w:r w:rsidRPr="00083A23">
        <w:rPr>
          <w:rFonts w:eastAsia="SimSun"/>
          <w:lang w:val="en-GB"/>
        </w:rPr>
        <w:t xml:space="preserve">Set of reachable points </w:t>
      </w:r>
      <m:oMath>
        <m:r>
          <w:rPr>
            <w:rFonts w:ascii="Cambria Math" w:hAnsi="Cambria Math" w:cs="Arial"/>
            <w:szCs w:val="18"/>
            <w:lang w:val="en-GB"/>
          </w:rPr>
          <m:t>j</m:t>
        </m:r>
      </m:oMath>
      <w:r w:rsidRPr="00083A23">
        <w:rPr>
          <w:rFonts w:eastAsia="SimSun"/>
          <w:lang w:val="en-GB"/>
        </w:rPr>
        <w:t xml:space="preserve"> from point </w:t>
      </w:r>
      <m:oMath>
        <m:r>
          <w:rPr>
            <w:rFonts w:ascii="Cambria Math" w:hAnsi="Cambria Math" w:cs="Arial"/>
            <w:szCs w:val="18"/>
            <w:lang w:val="en-GB"/>
          </w:rPr>
          <m:t>i</m:t>
        </m:r>
      </m:oMath>
      <w:r w:rsidRPr="00083A23">
        <w:rPr>
          <w:rFonts w:eastAsia="SimSun"/>
          <w:lang w:val="en-GB"/>
        </w:rPr>
        <w:t>, where the distance between points is less than or equal to the safe range</w:t>
      </w:r>
    </w:p>
    <w:p w14:paraId="7B3D601E" w14:textId="1EA8DE86" w:rsidR="00C047C1" w:rsidRDefault="00000000" w:rsidP="00C047C1">
      <w:pPr>
        <w:pStyle w:val="CETBodytext"/>
        <w:jc w:val="left"/>
        <w:rPr>
          <w:rFonts w:eastAsia="SimSun"/>
        </w:rPr>
      </w:pPr>
      <m:oMath>
        <m:sSup>
          <m:sSupPr>
            <m:ctrlPr>
              <w:rPr>
                <w:rFonts w:ascii="Cambria Math" w:hAnsi="Cambria Math" w:cs="Arial"/>
                <w:i/>
                <w:szCs w:val="18"/>
                <w:lang w:val="en-GB"/>
              </w:rPr>
            </m:ctrlPr>
          </m:sSupPr>
          <m:e>
            <m:r>
              <w:rPr>
                <w:rFonts w:ascii="Cambria Math" w:hAnsi="Cambria Math" w:cs="Arial"/>
                <w:szCs w:val="18"/>
                <w:lang w:val="en-GB"/>
              </w:rPr>
              <m:t>TCO</m:t>
            </m:r>
          </m:e>
          <m:sup>
            <m:r>
              <w:rPr>
                <w:rFonts w:ascii="Cambria Math" w:hAnsi="Cambria Math" w:cs="Arial"/>
                <w:szCs w:val="18"/>
                <w:lang w:val="en-GB"/>
              </w:rPr>
              <m:t>f</m:t>
            </m:r>
          </m:sup>
        </m:sSup>
      </m:oMath>
      <w:r w:rsidR="00C047C1" w:rsidRPr="00C047C1">
        <w:rPr>
          <w:rFonts w:eastAsia="SimSun"/>
        </w:rPr>
        <w:t xml:space="preserve"> – </w:t>
      </w:r>
      <w:r w:rsidR="00C047C1">
        <w:rPr>
          <w:rFonts w:eastAsia="SimSun"/>
        </w:rPr>
        <w:t>T</w:t>
      </w:r>
      <w:r w:rsidR="00C047C1" w:rsidRPr="00C047C1">
        <w:rPr>
          <w:rFonts w:eastAsia="SimSun"/>
        </w:rPr>
        <w:t>otal cost of ownership</w:t>
      </w:r>
      <w:r w:rsidR="005631BF">
        <w:rPr>
          <w:rFonts w:eastAsia="SimSun"/>
        </w:rPr>
        <w:t xml:space="preserve"> of fuel type f</w:t>
      </w:r>
      <w:r w:rsidR="00C047C1" w:rsidRPr="00C047C1">
        <w:rPr>
          <w:rFonts w:eastAsia="SimSun"/>
        </w:rPr>
        <w:t>, US$/ton/year</w:t>
      </w:r>
    </w:p>
    <w:p w14:paraId="664FA4E3" w14:textId="02EE362D" w:rsidR="00EF3C97" w:rsidRPr="00C047C1" w:rsidRDefault="00000000" w:rsidP="00C047C1">
      <w:pPr>
        <w:pStyle w:val="CETBodytext"/>
        <w:jc w:val="left"/>
        <w:rPr>
          <w:rFonts w:eastAsia="SimSun"/>
        </w:rPr>
      </w:pPr>
      <m:oMath>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oMath>
      <w:r w:rsidR="00EF3C97">
        <w:rPr>
          <w:rFonts w:eastAsia="SimSun"/>
          <w:szCs w:val="18"/>
          <w:lang w:val="en-GB"/>
        </w:rPr>
        <w:t xml:space="preserve"> </w:t>
      </w:r>
      <w:r w:rsidR="00EF3C97" w:rsidRPr="00C047C1">
        <w:rPr>
          <w:rFonts w:eastAsia="SimSun"/>
        </w:rPr>
        <w:t xml:space="preserve">– </w:t>
      </w:r>
      <w:r w:rsidR="00EF3C97">
        <w:rPr>
          <w:rFonts w:eastAsia="SimSun"/>
        </w:rPr>
        <w:t>Binary variable: 1 if an HRS is instal</w:t>
      </w:r>
      <w:r w:rsidR="00B4078B">
        <w:rPr>
          <w:rFonts w:eastAsia="SimSun"/>
        </w:rPr>
        <w:t>l</w:t>
      </w:r>
      <w:r w:rsidR="00EF3C97">
        <w:rPr>
          <w:rFonts w:eastAsia="SimSun"/>
        </w:rPr>
        <w:t>ed at point I, 0 otherwise</w:t>
      </w:r>
    </w:p>
    <w:p w14:paraId="38BFE636" w14:textId="2C770167" w:rsidR="00EF3C97" w:rsidRPr="00E377D0" w:rsidRDefault="00000000" w:rsidP="00280FAF">
      <w:pPr>
        <w:pStyle w:val="CETBodytext"/>
        <w:jc w:val="left"/>
        <w:rPr>
          <w:rFonts w:eastAsia="SimSun"/>
        </w:rPr>
        <w:sectPr w:rsidR="00EF3C97" w:rsidRPr="00E377D0" w:rsidSect="00DC73EE">
          <w:type w:val="continuous"/>
          <w:pgSz w:w="11906" w:h="16838" w:code="9"/>
          <w:pgMar w:top="1701" w:right="1418" w:bottom="1701" w:left="1701" w:header="1701" w:footer="0" w:gutter="0"/>
          <w:cols w:num="2" w:space="708"/>
          <w:formProt w:val="0"/>
          <w:titlePg/>
          <w:docGrid w:linePitch="360"/>
        </w:sectPr>
      </w:pPr>
      <m:oMath>
        <m:sSup>
          <m:sSupPr>
            <m:ctrlPr>
              <w:rPr>
                <w:rFonts w:ascii="Cambria Math" w:hAnsi="Cambria Math" w:cs="Arial"/>
                <w:i/>
                <w:szCs w:val="18"/>
                <w:lang w:val="en-GB"/>
              </w:rPr>
            </m:ctrlPr>
          </m:sSupPr>
          <m:e>
            <m:r>
              <w:rPr>
                <w:rFonts w:ascii="Cambria Math" w:hAnsi="Cambria Math" w:cs="Arial"/>
                <w:szCs w:val="18"/>
                <w:lang w:val="en-GB"/>
              </w:rPr>
              <m:t>TSCO</m:t>
            </m:r>
          </m:e>
          <m:sup>
            <m:r>
              <w:rPr>
                <w:rFonts w:ascii="Cambria Math" w:hAnsi="Cambria Math" w:cs="Arial"/>
                <w:szCs w:val="18"/>
                <w:lang w:val="en-GB"/>
              </w:rPr>
              <m:t>f</m:t>
            </m:r>
          </m:sup>
        </m:sSup>
      </m:oMath>
      <w:r w:rsidR="00C047C1" w:rsidRPr="00280FAF">
        <w:rPr>
          <w:rFonts w:eastAsia="SimSun"/>
        </w:rPr>
        <w:t xml:space="preserve">– </w:t>
      </w:r>
      <w:r w:rsidR="00C047C1">
        <w:rPr>
          <w:rFonts w:eastAsia="SimSun"/>
        </w:rPr>
        <w:t>Total sustainable cost of ownership</w:t>
      </w:r>
      <w:r w:rsidR="005631BF">
        <w:rPr>
          <w:rFonts w:eastAsia="SimSun"/>
        </w:rPr>
        <w:t xml:space="preserve"> of fuel type f</w:t>
      </w:r>
      <w:r w:rsidR="00C047C1" w:rsidRPr="00280FAF">
        <w:rPr>
          <w:rFonts w:eastAsia="SimSun"/>
        </w:rPr>
        <w:t xml:space="preserve">, </w:t>
      </w:r>
      <w:r w:rsidR="00C047C1" w:rsidRPr="00C047C1">
        <w:rPr>
          <w:rFonts w:eastAsia="SimSun"/>
        </w:rPr>
        <w:t>US$/ton/year</w:t>
      </w:r>
    </w:p>
    <w:p w14:paraId="459D05E6" w14:textId="77777777" w:rsidR="00600535" w:rsidRPr="00B57B36" w:rsidRDefault="00600535" w:rsidP="00600535">
      <w:pPr>
        <w:pStyle w:val="CETAcknowledgementstitle"/>
      </w:pPr>
      <w:r w:rsidRPr="00B57B36">
        <w:t>Acknowledgments</w:t>
      </w:r>
    </w:p>
    <w:p w14:paraId="33F8138F" w14:textId="184D3BA5" w:rsidR="00600535" w:rsidRPr="00826F76" w:rsidRDefault="00690F08" w:rsidP="00826F76">
      <w:pPr>
        <w:pStyle w:val="CETBodytext"/>
      </w:pPr>
      <w:r w:rsidRPr="00826F76">
        <w:t xml:space="preserve">The authors </w:t>
      </w:r>
      <w:r w:rsidR="00F06378" w:rsidRPr="00826F76">
        <w:t>acknowledge the Green Hydrogen Competence Center of SENAI CIMATEC University</w:t>
      </w:r>
      <w:r w:rsidRPr="00826F76">
        <w:t xml:space="preserve">, </w:t>
      </w:r>
      <w:proofErr w:type="spellStart"/>
      <w:r w:rsidR="008E0BF7">
        <w:t>CNP</w:t>
      </w:r>
      <w:r w:rsidR="00F06378" w:rsidRPr="00826F76">
        <w:t>q</w:t>
      </w:r>
      <w:proofErr w:type="spellEnd"/>
      <w:r w:rsidR="00F06378" w:rsidRPr="00826F76">
        <w:t xml:space="preserve"> </w:t>
      </w:r>
      <w:r w:rsidRPr="00826F76">
        <w:t xml:space="preserve">and FCT - Foundation for Science and Technology, I.P. - under the project UIDB/00285/2020 </w:t>
      </w:r>
      <w:r w:rsidR="00F06378" w:rsidRPr="00826F76">
        <w:t>for its financial support.</w:t>
      </w:r>
    </w:p>
    <w:p w14:paraId="4F1327F8" w14:textId="77777777" w:rsidR="00600535" w:rsidRPr="00B57B36" w:rsidRDefault="00600535" w:rsidP="00600535">
      <w:pPr>
        <w:pStyle w:val="CETReference"/>
      </w:pPr>
      <w:r w:rsidRPr="00B57B36">
        <w:t>References</w:t>
      </w:r>
    </w:p>
    <w:p w14:paraId="635F1F82" w14:textId="77777777" w:rsidR="00F06378" w:rsidRPr="00F06378" w:rsidRDefault="00F06378" w:rsidP="00F06378">
      <w:pPr>
        <w:pStyle w:val="CETReferencetext"/>
        <w:rPr>
          <w:lang w:val="en-US"/>
        </w:rPr>
      </w:pPr>
      <w:r w:rsidRPr="00F06378">
        <w:rPr>
          <w:lang w:val="en-US"/>
        </w:rPr>
        <w:t xml:space="preserve">Almaraz, S., Rácz, V., Azzaro-Pantel, C., Szántó, Z., 2022, </w:t>
      </w:r>
      <w:proofErr w:type="spellStart"/>
      <w:r w:rsidRPr="00F06378">
        <w:rPr>
          <w:lang w:val="en-US"/>
        </w:rPr>
        <w:t>Multiobjective</w:t>
      </w:r>
      <w:proofErr w:type="spellEnd"/>
      <w:r w:rsidRPr="00F06378">
        <w:rPr>
          <w:lang w:val="en-US"/>
        </w:rPr>
        <w:t xml:space="preserve"> and social cost-benefit </w:t>
      </w:r>
      <w:proofErr w:type="spellStart"/>
      <w:r w:rsidRPr="00F06378">
        <w:rPr>
          <w:lang w:val="en-US"/>
        </w:rPr>
        <w:t>optimisation</w:t>
      </w:r>
      <w:proofErr w:type="spellEnd"/>
      <w:r w:rsidRPr="00F06378">
        <w:rPr>
          <w:lang w:val="en-US"/>
        </w:rPr>
        <w:t xml:space="preserve"> for a sustainable hydrogen supply chain: Application to Hungary</w:t>
      </w:r>
      <w:r>
        <w:rPr>
          <w:lang w:val="en-US"/>
        </w:rPr>
        <w:t>, Applied Energy, Vol 325, 119882.</w:t>
      </w:r>
    </w:p>
    <w:p w14:paraId="1A1D2384" w14:textId="09555506" w:rsidR="00B85E1F" w:rsidRPr="004524D7" w:rsidRDefault="00B85E1F" w:rsidP="00F06378">
      <w:pPr>
        <w:pStyle w:val="CETReferencetext"/>
        <w:rPr>
          <w:lang w:val="en-US"/>
        </w:rPr>
      </w:pPr>
      <w:r w:rsidRPr="004524D7">
        <w:rPr>
          <w:lang w:val="en-US"/>
        </w:rPr>
        <w:t xml:space="preserve">ANP, 2025, </w:t>
      </w:r>
      <w:r w:rsidR="004524D7" w:rsidRPr="007B1CC0">
        <w:t xml:space="preserve">Historical series of price surveys, National Agency of Petroleum, Natural Gas and Biofuels </w:t>
      </w:r>
      <w:r w:rsidR="00A448A8" w:rsidRPr="004524D7">
        <w:rPr>
          <w:lang w:val="en-US"/>
        </w:rPr>
        <w:t xml:space="preserve">&lt;https://www.gov.br/anp/pt-br/assuntos/precos-e-defesa-da-concorrencia/precos/precos-revenda-e-de-distribuicao-combustiveis/serie-historica-do-levantamento-de-precos&gt; accessed in 20.03.2025 (In </w:t>
      </w:r>
      <w:proofErr w:type="spellStart"/>
      <w:r w:rsidR="00A448A8" w:rsidRPr="004524D7">
        <w:rPr>
          <w:lang w:val="en-US"/>
        </w:rPr>
        <w:t>portuguese</w:t>
      </w:r>
      <w:proofErr w:type="spellEnd"/>
      <w:r w:rsidR="00A448A8" w:rsidRPr="004524D7">
        <w:rPr>
          <w:lang w:val="en-US"/>
        </w:rPr>
        <w:t>)</w:t>
      </w:r>
    </w:p>
    <w:p w14:paraId="209CA4F6" w14:textId="5E16573A" w:rsidR="008350AF" w:rsidRDefault="008350AF" w:rsidP="00F06378">
      <w:pPr>
        <w:pStyle w:val="CETReferencetext"/>
        <w:rPr>
          <w:lang w:val="en-US"/>
        </w:rPr>
      </w:pPr>
      <w:r w:rsidRPr="00B85E1F">
        <w:rPr>
          <w:lang w:val="en-US"/>
        </w:rPr>
        <w:t xml:space="preserve">BCB, 2025, </w:t>
      </w:r>
      <w:r w:rsidR="00B85E1F">
        <w:t>Currency Converter, Central Bank of Brazil</w:t>
      </w:r>
      <w:r w:rsidRPr="00B85E1F">
        <w:rPr>
          <w:lang w:val="en-US"/>
        </w:rPr>
        <w:t xml:space="preserve"> &lt;https://www.bcb.gov.br/conversao&gt; Accessed 20.03.2025</w:t>
      </w:r>
      <w:r w:rsidR="00B85E1F" w:rsidRPr="00B85E1F">
        <w:rPr>
          <w:lang w:val="en-US"/>
        </w:rPr>
        <w:t xml:space="preserve"> (In </w:t>
      </w:r>
      <w:proofErr w:type="spellStart"/>
      <w:r w:rsidR="00B85E1F" w:rsidRPr="00B85E1F">
        <w:rPr>
          <w:lang w:val="en-US"/>
        </w:rPr>
        <w:t>portuguese</w:t>
      </w:r>
      <w:proofErr w:type="spellEnd"/>
      <w:r w:rsidR="00B85E1F" w:rsidRPr="00B85E1F">
        <w:rPr>
          <w:lang w:val="en-US"/>
        </w:rPr>
        <w:t>)</w:t>
      </w:r>
    </w:p>
    <w:p w14:paraId="42771C34" w14:textId="6A50714A" w:rsidR="002C0EB7" w:rsidRPr="009E51A6" w:rsidRDefault="002C0EB7" w:rsidP="00E04ED5">
      <w:pPr>
        <w:pStyle w:val="CETReferencetext"/>
        <w:rPr>
          <w:lang w:val="en-US"/>
        </w:rPr>
      </w:pPr>
      <w:r>
        <w:rPr>
          <w:lang w:val="en-US"/>
        </w:rPr>
        <w:t xml:space="preserve">Carvalho, 2011, </w:t>
      </w:r>
      <w:r w:rsidR="00E04ED5" w:rsidRPr="00E04ED5">
        <w:rPr>
          <w:lang w:val="en"/>
        </w:rPr>
        <w:t>Relative emissions of pollutants from urban transport</w:t>
      </w:r>
      <w:r w:rsidR="00E04ED5" w:rsidRPr="009E51A6">
        <w:rPr>
          <w:lang w:val="en-US"/>
        </w:rPr>
        <w:t xml:space="preserve">, </w:t>
      </w:r>
      <w:r w:rsidR="00E04ED5" w:rsidRPr="00E04ED5">
        <w:rPr>
          <w:lang w:val="en"/>
        </w:rPr>
        <w:t>Planning and Research Technician at the Directorate of Regional, Urban and Environmental Studies and Policies (</w:t>
      </w:r>
      <w:proofErr w:type="spellStart"/>
      <w:r w:rsidR="00E04ED5" w:rsidRPr="00E04ED5">
        <w:rPr>
          <w:lang w:val="en"/>
        </w:rPr>
        <w:t>Dirur</w:t>
      </w:r>
      <w:proofErr w:type="spellEnd"/>
      <w:r w:rsidR="00E04ED5" w:rsidRPr="00E04ED5">
        <w:rPr>
          <w:lang w:val="en"/>
        </w:rPr>
        <w:t xml:space="preserve">) of </w:t>
      </w:r>
      <w:proofErr w:type="spellStart"/>
      <w:r w:rsidR="00E04ED5" w:rsidRPr="00E04ED5">
        <w:rPr>
          <w:lang w:val="en"/>
        </w:rPr>
        <w:t>Ipea</w:t>
      </w:r>
      <w:proofErr w:type="spellEnd"/>
      <w:r w:rsidR="00E04ED5" w:rsidRPr="009E51A6">
        <w:rPr>
          <w:lang w:val="en-US"/>
        </w:rPr>
        <w:t xml:space="preserve">, Brasília-DF. (in </w:t>
      </w:r>
      <w:proofErr w:type="spellStart"/>
      <w:r w:rsidR="00E04ED5" w:rsidRPr="009E51A6">
        <w:rPr>
          <w:lang w:val="en-US"/>
        </w:rPr>
        <w:t>portuguese</w:t>
      </w:r>
      <w:proofErr w:type="spellEnd"/>
      <w:r w:rsidR="00E04ED5" w:rsidRPr="009E51A6">
        <w:rPr>
          <w:lang w:val="en-US"/>
        </w:rPr>
        <w:t>)</w:t>
      </w:r>
    </w:p>
    <w:p w14:paraId="6A0CC728" w14:textId="0B565799" w:rsidR="00F06378" w:rsidRDefault="00F06378" w:rsidP="00F06378">
      <w:pPr>
        <w:pStyle w:val="CETReferencetext"/>
        <w:rPr>
          <w:lang w:val="en-US"/>
        </w:rPr>
      </w:pPr>
      <w:r w:rsidRPr="00A448A8">
        <w:rPr>
          <w:lang w:val="en-US"/>
        </w:rPr>
        <w:t xml:space="preserve">Embrapa, 2025, </w:t>
      </w:r>
      <w:r w:rsidR="00B85E1F" w:rsidRPr="00A448A8">
        <w:rPr>
          <w:lang w:val="en-US"/>
        </w:rPr>
        <w:t xml:space="preserve">Agricultural exports, Strategic Territorial Intelligence System: Agricultural </w:t>
      </w:r>
      <w:proofErr w:type="spellStart"/>
      <w:r w:rsidR="00B85E1F" w:rsidRPr="00A448A8">
        <w:rPr>
          <w:lang w:val="en-US"/>
        </w:rPr>
        <w:t>Macrologistics</w:t>
      </w:r>
      <w:proofErr w:type="spellEnd"/>
      <w:r w:rsidRPr="00A448A8">
        <w:rPr>
          <w:lang w:val="en-US"/>
        </w:rPr>
        <w:t xml:space="preserve"> &lt;https://www.embrapa.br/macrologistica/sistema/exportacao-agropecuaria&gt; accessed 20.03.2025</w:t>
      </w:r>
      <w:r w:rsidR="00B85E1F" w:rsidRPr="00A448A8">
        <w:rPr>
          <w:lang w:val="en-US"/>
        </w:rPr>
        <w:t xml:space="preserve"> (In </w:t>
      </w:r>
      <w:proofErr w:type="spellStart"/>
      <w:r w:rsidR="00B85E1F" w:rsidRPr="00A448A8">
        <w:rPr>
          <w:lang w:val="en-US"/>
        </w:rPr>
        <w:t>portuguese</w:t>
      </w:r>
      <w:proofErr w:type="spellEnd"/>
      <w:r w:rsidR="00B85E1F" w:rsidRPr="00A448A8">
        <w:rPr>
          <w:lang w:val="en-US"/>
        </w:rPr>
        <w:t>)</w:t>
      </w:r>
    </w:p>
    <w:p w14:paraId="30BC3E15" w14:textId="473436D7" w:rsidR="00E04ED5" w:rsidRPr="009E51A6" w:rsidRDefault="00A83E9B" w:rsidP="002F50AF">
      <w:pPr>
        <w:pStyle w:val="CETReferencetext"/>
        <w:rPr>
          <w:lang w:val="en-US"/>
        </w:rPr>
      </w:pPr>
      <w:r>
        <w:rPr>
          <w:lang w:val="en-US"/>
        </w:rPr>
        <w:t xml:space="preserve">Fia </w:t>
      </w:r>
      <w:r w:rsidRPr="00A83E9B">
        <w:rPr>
          <w:lang w:val="en-US"/>
        </w:rPr>
        <w:t>Business school</w:t>
      </w:r>
      <w:r>
        <w:rPr>
          <w:lang w:val="en-US"/>
        </w:rPr>
        <w:t>, 2022,</w:t>
      </w:r>
      <w:r w:rsidRPr="00A83E9B">
        <w:rPr>
          <w:lang w:val="en-US"/>
        </w:rPr>
        <w:t xml:space="preserve"> Roadmap:</w:t>
      </w:r>
      <w:r w:rsidR="002F50AF">
        <w:rPr>
          <w:lang w:val="en-US"/>
        </w:rPr>
        <w:t xml:space="preserve"> </w:t>
      </w:r>
      <w:r w:rsidR="002F50AF" w:rsidRPr="002F50AF">
        <w:rPr>
          <w:lang w:val="en"/>
        </w:rPr>
        <w:t>what it is, what it is for, models and how to make yours</w:t>
      </w:r>
      <w:r w:rsidR="002F50AF">
        <w:rPr>
          <w:lang w:val="en"/>
        </w:rPr>
        <w:t xml:space="preserve"> &lt;</w:t>
      </w:r>
      <w:hyperlink r:id="rId21" w:anchor=":~:text=Roadmap%20%C3%A9%20uma%20ferramenta" w:history="1">
        <w:r w:rsidR="002F50AF" w:rsidRPr="00847C3A">
          <w:rPr>
            <w:rStyle w:val="Hyperlink"/>
            <w:color w:val="000000" w:themeColor="text1"/>
            <w:u w:val="none"/>
            <w:lang w:val="en"/>
          </w:rPr>
          <w:t>https://fia.com.br/blog/roadmap/#:~:text=Roadmap%20%C3%A9%20uma%20ferramenta</w:t>
        </w:r>
      </w:hyperlink>
      <w:r w:rsidR="002F50AF">
        <w:rPr>
          <w:color w:val="000000" w:themeColor="text1"/>
          <w:lang w:val="en"/>
        </w:rPr>
        <w:t>&gt;</w:t>
      </w:r>
      <w:r w:rsidR="002F50AF" w:rsidRPr="002F50AF">
        <w:rPr>
          <w:color w:val="000000" w:themeColor="text1"/>
          <w:lang w:val="en"/>
        </w:rPr>
        <w:t xml:space="preserve"> </w:t>
      </w:r>
      <w:r w:rsidR="002F50AF">
        <w:rPr>
          <w:lang w:val="en"/>
        </w:rPr>
        <w:t xml:space="preserve">Accessed in 04.02.2025 (In </w:t>
      </w:r>
      <w:proofErr w:type="spellStart"/>
      <w:r w:rsidR="002F50AF">
        <w:rPr>
          <w:lang w:val="en"/>
        </w:rPr>
        <w:t>portuguese</w:t>
      </w:r>
      <w:proofErr w:type="spellEnd"/>
      <w:r w:rsidR="002F50AF">
        <w:rPr>
          <w:lang w:val="en"/>
        </w:rPr>
        <w:t xml:space="preserve">) </w:t>
      </w:r>
    </w:p>
    <w:p w14:paraId="1406DE81" w14:textId="3D5DE32A" w:rsidR="0075377D" w:rsidRPr="0075377D" w:rsidRDefault="00B809C1" w:rsidP="009B3816">
      <w:pPr>
        <w:pStyle w:val="CETBodytext"/>
        <w:ind w:right="-1"/>
        <w:rPr>
          <w:rFonts w:cs="Arial"/>
          <w:szCs w:val="18"/>
        </w:rPr>
      </w:pPr>
      <w:proofErr w:type="spellStart"/>
      <w:r w:rsidRPr="0075377D">
        <w:rPr>
          <w:rFonts w:cs="Arial"/>
          <w:szCs w:val="18"/>
        </w:rPr>
        <w:t>Imprensa</w:t>
      </w:r>
      <w:proofErr w:type="spellEnd"/>
      <w:r w:rsidRPr="0075377D">
        <w:rPr>
          <w:rFonts w:cs="Arial"/>
          <w:szCs w:val="18"/>
        </w:rPr>
        <w:t xml:space="preserve"> Nacional, 202</w:t>
      </w:r>
      <w:r w:rsidR="00532300" w:rsidRPr="0075377D">
        <w:rPr>
          <w:rFonts w:cs="Arial"/>
          <w:szCs w:val="18"/>
        </w:rPr>
        <w:t>4</w:t>
      </w:r>
      <w:r w:rsidRPr="0075377D">
        <w:rPr>
          <w:rFonts w:cs="Arial"/>
          <w:szCs w:val="18"/>
        </w:rPr>
        <w:t xml:space="preserve">, </w:t>
      </w:r>
      <w:r w:rsidR="0075377D" w:rsidRPr="0075377D">
        <w:rPr>
          <w:rFonts w:cs="Arial"/>
          <w:szCs w:val="18"/>
        </w:rPr>
        <w:t xml:space="preserve">Order No. 3,080, of October 10, </w:t>
      </w:r>
      <w:proofErr w:type="gramStart"/>
      <w:r w:rsidR="0075377D" w:rsidRPr="0075377D">
        <w:rPr>
          <w:rFonts w:cs="Arial"/>
          <w:szCs w:val="18"/>
        </w:rPr>
        <w:t>2024</w:t>
      </w:r>
      <w:proofErr w:type="gramEnd"/>
      <w:r w:rsidR="0075377D" w:rsidRPr="0075377D">
        <w:rPr>
          <w:rFonts w:cs="Arial"/>
          <w:szCs w:val="18"/>
        </w:rPr>
        <w:t xml:space="preserve"> &lt; https://www.in.gov.br/web/dou/-/despacho-n-3.080-de-10-de-outubro-de-2024-589782432&gt;</w:t>
      </w:r>
      <w:r w:rsidR="0075377D">
        <w:rPr>
          <w:rFonts w:cs="Arial"/>
          <w:szCs w:val="18"/>
        </w:rPr>
        <w:t xml:space="preserve"> </w:t>
      </w:r>
      <w:r w:rsidR="00A81BB4">
        <w:rPr>
          <w:rFonts w:cs="Arial"/>
          <w:szCs w:val="18"/>
        </w:rPr>
        <w:t xml:space="preserve">Accessed 20.03.2025 </w:t>
      </w:r>
      <w:r w:rsidR="00A81BB4" w:rsidRPr="0075377D">
        <w:t xml:space="preserve">(In </w:t>
      </w:r>
      <w:proofErr w:type="spellStart"/>
      <w:r w:rsidR="00A81BB4" w:rsidRPr="0075377D">
        <w:t>portuguese</w:t>
      </w:r>
      <w:proofErr w:type="spellEnd"/>
      <w:r w:rsidR="00A81BB4" w:rsidRPr="0075377D">
        <w:t>)</w:t>
      </w:r>
    </w:p>
    <w:p w14:paraId="300E7E9B" w14:textId="6692AE43" w:rsidR="008350AF" w:rsidRPr="0075377D" w:rsidRDefault="008350AF" w:rsidP="006B4888">
      <w:pPr>
        <w:pStyle w:val="CETReferencetext"/>
        <w:rPr>
          <w:lang w:val="en-US"/>
        </w:rPr>
      </w:pPr>
      <w:r w:rsidRPr="0075377D">
        <w:rPr>
          <w:lang w:val="en-US"/>
        </w:rPr>
        <w:t xml:space="preserve">Investing.com, 2025, </w:t>
      </w:r>
      <w:r w:rsidR="00B85E1F" w:rsidRPr="0075377D">
        <w:rPr>
          <w:lang w:val="en-US"/>
        </w:rPr>
        <w:t xml:space="preserve">Future Carbon Credit &lt;https://br.investing.com/commodities/carbon-emissions-streaming-chart&gt; accessed 20.03.2025 (In </w:t>
      </w:r>
      <w:proofErr w:type="spellStart"/>
      <w:r w:rsidR="00B85E1F" w:rsidRPr="0075377D">
        <w:rPr>
          <w:lang w:val="en-US"/>
        </w:rPr>
        <w:t>portuguese</w:t>
      </w:r>
      <w:proofErr w:type="spellEnd"/>
      <w:r w:rsidR="00B85E1F" w:rsidRPr="0075377D">
        <w:rPr>
          <w:lang w:val="en-US"/>
        </w:rPr>
        <w:t>)</w:t>
      </w:r>
    </w:p>
    <w:p w14:paraId="19C4FC68" w14:textId="74B28C9D" w:rsidR="004628D2" w:rsidRDefault="00A41A82" w:rsidP="006963CD">
      <w:pPr>
        <w:pStyle w:val="CETReferencetext"/>
      </w:pPr>
      <w:r w:rsidRPr="00A41A82">
        <w:t>Ruf, Y., Baum, M., Zorn, T., Menzel, A. et al.,</w:t>
      </w:r>
      <w:r w:rsidR="004524D7">
        <w:t xml:space="preserve"> </w:t>
      </w:r>
      <w:r>
        <w:t xml:space="preserve">2021, </w:t>
      </w:r>
      <w:r w:rsidRPr="00A41A82">
        <w:t>Fuel cells hydrogen trucks – Heavy duty’s high performance green solution – Study summary, Publications Office,</w:t>
      </w:r>
      <w:r>
        <w:t xml:space="preserve"> </w:t>
      </w:r>
      <w:proofErr w:type="spellStart"/>
      <w:r w:rsidRPr="00A41A82">
        <w:t>doi</w:t>
      </w:r>
      <w:proofErr w:type="spellEnd"/>
      <w:r w:rsidRPr="00A41A82">
        <w:t>/10.2843/168949</w:t>
      </w:r>
    </w:p>
    <w:p w14:paraId="6F483844" w14:textId="4467C10F" w:rsidR="009F4B0E" w:rsidRPr="009F4B0E" w:rsidRDefault="009F4B0E" w:rsidP="006963CD">
      <w:pPr>
        <w:pStyle w:val="CETReferencetext"/>
        <w:rPr>
          <w:lang w:val="en-US"/>
        </w:rPr>
      </w:pPr>
      <w:r w:rsidRPr="009F4B0E">
        <w:rPr>
          <w:lang w:val="en-US"/>
        </w:rPr>
        <w:t xml:space="preserve">Santana, L., Santos, G., Santos, A., Marinho, C., Bispo, A., </w:t>
      </w:r>
      <w:proofErr w:type="spellStart"/>
      <w:r w:rsidRPr="009F4B0E">
        <w:rPr>
          <w:lang w:val="en-US"/>
        </w:rPr>
        <w:t>Villardi</w:t>
      </w:r>
      <w:proofErr w:type="spellEnd"/>
      <w:r w:rsidRPr="009F4B0E">
        <w:rPr>
          <w:lang w:val="en-US"/>
        </w:rPr>
        <w:t>, H., Pessoa, F., 2024, Evaluating the economic influence of water sources on green hydrogen production: A cost analysis approach</w:t>
      </w:r>
      <w:r>
        <w:rPr>
          <w:lang w:val="en-US"/>
        </w:rPr>
        <w:t>, International Journal of hydrogen energy, Vol 89, 353-363.</w:t>
      </w:r>
    </w:p>
    <w:p w14:paraId="65CE9F2D" w14:textId="090065A6" w:rsidR="007B0627" w:rsidRPr="00946F4D" w:rsidRDefault="007B0627" w:rsidP="006963CD">
      <w:pPr>
        <w:pStyle w:val="CETReferencetext"/>
        <w:rPr>
          <w:lang w:val="pt-BR"/>
        </w:rPr>
      </w:pPr>
      <w:r w:rsidRPr="00946F4D">
        <w:rPr>
          <w:lang w:val="pt-BR"/>
        </w:rPr>
        <w:lastRenderedPageBreak/>
        <w:t>SENAI</w:t>
      </w:r>
      <w:r w:rsidR="00626417" w:rsidRPr="00946F4D">
        <w:rPr>
          <w:lang w:val="pt-BR"/>
        </w:rPr>
        <w:t>, 2023, Atlas H2V Bahia</w:t>
      </w:r>
      <w:r w:rsidR="00606B10">
        <w:rPr>
          <w:lang w:val="pt-BR"/>
        </w:rPr>
        <w:t>. Salvador</w:t>
      </w:r>
      <w:r w:rsidR="00A322BC">
        <w:rPr>
          <w:lang w:val="pt-BR"/>
        </w:rPr>
        <w:t xml:space="preserve">. </w:t>
      </w:r>
      <w:r w:rsidR="00A322BC" w:rsidRPr="00A448A8">
        <w:rPr>
          <w:lang w:val="en-US"/>
        </w:rPr>
        <w:t xml:space="preserve">(In </w:t>
      </w:r>
      <w:proofErr w:type="spellStart"/>
      <w:r w:rsidR="00A322BC" w:rsidRPr="00A448A8">
        <w:rPr>
          <w:lang w:val="en-US"/>
        </w:rPr>
        <w:t>portuguese</w:t>
      </w:r>
      <w:proofErr w:type="spellEnd"/>
      <w:r w:rsidR="00A322BC" w:rsidRPr="00A448A8">
        <w:rPr>
          <w:lang w:val="en-US"/>
        </w:rPr>
        <w:t>)</w:t>
      </w:r>
    </w:p>
    <w:sectPr w:rsidR="007B0627" w:rsidRPr="00946F4D"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6D900" w14:textId="77777777" w:rsidR="00CE0016" w:rsidRDefault="00CE0016" w:rsidP="004F5E36">
      <w:r>
        <w:separator/>
      </w:r>
    </w:p>
  </w:endnote>
  <w:endnote w:type="continuationSeparator" w:id="0">
    <w:p w14:paraId="1258B30E" w14:textId="77777777" w:rsidR="00CE0016" w:rsidRDefault="00CE001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1DA90" w14:textId="77777777" w:rsidR="00CE0016" w:rsidRDefault="00CE0016" w:rsidP="004F5E36">
      <w:r>
        <w:separator/>
      </w:r>
    </w:p>
  </w:footnote>
  <w:footnote w:type="continuationSeparator" w:id="0">
    <w:p w14:paraId="6BE6FF1C" w14:textId="77777777" w:rsidR="00CE0016" w:rsidRDefault="00CE001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03D6DA4"/>
    <w:multiLevelType w:val="multilevel"/>
    <w:tmpl w:val="9C922E2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17E"/>
    <w:multiLevelType w:val="multilevel"/>
    <w:tmpl w:val="054ED77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color w:val="auto"/>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2C25B0"/>
    <w:multiLevelType w:val="multilevel"/>
    <w:tmpl w:val="F6AE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583286">
    <w:abstractNumId w:val="12"/>
  </w:num>
  <w:num w:numId="2" w16cid:durableId="1294403959">
    <w:abstractNumId w:val="8"/>
  </w:num>
  <w:num w:numId="3" w16cid:durableId="1578326608">
    <w:abstractNumId w:val="3"/>
  </w:num>
  <w:num w:numId="4" w16cid:durableId="388502658">
    <w:abstractNumId w:val="2"/>
  </w:num>
  <w:num w:numId="5" w16cid:durableId="1749308645">
    <w:abstractNumId w:val="1"/>
  </w:num>
  <w:num w:numId="6" w16cid:durableId="2100052384">
    <w:abstractNumId w:val="0"/>
  </w:num>
  <w:num w:numId="7" w16cid:durableId="972441985">
    <w:abstractNumId w:val="9"/>
  </w:num>
  <w:num w:numId="8" w16cid:durableId="556859478">
    <w:abstractNumId w:val="7"/>
  </w:num>
  <w:num w:numId="9" w16cid:durableId="1698048009">
    <w:abstractNumId w:val="6"/>
  </w:num>
  <w:num w:numId="10" w16cid:durableId="2037929327">
    <w:abstractNumId w:val="5"/>
  </w:num>
  <w:num w:numId="11" w16cid:durableId="619721617">
    <w:abstractNumId w:val="4"/>
  </w:num>
  <w:num w:numId="12" w16cid:durableId="29577098">
    <w:abstractNumId w:val="19"/>
  </w:num>
  <w:num w:numId="13" w16cid:durableId="1819574159">
    <w:abstractNumId w:val="14"/>
  </w:num>
  <w:num w:numId="14" w16cid:durableId="2121873919">
    <w:abstractNumId w:val="20"/>
  </w:num>
  <w:num w:numId="15" w16cid:durableId="2025663304">
    <w:abstractNumId w:val="22"/>
  </w:num>
  <w:num w:numId="16" w16cid:durableId="833371762">
    <w:abstractNumId w:val="21"/>
  </w:num>
  <w:num w:numId="17" w16cid:durableId="570195136">
    <w:abstractNumId w:val="13"/>
  </w:num>
  <w:num w:numId="18" w16cid:durableId="2056192357">
    <w:abstractNumId w:val="14"/>
    <w:lvlOverride w:ilvl="0">
      <w:startOverride w:val="1"/>
    </w:lvlOverride>
  </w:num>
  <w:num w:numId="19" w16cid:durableId="558783544">
    <w:abstractNumId w:val="18"/>
  </w:num>
  <w:num w:numId="20" w16cid:durableId="12542162">
    <w:abstractNumId w:val="17"/>
  </w:num>
  <w:num w:numId="21" w16cid:durableId="1237669752">
    <w:abstractNumId w:val="16"/>
  </w:num>
  <w:num w:numId="22" w16cid:durableId="1174413663">
    <w:abstractNumId w:val="15"/>
  </w:num>
  <w:num w:numId="23" w16cid:durableId="939869916">
    <w:abstractNumId w:val="10"/>
  </w:num>
  <w:num w:numId="24" w16cid:durableId="756900397">
    <w:abstractNumId w:val="23"/>
  </w:num>
  <w:num w:numId="25" w16cid:durableId="17794438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472B"/>
    <w:rsid w:val="00016021"/>
    <w:rsid w:val="00020452"/>
    <w:rsid w:val="0003148D"/>
    <w:rsid w:val="00031EEC"/>
    <w:rsid w:val="00051566"/>
    <w:rsid w:val="000562A9"/>
    <w:rsid w:val="00062A9A"/>
    <w:rsid w:val="00065058"/>
    <w:rsid w:val="00083A23"/>
    <w:rsid w:val="00086C39"/>
    <w:rsid w:val="00087EFB"/>
    <w:rsid w:val="000A03B2"/>
    <w:rsid w:val="000A36E0"/>
    <w:rsid w:val="000B690E"/>
    <w:rsid w:val="000B7A88"/>
    <w:rsid w:val="000B7C79"/>
    <w:rsid w:val="000C57A3"/>
    <w:rsid w:val="000D0268"/>
    <w:rsid w:val="000D216F"/>
    <w:rsid w:val="000D2EED"/>
    <w:rsid w:val="000D34BE"/>
    <w:rsid w:val="000D3E79"/>
    <w:rsid w:val="000E0B3C"/>
    <w:rsid w:val="000E102F"/>
    <w:rsid w:val="000E323F"/>
    <w:rsid w:val="000E36F1"/>
    <w:rsid w:val="000E3A73"/>
    <w:rsid w:val="000E414A"/>
    <w:rsid w:val="000E4B50"/>
    <w:rsid w:val="000E75FD"/>
    <w:rsid w:val="000F093C"/>
    <w:rsid w:val="000F787B"/>
    <w:rsid w:val="0012091F"/>
    <w:rsid w:val="00126BC2"/>
    <w:rsid w:val="001308B6"/>
    <w:rsid w:val="0013121F"/>
    <w:rsid w:val="00131FE6"/>
    <w:rsid w:val="0013263F"/>
    <w:rsid w:val="001331DF"/>
    <w:rsid w:val="00133F67"/>
    <w:rsid w:val="00134C52"/>
    <w:rsid w:val="00134DE4"/>
    <w:rsid w:val="0014034D"/>
    <w:rsid w:val="00140FE3"/>
    <w:rsid w:val="00144D16"/>
    <w:rsid w:val="001455BA"/>
    <w:rsid w:val="001457F4"/>
    <w:rsid w:val="00150CF8"/>
    <w:rsid w:val="00150E59"/>
    <w:rsid w:val="00152DE3"/>
    <w:rsid w:val="001545A3"/>
    <w:rsid w:val="0016031D"/>
    <w:rsid w:val="00164CF9"/>
    <w:rsid w:val="001667A6"/>
    <w:rsid w:val="00180194"/>
    <w:rsid w:val="0018171E"/>
    <w:rsid w:val="00184AD6"/>
    <w:rsid w:val="001A4AF7"/>
    <w:rsid w:val="001B0349"/>
    <w:rsid w:val="001B1E93"/>
    <w:rsid w:val="001B2D1B"/>
    <w:rsid w:val="001B4044"/>
    <w:rsid w:val="001B4209"/>
    <w:rsid w:val="001B65C1"/>
    <w:rsid w:val="001C260F"/>
    <w:rsid w:val="001C5C3A"/>
    <w:rsid w:val="001C684B"/>
    <w:rsid w:val="001D0CFB"/>
    <w:rsid w:val="001D21AF"/>
    <w:rsid w:val="001D53FC"/>
    <w:rsid w:val="001F42A5"/>
    <w:rsid w:val="001F7B9D"/>
    <w:rsid w:val="00201C93"/>
    <w:rsid w:val="002224B4"/>
    <w:rsid w:val="002245F7"/>
    <w:rsid w:val="00243813"/>
    <w:rsid w:val="002447EF"/>
    <w:rsid w:val="00247179"/>
    <w:rsid w:val="00251550"/>
    <w:rsid w:val="00251C6A"/>
    <w:rsid w:val="002538D7"/>
    <w:rsid w:val="0026304A"/>
    <w:rsid w:val="00263B05"/>
    <w:rsid w:val="0027221A"/>
    <w:rsid w:val="00275B61"/>
    <w:rsid w:val="00280FAF"/>
    <w:rsid w:val="00282656"/>
    <w:rsid w:val="002879E6"/>
    <w:rsid w:val="0029572E"/>
    <w:rsid w:val="00296B83"/>
    <w:rsid w:val="002B4015"/>
    <w:rsid w:val="002B78CE"/>
    <w:rsid w:val="002C0EB7"/>
    <w:rsid w:val="002C2FB6"/>
    <w:rsid w:val="002D0595"/>
    <w:rsid w:val="002D4DD8"/>
    <w:rsid w:val="002E5FA7"/>
    <w:rsid w:val="002F3309"/>
    <w:rsid w:val="002F50AF"/>
    <w:rsid w:val="003008CE"/>
    <w:rsid w:val="003009B7"/>
    <w:rsid w:val="00300E56"/>
    <w:rsid w:val="0030152C"/>
    <w:rsid w:val="0030469C"/>
    <w:rsid w:val="00317F05"/>
    <w:rsid w:val="00321CA6"/>
    <w:rsid w:val="003226BF"/>
    <w:rsid w:val="00323763"/>
    <w:rsid w:val="00323C5F"/>
    <w:rsid w:val="00334C09"/>
    <w:rsid w:val="003350C8"/>
    <w:rsid w:val="00344F43"/>
    <w:rsid w:val="003723D4"/>
    <w:rsid w:val="0037479B"/>
    <w:rsid w:val="003754F6"/>
    <w:rsid w:val="00381905"/>
    <w:rsid w:val="00384CC8"/>
    <w:rsid w:val="003871FD"/>
    <w:rsid w:val="003904D3"/>
    <w:rsid w:val="003A1E30"/>
    <w:rsid w:val="003A2829"/>
    <w:rsid w:val="003A573F"/>
    <w:rsid w:val="003A7D1C"/>
    <w:rsid w:val="003B304B"/>
    <w:rsid w:val="003B3146"/>
    <w:rsid w:val="003B49CD"/>
    <w:rsid w:val="003D1E02"/>
    <w:rsid w:val="003D3226"/>
    <w:rsid w:val="003D7851"/>
    <w:rsid w:val="003E31E8"/>
    <w:rsid w:val="003E4E2F"/>
    <w:rsid w:val="003F015E"/>
    <w:rsid w:val="003F3EF1"/>
    <w:rsid w:val="003F513D"/>
    <w:rsid w:val="00400414"/>
    <w:rsid w:val="0041446B"/>
    <w:rsid w:val="00420657"/>
    <w:rsid w:val="0042761B"/>
    <w:rsid w:val="00432120"/>
    <w:rsid w:val="0044071E"/>
    <w:rsid w:val="00440C14"/>
    <w:rsid w:val="0044329C"/>
    <w:rsid w:val="004436A2"/>
    <w:rsid w:val="004450EB"/>
    <w:rsid w:val="00445FA4"/>
    <w:rsid w:val="00450753"/>
    <w:rsid w:val="004524D7"/>
    <w:rsid w:val="00453E24"/>
    <w:rsid w:val="00457456"/>
    <w:rsid w:val="004577FE"/>
    <w:rsid w:val="00457B9C"/>
    <w:rsid w:val="0046164A"/>
    <w:rsid w:val="004628D2"/>
    <w:rsid w:val="00462DCD"/>
    <w:rsid w:val="004648AD"/>
    <w:rsid w:val="004703A9"/>
    <w:rsid w:val="00472415"/>
    <w:rsid w:val="004760DE"/>
    <w:rsid w:val="004763D7"/>
    <w:rsid w:val="004840C6"/>
    <w:rsid w:val="004945E9"/>
    <w:rsid w:val="004A004E"/>
    <w:rsid w:val="004A24CF"/>
    <w:rsid w:val="004A5298"/>
    <w:rsid w:val="004A7215"/>
    <w:rsid w:val="004B4596"/>
    <w:rsid w:val="004C3D1D"/>
    <w:rsid w:val="004C3D84"/>
    <w:rsid w:val="004C4448"/>
    <w:rsid w:val="004C7913"/>
    <w:rsid w:val="004E2B84"/>
    <w:rsid w:val="004E3D63"/>
    <w:rsid w:val="004E4DD6"/>
    <w:rsid w:val="004F5E36"/>
    <w:rsid w:val="00507B47"/>
    <w:rsid w:val="00507BEF"/>
    <w:rsid w:val="00507CC9"/>
    <w:rsid w:val="005119A5"/>
    <w:rsid w:val="005278B7"/>
    <w:rsid w:val="00532016"/>
    <w:rsid w:val="00532300"/>
    <w:rsid w:val="005346C8"/>
    <w:rsid w:val="00543E7D"/>
    <w:rsid w:val="00545635"/>
    <w:rsid w:val="00547A68"/>
    <w:rsid w:val="005531C9"/>
    <w:rsid w:val="00554879"/>
    <w:rsid w:val="005631BF"/>
    <w:rsid w:val="00570950"/>
    <w:rsid w:val="00570C43"/>
    <w:rsid w:val="0057644F"/>
    <w:rsid w:val="005849C0"/>
    <w:rsid w:val="00592274"/>
    <w:rsid w:val="005A47A3"/>
    <w:rsid w:val="005A4CED"/>
    <w:rsid w:val="005B2110"/>
    <w:rsid w:val="005B350B"/>
    <w:rsid w:val="005B587B"/>
    <w:rsid w:val="005B61E6"/>
    <w:rsid w:val="005C77E1"/>
    <w:rsid w:val="005D668A"/>
    <w:rsid w:val="005D6A2F"/>
    <w:rsid w:val="005E0592"/>
    <w:rsid w:val="005E1A82"/>
    <w:rsid w:val="005E794C"/>
    <w:rsid w:val="005F0A28"/>
    <w:rsid w:val="005F0E5E"/>
    <w:rsid w:val="005F6427"/>
    <w:rsid w:val="00600535"/>
    <w:rsid w:val="00604D4C"/>
    <w:rsid w:val="00606B10"/>
    <w:rsid w:val="00610CD6"/>
    <w:rsid w:val="00620DEE"/>
    <w:rsid w:val="006212F7"/>
    <w:rsid w:val="00621F92"/>
    <w:rsid w:val="0062280A"/>
    <w:rsid w:val="006231E1"/>
    <w:rsid w:val="00625639"/>
    <w:rsid w:val="00626417"/>
    <w:rsid w:val="0063134C"/>
    <w:rsid w:val="00631B33"/>
    <w:rsid w:val="0064184D"/>
    <w:rsid w:val="006422CC"/>
    <w:rsid w:val="00651D18"/>
    <w:rsid w:val="00653239"/>
    <w:rsid w:val="006541AA"/>
    <w:rsid w:val="00660E3E"/>
    <w:rsid w:val="00662E74"/>
    <w:rsid w:val="00680C23"/>
    <w:rsid w:val="00683E23"/>
    <w:rsid w:val="00690F08"/>
    <w:rsid w:val="00690F5C"/>
    <w:rsid w:val="00693766"/>
    <w:rsid w:val="006963B2"/>
    <w:rsid w:val="006963CD"/>
    <w:rsid w:val="00696536"/>
    <w:rsid w:val="006A3281"/>
    <w:rsid w:val="006A6DE5"/>
    <w:rsid w:val="006B4888"/>
    <w:rsid w:val="006C1878"/>
    <w:rsid w:val="006C2E45"/>
    <w:rsid w:val="006C359C"/>
    <w:rsid w:val="006C5579"/>
    <w:rsid w:val="006D6E8B"/>
    <w:rsid w:val="006D7209"/>
    <w:rsid w:val="006E1646"/>
    <w:rsid w:val="006E5735"/>
    <w:rsid w:val="006E737D"/>
    <w:rsid w:val="00707DD1"/>
    <w:rsid w:val="00711150"/>
    <w:rsid w:val="00713973"/>
    <w:rsid w:val="00720A24"/>
    <w:rsid w:val="0072117E"/>
    <w:rsid w:val="00725F14"/>
    <w:rsid w:val="00730BDF"/>
    <w:rsid w:val="00732386"/>
    <w:rsid w:val="0073514D"/>
    <w:rsid w:val="007447F3"/>
    <w:rsid w:val="0075113D"/>
    <w:rsid w:val="0075377D"/>
    <w:rsid w:val="00754836"/>
    <w:rsid w:val="0075499F"/>
    <w:rsid w:val="00761AFA"/>
    <w:rsid w:val="007661C8"/>
    <w:rsid w:val="0077098D"/>
    <w:rsid w:val="00785BF9"/>
    <w:rsid w:val="007866AC"/>
    <w:rsid w:val="007931FA"/>
    <w:rsid w:val="00797390"/>
    <w:rsid w:val="007A0245"/>
    <w:rsid w:val="007A172F"/>
    <w:rsid w:val="007A4861"/>
    <w:rsid w:val="007A7AE0"/>
    <w:rsid w:val="007A7BBA"/>
    <w:rsid w:val="007B0627"/>
    <w:rsid w:val="007B0C50"/>
    <w:rsid w:val="007B1CC0"/>
    <w:rsid w:val="007B338B"/>
    <w:rsid w:val="007B3C4B"/>
    <w:rsid w:val="007B48F9"/>
    <w:rsid w:val="007C1A43"/>
    <w:rsid w:val="007D0951"/>
    <w:rsid w:val="007D0CFD"/>
    <w:rsid w:val="007D610D"/>
    <w:rsid w:val="0080013E"/>
    <w:rsid w:val="00801759"/>
    <w:rsid w:val="00813288"/>
    <w:rsid w:val="008168FC"/>
    <w:rsid w:val="00826F76"/>
    <w:rsid w:val="00830996"/>
    <w:rsid w:val="008345F1"/>
    <w:rsid w:val="008350AF"/>
    <w:rsid w:val="0084141E"/>
    <w:rsid w:val="00845795"/>
    <w:rsid w:val="008470F8"/>
    <w:rsid w:val="00847C3A"/>
    <w:rsid w:val="00865B07"/>
    <w:rsid w:val="008667EA"/>
    <w:rsid w:val="008718E9"/>
    <w:rsid w:val="0087637F"/>
    <w:rsid w:val="008818A2"/>
    <w:rsid w:val="00882C08"/>
    <w:rsid w:val="008832AA"/>
    <w:rsid w:val="0088409A"/>
    <w:rsid w:val="00892AD5"/>
    <w:rsid w:val="0089667C"/>
    <w:rsid w:val="008A1512"/>
    <w:rsid w:val="008A69AA"/>
    <w:rsid w:val="008B4108"/>
    <w:rsid w:val="008D0371"/>
    <w:rsid w:val="008D32B9"/>
    <w:rsid w:val="008D433B"/>
    <w:rsid w:val="008D4A16"/>
    <w:rsid w:val="008E0BF7"/>
    <w:rsid w:val="008E459A"/>
    <w:rsid w:val="008E5401"/>
    <w:rsid w:val="008E566E"/>
    <w:rsid w:val="008F7E36"/>
    <w:rsid w:val="0090161A"/>
    <w:rsid w:val="00901EB6"/>
    <w:rsid w:val="009022D0"/>
    <w:rsid w:val="00903471"/>
    <w:rsid w:val="009041F8"/>
    <w:rsid w:val="00904C62"/>
    <w:rsid w:val="00905DA8"/>
    <w:rsid w:val="00910624"/>
    <w:rsid w:val="009149EF"/>
    <w:rsid w:val="00915DA8"/>
    <w:rsid w:val="00922BA8"/>
    <w:rsid w:val="00924DAC"/>
    <w:rsid w:val="00927058"/>
    <w:rsid w:val="00942750"/>
    <w:rsid w:val="009450CE"/>
    <w:rsid w:val="009459BB"/>
    <w:rsid w:val="00946F4D"/>
    <w:rsid w:val="00947179"/>
    <w:rsid w:val="0095164B"/>
    <w:rsid w:val="00954090"/>
    <w:rsid w:val="009569AB"/>
    <w:rsid w:val="009573E7"/>
    <w:rsid w:val="00963E05"/>
    <w:rsid w:val="00964543"/>
    <w:rsid w:val="00964A45"/>
    <w:rsid w:val="00967843"/>
    <w:rsid w:val="00967D54"/>
    <w:rsid w:val="009708F1"/>
    <w:rsid w:val="00971028"/>
    <w:rsid w:val="00980228"/>
    <w:rsid w:val="00981E7A"/>
    <w:rsid w:val="009834A2"/>
    <w:rsid w:val="00993B84"/>
    <w:rsid w:val="00994C6A"/>
    <w:rsid w:val="00996483"/>
    <w:rsid w:val="00996F5A"/>
    <w:rsid w:val="009B041A"/>
    <w:rsid w:val="009C37C3"/>
    <w:rsid w:val="009C7C86"/>
    <w:rsid w:val="009D23B6"/>
    <w:rsid w:val="009D2FF7"/>
    <w:rsid w:val="009D78AD"/>
    <w:rsid w:val="009E51A6"/>
    <w:rsid w:val="009E7884"/>
    <w:rsid w:val="009E788A"/>
    <w:rsid w:val="009F0E08"/>
    <w:rsid w:val="009F2B46"/>
    <w:rsid w:val="009F4B0E"/>
    <w:rsid w:val="009F6BC5"/>
    <w:rsid w:val="009F71A9"/>
    <w:rsid w:val="00A079AE"/>
    <w:rsid w:val="00A14672"/>
    <w:rsid w:val="00A1763D"/>
    <w:rsid w:val="00A17CEC"/>
    <w:rsid w:val="00A27EF0"/>
    <w:rsid w:val="00A322BC"/>
    <w:rsid w:val="00A33A69"/>
    <w:rsid w:val="00A33E3A"/>
    <w:rsid w:val="00A4116C"/>
    <w:rsid w:val="00A41A82"/>
    <w:rsid w:val="00A42361"/>
    <w:rsid w:val="00A448A8"/>
    <w:rsid w:val="00A457B0"/>
    <w:rsid w:val="00A50B20"/>
    <w:rsid w:val="00A51390"/>
    <w:rsid w:val="00A51DFD"/>
    <w:rsid w:val="00A53D3C"/>
    <w:rsid w:val="00A60D13"/>
    <w:rsid w:val="00A70253"/>
    <w:rsid w:val="00A7223D"/>
    <w:rsid w:val="00A72745"/>
    <w:rsid w:val="00A76EFC"/>
    <w:rsid w:val="00A81BB4"/>
    <w:rsid w:val="00A826C5"/>
    <w:rsid w:val="00A83E9B"/>
    <w:rsid w:val="00A85A53"/>
    <w:rsid w:val="00A87D50"/>
    <w:rsid w:val="00A91010"/>
    <w:rsid w:val="00A97F29"/>
    <w:rsid w:val="00AA702E"/>
    <w:rsid w:val="00AA7D26"/>
    <w:rsid w:val="00AB0964"/>
    <w:rsid w:val="00AB5011"/>
    <w:rsid w:val="00AB7BFD"/>
    <w:rsid w:val="00AC7368"/>
    <w:rsid w:val="00AD16B9"/>
    <w:rsid w:val="00AD3070"/>
    <w:rsid w:val="00AE377D"/>
    <w:rsid w:val="00AF0EBA"/>
    <w:rsid w:val="00AF2463"/>
    <w:rsid w:val="00AF503A"/>
    <w:rsid w:val="00B02C8A"/>
    <w:rsid w:val="00B05E3D"/>
    <w:rsid w:val="00B15A26"/>
    <w:rsid w:val="00B17FBD"/>
    <w:rsid w:val="00B225A4"/>
    <w:rsid w:val="00B2476C"/>
    <w:rsid w:val="00B315A6"/>
    <w:rsid w:val="00B31813"/>
    <w:rsid w:val="00B33365"/>
    <w:rsid w:val="00B33898"/>
    <w:rsid w:val="00B35BB6"/>
    <w:rsid w:val="00B4078B"/>
    <w:rsid w:val="00B57B36"/>
    <w:rsid w:val="00B57E6F"/>
    <w:rsid w:val="00B62B0B"/>
    <w:rsid w:val="00B63AB9"/>
    <w:rsid w:val="00B809C1"/>
    <w:rsid w:val="00B85E1F"/>
    <w:rsid w:val="00B8686D"/>
    <w:rsid w:val="00B93F69"/>
    <w:rsid w:val="00BA316C"/>
    <w:rsid w:val="00BB1DDC"/>
    <w:rsid w:val="00BC30C9"/>
    <w:rsid w:val="00BD077D"/>
    <w:rsid w:val="00BD10B2"/>
    <w:rsid w:val="00BD675E"/>
    <w:rsid w:val="00BE3E58"/>
    <w:rsid w:val="00BE44E0"/>
    <w:rsid w:val="00BE4B07"/>
    <w:rsid w:val="00BE5CB3"/>
    <w:rsid w:val="00BE7E28"/>
    <w:rsid w:val="00BF13CE"/>
    <w:rsid w:val="00BF60D9"/>
    <w:rsid w:val="00C01616"/>
    <w:rsid w:val="00C0162B"/>
    <w:rsid w:val="00C047C1"/>
    <w:rsid w:val="00C068ED"/>
    <w:rsid w:val="00C20569"/>
    <w:rsid w:val="00C22E0C"/>
    <w:rsid w:val="00C32C7D"/>
    <w:rsid w:val="00C345B1"/>
    <w:rsid w:val="00C36B2A"/>
    <w:rsid w:val="00C40142"/>
    <w:rsid w:val="00C432FD"/>
    <w:rsid w:val="00C461C9"/>
    <w:rsid w:val="00C52C3C"/>
    <w:rsid w:val="00C54B83"/>
    <w:rsid w:val="00C57182"/>
    <w:rsid w:val="00C57863"/>
    <w:rsid w:val="00C640AF"/>
    <w:rsid w:val="00C655FD"/>
    <w:rsid w:val="00C66C65"/>
    <w:rsid w:val="00C7445D"/>
    <w:rsid w:val="00C75407"/>
    <w:rsid w:val="00C767CE"/>
    <w:rsid w:val="00C77B02"/>
    <w:rsid w:val="00C81E7D"/>
    <w:rsid w:val="00C841C6"/>
    <w:rsid w:val="00C870A8"/>
    <w:rsid w:val="00C94434"/>
    <w:rsid w:val="00C97A22"/>
    <w:rsid w:val="00CA0D75"/>
    <w:rsid w:val="00CA1C95"/>
    <w:rsid w:val="00CA5A9C"/>
    <w:rsid w:val="00CA6F11"/>
    <w:rsid w:val="00CC4C20"/>
    <w:rsid w:val="00CC5F24"/>
    <w:rsid w:val="00CD3517"/>
    <w:rsid w:val="00CD5FE2"/>
    <w:rsid w:val="00CE0016"/>
    <w:rsid w:val="00CE7C68"/>
    <w:rsid w:val="00D02B4C"/>
    <w:rsid w:val="00D040C4"/>
    <w:rsid w:val="00D20AD1"/>
    <w:rsid w:val="00D21E24"/>
    <w:rsid w:val="00D2239C"/>
    <w:rsid w:val="00D23BE4"/>
    <w:rsid w:val="00D2582C"/>
    <w:rsid w:val="00D46B7E"/>
    <w:rsid w:val="00D47A0C"/>
    <w:rsid w:val="00D57C84"/>
    <w:rsid w:val="00D6057D"/>
    <w:rsid w:val="00D71640"/>
    <w:rsid w:val="00D73FD9"/>
    <w:rsid w:val="00D836C5"/>
    <w:rsid w:val="00D84576"/>
    <w:rsid w:val="00D946B7"/>
    <w:rsid w:val="00DA1399"/>
    <w:rsid w:val="00DA1CF8"/>
    <w:rsid w:val="00DA24C6"/>
    <w:rsid w:val="00DA34A4"/>
    <w:rsid w:val="00DA4D7B"/>
    <w:rsid w:val="00DB6B1D"/>
    <w:rsid w:val="00DC2840"/>
    <w:rsid w:val="00DC73EE"/>
    <w:rsid w:val="00DD271C"/>
    <w:rsid w:val="00DE264A"/>
    <w:rsid w:val="00DF5072"/>
    <w:rsid w:val="00DF5F9E"/>
    <w:rsid w:val="00E02D18"/>
    <w:rsid w:val="00E041E7"/>
    <w:rsid w:val="00E04ED5"/>
    <w:rsid w:val="00E23CA1"/>
    <w:rsid w:val="00E409A8"/>
    <w:rsid w:val="00E50670"/>
    <w:rsid w:val="00E50C12"/>
    <w:rsid w:val="00E529FB"/>
    <w:rsid w:val="00E65B91"/>
    <w:rsid w:val="00E67921"/>
    <w:rsid w:val="00E7209D"/>
    <w:rsid w:val="00E72EAD"/>
    <w:rsid w:val="00E77223"/>
    <w:rsid w:val="00E8528B"/>
    <w:rsid w:val="00E85B94"/>
    <w:rsid w:val="00E87537"/>
    <w:rsid w:val="00E978D0"/>
    <w:rsid w:val="00EA4613"/>
    <w:rsid w:val="00EA7F91"/>
    <w:rsid w:val="00EB1523"/>
    <w:rsid w:val="00EB4076"/>
    <w:rsid w:val="00EC0E49"/>
    <w:rsid w:val="00EC101F"/>
    <w:rsid w:val="00EC1D9F"/>
    <w:rsid w:val="00ED1C5D"/>
    <w:rsid w:val="00EE0131"/>
    <w:rsid w:val="00EE17B0"/>
    <w:rsid w:val="00EF06D9"/>
    <w:rsid w:val="00EF3C97"/>
    <w:rsid w:val="00F06378"/>
    <w:rsid w:val="00F111D9"/>
    <w:rsid w:val="00F126CB"/>
    <w:rsid w:val="00F3049E"/>
    <w:rsid w:val="00F30C64"/>
    <w:rsid w:val="00F32BA2"/>
    <w:rsid w:val="00F32CDB"/>
    <w:rsid w:val="00F35D68"/>
    <w:rsid w:val="00F36C51"/>
    <w:rsid w:val="00F41EE4"/>
    <w:rsid w:val="00F565FE"/>
    <w:rsid w:val="00F63A70"/>
    <w:rsid w:val="00F63D8C"/>
    <w:rsid w:val="00F7534E"/>
    <w:rsid w:val="00F7670C"/>
    <w:rsid w:val="00F82D68"/>
    <w:rsid w:val="00F93EDF"/>
    <w:rsid w:val="00FA1802"/>
    <w:rsid w:val="00FA21D0"/>
    <w:rsid w:val="00FA5F5F"/>
    <w:rsid w:val="00FB730C"/>
    <w:rsid w:val="00FC2695"/>
    <w:rsid w:val="00FC3E03"/>
    <w:rsid w:val="00FC3FC1"/>
    <w:rsid w:val="00FE33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D0371"/>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D0371"/>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customStyle="1" w:styleId="MenoPendente1">
    <w:name w:val="Menção Pendente1"/>
    <w:basedOn w:val="Fontepargpadro"/>
    <w:uiPriority w:val="99"/>
    <w:semiHidden/>
    <w:unhideWhenUsed/>
    <w:rsid w:val="009D23B6"/>
    <w:rPr>
      <w:color w:val="605E5C"/>
      <w:shd w:val="clear" w:color="auto" w:fill="E1DFDD"/>
    </w:rPr>
  </w:style>
  <w:style w:type="character" w:styleId="TextodoEspaoReservado">
    <w:name w:val="Placeholder Text"/>
    <w:basedOn w:val="Fontepargpadro"/>
    <w:uiPriority w:val="99"/>
    <w:semiHidden/>
    <w:rsid w:val="004945E9"/>
    <w:rPr>
      <w:color w:val="666666"/>
    </w:rPr>
  </w:style>
  <w:style w:type="paragraph" w:styleId="Reviso">
    <w:name w:val="Revision"/>
    <w:hidden/>
    <w:uiPriority w:val="99"/>
    <w:semiHidden/>
    <w:rsid w:val="00A53D3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92992">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375810870">
      <w:bodyDiv w:val="1"/>
      <w:marLeft w:val="0"/>
      <w:marRight w:val="0"/>
      <w:marTop w:val="0"/>
      <w:marBottom w:val="0"/>
      <w:divBdr>
        <w:top w:val="none" w:sz="0" w:space="0" w:color="auto"/>
        <w:left w:val="none" w:sz="0" w:space="0" w:color="auto"/>
        <w:bottom w:val="none" w:sz="0" w:space="0" w:color="auto"/>
        <w:right w:val="none" w:sz="0" w:space="0" w:color="auto"/>
      </w:divBdr>
    </w:div>
    <w:div w:id="450976889">
      <w:bodyDiv w:val="1"/>
      <w:marLeft w:val="0"/>
      <w:marRight w:val="0"/>
      <w:marTop w:val="0"/>
      <w:marBottom w:val="0"/>
      <w:divBdr>
        <w:top w:val="none" w:sz="0" w:space="0" w:color="auto"/>
        <w:left w:val="none" w:sz="0" w:space="0" w:color="auto"/>
        <w:bottom w:val="none" w:sz="0" w:space="0" w:color="auto"/>
        <w:right w:val="none" w:sz="0" w:space="0" w:color="auto"/>
      </w:divBdr>
    </w:div>
    <w:div w:id="468329169">
      <w:bodyDiv w:val="1"/>
      <w:marLeft w:val="0"/>
      <w:marRight w:val="0"/>
      <w:marTop w:val="0"/>
      <w:marBottom w:val="0"/>
      <w:divBdr>
        <w:top w:val="none" w:sz="0" w:space="0" w:color="auto"/>
        <w:left w:val="none" w:sz="0" w:space="0" w:color="auto"/>
        <w:bottom w:val="none" w:sz="0" w:space="0" w:color="auto"/>
        <w:right w:val="none" w:sz="0" w:space="0" w:color="auto"/>
      </w:divBdr>
    </w:div>
    <w:div w:id="511921670">
      <w:bodyDiv w:val="1"/>
      <w:marLeft w:val="0"/>
      <w:marRight w:val="0"/>
      <w:marTop w:val="0"/>
      <w:marBottom w:val="0"/>
      <w:divBdr>
        <w:top w:val="none" w:sz="0" w:space="0" w:color="auto"/>
        <w:left w:val="none" w:sz="0" w:space="0" w:color="auto"/>
        <w:bottom w:val="none" w:sz="0" w:space="0" w:color="auto"/>
        <w:right w:val="none" w:sz="0" w:space="0" w:color="auto"/>
      </w:divBdr>
    </w:div>
    <w:div w:id="539518185">
      <w:bodyDiv w:val="1"/>
      <w:marLeft w:val="0"/>
      <w:marRight w:val="0"/>
      <w:marTop w:val="0"/>
      <w:marBottom w:val="0"/>
      <w:divBdr>
        <w:top w:val="none" w:sz="0" w:space="0" w:color="auto"/>
        <w:left w:val="none" w:sz="0" w:space="0" w:color="auto"/>
        <w:bottom w:val="none" w:sz="0" w:space="0" w:color="auto"/>
        <w:right w:val="none" w:sz="0" w:space="0" w:color="auto"/>
      </w:divBdr>
    </w:div>
    <w:div w:id="573703556">
      <w:bodyDiv w:val="1"/>
      <w:marLeft w:val="0"/>
      <w:marRight w:val="0"/>
      <w:marTop w:val="0"/>
      <w:marBottom w:val="0"/>
      <w:divBdr>
        <w:top w:val="none" w:sz="0" w:space="0" w:color="auto"/>
        <w:left w:val="none" w:sz="0" w:space="0" w:color="auto"/>
        <w:bottom w:val="none" w:sz="0" w:space="0" w:color="auto"/>
        <w:right w:val="none" w:sz="0" w:space="0" w:color="auto"/>
      </w:divBdr>
      <w:divsChild>
        <w:div w:id="1701198042">
          <w:marLeft w:val="0"/>
          <w:marRight w:val="0"/>
          <w:marTop w:val="0"/>
          <w:marBottom w:val="0"/>
          <w:divBdr>
            <w:top w:val="none" w:sz="0" w:space="0" w:color="auto"/>
            <w:left w:val="none" w:sz="0" w:space="0" w:color="auto"/>
            <w:bottom w:val="none" w:sz="0" w:space="0" w:color="auto"/>
            <w:right w:val="none" w:sz="0" w:space="0" w:color="auto"/>
          </w:divBdr>
          <w:divsChild>
            <w:div w:id="20269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672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1819153">
      <w:bodyDiv w:val="1"/>
      <w:marLeft w:val="0"/>
      <w:marRight w:val="0"/>
      <w:marTop w:val="0"/>
      <w:marBottom w:val="0"/>
      <w:divBdr>
        <w:top w:val="none" w:sz="0" w:space="0" w:color="auto"/>
        <w:left w:val="none" w:sz="0" w:space="0" w:color="auto"/>
        <w:bottom w:val="none" w:sz="0" w:space="0" w:color="auto"/>
        <w:right w:val="none" w:sz="0" w:space="0" w:color="auto"/>
      </w:divBdr>
      <w:divsChild>
        <w:div w:id="950477050">
          <w:marLeft w:val="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74886">
      <w:bodyDiv w:val="1"/>
      <w:marLeft w:val="0"/>
      <w:marRight w:val="0"/>
      <w:marTop w:val="0"/>
      <w:marBottom w:val="0"/>
      <w:divBdr>
        <w:top w:val="none" w:sz="0" w:space="0" w:color="auto"/>
        <w:left w:val="none" w:sz="0" w:space="0" w:color="auto"/>
        <w:bottom w:val="none" w:sz="0" w:space="0" w:color="auto"/>
        <w:right w:val="none" w:sz="0" w:space="0" w:color="auto"/>
      </w:divBdr>
    </w:div>
    <w:div w:id="1025328337">
      <w:bodyDiv w:val="1"/>
      <w:marLeft w:val="0"/>
      <w:marRight w:val="0"/>
      <w:marTop w:val="0"/>
      <w:marBottom w:val="0"/>
      <w:divBdr>
        <w:top w:val="none" w:sz="0" w:space="0" w:color="auto"/>
        <w:left w:val="none" w:sz="0" w:space="0" w:color="auto"/>
        <w:bottom w:val="none" w:sz="0" w:space="0" w:color="auto"/>
        <w:right w:val="none" w:sz="0" w:space="0" w:color="auto"/>
      </w:divBdr>
    </w:div>
    <w:div w:id="1099907077">
      <w:bodyDiv w:val="1"/>
      <w:marLeft w:val="0"/>
      <w:marRight w:val="0"/>
      <w:marTop w:val="0"/>
      <w:marBottom w:val="0"/>
      <w:divBdr>
        <w:top w:val="none" w:sz="0" w:space="0" w:color="auto"/>
        <w:left w:val="none" w:sz="0" w:space="0" w:color="auto"/>
        <w:bottom w:val="none" w:sz="0" w:space="0" w:color="auto"/>
        <w:right w:val="none" w:sz="0" w:space="0" w:color="auto"/>
      </w:divBdr>
    </w:div>
    <w:div w:id="1203059597">
      <w:bodyDiv w:val="1"/>
      <w:marLeft w:val="0"/>
      <w:marRight w:val="0"/>
      <w:marTop w:val="0"/>
      <w:marBottom w:val="0"/>
      <w:divBdr>
        <w:top w:val="none" w:sz="0" w:space="0" w:color="auto"/>
        <w:left w:val="none" w:sz="0" w:space="0" w:color="auto"/>
        <w:bottom w:val="none" w:sz="0" w:space="0" w:color="auto"/>
        <w:right w:val="none" w:sz="0" w:space="0" w:color="auto"/>
      </w:divBdr>
    </w:div>
    <w:div w:id="1216970280">
      <w:bodyDiv w:val="1"/>
      <w:marLeft w:val="0"/>
      <w:marRight w:val="0"/>
      <w:marTop w:val="0"/>
      <w:marBottom w:val="0"/>
      <w:divBdr>
        <w:top w:val="none" w:sz="0" w:space="0" w:color="auto"/>
        <w:left w:val="none" w:sz="0" w:space="0" w:color="auto"/>
        <w:bottom w:val="none" w:sz="0" w:space="0" w:color="auto"/>
        <w:right w:val="none" w:sz="0" w:space="0" w:color="auto"/>
      </w:divBdr>
    </w:div>
    <w:div w:id="1291934541">
      <w:bodyDiv w:val="1"/>
      <w:marLeft w:val="0"/>
      <w:marRight w:val="0"/>
      <w:marTop w:val="0"/>
      <w:marBottom w:val="0"/>
      <w:divBdr>
        <w:top w:val="none" w:sz="0" w:space="0" w:color="auto"/>
        <w:left w:val="none" w:sz="0" w:space="0" w:color="auto"/>
        <w:bottom w:val="none" w:sz="0" w:space="0" w:color="auto"/>
        <w:right w:val="none" w:sz="0" w:space="0" w:color="auto"/>
      </w:divBdr>
    </w:div>
    <w:div w:id="132797307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7040041">
      <w:bodyDiv w:val="1"/>
      <w:marLeft w:val="0"/>
      <w:marRight w:val="0"/>
      <w:marTop w:val="0"/>
      <w:marBottom w:val="0"/>
      <w:divBdr>
        <w:top w:val="none" w:sz="0" w:space="0" w:color="auto"/>
        <w:left w:val="none" w:sz="0" w:space="0" w:color="auto"/>
        <w:bottom w:val="none" w:sz="0" w:space="0" w:color="auto"/>
        <w:right w:val="none" w:sz="0" w:space="0" w:color="auto"/>
      </w:divBdr>
    </w:div>
    <w:div w:id="165926316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3305537">
      <w:bodyDiv w:val="1"/>
      <w:marLeft w:val="0"/>
      <w:marRight w:val="0"/>
      <w:marTop w:val="0"/>
      <w:marBottom w:val="0"/>
      <w:divBdr>
        <w:top w:val="none" w:sz="0" w:space="0" w:color="auto"/>
        <w:left w:val="none" w:sz="0" w:space="0" w:color="auto"/>
        <w:bottom w:val="none" w:sz="0" w:space="0" w:color="auto"/>
        <w:right w:val="none" w:sz="0" w:space="0" w:color="auto"/>
      </w:divBdr>
    </w:div>
    <w:div w:id="1775589336">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53686833">
      <w:bodyDiv w:val="1"/>
      <w:marLeft w:val="0"/>
      <w:marRight w:val="0"/>
      <w:marTop w:val="0"/>
      <w:marBottom w:val="0"/>
      <w:divBdr>
        <w:top w:val="none" w:sz="0" w:space="0" w:color="auto"/>
        <w:left w:val="none" w:sz="0" w:space="0" w:color="auto"/>
        <w:bottom w:val="none" w:sz="0" w:space="0" w:color="auto"/>
        <w:right w:val="none" w:sz="0" w:space="0" w:color="auto"/>
      </w:divBdr>
    </w:div>
    <w:div w:id="1914657253">
      <w:bodyDiv w:val="1"/>
      <w:marLeft w:val="0"/>
      <w:marRight w:val="0"/>
      <w:marTop w:val="0"/>
      <w:marBottom w:val="0"/>
      <w:divBdr>
        <w:top w:val="none" w:sz="0" w:space="0" w:color="auto"/>
        <w:left w:val="none" w:sz="0" w:space="0" w:color="auto"/>
        <w:bottom w:val="none" w:sz="0" w:space="0" w:color="auto"/>
        <w:right w:val="none" w:sz="0" w:space="0" w:color="auto"/>
      </w:divBdr>
      <w:divsChild>
        <w:div w:id="542792600">
          <w:marLeft w:val="0"/>
          <w:marRight w:val="0"/>
          <w:marTop w:val="0"/>
          <w:marBottom w:val="0"/>
          <w:divBdr>
            <w:top w:val="none" w:sz="0" w:space="0" w:color="auto"/>
            <w:left w:val="none" w:sz="0" w:space="0" w:color="auto"/>
            <w:bottom w:val="none" w:sz="0" w:space="0" w:color="auto"/>
            <w:right w:val="none" w:sz="0" w:space="0" w:color="auto"/>
          </w:divBdr>
          <w:divsChild>
            <w:div w:id="18045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5847">
      <w:bodyDiv w:val="1"/>
      <w:marLeft w:val="0"/>
      <w:marRight w:val="0"/>
      <w:marTop w:val="0"/>
      <w:marBottom w:val="0"/>
      <w:divBdr>
        <w:top w:val="none" w:sz="0" w:space="0" w:color="auto"/>
        <w:left w:val="none" w:sz="0" w:space="0" w:color="auto"/>
        <w:bottom w:val="none" w:sz="0" w:space="0" w:color="auto"/>
        <w:right w:val="none" w:sz="0" w:space="0" w:color="auto"/>
      </w:divBdr>
    </w:div>
    <w:div w:id="1948929406">
      <w:bodyDiv w:val="1"/>
      <w:marLeft w:val="0"/>
      <w:marRight w:val="0"/>
      <w:marTop w:val="0"/>
      <w:marBottom w:val="0"/>
      <w:divBdr>
        <w:top w:val="none" w:sz="0" w:space="0" w:color="auto"/>
        <w:left w:val="none" w:sz="0" w:space="0" w:color="auto"/>
        <w:bottom w:val="none" w:sz="0" w:space="0" w:color="auto"/>
        <w:right w:val="none" w:sz="0" w:space="0" w:color="auto"/>
      </w:divBdr>
    </w:div>
    <w:div w:id="210842605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80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fia.com.br/blog/roadma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69878-6A5C-45EF-8B67-9D0E2E7B9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2604</Words>
  <Characters>15417</Characters>
  <Application>Microsoft Office Word</Application>
  <DocSecurity>0</DocSecurity>
  <Lines>350</Lines>
  <Paragraphs>217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Leonardo Oliveira Santos de Santana</cp:lastModifiedBy>
  <cp:revision>8</cp:revision>
  <cp:lastPrinted>2015-05-12T18:31:00Z</cp:lastPrinted>
  <dcterms:created xsi:type="dcterms:W3CDTF">2025-04-29T07:54:00Z</dcterms:created>
  <dcterms:modified xsi:type="dcterms:W3CDTF">2025-07-15T13:36:00Z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5ead6fe73a5e02b77a75b471a160b4df67060245d87e4d28209bf856ecf76a07</vt:lpwstr>
  </property>
</Properties>
</file>