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969F9">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C969F9">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C969F9">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B6DA8E3" w:rsidR="00E978D0" w:rsidRPr="00B57B36" w:rsidRDefault="00C969F9" w:rsidP="00E978D0">
      <w:pPr>
        <w:pStyle w:val="CETTitle"/>
      </w:pPr>
      <w:r w:rsidRPr="00C969F9">
        <w:t>Preliminary Investigation on the Sewage Sludge Gasification: Reactor and Operating Parameters Optimization</w:t>
      </w:r>
    </w:p>
    <w:p w14:paraId="0488FED2" w14:textId="6F3C6451" w:rsidR="00B57E6F" w:rsidRPr="00C969F9" w:rsidRDefault="00C969F9" w:rsidP="00B57E6F">
      <w:pPr>
        <w:pStyle w:val="CETAuthors"/>
        <w:rPr>
          <w:lang w:val="it-IT"/>
        </w:rPr>
      </w:pPr>
      <w:r w:rsidRPr="00C969F9">
        <w:rPr>
          <w:lang w:val="it-IT"/>
        </w:rPr>
        <w:t>Annarita Travaglino</w:t>
      </w:r>
      <w:r w:rsidR="00B57E6F" w:rsidRPr="00C969F9">
        <w:rPr>
          <w:vertAlign w:val="superscript"/>
          <w:lang w:val="it-IT"/>
        </w:rPr>
        <w:t>a</w:t>
      </w:r>
      <w:r w:rsidR="00B57E6F" w:rsidRPr="00C969F9">
        <w:rPr>
          <w:lang w:val="it-IT"/>
        </w:rPr>
        <w:t xml:space="preserve">, </w:t>
      </w:r>
      <w:r w:rsidRPr="00C969F9">
        <w:rPr>
          <w:lang w:val="it-IT"/>
        </w:rPr>
        <w:t>Biagio Morrone</w:t>
      </w:r>
      <w:r w:rsidR="001D5F8E" w:rsidRPr="001D5F8E">
        <w:rPr>
          <w:vertAlign w:val="superscript"/>
          <w:lang w:val="it-IT"/>
        </w:rPr>
        <w:t>a</w:t>
      </w:r>
      <w:r w:rsidRPr="00C969F9">
        <w:rPr>
          <w:lang w:val="it-IT"/>
        </w:rPr>
        <w:t>, Lucio Zaccariello</w:t>
      </w:r>
      <w:r w:rsidR="00B57E6F" w:rsidRPr="00C969F9">
        <w:rPr>
          <w:vertAlign w:val="superscript"/>
          <w:lang w:val="it-IT"/>
        </w:rPr>
        <w:t>b,</w:t>
      </w:r>
      <w:r w:rsidR="00B57E6F" w:rsidRPr="00C969F9">
        <w:rPr>
          <w:lang w:val="it-IT"/>
        </w:rPr>
        <w:t>*</w:t>
      </w:r>
    </w:p>
    <w:p w14:paraId="6B2D21B3" w14:textId="7025A3D8" w:rsidR="00B57E6F" w:rsidRPr="00C969F9" w:rsidRDefault="00B57E6F" w:rsidP="00B57E6F">
      <w:pPr>
        <w:pStyle w:val="CETAddress"/>
      </w:pPr>
      <w:r w:rsidRPr="00C969F9">
        <w:rPr>
          <w:vertAlign w:val="superscript"/>
        </w:rPr>
        <w:t>a</w:t>
      </w:r>
      <w:r w:rsidR="00C969F9" w:rsidRPr="008058DC">
        <w:t xml:space="preserve">Department of Engineering, via Roma 29, 81031 Aversa (CE), Italy </w:t>
      </w:r>
    </w:p>
    <w:p w14:paraId="2985644D" w14:textId="225E0C1A" w:rsidR="00C969F9" w:rsidRPr="008058DC" w:rsidRDefault="00B57E6F" w:rsidP="00C969F9">
      <w:pPr>
        <w:pStyle w:val="CETAddress"/>
      </w:pPr>
      <w:r w:rsidRPr="00B57B36">
        <w:rPr>
          <w:vertAlign w:val="superscript"/>
        </w:rPr>
        <w:t>b</w:t>
      </w:r>
      <w:r w:rsidR="00C969F9" w:rsidRPr="008058DC">
        <w:t xml:space="preserve">Department of Environmental, Biological and Pharmaceutical Sciences and Technologies, via Vivaldi 43, 81100 Caserta, Italy </w:t>
      </w:r>
    </w:p>
    <w:p w14:paraId="73F1267A" w14:textId="5D5BB5E5" w:rsidR="00B57E6F" w:rsidRPr="00B57B36" w:rsidRDefault="00C969F9" w:rsidP="00B57E6F">
      <w:pPr>
        <w:pStyle w:val="CETemail"/>
      </w:pPr>
      <w:r>
        <w:t>*</w:t>
      </w:r>
      <w:r w:rsidRPr="0042414F">
        <w:t>lucio.zaccariello@unicampania.it</w:t>
      </w:r>
      <w:r w:rsidRPr="00B57B36">
        <w:t xml:space="preserve"> </w:t>
      </w:r>
      <w:r>
        <w:t xml:space="preserve"> </w:t>
      </w:r>
    </w:p>
    <w:p w14:paraId="5AF07C94" w14:textId="77777777" w:rsidR="00C969F9" w:rsidRPr="00A43F89" w:rsidRDefault="00C969F9" w:rsidP="00C969F9">
      <w:pPr>
        <w:pStyle w:val="CETBodytext"/>
        <w:rPr>
          <w:lang w:val="en-GB"/>
        </w:rPr>
      </w:pPr>
      <w:r w:rsidRPr="00A43F89">
        <w:rPr>
          <w:lang w:val="en-GB"/>
        </w:rPr>
        <w:t>Disposing of sewage sludge</w:t>
      </w:r>
      <w:r>
        <w:rPr>
          <w:lang w:val="en-GB"/>
        </w:rPr>
        <w:t xml:space="preserve"> (SS)</w:t>
      </w:r>
      <w:r w:rsidRPr="00A43F89">
        <w:rPr>
          <w:lang w:val="en-GB"/>
        </w:rPr>
        <w:t xml:space="preserve">, a by-product of wastewater treatment plants, poses significant challenges due to its potential harmful environmental impact related to its </w:t>
      </w:r>
      <w:r>
        <w:rPr>
          <w:lang w:val="en-GB"/>
        </w:rPr>
        <w:t>high</w:t>
      </w:r>
      <w:r w:rsidRPr="00A43F89">
        <w:rPr>
          <w:lang w:val="en-GB"/>
        </w:rPr>
        <w:t xml:space="preserve"> content of pathogens and heavy metals. </w:t>
      </w:r>
      <w:proofErr w:type="gramStart"/>
      <w:r w:rsidRPr="00A43F89">
        <w:rPr>
          <w:lang w:val="en-GB"/>
        </w:rPr>
        <w:t xml:space="preserve">As a </w:t>
      </w:r>
      <w:r>
        <w:rPr>
          <w:lang w:val="en-GB"/>
        </w:rPr>
        <w:t>consequence</w:t>
      </w:r>
      <w:proofErr w:type="gramEnd"/>
      <w:r w:rsidRPr="00A43F89">
        <w:rPr>
          <w:lang w:val="en-GB"/>
        </w:rPr>
        <w:t>, proper management of this biowaste is essential.</w:t>
      </w:r>
    </w:p>
    <w:p w14:paraId="56E81481" w14:textId="77777777" w:rsidR="00C969F9" w:rsidRPr="00A43F89" w:rsidRDefault="00C969F9" w:rsidP="00C969F9">
      <w:pPr>
        <w:pStyle w:val="CETBodytext"/>
        <w:rPr>
          <w:lang w:val="en-GB"/>
        </w:rPr>
      </w:pPr>
      <w:r w:rsidRPr="00A43F89">
        <w:rPr>
          <w:lang w:val="en-GB"/>
        </w:rPr>
        <w:t xml:space="preserve">In the present study, a lab-scale fixed-bed gasifier was fed with </w:t>
      </w:r>
      <w:r>
        <w:rPr>
          <w:lang w:val="en-GB"/>
        </w:rPr>
        <w:t>SS</w:t>
      </w:r>
      <w:r w:rsidRPr="00A43F89">
        <w:rPr>
          <w:lang w:val="en-GB"/>
        </w:rPr>
        <w:t xml:space="preserve"> coming from a drying facility.</w:t>
      </w:r>
      <w:r>
        <w:rPr>
          <w:lang w:val="en-GB"/>
        </w:rPr>
        <w:t xml:space="preserve"> </w:t>
      </w:r>
      <w:r w:rsidRPr="00A43F89">
        <w:rPr>
          <w:lang w:val="en-GB"/>
        </w:rPr>
        <w:t xml:space="preserve">The experimental runs were carried out using 30 g of dried </w:t>
      </w:r>
      <w:r>
        <w:rPr>
          <w:lang w:val="en-GB"/>
        </w:rPr>
        <w:t>SS</w:t>
      </w:r>
      <w:r w:rsidRPr="00A43F89">
        <w:rPr>
          <w:lang w:val="en-GB"/>
        </w:rPr>
        <w:t xml:space="preserve"> for each test, with steam as the </w:t>
      </w:r>
      <w:proofErr w:type="spellStart"/>
      <w:r w:rsidRPr="00A43F89">
        <w:rPr>
          <w:lang w:val="en-GB"/>
        </w:rPr>
        <w:t>gasifying</w:t>
      </w:r>
      <w:proofErr w:type="spellEnd"/>
      <w:r w:rsidRPr="00A43F89">
        <w:rPr>
          <w:lang w:val="en-GB"/>
        </w:rPr>
        <w:t xml:space="preserve"> agent. The reactor temperature was varied between 800 and 900 °C. Additionally, two different configurations for the reactor heating elements were used.</w:t>
      </w:r>
    </w:p>
    <w:p w14:paraId="38F76186" w14:textId="0BC49532" w:rsidR="006A6DE5" w:rsidRPr="00C969F9" w:rsidRDefault="00C969F9" w:rsidP="00C969F9">
      <w:pPr>
        <w:pStyle w:val="CETBodytext"/>
        <w:rPr>
          <w:lang w:val="en-GB"/>
        </w:rPr>
      </w:pPr>
      <w:r w:rsidRPr="00A43F89">
        <w:rPr>
          <w:lang w:val="en-GB"/>
        </w:rPr>
        <w:t>The results showed that the gasification test at 900 °C in the L1 configuration produced the highest hydrogen concentration of 56%. However, the highest hydrogen yield was achieved in the L2 configuration at 900 °C (</w:t>
      </w:r>
      <w:r w:rsidRPr="00A43F89">
        <w:rPr>
          <w:rFonts w:eastAsiaTheme="minorEastAsia"/>
          <w:bCs/>
          <w:color w:val="000000"/>
        </w:rPr>
        <w:t>33.2 g/g)</w:t>
      </w:r>
      <w:r w:rsidRPr="00A43F89">
        <w:rPr>
          <w:lang w:val="en-GB"/>
        </w:rPr>
        <w:t>. Under these operating conditions, the syngas had a maximum lower heating value of 11.4 MJ/Nm</w:t>
      </w:r>
      <w:r w:rsidRPr="00A43F89">
        <w:rPr>
          <w:vertAlign w:val="superscript"/>
          <w:lang w:val="en-GB"/>
        </w:rPr>
        <w:t>3</w:t>
      </w:r>
      <w:r w:rsidRPr="00A43F89">
        <w:rPr>
          <w:lang w:val="en-GB"/>
        </w:rPr>
        <w:t>.</w:t>
      </w:r>
      <w:r w:rsidR="006A6DE5" w:rsidRPr="00B60AE4">
        <w:t xml:space="preserve"> </w:t>
      </w:r>
    </w:p>
    <w:p w14:paraId="476B2F2E" w14:textId="52B36035" w:rsidR="00600535" w:rsidRPr="00B57B36" w:rsidRDefault="00600535" w:rsidP="00600535">
      <w:pPr>
        <w:pStyle w:val="CETHeading1"/>
        <w:rPr>
          <w:lang w:val="en-GB"/>
        </w:rPr>
      </w:pPr>
      <w:r w:rsidRPr="00B57B36">
        <w:rPr>
          <w:lang w:val="en-GB"/>
        </w:rPr>
        <w:t>Introduction</w:t>
      </w:r>
    </w:p>
    <w:p w14:paraId="0E817EE8" w14:textId="4B519D1A" w:rsidR="00C969F9" w:rsidRPr="00BD37D9" w:rsidRDefault="00C969F9" w:rsidP="00C969F9">
      <w:pPr>
        <w:pStyle w:val="CETBodytext"/>
        <w:rPr>
          <w:lang w:val="en-GB"/>
        </w:rPr>
      </w:pPr>
      <w:r w:rsidRPr="00BD37D9">
        <w:rPr>
          <w:lang w:val="en-GB"/>
        </w:rPr>
        <w:t xml:space="preserve">Over the past century, the global energy system has undergone significant changes due to the widespread use of fossil fuels (Li et al., 2025). Recent data </w:t>
      </w:r>
      <w:r>
        <w:rPr>
          <w:lang w:val="en-GB"/>
        </w:rPr>
        <w:t>indicate</w:t>
      </w:r>
      <w:r w:rsidRPr="00BD37D9">
        <w:rPr>
          <w:lang w:val="en-GB"/>
        </w:rPr>
        <w:t xml:space="preserve"> that fossil fuel consumption has increased approximately eightfold since 1950, now reaching about 140,000 TWh. If current trends continue without being counterbalanced by more sustainable energy systems, this consumption is expected to rise in the coming years (Ritchie and Rosado, 2017). The actual high dependency on finite carbon-based energy sources poses growing concerns about climate change, prompting research efforts toward alternative and sustainable energy sources to reduce greenhouse gas emissions. Renewable energy sources are gaining attention for their potential to supply carbon-neutral energy carriers, as they can close the carbon cycle through balanced CO</w:t>
      </w:r>
      <w:r w:rsidRPr="00A73322">
        <w:rPr>
          <w:rFonts w:ascii="Cambria Math" w:hAnsi="Cambria Math" w:cs="Cambria Math"/>
          <w:lang w:val="en-GB"/>
        </w:rPr>
        <w:t>₂</w:t>
      </w:r>
      <w:r w:rsidRPr="00BD37D9">
        <w:rPr>
          <w:lang w:val="en-GB"/>
        </w:rPr>
        <w:t xml:space="preserve"> emissions.</w:t>
      </w:r>
    </w:p>
    <w:p w14:paraId="18EE44F4" w14:textId="77777777" w:rsidR="00C969F9" w:rsidRPr="00BD37D9" w:rsidRDefault="00C969F9" w:rsidP="00C969F9">
      <w:pPr>
        <w:pStyle w:val="CETBodytext"/>
        <w:rPr>
          <w:lang w:val="en-GB"/>
        </w:rPr>
      </w:pPr>
      <w:r w:rsidRPr="00BD37D9">
        <w:rPr>
          <w:lang w:val="en-GB"/>
        </w:rPr>
        <w:t>In this context, interest in low-emission hydrogen has rapidly increased due to environmental concerns, technological advancements, and evolving global policies. While hydrogen is produced through established technologies and processes, large-scale sustainable production remains a challenge. As a key energy carrier, hydrogen can be generated from both renewable and non-renewable sources, employing either conventional technologies or more innovative methods (Ghodke et al., 2023).</w:t>
      </w:r>
    </w:p>
    <w:p w14:paraId="07D800BD" w14:textId="77777777" w:rsidR="00C969F9" w:rsidRPr="005B7362" w:rsidRDefault="00C969F9" w:rsidP="00C969F9">
      <w:pPr>
        <w:pStyle w:val="CETBodytext"/>
        <w:rPr>
          <w:lang w:val="en-GB"/>
        </w:rPr>
      </w:pPr>
      <w:r w:rsidRPr="00BD37D9">
        <w:rPr>
          <w:lang w:val="en-GB"/>
        </w:rPr>
        <w:t>According to recent data, hydrogen production reached 97 million tons in 2023; however, less than 1% of this comes from low-emission processes, since current production methods still predominantly rely on fossil fuels (International Energy Agency, 2024). The main fossil fuel-based technologies used for hydrogen production are steam methane reforming (SMR) and coal gasification. Of these, SMR is by far the most common due to its relatively low operational costs (Shahid et al., 2025). However, SMR produces significant amounts of CO</w:t>
      </w:r>
      <w:r w:rsidRPr="00370EBA">
        <w:rPr>
          <w:vertAlign w:val="subscript"/>
          <w:lang w:val="en-GB"/>
        </w:rPr>
        <w:t>2</w:t>
      </w:r>
      <w:r w:rsidRPr="00BD37D9">
        <w:rPr>
          <w:lang w:val="en-GB"/>
        </w:rPr>
        <w:t xml:space="preserve"> as a by-product. To enhance the environmental sustainability of SMR, it can be integrated with carbon capture and storage (CCS) technologies, which capture and contain the CO</w:t>
      </w:r>
      <w:r w:rsidRPr="00370EBA">
        <w:rPr>
          <w:vertAlign w:val="subscript"/>
          <w:lang w:val="en-GB"/>
        </w:rPr>
        <w:t>2</w:t>
      </w:r>
      <w:r w:rsidRPr="00BD37D9">
        <w:rPr>
          <w:lang w:val="en-GB"/>
        </w:rPr>
        <w:t xml:space="preserve"> generated during the process (Navas-Anguita et al., 2021). Coal gasification is the second most common conventional method for hydrogen production using non-renewable sources. This thermochemical process efficiently converts coal into synthesis gas (syngas), mainly composed of CO and H</w:t>
      </w:r>
      <w:r w:rsidRPr="00370EBA">
        <w:rPr>
          <w:vertAlign w:val="subscript"/>
          <w:lang w:val="en-GB"/>
        </w:rPr>
        <w:t>2</w:t>
      </w:r>
      <w:r w:rsidRPr="00BD37D9">
        <w:rPr>
          <w:lang w:val="en-GB"/>
        </w:rPr>
        <w:t>. Although it is a mature technology that allows for low-cost hydrogen production, its widespread adoption is limited by environmental concerns related to CO</w:t>
      </w:r>
      <w:r w:rsidRPr="00370EBA">
        <w:rPr>
          <w:vertAlign w:val="subscript"/>
          <w:lang w:val="en-GB"/>
        </w:rPr>
        <w:t>2</w:t>
      </w:r>
      <w:r w:rsidRPr="00BD37D9">
        <w:rPr>
          <w:lang w:val="en-GB"/>
        </w:rPr>
        <w:t xml:space="preserve"> and other harmful compounds emissions. </w:t>
      </w:r>
      <w:proofErr w:type="gramStart"/>
      <w:r w:rsidRPr="00BD37D9">
        <w:rPr>
          <w:lang w:val="en-GB"/>
        </w:rPr>
        <w:t>Similar to</w:t>
      </w:r>
      <w:proofErr w:type="gramEnd"/>
      <w:r w:rsidRPr="00BD37D9">
        <w:rPr>
          <w:lang w:val="en-GB"/>
        </w:rPr>
        <w:t xml:space="preserve"> SMR, coal gasification can also be integrated with CCS technologies to mitigate its carbon </w:t>
      </w:r>
      <w:r w:rsidRPr="00BD37D9">
        <w:rPr>
          <w:lang w:val="en-GB"/>
        </w:rPr>
        <w:lastRenderedPageBreak/>
        <w:t>footprint.</w:t>
      </w:r>
      <w:r>
        <w:rPr>
          <w:lang w:val="en-GB"/>
        </w:rPr>
        <w:t xml:space="preserve"> </w:t>
      </w:r>
      <w:r w:rsidRPr="001A5036">
        <w:rPr>
          <w:lang w:val="en-GB"/>
        </w:rPr>
        <w:t>Alternatively, hydrogen can be obtained from renewable energy sources, conventionally referred to as green hydrogen. The most widely used technology for its production is water electrolysis, a process that splits water into oxygen and hydrogen using electrical energy (Ishaq et al., 2022). The main advantage of this method is that it utilizes water as a reactant and produces no greenhouse gas emissions</w:t>
      </w:r>
      <w:r>
        <w:rPr>
          <w:lang w:val="en-GB"/>
        </w:rPr>
        <w:t xml:space="preserve"> if the electric energy is supplied by renewable sources</w:t>
      </w:r>
      <w:r w:rsidRPr="001A5036">
        <w:rPr>
          <w:lang w:val="en-GB"/>
        </w:rPr>
        <w:t>, making it a promising solution for addressing climate change issues (Shiva Kumar and Lim, 2022). However, electrolysis is a highly energy-intensive process, requiring approximately 50 kWh of energy to produce one kilogram of hydrogen</w:t>
      </w:r>
      <w:r>
        <w:rPr>
          <w:lang w:val="en-GB"/>
        </w:rPr>
        <w:t xml:space="preserve"> and around 9 kg of water per kg of hydrogen</w:t>
      </w:r>
      <w:r w:rsidRPr="001A5036">
        <w:rPr>
          <w:lang w:val="en-GB"/>
        </w:rPr>
        <w:t>. Despite this energy demand, it can be regarded as a sustainable method if powered by renewable energy sources such as wind, solar, or hydroelectric energy.</w:t>
      </w:r>
      <w:r>
        <w:rPr>
          <w:lang w:val="en-GB"/>
        </w:rPr>
        <w:t xml:space="preserve"> </w:t>
      </w:r>
      <w:r w:rsidRPr="00A73322">
        <w:rPr>
          <w:lang w:val="en-GB"/>
        </w:rPr>
        <w:t>Nevertheless, the process is not without limitations, since water consumption is a critical issue, especially in water-scarce regions, where large-scale electrolysis may pose environmental or technical challenges (Angelico et al., 2025).</w:t>
      </w:r>
    </w:p>
    <w:p w14:paraId="04A0F9B4" w14:textId="1EACCB5E" w:rsidR="00C969F9" w:rsidRPr="00A73322" w:rsidRDefault="00C969F9" w:rsidP="00C969F9">
      <w:pPr>
        <w:pStyle w:val="CETBodytext"/>
        <w:rPr>
          <w:lang w:val="en-GB"/>
        </w:rPr>
      </w:pPr>
      <w:r w:rsidRPr="00A73322">
        <w:rPr>
          <w:lang w:val="en-GB"/>
        </w:rPr>
        <w:t xml:space="preserve">Biomass gasification is a </w:t>
      </w:r>
      <w:r>
        <w:rPr>
          <w:lang w:val="en-GB"/>
        </w:rPr>
        <w:t>suitable</w:t>
      </w:r>
      <w:r w:rsidRPr="00A73322">
        <w:rPr>
          <w:lang w:val="en-GB"/>
        </w:rPr>
        <w:t xml:space="preserve"> method for producing green hydrogen. Unlike traditional processes that rely on fossil fuels, this thermochemical technique converts organic materials into a hydrogen-rich syngas. The gasification process involves the partial oxidation of the feedstock in the presence of a </w:t>
      </w:r>
      <w:proofErr w:type="spellStart"/>
      <w:r w:rsidRPr="00A73322">
        <w:rPr>
          <w:lang w:val="en-GB"/>
        </w:rPr>
        <w:t>gasifying</w:t>
      </w:r>
      <w:proofErr w:type="spellEnd"/>
      <w:r w:rsidRPr="00A73322">
        <w:rPr>
          <w:lang w:val="en-GB"/>
        </w:rPr>
        <w:t xml:space="preserve"> agent, such as air, oxygen, steam, or carbon dioxide (Molino et al., 2016</w:t>
      </w:r>
      <w:r>
        <w:rPr>
          <w:lang w:val="en-GB"/>
        </w:rPr>
        <w:t xml:space="preserve">; Mastellone and </w:t>
      </w:r>
      <w:proofErr w:type="spellStart"/>
      <w:r>
        <w:rPr>
          <w:lang w:val="en-GB"/>
        </w:rPr>
        <w:t>Zaccariello</w:t>
      </w:r>
      <w:proofErr w:type="spellEnd"/>
      <w:r>
        <w:rPr>
          <w:lang w:val="en-GB"/>
        </w:rPr>
        <w:t>, 2013</w:t>
      </w:r>
      <w:r w:rsidRPr="00A73322">
        <w:rPr>
          <w:lang w:val="en-GB"/>
        </w:rPr>
        <w:t>).</w:t>
      </w:r>
      <w:r>
        <w:rPr>
          <w:lang w:val="en-GB"/>
        </w:rPr>
        <w:t xml:space="preserve"> </w:t>
      </w:r>
      <w:r w:rsidRPr="00A73322">
        <w:rPr>
          <w:lang w:val="en-GB"/>
        </w:rPr>
        <w:t xml:space="preserve">While woody biomass is the </w:t>
      </w:r>
      <w:proofErr w:type="gramStart"/>
      <w:r w:rsidRPr="00A73322">
        <w:rPr>
          <w:lang w:val="en-GB"/>
        </w:rPr>
        <w:t>most commonly used</w:t>
      </w:r>
      <w:proofErr w:type="gramEnd"/>
      <w:r w:rsidRPr="00A73322">
        <w:rPr>
          <w:lang w:val="en-GB"/>
        </w:rPr>
        <w:t xml:space="preserve"> feedstock in gasification, </w:t>
      </w:r>
      <w:r>
        <w:rPr>
          <w:lang w:val="en-GB"/>
        </w:rPr>
        <w:t>SS</w:t>
      </w:r>
      <w:r w:rsidRPr="00A73322">
        <w:rPr>
          <w:lang w:val="en-GB"/>
        </w:rPr>
        <w:t xml:space="preserve"> offers a viable alternative for hydrogen production. Utilizing waste-derived biomass not only provides a renewable and cost-effective feedstock but also addresses significant waste management challenges. Furthermore, since the carbon emitted during biomass gasification comes from biogenic sources, the overall CO</w:t>
      </w:r>
      <w:r w:rsidRPr="00A73322">
        <w:rPr>
          <w:rFonts w:ascii="Cambria Math" w:hAnsi="Cambria Math" w:cs="Cambria Math"/>
          <w:lang w:val="en-GB"/>
        </w:rPr>
        <w:t>₂</w:t>
      </w:r>
      <w:r w:rsidRPr="00A73322">
        <w:rPr>
          <w:lang w:val="en-GB"/>
        </w:rPr>
        <w:t xml:space="preserve"> emissions are largely offset. This makes the process carbon-neutral and aligns with the objectives of a circular and low-carbon economy (Werle and Sobek, 2019).</w:t>
      </w:r>
    </w:p>
    <w:p w14:paraId="757893B0" w14:textId="3CB0AD0D" w:rsidR="00C969F9" w:rsidRDefault="00C969F9" w:rsidP="00C969F9">
      <w:pPr>
        <w:pStyle w:val="CETBodytext"/>
        <w:rPr>
          <w:lang w:val="en-GB"/>
        </w:rPr>
      </w:pPr>
      <w:r w:rsidRPr="00A73322">
        <w:rPr>
          <w:lang w:val="en-GB"/>
        </w:rPr>
        <w:t xml:space="preserve">This study aims to provide a preliminary assessment of </w:t>
      </w:r>
      <w:r>
        <w:rPr>
          <w:lang w:val="en-GB"/>
        </w:rPr>
        <w:t>SS</w:t>
      </w:r>
      <w:r w:rsidRPr="00A73322">
        <w:rPr>
          <w:lang w:val="en-GB"/>
        </w:rPr>
        <w:t xml:space="preserve"> gasification in a laboratory-scale reactor, with a specific focus on the effect of reaction temperature and gasification system configuration on the process performance.</w:t>
      </w:r>
    </w:p>
    <w:p w14:paraId="43D66C25" w14:textId="77777777" w:rsidR="00BC120A" w:rsidRDefault="00BC120A" w:rsidP="00BC120A">
      <w:pPr>
        <w:pStyle w:val="CETHeading1"/>
      </w:pPr>
      <w:r w:rsidRPr="00BC120A">
        <w:t>Experimental Section</w:t>
      </w:r>
    </w:p>
    <w:p w14:paraId="23F86FEF" w14:textId="679983C0" w:rsidR="00600535" w:rsidRDefault="00BC120A" w:rsidP="0006679A">
      <w:pPr>
        <w:pStyle w:val="CETheadingx"/>
      </w:pPr>
      <w:r w:rsidRPr="00BC120A">
        <w:t>Experimental apparatus</w:t>
      </w:r>
    </w:p>
    <w:p w14:paraId="5352AEF5" w14:textId="2E48D072" w:rsidR="00BC120A" w:rsidRDefault="00BC120A" w:rsidP="00BC120A">
      <w:pPr>
        <w:pStyle w:val="CETBodytext"/>
      </w:pPr>
      <w:r>
        <w:t>Gasification tests were carried out in a laboratory-scale fixed-bed reactor (Figure 1). The experimental apparatus consists of a gasification reactor, a heating system, a steam generator and a gas and tar sampling line. The gasification reactor, AISI 310S stainless steel, has a nominal diameter of 1¼″ and a total height of 1.10 m.</w:t>
      </w:r>
    </w:p>
    <w:p w14:paraId="4FD01318" w14:textId="67AC3FBD" w:rsidR="00BC120A" w:rsidRDefault="00BC120A" w:rsidP="00BC120A">
      <w:pPr>
        <w:pStyle w:val="CETBodytext"/>
      </w:pPr>
      <w:r>
        <w:rPr>
          <w:noProof/>
        </w:rPr>
        <w:drawing>
          <wp:inline distT="0" distB="0" distL="0" distR="0" wp14:anchorId="7DB3EF82" wp14:editId="307A877B">
            <wp:extent cx="756285" cy="1694815"/>
            <wp:effectExtent l="0" t="0" r="5715" b="635"/>
            <wp:docPr id="2907132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 cy="1694815"/>
                    </a:xfrm>
                    <a:prstGeom prst="rect">
                      <a:avLst/>
                    </a:prstGeom>
                    <a:noFill/>
                  </pic:spPr>
                </pic:pic>
              </a:graphicData>
            </a:graphic>
          </wp:inline>
        </w:drawing>
      </w:r>
    </w:p>
    <w:p w14:paraId="368AD7B0" w14:textId="23AC3D93" w:rsidR="00BC120A" w:rsidRPr="00BC120A" w:rsidRDefault="00BC120A" w:rsidP="009537EF">
      <w:pPr>
        <w:pStyle w:val="CETCaption"/>
      </w:pPr>
      <w:r w:rsidRPr="00411F27">
        <w:t>Figure 1: Sketch of the gasification fixed bed reactor</w:t>
      </w:r>
      <w:r>
        <w:t>.</w:t>
      </w:r>
    </w:p>
    <w:p w14:paraId="7DFFDBE3" w14:textId="77777777" w:rsidR="00BC120A" w:rsidRPr="00BC120A" w:rsidRDefault="00BC120A" w:rsidP="00BC120A">
      <w:pPr>
        <w:pStyle w:val="CETBodytext"/>
        <w:rPr>
          <w:lang w:val="en-GB"/>
        </w:rPr>
      </w:pPr>
      <w:r w:rsidRPr="00BC120A">
        <w:rPr>
          <w:lang w:val="en-GB"/>
        </w:rPr>
        <w:t xml:space="preserve">A perforated plate, 3 mm thick with 2 mm holes, is positioned at 70 cm from the bottom flange to support the biomass and ensure uniform distribution of the gasification agent (steam). At the top of the reactor, a feedstock hopper equipped with a ball valve allows for controlled feeding of the biomass. At the bottom, the reactor has a blind flange featuring two threaded holes, which allow steam injection into the superheating zone and accommodate temperature and pressure sensors for process monitoring. </w:t>
      </w:r>
    </w:p>
    <w:p w14:paraId="5BA3952A" w14:textId="6CDCCC30" w:rsidR="00BC120A" w:rsidRPr="00BC120A" w:rsidRDefault="00BC120A" w:rsidP="00BC120A">
      <w:pPr>
        <w:pStyle w:val="CETBodytext"/>
        <w:rPr>
          <w:lang w:val="en-GB"/>
        </w:rPr>
      </w:pPr>
      <w:r w:rsidRPr="00BC120A">
        <w:rPr>
          <w:lang w:val="en-GB"/>
        </w:rPr>
        <w:t xml:space="preserve">The heating system consists of two semi-cylindrical ceramic </w:t>
      </w:r>
      <w:proofErr w:type="spellStart"/>
      <w:r w:rsidRPr="00BC120A">
        <w:rPr>
          <w:lang w:val="en-GB"/>
        </w:rPr>
        <w:t>fiber</w:t>
      </w:r>
      <w:proofErr w:type="spellEnd"/>
      <w:r w:rsidRPr="00BC120A">
        <w:rPr>
          <w:lang w:val="en-GB"/>
        </w:rPr>
        <w:t xml:space="preserve"> heaters with a total power of 3.50 kW, which can reach a maximum operative temperature of 1100 °C. The temperature is controlled by a thermoregulator and a K-type thermocouple located at the base of the perforated plate. The heating elements are enclosed within two AISI 304 stainless steel shields, internally insulated with ceramic </w:t>
      </w:r>
      <w:proofErr w:type="spellStart"/>
      <w:r w:rsidRPr="00BC120A">
        <w:rPr>
          <w:lang w:val="en-GB"/>
        </w:rPr>
        <w:t>fiber</w:t>
      </w:r>
      <w:proofErr w:type="spellEnd"/>
      <w:r w:rsidRPr="00BC120A">
        <w:rPr>
          <w:lang w:val="en-GB"/>
        </w:rPr>
        <w:t>. The support structure of the reactor and the heating elements includes a system that enables vertical adjustment of the reactor relative to the heating elements.</w:t>
      </w:r>
    </w:p>
    <w:p w14:paraId="2D9E5648" w14:textId="77777777" w:rsidR="00BC120A" w:rsidRPr="00BC120A" w:rsidRDefault="00BC120A" w:rsidP="00BC120A">
      <w:pPr>
        <w:pStyle w:val="CETBodytext"/>
        <w:rPr>
          <w:lang w:val="en-GB"/>
        </w:rPr>
      </w:pPr>
      <w:r w:rsidRPr="00BC120A">
        <w:rPr>
          <w:lang w:val="en-GB"/>
        </w:rPr>
        <w:t>The steam generator, which provides the gasification agent, is made of AISI 304 stainless steel. It consists of a 2 L cylinder with a 0.50 kW wire heater, producing a maximum steam flow rate of 10 g min</w:t>
      </w:r>
      <w:r w:rsidRPr="0006679A">
        <w:rPr>
          <w:vertAlign w:val="superscript"/>
          <w:lang w:val="en-GB"/>
        </w:rPr>
        <w:t>-1</w:t>
      </w:r>
      <w:r w:rsidRPr="00BC120A">
        <w:rPr>
          <w:lang w:val="en-GB"/>
        </w:rPr>
        <w:t xml:space="preserve"> at a temperature of 250 °C. A precision pump with an adjustable flow rate supplies water to the steam generator unit. </w:t>
      </w:r>
    </w:p>
    <w:p w14:paraId="7BB94822" w14:textId="1777E019" w:rsidR="00C969F9" w:rsidRDefault="00BC120A" w:rsidP="00BC120A">
      <w:pPr>
        <w:pStyle w:val="CETBodytext"/>
        <w:rPr>
          <w:lang w:val="en-GB"/>
        </w:rPr>
      </w:pPr>
      <w:r w:rsidRPr="00BC120A">
        <w:rPr>
          <w:lang w:val="en-GB"/>
        </w:rPr>
        <w:lastRenderedPageBreak/>
        <w:t xml:space="preserve">The stream coming from the steam generator enters the reactor from the bottom and is heated up to the selected reaction temperature. Then, the superheated steam reaches the perforated plate where the SS is discharged from the hopper. In this region, gasification reactions take place. At the reactor outlet, a gas conditioning line, composed of four bubblers filled with dichloromethane and a cotton filter, provides for tar and particulate removal and collection. Then, the syngas coming from the gas treatment section is collected in multi-foil gas sampling bags and immediately </w:t>
      </w:r>
      <w:proofErr w:type="spellStart"/>
      <w:r w:rsidRPr="00BC120A">
        <w:rPr>
          <w:lang w:val="en-GB"/>
        </w:rPr>
        <w:t>analyzed</w:t>
      </w:r>
      <w:proofErr w:type="spellEnd"/>
      <w:r w:rsidRPr="00BC120A">
        <w:rPr>
          <w:lang w:val="en-GB"/>
        </w:rPr>
        <w:t xml:space="preserve"> in an Agilent 490 micro gas chromatograph. The micro-GC measurements provide the main syngas compounds (CO</w:t>
      </w:r>
      <w:r w:rsidRPr="009537EF">
        <w:rPr>
          <w:vertAlign w:val="subscript"/>
          <w:lang w:val="en-GB"/>
        </w:rPr>
        <w:t>2</w:t>
      </w:r>
      <w:r w:rsidRPr="00BC120A">
        <w:rPr>
          <w:lang w:val="en-GB"/>
        </w:rPr>
        <w:t>, CO, H</w:t>
      </w:r>
      <w:r w:rsidRPr="009537EF">
        <w:rPr>
          <w:vertAlign w:val="subscript"/>
          <w:lang w:val="en-GB"/>
        </w:rPr>
        <w:t>2</w:t>
      </w:r>
      <w:r w:rsidRPr="00BC120A">
        <w:rPr>
          <w:lang w:val="en-GB"/>
        </w:rPr>
        <w:t>, CH</w:t>
      </w:r>
      <w:r w:rsidRPr="009537EF">
        <w:rPr>
          <w:vertAlign w:val="subscript"/>
          <w:lang w:val="en-GB"/>
        </w:rPr>
        <w:t>4</w:t>
      </w:r>
      <w:r w:rsidRPr="00BC120A">
        <w:rPr>
          <w:lang w:val="en-GB"/>
        </w:rPr>
        <w:t>, C</w:t>
      </w:r>
      <w:r w:rsidRPr="009537EF">
        <w:rPr>
          <w:vertAlign w:val="subscript"/>
          <w:lang w:val="en-GB"/>
        </w:rPr>
        <w:t>2</w:t>
      </w:r>
      <w:r w:rsidRPr="00BC120A">
        <w:rPr>
          <w:lang w:val="en-GB"/>
        </w:rPr>
        <w:t>H</w:t>
      </w:r>
      <w:r w:rsidRPr="009537EF">
        <w:rPr>
          <w:vertAlign w:val="subscript"/>
          <w:lang w:val="en-GB"/>
        </w:rPr>
        <w:t>2</w:t>
      </w:r>
      <w:r w:rsidRPr="00BC120A">
        <w:rPr>
          <w:lang w:val="en-GB"/>
        </w:rPr>
        <w:t>, C</w:t>
      </w:r>
      <w:r w:rsidRPr="009537EF">
        <w:rPr>
          <w:vertAlign w:val="subscript"/>
          <w:lang w:val="en-GB"/>
        </w:rPr>
        <w:t>2</w:t>
      </w:r>
      <w:r w:rsidRPr="00BC120A">
        <w:rPr>
          <w:lang w:val="en-GB"/>
        </w:rPr>
        <w:t>H</w:t>
      </w:r>
      <w:r w:rsidRPr="009537EF">
        <w:rPr>
          <w:vertAlign w:val="subscript"/>
          <w:lang w:val="en-GB"/>
        </w:rPr>
        <w:t>4</w:t>
      </w:r>
      <w:r w:rsidRPr="00BC120A">
        <w:rPr>
          <w:lang w:val="en-GB"/>
        </w:rPr>
        <w:t>, C</w:t>
      </w:r>
      <w:r w:rsidRPr="009537EF">
        <w:rPr>
          <w:vertAlign w:val="subscript"/>
          <w:lang w:val="en-GB"/>
        </w:rPr>
        <w:t>2</w:t>
      </w:r>
      <w:r w:rsidRPr="00BC120A">
        <w:rPr>
          <w:lang w:val="en-GB"/>
        </w:rPr>
        <w:t>H</w:t>
      </w:r>
      <w:r w:rsidRPr="009537EF">
        <w:rPr>
          <w:vertAlign w:val="subscript"/>
          <w:lang w:val="en-GB"/>
        </w:rPr>
        <w:t>6</w:t>
      </w:r>
      <w:r w:rsidRPr="00BC120A">
        <w:rPr>
          <w:lang w:val="en-GB"/>
        </w:rPr>
        <w:t>, C</w:t>
      </w:r>
      <w:r w:rsidRPr="009537EF">
        <w:rPr>
          <w:vertAlign w:val="subscript"/>
          <w:lang w:val="en-GB"/>
        </w:rPr>
        <w:t>3</w:t>
      </w:r>
      <w:r w:rsidRPr="00BC120A">
        <w:rPr>
          <w:lang w:val="en-GB"/>
        </w:rPr>
        <w:t>H</w:t>
      </w:r>
      <w:r w:rsidRPr="009537EF">
        <w:rPr>
          <w:vertAlign w:val="subscript"/>
          <w:lang w:val="en-GB"/>
        </w:rPr>
        <w:t>6</w:t>
      </w:r>
      <w:r w:rsidRPr="00BC120A">
        <w:rPr>
          <w:lang w:val="en-GB"/>
        </w:rPr>
        <w:t>, C</w:t>
      </w:r>
      <w:r w:rsidRPr="009537EF">
        <w:rPr>
          <w:vertAlign w:val="subscript"/>
          <w:lang w:val="en-GB"/>
        </w:rPr>
        <w:t>3</w:t>
      </w:r>
      <w:r w:rsidRPr="00BC120A">
        <w:rPr>
          <w:lang w:val="en-GB"/>
        </w:rPr>
        <w:t>H</w:t>
      </w:r>
      <w:r w:rsidRPr="009537EF">
        <w:rPr>
          <w:vertAlign w:val="subscript"/>
          <w:lang w:val="en-GB"/>
        </w:rPr>
        <w:t>8</w:t>
      </w:r>
      <w:r w:rsidRPr="00BC120A">
        <w:rPr>
          <w:lang w:val="en-GB"/>
        </w:rPr>
        <w:t>, and N</w:t>
      </w:r>
      <w:r w:rsidRPr="009537EF">
        <w:rPr>
          <w:vertAlign w:val="subscript"/>
          <w:lang w:val="en-GB"/>
        </w:rPr>
        <w:t>2</w:t>
      </w:r>
      <w:r w:rsidRPr="00BC120A">
        <w:rPr>
          <w:lang w:val="en-GB"/>
        </w:rPr>
        <w:t xml:space="preserve">). After water separation, the tar dissolved in dichloromethane were quantified by removing the solvent in a rotavapor. Then, the tar is diluted in a specific ratio in dichloromethane and </w:t>
      </w:r>
      <w:proofErr w:type="spellStart"/>
      <w:r w:rsidRPr="00BC120A">
        <w:rPr>
          <w:lang w:val="en-GB"/>
        </w:rPr>
        <w:t>analyzed</w:t>
      </w:r>
      <w:proofErr w:type="spellEnd"/>
      <w:r w:rsidRPr="00BC120A">
        <w:rPr>
          <w:lang w:val="en-GB"/>
        </w:rPr>
        <w:t xml:space="preserve"> off-line in a </w:t>
      </w:r>
      <w:proofErr w:type="spellStart"/>
      <w:r w:rsidRPr="00BC120A">
        <w:rPr>
          <w:lang w:val="en-GB"/>
        </w:rPr>
        <w:t>Thermo</w:t>
      </w:r>
      <w:proofErr w:type="spellEnd"/>
      <w:r w:rsidRPr="00BC120A">
        <w:rPr>
          <w:lang w:val="en-GB"/>
        </w:rPr>
        <w:t xml:space="preserve"> Fisher Scientific ISQ 1300 gas chromatograph coupled with a mass spectrometer (GC-MS). With the purpose of obtaining reliable data, the sampling procedures of syngas, particulate, and tar were activated for the entire duration of the tests</w:t>
      </w:r>
    </w:p>
    <w:p w14:paraId="14663BA2" w14:textId="77777777" w:rsidR="00BC120A" w:rsidRDefault="00BC120A" w:rsidP="0006679A">
      <w:pPr>
        <w:pStyle w:val="CETheadingx"/>
      </w:pPr>
      <w:r w:rsidRPr="00BC120A">
        <w:t>Operating conditions</w:t>
      </w:r>
    </w:p>
    <w:p w14:paraId="02EF52A4" w14:textId="67E896E4" w:rsidR="00BC120A" w:rsidRPr="00BC120A" w:rsidRDefault="00BC120A" w:rsidP="00BC120A">
      <w:pPr>
        <w:pStyle w:val="CETBodytext"/>
      </w:pPr>
      <w:r w:rsidRPr="00CF5874">
        <w:t xml:space="preserve">The </w:t>
      </w:r>
      <w:r>
        <w:t xml:space="preserve">gasification </w:t>
      </w:r>
      <w:r w:rsidRPr="00CF5874">
        <w:t>tests were carried out at three different temperatures (800 °C, 850 °C, and 900 °C) while keeping fixed SS</w:t>
      </w:r>
      <w:r>
        <w:t xml:space="preserve"> </w:t>
      </w:r>
      <w:r w:rsidRPr="00F74F59">
        <w:t>amount (30 g), the reaction time</w:t>
      </w:r>
      <w:r>
        <w:t xml:space="preserve"> </w:t>
      </w:r>
      <w:r w:rsidRPr="00F74F59">
        <w:t>(</w:t>
      </w:r>
      <w:r w:rsidRPr="000B6D84">
        <w:t>approximately</w:t>
      </w:r>
      <w:r>
        <w:t xml:space="preserve"> 15</w:t>
      </w:r>
      <w:r w:rsidRPr="00F74F59">
        <w:t xml:space="preserve"> min) and the gasifying agent </w:t>
      </w:r>
      <w:r>
        <w:t xml:space="preserve">flow rate </w:t>
      </w:r>
      <w:r w:rsidRPr="00F74F59">
        <w:t>(</w:t>
      </w:r>
      <w:r>
        <w:t>5</w:t>
      </w:r>
      <w:r w:rsidRPr="00F74F59">
        <w:t xml:space="preserve"> </w:t>
      </w:r>
      <w:r>
        <w:t xml:space="preserve">mL </w:t>
      </w:r>
      <w:r w:rsidRPr="00F74F59">
        <w:t>min</w:t>
      </w:r>
      <w:r w:rsidRPr="00C63CAC">
        <w:rPr>
          <w:vertAlign w:val="superscript"/>
        </w:rPr>
        <w:t>-1</w:t>
      </w:r>
      <w:r w:rsidRPr="00F74F59">
        <w:t xml:space="preserve"> of superheated steam)</w:t>
      </w:r>
      <w:r>
        <w:t>. These</w:t>
      </w:r>
      <w:r w:rsidRPr="000B6D84">
        <w:t xml:space="preserve"> tests were performed </w:t>
      </w:r>
      <w:r>
        <w:t xml:space="preserve">by adjusting </w:t>
      </w:r>
      <w:r w:rsidRPr="000B6D84">
        <w:t>the position of the gasification reactor relative to the heating elements at two different levels referred to as L1 and L2.</w:t>
      </w:r>
      <w:r>
        <w:t xml:space="preserve"> S</w:t>
      </w:r>
      <w:r w:rsidRPr="000B6D84">
        <w:t>pecifically</w:t>
      </w:r>
      <w:r>
        <w:t>,</w:t>
      </w:r>
      <w:r w:rsidRPr="000B6D84">
        <w:t xml:space="preserve"> </w:t>
      </w:r>
      <w:r>
        <w:t>c</w:t>
      </w:r>
      <w:r w:rsidRPr="00172F2C">
        <w:t xml:space="preserve">onfiguration L1 involves heating only the gasifying agent to the reaction temperature, whereas </w:t>
      </w:r>
      <w:r>
        <w:t>c</w:t>
      </w:r>
      <w:r w:rsidRPr="00172F2C">
        <w:t>onfiguration L2 heats both the gasifying agent and the biomass bed to the reaction temperature.</w:t>
      </w:r>
      <w:r>
        <w:t xml:space="preserve"> </w:t>
      </w:r>
      <w:r w:rsidRPr="00172F2C">
        <w:t>The L2 configuration allows for a greater amount of thermal energy to be supplied to the biomass bed area, thus supporting endothermic reactions to a greater extent.</w:t>
      </w:r>
    </w:p>
    <w:p w14:paraId="6B4C63E5" w14:textId="5D92E859" w:rsidR="00600535" w:rsidRDefault="00BC120A" w:rsidP="0006679A">
      <w:pPr>
        <w:pStyle w:val="CETheadingx"/>
      </w:pPr>
      <w:r>
        <w:t>Feedstock</w:t>
      </w:r>
    </w:p>
    <w:p w14:paraId="514243DE" w14:textId="4A471A93" w:rsidR="00BC120A" w:rsidRDefault="00BC120A" w:rsidP="00BC120A">
      <w:pPr>
        <w:pStyle w:val="CETBodytext"/>
      </w:pPr>
      <w:r w:rsidRPr="001F3956">
        <w:t xml:space="preserve">The </w:t>
      </w:r>
      <w:r>
        <w:t>laboratory</w:t>
      </w:r>
      <w:r w:rsidRPr="001F3956">
        <w:t xml:space="preserve">-scale </w:t>
      </w:r>
      <w:r>
        <w:t>reactor</w:t>
      </w:r>
      <w:r w:rsidRPr="001F3956">
        <w:t xml:space="preserve"> was operated </w:t>
      </w:r>
      <w:r>
        <w:t>using</w:t>
      </w:r>
      <w:r w:rsidRPr="001F3956">
        <w:t xml:space="preserve"> </w:t>
      </w:r>
      <w:r>
        <w:t xml:space="preserve">SS (Table 1) </w:t>
      </w:r>
      <w:r w:rsidRPr="001F3956">
        <w:t>supplied by an SS drying facility located in the</w:t>
      </w:r>
      <w:r>
        <w:t xml:space="preserve"> Campania</w:t>
      </w:r>
      <w:r w:rsidRPr="001F3956">
        <w:t xml:space="preserve"> Region</w:t>
      </w:r>
      <w:r>
        <w:t>, South of Italy</w:t>
      </w:r>
      <w:r w:rsidRPr="001F3956">
        <w:t xml:space="preserve">. </w:t>
      </w:r>
      <w:r>
        <w:t>The d</w:t>
      </w:r>
      <w:r w:rsidRPr="001F3956">
        <w:t xml:space="preserve">esign and operation of gasification processes </w:t>
      </w:r>
      <w:r>
        <w:t>require</w:t>
      </w:r>
      <w:r w:rsidRPr="001F3956">
        <w:t xml:space="preserve"> </w:t>
      </w:r>
      <w:r>
        <w:t xml:space="preserve">knowledge of </w:t>
      </w:r>
      <w:r w:rsidRPr="001F3956">
        <w:t>fuel composition as well as its chemical</w:t>
      </w:r>
      <w:r>
        <w:t xml:space="preserve"> </w:t>
      </w:r>
      <w:r w:rsidRPr="001F3956">
        <w:t xml:space="preserve">energy content. </w:t>
      </w:r>
      <w:r w:rsidRPr="007A0FB6">
        <w:t>In the present study, two types of analyses are performed: proximate and ultimate analyses. The proximate analysis provided moisture and ash contents, while the ultimate analysis revealed the fuel composition in terms of its basic elements such as carbon, hydrogen, nitrogen, sulfur, and oxygen. For the proximate analysis, the gross fuel sample was heated in air at 105 °C for 12 hours to determine the moisture content. Then, it was heated at 600 °C for 4 hours to assess the ash amount.</w:t>
      </w:r>
      <w:r>
        <w:t xml:space="preserve"> </w:t>
      </w:r>
      <w:r w:rsidRPr="001F3956">
        <w:t xml:space="preserve">The ultimate analysis was carried out </w:t>
      </w:r>
      <w:r>
        <w:t>using a</w:t>
      </w:r>
      <w:r w:rsidRPr="001F3956">
        <w:t xml:space="preserve"> LECO</w:t>
      </w:r>
      <w:r>
        <w:t xml:space="preserve"> </w:t>
      </w:r>
      <w:r w:rsidRPr="001F3956">
        <w:t>CHN/S 628 Analyzer</w:t>
      </w:r>
      <w:r>
        <w:t xml:space="preserve"> </w:t>
      </w:r>
      <w:r w:rsidRPr="005E355B">
        <w:t>to determine the elemental composition of the fuel</w:t>
      </w:r>
      <w:r w:rsidRPr="001F3956">
        <w:t>.</w:t>
      </w:r>
    </w:p>
    <w:p w14:paraId="76328F7C" w14:textId="77777777" w:rsidR="00BC120A" w:rsidRDefault="00BC120A" w:rsidP="00120286">
      <w:pPr>
        <w:pStyle w:val="CETBodytext"/>
      </w:pPr>
      <w:r w:rsidRPr="00E71DF0">
        <w:t>The higher heating value (HHV) was evaluated by means of Equation 1 (</w:t>
      </w:r>
      <w:proofErr w:type="spellStart"/>
      <w:r w:rsidRPr="00E71DF0">
        <w:t>Channiwala</w:t>
      </w:r>
      <w:proofErr w:type="spellEnd"/>
      <w:r w:rsidRPr="00E71DF0">
        <w:t xml:space="preserve"> and Parikh, 2002) while the lower heating value (LHV) was evaluated by Equation 2.</w:t>
      </w:r>
    </w:p>
    <w:p w14:paraId="7B659EC7" w14:textId="1DAA1721" w:rsidR="00CA4ECC" w:rsidRPr="00232F50" w:rsidRDefault="00CA4ECC" w:rsidP="00CA4ECC">
      <w:pPr>
        <w:spacing w:before="240" w:after="240"/>
        <w:rPr>
          <w:rFonts w:eastAsiaTheme="minorEastAsia"/>
          <w:color w:val="000000" w:themeColor="text1"/>
          <w:lang w:val="en-US"/>
        </w:rPr>
      </w:pPr>
      <m:oMath>
        <m:r>
          <w:rPr>
            <w:rFonts w:ascii="Cambria Math" w:hAnsi="Cambria Math"/>
          </w:rPr>
          <m:t>HHV</m:t>
        </m:r>
        <m:r>
          <m:rPr>
            <m:sty m:val="p"/>
          </m:rPr>
          <w:rPr>
            <w:rFonts w:ascii="Cambria Math" w:hAnsi="Cambria Math"/>
          </w:rPr>
          <m:t>=349.1</m:t>
        </m:r>
        <m:r>
          <w:rPr>
            <w:rFonts w:ascii="Cambria Math" w:hAnsi="Cambria Math"/>
          </w:rPr>
          <m:t>C</m:t>
        </m:r>
        <m:r>
          <m:rPr>
            <m:sty m:val="p"/>
          </m:rPr>
          <w:rPr>
            <w:rFonts w:ascii="Cambria Math" w:hAnsi="Cambria Math"/>
          </w:rPr>
          <m:t>+1178.3</m:t>
        </m:r>
        <m:r>
          <w:rPr>
            <w:rFonts w:ascii="Cambria Math" w:hAnsi="Cambria Math"/>
          </w:rPr>
          <m:t>H</m:t>
        </m:r>
        <m:r>
          <m:rPr>
            <m:sty m:val="p"/>
          </m:rPr>
          <w:rPr>
            <w:rFonts w:ascii="Cambria Math" w:hAnsi="Cambria Math"/>
          </w:rPr>
          <m:t>+100.5</m:t>
        </m:r>
        <m:r>
          <w:rPr>
            <w:rFonts w:ascii="Cambria Math" w:hAnsi="Cambria Math"/>
          </w:rPr>
          <m:t>S</m:t>
        </m:r>
        <m:r>
          <m:rPr>
            <m:sty m:val="p"/>
          </m:rPr>
          <w:rPr>
            <w:rFonts w:ascii="Cambria Math" w:hAnsi="Cambria Math"/>
          </w:rPr>
          <m:t>+103.4</m:t>
        </m:r>
        <m:r>
          <w:rPr>
            <w:rFonts w:ascii="Cambria Math" w:hAnsi="Cambria Math"/>
          </w:rPr>
          <m:t>O</m:t>
        </m:r>
        <m:r>
          <m:rPr>
            <m:sty m:val="p"/>
          </m:rPr>
          <w:rPr>
            <w:rFonts w:ascii="Cambria Math" w:hAnsi="Cambria Math"/>
          </w:rPr>
          <m:t>-15.1</m:t>
        </m:r>
        <m:r>
          <w:rPr>
            <w:rFonts w:ascii="Cambria Math" w:hAnsi="Cambria Math"/>
          </w:rPr>
          <m:t>N</m:t>
        </m:r>
        <m:r>
          <m:rPr>
            <m:sty m:val="p"/>
          </m:rPr>
          <w:rPr>
            <w:rFonts w:ascii="Cambria Math" w:hAnsi="Cambria Math"/>
          </w:rPr>
          <m:t>-21.1</m:t>
        </m:r>
        <m:r>
          <w:rPr>
            <w:rFonts w:ascii="Cambria Math" w:hAnsi="Cambria Math"/>
          </w:rPr>
          <m:t>Ash</m:t>
        </m:r>
      </m:oMath>
      <w:r>
        <w:rPr>
          <w:iCs/>
        </w:rPr>
        <w:t xml:space="preserve"> </w:t>
      </w:r>
      <w:r>
        <w:rPr>
          <w:iCs/>
        </w:rPr>
        <w:tab/>
      </w:r>
      <w:r>
        <w:rPr>
          <w:iCs/>
        </w:rPr>
        <w:tab/>
      </w:r>
      <w:r w:rsidRPr="00232F50">
        <w:rPr>
          <w:rFonts w:eastAsiaTheme="minorEastAsia"/>
          <w:color w:val="000000" w:themeColor="text1"/>
          <w:lang w:val="en-US"/>
        </w:rPr>
        <w:t>(E</w:t>
      </w:r>
      <w:r>
        <w:rPr>
          <w:rFonts w:eastAsiaTheme="minorEastAsia"/>
          <w:color w:val="000000" w:themeColor="text1"/>
        </w:rPr>
        <w:t>q.1)</w:t>
      </w:r>
    </w:p>
    <w:p w14:paraId="048933EE" w14:textId="77777777" w:rsidR="00CA4ECC" w:rsidRPr="00530B06" w:rsidRDefault="00CA4ECC" w:rsidP="00CA4ECC">
      <w:pPr>
        <w:pStyle w:val="CETEquation"/>
        <w:rPr>
          <w:rFonts w:asciiTheme="minorHAnsi" w:eastAsiaTheme="minorHAnsi" w:hAnsiTheme="minorHAnsi" w:cstheme="minorBidi"/>
          <w:lang w:val="en-US"/>
        </w:rPr>
      </w:pPr>
      <m:oMath>
        <m:r>
          <w:rPr>
            <w:rFonts w:ascii="Cambria Math" w:hAnsi="Cambria Math"/>
            <w:lang w:val="en-US"/>
          </w:rPr>
          <m:t>LHV</m:t>
        </m:r>
        <m:r>
          <m:rPr>
            <m:sty m:val="p"/>
          </m:rPr>
          <w:rPr>
            <w:rFonts w:ascii="Cambria Math" w:hAnsi="Cambria Math"/>
            <w:lang w:val="en-US"/>
          </w:rPr>
          <m:t>=</m:t>
        </m:r>
        <m:r>
          <w:rPr>
            <w:rFonts w:ascii="Cambria Math" w:hAnsi="Cambria Math"/>
            <w:lang w:val="en-US"/>
          </w:rPr>
          <m:t>HHV</m:t>
        </m:r>
        <m:r>
          <m:rPr>
            <m:sty m:val="p"/>
          </m:rPr>
          <w:rPr>
            <w:rFonts w:ascii="Cambria Math" w:hAnsi="Cambria Math"/>
            <w:lang w:val="en-US"/>
          </w:rPr>
          <m:t>-2581 ×(</m:t>
        </m:r>
        <m:r>
          <w:rPr>
            <w:rFonts w:ascii="Cambria Math" w:hAnsi="Cambria Math"/>
            <w:lang w:val="en-US"/>
          </w:rPr>
          <m:t>Moisture</m:t>
        </m:r>
        <m:r>
          <m:rPr>
            <m:sty m:val="p"/>
          </m:rPr>
          <w:rPr>
            <w:rFonts w:ascii="Cambria Math" w:hAnsi="Cambria Math"/>
            <w:lang w:val="en-US"/>
          </w:rPr>
          <m:t>+8.76</m:t>
        </m:r>
        <m:r>
          <w:rPr>
            <w:rFonts w:ascii="Cambria Math" w:hAnsi="Cambria Math"/>
            <w:lang w:val="en-US"/>
          </w:rPr>
          <m:t>H</m:t>
        </m:r>
        <m:r>
          <m:rPr>
            <m:sty m:val="p"/>
          </m:rPr>
          <w:rPr>
            <w:rFonts w:ascii="Cambria Math" w:hAnsi="Cambria Math"/>
            <w:lang w:val="en-US"/>
          </w:rPr>
          <m:t>)</m:t>
        </m:r>
      </m:oMath>
      <w:r w:rsidRPr="00232F50">
        <w:rPr>
          <w:rFonts w:eastAsiaTheme="minorEastAsia"/>
          <w:lang w:val="en-US"/>
        </w:rPr>
        <w:t xml:space="preserve"> </w:t>
      </w:r>
      <w:r>
        <w:rPr>
          <w:rFonts w:eastAsiaTheme="minorEastAsia"/>
        </w:rPr>
        <w:tab/>
      </w:r>
      <w:r>
        <w:rPr>
          <w:rFonts w:eastAsiaTheme="minorEastAsia"/>
        </w:rPr>
        <w:tab/>
      </w:r>
      <w:r w:rsidRPr="00530B06">
        <w:rPr>
          <w:rFonts w:eastAsiaTheme="minorEastAsia"/>
          <w:lang w:val="en-US"/>
        </w:rPr>
        <w:t>(Eq.2)</w:t>
      </w:r>
    </w:p>
    <w:p w14:paraId="131A45FF" w14:textId="77777777" w:rsidR="00CA4ECC" w:rsidRDefault="00CA4ECC" w:rsidP="00CA4ECC">
      <w:pPr>
        <w:pStyle w:val="CETBodytext"/>
        <w:rPr>
          <w:rFonts w:eastAsiaTheme="minorEastAsia"/>
        </w:rPr>
      </w:pPr>
      <w:r w:rsidRPr="00530B06">
        <w:rPr>
          <w:rFonts w:eastAsiaTheme="minorEastAsia"/>
        </w:rPr>
        <w:t>Results of proximate and ultimate analyses and energy content of the tested fuel are listed in Table</w:t>
      </w:r>
      <w:r>
        <w:rPr>
          <w:rFonts w:eastAsiaTheme="minorEastAsia"/>
        </w:rPr>
        <w:t xml:space="preserve"> 1. </w:t>
      </w:r>
    </w:p>
    <w:p w14:paraId="71FBF93D" w14:textId="77777777" w:rsidR="00CA4ECC" w:rsidRPr="00803628" w:rsidRDefault="00CA4ECC" w:rsidP="009537EF">
      <w:pPr>
        <w:pStyle w:val="CETTabletitle"/>
      </w:pPr>
      <w:r w:rsidRPr="00803628">
        <w:t>Table 1: Main characteristics of sewage sludge.</w:t>
      </w:r>
    </w:p>
    <w:tbl>
      <w:tblPr>
        <w:tblW w:w="578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70"/>
        <w:gridCol w:w="470"/>
        <w:gridCol w:w="470"/>
        <w:gridCol w:w="470"/>
        <w:gridCol w:w="470"/>
        <w:gridCol w:w="68"/>
        <w:gridCol w:w="775"/>
        <w:gridCol w:w="776"/>
        <w:gridCol w:w="906"/>
        <w:gridCol w:w="906"/>
      </w:tblGrid>
      <w:tr w:rsidR="00CA4ECC" w:rsidRPr="00803628" w14:paraId="26CD88D1" w14:textId="77777777" w:rsidTr="00AF4EC5">
        <w:tc>
          <w:tcPr>
            <w:tcW w:w="2350" w:type="dxa"/>
            <w:gridSpan w:val="5"/>
            <w:tcBorders>
              <w:top w:val="single" w:sz="12" w:space="0" w:color="008000"/>
              <w:bottom w:val="single" w:sz="6" w:space="0" w:color="008000"/>
            </w:tcBorders>
            <w:shd w:val="clear" w:color="auto" w:fill="FFFFFF"/>
          </w:tcPr>
          <w:p w14:paraId="6A957C70" w14:textId="77777777" w:rsidR="00CA4ECC" w:rsidRPr="00803628" w:rsidRDefault="00CA4ECC" w:rsidP="00AF4EC5">
            <w:pPr>
              <w:ind w:right="-1"/>
              <w:jc w:val="center"/>
            </w:pPr>
            <w:r w:rsidRPr="00803628">
              <w:t>Ultimate analysis</w:t>
            </w:r>
          </w:p>
          <w:p w14:paraId="03D3C875" w14:textId="77777777" w:rsidR="00CA4ECC" w:rsidRPr="00803628" w:rsidRDefault="00CA4ECC" w:rsidP="00AF4EC5">
            <w:pPr>
              <w:ind w:right="-1"/>
              <w:jc w:val="center"/>
            </w:pPr>
            <w:r w:rsidRPr="00803628">
              <w:t>%</w:t>
            </w:r>
          </w:p>
        </w:tc>
        <w:tc>
          <w:tcPr>
            <w:tcW w:w="68" w:type="dxa"/>
            <w:tcBorders>
              <w:top w:val="single" w:sz="12" w:space="0" w:color="008000"/>
              <w:bottom w:val="single" w:sz="6" w:space="0" w:color="008000"/>
            </w:tcBorders>
            <w:shd w:val="clear" w:color="auto" w:fill="FFFFFF"/>
          </w:tcPr>
          <w:p w14:paraId="6EBDD5F7" w14:textId="77777777" w:rsidR="00CA4ECC" w:rsidRPr="00803628" w:rsidRDefault="00CA4ECC" w:rsidP="00AF4EC5">
            <w:pPr>
              <w:ind w:right="-1"/>
              <w:jc w:val="center"/>
              <w:rPr>
                <w:rFonts w:cs="Arial"/>
                <w:szCs w:val="18"/>
              </w:rPr>
            </w:pPr>
          </w:p>
        </w:tc>
        <w:tc>
          <w:tcPr>
            <w:tcW w:w="1551" w:type="dxa"/>
            <w:gridSpan w:val="2"/>
            <w:tcBorders>
              <w:top w:val="single" w:sz="12" w:space="0" w:color="008000"/>
              <w:bottom w:val="single" w:sz="6" w:space="0" w:color="008000"/>
            </w:tcBorders>
            <w:shd w:val="clear" w:color="auto" w:fill="FFFFFF"/>
          </w:tcPr>
          <w:p w14:paraId="03C65E0B" w14:textId="77777777" w:rsidR="00CA4ECC" w:rsidRPr="00803628" w:rsidRDefault="00CA4ECC" w:rsidP="00AF4EC5">
            <w:pPr>
              <w:ind w:right="-1"/>
              <w:jc w:val="center"/>
              <w:rPr>
                <w:rFonts w:cs="Arial"/>
                <w:szCs w:val="18"/>
              </w:rPr>
            </w:pPr>
            <w:r w:rsidRPr="00803628">
              <w:rPr>
                <w:rFonts w:cs="Arial"/>
                <w:szCs w:val="18"/>
              </w:rPr>
              <w:t>Proximate analysis</w:t>
            </w:r>
          </w:p>
          <w:p w14:paraId="6C128277" w14:textId="77777777" w:rsidR="00CA4ECC" w:rsidRPr="00803628" w:rsidRDefault="00CA4ECC" w:rsidP="00AF4EC5">
            <w:pPr>
              <w:ind w:right="-1"/>
              <w:jc w:val="center"/>
              <w:rPr>
                <w:rFonts w:cs="Arial"/>
                <w:szCs w:val="18"/>
              </w:rPr>
            </w:pPr>
            <w:r w:rsidRPr="00803628">
              <w:rPr>
                <w:rFonts w:cs="Arial"/>
                <w:szCs w:val="18"/>
              </w:rPr>
              <w:t xml:space="preserve"> %</w:t>
            </w:r>
          </w:p>
        </w:tc>
        <w:tc>
          <w:tcPr>
            <w:tcW w:w="1812" w:type="dxa"/>
            <w:gridSpan w:val="2"/>
            <w:tcBorders>
              <w:top w:val="single" w:sz="12" w:space="0" w:color="008000"/>
              <w:bottom w:val="single" w:sz="6" w:space="0" w:color="008000"/>
            </w:tcBorders>
            <w:shd w:val="clear" w:color="auto" w:fill="FFFFFF"/>
          </w:tcPr>
          <w:p w14:paraId="1D241175" w14:textId="77777777" w:rsidR="00CA4ECC" w:rsidRPr="00803628" w:rsidRDefault="00CA4ECC" w:rsidP="00AF4EC5">
            <w:pPr>
              <w:ind w:right="-1"/>
              <w:jc w:val="center"/>
              <w:rPr>
                <w:rFonts w:cs="Arial"/>
                <w:szCs w:val="18"/>
              </w:rPr>
            </w:pPr>
            <w:r w:rsidRPr="00803628">
              <w:rPr>
                <w:rFonts w:cs="Arial"/>
                <w:szCs w:val="18"/>
              </w:rPr>
              <w:t>Heating value</w:t>
            </w:r>
          </w:p>
          <w:p w14:paraId="0BBE83A8" w14:textId="77777777" w:rsidR="00CA4ECC" w:rsidRPr="00803628" w:rsidRDefault="00CA4ECC" w:rsidP="00AF4EC5">
            <w:pPr>
              <w:ind w:right="-1"/>
              <w:jc w:val="center"/>
              <w:rPr>
                <w:rFonts w:cs="Arial"/>
                <w:szCs w:val="18"/>
              </w:rPr>
            </w:pPr>
            <w:r w:rsidRPr="00803628">
              <w:rPr>
                <w:rFonts w:cs="Arial"/>
                <w:szCs w:val="18"/>
              </w:rPr>
              <w:t>MJ/</w:t>
            </w:r>
            <w:proofErr w:type="spellStart"/>
            <w:r w:rsidRPr="00803628">
              <w:rPr>
                <w:rFonts w:cs="Arial"/>
                <w:szCs w:val="18"/>
              </w:rPr>
              <w:t>kg</w:t>
            </w:r>
            <w:r w:rsidRPr="00803628">
              <w:rPr>
                <w:rFonts w:cs="Arial"/>
                <w:szCs w:val="18"/>
                <w:vertAlign w:val="subscript"/>
              </w:rPr>
              <w:t>SS-db</w:t>
            </w:r>
            <w:proofErr w:type="spellEnd"/>
          </w:p>
        </w:tc>
      </w:tr>
      <w:tr w:rsidR="00CA4ECC" w:rsidRPr="00803628" w14:paraId="33E89F4D" w14:textId="77777777" w:rsidTr="00AF4EC5">
        <w:tc>
          <w:tcPr>
            <w:tcW w:w="470" w:type="dxa"/>
            <w:shd w:val="clear" w:color="auto" w:fill="FFFFFF"/>
          </w:tcPr>
          <w:p w14:paraId="36068A06" w14:textId="77777777" w:rsidR="00CA4ECC" w:rsidRPr="00803628" w:rsidRDefault="00CA4ECC" w:rsidP="00AF4EC5">
            <w:pPr>
              <w:jc w:val="center"/>
            </w:pPr>
            <w:r w:rsidRPr="00803628">
              <w:t>C</w:t>
            </w:r>
          </w:p>
        </w:tc>
        <w:tc>
          <w:tcPr>
            <w:tcW w:w="470" w:type="dxa"/>
            <w:shd w:val="clear" w:color="auto" w:fill="FFFFFF"/>
          </w:tcPr>
          <w:p w14:paraId="33E9E8B0" w14:textId="77777777" w:rsidR="00CA4ECC" w:rsidRPr="00803628" w:rsidRDefault="00CA4ECC" w:rsidP="00AF4EC5">
            <w:pPr>
              <w:jc w:val="center"/>
            </w:pPr>
            <w:r w:rsidRPr="00803628">
              <w:t>H</w:t>
            </w:r>
          </w:p>
        </w:tc>
        <w:tc>
          <w:tcPr>
            <w:tcW w:w="470" w:type="dxa"/>
            <w:shd w:val="clear" w:color="auto" w:fill="FFFFFF"/>
          </w:tcPr>
          <w:p w14:paraId="2F907FFB" w14:textId="77777777" w:rsidR="00CA4ECC" w:rsidRPr="00803628" w:rsidRDefault="00CA4ECC" w:rsidP="00AF4EC5">
            <w:pPr>
              <w:jc w:val="center"/>
            </w:pPr>
            <w:r w:rsidRPr="00803628">
              <w:t>N</w:t>
            </w:r>
          </w:p>
        </w:tc>
        <w:tc>
          <w:tcPr>
            <w:tcW w:w="470" w:type="dxa"/>
            <w:shd w:val="clear" w:color="auto" w:fill="FFFFFF"/>
          </w:tcPr>
          <w:p w14:paraId="558A8411" w14:textId="77777777" w:rsidR="00CA4ECC" w:rsidRPr="00803628" w:rsidRDefault="00CA4ECC" w:rsidP="00AF4EC5">
            <w:pPr>
              <w:ind w:right="-1"/>
              <w:jc w:val="center"/>
              <w:rPr>
                <w:rFonts w:cs="Arial"/>
                <w:szCs w:val="18"/>
              </w:rPr>
            </w:pPr>
            <w:r w:rsidRPr="00803628">
              <w:rPr>
                <w:rFonts w:cs="Arial"/>
                <w:szCs w:val="18"/>
              </w:rPr>
              <w:t>S</w:t>
            </w:r>
          </w:p>
        </w:tc>
        <w:tc>
          <w:tcPr>
            <w:tcW w:w="470" w:type="dxa"/>
            <w:shd w:val="clear" w:color="auto" w:fill="FFFFFF"/>
          </w:tcPr>
          <w:p w14:paraId="3DF96FBF" w14:textId="77777777" w:rsidR="00CA4ECC" w:rsidRPr="00803628" w:rsidRDefault="00CA4ECC" w:rsidP="00AF4EC5">
            <w:pPr>
              <w:ind w:right="-1"/>
              <w:jc w:val="center"/>
              <w:rPr>
                <w:rFonts w:cs="Arial"/>
                <w:szCs w:val="18"/>
              </w:rPr>
            </w:pPr>
            <w:r w:rsidRPr="00803628">
              <w:rPr>
                <w:rFonts w:cs="Arial"/>
                <w:szCs w:val="18"/>
              </w:rPr>
              <w:t>O*</w:t>
            </w:r>
          </w:p>
        </w:tc>
        <w:tc>
          <w:tcPr>
            <w:tcW w:w="68" w:type="dxa"/>
            <w:shd w:val="clear" w:color="auto" w:fill="FFFFFF"/>
          </w:tcPr>
          <w:p w14:paraId="2540B79F" w14:textId="77777777" w:rsidR="00CA4ECC" w:rsidRPr="00803628" w:rsidRDefault="00CA4ECC" w:rsidP="00AF4EC5">
            <w:pPr>
              <w:ind w:right="-1"/>
              <w:rPr>
                <w:rFonts w:cs="Arial"/>
                <w:szCs w:val="18"/>
              </w:rPr>
            </w:pPr>
          </w:p>
        </w:tc>
        <w:tc>
          <w:tcPr>
            <w:tcW w:w="775" w:type="dxa"/>
            <w:shd w:val="clear" w:color="auto" w:fill="FFFFFF"/>
          </w:tcPr>
          <w:p w14:paraId="3ED1224F" w14:textId="77777777" w:rsidR="00CA4ECC" w:rsidRPr="00803628" w:rsidRDefault="00CA4ECC" w:rsidP="00AF4EC5">
            <w:pPr>
              <w:ind w:right="-1"/>
              <w:jc w:val="center"/>
              <w:rPr>
                <w:rFonts w:cs="Arial"/>
                <w:szCs w:val="18"/>
              </w:rPr>
            </w:pPr>
            <w:r w:rsidRPr="00803628">
              <w:rPr>
                <w:rFonts w:cs="Arial"/>
                <w:szCs w:val="18"/>
              </w:rPr>
              <w:t>Ash</w:t>
            </w:r>
          </w:p>
        </w:tc>
        <w:tc>
          <w:tcPr>
            <w:tcW w:w="776" w:type="dxa"/>
            <w:shd w:val="clear" w:color="auto" w:fill="FFFFFF"/>
          </w:tcPr>
          <w:p w14:paraId="781DF87A" w14:textId="77777777" w:rsidR="00CA4ECC" w:rsidRPr="00803628" w:rsidRDefault="00CA4ECC" w:rsidP="00AF4EC5">
            <w:pPr>
              <w:ind w:right="-1"/>
              <w:jc w:val="center"/>
              <w:rPr>
                <w:rFonts w:cs="Arial"/>
                <w:szCs w:val="18"/>
              </w:rPr>
            </w:pPr>
            <w:r w:rsidRPr="00803628">
              <w:rPr>
                <w:rFonts w:cs="Arial"/>
                <w:szCs w:val="18"/>
              </w:rPr>
              <w:t>Moisture</w:t>
            </w:r>
          </w:p>
        </w:tc>
        <w:tc>
          <w:tcPr>
            <w:tcW w:w="906" w:type="dxa"/>
            <w:shd w:val="clear" w:color="auto" w:fill="FFFFFF"/>
          </w:tcPr>
          <w:p w14:paraId="30D260F9" w14:textId="77777777" w:rsidR="00CA4ECC" w:rsidRPr="00803628" w:rsidRDefault="00CA4ECC" w:rsidP="00AF4EC5">
            <w:pPr>
              <w:ind w:right="-1"/>
              <w:jc w:val="center"/>
              <w:rPr>
                <w:rFonts w:cs="Arial"/>
                <w:szCs w:val="18"/>
              </w:rPr>
            </w:pPr>
            <w:r w:rsidRPr="00803628">
              <w:rPr>
                <w:rFonts w:cs="Arial"/>
                <w:szCs w:val="18"/>
              </w:rPr>
              <w:t>HHV</w:t>
            </w:r>
          </w:p>
        </w:tc>
        <w:tc>
          <w:tcPr>
            <w:tcW w:w="906" w:type="dxa"/>
            <w:shd w:val="clear" w:color="auto" w:fill="FFFFFF"/>
          </w:tcPr>
          <w:p w14:paraId="11DF05A7" w14:textId="77777777" w:rsidR="00CA4ECC" w:rsidRPr="00803628" w:rsidRDefault="00CA4ECC" w:rsidP="00AF4EC5">
            <w:pPr>
              <w:ind w:right="-1"/>
              <w:jc w:val="center"/>
              <w:rPr>
                <w:rFonts w:cs="Arial"/>
                <w:szCs w:val="18"/>
              </w:rPr>
            </w:pPr>
            <w:r w:rsidRPr="00803628">
              <w:rPr>
                <w:rFonts w:cs="Arial"/>
                <w:szCs w:val="18"/>
              </w:rPr>
              <w:t>LHV</w:t>
            </w:r>
          </w:p>
        </w:tc>
      </w:tr>
      <w:tr w:rsidR="00CA4ECC" w:rsidRPr="00803628" w14:paraId="45641F8C" w14:textId="77777777" w:rsidTr="00AF4EC5">
        <w:tc>
          <w:tcPr>
            <w:tcW w:w="470" w:type="dxa"/>
            <w:shd w:val="clear" w:color="auto" w:fill="FFFFFF"/>
          </w:tcPr>
          <w:p w14:paraId="7E341952" w14:textId="77777777" w:rsidR="00CA4ECC" w:rsidRPr="00803628" w:rsidRDefault="00CA4ECC" w:rsidP="00AF4EC5">
            <w:pPr>
              <w:ind w:right="-1"/>
              <w:jc w:val="center"/>
              <w:rPr>
                <w:rFonts w:cs="Arial"/>
                <w:szCs w:val="18"/>
              </w:rPr>
            </w:pPr>
            <w:r w:rsidRPr="00803628">
              <w:rPr>
                <w:rFonts w:cs="Arial"/>
                <w:szCs w:val="18"/>
              </w:rPr>
              <w:t>27.42</w:t>
            </w:r>
          </w:p>
        </w:tc>
        <w:tc>
          <w:tcPr>
            <w:tcW w:w="470" w:type="dxa"/>
            <w:shd w:val="clear" w:color="auto" w:fill="FFFFFF"/>
          </w:tcPr>
          <w:p w14:paraId="2FBC6284" w14:textId="77777777" w:rsidR="00CA4ECC" w:rsidRPr="00803628" w:rsidRDefault="00CA4ECC" w:rsidP="00AF4EC5">
            <w:pPr>
              <w:ind w:right="-1"/>
              <w:jc w:val="center"/>
              <w:rPr>
                <w:rFonts w:cs="Arial"/>
                <w:szCs w:val="18"/>
              </w:rPr>
            </w:pPr>
            <w:r w:rsidRPr="00803628">
              <w:rPr>
                <w:rFonts w:cs="Arial"/>
                <w:szCs w:val="18"/>
              </w:rPr>
              <w:t>4.28</w:t>
            </w:r>
          </w:p>
        </w:tc>
        <w:tc>
          <w:tcPr>
            <w:tcW w:w="470" w:type="dxa"/>
            <w:shd w:val="clear" w:color="auto" w:fill="FFFFFF"/>
          </w:tcPr>
          <w:p w14:paraId="691C2204" w14:textId="77777777" w:rsidR="00CA4ECC" w:rsidRPr="00803628" w:rsidRDefault="00CA4ECC" w:rsidP="00AF4EC5">
            <w:pPr>
              <w:ind w:right="-1"/>
              <w:jc w:val="center"/>
              <w:rPr>
                <w:rFonts w:cs="Arial"/>
                <w:szCs w:val="18"/>
              </w:rPr>
            </w:pPr>
            <w:r w:rsidRPr="00803628">
              <w:rPr>
                <w:rFonts w:cs="Arial"/>
                <w:szCs w:val="18"/>
              </w:rPr>
              <w:t>3.79</w:t>
            </w:r>
          </w:p>
        </w:tc>
        <w:tc>
          <w:tcPr>
            <w:tcW w:w="470" w:type="dxa"/>
            <w:shd w:val="clear" w:color="auto" w:fill="FFFFFF"/>
          </w:tcPr>
          <w:p w14:paraId="7751D8E7" w14:textId="77777777" w:rsidR="00CA4ECC" w:rsidRPr="00803628" w:rsidRDefault="00CA4ECC" w:rsidP="00AF4EC5">
            <w:pPr>
              <w:ind w:right="-1"/>
              <w:jc w:val="center"/>
              <w:rPr>
                <w:rFonts w:cs="Arial"/>
                <w:szCs w:val="18"/>
              </w:rPr>
            </w:pPr>
            <w:r w:rsidRPr="00803628">
              <w:rPr>
                <w:rFonts w:cs="Arial"/>
                <w:szCs w:val="18"/>
              </w:rPr>
              <w:t>1.25</w:t>
            </w:r>
          </w:p>
        </w:tc>
        <w:tc>
          <w:tcPr>
            <w:tcW w:w="470" w:type="dxa"/>
            <w:shd w:val="clear" w:color="auto" w:fill="FFFFFF"/>
          </w:tcPr>
          <w:p w14:paraId="19FB13E0" w14:textId="77777777" w:rsidR="00CA4ECC" w:rsidRPr="00803628" w:rsidRDefault="00CA4ECC" w:rsidP="00AF4EC5">
            <w:pPr>
              <w:ind w:right="-1"/>
              <w:jc w:val="center"/>
              <w:rPr>
                <w:rFonts w:cs="Arial"/>
                <w:szCs w:val="18"/>
              </w:rPr>
            </w:pPr>
            <w:r w:rsidRPr="00803628">
              <w:rPr>
                <w:rFonts w:cs="Arial"/>
                <w:szCs w:val="18"/>
              </w:rPr>
              <w:t>9.03</w:t>
            </w:r>
          </w:p>
        </w:tc>
        <w:tc>
          <w:tcPr>
            <w:tcW w:w="68" w:type="dxa"/>
            <w:shd w:val="clear" w:color="auto" w:fill="FFFFFF"/>
          </w:tcPr>
          <w:p w14:paraId="503638E3" w14:textId="77777777" w:rsidR="00CA4ECC" w:rsidRPr="00803628" w:rsidRDefault="00CA4ECC" w:rsidP="00AF4EC5">
            <w:pPr>
              <w:ind w:right="-1"/>
              <w:jc w:val="center"/>
              <w:rPr>
                <w:rFonts w:cs="Arial"/>
                <w:szCs w:val="18"/>
              </w:rPr>
            </w:pPr>
          </w:p>
        </w:tc>
        <w:tc>
          <w:tcPr>
            <w:tcW w:w="775" w:type="dxa"/>
            <w:shd w:val="clear" w:color="auto" w:fill="FFFFFF"/>
          </w:tcPr>
          <w:p w14:paraId="4B31455D" w14:textId="77777777" w:rsidR="00CA4ECC" w:rsidRPr="00803628" w:rsidRDefault="00CA4ECC" w:rsidP="00AF4EC5">
            <w:pPr>
              <w:ind w:right="-1"/>
              <w:jc w:val="center"/>
              <w:rPr>
                <w:rFonts w:cs="Arial"/>
                <w:szCs w:val="18"/>
              </w:rPr>
            </w:pPr>
            <w:r w:rsidRPr="00803628">
              <w:rPr>
                <w:rFonts w:cs="Arial"/>
                <w:szCs w:val="18"/>
              </w:rPr>
              <w:t>45.76</w:t>
            </w:r>
          </w:p>
        </w:tc>
        <w:tc>
          <w:tcPr>
            <w:tcW w:w="776" w:type="dxa"/>
            <w:shd w:val="clear" w:color="auto" w:fill="FFFFFF"/>
          </w:tcPr>
          <w:p w14:paraId="3C3EE604" w14:textId="77777777" w:rsidR="00CA4ECC" w:rsidRPr="00803628" w:rsidRDefault="00CA4ECC" w:rsidP="00AF4EC5">
            <w:pPr>
              <w:ind w:right="-1"/>
              <w:jc w:val="center"/>
              <w:rPr>
                <w:rFonts w:cs="Arial"/>
                <w:szCs w:val="18"/>
              </w:rPr>
            </w:pPr>
            <w:r w:rsidRPr="00803628">
              <w:rPr>
                <w:rFonts w:cs="Arial"/>
                <w:szCs w:val="18"/>
              </w:rPr>
              <w:t>8.48</w:t>
            </w:r>
          </w:p>
        </w:tc>
        <w:tc>
          <w:tcPr>
            <w:tcW w:w="906" w:type="dxa"/>
            <w:shd w:val="clear" w:color="auto" w:fill="FFFFFF"/>
          </w:tcPr>
          <w:p w14:paraId="540AEA23" w14:textId="77777777" w:rsidR="00CA4ECC" w:rsidRPr="00803628" w:rsidRDefault="00CA4ECC" w:rsidP="00AF4EC5">
            <w:pPr>
              <w:ind w:right="-1"/>
              <w:jc w:val="center"/>
              <w:rPr>
                <w:rFonts w:cs="Arial"/>
                <w:szCs w:val="18"/>
              </w:rPr>
            </w:pPr>
            <w:r w:rsidRPr="00803628">
              <w:rPr>
                <w:rFonts w:cs="Arial"/>
                <w:szCs w:val="18"/>
              </w:rPr>
              <w:t>13.97</w:t>
            </w:r>
          </w:p>
        </w:tc>
        <w:tc>
          <w:tcPr>
            <w:tcW w:w="906" w:type="dxa"/>
            <w:shd w:val="clear" w:color="auto" w:fill="FFFFFF"/>
          </w:tcPr>
          <w:p w14:paraId="41C533E1" w14:textId="77777777" w:rsidR="00CA4ECC" w:rsidRPr="00803628" w:rsidRDefault="00CA4ECC" w:rsidP="00AF4EC5">
            <w:pPr>
              <w:ind w:right="-1"/>
              <w:jc w:val="center"/>
              <w:rPr>
                <w:rFonts w:cs="Arial"/>
                <w:szCs w:val="18"/>
              </w:rPr>
            </w:pPr>
            <w:r w:rsidRPr="00803628">
              <w:rPr>
                <w:rFonts w:cs="Arial"/>
                <w:szCs w:val="18"/>
              </w:rPr>
              <w:t>12.78</w:t>
            </w:r>
          </w:p>
        </w:tc>
      </w:tr>
    </w:tbl>
    <w:p w14:paraId="3A92D766" w14:textId="77777777" w:rsidR="00CA4ECC" w:rsidRDefault="00CA4ECC" w:rsidP="00CA4ECC">
      <w:pPr>
        <w:keepNext/>
        <w:tabs>
          <w:tab w:val="clear" w:pos="7100"/>
        </w:tabs>
        <w:suppressAutoHyphens/>
        <w:spacing w:after="120" w:line="240" w:lineRule="auto"/>
        <w:jc w:val="left"/>
      </w:pPr>
      <w:r w:rsidRPr="00803628">
        <w:t>*</w:t>
      </w:r>
      <w:proofErr w:type="gramStart"/>
      <w:r w:rsidRPr="00803628">
        <w:t>by</w:t>
      </w:r>
      <w:proofErr w:type="gramEnd"/>
      <w:r w:rsidRPr="00803628">
        <w:t xml:space="preserve"> difference</w:t>
      </w:r>
    </w:p>
    <w:p w14:paraId="34A3C7BF" w14:textId="56C40F7B" w:rsidR="00CA4ECC" w:rsidRPr="00CA4ECC" w:rsidRDefault="00CA4ECC" w:rsidP="009537EF">
      <w:pPr>
        <w:pStyle w:val="CETHeading1"/>
        <w:numPr>
          <w:ilvl w:val="0"/>
          <w:numId w:val="0"/>
        </w:numPr>
        <w:rPr>
          <w:sz w:val="18"/>
        </w:rPr>
      </w:pPr>
      <w:r>
        <w:t xml:space="preserve">3. </w:t>
      </w:r>
      <w:r w:rsidRPr="00370EBA">
        <w:rPr>
          <w:bCs/>
          <w:szCs w:val="22"/>
        </w:rPr>
        <w:t xml:space="preserve">Results and Discussion </w:t>
      </w:r>
    </w:p>
    <w:p w14:paraId="46070AA3" w14:textId="77777777" w:rsidR="00CA4ECC" w:rsidRDefault="00CA4ECC" w:rsidP="00CA4ECC">
      <w:pPr>
        <w:pStyle w:val="CETBodytext"/>
        <w:rPr>
          <w:rFonts w:eastAsiaTheme="minorEastAsia"/>
          <w:bCs/>
          <w:color w:val="000000"/>
        </w:rPr>
      </w:pPr>
      <w:r w:rsidRPr="009A74AF">
        <w:rPr>
          <w:rFonts w:eastAsiaTheme="minorEastAsia"/>
        </w:rPr>
        <w:t>The type of gasifying medium significantly affects the selectivity of gasification reactions, thereby influencing the composition of the resulting syngas. Steam gasification is an attractive alternative process that allows the production of syngas with a high percentage of hydrogen from low-grade fuels</w:t>
      </w:r>
      <w:sdt>
        <w:sdtPr>
          <w:rPr>
            <w:rFonts w:eastAsiaTheme="minorEastAsia"/>
            <w:bCs/>
            <w:color w:val="000000"/>
          </w:rPr>
          <w:tag w:val="MENDELEY_CITATION_v3_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"/>
          <w:id w:val="-1902045851"/>
          <w:placeholder>
            <w:docPart w:val="B112CBE2169B4E81A5B2334ED8B543E9"/>
          </w:placeholder>
        </w:sdtPr>
        <w:sdtContent>
          <w:r>
            <w:rPr>
              <w:rFonts w:eastAsiaTheme="minorEastAsia"/>
              <w:bCs/>
              <w:color w:val="000000"/>
            </w:rPr>
            <w:t xml:space="preserve"> </w:t>
          </w:r>
          <w:r w:rsidRPr="001E16C9">
            <w:rPr>
              <w:rFonts w:eastAsiaTheme="minorEastAsia"/>
              <w:bCs/>
              <w:color w:val="000000"/>
            </w:rPr>
            <w:t>(Tahir and Chen, 2024)</w:t>
          </w:r>
        </w:sdtContent>
      </w:sdt>
      <w:r w:rsidRPr="009A74AF">
        <w:rPr>
          <w:rFonts w:eastAsiaTheme="minorEastAsia"/>
          <w:bCs/>
          <w:color w:val="000000"/>
        </w:rPr>
        <w:t xml:space="preserve">. The laboratory-scale apparatus was fed with SS to attain information about the effect of reactor temperature </w:t>
      </w:r>
      <w:r>
        <w:rPr>
          <w:rFonts w:eastAsiaTheme="minorEastAsia"/>
          <w:bCs/>
          <w:color w:val="000000"/>
        </w:rPr>
        <w:t xml:space="preserve">and </w:t>
      </w:r>
      <w:r w:rsidRPr="0048137A">
        <w:rPr>
          <w:rFonts w:eastAsiaTheme="minorEastAsia"/>
          <w:bCs/>
          <w:color w:val="000000"/>
        </w:rPr>
        <w:t>reactor heating element configuration</w:t>
      </w:r>
      <w:r>
        <w:rPr>
          <w:rFonts w:eastAsiaTheme="minorEastAsia"/>
          <w:bCs/>
          <w:color w:val="000000"/>
        </w:rPr>
        <w:t xml:space="preserve"> </w:t>
      </w:r>
      <w:r w:rsidRPr="009A74AF">
        <w:rPr>
          <w:rFonts w:eastAsiaTheme="minorEastAsia"/>
          <w:bCs/>
          <w:color w:val="000000"/>
        </w:rPr>
        <w:t>on the performance of the steam gasification process. The main experimental results are reported in Table 2.</w:t>
      </w:r>
    </w:p>
    <w:p w14:paraId="172FE011" w14:textId="77777777" w:rsidR="00CA4ECC" w:rsidRPr="009A74AF" w:rsidRDefault="00CA4ECC" w:rsidP="00CA4ECC">
      <w:pPr>
        <w:pStyle w:val="CETBodytext"/>
        <w:rPr>
          <w:rFonts w:eastAsiaTheme="minorEastAsia"/>
          <w:bCs/>
          <w:color w:val="000000"/>
        </w:rPr>
      </w:pPr>
      <w:r w:rsidRPr="009A74AF">
        <w:rPr>
          <w:rFonts w:eastAsiaTheme="minorEastAsia"/>
          <w:bCs/>
          <w:color w:val="000000"/>
        </w:rPr>
        <w:t xml:space="preserve">The results showed that during the gasification tests conducted under configuration L1, an increase in temperature led to a higher concentration of hydrogen. Specifically, the concentration increased from 51.4% at 800 °C to 56.0% at 900 °C. This trend aligns with the endothermic nature of steam gasification reactions, where </w:t>
      </w:r>
      <w:r w:rsidRPr="009A74AF">
        <w:rPr>
          <w:rFonts w:eastAsiaTheme="minorEastAsia"/>
          <w:bCs/>
          <w:color w:val="000000"/>
        </w:rPr>
        <w:lastRenderedPageBreak/>
        <w:t>higher temperatures promote the steam reforming reaction, thereby increasing hydrogen production.</w:t>
      </w:r>
      <w:r>
        <w:rPr>
          <w:rFonts w:eastAsiaTheme="minorEastAsia"/>
          <w:bCs/>
          <w:color w:val="000000"/>
        </w:rPr>
        <w:t xml:space="preserve"> This also led to a decrease in CH</w:t>
      </w:r>
      <w:r w:rsidRPr="00B333DD">
        <w:rPr>
          <w:rFonts w:eastAsiaTheme="minorEastAsia"/>
          <w:bCs/>
          <w:color w:val="000000"/>
          <w:vertAlign w:val="subscript"/>
        </w:rPr>
        <w:t>4</w:t>
      </w:r>
      <w:r>
        <w:rPr>
          <w:rFonts w:eastAsiaTheme="minorEastAsia"/>
          <w:bCs/>
          <w:color w:val="000000"/>
        </w:rPr>
        <w:t xml:space="preserve"> and </w:t>
      </w:r>
      <w:r w:rsidRPr="002E16E6">
        <w:rPr>
          <w:rFonts w:eastAsiaTheme="minorEastAsia"/>
          <w:bCs/>
          <w:color w:val="000000"/>
        </w:rPr>
        <w:t>light hydrocarbons (C</w:t>
      </w:r>
      <w:r w:rsidRPr="002E16E6">
        <w:rPr>
          <w:rFonts w:ascii="Cambria Math" w:eastAsiaTheme="minorEastAsia" w:hAnsi="Cambria Math" w:cs="Cambria Math"/>
          <w:bCs/>
          <w:color w:val="000000"/>
        </w:rPr>
        <w:t>₄</w:t>
      </w:r>
      <w:r w:rsidRPr="002E16E6">
        <w:rPr>
          <w:rFonts w:eastAsiaTheme="minorEastAsia"/>
          <w:bCs/>
          <w:color w:val="000000"/>
        </w:rPr>
        <w:t>H</w:t>
      </w:r>
      <w:r w:rsidRPr="002E16E6">
        <w:rPr>
          <w:rFonts w:ascii="Segoe UI Symbol" w:eastAsiaTheme="minorEastAsia" w:hAnsi="Segoe UI Symbol" w:cs="Segoe UI Symbol"/>
          <w:bCs/>
          <w:color w:val="000000"/>
        </w:rPr>
        <w:t>ₘ</w:t>
      </w:r>
      <w:r w:rsidRPr="002E16E6">
        <w:rPr>
          <w:rFonts w:eastAsiaTheme="minorEastAsia"/>
          <w:bCs/>
          <w:color w:val="000000"/>
        </w:rPr>
        <w:t>)</w:t>
      </w:r>
      <w:r>
        <w:rPr>
          <w:rFonts w:eastAsiaTheme="minorEastAsia"/>
          <w:bCs/>
          <w:color w:val="000000"/>
        </w:rPr>
        <w:t xml:space="preserve"> concentrations from 3.8% to 2.3% and from 1.2% to 0.6%, respectively. </w:t>
      </w:r>
      <w:r w:rsidRPr="00C30878">
        <w:rPr>
          <w:rFonts w:eastAsiaTheme="minorEastAsia"/>
          <w:bCs/>
          <w:color w:val="000000"/>
        </w:rPr>
        <w:t xml:space="preserve">Probably, this is due to the enhancement of cracking and reforming reactions of light hydrocarbons at elevated temperatures </w:t>
      </w:r>
      <w:sdt>
        <w:sdtPr>
          <w:rPr>
            <w:rFonts w:eastAsiaTheme="minorEastAsia"/>
            <w:bCs/>
            <w:color w:val="000000"/>
          </w:rPr>
          <w:tag w:val="MENDELEY_CITATION_v3_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"/>
          <w:id w:val="-752198273"/>
          <w:placeholder>
            <w:docPart w:val="F2256A37F75F4382B380F68650376A64"/>
          </w:placeholder>
        </w:sdtPr>
        <w:sdtContent>
          <w:r w:rsidRPr="00B10FF9">
            <w:rPr>
              <w:rFonts w:eastAsiaTheme="minorEastAsia"/>
              <w:bCs/>
              <w:color w:val="000000"/>
            </w:rPr>
            <w:t>(</w:t>
          </w:r>
          <w:proofErr w:type="spellStart"/>
          <w:r w:rsidRPr="00B10FF9">
            <w:rPr>
              <w:rFonts w:eastAsiaTheme="minorEastAsia"/>
              <w:bCs/>
              <w:color w:val="000000"/>
            </w:rPr>
            <w:t>Maitlo</w:t>
          </w:r>
          <w:proofErr w:type="spellEnd"/>
          <w:r w:rsidRPr="00B10FF9">
            <w:rPr>
              <w:rFonts w:eastAsiaTheme="minorEastAsia"/>
              <w:bCs/>
              <w:color w:val="000000"/>
            </w:rPr>
            <w:t xml:space="preserve"> et al., 2022)</w:t>
          </w:r>
        </w:sdtContent>
      </w:sdt>
      <w:r w:rsidRPr="00C30878">
        <w:rPr>
          <w:rFonts w:eastAsiaTheme="minorEastAsia"/>
          <w:bCs/>
          <w:color w:val="000000"/>
        </w:rPr>
        <w:t>.</w:t>
      </w:r>
      <w:r>
        <w:rPr>
          <w:rFonts w:eastAsiaTheme="minorEastAsia"/>
          <w:bCs/>
          <w:color w:val="000000"/>
        </w:rPr>
        <w:t xml:space="preserve"> </w:t>
      </w:r>
    </w:p>
    <w:p w14:paraId="22B39F47" w14:textId="77777777" w:rsidR="00CA4ECC" w:rsidRPr="005A6026" w:rsidRDefault="00CA4ECC" w:rsidP="009537EF">
      <w:pPr>
        <w:pStyle w:val="CETTabletitle"/>
      </w:pPr>
      <w:r w:rsidRPr="005A6026">
        <w:rPr>
          <w:rStyle w:val="CETCaptionCarattere"/>
          <w:i/>
        </w:rPr>
        <w:t>Table 2: Main results of experimental runs</w:t>
      </w:r>
      <w:r w:rsidRPr="005A6026">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573"/>
        <w:gridCol w:w="573"/>
        <w:gridCol w:w="573"/>
        <w:gridCol w:w="573"/>
        <w:gridCol w:w="573"/>
        <w:gridCol w:w="573"/>
        <w:gridCol w:w="573"/>
        <w:gridCol w:w="951"/>
      </w:tblGrid>
      <w:tr w:rsidR="00CA4ECC" w:rsidRPr="00B57B36" w14:paraId="716B819C" w14:textId="77777777" w:rsidTr="00AF4EC5">
        <w:tc>
          <w:tcPr>
            <w:tcW w:w="573" w:type="dxa"/>
            <w:tcBorders>
              <w:top w:val="single" w:sz="12" w:space="0" w:color="008000"/>
              <w:bottom w:val="single" w:sz="6" w:space="0" w:color="008000"/>
            </w:tcBorders>
            <w:shd w:val="clear" w:color="auto" w:fill="FFFFFF"/>
          </w:tcPr>
          <w:p w14:paraId="5FF23BFC" w14:textId="77777777" w:rsidR="00CA4ECC" w:rsidRDefault="00CA4ECC" w:rsidP="00AF4EC5">
            <w:pPr>
              <w:pStyle w:val="CETBodytext"/>
              <w:jc w:val="center"/>
              <w:rPr>
                <w:lang w:val="en-GB"/>
              </w:rPr>
            </w:pPr>
            <w:r>
              <w:rPr>
                <w:lang w:val="en-GB"/>
              </w:rPr>
              <w:t>Test</w:t>
            </w:r>
          </w:p>
          <w:p w14:paraId="6AF4208A" w14:textId="77777777" w:rsidR="00CA4ECC" w:rsidRPr="00B57B36" w:rsidRDefault="00CA4ECC" w:rsidP="00AF4EC5">
            <w:pPr>
              <w:pStyle w:val="CETBodytext"/>
              <w:jc w:val="center"/>
              <w:rPr>
                <w:lang w:val="en-GB"/>
              </w:rPr>
            </w:pPr>
            <w:r>
              <w:rPr>
                <w:lang w:val="en-GB"/>
              </w:rPr>
              <w:t>-</w:t>
            </w:r>
          </w:p>
        </w:tc>
        <w:tc>
          <w:tcPr>
            <w:tcW w:w="573" w:type="dxa"/>
            <w:tcBorders>
              <w:top w:val="single" w:sz="12" w:space="0" w:color="008000"/>
              <w:bottom w:val="single" w:sz="6" w:space="0" w:color="008000"/>
            </w:tcBorders>
            <w:shd w:val="clear" w:color="auto" w:fill="FFFFFF"/>
          </w:tcPr>
          <w:p w14:paraId="329140D9" w14:textId="77777777" w:rsidR="00CA4ECC" w:rsidRDefault="00CA4ECC" w:rsidP="00AF4EC5">
            <w:pPr>
              <w:pStyle w:val="CETBodytext"/>
              <w:jc w:val="center"/>
              <w:rPr>
                <w:lang w:val="en-GB"/>
              </w:rPr>
            </w:pPr>
            <w:r>
              <w:rPr>
                <w:lang w:val="en-GB"/>
              </w:rPr>
              <w:t>T</w:t>
            </w:r>
          </w:p>
          <w:p w14:paraId="0971A245" w14:textId="77777777" w:rsidR="00CA4ECC" w:rsidRPr="00B57B36" w:rsidRDefault="00CA4ECC" w:rsidP="00AF4EC5">
            <w:pPr>
              <w:pStyle w:val="CETBodytext"/>
              <w:jc w:val="center"/>
              <w:rPr>
                <w:lang w:val="en-GB"/>
              </w:rPr>
            </w:pPr>
            <w:r>
              <w:rPr>
                <w:lang w:val="en-GB"/>
              </w:rPr>
              <w:t>°C</w:t>
            </w:r>
          </w:p>
        </w:tc>
        <w:tc>
          <w:tcPr>
            <w:tcW w:w="573" w:type="dxa"/>
            <w:tcBorders>
              <w:top w:val="single" w:sz="12" w:space="0" w:color="008000"/>
              <w:bottom w:val="single" w:sz="6" w:space="0" w:color="008000"/>
            </w:tcBorders>
            <w:shd w:val="clear" w:color="auto" w:fill="FFFFFF"/>
          </w:tcPr>
          <w:p w14:paraId="676AF7F2" w14:textId="77777777" w:rsidR="00CA4ECC" w:rsidRDefault="00CA4ECC" w:rsidP="00AF4EC5">
            <w:pPr>
              <w:pStyle w:val="CETBodytext"/>
              <w:jc w:val="center"/>
              <w:rPr>
                <w:lang w:val="en-GB"/>
              </w:rPr>
            </w:pPr>
            <w:r>
              <w:rPr>
                <w:lang w:val="en-GB"/>
              </w:rPr>
              <w:t>H</w:t>
            </w:r>
            <w:r w:rsidRPr="00CA7D30">
              <w:rPr>
                <w:vertAlign w:val="subscript"/>
                <w:lang w:val="en-GB"/>
              </w:rPr>
              <w:t>2</w:t>
            </w:r>
          </w:p>
          <w:p w14:paraId="0DB6F8AD" w14:textId="77777777" w:rsidR="00CA4ECC" w:rsidRPr="00B57B36" w:rsidRDefault="00CA4ECC" w:rsidP="00AF4EC5">
            <w:pPr>
              <w:pStyle w:val="CETBodytext"/>
              <w:jc w:val="center"/>
              <w:rPr>
                <w:lang w:val="en-GB"/>
              </w:rPr>
            </w:pPr>
          </w:p>
        </w:tc>
        <w:tc>
          <w:tcPr>
            <w:tcW w:w="573" w:type="dxa"/>
            <w:tcBorders>
              <w:top w:val="single" w:sz="12" w:space="0" w:color="008000"/>
              <w:bottom w:val="single" w:sz="6" w:space="0" w:color="008000"/>
            </w:tcBorders>
            <w:shd w:val="clear" w:color="auto" w:fill="FFFFFF"/>
          </w:tcPr>
          <w:p w14:paraId="3F6EBEB1" w14:textId="77777777" w:rsidR="00CA4ECC" w:rsidRDefault="00CA4ECC" w:rsidP="00AF4EC5">
            <w:pPr>
              <w:pStyle w:val="CETBodytext"/>
              <w:ind w:right="-1"/>
              <w:jc w:val="center"/>
              <w:rPr>
                <w:rFonts w:cs="Arial"/>
                <w:szCs w:val="18"/>
                <w:lang w:val="en-GB"/>
              </w:rPr>
            </w:pPr>
            <w:r>
              <w:rPr>
                <w:rFonts w:cs="Arial"/>
                <w:szCs w:val="18"/>
                <w:lang w:val="en-GB"/>
              </w:rPr>
              <w:t>CH</w:t>
            </w:r>
            <w:r w:rsidRPr="00CA7D30">
              <w:rPr>
                <w:rFonts w:cs="Arial"/>
                <w:szCs w:val="18"/>
                <w:vertAlign w:val="subscript"/>
                <w:lang w:val="en-GB"/>
              </w:rPr>
              <w:t>4</w:t>
            </w:r>
          </w:p>
          <w:p w14:paraId="16966ED6" w14:textId="77777777" w:rsidR="00CA4ECC" w:rsidRPr="00B57B36" w:rsidRDefault="00CA4ECC" w:rsidP="00AF4EC5">
            <w:pPr>
              <w:pStyle w:val="CETBodytext"/>
              <w:ind w:right="-1"/>
              <w:jc w:val="center"/>
              <w:rPr>
                <w:rFonts w:cs="Arial"/>
                <w:szCs w:val="18"/>
                <w:lang w:val="en-GB"/>
              </w:rPr>
            </w:pPr>
          </w:p>
        </w:tc>
        <w:tc>
          <w:tcPr>
            <w:tcW w:w="573" w:type="dxa"/>
            <w:tcBorders>
              <w:top w:val="single" w:sz="12" w:space="0" w:color="008000"/>
              <w:bottom w:val="single" w:sz="6" w:space="0" w:color="008000"/>
            </w:tcBorders>
            <w:shd w:val="clear" w:color="auto" w:fill="FFFFFF"/>
          </w:tcPr>
          <w:p w14:paraId="2426B5C0" w14:textId="77777777" w:rsidR="00CA4ECC" w:rsidRDefault="00CA4ECC" w:rsidP="00AF4EC5">
            <w:pPr>
              <w:pStyle w:val="CETBodytext"/>
              <w:ind w:right="-1"/>
              <w:jc w:val="center"/>
              <w:rPr>
                <w:rFonts w:cs="Arial"/>
                <w:szCs w:val="18"/>
                <w:lang w:val="en-GB"/>
              </w:rPr>
            </w:pPr>
            <w:r>
              <w:rPr>
                <w:rFonts w:cs="Arial"/>
                <w:szCs w:val="18"/>
                <w:lang w:val="en-GB"/>
              </w:rPr>
              <w:t>C</w:t>
            </w:r>
            <w:r w:rsidRPr="00CA7D30">
              <w:rPr>
                <w:rFonts w:cs="Arial"/>
                <w:szCs w:val="18"/>
                <w:vertAlign w:val="subscript"/>
                <w:lang w:val="en-GB"/>
              </w:rPr>
              <w:t>4</w:t>
            </w:r>
            <w:r>
              <w:rPr>
                <w:rFonts w:cs="Arial"/>
                <w:szCs w:val="18"/>
                <w:lang w:val="en-GB"/>
              </w:rPr>
              <w:t>H</w:t>
            </w:r>
            <w:r w:rsidRPr="00CA7D30">
              <w:rPr>
                <w:rFonts w:cs="Arial"/>
                <w:szCs w:val="18"/>
                <w:vertAlign w:val="subscript"/>
                <w:lang w:val="en-GB"/>
              </w:rPr>
              <w:t>m</w:t>
            </w:r>
          </w:p>
          <w:p w14:paraId="7C174E74" w14:textId="77777777" w:rsidR="00CA4ECC" w:rsidRPr="00B57B36" w:rsidRDefault="00CA4ECC" w:rsidP="00AF4EC5">
            <w:pPr>
              <w:pStyle w:val="CETBodytext"/>
              <w:ind w:right="-1"/>
              <w:jc w:val="center"/>
              <w:rPr>
                <w:rFonts w:cs="Arial"/>
                <w:szCs w:val="18"/>
                <w:lang w:val="en-GB"/>
              </w:rPr>
            </w:pPr>
            <w:r>
              <w:rPr>
                <w:rFonts w:cs="Arial"/>
                <w:szCs w:val="18"/>
                <w:lang w:val="en-GB"/>
              </w:rPr>
              <w:t>%</w:t>
            </w:r>
          </w:p>
        </w:tc>
        <w:tc>
          <w:tcPr>
            <w:tcW w:w="573" w:type="dxa"/>
            <w:tcBorders>
              <w:top w:val="single" w:sz="12" w:space="0" w:color="008000"/>
              <w:bottom w:val="single" w:sz="6" w:space="0" w:color="008000"/>
            </w:tcBorders>
            <w:shd w:val="clear" w:color="auto" w:fill="FFFFFF"/>
          </w:tcPr>
          <w:p w14:paraId="2529B1D3" w14:textId="77777777" w:rsidR="00CA4ECC" w:rsidRDefault="00CA4ECC" w:rsidP="00AF4EC5">
            <w:pPr>
              <w:pStyle w:val="CETBodytext"/>
              <w:ind w:right="-1"/>
              <w:jc w:val="center"/>
              <w:rPr>
                <w:rFonts w:cs="Arial"/>
                <w:szCs w:val="18"/>
                <w:lang w:val="en-GB"/>
              </w:rPr>
            </w:pPr>
            <w:r>
              <w:rPr>
                <w:rFonts w:cs="Arial"/>
                <w:szCs w:val="18"/>
                <w:lang w:val="en-GB"/>
              </w:rPr>
              <w:t>CO</w:t>
            </w:r>
          </w:p>
          <w:p w14:paraId="4B97C4E4" w14:textId="77777777" w:rsidR="00CA4ECC" w:rsidRDefault="00CA4ECC" w:rsidP="00AF4EC5">
            <w:pPr>
              <w:pStyle w:val="CETBodytext"/>
              <w:ind w:right="-1"/>
              <w:jc w:val="center"/>
              <w:rPr>
                <w:rFonts w:cs="Arial"/>
                <w:szCs w:val="18"/>
                <w:lang w:val="en-GB"/>
              </w:rPr>
            </w:pPr>
          </w:p>
        </w:tc>
        <w:tc>
          <w:tcPr>
            <w:tcW w:w="573" w:type="dxa"/>
            <w:tcBorders>
              <w:top w:val="single" w:sz="12" w:space="0" w:color="008000"/>
              <w:bottom w:val="single" w:sz="6" w:space="0" w:color="008000"/>
            </w:tcBorders>
            <w:shd w:val="clear" w:color="auto" w:fill="FFFFFF"/>
          </w:tcPr>
          <w:p w14:paraId="1869457C" w14:textId="77777777" w:rsidR="00CA4ECC" w:rsidRDefault="00CA4ECC" w:rsidP="00AF4EC5">
            <w:pPr>
              <w:pStyle w:val="CETBodytext"/>
              <w:ind w:right="-1"/>
              <w:jc w:val="center"/>
              <w:rPr>
                <w:rFonts w:cs="Arial"/>
                <w:szCs w:val="18"/>
                <w:lang w:val="en-GB"/>
              </w:rPr>
            </w:pPr>
            <w:r>
              <w:rPr>
                <w:rFonts w:cs="Arial"/>
                <w:szCs w:val="18"/>
                <w:lang w:val="en-GB"/>
              </w:rPr>
              <w:t>CO</w:t>
            </w:r>
            <w:r w:rsidRPr="00CA7D30">
              <w:rPr>
                <w:rFonts w:cs="Arial"/>
                <w:szCs w:val="18"/>
                <w:vertAlign w:val="subscript"/>
                <w:lang w:val="en-GB"/>
              </w:rPr>
              <w:t>2</w:t>
            </w:r>
          </w:p>
          <w:p w14:paraId="199B53AE" w14:textId="77777777" w:rsidR="00CA4ECC" w:rsidRDefault="00CA4ECC" w:rsidP="00AF4EC5">
            <w:pPr>
              <w:pStyle w:val="CETBodytext"/>
              <w:ind w:right="-1"/>
              <w:jc w:val="center"/>
              <w:rPr>
                <w:rFonts w:cs="Arial"/>
                <w:szCs w:val="18"/>
                <w:lang w:val="en-GB"/>
              </w:rPr>
            </w:pPr>
          </w:p>
        </w:tc>
        <w:tc>
          <w:tcPr>
            <w:tcW w:w="951" w:type="dxa"/>
            <w:tcBorders>
              <w:top w:val="single" w:sz="12" w:space="0" w:color="008000"/>
              <w:bottom w:val="single" w:sz="6" w:space="0" w:color="008000"/>
            </w:tcBorders>
            <w:shd w:val="clear" w:color="auto" w:fill="FFFFFF"/>
          </w:tcPr>
          <w:p w14:paraId="76E60570" w14:textId="77777777" w:rsidR="00CA4ECC" w:rsidRDefault="00CA4ECC" w:rsidP="00AF4EC5">
            <w:pPr>
              <w:pStyle w:val="CETBodytext"/>
              <w:ind w:right="-1"/>
              <w:jc w:val="center"/>
              <w:rPr>
                <w:rFonts w:cs="Arial"/>
                <w:szCs w:val="18"/>
                <w:lang w:val="en-GB"/>
              </w:rPr>
            </w:pPr>
            <w:r>
              <w:rPr>
                <w:rFonts w:cs="Arial"/>
                <w:szCs w:val="18"/>
                <w:lang w:val="en-GB"/>
              </w:rPr>
              <w:t xml:space="preserve">Gas Yield </w:t>
            </w:r>
            <w:proofErr w:type="spellStart"/>
            <w:r>
              <w:rPr>
                <w:rFonts w:cs="Arial"/>
                <w:szCs w:val="18"/>
                <w:lang w:val="en-GB"/>
              </w:rPr>
              <w:t>kg</w:t>
            </w:r>
            <w:r w:rsidRPr="00F52249">
              <w:rPr>
                <w:rFonts w:cs="Arial"/>
                <w:szCs w:val="18"/>
                <w:vertAlign w:val="subscript"/>
                <w:lang w:val="en-GB"/>
              </w:rPr>
              <w:t>Gas</w:t>
            </w:r>
            <w:proofErr w:type="spellEnd"/>
            <w:r>
              <w:rPr>
                <w:rFonts w:cs="Arial"/>
                <w:szCs w:val="18"/>
                <w:lang w:val="en-GB"/>
              </w:rPr>
              <w:t>/</w:t>
            </w:r>
            <w:proofErr w:type="spellStart"/>
            <w:r>
              <w:rPr>
                <w:rFonts w:cs="Arial"/>
                <w:szCs w:val="18"/>
                <w:lang w:val="en-GB"/>
              </w:rPr>
              <w:t>kg</w:t>
            </w:r>
            <w:r>
              <w:rPr>
                <w:rFonts w:cs="Arial"/>
                <w:szCs w:val="18"/>
                <w:vertAlign w:val="subscript"/>
                <w:lang w:val="en-GB"/>
              </w:rPr>
              <w:t>SS</w:t>
            </w:r>
            <w:proofErr w:type="spellEnd"/>
          </w:p>
        </w:tc>
      </w:tr>
      <w:tr w:rsidR="00CA4ECC" w:rsidRPr="00B57B36" w14:paraId="4011A1B1" w14:textId="77777777" w:rsidTr="00AF4EC5">
        <w:tc>
          <w:tcPr>
            <w:tcW w:w="573" w:type="dxa"/>
            <w:shd w:val="clear" w:color="auto" w:fill="FFFFFF"/>
          </w:tcPr>
          <w:p w14:paraId="44583B7A" w14:textId="77777777" w:rsidR="00CA4ECC" w:rsidRPr="00B57B36" w:rsidRDefault="00CA4ECC" w:rsidP="00AF4EC5">
            <w:pPr>
              <w:pStyle w:val="CETBodytext"/>
              <w:jc w:val="center"/>
              <w:rPr>
                <w:lang w:val="en-GB"/>
              </w:rPr>
            </w:pPr>
            <w:r>
              <w:rPr>
                <w:lang w:val="en-GB"/>
              </w:rPr>
              <w:t>L1-800</w:t>
            </w:r>
          </w:p>
        </w:tc>
        <w:tc>
          <w:tcPr>
            <w:tcW w:w="573" w:type="dxa"/>
            <w:shd w:val="clear" w:color="auto" w:fill="FFFFFF"/>
          </w:tcPr>
          <w:p w14:paraId="07EE9044" w14:textId="77777777" w:rsidR="00CA4ECC" w:rsidRPr="00B57B36" w:rsidRDefault="00CA4ECC" w:rsidP="00AF4EC5">
            <w:pPr>
              <w:pStyle w:val="CETBodytext"/>
              <w:jc w:val="center"/>
              <w:rPr>
                <w:lang w:val="en-GB"/>
              </w:rPr>
            </w:pPr>
            <w:r>
              <w:rPr>
                <w:lang w:val="en-GB"/>
              </w:rPr>
              <w:t>800</w:t>
            </w:r>
          </w:p>
        </w:tc>
        <w:tc>
          <w:tcPr>
            <w:tcW w:w="573" w:type="dxa"/>
            <w:shd w:val="clear" w:color="auto" w:fill="FFFFFF"/>
          </w:tcPr>
          <w:p w14:paraId="6621251E" w14:textId="77777777" w:rsidR="00CA4ECC" w:rsidRPr="00B57B36" w:rsidRDefault="00CA4ECC" w:rsidP="00AF4EC5">
            <w:pPr>
              <w:pStyle w:val="CETBodytext"/>
              <w:jc w:val="center"/>
              <w:rPr>
                <w:lang w:val="en-GB"/>
              </w:rPr>
            </w:pPr>
            <w:r>
              <w:rPr>
                <w:lang w:val="en-GB"/>
              </w:rPr>
              <w:t>51.39</w:t>
            </w:r>
          </w:p>
        </w:tc>
        <w:tc>
          <w:tcPr>
            <w:tcW w:w="573" w:type="dxa"/>
            <w:shd w:val="clear" w:color="auto" w:fill="FFFFFF"/>
          </w:tcPr>
          <w:p w14:paraId="2099D461" w14:textId="77777777" w:rsidR="00CA4ECC" w:rsidRPr="00B57B36" w:rsidRDefault="00CA4ECC" w:rsidP="00AF4EC5">
            <w:pPr>
              <w:pStyle w:val="CETBodytext"/>
              <w:ind w:right="-1"/>
              <w:jc w:val="center"/>
              <w:rPr>
                <w:rFonts w:cs="Arial"/>
                <w:szCs w:val="18"/>
                <w:lang w:val="en-GB"/>
              </w:rPr>
            </w:pPr>
            <w:r>
              <w:rPr>
                <w:rFonts w:cs="Arial"/>
                <w:szCs w:val="18"/>
                <w:lang w:val="en-GB"/>
              </w:rPr>
              <w:t>3.78</w:t>
            </w:r>
          </w:p>
        </w:tc>
        <w:tc>
          <w:tcPr>
            <w:tcW w:w="573" w:type="dxa"/>
            <w:shd w:val="clear" w:color="auto" w:fill="FFFFFF"/>
          </w:tcPr>
          <w:p w14:paraId="487556F8" w14:textId="77777777" w:rsidR="00CA4ECC" w:rsidRPr="00B57B36" w:rsidRDefault="00CA4ECC" w:rsidP="00AF4EC5">
            <w:pPr>
              <w:pStyle w:val="CETBodytext"/>
              <w:ind w:right="-1"/>
              <w:jc w:val="center"/>
              <w:rPr>
                <w:rFonts w:cs="Arial"/>
                <w:szCs w:val="18"/>
                <w:lang w:val="en-GB"/>
              </w:rPr>
            </w:pPr>
            <w:r>
              <w:rPr>
                <w:rFonts w:cs="Arial"/>
                <w:szCs w:val="18"/>
                <w:lang w:val="en-GB"/>
              </w:rPr>
              <w:t>1.21</w:t>
            </w:r>
          </w:p>
        </w:tc>
        <w:tc>
          <w:tcPr>
            <w:tcW w:w="573" w:type="dxa"/>
            <w:shd w:val="clear" w:color="auto" w:fill="FFFFFF"/>
          </w:tcPr>
          <w:p w14:paraId="589637BE" w14:textId="77777777" w:rsidR="00CA4ECC" w:rsidRPr="00B57B36" w:rsidRDefault="00CA4ECC" w:rsidP="00AF4EC5">
            <w:pPr>
              <w:pStyle w:val="CETBodytext"/>
              <w:ind w:right="-1"/>
              <w:jc w:val="center"/>
              <w:rPr>
                <w:rFonts w:cs="Arial"/>
                <w:szCs w:val="18"/>
                <w:lang w:val="en-GB"/>
              </w:rPr>
            </w:pPr>
            <w:r>
              <w:rPr>
                <w:rFonts w:cs="Arial"/>
                <w:szCs w:val="18"/>
                <w:lang w:val="en-GB"/>
              </w:rPr>
              <w:t>7.06</w:t>
            </w:r>
          </w:p>
        </w:tc>
        <w:tc>
          <w:tcPr>
            <w:tcW w:w="573" w:type="dxa"/>
            <w:shd w:val="clear" w:color="auto" w:fill="FFFFFF"/>
          </w:tcPr>
          <w:p w14:paraId="15E55116" w14:textId="77777777" w:rsidR="00CA4ECC" w:rsidRPr="00B57B36" w:rsidRDefault="00CA4ECC" w:rsidP="00AF4EC5">
            <w:pPr>
              <w:pStyle w:val="CETBodytext"/>
              <w:ind w:right="-1"/>
              <w:jc w:val="center"/>
              <w:rPr>
                <w:rFonts w:cs="Arial"/>
                <w:szCs w:val="18"/>
                <w:lang w:val="en-GB"/>
              </w:rPr>
            </w:pPr>
            <w:r>
              <w:rPr>
                <w:rFonts w:cs="Arial"/>
                <w:szCs w:val="18"/>
                <w:lang w:val="en-GB"/>
              </w:rPr>
              <w:t>36.55</w:t>
            </w:r>
          </w:p>
        </w:tc>
        <w:tc>
          <w:tcPr>
            <w:tcW w:w="951" w:type="dxa"/>
            <w:shd w:val="clear" w:color="auto" w:fill="FFFFFF"/>
          </w:tcPr>
          <w:p w14:paraId="19648366" w14:textId="77777777" w:rsidR="00CA4ECC" w:rsidRPr="00B57B36" w:rsidRDefault="00CA4ECC" w:rsidP="00AF4EC5">
            <w:pPr>
              <w:pStyle w:val="CETBodytext"/>
              <w:ind w:right="-1"/>
              <w:jc w:val="center"/>
              <w:rPr>
                <w:rFonts w:cs="Arial"/>
                <w:szCs w:val="18"/>
                <w:lang w:val="en-GB"/>
              </w:rPr>
            </w:pPr>
            <w:r>
              <w:rPr>
                <w:rFonts w:cs="Arial"/>
                <w:szCs w:val="18"/>
                <w:lang w:val="en-GB"/>
              </w:rPr>
              <w:t>0.35</w:t>
            </w:r>
          </w:p>
        </w:tc>
      </w:tr>
      <w:tr w:rsidR="00CA4ECC" w:rsidRPr="00B57B36" w14:paraId="1A93943F" w14:textId="77777777" w:rsidTr="00AF4EC5">
        <w:tc>
          <w:tcPr>
            <w:tcW w:w="573" w:type="dxa"/>
            <w:shd w:val="clear" w:color="auto" w:fill="FFFFFF"/>
          </w:tcPr>
          <w:p w14:paraId="7F74E1A2" w14:textId="77777777" w:rsidR="00CA4ECC" w:rsidRPr="00B57B36" w:rsidRDefault="00CA4ECC" w:rsidP="00AF4EC5">
            <w:pPr>
              <w:pStyle w:val="CETBodytext"/>
              <w:ind w:right="-1"/>
              <w:jc w:val="center"/>
              <w:rPr>
                <w:rFonts w:cs="Arial"/>
                <w:szCs w:val="18"/>
                <w:lang w:val="en-GB"/>
              </w:rPr>
            </w:pPr>
            <w:r>
              <w:rPr>
                <w:rFonts w:cs="Arial"/>
                <w:szCs w:val="18"/>
                <w:lang w:val="en-GB"/>
              </w:rPr>
              <w:t>L1-850</w:t>
            </w:r>
          </w:p>
        </w:tc>
        <w:tc>
          <w:tcPr>
            <w:tcW w:w="573" w:type="dxa"/>
            <w:shd w:val="clear" w:color="auto" w:fill="FFFFFF"/>
          </w:tcPr>
          <w:p w14:paraId="4200F7FE" w14:textId="77777777" w:rsidR="00CA4ECC" w:rsidRPr="00B57B36" w:rsidRDefault="00CA4ECC" w:rsidP="00AF4EC5">
            <w:pPr>
              <w:pStyle w:val="CETBodytext"/>
              <w:ind w:right="-1"/>
              <w:jc w:val="center"/>
              <w:rPr>
                <w:rFonts w:cs="Arial"/>
                <w:szCs w:val="18"/>
                <w:lang w:val="en-GB"/>
              </w:rPr>
            </w:pPr>
            <w:r>
              <w:rPr>
                <w:rFonts w:cs="Arial"/>
                <w:szCs w:val="18"/>
                <w:lang w:val="en-GB"/>
              </w:rPr>
              <w:t>850</w:t>
            </w:r>
          </w:p>
        </w:tc>
        <w:tc>
          <w:tcPr>
            <w:tcW w:w="573" w:type="dxa"/>
            <w:shd w:val="clear" w:color="auto" w:fill="FFFFFF"/>
          </w:tcPr>
          <w:p w14:paraId="3A3693BB" w14:textId="77777777" w:rsidR="00CA4ECC" w:rsidRPr="00B57B36" w:rsidRDefault="00CA4ECC" w:rsidP="00AF4EC5">
            <w:pPr>
              <w:pStyle w:val="CETBodytext"/>
              <w:ind w:right="-1"/>
              <w:jc w:val="center"/>
              <w:rPr>
                <w:rFonts w:cs="Arial"/>
                <w:szCs w:val="18"/>
                <w:lang w:val="en-GB"/>
              </w:rPr>
            </w:pPr>
            <w:r>
              <w:rPr>
                <w:rFonts w:cs="Arial"/>
                <w:szCs w:val="18"/>
                <w:lang w:val="en-GB"/>
              </w:rPr>
              <w:t>53.99</w:t>
            </w:r>
          </w:p>
        </w:tc>
        <w:tc>
          <w:tcPr>
            <w:tcW w:w="573" w:type="dxa"/>
            <w:shd w:val="clear" w:color="auto" w:fill="FFFFFF"/>
          </w:tcPr>
          <w:p w14:paraId="5ACE3936" w14:textId="77777777" w:rsidR="00CA4ECC" w:rsidRPr="00B57B36" w:rsidRDefault="00CA4ECC" w:rsidP="00AF4EC5">
            <w:pPr>
              <w:pStyle w:val="CETBodytext"/>
              <w:ind w:right="-1"/>
              <w:jc w:val="center"/>
              <w:rPr>
                <w:rFonts w:cs="Arial"/>
                <w:szCs w:val="18"/>
                <w:lang w:val="en-GB"/>
              </w:rPr>
            </w:pPr>
            <w:r>
              <w:rPr>
                <w:rFonts w:cs="Arial"/>
                <w:szCs w:val="18"/>
                <w:lang w:val="en-GB"/>
              </w:rPr>
              <w:t>2.97</w:t>
            </w:r>
          </w:p>
        </w:tc>
        <w:tc>
          <w:tcPr>
            <w:tcW w:w="573" w:type="dxa"/>
            <w:shd w:val="clear" w:color="auto" w:fill="FFFFFF"/>
          </w:tcPr>
          <w:p w14:paraId="3475A303" w14:textId="77777777" w:rsidR="00CA4ECC" w:rsidRPr="00B57B36" w:rsidRDefault="00CA4ECC" w:rsidP="00AF4EC5">
            <w:pPr>
              <w:pStyle w:val="CETBodytext"/>
              <w:ind w:right="-1"/>
              <w:jc w:val="center"/>
              <w:rPr>
                <w:rFonts w:cs="Arial"/>
                <w:szCs w:val="18"/>
                <w:lang w:val="en-GB"/>
              </w:rPr>
            </w:pPr>
            <w:r>
              <w:rPr>
                <w:rFonts w:cs="Arial"/>
                <w:szCs w:val="18"/>
                <w:lang w:val="en-GB"/>
              </w:rPr>
              <w:t>0.60</w:t>
            </w:r>
          </w:p>
        </w:tc>
        <w:tc>
          <w:tcPr>
            <w:tcW w:w="573" w:type="dxa"/>
            <w:shd w:val="clear" w:color="auto" w:fill="FFFFFF"/>
          </w:tcPr>
          <w:p w14:paraId="1FFB6E21" w14:textId="77777777" w:rsidR="00CA4ECC" w:rsidRPr="005466CE" w:rsidRDefault="00CA4ECC" w:rsidP="00AF4EC5">
            <w:pPr>
              <w:pStyle w:val="CETBodytext"/>
              <w:ind w:right="-1"/>
              <w:jc w:val="center"/>
              <w:rPr>
                <w:rFonts w:cs="Arial"/>
                <w:color w:val="000000" w:themeColor="text1"/>
                <w:szCs w:val="18"/>
                <w:lang w:val="en-GB"/>
              </w:rPr>
            </w:pPr>
            <w:r>
              <w:rPr>
                <w:rFonts w:cs="Arial"/>
                <w:color w:val="000000" w:themeColor="text1"/>
                <w:szCs w:val="18"/>
                <w:lang w:val="en-GB"/>
              </w:rPr>
              <w:t>6.37</w:t>
            </w:r>
          </w:p>
        </w:tc>
        <w:tc>
          <w:tcPr>
            <w:tcW w:w="573" w:type="dxa"/>
            <w:shd w:val="clear" w:color="auto" w:fill="FFFFFF"/>
          </w:tcPr>
          <w:p w14:paraId="0BBC98C5" w14:textId="77777777" w:rsidR="00CA4ECC" w:rsidRPr="005466CE" w:rsidRDefault="00CA4ECC" w:rsidP="00AF4EC5">
            <w:pPr>
              <w:pStyle w:val="CETBodytext"/>
              <w:ind w:right="-1"/>
              <w:jc w:val="center"/>
              <w:rPr>
                <w:rFonts w:cs="Arial"/>
                <w:color w:val="000000" w:themeColor="text1"/>
                <w:szCs w:val="18"/>
                <w:lang w:val="en-GB"/>
              </w:rPr>
            </w:pPr>
            <w:r>
              <w:rPr>
                <w:rFonts w:cs="Arial"/>
                <w:color w:val="000000" w:themeColor="text1"/>
                <w:szCs w:val="18"/>
                <w:lang w:val="en-GB"/>
              </w:rPr>
              <w:t>35.80</w:t>
            </w:r>
          </w:p>
        </w:tc>
        <w:tc>
          <w:tcPr>
            <w:tcW w:w="951" w:type="dxa"/>
            <w:shd w:val="clear" w:color="auto" w:fill="FFFFFF"/>
          </w:tcPr>
          <w:p w14:paraId="5D3D7A8E" w14:textId="77777777" w:rsidR="00CA4ECC" w:rsidRPr="005466CE" w:rsidRDefault="00CA4ECC" w:rsidP="00AF4EC5">
            <w:pPr>
              <w:pStyle w:val="CETBodytext"/>
              <w:ind w:right="-1"/>
              <w:jc w:val="center"/>
              <w:rPr>
                <w:rFonts w:cs="Arial"/>
                <w:color w:val="000000" w:themeColor="text1"/>
                <w:szCs w:val="18"/>
                <w:lang w:val="en-GB"/>
              </w:rPr>
            </w:pPr>
            <w:r>
              <w:rPr>
                <w:rFonts w:cs="Arial"/>
                <w:color w:val="000000" w:themeColor="text1"/>
                <w:szCs w:val="18"/>
                <w:lang w:val="en-GB"/>
              </w:rPr>
              <w:t>0.49</w:t>
            </w:r>
          </w:p>
        </w:tc>
      </w:tr>
      <w:tr w:rsidR="00CA4ECC" w:rsidRPr="00B57B36" w14:paraId="72929E4F" w14:textId="77777777" w:rsidTr="00AF4EC5">
        <w:tc>
          <w:tcPr>
            <w:tcW w:w="573" w:type="dxa"/>
            <w:shd w:val="clear" w:color="auto" w:fill="FFFFFF"/>
          </w:tcPr>
          <w:p w14:paraId="2AAAF5A0" w14:textId="77777777" w:rsidR="00CA4ECC" w:rsidRDefault="00CA4ECC" w:rsidP="00AF4EC5">
            <w:pPr>
              <w:pStyle w:val="CETBodytext"/>
              <w:ind w:right="-1"/>
              <w:jc w:val="center"/>
              <w:rPr>
                <w:rFonts w:cs="Arial"/>
                <w:szCs w:val="18"/>
                <w:lang w:val="en-GB"/>
              </w:rPr>
            </w:pPr>
            <w:r>
              <w:rPr>
                <w:rFonts w:cs="Arial"/>
                <w:szCs w:val="18"/>
                <w:lang w:val="en-GB"/>
              </w:rPr>
              <w:t>L1-900</w:t>
            </w:r>
          </w:p>
        </w:tc>
        <w:tc>
          <w:tcPr>
            <w:tcW w:w="573" w:type="dxa"/>
            <w:shd w:val="clear" w:color="auto" w:fill="FFFFFF"/>
          </w:tcPr>
          <w:p w14:paraId="7B9DD290" w14:textId="77777777" w:rsidR="00CA4ECC" w:rsidRPr="00B57B36" w:rsidRDefault="00CA4ECC" w:rsidP="00AF4EC5">
            <w:pPr>
              <w:pStyle w:val="CETBodytext"/>
              <w:ind w:right="-1"/>
              <w:jc w:val="center"/>
              <w:rPr>
                <w:rFonts w:cs="Arial"/>
                <w:szCs w:val="18"/>
                <w:lang w:val="en-GB"/>
              </w:rPr>
            </w:pPr>
            <w:r>
              <w:rPr>
                <w:rFonts w:cs="Arial"/>
                <w:szCs w:val="18"/>
                <w:lang w:val="en-GB"/>
              </w:rPr>
              <w:t>900</w:t>
            </w:r>
          </w:p>
        </w:tc>
        <w:tc>
          <w:tcPr>
            <w:tcW w:w="573" w:type="dxa"/>
            <w:shd w:val="clear" w:color="auto" w:fill="FFFFFF"/>
          </w:tcPr>
          <w:p w14:paraId="70A3DD8A" w14:textId="77777777" w:rsidR="00CA4ECC" w:rsidRPr="00B57B36" w:rsidRDefault="00CA4ECC" w:rsidP="00AF4EC5">
            <w:pPr>
              <w:pStyle w:val="CETBodytext"/>
              <w:ind w:right="-1"/>
              <w:jc w:val="center"/>
              <w:rPr>
                <w:rFonts w:cs="Arial"/>
                <w:szCs w:val="18"/>
                <w:lang w:val="en-GB"/>
              </w:rPr>
            </w:pPr>
            <w:r>
              <w:rPr>
                <w:rFonts w:cs="Arial"/>
                <w:szCs w:val="18"/>
                <w:lang w:val="en-GB"/>
              </w:rPr>
              <w:t>56.00</w:t>
            </w:r>
          </w:p>
        </w:tc>
        <w:tc>
          <w:tcPr>
            <w:tcW w:w="573" w:type="dxa"/>
            <w:shd w:val="clear" w:color="auto" w:fill="FFFFFF"/>
          </w:tcPr>
          <w:p w14:paraId="5976E174" w14:textId="77777777" w:rsidR="00CA4ECC" w:rsidRPr="00B57B36" w:rsidRDefault="00CA4ECC" w:rsidP="00AF4EC5">
            <w:pPr>
              <w:pStyle w:val="CETBodytext"/>
              <w:ind w:right="-1"/>
              <w:jc w:val="center"/>
              <w:rPr>
                <w:rFonts w:cs="Arial"/>
                <w:szCs w:val="18"/>
                <w:lang w:val="en-GB"/>
              </w:rPr>
            </w:pPr>
            <w:r>
              <w:rPr>
                <w:rFonts w:cs="Arial"/>
                <w:szCs w:val="18"/>
                <w:lang w:val="en-GB"/>
              </w:rPr>
              <w:t>2.30</w:t>
            </w:r>
          </w:p>
        </w:tc>
        <w:tc>
          <w:tcPr>
            <w:tcW w:w="573" w:type="dxa"/>
            <w:shd w:val="clear" w:color="auto" w:fill="FFFFFF"/>
          </w:tcPr>
          <w:p w14:paraId="40B415C1" w14:textId="77777777" w:rsidR="00CA4ECC" w:rsidRPr="00B57B36" w:rsidRDefault="00CA4ECC" w:rsidP="00AF4EC5">
            <w:pPr>
              <w:pStyle w:val="CETBodytext"/>
              <w:ind w:right="-1"/>
              <w:jc w:val="center"/>
              <w:rPr>
                <w:rFonts w:cs="Arial"/>
                <w:szCs w:val="18"/>
                <w:lang w:val="en-GB"/>
              </w:rPr>
            </w:pPr>
            <w:r>
              <w:rPr>
                <w:rFonts w:cs="Arial"/>
                <w:szCs w:val="18"/>
                <w:lang w:val="en-GB"/>
              </w:rPr>
              <w:t>0.58</w:t>
            </w:r>
          </w:p>
        </w:tc>
        <w:tc>
          <w:tcPr>
            <w:tcW w:w="573" w:type="dxa"/>
            <w:shd w:val="clear" w:color="auto" w:fill="FFFFFF"/>
          </w:tcPr>
          <w:p w14:paraId="57B35531" w14:textId="77777777" w:rsidR="00CA4ECC" w:rsidRPr="005466CE" w:rsidRDefault="00CA4ECC" w:rsidP="00AF4EC5">
            <w:pPr>
              <w:pStyle w:val="CETBodytext"/>
              <w:ind w:right="-1"/>
              <w:jc w:val="center"/>
              <w:rPr>
                <w:rFonts w:cs="Arial"/>
                <w:color w:val="000000" w:themeColor="text1"/>
                <w:szCs w:val="18"/>
                <w:lang w:val="en-GB"/>
              </w:rPr>
            </w:pPr>
            <w:r>
              <w:rPr>
                <w:rFonts w:cs="Arial"/>
                <w:color w:val="000000" w:themeColor="text1"/>
                <w:szCs w:val="18"/>
                <w:lang w:val="en-GB"/>
              </w:rPr>
              <w:t>6.12</w:t>
            </w:r>
          </w:p>
        </w:tc>
        <w:tc>
          <w:tcPr>
            <w:tcW w:w="573" w:type="dxa"/>
            <w:shd w:val="clear" w:color="auto" w:fill="FFFFFF"/>
          </w:tcPr>
          <w:p w14:paraId="15D82EF7" w14:textId="77777777" w:rsidR="00CA4ECC" w:rsidRPr="005466CE" w:rsidRDefault="00CA4ECC" w:rsidP="00AF4EC5">
            <w:pPr>
              <w:pStyle w:val="CETBodytext"/>
              <w:ind w:right="-1"/>
              <w:jc w:val="center"/>
              <w:rPr>
                <w:rFonts w:cs="Arial"/>
                <w:color w:val="000000" w:themeColor="text1"/>
                <w:szCs w:val="18"/>
                <w:lang w:val="en-GB"/>
              </w:rPr>
            </w:pPr>
            <w:r>
              <w:rPr>
                <w:rFonts w:cs="Arial"/>
                <w:color w:val="000000" w:themeColor="text1"/>
                <w:szCs w:val="18"/>
                <w:lang w:val="en-GB"/>
              </w:rPr>
              <w:t>34.99</w:t>
            </w:r>
          </w:p>
        </w:tc>
        <w:tc>
          <w:tcPr>
            <w:tcW w:w="951" w:type="dxa"/>
            <w:shd w:val="clear" w:color="auto" w:fill="FFFFFF"/>
          </w:tcPr>
          <w:p w14:paraId="218E7E5E" w14:textId="77777777" w:rsidR="00CA4ECC" w:rsidRPr="005466CE" w:rsidRDefault="00CA4ECC" w:rsidP="00AF4EC5">
            <w:pPr>
              <w:pStyle w:val="CETBodytext"/>
              <w:ind w:right="-1"/>
              <w:jc w:val="center"/>
              <w:rPr>
                <w:rFonts w:cs="Arial"/>
                <w:color w:val="000000" w:themeColor="text1"/>
                <w:szCs w:val="18"/>
                <w:lang w:val="en-GB"/>
              </w:rPr>
            </w:pPr>
            <w:r>
              <w:rPr>
                <w:rFonts w:cs="Arial"/>
                <w:color w:val="000000" w:themeColor="text1"/>
                <w:szCs w:val="18"/>
                <w:lang w:val="en-GB"/>
              </w:rPr>
              <w:t>0.42</w:t>
            </w:r>
          </w:p>
        </w:tc>
      </w:tr>
      <w:tr w:rsidR="00CA4ECC" w:rsidRPr="00B57B36" w14:paraId="3B93CBB8" w14:textId="77777777" w:rsidTr="00AF4EC5">
        <w:tc>
          <w:tcPr>
            <w:tcW w:w="573" w:type="dxa"/>
            <w:shd w:val="clear" w:color="auto" w:fill="FFFFFF"/>
          </w:tcPr>
          <w:p w14:paraId="7DD02572" w14:textId="77777777" w:rsidR="00CA4ECC" w:rsidRDefault="00CA4ECC" w:rsidP="00AF4EC5">
            <w:pPr>
              <w:pStyle w:val="CETBodytext"/>
              <w:ind w:right="-1"/>
              <w:jc w:val="center"/>
              <w:rPr>
                <w:rFonts w:cs="Arial"/>
                <w:szCs w:val="18"/>
                <w:lang w:val="en-GB"/>
              </w:rPr>
            </w:pPr>
            <w:r>
              <w:rPr>
                <w:rFonts w:cs="Arial"/>
                <w:szCs w:val="18"/>
                <w:lang w:val="en-GB"/>
              </w:rPr>
              <w:t>L2-800</w:t>
            </w:r>
          </w:p>
        </w:tc>
        <w:tc>
          <w:tcPr>
            <w:tcW w:w="573" w:type="dxa"/>
            <w:shd w:val="clear" w:color="auto" w:fill="FFFFFF"/>
          </w:tcPr>
          <w:p w14:paraId="35398438" w14:textId="77777777" w:rsidR="00CA4ECC" w:rsidRPr="00B57B36" w:rsidRDefault="00CA4ECC" w:rsidP="00AF4EC5">
            <w:pPr>
              <w:pStyle w:val="CETBodytext"/>
              <w:ind w:right="-1"/>
              <w:jc w:val="center"/>
              <w:rPr>
                <w:rFonts w:cs="Arial"/>
                <w:szCs w:val="18"/>
                <w:lang w:val="en-GB"/>
              </w:rPr>
            </w:pPr>
            <w:r>
              <w:rPr>
                <w:rFonts w:cs="Arial"/>
                <w:szCs w:val="18"/>
                <w:lang w:val="en-GB"/>
              </w:rPr>
              <w:t>800</w:t>
            </w:r>
          </w:p>
        </w:tc>
        <w:tc>
          <w:tcPr>
            <w:tcW w:w="573" w:type="dxa"/>
            <w:shd w:val="clear" w:color="auto" w:fill="FFFFFF"/>
          </w:tcPr>
          <w:p w14:paraId="7A923148" w14:textId="77777777" w:rsidR="00CA4ECC" w:rsidRPr="00B57B36" w:rsidRDefault="00CA4ECC" w:rsidP="00AF4EC5">
            <w:pPr>
              <w:pStyle w:val="CETBodytext"/>
              <w:ind w:right="-1"/>
              <w:jc w:val="center"/>
              <w:rPr>
                <w:rFonts w:cs="Arial"/>
                <w:szCs w:val="18"/>
                <w:lang w:val="en-GB"/>
              </w:rPr>
            </w:pPr>
            <w:r>
              <w:rPr>
                <w:rFonts w:cs="Arial"/>
                <w:szCs w:val="18"/>
                <w:lang w:val="en-GB"/>
              </w:rPr>
              <w:t>55.67</w:t>
            </w:r>
          </w:p>
        </w:tc>
        <w:tc>
          <w:tcPr>
            <w:tcW w:w="573" w:type="dxa"/>
            <w:shd w:val="clear" w:color="auto" w:fill="FFFFFF"/>
          </w:tcPr>
          <w:p w14:paraId="5579884C" w14:textId="77777777" w:rsidR="00CA4ECC" w:rsidRPr="00B57B36" w:rsidRDefault="00CA4ECC" w:rsidP="00AF4EC5">
            <w:pPr>
              <w:pStyle w:val="CETBodytext"/>
              <w:ind w:right="-1"/>
              <w:jc w:val="center"/>
              <w:rPr>
                <w:rFonts w:cs="Arial"/>
                <w:szCs w:val="18"/>
                <w:lang w:val="en-GB"/>
              </w:rPr>
            </w:pPr>
            <w:r>
              <w:rPr>
                <w:rFonts w:cs="Arial"/>
                <w:szCs w:val="18"/>
                <w:lang w:val="en-GB"/>
              </w:rPr>
              <w:t>2.51</w:t>
            </w:r>
          </w:p>
        </w:tc>
        <w:tc>
          <w:tcPr>
            <w:tcW w:w="573" w:type="dxa"/>
            <w:shd w:val="clear" w:color="auto" w:fill="FFFFFF"/>
          </w:tcPr>
          <w:p w14:paraId="326EB03D" w14:textId="77777777" w:rsidR="00CA4ECC" w:rsidRPr="00B57B36" w:rsidRDefault="00CA4ECC" w:rsidP="00AF4EC5">
            <w:pPr>
              <w:pStyle w:val="CETBodytext"/>
              <w:ind w:right="-1"/>
              <w:jc w:val="center"/>
              <w:rPr>
                <w:rFonts w:cs="Arial"/>
                <w:szCs w:val="18"/>
                <w:lang w:val="en-GB"/>
              </w:rPr>
            </w:pPr>
            <w:r>
              <w:rPr>
                <w:rFonts w:cs="Arial"/>
                <w:szCs w:val="18"/>
                <w:lang w:val="en-GB"/>
              </w:rPr>
              <w:t>0.84</w:t>
            </w:r>
          </w:p>
        </w:tc>
        <w:tc>
          <w:tcPr>
            <w:tcW w:w="573" w:type="dxa"/>
            <w:shd w:val="clear" w:color="auto" w:fill="FFFFFF"/>
          </w:tcPr>
          <w:p w14:paraId="5B6BEBD3" w14:textId="77777777" w:rsidR="00CA4ECC" w:rsidRPr="00B57B36" w:rsidRDefault="00CA4ECC" w:rsidP="00AF4EC5">
            <w:pPr>
              <w:pStyle w:val="CETBodytext"/>
              <w:ind w:right="-1"/>
              <w:jc w:val="center"/>
              <w:rPr>
                <w:rFonts w:cs="Arial"/>
                <w:szCs w:val="18"/>
                <w:lang w:val="en-GB"/>
              </w:rPr>
            </w:pPr>
            <w:r>
              <w:rPr>
                <w:rFonts w:cs="Arial"/>
                <w:szCs w:val="18"/>
                <w:lang w:val="en-GB"/>
              </w:rPr>
              <w:t>6.69</w:t>
            </w:r>
          </w:p>
        </w:tc>
        <w:tc>
          <w:tcPr>
            <w:tcW w:w="573" w:type="dxa"/>
            <w:shd w:val="clear" w:color="auto" w:fill="FFFFFF"/>
          </w:tcPr>
          <w:p w14:paraId="5642EB6C" w14:textId="77777777" w:rsidR="00CA4ECC" w:rsidRPr="00B57B36" w:rsidRDefault="00CA4ECC" w:rsidP="00AF4EC5">
            <w:pPr>
              <w:pStyle w:val="CETBodytext"/>
              <w:ind w:right="-1"/>
              <w:jc w:val="center"/>
              <w:rPr>
                <w:rFonts w:cs="Arial"/>
                <w:szCs w:val="18"/>
                <w:lang w:val="en-GB"/>
              </w:rPr>
            </w:pPr>
            <w:r>
              <w:rPr>
                <w:rFonts w:cs="Arial"/>
                <w:szCs w:val="18"/>
                <w:lang w:val="en-GB"/>
              </w:rPr>
              <w:t>34.29</w:t>
            </w:r>
          </w:p>
        </w:tc>
        <w:tc>
          <w:tcPr>
            <w:tcW w:w="951" w:type="dxa"/>
            <w:shd w:val="clear" w:color="auto" w:fill="FFFFFF"/>
          </w:tcPr>
          <w:p w14:paraId="604E6C0B" w14:textId="77777777" w:rsidR="00CA4ECC" w:rsidRPr="00B57B36" w:rsidRDefault="00CA4ECC" w:rsidP="00AF4EC5">
            <w:pPr>
              <w:pStyle w:val="CETBodytext"/>
              <w:ind w:right="-1"/>
              <w:jc w:val="center"/>
              <w:rPr>
                <w:rFonts w:cs="Arial"/>
                <w:szCs w:val="18"/>
                <w:lang w:val="en-GB"/>
              </w:rPr>
            </w:pPr>
            <w:r>
              <w:rPr>
                <w:rFonts w:cs="Arial"/>
                <w:szCs w:val="18"/>
                <w:lang w:val="en-GB"/>
              </w:rPr>
              <w:t>0.58</w:t>
            </w:r>
          </w:p>
        </w:tc>
      </w:tr>
      <w:tr w:rsidR="00CA4ECC" w:rsidRPr="00B57B36" w14:paraId="2AAD1C1B" w14:textId="77777777" w:rsidTr="00AF4EC5">
        <w:tc>
          <w:tcPr>
            <w:tcW w:w="573" w:type="dxa"/>
            <w:shd w:val="clear" w:color="auto" w:fill="FFFFFF"/>
          </w:tcPr>
          <w:p w14:paraId="2FFB3700" w14:textId="77777777" w:rsidR="00CA4ECC" w:rsidRDefault="00CA4ECC" w:rsidP="00AF4EC5">
            <w:pPr>
              <w:pStyle w:val="CETBodytext"/>
              <w:ind w:right="-1"/>
              <w:jc w:val="center"/>
              <w:rPr>
                <w:rFonts w:cs="Arial"/>
                <w:szCs w:val="18"/>
                <w:lang w:val="en-GB"/>
              </w:rPr>
            </w:pPr>
            <w:r>
              <w:rPr>
                <w:rFonts w:cs="Arial"/>
                <w:szCs w:val="18"/>
                <w:lang w:val="en-GB"/>
              </w:rPr>
              <w:t>L2-850</w:t>
            </w:r>
          </w:p>
        </w:tc>
        <w:tc>
          <w:tcPr>
            <w:tcW w:w="573" w:type="dxa"/>
            <w:shd w:val="clear" w:color="auto" w:fill="FFFFFF"/>
          </w:tcPr>
          <w:p w14:paraId="5379B6B8" w14:textId="77777777" w:rsidR="00CA4ECC" w:rsidRPr="00B57B36" w:rsidRDefault="00CA4ECC" w:rsidP="00AF4EC5">
            <w:pPr>
              <w:pStyle w:val="CETBodytext"/>
              <w:ind w:right="-1"/>
              <w:jc w:val="center"/>
              <w:rPr>
                <w:rFonts w:cs="Arial"/>
                <w:szCs w:val="18"/>
                <w:lang w:val="en-GB"/>
              </w:rPr>
            </w:pPr>
            <w:r>
              <w:rPr>
                <w:rFonts w:cs="Arial"/>
                <w:szCs w:val="18"/>
                <w:lang w:val="en-GB"/>
              </w:rPr>
              <w:t>850</w:t>
            </w:r>
          </w:p>
        </w:tc>
        <w:tc>
          <w:tcPr>
            <w:tcW w:w="573" w:type="dxa"/>
            <w:shd w:val="clear" w:color="auto" w:fill="FFFFFF"/>
          </w:tcPr>
          <w:p w14:paraId="7F6381C3" w14:textId="77777777" w:rsidR="00CA4ECC" w:rsidRPr="00B57B36" w:rsidRDefault="00CA4ECC" w:rsidP="00AF4EC5">
            <w:pPr>
              <w:pStyle w:val="CETBodytext"/>
              <w:ind w:right="-1"/>
              <w:jc w:val="center"/>
              <w:rPr>
                <w:rFonts w:cs="Arial"/>
                <w:szCs w:val="18"/>
                <w:lang w:val="en-GB"/>
              </w:rPr>
            </w:pPr>
            <w:r>
              <w:rPr>
                <w:rFonts w:cs="Arial"/>
                <w:szCs w:val="18"/>
                <w:lang w:val="en-GB"/>
              </w:rPr>
              <w:t>52.62</w:t>
            </w:r>
          </w:p>
        </w:tc>
        <w:tc>
          <w:tcPr>
            <w:tcW w:w="573" w:type="dxa"/>
            <w:shd w:val="clear" w:color="auto" w:fill="FFFFFF"/>
          </w:tcPr>
          <w:p w14:paraId="27761CA3" w14:textId="77777777" w:rsidR="00CA4ECC" w:rsidRPr="00B57B36" w:rsidRDefault="00CA4ECC" w:rsidP="00AF4EC5">
            <w:pPr>
              <w:pStyle w:val="CETBodytext"/>
              <w:ind w:right="-1"/>
              <w:jc w:val="center"/>
              <w:rPr>
                <w:rFonts w:cs="Arial"/>
                <w:szCs w:val="18"/>
                <w:lang w:val="en-GB"/>
              </w:rPr>
            </w:pPr>
            <w:r>
              <w:rPr>
                <w:rFonts w:cs="Arial"/>
                <w:szCs w:val="18"/>
                <w:lang w:val="en-GB"/>
              </w:rPr>
              <w:t>1.50</w:t>
            </w:r>
          </w:p>
        </w:tc>
        <w:tc>
          <w:tcPr>
            <w:tcW w:w="573" w:type="dxa"/>
            <w:shd w:val="clear" w:color="auto" w:fill="FFFFFF"/>
          </w:tcPr>
          <w:p w14:paraId="79356A5C" w14:textId="77777777" w:rsidR="00CA4ECC" w:rsidRPr="00B57B36" w:rsidRDefault="00CA4ECC" w:rsidP="00AF4EC5">
            <w:pPr>
              <w:pStyle w:val="CETBodytext"/>
              <w:ind w:right="-1"/>
              <w:jc w:val="center"/>
              <w:rPr>
                <w:rFonts w:cs="Arial"/>
                <w:szCs w:val="18"/>
                <w:lang w:val="en-GB"/>
              </w:rPr>
            </w:pPr>
            <w:r>
              <w:rPr>
                <w:rFonts w:cs="Arial"/>
                <w:szCs w:val="18"/>
                <w:lang w:val="en-GB"/>
              </w:rPr>
              <w:t>3.05</w:t>
            </w:r>
          </w:p>
        </w:tc>
        <w:tc>
          <w:tcPr>
            <w:tcW w:w="573" w:type="dxa"/>
            <w:shd w:val="clear" w:color="auto" w:fill="FFFFFF"/>
          </w:tcPr>
          <w:p w14:paraId="113E40C3" w14:textId="77777777" w:rsidR="00CA4ECC" w:rsidRPr="00B57B36" w:rsidRDefault="00CA4ECC" w:rsidP="00AF4EC5">
            <w:pPr>
              <w:pStyle w:val="CETBodytext"/>
              <w:ind w:right="-1"/>
              <w:jc w:val="center"/>
              <w:rPr>
                <w:rFonts w:cs="Arial"/>
                <w:szCs w:val="18"/>
                <w:lang w:val="en-GB"/>
              </w:rPr>
            </w:pPr>
            <w:r>
              <w:rPr>
                <w:rFonts w:cs="Arial"/>
                <w:szCs w:val="18"/>
                <w:lang w:val="en-GB"/>
              </w:rPr>
              <w:t>10.18</w:t>
            </w:r>
          </w:p>
        </w:tc>
        <w:tc>
          <w:tcPr>
            <w:tcW w:w="573" w:type="dxa"/>
            <w:shd w:val="clear" w:color="auto" w:fill="FFFFFF"/>
          </w:tcPr>
          <w:p w14:paraId="1C473DB4" w14:textId="77777777" w:rsidR="00CA4ECC" w:rsidRPr="00B57B36" w:rsidRDefault="00CA4ECC" w:rsidP="00AF4EC5">
            <w:pPr>
              <w:pStyle w:val="CETBodytext"/>
              <w:ind w:right="-1"/>
              <w:jc w:val="center"/>
              <w:rPr>
                <w:rFonts w:cs="Arial"/>
                <w:szCs w:val="18"/>
                <w:lang w:val="en-GB"/>
              </w:rPr>
            </w:pPr>
            <w:r>
              <w:rPr>
                <w:rFonts w:cs="Arial"/>
                <w:szCs w:val="18"/>
                <w:lang w:val="en-GB"/>
              </w:rPr>
              <w:t>30.17</w:t>
            </w:r>
          </w:p>
        </w:tc>
        <w:tc>
          <w:tcPr>
            <w:tcW w:w="951" w:type="dxa"/>
            <w:shd w:val="clear" w:color="auto" w:fill="FFFFFF"/>
          </w:tcPr>
          <w:p w14:paraId="7416D317" w14:textId="77777777" w:rsidR="00CA4ECC" w:rsidRPr="00B57B36" w:rsidRDefault="00CA4ECC" w:rsidP="00AF4EC5">
            <w:pPr>
              <w:pStyle w:val="CETBodytext"/>
              <w:ind w:right="-1"/>
              <w:jc w:val="center"/>
              <w:rPr>
                <w:rFonts w:cs="Arial"/>
                <w:szCs w:val="18"/>
                <w:lang w:val="en-GB"/>
              </w:rPr>
            </w:pPr>
            <w:r>
              <w:rPr>
                <w:rFonts w:cs="Arial"/>
                <w:szCs w:val="18"/>
                <w:lang w:val="en-GB"/>
              </w:rPr>
              <w:t>0.53</w:t>
            </w:r>
          </w:p>
        </w:tc>
      </w:tr>
      <w:tr w:rsidR="00CA4ECC" w:rsidRPr="00B57B36" w14:paraId="42C3C576" w14:textId="77777777" w:rsidTr="00AF4EC5">
        <w:tc>
          <w:tcPr>
            <w:tcW w:w="573" w:type="dxa"/>
            <w:shd w:val="clear" w:color="auto" w:fill="FFFFFF"/>
          </w:tcPr>
          <w:p w14:paraId="4E1C104C" w14:textId="77777777" w:rsidR="00CA4ECC" w:rsidRDefault="00CA4ECC" w:rsidP="00AF4EC5">
            <w:pPr>
              <w:pStyle w:val="CETBodytext"/>
              <w:ind w:right="-1"/>
              <w:jc w:val="center"/>
              <w:rPr>
                <w:rFonts w:cs="Arial"/>
                <w:szCs w:val="18"/>
                <w:lang w:val="en-GB"/>
              </w:rPr>
            </w:pPr>
            <w:r>
              <w:rPr>
                <w:rFonts w:cs="Arial"/>
                <w:szCs w:val="18"/>
                <w:lang w:val="en-GB"/>
              </w:rPr>
              <w:t>L2-900</w:t>
            </w:r>
          </w:p>
        </w:tc>
        <w:tc>
          <w:tcPr>
            <w:tcW w:w="573" w:type="dxa"/>
            <w:shd w:val="clear" w:color="auto" w:fill="FFFFFF"/>
          </w:tcPr>
          <w:p w14:paraId="25AA214E" w14:textId="77777777" w:rsidR="00CA4ECC" w:rsidRPr="00B57B36" w:rsidRDefault="00CA4ECC" w:rsidP="00AF4EC5">
            <w:pPr>
              <w:pStyle w:val="CETBodytext"/>
              <w:ind w:right="-1"/>
              <w:jc w:val="center"/>
              <w:rPr>
                <w:rFonts w:cs="Arial"/>
                <w:szCs w:val="18"/>
                <w:lang w:val="en-GB"/>
              </w:rPr>
            </w:pPr>
            <w:r>
              <w:rPr>
                <w:rFonts w:cs="Arial"/>
                <w:szCs w:val="18"/>
                <w:lang w:val="en-GB"/>
              </w:rPr>
              <w:t>900</w:t>
            </w:r>
          </w:p>
        </w:tc>
        <w:tc>
          <w:tcPr>
            <w:tcW w:w="573" w:type="dxa"/>
            <w:shd w:val="clear" w:color="auto" w:fill="FFFFFF"/>
          </w:tcPr>
          <w:p w14:paraId="0ACC842E" w14:textId="77777777" w:rsidR="00CA4ECC" w:rsidRPr="00B57B36" w:rsidRDefault="00CA4ECC" w:rsidP="00AF4EC5">
            <w:pPr>
              <w:pStyle w:val="CETBodytext"/>
              <w:ind w:right="-1"/>
              <w:jc w:val="center"/>
              <w:rPr>
                <w:rFonts w:cs="Arial"/>
                <w:szCs w:val="18"/>
                <w:lang w:val="en-GB"/>
              </w:rPr>
            </w:pPr>
            <w:r>
              <w:rPr>
                <w:rFonts w:cs="Arial"/>
                <w:szCs w:val="18"/>
                <w:lang w:val="en-GB"/>
              </w:rPr>
              <w:t>51.02</w:t>
            </w:r>
          </w:p>
        </w:tc>
        <w:tc>
          <w:tcPr>
            <w:tcW w:w="573" w:type="dxa"/>
            <w:shd w:val="clear" w:color="auto" w:fill="FFFFFF"/>
          </w:tcPr>
          <w:p w14:paraId="62F7A031" w14:textId="77777777" w:rsidR="00CA4ECC" w:rsidRPr="00B57B36" w:rsidRDefault="00CA4ECC" w:rsidP="00AF4EC5">
            <w:pPr>
              <w:pStyle w:val="CETBodytext"/>
              <w:ind w:right="-1"/>
              <w:jc w:val="center"/>
              <w:rPr>
                <w:rFonts w:cs="Arial"/>
                <w:szCs w:val="18"/>
                <w:lang w:val="en-GB"/>
              </w:rPr>
            </w:pPr>
            <w:r>
              <w:rPr>
                <w:rFonts w:cs="Arial"/>
                <w:szCs w:val="18"/>
                <w:lang w:val="en-GB"/>
              </w:rPr>
              <w:t>1.94</w:t>
            </w:r>
          </w:p>
        </w:tc>
        <w:tc>
          <w:tcPr>
            <w:tcW w:w="573" w:type="dxa"/>
            <w:shd w:val="clear" w:color="auto" w:fill="FFFFFF"/>
          </w:tcPr>
          <w:p w14:paraId="50C95C94" w14:textId="77777777" w:rsidR="00CA4ECC" w:rsidRPr="00B57B36" w:rsidRDefault="00CA4ECC" w:rsidP="00AF4EC5">
            <w:pPr>
              <w:pStyle w:val="CETBodytext"/>
              <w:ind w:right="-1"/>
              <w:jc w:val="center"/>
              <w:rPr>
                <w:rFonts w:cs="Arial"/>
                <w:szCs w:val="18"/>
                <w:lang w:val="en-GB"/>
              </w:rPr>
            </w:pPr>
            <w:r>
              <w:rPr>
                <w:rFonts w:cs="Arial"/>
                <w:szCs w:val="18"/>
                <w:lang w:val="en-GB"/>
              </w:rPr>
              <w:t>3.20</w:t>
            </w:r>
          </w:p>
        </w:tc>
        <w:tc>
          <w:tcPr>
            <w:tcW w:w="573" w:type="dxa"/>
            <w:shd w:val="clear" w:color="auto" w:fill="FFFFFF"/>
          </w:tcPr>
          <w:p w14:paraId="57F17F5E" w14:textId="77777777" w:rsidR="00CA4ECC" w:rsidRPr="00B57B36" w:rsidRDefault="00CA4ECC" w:rsidP="00AF4EC5">
            <w:pPr>
              <w:pStyle w:val="CETBodytext"/>
              <w:ind w:right="-1"/>
              <w:jc w:val="center"/>
              <w:rPr>
                <w:rFonts w:cs="Arial"/>
                <w:szCs w:val="18"/>
                <w:lang w:val="en-GB"/>
              </w:rPr>
            </w:pPr>
            <w:r>
              <w:rPr>
                <w:rFonts w:cs="Arial"/>
                <w:szCs w:val="18"/>
                <w:lang w:val="en-GB"/>
              </w:rPr>
              <w:t>14.96</w:t>
            </w:r>
          </w:p>
        </w:tc>
        <w:tc>
          <w:tcPr>
            <w:tcW w:w="573" w:type="dxa"/>
            <w:shd w:val="clear" w:color="auto" w:fill="FFFFFF"/>
          </w:tcPr>
          <w:p w14:paraId="66B01EAD" w14:textId="77777777" w:rsidR="00CA4ECC" w:rsidRPr="00B57B36" w:rsidRDefault="00CA4ECC" w:rsidP="00AF4EC5">
            <w:pPr>
              <w:pStyle w:val="CETBodytext"/>
              <w:ind w:right="-1"/>
              <w:jc w:val="center"/>
              <w:rPr>
                <w:rFonts w:cs="Arial"/>
                <w:szCs w:val="18"/>
                <w:lang w:val="en-GB"/>
              </w:rPr>
            </w:pPr>
            <w:r>
              <w:rPr>
                <w:rFonts w:cs="Arial"/>
                <w:szCs w:val="18"/>
                <w:lang w:val="en-GB"/>
              </w:rPr>
              <w:t>25.79</w:t>
            </w:r>
          </w:p>
        </w:tc>
        <w:tc>
          <w:tcPr>
            <w:tcW w:w="951" w:type="dxa"/>
            <w:shd w:val="clear" w:color="auto" w:fill="FFFFFF"/>
          </w:tcPr>
          <w:p w14:paraId="0D95B169" w14:textId="77777777" w:rsidR="00CA4ECC" w:rsidRPr="00B57B36" w:rsidRDefault="00CA4ECC" w:rsidP="00AF4EC5">
            <w:pPr>
              <w:pStyle w:val="CETBodytext"/>
              <w:ind w:right="-1"/>
              <w:jc w:val="center"/>
              <w:rPr>
                <w:rFonts w:cs="Arial"/>
                <w:szCs w:val="18"/>
                <w:lang w:val="en-GB"/>
              </w:rPr>
            </w:pPr>
            <w:r>
              <w:rPr>
                <w:rFonts w:cs="Arial"/>
                <w:szCs w:val="18"/>
                <w:lang w:val="en-GB"/>
              </w:rPr>
              <w:t>0.55</w:t>
            </w:r>
          </w:p>
        </w:tc>
      </w:tr>
    </w:tbl>
    <w:p w14:paraId="6B7B222C" w14:textId="77777777" w:rsidR="00CA4ECC" w:rsidRDefault="00CA4ECC" w:rsidP="00CA4ECC">
      <w:pPr>
        <w:pStyle w:val="CETBodytext"/>
        <w:spacing w:before="240"/>
        <w:rPr>
          <w:rFonts w:eastAsiaTheme="minorEastAsia"/>
          <w:color w:val="000000" w:themeColor="text1"/>
        </w:rPr>
      </w:pPr>
      <w:r w:rsidRPr="008A66DC">
        <w:rPr>
          <w:rFonts w:eastAsiaTheme="minorEastAsia"/>
        </w:rPr>
        <w:t>The gas composition obtained from the tests conducted under configuration L2 exhibited a trend distinct from that observed under configuration L1. As the temperature increased, the concentrations of H</w:t>
      </w:r>
      <w:r w:rsidRPr="00D101BA">
        <w:rPr>
          <w:rFonts w:eastAsiaTheme="minorEastAsia"/>
          <w:vertAlign w:val="subscript"/>
        </w:rPr>
        <w:t>2</w:t>
      </w:r>
      <w:r w:rsidRPr="008A66DC">
        <w:rPr>
          <w:rFonts w:eastAsiaTheme="minorEastAsia"/>
        </w:rPr>
        <w:t xml:space="preserve"> and CO</w:t>
      </w:r>
      <w:r w:rsidRPr="00D101BA">
        <w:rPr>
          <w:rFonts w:eastAsiaTheme="minorEastAsia"/>
          <w:vertAlign w:val="subscript"/>
        </w:rPr>
        <w:t>2</w:t>
      </w:r>
      <w:r w:rsidRPr="008A66DC">
        <w:rPr>
          <w:rFonts w:eastAsiaTheme="minorEastAsia"/>
        </w:rPr>
        <w:t xml:space="preserve"> decreased from 55.7% to 51.0% and from 34.3% to 25.8%, respectively. In contrast, the concentrations of</w:t>
      </w:r>
      <w:r>
        <w:rPr>
          <w:rFonts w:eastAsiaTheme="minorEastAsia"/>
        </w:rPr>
        <w:t xml:space="preserve"> </w:t>
      </w:r>
      <w:r w:rsidRPr="008A66DC">
        <w:rPr>
          <w:rFonts w:eastAsiaTheme="minorEastAsia"/>
        </w:rPr>
        <w:t>CO and C</w:t>
      </w:r>
      <w:r w:rsidRPr="005722CD">
        <w:rPr>
          <w:rFonts w:eastAsiaTheme="minorEastAsia"/>
          <w:vertAlign w:val="subscript"/>
        </w:rPr>
        <w:t>4</w:t>
      </w:r>
      <w:r w:rsidRPr="008A66DC">
        <w:rPr>
          <w:rFonts w:eastAsiaTheme="minorEastAsia"/>
        </w:rPr>
        <w:t>H</w:t>
      </w:r>
      <w:r w:rsidRPr="005722CD">
        <w:rPr>
          <w:rFonts w:eastAsiaTheme="minorEastAsia"/>
          <w:vertAlign w:val="subscript"/>
        </w:rPr>
        <w:t>m</w:t>
      </w:r>
      <w:r>
        <w:rPr>
          <w:rFonts w:eastAsiaTheme="minorEastAsia"/>
        </w:rPr>
        <w:t xml:space="preserve"> </w:t>
      </w:r>
      <w:r w:rsidRPr="008A66DC">
        <w:rPr>
          <w:rFonts w:eastAsiaTheme="minorEastAsia"/>
        </w:rPr>
        <w:t xml:space="preserve">increased with rising </w:t>
      </w:r>
      <w:r w:rsidRPr="00A17BCC">
        <w:rPr>
          <w:rFonts w:eastAsiaTheme="minorEastAsia"/>
        </w:rPr>
        <w:t>temperature. Instead, CH</w:t>
      </w:r>
      <w:r w:rsidRPr="00A17BCC">
        <w:rPr>
          <w:rFonts w:eastAsiaTheme="minorEastAsia"/>
          <w:vertAlign w:val="subscript"/>
        </w:rPr>
        <w:t>4</w:t>
      </w:r>
      <w:r w:rsidRPr="00A17BCC">
        <w:rPr>
          <w:rFonts w:eastAsiaTheme="minorEastAsia"/>
        </w:rPr>
        <w:t xml:space="preserve"> showed a peak concentration at 800 °C. </w:t>
      </w:r>
      <w:r w:rsidRPr="00A17BCC">
        <w:rPr>
          <w:rFonts w:eastAsiaTheme="minorEastAsia"/>
          <w:color w:val="000000" w:themeColor="text1"/>
        </w:rPr>
        <w:t>These</w:t>
      </w:r>
      <w:r w:rsidRPr="00951AFB">
        <w:rPr>
          <w:rFonts w:eastAsiaTheme="minorEastAsia"/>
          <w:color w:val="000000" w:themeColor="text1"/>
        </w:rPr>
        <w:t xml:space="preserve"> results can be explained </w:t>
      </w:r>
      <w:r>
        <w:rPr>
          <w:rFonts w:eastAsiaTheme="minorEastAsia"/>
          <w:color w:val="000000" w:themeColor="text1"/>
        </w:rPr>
        <w:t xml:space="preserve">by </w:t>
      </w:r>
      <w:r w:rsidRPr="00951AFB">
        <w:rPr>
          <w:rFonts w:eastAsiaTheme="minorEastAsia"/>
          <w:color w:val="000000" w:themeColor="text1"/>
        </w:rPr>
        <w:t>considering the reactions R1–2.</w:t>
      </w:r>
    </w:p>
    <w:p w14:paraId="564464CE" w14:textId="77777777" w:rsidR="00CA4ECC" w:rsidRPr="00D160EF" w:rsidRDefault="00CA4ECC" w:rsidP="00CA4ECC">
      <w:pPr>
        <w:pStyle w:val="CETEquation"/>
        <w:rPr>
          <w:rFonts w:eastAsiaTheme="minorEastAsia"/>
          <w:lang w:val="en-US"/>
        </w:rPr>
      </w:pPr>
      <m:oMath>
        <m:r>
          <w:rPr>
            <w:rFonts w:ascii="Cambria Math" w:eastAsiaTheme="minorEastAsia" w:hAnsi="Cambria Math"/>
            <w:lang w:val="en-US"/>
          </w:rPr>
          <m:t>C</m:t>
        </m:r>
        <m:r>
          <m:rPr>
            <m:sty m:val="p"/>
          </m:rPr>
          <w:rPr>
            <w:rFonts w:ascii="Cambria Math" w:eastAsiaTheme="minorEastAsia" w:hAnsi="Cambria Math"/>
            <w:lang w:val="en-US"/>
          </w:rPr>
          <m:t>+</m:t>
        </m:r>
        <m:sSub>
          <m:sSubPr>
            <m:ctrlPr>
              <w:rPr>
                <w:rFonts w:ascii="Cambria Math" w:eastAsiaTheme="minorEastAsia" w:hAnsi="Cambria Math"/>
                <w:kern w:val="2"/>
                <w:sz w:val="22"/>
                <w:szCs w:val="22"/>
                <w:lang w:val="en-US"/>
                <w14:ligatures w14:val="standardContextual"/>
              </w:rPr>
            </m:ctrlPr>
          </m:sSubPr>
          <m:e>
            <m:r>
              <w:rPr>
                <w:rFonts w:ascii="Cambria Math" w:eastAsiaTheme="minorEastAsia" w:hAnsi="Cambria Math"/>
                <w:lang w:val="en-US"/>
              </w:rPr>
              <m:t>H</m:t>
            </m:r>
          </m:e>
          <m:sub>
            <m:r>
              <m:rPr>
                <m:sty m:val="p"/>
              </m:rPr>
              <w:rPr>
                <w:rFonts w:ascii="Cambria Math" w:eastAsiaTheme="minorEastAsia" w:hAnsi="Cambria Math"/>
                <w:lang w:val="en-US"/>
              </w:rPr>
              <m:t>2</m:t>
            </m:r>
          </m:sub>
        </m:sSub>
        <m:r>
          <w:rPr>
            <w:rFonts w:ascii="Cambria Math" w:eastAsiaTheme="minorEastAsia" w:hAnsi="Cambria Math"/>
            <w:lang w:val="en-US"/>
          </w:rPr>
          <m:t>O</m:t>
        </m:r>
        <m:r>
          <m:rPr>
            <m:sty m:val="p"/>
          </m:rPr>
          <w:rPr>
            <w:rFonts w:ascii="Cambria Math" w:eastAsiaTheme="minorEastAsia" w:hAnsi="Cambria Math"/>
            <w:lang w:val="en-US"/>
          </w:rPr>
          <m:t xml:space="preserve"> ↔</m:t>
        </m:r>
        <m:r>
          <w:rPr>
            <w:rFonts w:ascii="Cambria Math" w:eastAsiaTheme="minorEastAsia" w:hAnsi="Cambria Math"/>
            <w:lang w:val="en-US"/>
          </w:rPr>
          <m:t>CO</m:t>
        </m:r>
        <m:r>
          <m:rPr>
            <m:sty m:val="p"/>
          </m:rPr>
          <w:rPr>
            <w:rFonts w:ascii="Cambria Math" w:eastAsiaTheme="minorEastAsia" w:hAnsi="Cambria Math"/>
            <w:lang w:val="en-US"/>
          </w:rPr>
          <m:t xml:space="preserve">+ </m:t>
        </m:r>
        <m:sSub>
          <m:sSubPr>
            <m:ctrlPr>
              <w:rPr>
                <w:rFonts w:ascii="Cambria Math" w:eastAsiaTheme="minorEastAsia" w:hAnsi="Cambria Math"/>
                <w:kern w:val="2"/>
                <w:sz w:val="22"/>
                <w:szCs w:val="22"/>
                <w:lang w:val="en-US"/>
                <w14:ligatures w14:val="standardContextual"/>
              </w:rPr>
            </m:ctrlPr>
          </m:sSubPr>
          <m:e>
            <m:r>
              <w:rPr>
                <w:rFonts w:ascii="Cambria Math" w:eastAsiaTheme="minorEastAsia" w:hAnsi="Cambria Math"/>
                <w:lang w:val="en-US"/>
              </w:rPr>
              <m:t>H</m:t>
            </m:r>
          </m:e>
          <m:sub>
            <m:r>
              <m:rPr>
                <m:sty m:val="p"/>
              </m:rPr>
              <w:rPr>
                <w:rFonts w:ascii="Cambria Math" w:eastAsiaTheme="minorEastAsia" w:hAnsi="Cambria Math"/>
                <w:lang w:val="en-US"/>
              </w:rPr>
              <m:t>2</m:t>
            </m:r>
          </m:sub>
        </m:sSub>
        <m:r>
          <m:rPr>
            <m:sty m:val="p"/>
          </m:rPr>
          <w:rPr>
            <w:rFonts w:ascii="Cambria Math" w:eastAsiaTheme="minorEastAsia" w:hAnsi="Cambria Math"/>
            <w:lang w:val="en-US"/>
          </w:rPr>
          <m:t xml:space="preserve">  (</m:t>
        </m:r>
        <m:r>
          <w:rPr>
            <w:rFonts w:ascii="Cambria Math" w:eastAsiaTheme="minorEastAsia" w:hAnsi="Cambria Math"/>
            <w:lang w:val="en-US"/>
          </w:rPr>
          <m:t>ΔH</m:t>
        </m:r>
        <m:r>
          <m:rPr>
            <m:sty m:val="p"/>
          </m:rPr>
          <w:rPr>
            <w:rFonts w:ascii="Cambria Math" w:eastAsiaTheme="minorEastAsia" w:hAnsi="Cambria Math"/>
            <w:lang w:val="en-US"/>
          </w:rPr>
          <m:t xml:space="preserve"> = +131 </m:t>
        </m:r>
        <m:r>
          <w:rPr>
            <w:rFonts w:ascii="Cambria Math" w:eastAsiaTheme="minorEastAsia" w:hAnsi="Cambria Math"/>
            <w:lang w:val="en-US"/>
          </w:rPr>
          <m:t>kJ</m:t>
        </m:r>
        <m:r>
          <m:rPr>
            <m:sty m:val="p"/>
          </m:rPr>
          <w:rPr>
            <w:rFonts w:ascii="Cambria Math" w:eastAsiaTheme="minorEastAsia" w:hAnsi="Cambria Math"/>
            <w:lang w:val="en-US"/>
          </w:rPr>
          <m:t>/</m:t>
        </m:r>
        <m:r>
          <w:rPr>
            <w:rFonts w:ascii="Cambria Math" w:eastAsiaTheme="minorEastAsia" w:hAnsi="Cambria Math"/>
            <w:lang w:val="en-US"/>
          </w:rPr>
          <m:t>mol</m:t>
        </m:r>
        <m:r>
          <m:rPr>
            <m:sty m:val="p"/>
          </m:rPr>
          <w:rPr>
            <w:rFonts w:ascii="Cambria Math" w:eastAsiaTheme="minorEastAsia" w:hAnsi="Cambria Math"/>
            <w:lang w:val="en-US"/>
          </w:rPr>
          <m:t xml:space="preserve">) </m:t>
        </m:r>
      </m:oMath>
      <w:r>
        <w:rPr>
          <w:rFonts w:eastAsiaTheme="minorEastAsia"/>
          <w:lang w:val="en-US"/>
        </w:rPr>
        <w:tab/>
      </w:r>
      <w:r>
        <w:rPr>
          <w:rFonts w:eastAsiaTheme="minorEastAsia"/>
          <w:lang w:val="en-US"/>
        </w:rPr>
        <w:tab/>
        <w:t>(R1)</w:t>
      </w:r>
    </w:p>
    <w:p w14:paraId="18DC05A2" w14:textId="77777777" w:rsidR="00CA4ECC" w:rsidRPr="00D160EF" w:rsidRDefault="00CA4ECC" w:rsidP="00CA4ECC">
      <w:pPr>
        <w:pStyle w:val="CETEquation"/>
        <w:rPr>
          <w:rFonts w:asciiTheme="minorHAnsi" w:eastAsiaTheme="minorEastAsia" w:hAnsiTheme="minorHAnsi" w:cstheme="minorBidi"/>
          <w:lang w:val="en-US"/>
        </w:rPr>
      </w:pPr>
      <m:oMath>
        <m:r>
          <w:rPr>
            <w:rFonts w:ascii="Cambria Math" w:eastAsiaTheme="minorEastAsia" w:hAnsi="Cambria Math"/>
            <w:lang w:val="en-US"/>
          </w:rPr>
          <m:t>CO</m:t>
        </m:r>
        <m:r>
          <m:rPr>
            <m:sty m:val="p"/>
          </m:rPr>
          <w:rPr>
            <w:rFonts w:ascii="Cambria Math" w:eastAsiaTheme="minorEastAsia" w:hAnsi="Cambria Math"/>
            <w:lang w:val="en-US"/>
          </w:rPr>
          <m:t xml:space="preserve">+ </m:t>
        </m:r>
        <m:sSub>
          <m:sSubPr>
            <m:ctrlPr>
              <w:rPr>
                <w:rFonts w:ascii="Cambria Math" w:eastAsiaTheme="minorEastAsia" w:hAnsi="Cambria Math" w:cstheme="minorBidi"/>
                <w:kern w:val="2"/>
                <w:lang w:val="en-US"/>
                <w14:ligatures w14:val="standardContextual"/>
              </w:rPr>
            </m:ctrlPr>
          </m:sSubPr>
          <m:e>
            <m:r>
              <w:rPr>
                <w:rFonts w:ascii="Cambria Math" w:eastAsiaTheme="minorEastAsia" w:hAnsi="Cambria Math"/>
                <w:lang w:val="en-US"/>
              </w:rPr>
              <m:t>H</m:t>
            </m:r>
          </m:e>
          <m:sub>
            <m:r>
              <m:rPr>
                <m:sty m:val="p"/>
              </m:rPr>
              <w:rPr>
                <w:rFonts w:ascii="Cambria Math" w:eastAsiaTheme="minorEastAsia" w:hAnsi="Cambria Math"/>
                <w:lang w:val="en-US"/>
              </w:rPr>
              <m:t>2</m:t>
            </m:r>
          </m:sub>
        </m:sSub>
        <m:r>
          <w:rPr>
            <w:rFonts w:ascii="Cambria Math" w:eastAsiaTheme="minorEastAsia" w:hAnsi="Cambria Math"/>
            <w:lang w:val="en-US"/>
          </w:rPr>
          <m:t>O</m:t>
        </m:r>
        <m:r>
          <m:rPr>
            <m:sty m:val="p"/>
          </m:rPr>
          <w:rPr>
            <w:rFonts w:ascii="Cambria Math" w:eastAsiaTheme="minorEastAsia" w:hAnsi="Cambria Math"/>
            <w:lang w:val="en-US"/>
          </w:rPr>
          <m:t xml:space="preserve"> ↔ </m:t>
        </m:r>
        <m:sSub>
          <m:sSubPr>
            <m:ctrlPr>
              <w:rPr>
                <w:rFonts w:ascii="Cambria Math" w:eastAsiaTheme="minorEastAsia" w:hAnsi="Cambria Math" w:cstheme="minorBidi"/>
                <w:kern w:val="2"/>
                <w:lang w:val="en-US"/>
                <w14:ligatures w14:val="standardContextual"/>
              </w:rPr>
            </m:ctrlPr>
          </m:sSubPr>
          <m:e>
            <m:r>
              <w:rPr>
                <w:rFonts w:ascii="Cambria Math" w:eastAsiaTheme="minorEastAsia" w:hAnsi="Cambria Math"/>
                <w:lang w:val="en-US"/>
              </w:rPr>
              <m:t>CO</m:t>
            </m:r>
          </m:e>
          <m:sub>
            <m:r>
              <m:rPr>
                <m:sty m:val="p"/>
              </m:rPr>
              <w:rPr>
                <w:rFonts w:ascii="Cambria Math" w:eastAsiaTheme="minorEastAsia" w:hAnsi="Cambria Math"/>
                <w:lang w:val="en-US"/>
              </w:rPr>
              <m:t>2</m:t>
            </m:r>
          </m:sub>
        </m:sSub>
        <m:r>
          <m:rPr>
            <m:sty m:val="p"/>
          </m:rPr>
          <w:rPr>
            <w:rFonts w:ascii="Cambria Math" w:eastAsiaTheme="minorEastAsia" w:hAnsi="Cambria Math"/>
            <w:lang w:val="en-US"/>
          </w:rPr>
          <m:t xml:space="preserve">+ </m:t>
        </m:r>
        <m:sSub>
          <m:sSubPr>
            <m:ctrlPr>
              <w:rPr>
                <w:rFonts w:ascii="Cambria Math" w:eastAsiaTheme="minorEastAsia" w:hAnsi="Cambria Math" w:cstheme="minorBidi"/>
                <w:kern w:val="2"/>
                <w:lang w:val="en-US"/>
                <w14:ligatures w14:val="standardContextual"/>
              </w:rPr>
            </m:ctrlPr>
          </m:sSubPr>
          <m:e>
            <m:r>
              <w:rPr>
                <w:rFonts w:ascii="Cambria Math" w:eastAsiaTheme="minorEastAsia" w:hAnsi="Cambria Math"/>
                <w:lang w:val="en-US"/>
              </w:rPr>
              <m:t>H</m:t>
            </m:r>
          </m:e>
          <m:sub>
            <m:r>
              <m:rPr>
                <m:sty m:val="p"/>
              </m:rPr>
              <w:rPr>
                <w:rFonts w:ascii="Cambria Math" w:eastAsiaTheme="minorEastAsia" w:hAnsi="Cambria Math"/>
                <w:lang w:val="en-US"/>
              </w:rPr>
              <m:t>2</m:t>
            </m:r>
          </m:sub>
        </m:sSub>
      </m:oMath>
      <w:r w:rsidRPr="00A73322">
        <w:rPr>
          <w:rFonts w:asciiTheme="minorHAnsi" w:eastAsiaTheme="minorEastAsia" w:hAnsiTheme="minorHAnsi" w:cstheme="minorBidi"/>
          <w:kern w:val="2"/>
          <w:lang w:val="en-US"/>
          <w14:ligatures w14:val="standardContextual"/>
        </w:rPr>
        <w:t xml:space="preserve"> </w:t>
      </w:r>
      <w:r>
        <w:rPr>
          <w:rFonts w:asciiTheme="minorHAnsi" w:eastAsiaTheme="minorEastAsia" w:hAnsiTheme="minorHAnsi" w:cstheme="minorBidi"/>
          <w:kern w:val="2"/>
          <w:sz w:val="22"/>
          <w:szCs w:val="22"/>
          <w:lang w:val="en-US"/>
          <w14:ligatures w14:val="standardContextual"/>
        </w:rPr>
        <w:t xml:space="preserve"> </w:t>
      </w:r>
      <m:oMath>
        <m:r>
          <m:rPr>
            <m:sty m:val="p"/>
          </m:rPr>
          <w:rPr>
            <w:rFonts w:ascii="Cambria Math" w:eastAsiaTheme="minorEastAsia" w:hAnsi="Cambria Math"/>
            <w:lang w:val="en-US"/>
          </w:rPr>
          <m:t>(</m:t>
        </m:r>
        <m:r>
          <w:rPr>
            <w:rFonts w:ascii="Cambria Math" w:eastAsiaTheme="minorEastAsia" w:hAnsi="Cambria Math"/>
            <w:lang w:val="en-US"/>
          </w:rPr>
          <m:t>ΔH</m:t>
        </m:r>
        <m:r>
          <m:rPr>
            <m:sty m:val="p"/>
          </m:rPr>
          <w:rPr>
            <w:rFonts w:ascii="Cambria Math" w:eastAsiaTheme="minorEastAsia" w:hAnsi="Cambria Math"/>
            <w:lang w:val="en-US"/>
          </w:rPr>
          <m:t xml:space="preserve"> = -41 </m:t>
        </m:r>
        <m:r>
          <w:rPr>
            <w:rFonts w:ascii="Cambria Math" w:eastAsiaTheme="minorEastAsia" w:hAnsi="Cambria Math"/>
            <w:lang w:val="en-US"/>
          </w:rPr>
          <m:t>kJ</m:t>
        </m:r>
        <m:r>
          <m:rPr>
            <m:sty m:val="p"/>
          </m:rPr>
          <w:rPr>
            <w:rFonts w:ascii="Cambria Math" w:eastAsiaTheme="minorEastAsia" w:hAnsi="Cambria Math"/>
            <w:lang w:val="en-US"/>
          </w:rPr>
          <m:t>/</m:t>
        </m:r>
        <m:r>
          <w:rPr>
            <w:rFonts w:ascii="Cambria Math" w:eastAsiaTheme="minorEastAsia" w:hAnsi="Cambria Math"/>
            <w:lang w:val="en-US"/>
          </w:rPr>
          <m:t>mol</m:t>
        </m:r>
        <m:r>
          <m:rPr>
            <m:sty m:val="p"/>
          </m:rPr>
          <w:rPr>
            <w:rFonts w:ascii="Cambria Math" w:eastAsiaTheme="minorEastAsia" w:hAnsi="Cambria Math"/>
            <w:lang w:val="en-US"/>
          </w:rPr>
          <m:t>)</m:t>
        </m:r>
      </m:oMath>
      <w:r>
        <w:rPr>
          <w:rFonts w:asciiTheme="minorHAnsi" w:eastAsiaTheme="minorEastAsia" w:hAnsiTheme="minorHAnsi" w:cstheme="minorBidi"/>
          <w:kern w:val="2"/>
          <w:sz w:val="22"/>
          <w:szCs w:val="22"/>
          <w:lang w:val="en-US"/>
          <w14:ligatures w14:val="standardContextual"/>
        </w:rPr>
        <w:tab/>
      </w:r>
      <w:r>
        <w:rPr>
          <w:rFonts w:asciiTheme="minorHAnsi" w:eastAsiaTheme="minorEastAsia" w:hAnsiTheme="minorHAnsi" w:cstheme="minorBidi"/>
          <w:kern w:val="2"/>
          <w:sz w:val="22"/>
          <w:szCs w:val="22"/>
          <w:lang w:val="en-US"/>
          <w14:ligatures w14:val="standardContextual"/>
        </w:rPr>
        <w:tab/>
      </w:r>
      <w:r w:rsidRPr="000C60E9">
        <w:rPr>
          <w:rFonts w:eastAsiaTheme="minorEastAsia" w:cs="Arial"/>
          <w:kern w:val="2"/>
          <w:lang w:val="en-US"/>
          <w14:ligatures w14:val="standardContextual"/>
        </w:rPr>
        <w:t>(R2)</w:t>
      </w:r>
    </w:p>
    <w:p w14:paraId="1B1FF5F7" w14:textId="4FAD6DA8" w:rsidR="00F474E4" w:rsidRDefault="00F474E4" w:rsidP="00CA4ECC">
      <w:pPr>
        <w:pStyle w:val="CETBodytext"/>
        <w:rPr>
          <w:rFonts w:eastAsiaTheme="minorEastAsia"/>
        </w:rPr>
      </w:pPr>
      <w:r>
        <w:rPr>
          <w:rFonts w:eastAsiaTheme="minorEastAsia"/>
          <w:noProof/>
        </w:rPr>
        <w:drawing>
          <wp:anchor distT="0" distB="0" distL="114300" distR="114300" simplePos="0" relativeHeight="251658240" behindDoc="0" locked="0" layoutInCell="1" allowOverlap="1" wp14:anchorId="29C1E1FF" wp14:editId="3F5B196F">
            <wp:simplePos x="0" y="0"/>
            <wp:positionH relativeFrom="column">
              <wp:posOffset>-6985</wp:posOffset>
            </wp:positionH>
            <wp:positionV relativeFrom="paragraph">
              <wp:posOffset>909955</wp:posOffset>
            </wp:positionV>
            <wp:extent cx="3624580" cy="3599815"/>
            <wp:effectExtent l="0" t="0" r="0" b="635"/>
            <wp:wrapTopAndBottom/>
            <wp:docPr id="2519572" name="Immagine 2" descr="Immagine che contiene testo, schermata, Policromi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572" name="Immagine 2" descr="Immagine che contiene testo, schermata, Policromia, diagramma&#10;&#10;Il contenuto generato dall'IA potrebbe non essere corretto."/>
                    <pic:cNvPicPr/>
                  </pic:nvPicPr>
                  <pic:blipFill>
                    <a:blip r:embed="rId11"/>
                    <a:stretch>
                      <a:fillRect/>
                    </a:stretch>
                  </pic:blipFill>
                  <pic:spPr>
                    <a:xfrm>
                      <a:off x="0" y="0"/>
                      <a:ext cx="3624580" cy="3599815"/>
                    </a:xfrm>
                    <a:prstGeom prst="rect">
                      <a:avLst/>
                    </a:prstGeom>
                  </pic:spPr>
                </pic:pic>
              </a:graphicData>
            </a:graphic>
          </wp:anchor>
        </w:drawing>
      </w:r>
      <w:r w:rsidR="00CA4ECC" w:rsidRPr="00F54A5A">
        <w:rPr>
          <w:rFonts w:eastAsiaTheme="minorEastAsia"/>
        </w:rPr>
        <w:t>Higher temperatures are expected to thermodynamically favor the water-gas reaction (R1) and the reverse of the water-gas shift reaction (R2)</w:t>
      </w:r>
      <w:r w:rsidR="00CA4ECC">
        <w:rPr>
          <w:rFonts w:eastAsiaTheme="minorEastAsia"/>
        </w:rPr>
        <w:t xml:space="preserve"> </w:t>
      </w:r>
      <w:sdt>
        <w:sdtPr>
          <w:rPr>
            <w:rFonts w:eastAsiaTheme="minorEastAsia"/>
          </w:rPr>
          <w:tag w:val="MENDELEY_CITATION_v3_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"/>
          <w:id w:val="-1013143884"/>
          <w:placeholder>
            <w:docPart w:val="B50068B439844D0A96E9A3B63E63DCCA"/>
          </w:placeholder>
        </w:sdtPr>
        <w:sdtContent>
          <w:r w:rsidR="00CA4ECC" w:rsidRPr="00B10FF9">
            <w:t>(</w:t>
          </w:r>
          <w:proofErr w:type="spellStart"/>
          <w:r w:rsidR="00CA4ECC" w:rsidRPr="00B10FF9">
            <w:t>Zaccariello</w:t>
          </w:r>
          <w:proofErr w:type="spellEnd"/>
          <w:r w:rsidR="00CA4ECC" w:rsidRPr="00B10FF9">
            <w:t xml:space="preserve"> and Mastellone, 2020)</w:t>
          </w:r>
        </w:sdtContent>
      </w:sdt>
      <w:r w:rsidR="00CA4ECC" w:rsidRPr="00F54A5A">
        <w:rPr>
          <w:rFonts w:eastAsiaTheme="minorEastAsia"/>
        </w:rPr>
        <w:t>. As a result, an increase in the concentrations of H</w:t>
      </w:r>
      <w:r w:rsidR="00CA4ECC" w:rsidRPr="00F54A5A">
        <w:rPr>
          <w:rFonts w:ascii="Cambria Math" w:eastAsiaTheme="minorEastAsia" w:hAnsi="Cambria Math" w:cs="Cambria Math"/>
        </w:rPr>
        <w:t>₂</w:t>
      </w:r>
      <w:r w:rsidR="00CA4ECC" w:rsidRPr="00F54A5A">
        <w:rPr>
          <w:rFonts w:eastAsiaTheme="minorEastAsia"/>
        </w:rPr>
        <w:t xml:space="preserve"> and CO would be </w:t>
      </w:r>
      <w:r w:rsidR="00CA4ECC">
        <w:rPr>
          <w:rFonts w:eastAsiaTheme="minorEastAsia"/>
        </w:rPr>
        <w:t>observed</w:t>
      </w:r>
      <w:r w:rsidR="00CA4ECC" w:rsidRPr="00F54A5A">
        <w:rPr>
          <w:rFonts w:eastAsiaTheme="minorEastAsia"/>
        </w:rPr>
        <w:t xml:space="preserve">. These findings are consistent with the gas composition obtained from the gasification tests using the L2 configuration. This suggests that the L2 configuration is most favorable for the thermodynamic equilibrium of the gasification reactions. </w:t>
      </w:r>
      <w:r w:rsidR="00CA4ECC" w:rsidRPr="00077842">
        <w:rPr>
          <w:rFonts w:eastAsiaTheme="minorEastAsia"/>
        </w:rPr>
        <w:t xml:space="preserve">This hypothesis is further supported by the results displayed in Figure 2. </w:t>
      </w:r>
    </w:p>
    <w:p w14:paraId="40F341FF" w14:textId="77777777" w:rsidR="00F474E4" w:rsidRPr="009537EF" w:rsidRDefault="00F474E4" w:rsidP="009537EF">
      <w:pPr>
        <w:pStyle w:val="CETCaption"/>
        <w:rPr>
          <w:rFonts w:eastAsiaTheme="minorEastAsia"/>
        </w:rPr>
      </w:pPr>
      <w:r w:rsidRPr="009537EF">
        <w:t>Figure 2: a) Hydrogen Yield, b) Syngas Lower Heating Value c) Tar concentration, d) Cold Gas Efficienc</w:t>
      </w:r>
      <w:r w:rsidRPr="009537EF">
        <w:rPr>
          <w:rFonts w:eastAsiaTheme="minorEastAsia"/>
        </w:rPr>
        <w:t xml:space="preserve">y. </w:t>
      </w:r>
    </w:p>
    <w:p w14:paraId="44A6FC56" w14:textId="5D52E1CD" w:rsidR="00CA4ECC" w:rsidRDefault="00CA4ECC" w:rsidP="00CA4ECC">
      <w:pPr>
        <w:pStyle w:val="CETBodytext"/>
        <w:rPr>
          <w:rFonts w:eastAsiaTheme="minorEastAsia"/>
        </w:rPr>
      </w:pPr>
      <w:r w:rsidRPr="00077842">
        <w:rPr>
          <w:rFonts w:eastAsiaTheme="minorEastAsia"/>
        </w:rPr>
        <w:lastRenderedPageBreak/>
        <w:t xml:space="preserve">The figure indicates that the hydrogen yield is higher in the tests conducted using the L2 configuration compared to those using the L1 configuration, despite the volumetric </w:t>
      </w:r>
      <w:r>
        <w:rPr>
          <w:rFonts w:eastAsiaTheme="minorEastAsia"/>
        </w:rPr>
        <w:t>fraction</w:t>
      </w:r>
      <w:r w:rsidRPr="00077842">
        <w:rPr>
          <w:rFonts w:eastAsiaTheme="minorEastAsia"/>
        </w:rPr>
        <w:t xml:space="preserve"> of H</w:t>
      </w:r>
      <w:r w:rsidRPr="00E32D19">
        <w:rPr>
          <w:rFonts w:eastAsiaTheme="minorEastAsia"/>
          <w:vertAlign w:val="subscript"/>
        </w:rPr>
        <w:t>2</w:t>
      </w:r>
      <w:r w:rsidRPr="00077842">
        <w:rPr>
          <w:rFonts w:eastAsiaTheme="minorEastAsia"/>
        </w:rPr>
        <w:t xml:space="preserve"> is greater in the tests conducted with the L1 configuration at various reaction temperatures (Figure 2a).</w:t>
      </w:r>
      <w:r w:rsidRPr="00F54A5A">
        <w:rPr>
          <w:rFonts w:eastAsiaTheme="minorEastAsia"/>
        </w:rPr>
        <w:t xml:space="preserve"> </w:t>
      </w:r>
      <w:proofErr w:type="gramStart"/>
      <w:r w:rsidRPr="00F54A5A">
        <w:rPr>
          <w:rFonts w:eastAsiaTheme="minorEastAsia"/>
        </w:rPr>
        <w:t xml:space="preserve">In </w:t>
      </w:r>
      <w:r>
        <w:rPr>
          <w:rFonts w:eastAsiaTheme="minorEastAsia"/>
        </w:rPr>
        <w:t>particular in</w:t>
      </w:r>
      <w:proofErr w:type="gramEnd"/>
      <w:r>
        <w:rPr>
          <w:rFonts w:eastAsiaTheme="minorEastAsia"/>
        </w:rPr>
        <w:t xml:space="preserve"> </w:t>
      </w:r>
      <w:r w:rsidRPr="00F54A5A">
        <w:rPr>
          <w:rFonts w:eastAsiaTheme="minorEastAsia"/>
        </w:rPr>
        <w:t xml:space="preserve">the L1 configuration, the </w:t>
      </w:r>
      <w:r>
        <w:rPr>
          <w:rFonts w:eastAsiaTheme="minorEastAsia"/>
        </w:rPr>
        <w:t xml:space="preserve">hydrogen </w:t>
      </w:r>
      <w:r w:rsidRPr="00F54A5A">
        <w:rPr>
          <w:rFonts w:eastAsiaTheme="minorEastAsia"/>
        </w:rPr>
        <w:t>yield increases from 16.6 to 22.2 g/g, while in the L2 configuration, it rises from 31.9 to 33.2 g/g.</w:t>
      </w:r>
    </w:p>
    <w:p w14:paraId="552B487B" w14:textId="03F52B13" w:rsidR="00CA4ECC" w:rsidRPr="001051DD" w:rsidRDefault="00CA4ECC" w:rsidP="00CA4ECC">
      <w:pPr>
        <w:rPr>
          <w:rFonts w:eastAsiaTheme="minorEastAsia"/>
          <w:bCs/>
          <w:color w:val="000000"/>
        </w:rPr>
      </w:pPr>
      <w:r w:rsidRPr="001051DD">
        <w:rPr>
          <w:rFonts w:eastAsiaTheme="minorEastAsia"/>
          <w:bCs/>
          <w:color w:val="000000"/>
          <w:lang w:val="en-US"/>
        </w:rPr>
        <w:t>LHV showed its highest value of 11.4 MJ/Nm</w:t>
      </w:r>
      <w:r w:rsidRPr="001051DD">
        <w:rPr>
          <w:rFonts w:eastAsiaTheme="minorEastAsia"/>
          <w:bCs/>
          <w:color w:val="000000"/>
          <w:vertAlign w:val="superscript"/>
          <w:lang w:val="en-US"/>
        </w:rPr>
        <w:t>3</w:t>
      </w:r>
      <w:r w:rsidRPr="001051DD">
        <w:rPr>
          <w:rFonts w:eastAsiaTheme="minorEastAsia"/>
          <w:bCs/>
          <w:color w:val="000000"/>
          <w:lang w:val="en-US"/>
        </w:rPr>
        <w:t xml:space="preserve"> in the L2 test configuration at a temperature of 900 °C (Figure 2b). Another significant advantage provided by L2 configuration is the impressive conversion of tar and char into permanent gases. In the tests conducted at temperatures of 800 °C and 850 °C, the tar concentration decreased by approximately 65%. At a temperature of 900 °C, the reduction was even more significant, with a decrease of 83% (Figure 2c). As far as </w:t>
      </w:r>
      <w:proofErr w:type="gramStart"/>
      <w:r w:rsidRPr="001051DD">
        <w:rPr>
          <w:rFonts w:eastAsiaTheme="minorEastAsia"/>
          <w:bCs/>
          <w:color w:val="000000"/>
          <w:lang w:val="en-US"/>
        </w:rPr>
        <w:t>char</w:t>
      </w:r>
      <w:proofErr w:type="gramEnd"/>
      <w:r w:rsidRPr="001051DD">
        <w:rPr>
          <w:rFonts w:eastAsiaTheme="minorEastAsia"/>
          <w:bCs/>
          <w:color w:val="000000"/>
          <w:lang w:val="en-US"/>
        </w:rPr>
        <w:t xml:space="preserve"> is concerned, a comparison of the results from tests conducted under the L1 and L2 configurations reveals that the carbon content in the resulting </w:t>
      </w:r>
      <w:proofErr w:type="gramStart"/>
      <w:r w:rsidRPr="001051DD">
        <w:rPr>
          <w:rFonts w:eastAsiaTheme="minorEastAsia"/>
          <w:bCs/>
          <w:color w:val="000000"/>
          <w:lang w:val="en-US"/>
        </w:rPr>
        <w:t>char</w:t>
      </w:r>
      <w:proofErr w:type="gramEnd"/>
      <w:r w:rsidRPr="001051DD">
        <w:rPr>
          <w:rFonts w:eastAsiaTheme="minorEastAsia"/>
          <w:bCs/>
          <w:color w:val="000000"/>
          <w:lang w:val="en-US"/>
        </w:rPr>
        <w:t xml:space="preserve"> decreased by over 90% (Table 3). These findings lead to an increase in the Cold Gas Efficiency (CGE) (Equation 2) of the syngas (Figure 2d).</w:t>
      </w:r>
    </w:p>
    <w:p w14:paraId="78887D55" w14:textId="77777777" w:rsidR="00CA4ECC" w:rsidRPr="0000326A" w:rsidRDefault="00CA4ECC" w:rsidP="00CA4ECC">
      <w:pPr>
        <w:pStyle w:val="CETEquation"/>
      </w:pPr>
      <m:oMath>
        <m:r>
          <w:rPr>
            <w:rFonts w:ascii="Cambria Math" w:eastAsiaTheme="minorEastAsia" w:hAnsi="Cambria Math"/>
            <w:sz w:val="22"/>
            <w:szCs w:val="22"/>
            <w:lang w:val="en-US"/>
          </w:rPr>
          <m:t>CGE</m:t>
        </m:r>
        <m:r>
          <m:rPr>
            <m:sty m:val="p"/>
          </m:rPr>
          <w:rPr>
            <w:rFonts w:ascii="Cambria Math" w:eastAsiaTheme="minorEastAsia" w:hAnsi="Cambria Math"/>
            <w:sz w:val="22"/>
            <w:szCs w:val="22"/>
            <w:lang w:val="en-US"/>
          </w:rPr>
          <m:t>=</m:t>
        </m:r>
        <m:f>
          <m:fPr>
            <m:ctrlPr>
              <w:rPr>
                <w:rFonts w:ascii="Cambria Math" w:eastAsiaTheme="minorEastAsia" w:hAnsi="Cambria Math"/>
                <w:sz w:val="22"/>
                <w:szCs w:val="22"/>
                <w:lang w:val="en-US"/>
              </w:rPr>
            </m:ctrlPr>
          </m:fPr>
          <m:num>
            <m:r>
              <w:rPr>
                <w:rFonts w:ascii="Cambria Math" w:eastAsiaTheme="minorEastAsia" w:hAnsi="Cambria Math"/>
                <w:sz w:val="22"/>
                <w:szCs w:val="22"/>
                <w:lang w:val="en-US"/>
              </w:rPr>
              <m:t>Q</m:t>
            </m:r>
            <m:r>
              <m:rPr>
                <m:sty m:val="p"/>
              </m:rPr>
              <w:rPr>
                <w:rFonts w:ascii="Cambria Math" w:eastAsiaTheme="minorEastAsia" w:hAnsi="Cambria Math"/>
                <w:sz w:val="22"/>
                <w:szCs w:val="22"/>
                <w:lang w:val="en-US"/>
              </w:rPr>
              <m:t>×</m:t>
            </m:r>
            <m:sSub>
              <m:sSubPr>
                <m:ctrlPr>
                  <w:rPr>
                    <w:rFonts w:ascii="Cambria Math" w:eastAsiaTheme="minorEastAsia" w:hAnsi="Cambria Math"/>
                    <w:sz w:val="22"/>
                    <w:szCs w:val="22"/>
                    <w:lang w:val="en-US"/>
                  </w:rPr>
                </m:ctrlPr>
              </m:sSubPr>
              <m:e>
                <m:r>
                  <w:rPr>
                    <w:rFonts w:ascii="Cambria Math" w:eastAsiaTheme="minorEastAsia" w:hAnsi="Cambria Math"/>
                    <w:sz w:val="22"/>
                    <w:szCs w:val="22"/>
                    <w:lang w:val="en-US"/>
                  </w:rPr>
                  <m:t>LHV</m:t>
                </m:r>
              </m:e>
              <m:sub>
                <m:r>
                  <w:rPr>
                    <w:rFonts w:ascii="Cambria Math" w:eastAsiaTheme="minorEastAsia" w:hAnsi="Cambria Math"/>
                    <w:sz w:val="22"/>
                    <w:szCs w:val="22"/>
                    <w:lang w:val="en-US"/>
                  </w:rPr>
                  <m:t>Syngas</m:t>
                </m:r>
              </m:sub>
            </m:sSub>
          </m:num>
          <m:den>
            <m:r>
              <w:rPr>
                <w:rFonts w:ascii="Cambria Math" w:eastAsiaTheme="minorEastAsia" w:hAnsi="Cambria Math"/>
                <w:sz w:val="22"/>
                <w:szCs w:val="22"/>
                <w:lang w:val="en-US"/>
              </w:rPr>
              <m:t>W</m:t>
            </m:r>
            <m:r>
              <m:rPr>
                <m:sty m:val="p"/>
              </m:rPr>
              <w:rPr>
                <w:rFonts w:ascii="Cambria Math" w:eastAsiaTheme="minorEastAsia" w:hAnsi="Cambria Math"/>
                <w:sz w:val="22"/>
                <w:szCs w:val="22"/>
                <w:lang w:val="en-US"/>
              </w:rPr>
              <m:t>×</m:t>
            </m:r>
            <m:sSub>
              <m:sSubPr>
                <m:ctrlPr>
                  <w:rPr>
                    <w:rFonts w:ascii="Cambria Math" w:eastAsiaTheme="minorEastAsia" w:hAnsi="Cambria Math"/>
                    <w:sz w:val="22"/>
                    <w:szCs w:val="22"/>
                    <w:lang w:val="en-US"/>
                  </w:rPr>
                </m:ctrlPr>
              </m:sSubPr>
              <m:e>
                <m:r>
                  <w:rPr>
                    <w:rFonts w:ascii="Cambria Math" w:eastAsiaTheme="minorEastAsia" w:hAnsi="Cambria Math"/>
                    <w:sz w:val="22"/>
                    <w:szCs w:val="22"/>
                    <w:lang w:val="en-US"/>
                  </w:rPr>
                  <m:t>LHV</m:t>
                </m:r>
              </m:e>
              <m:sub>
                <m:r>
                  <w:rPr>
                    <w:rFonts w:ascii="Cambria Math" w:eastAsiaTheme="minorEastAsia" w:hAnsi="Cambria Math"/>
                    <w:sz w:val="22"/>
                    <w:szCs w:val="22"/>
                    <w:lang w:val="en-US"/>
                  </w:rPr>
                  <m:t>SS</m:t>
                </m:r>
              </m:sub>
            </m:sSub>
          </m:den>
        </m:f>
      </m:oMath>
      <w:r>
        <w:rPr>
          <w:rFonts w:asciiTheme="minorHAnsi" w:eastAsiaTheme="minorEastAsia" w:hAnsiTheme="minorHAnsi" w:cstheme="minorBidi"/>
          <w:kern w:val="2"/>
          <w:sz w:val="22"/>
          <w:szCs w:val="22"/>
          <w:lang w:val="en-US"/>
          <w14:ligatures w14:val="standardContextual"/>
        </w:rPr>
        <w:t xml:space="preserve">  </w:t>
      </w:r>
      <w:r>
        <w:rPr>
          <w:rFonts w:asciiTheme="minorHAnsi" w:eastAsiaTheme="minorEastAsia" w:hAnsiTheme="minorHAnsi" w:cstheme="minorBidi"/>
          <w:kern w:val="2"/>
          <w:sz w:val="22"/>
          <w:szCs w:val="22"/>
          <w:lang w:val="en-US"/>
          <w14:ligatures w14:val="standardContextual"/>
        </w:rPr>
        <w:tab/>
      </w:r>
      <w:r>
        <w:rPr>
          <w:rFonts w:asciiTheme="minorHAnsi" w:eastAsiaTheme="minorEastAsia" w:hAnsiTheme="minorHAnsi" w:cstheme="minorBidi"/>
          <w:kern w:val="2"/>
          <w:sz w:val="22"/>
          <w:szCs w:val="22"/>
          <w:lang w:val="en-US"/>
          <w14:ligatures w14:val="standardContextual"/>
        </w:rPr>
        <w:tab/>
      </w:r>
      <w:r w:rsidRPr="0000326A">
        <w:t>(Eq.3)</w:t>
      </w:r>
    </w:p>
    <w:p w14:paraId="5DEEDCD3" w14:textId="4FBA98E1" w:rsidR="005C46FA" w:rsidRDefault="00CA4ECC" w:rsidP="005C46FA">
      <w:pPr>
        <w:spacing w:before="240"/>
        <w:rPr>
          <w:rFonts w:eastAsiaTheme="minorEastAsia"/>
          <w:bCs/>
          <w:color w:val="000000"/>
          <w:lang w:val="en-US"/>
        </w:rPr>
      </w:pPr>
      <w:r w:rsidRPr="006F30AB">
        <w:rPr>
          <w:rFonts w:eastAsiaTheme="minorEastAsia"/>
          <w:bCs/>
          <w:color w:val="000000"/>
          <w:lang w:val="en-US"/>
        </w:rPr>
        <w:t>where LHV is the lower heating value, while Q indicates volumetric flow rate and</w:t>
      </w:r>
      <w:r>
        <w:rPr>
          <w:rFonts w:eastAsiaTheme="minorEastAsia"/>
          <w:bCs/>
          <w:color w:val="000000"/>
          <w:lang w:val="en-US"/>
        </w:rPr>
        <w:t xml:space="preserve"> W </w:t>
      </w:r>
      <w:r w:rsidRPr="006F30AB">
        <w:rPr>
          <w:rFonts w:eastAsiaTheme="minorEastAsia"/>
          <w:bCs/>
          <w:color w:val="000000"/>
          <w:lang w:val="en-US"/>
        </w:rPr>
        <w:t>mass</w:t>
      </w:r>
      <w:r>
        <w:rPr>
          <w:rFonts w:eastAsiaTheme="minorEastAsia"/>
          <w:bCs/>
          <w:color w:val="000000"/>
          <w:lang w:val="en-US"/>
        </w:rPr>
        <w:t xml:space="preserve"> </w:t>
      </w:r>
      <w:r w:rsidRPr="006F30AB">
        <w:rPr>
          <w:rFonts w:eastAsiaTheme="minorEastAsia"/>
          <w:bCs/>
          <w:color w:val="000000"/>
          <w:lang w:val="en-US"/>
        </w:rPr>
        <w:t>flow rate.</w:t>
      </w:r>
    </w:p>
    <w:p w14:paraId="78F90DB9" w14:textId="77777777" w:rsidR="006F34E3" w:rsidRPr="005C46FA" w:rsidRDefault="006F34E3" w:rsidP="00B716DA">
      <w:pPr>
        <w:pStyle w:val="CETTabletitle"/>
      </w:pPr>
      <w:r w:rsidRPr="005C46FA">
        <w:t>Table 3: Elemental composition and ash content of the char.</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587"/>
        <w:gridCol w:w="588"/>
        <w:gridCol w:w="588"/>
        <w:gridCol w:w="588"/>
        <w:gridCol w:w="588"/>
        <w:gridCol w:w="588"/>
        <w:gridCol w:w="868"/>
      </w:tblGrid>
      <w:tr w:rsidR="006F34E3" w:rsidRPr="00B57B36" w14:paraId="0820EE28" w14:textId="77777777" w:rsidTr="004768C8">
        <w:tc>
          <w:tcPr>
            <w:tcW w:w="587" w:type="dxa"/>
            <w:tcBorders>
              <w:top w:val="single" w:sz="12" w:space="0" w:color="008000"/>
              <w:bottom w:val="single" w:sz="6" w:space="0" w:color="008000"/>
            </w:tcBorders>
            <w:shd w:val="clear" w:color="auto" w:fill="FFFFFF"/>
          </w:tcPr>
          <w:p w14:paraId="059069A6" w14:textId="77777777" w:rsidR="006F34E3" w:rsidRDefault="006F34E3" w:rsidP="004768C8">
            <w:pPr>
              <w:pStyle w:val="CETBodytext"/>
              <w:jc w:val="center"/>
              <w:rPr>
                <w:lang w:val="en-GB"/>
              </w:rPr>
            </w:pPr>
            <w:r>
              <w:rPr>
                <w:lang w:val="en-GB"/>
              </w:rPr>
              <w:t>Test</w:t>
            </w:r>
          </w:p>
          <w:p w14:paraId="1031A71A" w14:textId="77777777" w:rsidR="006F34E3" w:rsidRPr="00B57B36" w:rsidRDefault="006F34E3" w:rsidP="004768C8">
            <w:pPr>
              <w:pStyle w:val="CETBodytext"/>
              <w:jc w:val="center"/>
              <w:rPr>
                <w:lang w:val="en-GB"/>
              </w:rPr>
            </w:pPr>
            <w:r>
              <w:rPr>
                <w:lang w:val="en-GB"/>
              </w:rPr>
              <w:t>-</w:t>
            </w:r>
          </w:p>
        </w:tc>
        <w:tc>
          <w:tcPr>
            <w:tcW w:w="588" w:type="dxa"/>
            <w:tcBorders>
              <w:top w:val="single" w:sz="12" w:space="0" w:color="008000"/>
              <w:bottom w:val="single" w:sz="6" w:space="0" w:color="008000"/>
            </w:tcBorders>
            <w:shd w:val="clear" w:color="auto" w:fill="FFFFFF"/>
          </w:tcPr>
          <w:p w14:paraId="5BE440D9" w14:textId="77777777" w:rsidR="006F34E3" w:rsidRDefault="006F34E3" w:rsidP="004768C8">
            <w:pPr>
              <w:pStyle w:val="CETBodytext"/>
              <w:jc w:val="center"/>
              <w:rPr>
                <w:lang w:val="en-GB"/>
              </w:rPr>
            </w:pPr>
            <w:r>
              <w:rPr>
                <w:lang w:val="en-GB"/>
              </w:rPr>
              <w:t>C</w:t>
            </w:r>
          </w:p>
          <w:p w14:paraId="5E98ABB5" w14:textId="77777777" w:rsidR="006F34E3" w:rsidRPr="00B57B36" w:rsidRDefault="006F34E3" w:rsidP="004768C8">
            <w:pPr>
              <w:pStyle w:val="CETBodytext"/>
              <w:jc w:val="center"/>
              <w:rPr>
                <w:lang w:val="en-GB"/>
              </w:rPr>
            </w:pPr>
          </w:p>
        </w:tc>
        <w:tc>
          <w:tcPr>
            <w:tcW w:w="588" w:type="dxa"/>
            <w:tcBorders>
              <w:top w:val="single" w:sz="12" w:space="0" w:color="008000"/>
              <w:bottom w:val="single" w:sz="6" w:space="0" w:color="008000"/>
            </w:tcBorders>
            <w:shd w:val="clear" w:color="auto" w:fill="FFFFFF"/>
          </w:tcPr>
          <w:p w14:paraId="220027A8" w14:textId="77777777" w:rsidR="006F34E3" w:rsidRDefault="006F34E3" w:rsidP="004768C8">
            <w:pPr>
              <w:pStyle w:val="CETBodytext"/>
              <w:jc w:val="center"/>
              <w:rPr>
                <w:lang w:val="en-GB"/>
              </w:rPr>
            </w:pPr>
            <w:r>
              <w:rPr>
                <w:lang w:val="en-GB"/>
              </w:rPr>
              <w:t>H</w:t>
            </w:r>
          </w:p>
          <w:p w14:paraId="7AFE16E5" w14:textId="77777777" w:rsidR="006F34E3" w:rsidRPr="00B57B36" w:rsidRDefault="006F34E3" w:rsidP="004768C8">
            <w:pPr>
              <w:pStyle w:val="CETBodytext"/>
              <w:jc w:val="center"/>
              <w:rPr>
                <w:lang w:val="en-GB"/>
              </w:rPr>
            </w:pPr>
          </w:p>
        </w:tc>
        <w:tc>
          <w:tcPr>
            <w:tcW w:w="588" w:type="dxa"/>
            <w:tcBorders>
              <w:top w:val="single" w:sz="12" w:space="0" w:color="008000"/>
              <w:bottom w:val="single" w:sz="6" w:space="0" w:color="008000"/>
            </w:tcBorders>
            <w:shd w:val="clear" w:color="auto" w:fill="FFFFFF"/>
          </w:tcPr>
          <w:p w14:paraId="00C1383F" w14:textId="77777777" w:rsidR="006F34E3" w:rsidRDefault="006F34E3" w:rsidP="004768C8">
            <w:pPr>
              <w:pStyle w:val="CETBodytext"/>
              <w:ind w:right="-1"/>
              <w:jc w:val="center"/>
              <w:rPr>
                <w:rFonts w:cs="Arial"/>
                <w:szCs w:val="18"/>
                <w:lang w:val="en-GB"/>
              </w:rPr>
            </w:pPr>
            <w:r>
              <w:rPr>
                <w:rFonts w:cs="Arial"/>
                <w:szCs w:val="18"/>
                <w:lang w:val="en-GB"/>
              </w:rPr>
              <w:t>N</w:t>
            </w:r>
          </w:p>
          <w:p w14:paraId="0F976F7A" w14:textId="77777777" w:rsidR="006F34E3" w:rsidRPr="00B57B36" w:rsidRDefault="006F34E3" w:rsidP="004768C8">
            <w:pPr>
              <w:pStyle w:val="CETBodytext"/>
              <w:ind w:right="-1"/>
              <w:jc w:val="center"/>
              <w:rPr>
                <w:rFonts w:cs="Arial"/>
                <w:szCs w:val="18"/>
                <w:lang w:val="en-GB"/>
              </w:rPr>
            </w:pPr>
            <w:r>
              <w:rPr>
                <w:rFonts w:cs="Arial"/>
                <w:szCs w:val="18"/>
                <w:lang w:val="en-GB"/>
              </w:rPr>
              <w:t>%</w:t>
            </w:r>
          </w:p>
        </w:tc>
        <w:tc>
          <w:tcPr>
            <w:tcW w:w="588" w:type="dxa"/>
            <w:tcBorders>
              <w:top w:val="single" w:sz="12" w:space="0" w:color="008000"/>
              <w:bottom w:val="single" w:sz="6" w:space="0" w:color="008000"/>
            </w:tcBorders>
            <w:shd w:val="clear" w:color="auto" w:fill="FFFFFF"/>
          </w:tcPr>
          <w:p w14:paraId="3F9C63B4" w14:textId="77777777" w:rsidR="006F34E3" w:rsidRDefault="006F34E3" w:rsidP="004768C8">
            <w:pPr>
              <w:pStyle w:val="CETBodytext"/>
              <w:ind w:right="-1"/>
              <w:jc w:val="center"/>
              <w:rPr>
                <w:rFonts w:cs="Arial"/>
                <w:szCs w:val="18"/>
                <w:lang w:val="en-GB"/>
              </w:rPr>
            </w:pPr>
            <w:r w:rsidRPr="00062EC3">
              <w:rPr>
                <w:rFonts w:cs="Arial"/>
                <w:szCs w:val="18"/>
                <w:lang w:val="en-GB"/>
              </w:rPr>
              <w:t>O*</w:t>
            </w:r>
          </w:p>
          <w:p w14:paraId="6DA9C133" w14:textId="77777777" w:rsidR="006F34E3" w:rsidRPr="00B57B36" w:rsidRDefault="006F34E3" w:rsidP="004768C8">
            <w:pPr>
              <w:pStyle w:val="CETBodytext"/>
              <w:ind w:right="-1"/>
              <w:jc w:val="center"/>
              <w:rPr>
                <w:rFonts w:cs="Arial"/>
                <w:szCs w:val="18"/>
                <w:lang w:val="en-GB"/>
              </w:rPr>
            </w:pPr>
          </w:p>
        </w:tc>
        <w:tc>
          <w:tcPr>
            <w:tcW w:w="588" w:type="dxa"/>
            <w:tcBorders>
              <w:top w:val="single" w:sz="12" w:space="0" w:color="008000"/>
              <w:bottom w:val="single" w:sz="6" w:space="0" w:color="008000"/>
            </w:tcBorders>
            <w:shd w:val="clear" w:color="auto" w:fill="FFFFFF"/>
          </w:tcPr>
          <w:p w14:paraId="2465AABB" w14:textId="77777777" w:rsidR="006F34E3" w:rsidRDefault="006F34E3" w:rsidP="004768C8">
            <w:pPr>
              <w:pStyle w:val="CETBodytext"/>
              <w:ind w:right="-1"/>
              <w:jc w:val="center"/>
              <w:rPr>
                <w:rFonts w:cs="Arial"/>
                <w:szCs w:val="18"/>
                <w:lang w:val="en-GB"/>
              </w:rPr>
            </w:pPr>
            <w:r>
              <w:rPr>
                <w:rFonts w:cs="Arial"/>
                <w:szCs w:val="18"/>
                <w:lang w:val="en-GB"/>
              </w:rPr>
              <w:t>Ash</w:t>
            </w:r>
            <w:r>
              <w:rPr>
                <w:rFonts w:cs="Arial"/>
                <w:szCs w:val="18"/>
                <w:lang w:val="en-GB"/>
              </w:rPr>
              <w:br/>
            </w:r>
          </w:p>
        </w:tc>
        <w:tc>
          <w:tcPr>
            <w:tcW w:w="868" w:type="dxa"/>
            <w:tcBorders>
              <w:top w:val="single" w:sz="12" w:space="0" w:color="008000"/>
              <w:bottom w:val="single" w:sz="6" w:space="0" w:color="008000"/>
            </w:tcBorders>
            <w:shd w:val="clear" w:color="auto" w:fill="FFFFFF"/>
          </w:tcPr>
          <w:p w14:paraId="6B537C4E" w14:textId="77777777" w:rsidR="006F34E3" w:rsidRDefault="006F34E3" w:rsidP="004768C8">
            <w:pPr>
              <w:pStyle w:val="CETBodytext"/>
              <w:ind w:right="-1"/>
              <w:jc w:val="center"/>
              <w:rPr>
                <w:rFonts w:cs="Arial"/>
                <w:szCs w:val="18"/>
                <w:lang w:val="en-GB"/>
              </w:rPr>
            </w:pPr>
            <w:r>
              <w:rPr>
                <w:rFonts w:cs="Arial"/>
                <w:szCs w:val="18"/>
                <w:lang w:val="en-GB"/>
              </w:rPr>
              <w:t>Yield</w:t>
            </w:r>
          </w:p>
          <w:p w14:paraId="7CD4BB43" w14:textId="77777777" w:rsidR="006F34E3" w:rsidRDefault="006F34E3" w:rsidP="004768C8">
            <w:pPr>
              <w:pStyle w:val="CETBodytext"/>
              <w:ind w:right="-1"/>
              <w:jc w:val="center"/>
              <w:rPr>
                <w:rFonts w:cs="Arial"/>
                <w:szCs w:val="18"/>
                <w:lang w:val="en-GB"/>
              </w:rPr>
            </w:pPr>
            <w:proofErr w:type="spellStart"/>
            <w:r>
              <w:rPr>
                <w:rFonts w:cs="Arial"/>
                <w:szCs w:val="18"/>
                <w:lang w:val="en-GB"/>
              </w:rPr>
              <w:t>kg</w:t>
            </w:r>
            <w:r w:rsidRPr="006B70F5">
              <w:rPr>
                <w:rFonts w:cs="Arial"/>
                <w:szCs w:val="18"/>
                <w:vertAlign w:val="subscript"/>
                <w:lang w:val="en-GB"/>
              </w:rPr>
              <w:t>Char</w:t>
            </w:r>
            <w:proofErr w:type="spellEnd"/>
            <w:r>
              <w:rPr>
                <w:rFonts w:cs="Arial"/>
                <w:szCs w:val="18"/>
                <w:lang w:val="en-GB"/>
              </w:rPr>
              <w:t>/</w:t>
            </w:r>
            <w:proofErr w:type="spellStart"/>
            <w:r>
              <w:rPr>
                <w:rFonts w:cs="Arial"/>
                <w:szCs w:val="18"/>
                <w:lang w:val="en-GB"/>
              </w:rPr>
              <w:t>kg</w:t>
            </w:r>
            <w:r>
              <w:rPr>
                <w:rFonts w:cs="Arial"/>
                <w:szCs w:val="18"/>
                <w:vertAlign w:val="subscript"/>
                <w:lang w:val="en-GB"/>
              </w:rPr>
              <w:t>SS</w:t>
            </w:r>
            <w:proofErr w:type="spellEnd"/>
          </w:p>
        </w:tc>
      </w:tr>
      <w:tr w:rsidR="006F34E3" w:rsidRPr="00B57B36" w14:paraId="6248E5E1" w14:textId="77777777" w:rsidTr="004768C8">
        <w:tc>
          <w:tcPr>
            <w:tcW w:w="587" w:type="dxa"/>
            <w:shd w:val="clear" w:color="auto" w:fill="FFFFFF"/>
          </w:tcPr>
          <w:p w14:paraId="725D2EE6" w14:textId="77777777" w:rsidR="006F34E3" w:rsidRPr="00B57B36" w:rsidRDefault="006F34E3" w:rsidP="004768C8">
            <w:pPr>
              <w:pStyle w:val="CETBodytext"/>
              <w:jc w:val="center"/>
              <w:rPr>
                <w:lang w:val="en-GB"/>
              </w:rPr>
            </w:pPr>
            <w:r>
              <w:rPr>
                <w:lang w:val="en-GB"/>
              </w:rPr>
              <w:t>L1-800</w:t>
            </w:r>
          </w:p>
        </w:tc>
        <w:tc>
          <w:tcPr>
            <w:tcW w:w="588" w:type="dxa"/>
            <w:shd w:val="clear" w:color="auto" w:fill="FFFFFF"/>
          </w:tcPr>
          <w:p w14:paraId="7BDD1A7F" w14:textId="77777777" w:rsidR="006F34E3" w:rsidRPr="00B57B36" w:rsidRDefault="006F34E3" w:rsidP="004768C8">
            <w:pPr>
              <w:pStyle w:val="CETBodytext"/>
              <w:jc w:val="center"/>
              <w:rPr>
                <w:lang w:val="en-GB"/>
              </w:rPr>
            </w:pPr>
            <w:r>
              <w:rPr>
                <w:lang w:val="en-GB"/>
              </w:rPr>
              <w:t>10.44</w:t>
            </w:r>
          </w:p>
        </w:tc>
        <w:tc>
          <w:tcPr>
            <w:tcW w:w="588" w:type="dxa"/>
            <w:shd w:val="clear" w:color="auto" w:fill="FFFFFF"/>
          </w:tcPr>
          <w:p w14:paraId="6C4E7E88" w14:textId="77777777" w:rsidR="006F34E3" w:rsidRPr="00B57B36" w:rsidRDefault="006F34E3" w:rsidP="004768C8">
            <w:pPr>
              <w:pStyle w:val="CETBodytext"/>
              <w:jc w:val="center"/>
              <w:rPr>
                <w:lang w:val="en-GB"/>
              </w:rPr>
            </w:pPr>
            <w:r>
              <w:rPr>
                <w:lang w:val="en-GB"/>
              </w:rPr>
              <w:t>0.74</w:t>
            </w:r>
          </w:p>
        </w:tc>
        <w:tc>
          <w:tcPr>
            <w:tcW w:w="588" w:type="dxa"/>
            <w:shd w:val="clear" w:color="auto" w:fill="FFFFFF"/>
          </w:tcPr>
          <w:p w14:paraId="1A59261D" w14:textId="77777777" w:rsidR="006F34E3" w:rsidRPr="00B57B36" w:rsidRDefault="006F34E3" w:rsidP="004768C8">
            <w:pPr>
              <w:pStyle w:val="CETBodytext"/>
              <w:ind w:right="-1"/>
              <w:jc w:val="center"/>
              <w:rPr>
                <w:rFonts w:cs="Arial"/>
                <w:szCs w:val="18"/>
                <w:lang w:val="en-GB"/>
              </w:rPr>
            </w:pPr>
            <w:r>
              <w:rPr>
                <w:rFonts w:cs="Arial"/>
                <w:szCs w:val="18"/>
                <w:lang w:val="en-GB"/>
              </w:rPr>
              <w:t>0.97</w:t>
            </w:r>
          </w:p>
        </w:tc>
        <w:tc>
          <w:tcPr>
            <w:tcW w:w="588" w:type="dxa"/>
            <w:shd w:val="clear" w:color="auto" w:fill="FFFFFF"/>
          </w:tcPr>
          <w:p w14:paraId="6917E001" w14:textId="77777777" w:rsidR="006F34E3" w:rsidRPr="00B57B36" w:rsidRDefault="006F34E3" w:rsidP="004768C8">
            <w:pPr>
              <w:pStyle w:val="CETBodytext"/>
              <w:ind w:right="-1"/>
              <w:jc w:val="center"/>
              <w:rPr>
                <w:rFonts w:cs="Arial"/>
                <w:szCs w:val="18"/>
                <w:lang w:val="en-GB"/>
              </w:rPr>
            </w:pPr>
            <w:r>
              <w:rPr>
                <w:rFonts w:cs="Arial"/>
                <w:szCs w:val="18"/>
                <w:lang w:val="en-GB"/>
              </w:rPr>
              <w:t>5.41</w:t>
            </w:r>
          </w:p>
        </w:tc>
        <w:tc>
          <w:tcPr>
            <w:tcW w:w="588" w:type="dxa"/>
            <w:shd w:val="clear" w:color="auto" w:fill="FFFFFF"/>
          </w:tcPr>
          <w:p w14:paraId="53F96C6A" w14:textId="77777777" w:rsidR="006F34E3" w:rsidRPr="00B57B36" w:rsidRDefault="006F34E3" w:rsidP="004768C8">
            <w:pPr>
              <w:pStyle w:val="CETBodytext"/>
              <w:ind w:right="-1"/>
              <w:jc w:val="center"/>
              <w:rPr>
                <w:rFonts w:cs="Arial"/>
                <w:szCs w:val="18"/>
                <w:lang w:val="en-GB"/>
              </w:rPr>
            </w:pPr>
            <w:r>
              <w:rPr>
                <w:rFonts w:cs="Arial"/>
                <w:szCs w:val="18"/>
                <w:lang w:val="en-GB"/>
              </w:rPr>
              <w:t>82.45</w:t>
            </w:r>
          </w:p>
        </w:tc>
        <w:tc>
          <w:tcPr>
            <w:tcW w:w="868" w:type="dxa"/>
            <w:shd w:val="clear" w:color="auto" w:fill="FFFFFF"/>
          </w:tcPr>
          <w:p w14:paraId="22C1077C" w14:textId="77777777" w:rsidR="006F34E3" w:rsidRDefault="006F34E3" w:rsidP="004768C8">
            <w:pPr>
              <w:pStyle w:val="CETBodytext"/>
              <w:ind w:right="-1"/>
              <w:jc w:val="center"/>
              <w:rPr>
                <w:rFonts w:cs="Arial"/>
                <w:szCs w:val="18"/>
                <w:lang w:val="en-GB"/>
              </w:rPr>
            </w:pPr>
            <w:r>
              <w:rPr>
                <w:rFonts w:cs="Arial"/>
                <w:szCs w:val="18"/>
                <w:lang w:val="en-GB"/>
              </w:rPr>
              <w:t>0.53</w:t>
            </w:r>
          </w:p>
        </w:tc>
      </w:tr>
      <w:tr w:rsidR="006F34E3" w:rsidRPr="00B57B36" w14:paraId="44D487E8" w14:textId="77777777" w:rsidTr="004768C8">
        <w:tc>
          <w:tcPr>
            <w:tcW w:w="587" w:type="dxa"/>
            <w:shd w:val="clear" w:color="auto" w:fill="FFFFFF"/>
          </w:tcPr>
          <w:p w14:paraId="21A7CDAB" w14:textId="77777777" w:rsidR="006F34E3" w:rsidRDefault="006F34E3" w:rsidP="004768C8">
            <w:pPr>
              <w:pStyle w:val="CETBodytext"/>
              <w:jc w:val="center"/>
              <w:rPr>
                <w:lang w:val="en-GB"/>
              </w:rPr>
            </w:pPr>
            <w:r>
              <w:rPr>
                <w:lang w:val="en-GB"/>
              </w:rPr>
              <w:t>L1-850</w:t>
            </w:r>
          </w:p>
        </w:tc>
        <w:tc>
          <w:tcPr>
            <w:tcW w:w="588" w:type="dxa"/>
            <w:shd w:val="clear" w:color="auto" w:fill="FFFFFF"/>
          </w:tcPr>
          <w:p w14:paraId="3D89E64C" w14:textId="77777777" w:rsidR="006F34E3" w:rsidRDefault="006F34E3" w:rsidP="004768C8">
            <w:pPr>
              <w:pStyle w:val="CETBodytext"/>
              <w:jc w:val="center"/>
              <w:rPr>
                <w:lang w:val="en-GB"/>
              </w:rPr>
            </w:pPr>
            <w:r>
              <w:rPr>
                <w:lang w:val="en-GB"/>
              </w:rPr>
              <w:t>10.04</w:t>
            </w:r>
          </w:p>
        </w:tc>
        <w:tc>
          <w:tcPr>
            <w:tcW w:w="588" w:type="dxa"/>
            <w:shd w:val="clear" w:color="auto" w:fill="FFFFFF"/>
          </w:tcPr>
          <w:p w14:paraId="6E54CEE5" w14:textId="77777777" w:rsidR="006F34E3" w:rsidRPr="00B57B36" w:rsidRDefault="006F34E3" w:rsidP="004768C8">
            <w:pPr>
              <w:pStyle w:val="CETBodytext"/>
              <w:jc w:val="center"/>
              <w:rPr>
                <w:lang w:val="en-GB"/>
              </w:rPr>
            </w:pPr>
            <w:r>
              <w:rPr>
                <w:lang w:val="en-GB"/>
              </w:rPr>
              <w:t>0.85</w:t>
            </w:r>
          </w:p>
        </w:tc>
        <w:tc>
          <w:tcPr>
            <w:tcW w:w="588" w:type="dxa"/>
            <w:shd w:val="clear" w:color="auto" w:fill="FFFFFF"/>
          </w:tcPr>
          <w:p w14:paraId="46920680" w14:textId="77777777" w:rsidR="006F34E3" w:rsidRPr="00B57B36" w:rsidRDefault="006F34E3" w:rsidP="004768C8">
            <w:pPr>
              <w:pStyle w:val="CETBodytext"/>
              <w:ind w:right="-1"/>
              <w:jc w:val="center"/>
              <w:rPr>
                <w:rFonts w:cs="Arial"/>
                <w:szCs w:val="18"/>
                <w:lang w:val="en-GB"/>
              </w:rPr>
            </w:pPr>
            <w:r>
              <w:rPr>
                <w:rFonts w:cs="Arial"/>
                <w:szCs w:val="18"/>
                <w:lang w:val="en-GB"/>
              </w:rPr>
              <w:t>0.93</w:t>
            </w:r>
          </w:p>
        </w:tc>
        <w:tc>
          <w:tcPr>
            <w:tcW w:w="588" w:type="dxa"/>
            <w:shd w:val="clear" w:color="auto" w:fill="FFFFFF"/>
          </w:tcPr>
          <w:p w14:paraId="6B103823" w14:textId="77777777" w:rsidR="006F34E3" w:rsidRPr="00B57B36" w:rsidRDefault="006F34E3" w:rsidP="004768C8">
            <w:pPr>
              <w:pStyle w:val="CETBodytext"/>
              <w:ind w:right="-1"/>
              <w:jc w:val="center"/>
              <w:rPr>
                <w:rFonts w:cs="Arial"/>
                <w:szCs w:val="18"/>
                <w:lang w:val="en-GB"/>
              </w:rPr>
            </w:pPr>
            <w:r>
              <w:rPr>
                <w:rFonts w:cs="Arial"/>
                <w:szCs w:val="18"/>
                <w:lang w:val="en-GB"/>
              </w:rPr>
              <w:t>3.58</w:t>
            </w:r>
          </w:p>
        </w:tc>
        <w:tc>
          <w:tcPr>
            <w:tcW w:w="588" w:type="dxa"/>
            <w:shd w:val="clear" w:color="auto" w:fill="FFFFFF"/>
          </w:tcPr>
          <w:p w14:paraId="6846762C" w14:textId="77777777" w:rsidR="006F34E3" w:rsidRPr="00B57B36" w:rsidRDefault="006F34E3" w:rsidP="004768C8">
            <w:pPr>
              <w:pStyle w:val="CETBodytext"/>
              <w:ind w:right="-1"/>
              <w:jc w:val="center"/>
              <w:rPr>
                <w:rFonts w:cs="Arial"/>
                <w:szCs w:val="18"/>
                <w:lang w:val="en-GB"/>
              </w:rPr>
            </w:pPr>
            <w:r>
              <w:rPr>
                <w:rFonts w:cs="Arial"/>
                <w:szCs w:val="18"/>
                <w:lang w:val="en-GB"/>
              </w:rPr>
              <w:t>84.59</w:t>
            </w:r>
          </w:p>
        </w:tc>
        <w:tc>
          <w:tcPr>
            <w:tcW w:w="868" w:type="dxa"/>
            <w:shd w:val="clear" w:color="auto" w:fill="FFFFFF"/>
          </w:tcPr>
          <w:p w14:paraId="72305FB5" w14:textId="77777777" w:rsidR="006F34E3" w:rsidRDefault="006F34E3" w:rsidP="004768C8">
            <w:pPr>
              <w:pStyle w:val="CETBodytext"/>
              <w:ind w:right="-1"/>
              <w:jc w:val="center"/>
              <w:rPr>
                <w:rFonts w:cs="Arial"/>
                <w:szCs w:val="18"/>
                <w:lang w:val="en-GB"/>
              </w:rPr>
            </w:pPr>
            <w:r>
              <w:rPr>
                <w:rFonts w:cs="Arial"/>
                <w:szCs w:val="18"/>
                <w:lang w:val="en-GB"/>
              </w:rPr>
              <w:t>0.40</w:t>
            </w:r>
          </w:p>
        </w:tc>
      </w:tr>
      <w:tr w:rsidR="006F34E3" w:rsidRPr="00B57B36" w14:paraId="2E904556" w14:textId="77777777" w:rsidTr="004768C8">
        <w:tc>
          <w:tcPr>
            <w:tcW w:w="587" w:type="dxa"/>
            <w:shd w:val="clear" w:color="auto" w:fill="FFFFFF"/>
          </w:tcPr>
          <w:p w14:paraId="286EB184" w14:textId="77777777" w:rsidR="006F34E3" w:rsidRDefault="006F34E3" w:rsidP="004768C8">
            <w:pPr>
              <w:pStyle w:val="CETBodytext"/>
              <w:jc w:val="center"/>
              <w:rPr>
                <w:lang w:val="en-GB"/>
              </w:rPr>
            </w:pPr>
            <w:r>
              <w:rPr>
                <w:lang w:val="en-GB"/>
              </w:rPr>
              <w:t>L1-900</w:t>
            </w:r>
          </w:p>
        </w:tc>
        <w:tc>
          <w:tcPr>
            <w:tcW w:w="588" w:type="dxa"/>
            <w:shd w:val="clear" w:color="auto" w:fill="FFFFFF"/>
          </w:tcPr>
          <w:p w14:paraId="399CCD73" w14:textId="77777777" w:rsidR="006F34E3" w:rsidRDefault="006F34E3" w:rsidP="004768C8">
            <w:pPr>
              <w:pStyle w:val="CETBodytext"/>
              <w:jc w:val="center"/>
              <w:rPr>
                <w:lang w:val="en-GB"/>
              </w:rPr>
            </w:pPr>
            <w:r>
              <w:rPr>
                <w:lang w:val="en-GB"/>
              </w:rPr>
              <w:t>8.13</w:t>
            </w:r>
          </w:p>
        </w:tc>
        <w:tc>
          <w:tcPr>
            <w:tcW w:w="588" w:type="dxa"/>
            <w:shd w:val="clear" w:color="auto" w:fill="FFFFFF"/>
          </w:tcPr>
          <w:p w14:paraId="4F828CF8" w14:textId="77777777" w:rsidR="006F34E3" w:rsidRPr="00B57B36" w:rsidRDefault="006F34E3" w:rsidP="004768C8">
            <w:pPr>
              <w:pStyle w:val="CETBodytext"/>
              <w:jc w:val="center"/>
              <w:rPr>
                <w:lang w:val="en-GB"/>
              </w:rPr>
            </w:pPr>
            <w:r>
              <w:rPr>
                <w:lang w:val="en-GB"/>
              </w:rPr>
              <w:t>0.60</w:t>
            </w:r>
          </w:p>
        </w:tc>
        <w:tc>
          <w:tcPr>
            <w:tcW w:w="588" w:type="dxa"/>
            <w:shd w:val="clear" w:color="auto" w:fill="FFFFFF"/>
          </w:tcPr>
          <w:p w14:paraId="5E66D7EA" w14:textId="77777777" w:rsidR="006F34E3" w:rsidRPr="00B57B36" w:rsidRDefault="006F34E3" w:rsidP="004768C8">
            <w:pPr>
              <w:pStyle w:val="CETBodytext"/>
              <w:ind w:right="-1"/>
              <w:jc w:val="center"/>
              <w:rPr>
                <w:rFonts w:cs="Arial"/>
                <w:szCs w:val="18"/>
                <w:lang w:val="en-GB"/>
              </w:rPr>
            </w:pPr>
            <w:r>
              <w:rPr>
                <w:rFonts w:cs="Arial"/>
                <w:szCs w:val="18"/>
                <w:lang w:val="en-GB"/>
              </w:rPr>
              <w:t>0.72</w:t>
            </w:r>
          </w:p>
        </w:tc>
        <w:tc>
          <w:tcPr>
            <w:tcW w:w="588" w:type="dxa"/>
            <w:shd w:val="clear" w:color="auto" w:fill="FFFFFF"/>
          </w:tcPr>
          <w:p w14:paraId="2A761356" w14:textId="77777777" w:rsidR="006F34E3" w:rsidRPr="00B57B36" w:rsidRDefault="006F34E3" w:rsidP="004768C8">
            <w:pPr>
              <w:pStyle w:val="CETBodytext"/>
              <w:ind w:right="-1"/>
              <w:jc w:val="center"/>
              <w:rPr>
                <w:rFonts w:cs="Arial"/>
                <w:szCs w:val="18"/>
                <w:lang w:val="en-GB"/>
              </w:rPr>
            </w:pPr>
            <w:r>
              <w:rPr>
                <w:rFonts w:cs="Arial"/>
                <w:szCs w:val="18"/>
                <w:lang w:val="en-GB"/>
              </w:rPr>
              <w:t>1.06</w:t>
            </w:r>
          </w:p>
        </w:tc>
        <w:tc>
          <w:tcPr>
            <w:tcW w:w="588" w:type="dxa"/>
            <w:shd w:val="clear" w:color="auto" w:fill="FFFFFF"/>
          </w:tcPr>
          <w:p w14:paraId="0ED0903B" w14:textId="77777777" w:rsidR="006F34E3" w:rsidRPr="00B57B36" w:rsidRDefault="006F34E3" w:rsidP="004768C8">
            <w:pPr>
              <w:pStyle w:val="CETBodytext"/>
              <w:ind w:right="-1"/>
              <w:jc w:val="center"/>
              <w:rPr>
                <w:rFonts w:cs="Arial"/>
                <w:szCs w:val="18"/>
                <w:lang w:val="en-GB"/>
              </w:rPr>
            </w:pPr>
            <w:r>
              <w:rPr>
                <w:rFonts w:cs="Arial"/>
                <w:szCs w:val="18"/>
                <w:lang w:val="en-GB"/>
              </w:rPr>
              <w:t>89.27</w:t>
            </w:r>
          </w:p>
        </w:tc>
        <w:tc>
          <w:tcPr>
            <w:tcW w:w="868" w:type="dxa"/>
            <w:shd w:val="clear" w:color="auto" w:fill="FFFFFF"/>
          </w:tcPr>
          <w:p w14:paraId="7239CD92" w14:textId="77777777" w:rsidR="006F34E3" w:rsidRDefault="006F34E3" w:rsidP="004768C8">
            <w:pPr>
              <w:pStyle w:val="CETBodytext"/>
              <w:ind w:right="-1"/>
              <w:jc w:val="center"/>
              <w:rPr>
                <w:rFonts w:cs="Arial"/>
                <w:szCs w:val="18"/>
                <w:lang w:val="en-GB"/>
              </w:rPr>
            </w:pPr>
            <w:r>
              <w:rPr>
                <w:rFonts w:cs="Arial"/>
                <w:szCs w:val="18"/>
                <w:lang w:val="en-GB"/>
              </w:rPr>
              <w:t>0.47</w:t>
            </w:r>
          </w:p>
        </w:tc>
      </w:tr>
      <w:tr w:rsidR="006F34E3" w:rsidRPr="00B57B36" w14:paraId="6813E9A2" w14:textId="77777777" w:rsidTr="004768C8">
        <w:tc>
          <w:tcPr>
            <w:tcW w:w="587" w:type="dxa"/>
            <w:shd w:val="clear" w:color="auto" w:fill="FFFFFF"/>
          </w:tcPr>
          <w:p w14:paraId="6FC0D246" w14:textId="77777777" w:rsidR="006F34E3" w:rsidRDefault="006F34E3" w:rsidP="004768C8">
            <w:pPr>
              <w:pStyle w:val="CETBodytext"/>
              <w:jc w:val="center"/>
              <w:rPr>
                <w:lang w:val="en-GB"/>
              </w:rPr>
            </w:pPr>
            <w:r>
              <w:rPr>
                <w:lang w:val="en-GB"/>
              </w:rPr>
              <w:t>L2-800</w:t>
            </w:r>
          </w:p>
        </w:tc>
        <w:tc>
          <w:tcPr>
            <w:tcW w:w="588" w:type="dxa"/>
            <w:shd w:val="clear" w:color="auto" w:fill="FFFFFF"/>
          </w:tcPr>
          <w:p w14:paraId="534FC60F" w14:textId="77777777" w:rsidR="006F34E3" w:rsidRDefault="006F34E3" w:rsidP="004768C8">
            <w:pPr>
              <w:pStyle w:val="CETBodytext"/>
              <w:jc w:val="center"/>
              <w:rPr>
                <w:lang w:val="en-GB"/>
              </w:rPr>
            </w:pPr>
            <w:r>
              <w:rPr>
                <w:lang w:val="en-GB"/>
              </w:rPr>
              <w:t>0.99</w:t>
            </w:r>
          </w:p>
        </w:tc>
        <w:tc>
          <w:tcPr>
            <w:tcW w:w="588" w:type="dxa"/>
            <w:shd w:val="clear" w:color="auto" w:fill="FFFFFF"/>
          </w:tcPr>
          <w:p w14:paraId="366E0664" w14:textId="77777777" w:rsidR="006F34E3" w:rsidRPr="00B57B36" w:rsidRDefault="006F34E3" w:rsidP="004768C8">
            <w:pPr>
              <w:pStyle w:val="CETBodytext"/>
              <w:jc w:val="center"/>
              <w:rPr>
                <w:lang w:val="en-GB"/>
              </w:rPr>
            </w:pPr>
            <w:r>
              <w:rPr>
                <w:lang w:val="en-GB"/>
              </w:rPr>
              <w:t>0.26</w:t>
            </w:r>
          </w:p>
        </w:tc>
        <w:tc>
          <w:tcPr>
            <w:tcW w:w="588" w:type="dxa"/>
            <w:shd w:val="clear" w:color="auto" w:fill="FFFFFF"/>
          </w:tcPr>
          <w:p w14:paraId="35F7F51C" w14:textId="77777777" w:rsidR="006F34E3" w:rsidRPr="00B57B36" w:rsidRDefault="006F34E3" w:rsidP="004768C8">
            <w:pPr>
              <w:pStyle w:val="CETBodytext"/>
              <w:ind w:right="-1"/>
              <w:jc w:val="center"/>
              <w:rPr>
                <w:rFonts w:cs="Arial"/>
                <w:szCs w:val="18"/>
                <w:lang w:val="en-GB"/>
              </w:rPr>
            </w:pPr>
            <w:r>
              <w:rPr>
                <w:rFonts w:cs="Arial"/>
                <w:szCs w:val="18"/>
                <w:lang w:val="en-GB"/>
              </w:rPr>
              <w:t>0.28</w:t>
            </w:r>
          </w:p>
        </w:tc>
        <w:tc>
          <w:tcPr>
            <w:tcW w:w="588" w:type="dxa"/>
            <w:shd w:val="clear" w:color="auto" w:fill="FFFFFF"/>
          </w:tcPr>
          <w:p w14:paraId="0482F14B" w14:textId="77777777" w:rsidR="006F34E3" w:rsidRPr="00B57B36" w:rsidRDefault="006F34E3" w:rsidP="004768C8">
            <w:pPr>
              <w:pStyle w:val="CETBodytext"/>
              <w:ind w:right="-1"/>
              <w:jc w:val="center"/>
              <w:rPr>
                <w:rFonts w:cs="Arial"/>
                <w:szCs w:val="18"/>
                <w:lang w:val="en-GB"/>
              </w:rPr>
            </w:pPr>
            <w:r>
              <w:rPr>
                <w:rFonts w:cs="Arial"/>
                <w:szCs w:val="18"/>
                <w:lang w:val="en-GB"/>
              </w:rPr>
              <w:t>0.36</w:t>
            </w:r>
          </w:p>
        </w:tc>
        <w:tc>
          <w:tcPr>
            <w:tcW w:w="588" w:type="dxa"/>
            <w:shd w:val="clear" w:color="auto" w:fill="FFFFFF"/>
          </w:tcPr>
          <w:p w14:paraId="2E6F6D9D" w14:textId="77777777" w:rsidR="006F34E3" w:rsidRPr="00B57B36" w:rsidRDefault="006F34E3" w:rsidP="004768C8">
            <w:pPr>
              <w:pStyle w:val="CETBodytext"/>
              <w:ind w:right="-1"/>
              <w:jc w:val="center"/>
              <w:rPr>
                <w:rFonts w:cs="Arial"/>
                <w:szCs w:val="18"/>
                <w:lang w:val="en-GB"/>
              </w:rPr>
            </w:pPr>
            <w:r>
              <w:rPr>
                <w:rFonts w:cs="Arial"/>
                <w:szCs w:val="18"/>
                <w:lang w:val="en-GB"/>
              </w:rPr>
              <w:t>98.11</w:t>
            </w:r>
          </w:p>
        </w:tc>
        <w:tc>
          <w:tcPr>
            <w:tcW w:w="868" w:type="dxa"/>
            <w:shd w:val="clear" w:color="auto" w:fill="FFFFFF"/>
          </w:tcPr>
          <w:p w14:paraId="03CCEFB0" w14:textId="77777777" w:rsidR="006F34E3" w:rsidRDefault="006F34E3" w:rsidP="004768C8">
            <w:pPr>
              <w:pStyle w:val="CETBodytext"/>
              <w:ind w:right="-1"/>
              <w:jc w:val="center"/>
              <w:rPr>
                <w:rFonts w:cs="Arial"/>
                <w:szCs w:val="18"/>
                <w:lang w:val="en-GB"/>
              </w:rPr>
            </w:pPr>
            <w:r>
              <w:rPr>
                <w:rFonts w:cs="Arial"/>
                <w:szCs w:val="18"/>
                <w:lang w:val="en-GB"/>
              </w:rPr>
              <w:t>0.35</w:t>
            </w:r>
          </w:p>
        </w:tc>
      </w:tr>
      <w:tr w:rsidR="006F34E3" w:rsidRPr="00B57B36" w14:paraId="356CB665" w14:textId="77777777" w:rsidTr="004768C8">
        <w:tc>
          <w:tcPr>
            <w:tcW w:w="587" w:type="dxa"/>
            <w:shd w:val="clear" w:color="auto" w:fill="FFFFFF"/>
          </w:tcPr>
          <w:p w14:paraId="5EF6DC9E" w14:textId="77777777" w:rsidR="006F34E3" w:rsidRDefault="006F34E3" w:rsidP="004768C8">
            <w:pPr>
              <w:pStyle w:val="CETBodytext"/>
              <w:jc w:val="center"/>
              <w:rPr>
                <w:lang w:val="en-GB"/>
              </w:rPr>
            </w:pPr>
            <w:r>
              <w:rPr>
                <w:lang w:val="en-GB"/>
              </w:rPr>
              <w:t>L2-850</w:t>
            </w:r>
          </w:p>
        </w:tc>
        <w:tc>
          <w:tcPr>
            <w:tcW w:w="588" w:type="dxa"/>
            <w:shd w:val="clear" w:color="auto" w:fill="FFFFFF"/>
          </w:tcPr>
          <w:p w14:paraId="3F7A8166" w14:textId="77777777" w:rsidR="006F34E3" w:rsidRDefault="006F34E3" w:rsidP="004768C8">
            <w:pPr>
              <w:pStyle w:val="CETBodytext"/>
              <w:jc w:val="center"/>
              <w:rPr>
                <w:lang w:val="en-GB"/>
              </w:rPr>
            </w:pPr>
            <w:r>
              <w:rPr>
                <w:lang w:val="en-GB"/>
              </w:rPr>
              <w:t>0.38</w:t>
            </w:r>
          </w:p>
        </w:tc>
        <w:tc>
          <w:tcPr>
            <w:tcW w:w="588" w:type="dxa"/>
            <w:shd w:val="clear" w:color="auto" w:fill="FFFFFF"/>
          </w:tcPr>
          <w:p w14:paraId="59C30463" w14:textId="77777777" w:rsidR="006F34E3" w:rsidRPr="00B57B36" w:rsidRDefault="006F34E3" w:rsidP="004768C8">
            <w:pPr>
              <w:pStyle w:val="CETBodytext"/>
              <w:jc w:val="center"/>
              <w:rPr>
                <w:lang w:val="en-GB"/>
              </w:rPr>
            </w:pPr>
            <w:r>
              <w:rPr>
                <w:lang w:val="en-GB"/>
              </w:rPr>
              <w:t>0.22</w:t>
            </w:r>
          </w:p>
        </w:tc>
        <w:tc>
          <w:tcPr>
            <w:tcW w:w="588" w:type="dxa"/>
            <w:shd w:val="clear" w:color="auto" w:fill="FFFFFF"/>
          </w:tcPr>
          <w:p w14:paraId="298C3E1B" w14:textId="77777777" w:rsidR="006F34E3" w:rsidRPr="00B57B36" w:rsidRDefault="006F34E3" w:rsidP="004768C8">
            <w:pPr>
              <w:pStyle w:val="CETBodytext"/>
              <w:ind w:right="-1"/>
              <w:jc w:val="center"/>
              <w:rPr>
                <w:rFonts w:cs="Arial"/>
                <w:szCs w:val="18"/>
                <w:lang w:val="en-GB"/>
              </w:rPr>
            </w:pPr>
            <w:r>
              <w:rPr>
                <w:rFonts w:cs="Arial"/>
                <w:szCs w:val="18"/>
                <w:lang w:val="en-GB"/>
              </w:rPr>
              <w:t>0.23</w:t>
            </w:r>
          </w:p>
        </w:tc>
        <w:tc>
          <w:tcPr>
            <w:tcW w:w="588" w:type="dxa"/>
            <w:shd w:val="clear" w:color="auto" w:fill="FFFFFF"/>
          </w:tcPr>
          <w:p w14:paraId="04375A1E" w14:textId="77777777" w:rsidR="006F34E3" w:rsidRPr="00B57B36" w:rsidRDefault="006F34E3" w:rsidP="004768C8">
            <w:pPr>
              <w:pStyle w:val="CETBodytext"/>
              <w:ind w:right="-1"/>
              <w:jc w:val="center"/>
              <w:rPr>
                <w:rFonts w:cs="Arial"/>
                <w:szCs w:val="18"/>
                <w:lang w:val="en-GB"/>
              </w:rPr>
            </w:pPr>
            <w:r>
              <w:rPr>
                <w:rFonts w:cs="Arial"/>
                <w:szCs w:val="18"/>
                <w:lang w:val="en-GB"/>
              </w:rPr>
              <w:t>6.23</w:t>
            </w:r>
          </w:p>
        </w:tc>
        <w:tc>
          <w:tcPr>
            <w:tcW w:w="588" w:type="dxa"/>
            <w:shd w:val="clear" w:color="auto" w:fill="FFFFFF"/>
          </w:tcPr>
          <w:p w14:paraId="5A88EF3D" w14:textId="77777777" w:rsidR="006F34E3" w:rsidRPr="00B57B36" w:rsidRDefault="006F34E3" w:rsidP="004768C8">
            <w:pPr>
              <w:pStyle w:val="CETBodytext"/>
              <w:ind w:right="-1"/>
              <w:jc w:val="center"/>
              <w:rPr>
                <w:rFonts w:cs="Arial"/>
                <w:szCs w:val="18"/>
                <w:lang w:val="en-GB"/>
              </w:rPr>
            </w:pPr>
            <w:r>
              <w:rPr>
                <w:rFonts w:cs="Arial"/>
                <w:szCs w:val="18"/>
                <w:lang w:val="en-GB"/>
              </w:rPr>
              <w:t>92.95</w:t>
            </w:r>
          </w:p>
        </w:tc>
        <w:tc>
          <w:tcPr>
            <w:tcW w:w="868" w:type="dxa"/>
            <w:shd w:val="clear" w:color="auto" w:fill="FFFFFF"/>
          </w:tcPr>
          <w:p w14:paraId="524ED5CB" w14:textId="77777777" w:rsidR="006F34E3" w:rsidRDefault="006F34E3" w:rsidP="004768C8">
            <w:pPr>
              <w:pStyle w:val="CETBodytext"/>
              <w:ind w:right="-1"/>
              <w:jc w:val="center"/>
              <w:rPr>
                <w:rFonts w:cs="Arial"/>
                <w:szCs w:val="18"/>
                <w:lang w:val="en-GB"/>
              </w:rPr>
            </w:pPr>
            <w:r>
              <w:rPr>
                <w:rFonts w:cs="Arial"/>
                <w:szCs w:val="18"/>
                <w:lang w:val="en-GB"/>
              </w:rPr>
              <w:t>0.41</w:t>
            </w:r>
          </w:p>
        </w:tc>
      </w:tr>
      <w:tr w:rsidR="006F34E3" w:rsidRPr="00B57B36" w14:paraId="5CA5801A" w14:textId="77777777" w:rsidTr="004768C8">
        <w:tc>
          <w:tcPr>
            <w:tcW w:w="587" w:type="dxa"/>
            <w:shd w:val="clear" w:color="auto" w:fill="FFFFFF"/>
          </w:tcPr>
          <w:p w14:paraId="269E1EE1" w14:textId="77777777" w:rsidR="006F34E3" w:rsidRDefault="006F34E3" w:rsidP="004768C8">
            <w:pPr>
              <w:pStyle w:val="CETBodytext"/>
              <w:jc w:val="center"/>
              <w:rPr>
                <w:lang w:val="en-GB"/>
              </w:rPr>
            </w:pPr>
            <w:r>
              <w:rPr>
                <w:lang w:val="en-GB"/>
              </w:rPr>
              <w:t>L2-900</w:t>
            </w:r>
          </w:p>
        </w:tc>
        <w:tc>
          <w:tcPr>
            <w:tcW w:w="588" w:type="dxa"/>
            <w:shd w:val="clear" w:color="auto" w:fill="FFFFFF"/>
          </w:tcPr>
          <w:p w14:paraId="1B135D94" w14:textId="77777777" w:rsidR="006F34E3" w:rsidRDefault="006F34E3" w:rsidP="004768C8">
            <w:pPr>
              <w:pStyle w:val="CETBodytext"/>
              <w:jc w:val="center"/>
              <w:rPr>
                <w:lang w:val="en-GB"/>
              </w:rPr>
            </w:pPr>
            <w:r>
              <w:rPr>
                <w:lang w:val="en-GB"/>
              </w:rPr>
              <w:t>0.33</w:t>
            </w:r>
          </w:p>
        </w:tc>
        <w:tc>
          <w:tcPr>
            <w:tcW w:w="588" w:type="dxa"/>
            <w:shd w:val="clear" w:color="auto" w:fill="FFFFFF"/>
          </w:tcPr>
          <w:p w14:paraId="50F9C750" w14:textId="77777777" w:rsidR="006F34E3" w:rsidRPr="00B57B36" w:rsidRDefault="006F34E3" w:rsidP="004768C8">
            <w:pPr>
              <w:pStyle w:val="CETBodytext"/>
              <w:jc w:val="center"/>
              <w:rPr>
                <w:lang w:val="en-GB"/>
              </w:rPr>
            </w:pPr>
            <w:r>
              <w:rPr>
                <w:lang w:val="en-GB"/>
              </w:rPr>
              <w:t>0.15</w:t>
            </w:r>
          </w:p>
        </w:tc>
        <w:tc>
          <w:tcPr>
            <w:tcW w:w="588" w:type="dxa"/>
            <w:shd w:val="clear" w:color="auto" w:fill="FFFFFF"/>
          </w:tcPr>
          <w:p w14:paraId="19602C05" w14:textId="77777777" w:rsidR="006F34E3" w:rsidRPr="00B57B36" w:rsidRDefault="006F34E3" w:rsidP="004768C8">
            <w:pPr>
              <w:pStyle w:val="CETBodytext"/>
              <w:ind w:right="-1"/>
              <w:jc w:val="center"/>
              <w:rPr>
                <w:rFonts w:cs="Arial"/>
                <w:szCs w:val="18"/>
                <w:lang w:val="en-GB"/>
              </w:rPr>
            </w:pPr>
            <w:r>
              <w:rPr>
                <w:rFonts w:cs="Arial"/>
                <w:szCs w:val="18"/>
                <w:lang w:val="en-GB"/>
              </w:rPr>
              <w:t>0.22</w:t>
            </w:r>
          </w:p>
        </w:tc>
        <w:tc>
          <w:tcPr>
            <w:tcW w:w="588" w:type="dxa"/>
            <w:shd w:val="clear" w:color="auto" w:fill="FFFFFF"/>
          </w:tcPr>
          <w:p w14:paraId="19857B22" w14:textId="77777777" w:rsidR="006F34E3" w:rsidRPr="00B57B36" w:rsidRDefault="006F34E3" w:rsidP="004768C8">
            <w:pPr>
              <w:pStyle w:val="CETBodytext"/>
              <w:ind w:right="-1"/>
              <w:jc w:val="center"/>
              <w:rPr>
                <w:rFonts w:cs="Arial"/>
                <w:szCs w:val="18"/>
                <w:lang w:val="en-GB"/>
              </w:rPr>
            </w:pPr>
            <w:r>
              <w:rPr>
                <w:rFonts w:cs="Arial"/>
                <w:szCs w:val="18"/>
                <w:lang w:val="en-GB"/>
              </w:rPr>
              <w:t>6.17</w:t>
            </w:r>
          </w:p>
        </w:tc>
        <w:tc>
          <w:tcPr>
            <w:tcW w:w="588" w:type="dxa"/>
            <w:shd w:val="clear" w:color="auto" w:fill="FFFFFF"/>
          </w:tcPr>
          <w:p w14:paraId="30D18D7C" w14:textId="77777777" w:rsidR="006F34E3" w:rsidRPr="00B57B36" w:rsidRDefault="006F34E3" w:rsidP="004768C8">
            <w:pPr>
              <w:pStyle w:val="CETBodytext"/>
              <w:ind w:right="-1"/>
              <w:jc w:val="center"/>
              <w:rPr>
                <w:rFonts w:cs="Arial"/>
                <w:szCs w:val="18"/>
                <w:lang w:val="en-GB"/>
              </w:rPr>
            </w:pPr>
            <w:r>
              <w:rPr>
                <w:rFonts w:cs="Arial"/>
                <w:szCs w:val="18"/>
                <w:lang w:val="en-GB"/>
              </w:rPr>
              <w:t>93.13</w:t>
            </w:r>
          </w:p>
        </w:tc>
        <w:tc>
          <w:tcPr>
            <w:tcW w:w="868" w:type="dxa"/>
            <w:shd w:val="clear" w:color="auto" w:fill="FFFFFF"/>
          </w:tcPr>
          <w:p w14:paraId="722DA87C" w14:textId="77777777" w:rsidR="006F34E3" w:rsidRDefault="006F34E3" w:rsidP="004768C8">
            <w:pPr>
              <w:pStyle w:val="CETBodytext"/>
              <w:ind w:right="-1"/>
              <w:jc w:val="center"/>
              <w:rPr>
                <w:rFonts w:cs="Arial"/>
                <w:szCs w:val="18"/>
                <w:lang w:val="en-GB"/>
              </w:rPr>
            </w:pPr>
            <w:r>
              <w:rPr>
                <w:rFonts w:cs="Arial"/>
                <w:szCs w:val="18"/>
                <w:lang w:val="en-GB"/>
              </w:rPr>
              <w:t>0.42</w:t>
            </w:r>
          </w:p>
        </w:tc>
      </w:tr>
    </w:tbl>
    <w:p w14:paraId="54304461" w14:textId="77777777" w:rsidR="006F34E3" w:rsidRPr="00062EC3" w:rsidRDefault="006F34E3" w:rsidP="006F34E3">
      <w:pPr>
        <w:keepNext/>
        <w:tabs>
          <w:tab w:val="clear" w:pos="7100"/>
        </w:tabs>
        <w:suppressAutoHyphens/>
        <w:spacing w:after="120" w:line="240" w:lineRule="auto"/>
        <w:jc w:val="left"/>
      </w:pPr>
      <w:r w:rsidRPr="00803628">
        <w:t>*</w:t>
      </w:r>
      <w:proofErr w:type="gramStart"/>
      <w:r w:rsidRPr="00803628">
        <w:t>by</w:t>
      </w:r>
      <w:proofErr w:type="gramEnd"/>
      <w:r w:rsidRPr="00803628">
        <w:t xml:space="preserve"> difference</w:t>
      </w:r>
    </w:p>
    <w:p w14:paraId="2FBCE9C0" w14:textId="77777777" w:rsidR="006F34E3" w:rsidRDefault="006F34E3" w:rsidP="006F34E3">
      <w:pPr>
        <w:rPr>
          <w:rFonts w:eastAsiaTheme="minorEastAsia"/>
          <w:color w:val="000000" w:themeColor="text1"/>
        </w:rPr>
      </w:pPr>
      <w:r>
        <w:rPr>
          <w:rFonts w:eastAsiaTheme="minorEastAsia"/>
          <w:bCs/>
          <w:noProof/>
          <w:color w:val="000000"/>
          <w:lang w:val="en-US"/>
        </w:rPr>
        <w:drawing>
          <wp:anchor distT="0" distB="0" distL="114300" distR="114300" simplePos="0" relativeHeight="251659264" behindDoc="0" locked="0" layoutInCell="1" allowOverlap="1" wp14:anchorId="0447ED3B" wp14:editId="49FF49F1">
            <wp:simplePos x="0" y="0"/>
            <wp:positionH relativeFrom="column">
              <wp:posOffset>0</wp:posOffset>
            </wp:positionH>
            <wp:positionV relativeFrom="paragraph">
              <wp:posOffset>1268095</wp:posOffset>
            </wp:positionV>
            <wp:extent cx="1949450" cy="1943735"/>
            <wp:effectExtent l="0" t="0" r="0" b="0"/>
            <wp:wrapTopAndBottom/>
            <wp:docPr id="278425554" name="Immagine 3" descr="Immagine che contiene testo, schermata, Policromi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25554" name="Immagine 3" descr="Immagine che contiene testo, schermata, Policromia, Parallelo&#10;&#10;Il contenuto generato dall'IA potrebbe non essere corretto."/>
                    <pic:cNvPicPr/>
                  </pic:nvPicPr>
                  <pic:blipFill>
                    <a:blip r:embed="rId12"/>
                    <a:stretch>
                      <a:fillRect/>
                    </a:stretch>
                  </pic:blipFill>
                  <pic:spPr>
                    <a:xfrm>
                      <a:off x="0" y="0"/>
                      <a:ext cx="1949450" cy="1943735"/>
                    </a:xfrm>
                    <a:prstGeom prst="rect">
                      <a:avLst/>
                    </a:prstGeom>
                  </pic:spPr>
                </pic:pic>
              </a:graphicData>
            </a:graphic>
          </wp:anchor>
        </w:drawing>
      </w:r>
      <w:r w:rsidR="00620DC3" w:rsidRPr="00620DC3">
        <w:rPr>
          <w:rFonts w:eastAsiaTheme="minorEastAsia"/>
          <w:color w:val="000000" w:themeColor="text1"/>
        </w:rPr>
        <w:t>The conversion of char and tar into permanent gas resulted in a change in the distribution of chemical energy (CE) among the gasification products. It can be observed that there is an increase in the syngas CE from 36.9 to 46.5% and from 68.0 to 87.2% when shifting from the L1 to the L2 configuration (Figure 3). In the gasification tests conducted with the L1 configuration, most of the CE was retained in the tar (approximately 50%), compared to syngas (around 40%) and char (around 10%). In contrast, the L2 configuration promoted a higher degree of feedstock conversion, leading to a significant increase in the CE associated with syngas (from 68 to 87%) and a reduction in that attributed to tar (from 32 to 13%). This indicates that the L2 reactor configuration enhances the transfer of CE from the feedstock to the syngas</w:t>
      </w:r>
      <w:r w:rsidR="00620DC3">
        <w:rPr>
          <w:rFonts w:eastAsiaTheme="minorEastAsia"/>
          <w:color w:val="000000" w:themeColor="text1"/>
        </w:rPr>
        <w:t xml:space="preserve">. </w:t>
      </w:r>
    </w:p>
    <w:p w14:paraId="0D385A82" w14:textId="0F364334" w:rsidR="006F34E3" w:rsidRPr="006F34E3" w:rsidRDefault="006F34E3" w:rsidP="00B716DA">
      <w:pPr>
        <w:pStyle w:val="CETCaption"/>
        <w:rPr>
          <w:rFonts w:eastAsiaTheme="minorEastAsia"/>
          <w:color w:val="000000" w:themeColor="text1"/>
        </w:rPr>
      </w:pPr>
      <w:r w:rsidRPr="006F34E3">
        <w:rPr>
          <w:rFonts w:eastAsiaTheme="minorEastAsia"/>
        </w:rPr>
        <w:t>Figure 3: Chemical energy of the syngas.</w:t>
      </w:r>
    </w:p>
    <w:p w14:paraId="3511B54C" w14:textId="63DF5D39" w:rsidR="00F474E4" w:rsidRDefault="00F474E4" w:rsidP="00B716DA">
      <w:pPr>
        <w:pStyle w:val="CETHeading1"/>
        <w:numPr>
          <w:ilvl w:val="0"/>
          <w:numId w:val="0"/>
        </w:numPr>
      </w:pPr>
      <w:r>
        <w:t>4. Conclusions</w:t>
      </w:r>
    </w:p>
    <w:p w14:paraId="577F9AB9" w14:textId="1A31E292" w:rsidR="00F474E4" w:rsidRPr="00F474E4" w:rsidRDefault="00F474E4" w:rsidP="00F474E4">
      <w:pPr>
        <w:pStyle w:val="CETBodytext"/>
      </w:pPr>
      <w:r w:rsidRPr="00F474E4">
        <w:t xml:space="preserve">This study evaluated the feasibility of using SS as a feedstock for producing hydrogen-rich syngas through the gasification process. The results indicated that higher temperatures and a specific reactor configuration (L2) significantly enhanced the conversion of the feedstock, resulting in a higher yield of syngas, increased hydrogen production, and reduced tar formation. Under optimized conditions (900 °C and L2 configuration), the distribution </w:t>
      </w:r>
      <w:r w:rsidRPr="00F474E4">
        <w:lastRenderedPageBreak/>
        <w:t xml:space="preserve">of chemical energy shifted in </w:t>
      </w:r>
      <w:proofErr w:type="spellStart"/>
      <w:r w:rsidRPr="00F474E4">
        <w:t>favour</w:t>
      </w:r>
      <w:proofErr w:type="spellEnd"/>
      <w:r w:rsidRPr="00F474E4">
        <w:t xml:space="preserve"> of syngas, indicating improved process efficiency. These findings suggest that gasification is a suitable strategy for valorizing SS, offering potential environmental benefits and opportunities for energy recovery.</w:t>
      </w:r>
    </w:p>
    <w:p w14:paraId="2DACFA98" w14:textId="77777777" w:rsidR="00BC120A" w:rsidRPr="00BC120A" w:rsidRDefault="00BC120A" w:rsidP="00BC120A">
      <w:pPr>
        <w:pStyle w:val="CETBodytext"/>
      </w:pPr>
    </w:p>
    <w:p w14:paraId="03507984" w14:textId="0206FE15" w:rsidR="00600535" w:rsidRPr="0006679A" w:rsidRDefault="00600535" w:rsidP="006F34E3">
      <w:pPr>
        <w:pStyle w:val="CETReference"/>
        <w:rPr>
          <w:lang w:val="it-IT"/>
        </w:rPr>
      </w:pPr>
      <w:proofErr w:type="spellStart"/>
      <w:r w:rsidRPr="0006679A">
        <w:rPr>
          <w:lang w:val="it-IT"/>
        </w:rPr>
        <w:t>References</w:t>
      </w:r>
      <w:proofErr w:type="spellEnd"/>
    </w:p>
    <w:p w14:paraId="3DE33839" w14:textId="77777777" w:rsidR="006F34E3" w:rsidRPr="00E67789" w:rsidRDefault="006F34E3" w:rsidP="006F34E3">
      <w:pPr>
        <w:pStyle w:val="CETReferencetext"/>
      </w:pPr>
      <w:r w:rsidRPr="00854A3D">
        <w:rPr>
          <w:lang w:val="it-IT"/>
        </w:rPr>
        <w:t xml:space="preserve">Angelico, R., </w:t>
      </w:r>
      <w:proofErr w:type="spellStart"/>
      <w:r w:rsidRPr="00854A3D">
        <w:rPr>
          <w:lang w:val="it-IT"/>
        </w:rPr>
        <w:t>Giametta</w:t>
      </w:r>
      <w:proofErr w:type="spellEnd"/>
      <w:r w:rsidRPr="00854A3D">
        <w:rPr>
          <w:lang w:val="it-IT"/>
        </w:rPr>
        <w:t xml:space="preserve">, F., Bianchi, B., and Catalano, P. (2025). </w:t>
      </w:r>
      <w:r w:rsidRPr="00E67789">
        <w:t>Green Hydrogen for Energy Transition: A Critical Perspective. In Energies (Vol. 18, Issue 2). Multidisciplinary Digital Publishing Institute (MDPI). https://doi.org/10.3390/en18020404</w:t>
      </w:r>
    </w:p>
    <w:p w14:paraId="50F0C1B7" w14:textId="77777777" w:rsidR="006F34E3" w:rsidRPr="00C435BA" w:rsidRDefault="006F34E3" w:rsidP="006F34E3">
      <w:pPr>
        <w:pStyle w:val="CETReferencetext"/>
      </w:pPr>
      <w:r w:rsidRPr="00C435BA">
        <w:t>Energy Agency, I. (2024). Global Hydrogen Review 2024. www.iea.org</w:t>
      </w:r>
    </w:p>
    <w:p w14:paraId="3F446F9C" w14:textId="77777777" w:rsidR="006F34E3" w:rsidRPr="00C435BA" w:rsidRDefault="006F34E3" w:rsidP="006F34E3">
      <w:pPr>
        <w:pStyle w:val="CETReferencetext"/>
      </w:pPr>
      <w:r w:rsidRPr="00C435BA">
        <w:t>Ghodke, P. K., Sharma, A. K., Jayaseelan, A., and Gopinath, K. P. (2023). Hydrogen-rich syngas production from the lignocellulosic biomass by catalytic gasification: A state of art review on advance technologies, economic challenges, and future prospectus. Fuel, 342. https://doi.org/10.1016/j.fuel.2023.127800</w:t>
      </w:r>
    </w:p>
    <w:p w14:paraId="3F7A7D40" w14:textId="77777777" w:rsidR="006F34E3" w:rsidRPr="00C435BA" w:rsidRDefault="006F34E3" w:rsidP="006F34E3">
      <w:pPr>
        <w:pStyle w:val="CETReferencetext"/>
      </w:pPr>
      <w:r w:rsidRPr="00C435BA">
        <w:t>Ishaq, H., Dincer, I., and Crawford, C. (2022). A review on hydrogen production and utilization: Challenges and opportunities. International Journal of Hydrogen Energy, 47(62), 26238–26264. https://doi.org/10.1016/j.ijhydene.2021.11.149</w:t>
      </w:r>
    </w:p>
    <w:p w14:paraId="5923E853" w14:textId="77777777" w:rsidR="006F34E3" w:rsidRPr="00C435BA" w:rsidRDefault="006F34E3" w:rsidP="006F34E3">
      <w:pPr>
        <w:pStyle w:val="CETReferencetext"/>
      </w:pPr>
      <w:r w:rsidRPr="00C435BA">
        <w:t>Li, Z., Li, J., Yan, B., Wang, Z., and Chen, G. (2025). Study on hydrogen-rich and carbon reduction of syngas in high-moisture content biomass chemical looping gasification. Chemical Engineering Journal, 505. https://doi.org/10.1016/j.cej.2025.159427</w:t>
      </w:r>
    </w:p>
    <w:p w14:paraId="51949D74" w14:textId="77777777" w:rsidR="006F34E3" w:rsidRDefault="006F34E3" w:rsidP="006F34E3">
      <w:pPr>
        <w:pStyle w:val="CETReferencetext"/>
      </w:pPr>
      <w:proofErr w:type="spellStart"/>
      <w:r w:rsidRPr="00C435BA">
        <w:t>Maitlo</w:t>
      </w:r>
      <w:proofErr w:type="spellEnd"/>
      <w:r w:rsidRPr="00C435BA">
        <w:t xml:space="preserve">, G., Ali, I., Mangi, K. H., Ali, S., </w:t>
      </w:r>
      <w:proofErr w:type="spellStart"/>
      <w:r w:rsidRPr="00C435BA">
        <w:t>Maitlo</w:t>
      </w:r>
      <w:proofErr w:type="spellEnd"/>
      <w:r w:rsidRPr="00C435BA">
        <w:t xml:space="preserve">, H. A., Unar, I. N., and Pirzada, A. M. (2022). Thermochemical Conversion of Biomass for Syngas Production: Current Status and Future Trends. In Sustainability (Switzerland) (Vol. 14, Issue 5). MDPI. </w:t>
      </w:r>
      <w:r w:rsidRPr="00D81B3C">
        <w:t>https://doi.org/10.3390/su14052596</w:t>
      </w:r>
    </w:p>
    <w:p w14:paraId="4D695B28" w14:textId="77777777" w:rsidR="006F34E3" w:rsidRPr="00AF4EC5" w:rsidRDefault="006F34E3" w:rsidP="006F34E3">
      <w:pPr>
        <w:pStyle w:val="CETReferencetext"/>
        <w:rPr>
          <w:lang w:val="en-US"/>
        </w:rPr>
      </w:pPr>
      <w:r w:rsidRPr="00D81B3C">
        <w:t xml:space="preserve">Mastellone, M. L., &amp; </w:t>
      </w:r>
      <w:proofErr w:type="spellStart"/>
      <w:r w:rsidRPr="00D81B3C">
        <w:t>Zaccariello</w:t>
      </w:r>
      <w:proofErr w:type="spellEnd"/>
      <w:r w:rsidRPr="00D81B3C">
        <w:t xml:space="preserve">, L. (2013). Gasification of polyethylene in a bubbling fluidized bed operated with the air staging. </w:t>
      </w:r>
      <w:r w:rsidRPr="00AF4EC5">
        <w:rPr>
          <w:i/>
          <w:iCs/>
          <w:lang w:val="en-US"/>
        </w:rPr>
        <w:t>Fuel</w:t>
      </w:r>
      <w:r w:rsidRPr="00AF4EC5">
        <w:rPr>
          <w:lang w:val="en-US"/>
        </w:rPr>
        <w:t xml:space="preserve">, </w:t>
      </w:r>
      <w:r w:rsidRPr="00AF4EC5">
        <w:rPr>
          <w:i/>
          <w:iCs/>
          <w:lang w:val="en-US"/>
        </w:rPr>
        <w:t>106</w:t>
      </w:r>
      <w:r w:rsidRPr="00AF4EC5">
        <w:rPr>
          <w:lang w:val="en-US"/>
        </w:rPr>
        <w:t>, 226–233. https://doi.org/10.1016/j.fuel.2012.12.049</w:t>
      </w:r>
    </w:p>
    <w:p w14:paraId="5DDAFC93" w14:textId="77777777" w:rsidR="006F34E3" w:rsidRPr="00C435BA" w:rsidRDefault="006F34E3" w:rsidP="006F34E3">
      <w:pPr>
        <w:pStyle w:val="CETReferencetext"/>
      </w:pPr>
      <w:r w:rsidRPr="0006679A">
        <w:rPr>
          <w:lang w:val="it-IT"/>
        </w:rPr>
        <w:t xml:space="preserve">Molino, A., Chianese, S., and Musmarra, D. (2016). </w:t>
      </w:r>
      <w:r w:rsidRPr="00C435BA">
        <w:t xml:space="preserve">Biomass gasification technology: The </w:t>
      </w:r>
      <w:proofErr w:type="gramStart"/>
      <w:r w:rsidRPr="00C435BA">
        <w:t>state of the art</w:t>
      </w:r>
      <w:proofErr w:type="gramEnd"/>
      <w:r w:rsidRPr="00C435BA">
        <w:t xml:space="preserve"> overview. Journal of Energy Chemistry, 25(1), 10–25. https://doi.org/10.1016/j.jechem.2015.11.005</w:t>
      </w:r>
    </w:p>
    <w:p w14:paraId="35187496" w14:textId="77777777" w:rsidR="006F34E3" w:rsidRPr="00C435BA" w:rsidRDefault="006F34E3" w:rsidP="006F34E3">
      <w:pPr>
        <w:pStyle w:val="CETReferencetext"/>
      </w:pPr>
      <w:r w:rsidRPr="00C435BA">
        <w:t>Navas-Anguita, Z., García-Gusano, D., Dufour, J., and Iribarren, D. (2021). Revisiting the role of steam methane reforming with CO2 capture and storage for long-term hydrogen production. Science of the Total Environment, 771. https://doi.org/10.1016/j.scitotenv.2021.145432</w:t>
      </w:r>
    </w:p>
    <w:p w14:paraId="063D6886" w14:textId="77777777" w:rsidR="006F34E3" w:rsidRPr="00C435BA" w:rsidRDefault="006F34E3" w:rsidP="006F34E3">
      <w:pPr>
        <w:pStyle w:val="CETReferencetext"/>
      </w:pPr>
      <w:r w:rsidRPr="00C435BA">
        <w:t>Shahid, M. I., Farhan, M., Rao, A., Hussain, M. S., Salam, H. A., Chen, T., Zhang, Z., Li, X., and Ma, F. (2025). Hydrogen production by waste heat recovery of hydrogen-enriched compressed natural gas via steam methane reforming process. International Journal of Hydrogen Energy, 117, 374–392. https://doi.org/10.1016/j.ijhydene.2025.03.105</w:t>
      </w:r>
    </w:p>
    <w:p w14:paraId="7CDFA1D6" w14:textId="77777777" w:rsidR="006F34E3" w:rsidRPr="00C435BA" w:rsidRDefault="006F34E3" w:rsidP="006F34E3">
      <w:pPr>
        <w:pStyle w:val="CETReferencetext"/>
      </w:pPr>
      <w:r w:rsidRPr="00C435BA">
        <w:t>Shiva Kumar, S., and Lim, H. (2022). An overview of water electrolysis technologies for green hydrogen production. In Energy Reports (Vol. 8, pp. 13793–13813). Elsevier Ltd. https://doi.org/10.1016/j.egyr.2022.10.127</w:t>
      </w:r>
    </w:p>
    <w:p w14:paraId="2A5081AF" w14:textId="77777777" w:rsidR="006F34E3" w:rsidRPr="00C435BA" w:rsidRDefault="006F34E3" w:rsidP="006F34E3">
      <w:pPr>
        <w:pStyle w:val="CETReferencetext"/>
      </w:pPr>
      <w:r w:rsidRPr="00C435BA">
        <w:t>Tahir, M. H., and Chen, D. (2024). Integrated approach for H2-Rich syngas production from wastes using carbon-based catalysts and subsequent CO2 adsorption by carbon-based adsorbents: A review. In International Journal of Hydrogen Energy (Vol. 59, pp. 679–696). Elsevier Ltd. https://doi.org/10.1016/j.ijhydene.2024.02.045</w:t>
      </w:r>
    </w:p>
    <w:p w14:paraId="6D8BE2A0" w14:textId="77777777" w:rsidR="006F34E3" w:rsidRPr="00854A3D" w:rsidRDefault="006F34E3" w:rsidP="006F34E3">
      <w:pPr>
        <w:pStyle w:val="CETReferencetext"/>
        <w:rPr>
          <w:lang w:val="en-US"/>
        </w:rPr>
      </w:pPr>
      <w:r w:rsidRPr="00C435BA">
        <w:t xml:space="preserve">Werle, S., and Sobek, S. (2019). Gasification of sewage sludge within a circular economy perspective: a Polish case study. </w:t>
      </w:r>
      <w:r w:rsidRPr="00854A3D">
        <w:rPr>
          <w:lang w:val="en-US"/>
        </w:rPr>
        <w:t>Environmental Science and Pollution Research, 26(35), 35422–35432. https://doi.org/10.1007/s11356-019-05897-2</w:t>
      </w:r>
    </w:p>
    <w:p w14:paraId="19C4FC68" w14:textId="4E8849CA" w:rsidR="004628D2" w:rsidRDefault="006F34E3" w:rsidP="006F34E3">
      <w:pPr>
        <w:pStyle w:val="CETReferencetext"/>
      </w:pPr>
      <w:r w:rsidRPr="006F34E3">
        <w:t>Zaccariello, L., and Mastellone, M. L. (2020). Gasification of sewage sludge in a bench-scale reactor. Chemical Engineering Transactions, 80, 175–180. https://doi.org/10.3303/CET2080030</w:t>
      </w: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F51D9" w14:textId="77777777" w:rsidR="000B0496" w:rsidRDefault="000B0496" w:rsidP="004F5E36">
      <w:r>
        <w:separator/>
      </w:r>
    </w:p>
  </w:endnote>
  <w:endnote w:type="continuationSeparator" w:id="0">
    <w:p w14:paraId="0A69D809" w14:textId="77777777" w:rsidR="000B0496" w:rsidRDefault="000B049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EE77B" w14:textId="77777777" w:rsidR="000B0496" w:rsidRDefault="000B0496" w:rsidP="004F5E36">
      <w:r>
        <w:separator/>
      </w:r>
    </w:p>
  </w:footnote>
  <w:footnote w:type="continuationSeparator" w:id="0">
    <w:p w14:paraId="0C57364B" w14:textId="77777777" w:rsidR="000B0496" w:rsidRDefault="000B049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00012B"/>
    <w:multiLevelType w:val="multilevel"/>
    <w:tmpl w:val="D50854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5D4529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2"/>
  </w:num>
  <w:num w:numId="16" w16cid:durableId="1977102699">
    <w:abstractNumId w:val="21"/>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84351335">
    <w:abstractNumId w:val="11"/>
  </w:num>
  <w:num w:numId="24" w16cid:durableId="20606679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51566"/>
    <w:rsid w:val="000562A9"/>
    <w:rsid w:val="00062A9A"/>
    <w:rsid w:val="00065058"/>
    <w:rsid w:val="0006679A"/>
    <w:rsid w:val="00086C39"/>
    <w:rsid w:val="000A03B2"/>
    <w:rsid w:val="000A4297"/>
    <w:rsid w:val="000B0496"/>
    <w:rsid w:val="000D0268"/>
    <w:rsid w:val="000D34BE"/>
    <w:rsid w:val="000E0B3C"/>
    <w:rsid w:val="000E102F"/>
    <w:rsid w:val="000E323F"/>
    <w:rsid w:val="000E36F1"/>
    <w:rsid w:val="000E3A73"/>
    <w:rsid w:val="000E414A"/>
    <w:rsid w:val="000E75FD"/>
    <w:rsid w:val="000F093C"/>
    <w:rsid w:val="000F787B"/>
    <w:rsid w:val="00120286"/>
    <w:rsid w:val="0012091F"/>
    <w:rsid w:val="00126BC2"/>
    <w:rsid w:val="001308B6"/>
    <w:rsid w:val="0013121F"/>
    <w:rsid w:val="00131FE6"/>
    <w:rsid w:val="0013263F"/>
    <w:rsid w:val="001331DF"/>
    <w:rsid w:val="00134DE4"/>
    <w:rsid w:val="0014034D"/>
    <w:rsid w:val="00140FE3"/>
    <w:rsid w:val="00144D16"/>
    <w:rsid w:val="00150E59"/>
    <w:rsid w:val="00152DE3"/>
    <w:rsid w:val="001545A3"/>
    <w:rsid w:val="00164CF9"/>
    <w:rsid w:val="001667A6"/>
    <w:rsid w:val="0018171E"/>
    <w:rsid w:val="00184AD6"/>
    <w:rsid w:val="001A4AF7"/>
    <w:rsid w:val="001B0349"/>
    <w:rsid w:val="001B1E93"/>
    <w:rsid w:val="001B65C1"/>
    <w:rsid w:val="001C260F"/>
    <w:rsid w:val="001C5C3A"/>
    <w:rsid w:val="001C684B"/>
    <w:rsid w:val="001D0CFB"/>
    <w:rsid w:val="001D21AF"/>
    <w:rsid w:val="001D53FC"/>
    <w:rsid w:val="001D5F8E"/>
    <w:rsid w:val="001F42A5"/>
    <w:rsid w:val="001F7B9D"/>
    <w:rsid w:val="00201C93"/>
    <w:rsid w:val="002224B4"/>
    <w:rsid w:val="002447EF"/>
    <w:rsid w:val="00251550"/>
    <w:rsid w:val="00263B05"/>
    <w:rsid w:val="0027221A"/>
    <w:rsid w:val="00275B61"/>
    <w:rsid w:val="00280FAF"/>
    <w:rsid w:val="00282656"/>
    <w:rsid w:val="00296B83"/>
    <w:rsid w:val="002B4015"/>
    <w:rsid w:val="002B78CE"/>
    <w:rsid w:val="002C2FB6"/>
    <w:rsid w:val="002E5FA7"/>
    <w:rsid w:val="002F3309"/>
    <w:rsid w:val="003008CE"/>
    <w:rsid w:val="003009B7"/>
    <w:rsid w:val="00300E56"/>
    <w:rsid w:val="0030152C"/>
    <w:rsid w:val="0030469C"/>
    <w:rsid w:val="00321CA6"/>
    <w:rsid w:val="00323763"/>
    <w:rsid w:val="00323C5F"/>
    <w:rsid w:val="00334C09"/>
    <w:rsid w:val="003723D4"/>
    <w:rsid w:val="00381905"/>
    <w:rsid w:val="00384CC8"/>
    <w:rsid w:val="003871FD"/>
    <w:rsid w:val="003904D3"/>
    <w:rsid w:val="003A1E30"/>
    <w:rsid w:val="003A2829"/>
    <w:rsid w:val="003A7D1C"/>
    <w:rsid w:val="003B304B"/>
    <w:rsid w:val="003B3146"/>
    <w:rsid w:val="003B49CD"/>
    <w:rsid w:val="003D1E02"/>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2B84"/>
    <w:rsid w:val="004E4DD6"/>
    <w:rsid w:val="004F5E36"/>
    <w:rsid w:val="00507B47"/>
    <w:rsid w:val="00507BEF"/>
    <w:rsid w:val="00507CC9"/>
    <w:rsid w:val="005119A5"/>
    <w:rsid w:val="005278B7"/>
    <w:rsid w:val="00532016"/>
    <w:rsid w:val="005346C8"/>
    <w:rsid w:val="00543E7D"/>
    <w:rsid w:val="00547A68"/>
    <w:rsid w:val="005531C9"/>
    <w:rsid w:val="00554879"/>
    <w:rsid w:val="00570C43"/>
    <w:rsid w:val="005849C0"/>
    <w:rsid w:val="00592274"/>
    <w:rsid w:val="005B2110"/>
    <w:rsid w:val="005B350B"/>
    <w:rsid w:val="005B61E6"/>
    <w:rsid w:val="005C46FA"/>
    <w:rsid w:val="005C77E1"/>
    <w:rsid w:val="005D668A"/>
    <w:rsid w:val="005D6A2F"/>
    <w:rsid w:val="005E0592"/>
    <w:rsid w:val="005E1A82"/>
    <w:rsid w:val="005E794C"/>
    <w:rsid w:val="005F0A28"/>
    <w:rsid w:val="005F0E5E"/>
    <w:rsid w:val="00600535"/>
    <w:rsid w:val="00610CD6"/>
    <w:rsid w:val="00620DC3"/>
    <w:rsid w:val="00620DEE"/>
    <w:rsid w:val="00621F92"/>
    <w:rsid w:val="0062280A"/>
    <w:rsid w:val="006231E1"/>
    <w:rsid w:val="00625639"/>
    <w:rsid w:val="00631B33"/>
    <w:rsid w:val="0064184D"/>
    <w:rsid w:val="006422CC"/>
    <w:rsid w:val="00651D18"/>
    <w:rsid w:val="00660E3E"/>
    <w:rsid w:val="00662E74"/>
    <w:rsid w:val="00680C23"/>
    <w:rsid w:val="00683E23"/>
    <w:rsid w:val="00693766"/>
    <w:rsid w:val="006A3281"/>
    <w:rsid w:val="006A6DE5"/>
    <w:rsid w:val="006B4888"/>
    <w:rsid w:val="006C2E45"/>
    <w:rsid w:val="006C359C"/>
    <w:rsid w:val="006C5579"/>
    <w:rsid w:val="006D6E8B"/>
    <w:rsid w:val="006D7209"/>
    <w:rsid w:val="006E737D"/>
    <w:rsid w:val="006F34E3"/>
    <w:rsid w:val="00707DD1"/>
    <w:rsid w:val="00713973"/>
    <w:rsid w:val="00720A24"/>
    <w:rsid w:val="00732386"/>
    <w:rsid w:val="0073514D"/>
    <w:rsid w:val="007447F3"/>
    <w:rsid w:val="0075499F"/>
    <w:rsid w:val="007661C8"/>
    <w:rsid w:val="0077098D"/>
    <w:rsid w:val="00785BF9"/>
    <w:rsid w:val="007931FA"/>
    <w:rsid w:val="007A4861"/>
    <w:rsid w:val="007A7BBA"/>
    <w:rsid w:val="007B0C50"/>
    <w:rsid w:val="007B48F9"/>
    <w:rsid w:val="007C1A43"/>
    <w:rsid w:val="007D0951"/>
    <w:rsid w:val="007D610D"/>
    <w:rsid w:val="0080013E"/>
    <w:rsid w:val="00801759"/>
    <w:rsid w:val="00813288"/>
    <w:rsid w:val="008168FC"/>
    <w:rsid w:val="00830996"/>
    <w:rsid w:val="008345F1"/>
    <w:rsid w:val="00865B07"/>
    <w:rsid w:val="008667EA"/>
    <w:rsid w:val="0087637F"/>
    <w:rsid w:val="008832AA"/>
    <w:rsid w:val="00892AD5"/>
    <w:rsid w:val="008A1512"/>
    <w:rsid w:val="008D32B9"/>
    <w:rsid w:val="008D433B"/>
    <w:rsid w:val="008D4A16"/>
    <w:rsid w:val="008E5401"/>
    <w:rsid w:val="008E566E"/>
    <w:rsid w:val="0090161A"/>
    <w:rsid w:val="00901EB6"/>
    <w:rsid w:val="009041F8"/>
    <w:rsid w:val="00904C62"/>
    <w:rsid w:val="00922BA8"/>
    <w:rsid w:val="00924DAC"/>
    <w:rsid w:val="00927058"/>
    <w:rsid w:val="00942750"/>
    <w:rsid w:val="009450CE"/>
    <w:rsid w:val="009459BB"/>
    <w:rsid w:val="00947179"/>
    <w:rsid w:val="0095164B"/>
    <w:rsid w:val="009537EF"/>
    <w:rsid w:val="00954090"/>
    <w:rsid w:val="009573E7"/>
    <w:rsid w:val="00963E05"/>
    <w:rsid w:val="00964A45"/>
    <w:rsid w:val="00967843"/>
    <w:rsid w:val="00967D54"/>
    <w:rsid w:val="00971028"/>
    <w:rsid w:val="00993B84"/>
    <w:rsid w:val="00994C6A"/>
    <w:rsid w:val="00996483"/>
    <w:rsid w:val="00996F5A"/>
    <w:rsid w:val="009B041A"/>
    <w:rsid w:val="009C37C3"/>
    <w:rsid w:val="009C7C86"/>
    <w:rsid w:val="009D2FF7"/>
    <w:rsid w:val="009E7884"/>
    <w:rsid w:val="009E788A"/>
    <w:rsid w:val="009F0E08"/>
    <w:rsid w:val="00A079AE"/>
    <w:rsid w:val="00A1763D"/>
    <w:rsid w:val="00A17CEC"/>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5011"/>
    <w:rsid w:val="00AC7368"/>
    <w:rsid w:val="00AD16B9"/>
    <w:rsid w:val="00AE377D"/>
    <w:rsid w:val="00AF0EBA"/>
    <w:rsid w:val="00AF2463"/>
    <w:rsid w:val="00B02C8A"/>
    <w:rsid w:val="00B17FBD"/>
    <w:rsid w:val="00B315A6"/>
    <w:rsid w:val="00B31813"/>
    <w:rsid w:val="00B33365"/>
    <w:rsid w:val="00B44CB2"/>
    <w:rsid w:val="00B57B36"/>
    <w:rsid w:val="00B57E6F"/>
    <w:rsid w:val="00B716DA"/>
    <w:rsid w:val="00B8686D"/>
    <w:rsid w:val="00B93F69"/>
    <w:rsid w:val="00BB1DDC"/>
    <w:rsid w:val="00BC120A"/>
    <w:rsid w:val="00BC30C9"/>
    <w:rsid w:val="00BD077D"/>
    <w:rsid w:val="00BE3E58"/>
    <w:rsid w:val="00BE44E0"/>
    <w:rsid w:val="00BF13CE"/>
    <w:rsid w:val="00C01616"/>
    <w:rsid w:val="00C0162B"/>
    <w:rsid w:val="00C068ED"/>
    <w:rsid w:val="00C14C3A"/>
    <w:rsid w:val="00C22E0C"/>
    <w:rsid w:val="00C32C7D"/>
    <w:rsid w:val="00C345B1"/>
    <w:rsid w:val="00C40142"/>
    <w:rsid w:val="00C52C3C"/>
    <w:rsid w:val="00C57182"/>
    <w:rsid w:val="00C57863"/>
    <w:rsid w:val="00C640AF"/>
    <w:rsid w:val="00C655FD"/>
    <w:rsid w:val="00C75407"/>
    <w:rsid w:val="00C81E7D"/>
    <w:rsid w:val="00C841C6"/>
    <w:rsid w:val="00C870A8"/>
    <w:rsid w:val="00C94434"/>
    <w:rsid w:val="00C969F9"/>
    <w:rsid w:val="00CA0D75"/>
    <w:rsid w:val="00CA1C95"/>
    <w:rsid w:val="00CA4ECC"/>
    <w:rsid w:val="00CA5A9C"/>
    <w:rsid w:val="00CC4C20"/>
    <w:rsid w:val="00CD3517"/>
    <w:rsid w:val="00CD5FE2"/>
    <w:rsid w:val="00CE7C68"/>
    <w:rsid w:val="00CF5F07"/>
    <w:rsid w:val="00D02B4C"/>
    <w:rsid w:val="00D040C4"/>
    <w:rsid w:val="00D20AD1"/>
    <w:rsid w:val="00D2582C"/>
    <w:rsid w:val="00D46B7E"/>
    <w:rsid w:val="00D47A0C"/>
    <w:rsid w:val="00D57C84"/>
    <w:rsid w:val="00D6057D"/>
    <w:rsid w:val="00D71640"/>
    <w:rsid w:val="00D73FD9"/>
    <w:rsid w:val="00D836C5"/>
    <w:rsid w:val="00D84576"/>
    <w:rsid w:val="00DA1399"/>
    <w:rsid w:val="00DA1CF8"/>
    <w:rsid w:val="00DA24C6"/>
    <w:rsid w:val="00DA4D7B"/>
    <w:rsid w:val="00DC2840"/>
    <w:rsid w:val="00DC73EE"/>
    <w:rsid w:val="00DD271C"/>
    <w:rsid w:val="00DE264A"/>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3049E"/>
    <w:rsid w:val="00F30C64"/>
    <w:rsid w:val="00F32BA2"/>
    <w:rsid w:val="00F32CDB"/>
    <w:rsid w:val="00F41EE4"/>
    <w:rsid w:val="00F474E4"/>
    <w:rsid w:val="00F565FE"/>
    <w:rsid w:val="00F63A70"/>
    <w:rsid w:val="00F63D8C"/>
    <w:rsid w:val="00F7534E"/>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6679A"/>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6679A"/>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112CBE2169B4E81A5B2334ED8B543E9"/>
        <w:category>
          <w:name w:val="Generale"/>
          <w:gallery w:val="placeholder"/>
        </w:category>
        <w:types>
          <w:type w:val="bbPlcHdr"/>
        </w:types>
        <w:behaviors>
          <w:behavior w:val="content"/>
        </w:behaviors>
        <w:guid w:val="{2DBDC2EC-9281-4D2A-A21D-5B3509176B6E}"/>
      </w:docPartPr>
      <w:docPartBody>
        <w:p w:rsidR="00660415" w:rsidRDefault="00660415" w:rsidP="00660415">
          <w:pPr>
            <w:pStyle w:val="B112CBE2169B4E81A5B2334ED8B543E9"/>
          </w:pPr>
          <w:r w:rsidRPr="00197A47">
            <w:rPr>
              <w:rStyle w:val="Testosegnaposto"/>
            </w:rPr>
            <w:t>Fare clic o toccare qui per immettere il testo.</w:t>
          </w:r>
        </w:p>
      </w:docPartBody>
    </w:docPart>
    <w:docPart>
      <w:docPartPr>
        <w:name w:val="F2256A37F75F4382B380F68650376A64"/>
        <w:category>
          <w:name w:val="Generale"/>
          <w:gallery w:val="placeholder"/>
        </w:category>
        <w:types>
          <w:type w:val="bbPlcHdr"/>
        </w:types>
        <w:behaviors>
          <w:behavior w:val="content"/>
        </w:behaviors>
        <w:guid w:val="{3980DBD6-C6AD-49D6-86B1-79D306E1B170}"/>
      </w:docPartPr>
      <w:docPartBody>
        <w:p w:rsidR="00660415" w:rsidRDefault="00660415" w:rsidP="00660415">
          <w:pPr>
            <w:pStyle w:val="F2256A37F75F4382B380F68650376A64"/>
          </w:pPr>
          <w:r w:rsidRPr="00612D44">
            <w:rPr>
              <w:rStyle w:val="Testosegnaposto"/>
            </w:rPr>
            <w:t>Fare clic o toccare qui per immettere il testo.</w:t>
          </w:r>
        </w:p>
      </w:docPartBody>
    </w:docPart>
    <w:docPart>
      <w:docPartPr>
        <w:name w:val="B50068B439844D0A96E9A3B63E63DCCA"/>
        <w:category>
          <w:name w:val="Generale"/>
          <w:gallery w:val="placeholder"/>
        </w:category>
        <w:types>
          <w:type w:val="bbPlcHdr"/>
        </w:types>
        <w:behaviors>
          <w:behavior w:val="content"/>
        </w:behaviors>
        <w:guid w:val="{9905CDCB-7DA9-4E09-883A-E9CAEC8976FF}"/>
      </w:docPartPr>
      <w:docPartBody>
        <w:p w:rsidR="00660415" w:rsidRDefault="00660415" w:rsidP="00660415">
          <w:pPr>
            <w:pStyle w:val="B50068B439844D0A96E9A3B63E63DCCA"/>
          </w:pPr>
          <w:r w:rsidRPr="00612D44">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415"/>
    <w:rsid w:val="00660415"/>
    <w:rsid w:val="006C1152"/>
    <w:rsid w:val="00B44CB2"/>
    <w:rsid w:val="00C14C3A"/>
    <w:rsid w:val="00E800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660415"/>
    <w:rPr>
      <w:color w:val="666666"/>
    </w:rPr>
  </w:style>
  <w:style w:type="paragraph" w:customStyle="1" w:styleId="B112CBE2169B4E81A5B2334ED8B543E9">
    <w:name w:val="B112CBE2169B4E81A5B2334ED8B543E9"/>
    <w:rsid w:val="00660415"/>
  </w:style>
  <w:style w:type="paragraph" w:customStyle="1" w:styleId="F2256A37F75F4382B380F68650376A64">
    <w:name w:val="F2256A37F75F4382B380F68650376A64"/>
    <w:rsid w:val="00660415"/>
  </w:style>
  <w:style w:type="paragraph" w:customStyle="1" w:styleId="B50068B439844D0A96E9A3B63E63DCCA">
    <w:name w:val="B50068B439844D0A96E9A3B63E63DCCA"/>
    <w:rsid w:val="006604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3237</Words>
  <Characters>18457</Characters>
  <Application>Microsoft Office Word</Application>
  <DocSecurity>0</DocSecurity>
  <Lines>153</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Annarita Travaglino</cp:lastModifiedBy>
  <cp:revision>6</cp:revision>
  <cp:lastPrinted>2015-05-12T18:31:00Z</cp:lastPrinted>
  <dcterms:created xsi:type="dcterms:W3CDTF">2025-08-05T17:39:00Z</dcterms:created>
  <dcterms:modified xsi:type="dcterms:W3CDTF">2025-08-07T08:04:00Z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