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jc w:val="center"/>
        <w:tblBorders>
          <w:bottom w:val="single" w:color="auto" w:sz="4" w:space="0"/>
        </w:tblBorders>
        <w:tblLook w:val="01E0" w:firstRow="1" w:lastRow="1" w:firstColumn="1" w:lastColumn="1" w:noHBand="0" w:noVBand="0"/>
      </w:tblPr>
      <w:tblGrid>
        <w:gridCol w:w="6940"/>
        <w:gridCol w:w="1842"/>
      </w:tblGrid>
      <w:tr w:rsidRPr="00B57B36" w:rsidR="000A03B2" w:rsidTr="00DE264A" w14:paraId="2A131A54" w14:textId="77777777">
        <w:trPr>
          <w:trHeight w:val="852"/>
          <w:jc w:val="center"/>
        </w:trPr>
        <w:tc>
          <w:tcPr>
            <w:tcW w:w="6946" w:type="dxa"/>
            <w:vMerge w:val="restart"/>
            <w:tcBorders>
              <w:right w:val="single" w:color="auto" w:sz="4" w:space="0"/>
            </w:tcBorders>
          </w:tcPr>
          <w:p w:rsidRPr="00B57B36" w:rsidR="000A03B2" w:rsidP="00DE264A" w:rsidRDefault="000A03B2" w14:paraId="38C3D2BA" w14:textId="77777777">
            <w:pPr>
              <w:tabs>
                <w:tab w:val="left" w:pos="-108"/>
              </w:tabs>
              <w:ind w:left="-108"/>
              <w:jc w:val="left"/>
              <w:rPr>
                <w:rFonts w:cs="Arial"/>
                <w:b/>
                <w:bCs/>
                <w:i/>
                <w:iCs/>
                <w:color w:val="000066"/>
                <w:sz w:val="12"/>
                <w:szCs w:val="12"/>
                <w:lang w:eastAsia="it-IT"/>
              </w:rPr>
            </w:pPr>
            <w:bookmarkStart w:name="_Hlk145068772"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Pr="00B57B36" w:rsidR="000A03B2" w:rsidP="001D21AF" w:rsidRDefault="00A76EFC" w14:paraId="4B780582" w14:textId="47EF826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color="auto" w:sz="4" w:space="0"/>
              <w:bottom w:val="nil"/>
              <w:right w:val="single" w:color="auto" w:sz="4" w:space="0"/>
            </w:tcBorders>
          </w:tcPr>
          <w:p w:rsidRPr="00B57B36" w:rsidR="000A03B2" w:rsidP="00CD5FE2" w:rsidRDefault="000A03B2" w14:paraId="56782132" w14:textId="77777777">
            <w:pPr>
              <w:spacing w:line="140" w:lineRule="atLeast"/>
              <w:jc w:val="right"/>
              <w:rPr>
                <w:rFonts w:cs="Arial"/>
                <w:sz w:val="14"/>
                <w:szCs w:val="14"/>
              </w:rPr>
            </w:pPr>
            <w:r w:rsidRPr="00B57B36">
              <w:rPr>
                <w:rFonts w:cs="Arial"/>
                <w:sz w:val="14"/>
                <w:szCs w:val="14"/>
              </w:rPr>
              <w:t>A publication of</w:t>
            </w:r>
          </w:p>
          <w:p w:rsidRPr="00B57B36" w:rsidR="000A03B2" w:rsidP="00CD5FE2" w:rsidRDefault="000A03B2" w14:paraId="599E5441" w14:textId="77777777">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Pr="00E344F9" w:rsidR="000A03B2" w:rsidTr="00DE264A" w14:paraId="380FA3CD" w14:textId="77777777">
        <w:trPr>
          <w:trHeight w:val="567"/>
          <w:jc w:val="center"/>
        </w:trPr>
        <w:tc>
          <w:tcPr>
            <w:tcW w:w="6946" w:type="dxa"/>
            <w:vMerge/>
            <w:tcBorders>
              <w:right w:val="single" w:color="auto" w:sz="4" w:space="0"/>
            </w:tcBorders>
          </w:tcPr>
          <w:p w:rsidRPr="00B57B36" w:rsidR="000A03B2" w:rsidP="00CD5FE2" w:rsidRDefault="000A03B2" w14:paraId="39E5E4C1" w14:textId="77777777">
            <w:pPr>
              <w:tabs>
                <w:tab w:val="left" w:pos="-108"/>
              </w:tabs>
            </w:pPr>
          </w:p>
        </w:tc>
        <w:tc>
          <w:tcPr>
            <w:tcW w:w="1843" w:type="dxa"/>
            <w:tcBorders>
              <w:left w:val="single" w:color="auto" w:sz="4" w:space="0"/>
              <w:bottom w:val="nil"/>
              <w:right w:val="single" w:color="auto" w:sz="4" w:space="0"/>
            </w:tcBorders>
          </w:tcPr>
          <w:p w:rsidRPr="00B57B36" w:rsidR="000A03B2" w:rsidP="00CD5FE2" w:rsidRDefault="000A03B2" w14:paraId="43858A98" w14:textId="77777777">
            <w:pPr>
              <w:spacing w:line="140" w:lineRule="atLeast"/>
              <w:jc w:val="right"/>
              <w:rPr>
                <w:rFonts w:cs="Arial"/>
                <w:sz w:val="14"/>
                <w:szCs w:val="14"/>
              </w:rPr>
            </w:pPr>
            <w:r w:rsidRPr="00B57B36">
              <w:rPr>
                <w:rFonts w:cs="Arial"/>
                <w:sz w:val="14"/>
                <w:szCs w:val="14"/>
              </w:rPr>
              <w:t>The Italian Association</w:t>
            </w:r>
          </w:p>
          <w:p w:rsidRPr="00B57B36" w:rsidR="000A03B2" w:rsidP="00CD5FE2" w:rsidRDefault="000A03B2" w14:paraId="7522B1D2" w14:textId="77777777">
            <w:pPr>
              <w:spacing w:line="140" w:lineRule="atLeast"/>
              <w:jc w:val="right"/>
              <w:rPr>
                <w:rFonts w:cs="Arial"/>
                <w:sz w:val="14"/>
                <w:szCs w:val="14"/>
              </w:rPr>
            </w:pPr>
            <w:r w:rsidRPr="00B57B36">
              <w:rPr>
                <w:rFonts w:cs="Arial"/>
                <w:sz w:val="14"/>
                <w:szCs w:val="14"/>
              </w:rPr>
              <w:t>of Chemical Engineering</w:t>
            </w:r>
          </w:p>
          <w:p w:rsidRPr="00BD0F6F" w:rsidR="000A03B2" w:rsidP="00CD5FE2" w:rsidRDefault="000D0268" w14:paraId="4F0CC5DE" w14:textId="47FDB2FC">
            <w:pPr>
              <w:spacing w:line="140" w:lineRule="atLeast"/>
              <w:jc w:val="right"/>
              <w:rPr>
                <w:rFonts w:cs="Arial"/>
                <w:sz w:val="13"/>
                <w:szCs w:val="13"/>
                <w:lang w:val="nb-NO"/>
              </w:rPr>
            </w:pPr>
            <w:r w:rsidRPr="00BD0F6F">
              <w:rPr>
                <w:rFonts w:cs="Arial"/>
                <w:sz w:val="13"/>
                <w:szCs w:val="13"/>
                <w:lang w:val="nb-NO"/>
              </w:rPr>
              <w:t>Online at www.cetjournal.it</w:t>
            </w:r>
          </w:p>
        </w:tc>
      </w:tr>
      <w:tr w:rsidRPr="00B57B36" w:rsidR="000A03B2" w:rsidTr="00DE264A" w14:paraId="2D1B7169" w14:textId="77777777">
        <w:trPr>
          <w:trHeight w:val="68"/>
          <w:jc w:val="center"/>
        </w:trPr>
        <w:tc>
          <w:tcPr>
            <w:tcW w:w="8789" w:type="dxa"/>
            <w:gridSpan w:val="2"/>
          </w:tcPr>
          <w:p w:rsidRPr="008832AA" w:rsidR="00AA7D26" w:rsidP="008832AA" w:rsidRDefault="00AA7D26" w14:paraId="1D8DD3C9" w14:textId="0F721BB9">
            <w:pPr>
              <w:ind w:left="-107"/>
              <w:outlineLvl w:val="2"/>
              <w:rPr>
                <w:rFonts w:ascii="Aptos" w:hAnsi="Aptos" w:cs="Aptos" w:eastAsiaTheme="minorHAnsi"/>
                <w:sz w:val="22"/>
                <w:szCs w:val="22"/>
                <w:lang w:val="it-IT"/>
                <w14:ligatures w14:val="standardContextual"/>
              </w:rPr>
            </w:pPr>
            <w:r w:rsidRPr="007D610D">
              <w:rPr>
                <w:rFonts w:ascii="Tahoma" w:hAnsi="Tahoma" w:cs="Tahoma"/>
                <w:iCs/>
                <w:color w:val="333333"/>
                <w:sz w:val="14"/>
                <w:szCs w:val="14"/>
                <w:lang w:val="it-IT" w:eastAsia="it-IT"/>
              </w:rPr>
              <w:t>Guest Editors:</w:t>
            </w:r>
            <w:r w:rsidRPr="008832AA" w:rsidR="008832AA">
              <w:rPr>
                <w:rFonts w:ascii="Aptos" w:hAnsi="Aptos" w:cs="Aptos" w:eastAsiaTheme="minorHAnsi"/>
                <w:sz w:val="22"/>
                <w:szCs w:val="22"/>
                <w:lang w:val="it-IT"/>
              </w:rPr>
              <w:t xml:space="preserve"> </w:t>
            </w:r>
            <w:r w:rsidRPr="008832AA" w:rsidR="008832AA">
              <w:rPr>
                <w:rFonts w:ascii="Tahoma" w:hAnsi="Tahoma" w:cs="Tahoma" w:eastAsiaTheme="minorHAnsi"/>
                <w:sz w:val="14"/>
                <w:szCs w:val="14"/>
                <w:lang w:val="it-IT"/>
                <w14:ligatures w14:val="standardContextual"/>
              </w:rPr>
              <w:t>David Bogle, Flavio Manenti, Piero Salatino</w:t>
            </w:r>
          </w:p>
          <w:p w:rsidRPr="00B57B36" w:rsidR="000A03B2" w:rsidP="00AA7D26" w:rsidRDefault="00AA7D26" w14:paraId="1B0F1814" w14:textId="39433521">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sidR="003B49CD">
              <w:rPr>
                <w:rFonts w:ascii="Tahoma" w:hAnsi="Tahoma" w:cs="Tahoma"/>
                <w:sz w:val="14"/>
                <w:szCs w:val="14"/>
              </w:rPr>
              <w:t>97</w:t>
            </w:r>
            <w:r w:rsidR="003B49CD">
              <w:rPr>
                <w:rFonts w:ascii="Tahoma" w:hAnsi="Tahoma" w:cs="Tahoma"/>
                <w:sz w:val="14"/>
                <w:szCs w:val="14"/>
              </w:rPr>
              <w:t>9</w:t>
            </w:r>
            <w:r w:rsidRPr="000562A9" w:rsidR="003B49CD">
              <w:rPr>
                <w:rFonts w:ascii="Tahoma" w:hAnsi="Tahoma" w:cs="Tahoma"/>
                <w:sz w:val="14"/>
                <w:szCs w:val="14"/>
              </w:rPr>
              <w:t>-</w:t>
            </w:r>
            <w:r w:rsidR="003B49CD">
              <w:rPr>
                <w:rFonts w:ascii="Tahoma" w:hAnsi="Tahoma" w:cs="Tahoma"/>
                <w:sz w:val="14"/>
                <w:szCs w:val="14"/>
              </w:rPr>
              <w:t>12</w:t>
            </w:r>
            <w:r w:rsidRPr="000562A9" w:rsidR="003B49CD">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Pr="003904D3" w:rsidR="003B49CD">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rsidRPr="00A9172C" w:rsidR="00E978D0" w:rsidP="00E978D0" w:rsidRDefault="0033242D" w14:paraId="2E667253" w14:textId="35D79615">
      <w:pPr>
        <w:pStyle w:val="CETTitle"/>
        <w:rPr>
          <w:lang w:val="en-US"/>
        </w:rPr>
      </w:pPr>
      <w:r w:rsidRPr="00A9172C">
        <w:rPr>
          <w:lang w:val="en-US"/>
        </w:rPr>
        <w:t>Hydrogen Safety in the Glass Industry: Focus on Electroly</w:t>
      </w:r>
      <w:r w:rsidRPr="00A9172C" w:rsidR="00A9172C">
        <w:rPr>
          <w:lang w:val="en-US"/>
        </w:rPr>
        <w:t>z</w:t>
      </w:r>
      <w:r w:rsidRPr="00A9172C">
        <w:rPr>
          <w:lang w:val="en-US"/>
        </w:rPr>
        <w:t>er Risks</w:t>
      </w:r>
    </w:p>
    <w:p w:rsidRPr="00107D42" w:rsidR="00B57E6F" w:rsidP="00B57E6F" w:rsidRDefault="007A6A9E" w14:paraId="0488FED2" w14:textId="3D774A1F">
      <w:pPr>
        <w:pStyle w:val="CETAuthors"/>
        <w:rPr>
          <w:lang w:val="it-IT"/>
        </w:rPr>
      </w:pPr>
      <w:r w:rsidRPr="017B0212" w:rsidR="007A6A9E">
        <w:rPr>
          <w:lang w:val="it-IT"/>
        </w:rPr>
        <w:t>Giulia Collina</w:t>
      </w:r>
      <w:r w:rsidRPr="017B0212" w:rsidR="00B57E6F">
        <w:rPr>
          <w:vertAlign w:val="superscript"/>
          <w:lang w:val="it-IT"/>
        </w:rPr>
        <w:t>a</w:t>
      </w:r>
      <w:r w:rsidRPr="017B0212" w:rsidR="00B857ED">
        <w:rPr>
          <w:vertAlign w:val="superscript"/>
          <w:lang w:val="it-IT"/>
        </w:rPr>
        <w:t>,b</w:t>
      </w:r>
      <w:r w:rsidRPr="017B0212" w:rsidR="0062097E">
        <w:rPr>
          <w:vertAlign w:val="superscript"/>
          <w:lang w:val="it-IT"/>
        </w:rPr>
        <w:t>*</w:t>
      </w:r>
      <w:r w:rsidRPr="017B0212" w:rsidR="00B57E6F">
        <w:rPr>
          <w:lang w:val="it-IT"/>
        </w:rPr>
        <w:t xml:space="preserve">, </w:t>
      </w:r>
      <w:r w:rsidRPr="017B0212" w:rsidR="007A6A9E">
        <w:rPr>
          <w:lang w:val="it-IT"/>
        </w:rPr>
        <w:t>Giulia Fed</w:t>
      </w:r>
      <w:r w:rsidRPr="017B0212" w:rsidR="0062097E">
        <w:rPr>
          <w:lang w:val="it-IT"/>
        </w:rPr>
        <w:t>e</w:t>
      </w:r>
      <w:r w:rsidRPr="017B0212" w:rsidR="0062097E">
        <w:rPr>
          <w:vertAlign w:val="superscript"/>
          <w:lang w:val="it-IT"/>
        </w:rPr>
        <w:t>a</w:t>
      </w:r>
      <w:r w:rsidRPr="017B0212" w:rsidR="00B57E6F">
        <w:rPr>
          <w:lang w:val="it-IT"/>
        </w:rPr>
        <w:t>,</w:t>
      </w:r>
      <w:r w:rsidRPr="017B0212" w:rsidR="00B857ED">
        <w:rPr>
          <w:lang w:val="it-IT"/>
        </w:rPr>
        <w:t xml:space="preserve"> </w:t>
      </w:r>
      <w:r w:rsidRPr="017B0212" w:rsidR="0062097E">
        <w:rPr>
          <w:lang w:val="it-IT"/>
        </w:rPr>
        <w:t>Marta Bucelli</w:t>
      </w:r>
      <w:r w:rsidRPr="017B0212" w:rsidR="003E6041">
        <w:rPr>
          <w:vertAlign w:val="superscript"/>
          <w:lang w:val="it-IT"/>
        </w:rPr>
        <w:t>c</w:t>
      </w:r>
      <w:r w:rsidRPr="017B0212" w:rsidR="00D66405">
        <w:rPr>
          <w:lang w:val="it-IT"/>
        </w:rPr>
        <w:t>, Nicola Paltrinieri</w:t>
      </w:r>
      <w:r w:rsidRPr="017B0212" w:rsidR="00D66405">
        <w:rPr>
          <w:vertAlign w:val="superscript"/>
          <w:lang w:val="it-IT"/>
        </w:rPr>
        <w:t>a</w:t>
      </w:r>
      <w:r w:rsidRPr="017B0212" w:rsidR="00D66405">
        <w:rPr>
          <w:lang w:val="it-IT"/>
        </w:rPr>
        <w:t xml:space="preserve"> </w:t>
      </w:r>
    </w:p>
    <w:p w:rsidRPr="00A9172C" w:rsidR="00FB7CF0" w:rsidP="00FB7CF0" w:rsidRDefault="00FB7CF0" w14:paraId="02D1A2B0" w14:textId="77777777">
      <w:pPr>
        <w:pStyle w:val="Default"/>
        <w:rPr>
          <w:rStyle w:val="CETAddressCarattere"/>
          <w:rFonts w:eastAsiaTheme="minorHAnsi"/>
          <w:lang w:val="en-US"/>
        </w:rPr>
      </w:pPr>
      <w:r w:rsidRPr="00A9172C">
        <w:rPr>
          <w:rFonts w:ascii="Arial" w:hAnsi="Arial" w:cs="Arial"/>
          <w:sz w:val="16"/>
          <w:szCs w:val="16"/>
          <w:vertAlign w:val="superscript"/>
          <w:lang w:val="en-US"/>
        </w:rPr>
        <w:t>a</w:t>
      </w:r>
      <w:r w:rsidRPr="00A9172C">
        <w:rPr>
          <w:lang w:val="en-US"/>
        </w:rPr>
        <w:t xml:space="preserve"> </w:t>
      </w:r>
      <w:r w:rsidRPr="00A9172C">
        <w:rPr>
          <w:rStyle w:val="CETAddressCarattere"/>
          <w:rFonts w:eastAsiaTheme="minorHAnsi"/>
          <w:lang w:val="en-US"/>
        </w:rPr>
        <w:t>Department of Mechanical and Industrial Engineering, Norwegian University of Science and Technology NTNU, Richard Birkelands vei 2B, 7034 Trondheim, Norway</w:t>
      </w:r>
    </w:p>
    <w:p w:rsidRPr="00A9172C" w:rsidR="00A75C97" w:rsidP="00A75C97" w:rsidRDefault="00B857ED" w14:paraId="1F68C7FC" w14:textId="6A0A5C95">
      <w:pPr>
        <w:pStyle w:val="Default"/>
        <w:rPr>
          <w:rStyle w:val="CETAddressCarattere"/>
          <w:rFonts w:eastAsiaTheme="minorHAnsi"/>
          <w:lang w:val="en-US"/>
        </w:rPr>
      </w:pPr>
      <w:r w:rsidRPr="00A9172C">
        <w:rPr>
          <w:rStyle w:val="CETAddressCarattere"/>
          <w:rFonts w:eastAsiaTheme="minorHAnsi"/>
          <w:vertAlign w:val="superscript"/>
          <w:lang w:val="en-US"/>
        </w:rPr>
        <w:t xml:space="preserve">b </w:t>
      </w:r>
      <w:r w:rsidRPr="00A9172C" w:rsidR="000F04FF">
        <w:rPr>
          <w:rStyle w:val="CETAddressCarattere"/>
          <w:rFonts w:eastAsiaTheme="minorHAnsi"/>
          <w:lang w:val="en-US"/>
        </w:rPr>
        <w:t>Department of Civil, Chemical, Environmental and Materials Engineering, Alma Mater Studiorum - Università di Bologna, via Terracini 28, 40131 Bologna, Italy</w:t>
      </w:r>
    </w:p>
    <w:p w:rsidRPr="00A9172C" w:rsidR="00FB7CF0" w:rsidP="00FB7CF0" w:rsidRDefault="003E6041" w14:paraId="3F5AF608" w14:textId="6B2D8408">
      <w:pPr>
        <w:pStyle w:val="Default"/>
        <w:rPr>
          <w:lang w:val="en-US"/>
        </w:rPr>
      </w:pPr>
      <w:r>
        <w:rPr>
          <w:rFonts w:ascii="Arial" w:hAnsi="Arial" w:cs="Arial"/>
          <w:sz w:val="16"/>
          <w:szCs w:val="16"/>
          <w:vertAlign w:val="superscript"/>
          <w:lang w:val="en-US"/>
        </w:rPr>
        <w:t>c</w:t>
      </w:r>
      <w:r w:rsidRPr="00A9172C" w:rsidR="00FB7CF0">
        <w:rPr>
          <w:rStyle w:val="CETAddressCarattere"/>
          <w:rFonts w:eastAsiaTheme="minorHAnsi"/>
          <w:lang w:val="en-US"/>
        </w:rPr>
        <w:t xml:space="preserve"> Department of Gas Technology, SINTEF Energy Research, Kolbjørn Hejes vei 1A, 7034 Trondheim, Norway</w:t>
      </w:r>
    </w:p>
    <w:p w:rsidRPr="00A9172C" w:rsidR="00A75C97" w:rsidP="00A75C97" w:rsidRDefault="00A75C97" w14:paraId="76DDDF92" w14:textId="4194A382">
      <w:pPr>
        <w:pStyle w:val="CETemail"/>
        <w:rPr>
          <w:lang w:val="en-US"/>
        </w:rPr>
      </w:pPr>
      <w:r w:rsidRPr="00A9172C">
        <w:rPr>
          <w:lang w:val="en-US"/>
        </w:rPr>
        <w:t xml:space="preserve"> giulia.collina@ntnu.no </w:t>
      </w:r>
    </w:p>
    <w:p w:rsidRPr="00A9172C" w:rsidR="006A6DE5" w:rsidP="00014CE7" w:rsidRDefault="00014CE7" w14:paraId="38F76186" w14:textId="28D28381">
      <w:pPr>
        <w:pStyle w:val="CETBodytext"/>
      </w:pPr>
      <w:bookmarkStart w:name="_Hlk495475023" w:id="1"/>
      <w:r w:rsidRPr="00A9172C">
        <w:t>Hydrogen is expected to penetrate economies and gain more and more interest from several sectors. The urgency of addressing climate change makes its capability to be carbon neutral very attractive. The glass sector, being energy-intensive, is eligible to be among the pioneers of new hydrogen applications</w:t>
      </w:r>
      <w:r w:rsidRPr="00A9172C" w:rsidR="00E835A7">
        <w:t>, using it as a fuel in furnaces and</w:t>
      </w:r>
      <w:r w:rsidRPr="00A9172C">
        <w:t xml:space="preserve"> replacing natural gas. However, introducing hydrogen in this sector involves technical changes due to the impacts on the process and the management of the plant: a thorough investigation of the main challenges of this implementation is needed. </w:t>
      </w:r>
      <w:r w:rsidRPr="00A9172C" w:rsidR="008C6536">
        <w:t>In addition, hydrogen has s</w:t>
      </w:r>
      <w:r w:rsidRPr="00A9172C" w:rsidR="004246B1">
        <w:t>afety</w:t>
      </w:r>
      <w:r w:rsidRPr="00A9172C" w:rsidR="00CE3F7E">
        <w:t>-</w:t>
      </w:r>
      <w:r w:rsidRPr="00A9172C" w:rsidR="004246B1">
        <w:t xml:space="preserve">critical properties; therefore, the </w:t>
      </w:r>
      <w:r w:rsidRPr="00A9172C">
        <w:t xml:space="preserve">new part of the plant responsible for hydrogen production and supply to the furnace introduces emerging risks to this </w:t>
      </w:r>
      <w:r w:rsidRPr="00A9172C" w:rsidR="002808B8">
        <w:t>sector</w:t>
      </w:r>
      <w:r w:rsidRPr="00A9172C">
        <w:t xml:space="preserve">, which is not familiar with hazardous substances. This study </w:t>
      </w:r>
      <w:bookmarkEnd w:id="1"/>
      <w:r w:rsidRPr="00A9172C" w:rsidR="006C3390">
        <w:t xml:space="preserve">focuses on the </w:t>
      </w:r>
      <w:r w:rsidRPr="00A9172C" w:rsidR="004246B1">
        <w:t xml:space="preserve">safety implications of </w:t>
      </w:r>
      <w:r w:rsidRPr="00A9172C" w:rsidR="00CE3F7E">
        <w:t>having</w:t>
      </w:r>
      <w:r w:rsidRPr="00A9172C" w:rsidR="004246B1">
        <w:t xml:space="preserve"> </w:t>
      </w:r>
      <w:r w:rsidRPr="00A9172C" w:rsidR="006C3390">
        <w:t>green hydrogen production</w:t>
      </w:r>
      <w:r w:rsidRPr="00A9172C" w:rsidR="00CE3F7E">
        <w:t xml:space="preserve"> on-site</w:t>
      </w:r>
      <w:r w:rsidRPr="00A9172C" w:rsidR="006C3390">
        <w:t xml:space="preserve"> and evaluates </w:t>
      </w:r>
      <w:r w:rsidRPr="00A9172C" w:rsidR="00564136">
        <w:t>the impact of selecting a specific size of PEM electroly</w:t>
      </w:r>
      <w:r w:rsidR="00A9172C">
        <w:t>z</w:t>
      </w:r>
      <w:r w:rsidRPr="00A9172C" w:rsidR="00564136">
        <w:t>er th</w:t>
      </w:r>
      <w:r w:rsidRPr="00A9172C" w:rsidR="004246B1">
        <w:t>r</w:t>
      </w:r>
      <w:r w:rsidRPr="00A9172C" w:rsidR="00564136">
        <w:t xml:space="preserve">ough </w:t>
      </w:r>
      <w:r w:rsidRPr="00A9172C" w:rsidR="008C6536">
        <w:t>a consolidated approach based on Inherent Safety Key Performance Indicators</w:t>
      </w:r>
      <w:r w:rsidRPr="00A9172C" w:rsidR="00564136">
        <w:t xml:space="preserve">. </w:t>
      </w:r>
    </w:p>
    <w:p w:rsidRPr="00A9172C" w:rsidR="00600535" w:rsidP="009679B9" w:rsidRDefault="00600535" w14:paraId="476B2F2E" w14:textId="6B4E62D6">
      <w:pPr>
        <w:pStyle w:val="CETHeading1"/>
        <w:spacing w:before="200"/>
      </w:pPr>
      <w:r w:rsidRPr="00A9172C">
        <w:t>Introduction</w:t>
      </w:r>
    </w:p>
    <w:p w:rsidRPr="00A9172C" w:rsidR="00B209F1" w:rsidP="006C3DF2" w:rsidRDefault="00F64719" w14:paraId="44EA68F3" w14:textId="4B31BD9D">
      <w:pPr>
        <w:pStyle w:val="CETBodytext"/>
      </w:pPr>
      <w:r w:rsidRPr="00A9172C">
        <w:t>In 2023, the industry sector accounted for around 40% of total energy-related CO</w:t>
      </w:r>
      <w:r w:rsidRPr="00A9172C">
        <w:rPr>
          <w:vertAlign w:val="subscript"/>
        </w:rPr>
        <w:t>2</w:t>
      </w:r>
      <w:r w:rsidRPr="00A9172C">
        <w:t xml:space="preserve"> emissions, approximately 37.7 Gt</w:t>
      </w:r>
      <w:r w:rsidRPr="00A9172C" w:rsidR="000B54ED">
        <w:t xml:space="preserve"> (IEA, 2024)</w:t>
      </w:r>
      <w:r w:rsidRPr="00A9172C">
        <w:t xml:space="preserve">. </w:t>
      </w:r>
      <w:r w:rsidRPr="00A9172C" w:rsidR="00EB7108">
        <w:t>S</w:t>
      </w:r>
      <w:r w:rsidRPr="00A9172C" w:rsidR="00355095">
        <w:t xml:space="preserve">everal industrial sectors must </w:t>
      </w:r>
      <w:r w:rsidRPr="00A9172C" w:rsidR="00DA2A63">
        <w:t xml:space="preserve">find suitable solutions to modify and adapt their </w:t>
      </w:r>
      <w:r w:rsidRPr="00A9172C" w:rsidR="001E0586">
        <w:t>processes</w:t>
      </w:r>
      <w:r w:rsidRPr="00A9172C" w:rsidR="00EB7108">
        <w:t xml:space="preserve"> to meet the targets </w:t>
      </w:r>
      <w:r w:rsidRPr="00A9172C" w:rsidR="007C3235">
        <w:t>specified in the</w:t>
      </w:r>
      <w:r w:rsidRPr="00A9172C" w:rsidR="00EB7108">
        <w:t xml:space="preserve"> Paris Agreement. </w:t>
      </w:r>
      <w:r w:rsidRPr="00A9172C" w:rsidR="0037054D">
        <w:t>Energy-intensive industries</w:t>
      </w:r>
      <w:r w:rsidR="004F22EE">
        <w:t xml:space="preserve"> are</w:t>
      </w:r>
      <w:r w:rsidRPr="00A9172C" w:rsidR="00147095">
        <w:t xml:space="preserve"> the hardest to decarboni</w:t>
      </w:r>
      <w:r w:rsidR="00793A62">
        <w:t>z</w:t>
      </w:r>
      <w:r w:rsidRPr="00A9172C" w:rsidR="00147095">
        <w:t xml:space="preserve">e due to </w:t>
      </w:r>
      <w:r w:rsidRPr="00A9172C" w:rsidR="00CD2901">
        <w:t xml:space="preserve">their heterogeneity, </w:t>
      </w:r>
      <w:r w:rsidRPr="00A9172C" w:rsidR="00796263">
        <w:t xml:space="preserve">high cost-competitiveness, and sensitivity to </w:t>
      </w:r>
      <w:r w:rsidRPr="00A9172C" w:rsidR="000A72B4">
        <w:t>product quality</w:t>
      </w:r>
      <w:r w:rsidRPr="00A9172C" w:rsidR="00ED21BF">
        <w:t xml:space="preserve"> (</w:t>
      </w:r>
      <w:r w:rsidRPr="00A9172C" w:rsidR="00395264">
        <w:t>Bataille</w:t>
      </w:r>
      <w:r w:rsidRPr="00A9172C" w:rsidR="00ED21BF">
        <w:t xml:space="preserve"> et al., 20</w:t>
      </w:r>
      <w:r w:rsidRPr="00A9172C" w:rsidR="00395264">
        <w:t>18</w:t>
      </w:r>
      <w:r w:rsidRPr="00A9172C" w:rsidR="00ED21BF">
        <w:t>)</w:t>
      </w:r>
      <w:r w:rsidRPr="00A9172C" w:rsidR="000A72B4">
        <w:t xml:space="preserve">. </w:t>
      </w:r>
      <w:r w:rsidR="00C10A1D">
        <w:t>Melting the raw materials</w:t>
      </w:r>
      <w:r w:rsidR="00F120AB">
        <w:t xml:space="preserve"> </w:t>
      </w:r>
      <w:r w:rsidRPr="00A9172C" w:rsidR="00F120AB">
        <w:t>(sand, soda ash, limestone, and dolomite)</w:t>
      </w:r>
      <w:r w:rsidR="00F120AB">
        <w:t xml:space="preserve"> for g</w:t>
      </w:r>
      <w:r w:rsidRPr="00A9172C" w:rsidR="00362A3F">
        <w:t xml:space="preserve">lass production requires </w:t>
      </w:r>
      <w:r w:rsidRPr="00A9172C" w:rsidR="004267EB">
        <w:t>temperatures above 1500 °C</w:t>
      </w:r>
      <w:r w:rsidRPr="00A9172C" w:rsidR="00647CFC">
        <w:t xml:space="preserve">. </w:t>
      </w:r>
      <w:r w:rsidRPr="00A9172C" w:rsidR="00E835A7">
        <w:t>In</w:t>
      </w:r>
      <w:r w:rsidRPr="00A9172C" w:rsidR="00647CFC">
        <w:t xml:space="preserve"> </w:t>
      </w:r>
      <w:r w:rsidRPr="00A9172C" w:rsidR="00E835A7">
        <w:t xml:space="preserve">the </w:t>
      </w:r>
      <w:r w:rsidRPr="00A9172C" w:rsidR="00647CFC">
        <w:t>current state</w:t>
      </w:r>
      <w:r w:rsidRPr="00A9172C" w:rsidR="005A04E3">
        <w:t xml:space="preserve">, </w:t>
      </w:r>
      <w:r w:rsidRPr="00A9172C" w:rsidR="00E97CD3">
        <w:t xml:space="preserve">fossil fuels are the </w:t>
      </w:r>
      <w:r w:rsidRPr="00A9172C" w:rsidR="00E835A7">
        <w:t>primary</w:t>
      </w:r>
      <w:r w:rsidRPr="00A9172C" w:rsidR="00E97CD3">
        <w:t xml:space="preserve"> source of energy</w:t>
      </w:r>
      <w:r w:rsidRPr="00A9172C" w:rsidR="005B011F">
        <w:t>.</w:t>
      </w:r>
      <w:r w:rsidRPr="00A9172C" w:rsidR="0004673F">
        <w:t xml:space="preserve"> </w:t>
      </w:r>
      <w:r w:rsidRPr="00A9172C" w:rsidR="00E835A7">
        <w:t>Zier et al. (2021)</w:t>
      </w:r>
      <w:r w:rsidRPr="00A9172C" w:rsidR="00395264">
        <w:t xml:space="preserve"> </w:t>
      </w:r>
      <w:r w:rsidRPr="00A9172C" w:rsidR="00AD5242">
        <w:t xml:space="preserve">outlined </w:t>
      </w:r>
      <w:r w:rsidRPr="00A9172C" w:rsidR="002B73AB">
        <w:t xml:space="preserve">various </w:t>
      </w:r>
      <w:r w:rsidRPr="00A9172C" w:rsidR="00E835A7">
        <w:t>decarboni</w:t>
      </w:r>
      <w:r w:rsidR="00793A62">
        <w:t>z</w:t>
      </w:r>
      <w:r w:rsidRPr="00A9172C" w:rsidR="00E835A7">
        <w:t xml:space="preserve">ation options regarding process intensification, waste heat recovery, recycling materials, and changing the fuel. </w:t>
      </w:r>
      <w:r w:rsidRPr="00A9172C" w:rsidR="006510E7">
        <w:t xml:space="preserve">Among </w:t>
      </w:r>
      <w:r w:rsidRPr="00A9172C" w:rsidR="00E34B77">
        <w:t>everything, hydrogen stands out as one of the most attractive solutions, due to its</w:t>
      </w:r>
      <w:r w:rsidRPr="00A9172C" w:rsidR="00FD23D1">
        <w:t xml:space="preserve"> CO</w:t>
      </w:r>
      <w:r w:rsidRPr="00A9172C" w:rsidR="00FD23D1">
        <w:rPr>
          <w:vertAlign w:val="subscript"/>
        </w:rPr>
        <w:t>2</w:t>
      </w:r>
      <w:r w:rsidRPr="00A9172C" w:rsidR="00E34B77">
        <w:t xml:space="preserve"> neutrality</w:t>
      </w:r>
      <w:r w:rsidRPr="00A9172C" w:rsidR="00D533A2">
        <w:t xml:space="preserve">. </w:t>
      </w:r>
    </w:p>
    <w:p w:rsidRPr="00A9172C" w:rsidR="006C3DF2" w:rsidP="006C3DF2" w:rsidRDefault="00A7576A" w14:paraId="377FE275" w14:textId="146F074E">
      <w:pPr>
        <w:pStyle w:val="CETBodytext"/>
        <w:rPr>
          <w:color w:val="FF0000"/>
        </w:rPr>
      </w:pPr>
      <w:r w:rsidRPr="00A9172C">
        <w:t xml:space="preserve">The </w:t>
      </w:r>
      <w:r w:rsidRPr="00A9172C" w:rsidR="00D533A2">
        <w:t>following subsection</w:t>
      </w:r>
      <w:r w:rsidRPr="00A9172C" w:rsidR="00582345">
        <w:t>s</w:t>
      </w:r>
      <w:r w:rsidRPr="00A9172C" w:rsidR="00D533A2">
        <w:t xml:space="preserve"> </w:t>
      </w:r>
      <w:r w:rsidRPr="00A9172C" w:rsidR="00582345">
        <w:t>introduce relevant aspects that should be addressed within this transition: the effects on NO</w:t>
      </w:r>
      <w:r w:rsidRPr="005E4D30" w:rsidR="00582345">
        <w:rPr>
          <w:vertAlign w:val="subscript"/>
        </w:rPr>
        <w:t>x</w:t>
      </w:r>
      <w:r w:rsidRPr="00A9172C" w:rsidR="00582345">
        <w:t xml:space="preserve"> emission</w:t>
      </w:r>
      <w:r w:rsidR="005E0D9B">
        <w:t>,</w:t>
      </w:r>
      <w:r w:rsidR="004039C4">
        <w:t xml:space="preserve"> </w:t>
      </w:r>
      <w:r w:rsidR="004039C4">
        <w:rPr>
          <w:lang w:val="en-GB"/>
        </w:rPr>
        <w:t>the impact on the glass quality,</w:t>
      </w:r>
      <w:r w:rsidRPr="00537625" w:rsidR="004039C4">
        <w:rPr>
          <w:lang w:val="en-GB"/>
        </w:rPr>
        <w:t xml:space="preserve"> and the implication of using green hydrogen in terms of costs</w:t>
      </w:r>
      <w:r w:rsidRPr="00A9172C" w:rsidR="00701374">
        <w:t>.</w:t>
      </w:r>
      <w:r w:rsidRPr="00A9172C" w:rsidR="006C3DF2">
        <w:t xml:space="preserve"> The </w:t>
      </w:r>
      <w:r w:rsidRPr="00A9172C" w:rsidR="00D92A6B">
        <w:t xml:space="preserve">core </w:t>
      </w:r>
      <w:r w:rsidRPr="00A9172C" w:rsidR="006C3DF2">
        <w:t>of the</w:t>
      </w:r>
      <w:r w:rsidRPr="00A9172C" w:rsidR="00D92A6B">
        <w:t xml:space="preserve"> present</w:t>
      </w:r>
      <w:r w:rsidRPr="00A9172C" w:rsidR="006C3DF2">
        <w:t xml:space="preserve"> study </w:t>
      </w:r>
      <w:r w:rsidRPr="00A9172C" w:rsidR="00D92A6B">
        <w:t>focuses</w:t>
      </w:r>
      <w:r w:rsidRPr="00A9172C" w:rsidR="006C3DF2">
        <w:t xml:space="preserve"> on safety aspects of</w:t>
      </w:r>
      <w:r w:rsidRPr="00A9172C" w:rsidR="00701374">
        <w:t xml:space="preserve"> </w:t>
      </w:r>
      <w:r w:rsidRPr="00A9172C" w:rsidR="006C3DF2">
        <w:t xml:space="preserve">using on-site produced </w:t>
      </w:r>
      <w:r w:rsidRPr="00A9172C" w:rsidR="00D92A6B">
        <w:t xml:space="preserve">green </w:t>
      </w:r>
      <w:r w:rsidRPr="00A9172C" w:rsidR="006C3DF2">
        <w:t>hydrogen</w:t>
      </w:r>
      <w:r w:rsidRPr="00A9172C" w:rsidR="00D92A6B">
        <w:t xml:space="preserve"> through electrolysis</w:t>
      </w:r>
      <w:r w:rsidRPr="00A9172C" w:rsidR="006C3DF2">
        <w:t>.</w:t>
      </w:r>
    </w:p>
    <w:p w:rsidRPr="00A9172C" w:rsidR="002D62E3" w:rsidP="006C3DF2" w:rsidRDefault="002A58FA" w14:paraId="630E8EA1" w14:textId="48C14535">
      <w:pPr>
        <w:pStyle w:val="CETheadingx"/>
      </w:pPr>
      <w:r w:rsidRPr="00A9172C">
        <w:t>Effects on emissions</w:t>
      </w:r>
    </w:p>
    <w:p w:rsidRPr="00A9172C" w:rsidR="00D91740" w:rsidP="00D91740" w:rsidRDefault="004333E1" w14:paraId="18D5A792" w14:textId="7DA57FDB">
      <w:pPr>
        <w:pStyle w:val="CETBodytext"/>
      </w:pPr>
      <w:r w:rsidRPr="00A9172C">
        <w:t>In addition to the</w:t>
      </w:r>
      <w:r w:rsidRPr="00A9172C" w:rsidR="00BA1C63">
        <w:t xml:space="preserve"> carbon d</w:t>
      </w:r>
      <w:r w:rsidRPr="00A9172C" w:rsidR="00E40ED4">
        <w:t>i</w:t>
      </w:r>
      <w:r w:rsidRPr="00A9172C" w:rsidR="00BA1C63">
        <w:t>oxide</w:t>
      </w:r>
      <w:r w:rsidRPr="00A9172C">
        <w:t xml:space="preserve"> </w:t>
      </w:r>
      <w:r w:rsidRPr="00A9172C" w:rsidR="00BA1C63">
        <w:t>(</w:t>
      </w:r>
      <w:r w:rsidRPr="00A9172C">
        <w:t>CO</w:t>
      </w:r>
      <w:r w:rsidRPr="00A9172C">
        <w:rPr>
          <w:vertAlign w:val="subscript"/>
        </w:rPr>
        <w:t>2</w:t>
      </w:r>
      <w:r w:rsidRPr="00A9172C" w:rsidR="00BA1C63">
        <w:t>)</w:t>
      </w:r>
      <w:r w:rsidRPr="00A9172C">
        <w:t xml:space="preserve"> emissions, g</w:t>
      </w:r>
      <w:r w:rsidRPr="00A9172C" w:rsidR="003066A5">
        <w:t>lass manufacturing processes contribute significantly to nitrogen oxides (NO</w:t>
      </w:r>
      <w:r w:rsidRPr="00A9172C" w:rsidR="003066A5">
        <w:rPr>
          <w:vertAlign w:val="subscript"/>
        </w:rPr>
        <w:t>x</w:t>
      </w:r>
      <w:r w:rsidRPr="00A9172C" w:rsidR="003066A5">
        <w:t>)</w:t>
      </w:r>
      <w:r w:rsidRPr="00A9172C" w:rsidR="00A34AD9">
        <w:t xml:space="preserve"> emissions</w:t>
      </w:r>
      <w:r w:rsidR="00946F38">
        <w:t>, resulting</w:t>
      </w:r>
      <w:r w:rsidRPr="00A9172C" w:rsidR="0071161D">
        <w:t xml:space="preserve"> from the </w:t>
      </w:r>
      <w:r w:rsidRPr="00A9172C" w:rsidR="00653CED">
        <w:t xml:space="preserve">oxidation of nitrogen in the combustion air, </w:t>
      </w:r>
      <w:r w:rsidRPr="00A9172C" w:rsidR="0071161D">
        <w:t>driven by</w:t>
      </w:r>
      <w:r w:rsidRPr="00A9172C" w:rsidR="00653CED">
        <w:t xml:space="preserve"> high temperatures. </w:t>
      </w:r>
      <w:r w:rsidRPr="00A9172C" w:rsidR="0071161D">
        <w:t xml:space="preserve">Thus, </w:t>
      </w:r>
      <w:r w:rsidRPr="00A9172C" w:rsidR="0019451D">
        <w:t>switching to hydrogen-</w:t>
      </w:r>
      <w:r w:rsidRPr="00A9172C" w:rsidR="004267B9">
        <w:t>fueled</w:t>
      </w:r>
      <w:r w:rsidRPr="00A9172C" w:rsidR="0019451D">
        <w:t xml:space="preserve"> glass furnaces</w:t>
      </w:r>
      <w:r w:rsidRPr="00A9172C" w:rsidR="00D92A6B">
        <w:t xml:space="preserve"> helps </w:t>
      </w:r>
      <w:r w:rsidR="007B061F">
        <w:t>reduce CO2 emissions, but may increase NOx emissions</w:t>
      </w:r>
      <w:r w:rsidR="006C5C73">
        <w:t xml:space="preserve"> due to </w:t>
      </w:r>
      <w:r w:rsidR="007A7F3A">
        <w:t>hydrogen’s</w:t>
      </w:r>
      <w:r w:rsidRPr="00A9172C" w:rsidR="00E8057A">
        <w:t xml:space="preserve"> higher adiabatic flame temperature</w:t>
      </w:r>
      <w:r w:rsidRPr="00A9172C" w:rsidR="00741D0A">
        <w:t>.</w:t>
      </w:r>
      <w:r w:rsidR="00DB5447">
        <w:t xml:space="preserve"> </w:t>
      </w:r>
      <w:r w:rsidR="002F3EC9">
        <w:t xml:space="preserve">Additionally, </w:t>
      </w:r>
      <w:r w:rsidR="007B061F">
        <w:t>two factors should</w:t>
      </w:r>
      <w:r w:rsidR="002F3EC9">
        <w:t xml:space="preserve"> be balanced: </w:t>
      </w:r>
      <w:r w:rsidRPr="00A9172C" w:rsidR="002F6443">
        <w:t xml:space="preserve">for </w:t>
      </w:r>
      <w:r w:rsidRPr="00A9172C" w:rsidR="00E322A4">
        <w:t>the same</w:t>
      </w:r>
      <w:r w:rsidRPr="00A9172C" w:rsidR="002F6443">
        <w:t xml:space="preserve"> amount of fuel, hydrogen combustion requires </w:t>
      </w:r>
      <w:r w:rsidRPr="00A9172C" w:rsidR="00E322A4">
        <w:t xml:space="preserve">75 % less </w:t>
      </w:r>
      <w:r w:rsidRPr="00A9172C" w:rsidR="002F6443">
        <w:t>oxygen</w:t>
      </w:r>
      <w:r w:rsidR="00FF081A">
        <w:t>, but a</w:t>
      </w:r>
      <w:r w:rsidRPr="00A9172C" w:rsidR="001D13CF">
        <w:t xml:space="preserve"> higher </w:t>
      </w:r>
      <w:r w:rsidRPr="00A9172C" w:rsidR="002F6443">
        <w:t>fuel demand is expected due to its lower volumetric energy density (3 KWh/Nm</w:t>
      </w:r>
      <w:r w:rsidRPr="00A9172C" w:rsidR="002F6443">
        <w:rPr>
          <w:vertAlign w:val="superscript"/>
        </w:rPr>
        <w:t>3</w:t>
      </w:r>
      <w:r w:rsidRPr="00A9172C" w:rsidR="002F6443">
        <w:t xml:space="preserve"> for hydrogen and 10 KWh/Nm</w:t>
      </w:r>
      <w:r w:rsidRPr="00A9172C" w:rsidR="002F6443">
        <w:rPr>
          <w:vertAlign w:val="superscript"/>
        </w:rPr>
        <w:t>3</w:t>
      </w:r>
      <w:r w:rsidRPr="00A9172C" w:rsidR="002F6443">
        <w:t xml:space="preserve"> for natural gas) (Luc Jarry, 2022). </w:t>
      </w:r>
      <w:r w:rsidR="00FF081A">
        <w:t>A</w:t>
      </w:r>
      <w:r w:rsidRPr="00A9172C" w:rsidR="003140EE">
        <w:t xml:space="preserve">n efficient control system is </w:t>
      </w:r>
      <w:r w:rsidR="007B061F">
        <w:t>crucial for monitoring NOx emissions accurately</w:t>
      </w:r>
      <w:r w:rsidRPr="00A9172C" w:rsidR="003604A9">
        <w:t xml:space="preserve">. </w:t>
      </w:r>
      <w:r w:rsidRPr="00A9172C" w:rsidR="00472218">
        <w:lastRenderedPageBreak/>
        <w:t>Alternatively</w:t>
      </w:r>
      <w:r w:rsidRPr="00A9172C" w:rsidR="009C3AE5">
        <w:t>,</w:t>
      </w:r>
      <w:r w:rsidRPr="00A9172C" w:rsidR="005E5144">
        <w:t xml:space="preserve"> oxyfuel melting furnace</w:t>
      </w:r>
      <w:r w:rsidRPr="00A9172C" w:rsidR="00DC2A9D">
        <w:t xml:space="preserve">s </w:t>
      </w:r>
      <w:r w:rsidRPr="00A9172C" w:rsidR="00472218">
        <w:t xml:space="preserve">eliminate </w:t>
      </w:r>
      <w:r w:rsidRPr="00A9172C" w:rsidR="00DC2A9D">
        <w:t>this issue</w:t>
      </w:r>
      <w:r w:rsidRPr="00A9172C" w:rsidR="00472218">
        <w:t xml:space="preserve">, </w:t>
      </w:r>
      <w:r w:rsidRPr="00A9172C" w:rsidR="00D91740">
        <w:t xml:space="preserve">as combustion occurs with pure oxygen, preventing </w:t>
      </w:r>
      <w:r w:rsidRPr="00A9172C" w:rsidR="0010633F">
        <w:t>the introduction of nitrogen</w:t>
      </w:r>
      <w:r w:rsidRPr="00A9172C" w:rsidR="00D91740">
        <w:t>.</w:t>
      </w:r>
    </w:p>
    <w:p w:rsidRPr="00A9172C" w:rsidR="002D69D7" w:rsidP="00D91740" w:rsidRDefault="00625FA9" w14:paraId="345C059C" w14:textId="40EE80F2">
      <w:pPr>
        <w:pStyle w:val="CETheadingx"/>
      </w:pPr>
      <w:r w:rsidRPr="00A9172C">
        <w:t>Impact on glass quality</w:t>
      </w:r>
    </w:p>
    <w:p w:rsidRPr="00A9172C" w:rsidR="00B209F1" w:rsidP="00F1094C" w:rsidRDefault="008F2D23" w14:paraId="77EBA3E6" w14:textId="336C1434">
      <w:pPr>
        <w:pStyle w:val="CETBodytext"/>
      </w:pPr>
      <w:r w:rsidRPr="00A9172C">
        <w:t>The quality of the final product in the glass industry is crucial, given the specific requirements for transparency, durability, and resistance.</w:t>
      </w:r>
      <w:r w:rsidR="00BA5DD5">
        <w:t xml:space="preserve"> </w:t>
      </w:r>
      <w:r w:rsidR="00E63F0B">
        <w:t xml:space="preserve">The quality is highly sensitive to the furnace thermal conditions. </w:t>
      </w:r>
      <w:r w:rsidRPr="00A9172C">
        <w:t>A</w:t>
      </w:r>
      <w:r w:rsidRPr="00A9172C" w:rsidR="005C04F1">
        <w:t>ny varia</w:t>
      </w:r>
      <w:r w:rsidRPr="00A9172C" w:rsidR="00151E0E">
        <w:t>t</w:t>
      </w:r>
      <w:r w:rsidRPr="00A9172C" w:rsidR="005C04F1">
        <w:t>ions</w:t>
      </w:r>
      <w:r w:rsidRPr="00A9172C">
        <w:t xml:space="preserve"> in these factors can </w:t>
      </w:r>
      <w:r w:rsidRPr="00A9172C" w:rsidR="00151E0E">
        <w:t>l</w:t>
      </w:r>
      <w:r w:rsidRPr="00A9172C">
        <w:t>e</w:t>
      </w:r>
      <w:r w:rsidRPr="00A9172C" w:rsidR="00151E0E">
        <w:t>ad</w:t>
      </w:r>
      <w:r w:rsidRPr="00A9172C">
        <w:t xml:space="preserve"> to </w:t>
      </w:r>
      <w:r w:rsidRPr="00A9172C" w:rsidR="00151E0E">
        <w:t>bubble formation</w:t>
      </w:r>
      <w:r w:rsidRPr="00A9172C">
        <w:t xml:space="preserve"> or other impurities, </w:t>
      </w:r>
      <w:r w:rsidRPr="00A9172C" w:rsidR="00151E0E">
        <w:t>resulting in</w:t>
      </w:r>
      <w:r w:rsidRPr="00A9172C">
        <w:t xml:space="preserve"> defects. </w:t>
      </w:r>
      <w:r w:rsidR="00BD0000">
        <w:t>H</w:t>
      </w:r>
      <w:r w:rsidRPr="00A9172C">
        <w:t>ydrogen</w:t>
      </w:r>
      <w:r w:rsidRPr="00A9172C" w:rsidR="00F2163C">
        <w:t xml:space="preserve"> changes</w:t>
      </w:r>
      <w:r w:rsidR="00BD0000">
        <w:t xml:space="preserve"> the</w:t>
      </w:r>
      <w:r w:rsidRPr="00A9172C">
        <w:t xml:space="preserve"> combustion conditions </w:t>
      </w:r>
      <w:r w:rsidRPr="00A9172C" w:rsidR="00074D20">
        <w:t xml:space="preserve">compared to </w:t>
      </w:r>
      <w:r w:rsidRPr="00A9172C">
        <w:t>natural gas, mainly</w:t>
      </w:r>
      <w:r w:rsidRPr="00A9172C" w:rsidR="00074D20">
        <w:t xml:space="preserve"> due to its</w:t>
      </w:r>
      <w:r w:rsidRPr="00A9172C">
        <w:t xml:space="preserve"> higher laminar speed, higher adiabatic</w:t>
      </w:r>
      <w:r w:rsidRPr="00A9172C" w:rsidR="0051557B">
        <w:t xml:space="preserve"> flame</w:t>
      </w:r>
      <w:r w:rsidRPr="00A9172C">
        <w:t xml:space="preserve"> temperature, different flame length, and </w:t>
      </w:r>
      <w:r w:rsidRPr="00A9172C" w:rsidR="0051557B">
        <w:t xml:space="preserve">lower </w:t>
      </w:r>
      <w:r w:rsidRPr="00A9172C" w:rsidR="00DB4839">
        <w:t>v</w:t>
      </w:r>
      <w:r w:rsidRPr="00A9172C" w:rsidR="0051557B">
        <w:t>isibility</w:t>
      </w:r>
      <w:r w:rsidRPr="00A9172C">
        <w:t>.</w:t>
      </w:r>
      <w:r w:rsidRPr="00A9172C" w:rsidR="004E588E">
        <w:t xml:space="preserve"> </w:t>
      </w:r>
      <w:r w:rsidRPr="00A9172C">
        <w:t xml:space="preserve">Additionally, </w:t>
      </w:r>
      <w:r w:rsidR="00857098">
        <w:t xml:space="preserve">since water is the only product of hydrogen combustion, </w:t>
      </w:r>
      <w:r w:rsidR="00F1094C">
        <w:t>a higher level of steam is produced, which can</w:t>
      </w:r>
      <w:r w:rsidR="00350C4F">
        <w:t xml:space="preserve"> lead to foam formation, resulting in bubbles and voids in the molten glass. </w:t>
      </w:r>
      <w:r w:rsidRPr="00A9172C">
        <w:t xml:space="preserve">Lastly, hydrogen can negatively </w:t>
      </w:r>
      <w:r w:rsidR="006C1076">
        <w:t xml:space="preserve">impact the integrity of refractories, which are </w:t>
      </w:r>
      <w:r w:rsidRPr="00A9172C" w:rsidR="004E588E">
        <w:t>essential materials that resist</w:t>
      </w:r>
      <w:r w:rsidRPr="00A9172C">
        <w:t xml:space="preserve"> high temperatures and corrosion within the furnace.</w:t>
      </w:r>
      <w:r w:rsidRPr="00A9172C" w:rsidR="00BF5950">
        <w:t xml:space="preserve"> </w:t>
      </w:r>
    </w:p>
    <w:p w:rsidRPr="00537625" w:rsidR="00737B0D" w:rsidP="00737B0D" w:rsidRDefault="00737B0D" w14:paraId="709859C4" w14:textId="77777777">
      <w:pPr>
        <w:pStyle w:val="CETheadingx"/>
        <w:rPr>
          <w:lang w:val="en-GB"/>
        </w:rPr>
      </w:pPr>
      <w:r w:rsidRPr="00537625">
        <w:rPr>
          <w:lang w:val="en-GB"/>
        </w:rPr>
        <w:t>Implications of using green hydrogen</w:t>
      </w:r>
    </w:p>
    <w:p w:rsidR="00583C95" w:rsidP="00737B0D" w:rsidRDefault="00583C95" w14:paraId="32A417A5" w14:textId="4E478081">
      <w:pPr>
        <w:pStyle w:val="CETBodytext"/>
        <w:rPr>
          <w:lang w:val="en-GB"/>
        </w:rPr>
      </w:pPr>
      <w:r w:rsidRPr="00583C95">
        <w:rPr>
          <w:lang w:val="en-GB"/>
        </w:rPr>
        <w:t>Fuel switching in glass manufacturing only supports decarbonization if hydrogen is produced with low emissions. Green hydrogen</w:t>
      </w:r>
      <w:r w:rsidR="00D26314">
        <w:rPr>
          <w:lang w:val="en-GB"/>
        </w:rPr>
        <w:t xml:space="preserve"> from </w:t>
      </w:r>
      <w:r w:rsidR="001D62B9">
        <w:t>renewable-powered</w:t>
      </w:r>
      <w:r w:rsidR="00D26314">
        <w:rPr>
          <w:lang w:val="en-GB"/>
        </w:rPr>
        <w:t xml:space="preserve"> electrolysis</w:t>
      </w:r>
      <w:r w:rsidRPr="00583C95">
        <w:rPr>
          <w:lang w:val="en-GB"/>
        </w:rPr>
        <w:t xml:space="preserve"> is the most sustainable choice. Simulations (Gärtner et al., 2021) show that non-renewable-powered electrolysis can double CO</w:t>
      </w:r>
      <w:r w:rsidRPr="00583C95">
        <w:rPr>
          <w:rFonts w:ascii="Cambria Math" w:hAnsi="Cambria Math" w:cs="Cambria Math"/>
          <w:lang w:val="en-GB"/>
        </w:rPr>
        <w:t>₂</w:t>
      </w:r>
      <w:r w:rsidRPr="00583C95">
        <w:rPr>
          <w:lang w:val="en-GB"/>
        </w:rPr>
        <w:t xml:space="preserve"> emissions.</w:t>
      </w:r>
      <w:r w:rsidR="001D62B9">
        <w:rPr>
          <w:lang w:val="en-GB"/>
        </w:rPr>
        <w:t xml:space="preserve"> However, </w:t>
      </w:r>
      <w:r w:rsidR="00547D81">
        <w:rPr>
          <w:lang w:val="en-GB"/>
        </w:rPr>
        <w:t xml:space="preserve">high costs and renewable energy variability are key challenges. </w:t>
      </w:r>
      <w:r w:rsidRPr="00583C95">
        <w:rPr>
          <w:lang w:val="en-GB"/>
        </w:rPr>
        <w:t>Policy incentives and</w:t>
      </w:r>
      <w:r w:rsidR="00547D81">
        <w:rPr>
          <w:lang w:val="en-GB"/>
        </w:rPr>
        <w:t xml:space="preserve"> larger electrolyzer deployment can reduce costs</w:t>
      </w:r>
      <w:r w:rsidR="000016F5">
        <w:rPr>
          <w:lang w:val="en-GB"/>
        </w:rPr>
        <w:t xml:space="preserve"> (IEA, 2023)</w:t>
      </w:r>
      <w:r w:rsidRPr="00583C95">
        <w:rPr>
          <w:lang w:val="en-GB"/>
        </w:rPr>
        <w:t xml:space="preserve">. </w:t>
      </w:r>
      <w:r w:rsidRPr="009D5224" w:rsidR="009D5224">
        <w:rPr>
          <w:lang w:val="en-GB"/>
        </w:rPr>
        <w:t>The variability of renewable energy sources introduces fluctuations in green hydrogen production (Groenemans et al., 2022), leading to potential fuel shortages or surpluses in glass manufacturing. Ensuring a stable and continuous energy supply is crucial, as variations of the heat input can compromise glass quality.</w:t>
      </w:r>
    </w:p>
    <w:p w:rsidRPr="00A9172C" w:rsidR="00410B11" w:rsidP="00410B11" w:rsidRDefault="00410B11" w14:paraId="1EEA89CF" w14:textId="7EE56155">
      <w:pPr>
        <w:pStyle w:val="CETheadingx"/>
      </w:pPr>
      <w:r w:rsidRPr="00A9172C">
        <w:t>Safety aspects</w:t>
      </w:r>
    </w:p>
    <w:p w:rsidRPr="00A9172C" w:rsidR="00FE0C31" w:rsidP="00903706" w:rsidRDefault="00CD0CD4" w14:paraId="719CE284" w14:textId="77777777">
      <w:pPr>
        <w:pStyle w:val="CETBodytext"/>
      </w:pPr>
      <w:r w:rsidRPr="00A9172C">
        <w:t>One of the bottlenecks of rolling out hydrogen-based technology is the critical safety properties of hydrogen</w:t>
      </w:r>
      <w:r w:rsidRPr="00A9172C" w:rsidR="00903706">
        <w:t>. As of now, the glass industry handles only the raw materials</w:t>
      </w:r>
      <w:r w:rsidRPr="00A9172C" w:rsidR="002D6F32">
        <w:t xml:space="preserve"> </w:t>
      </w:r>
      <w:r w:rsidRPr="00A9172C" w:rsidR="00903706">
        <w:t>required for glass production: sand (or silica, SiO</w:t>
      </w:r>
      <w:r w:rsidRPr="00A9172C" w:rsidR="00903706">
        <w:rPr>
          <w:vertAlign w:val="subscript"/>
        </w:rPr>
        <w:t>2</w:t>
      </w:r>
      <w:r w:rsidRPr="00A9172C" w:rsidR="00903706">
        <w:t>), soda ash (Na</w:t>
      </w:r>
      <w:r w:rsidRPr="00A9172C" w:rsidR="00903706">
        <w:rPr>
          <w:vertAlign w:val="subscript"/>
        </w:rPr>
        <w:t>2</w:t>
      </w:r>
      <w:r w:rsidRPr="00A9172C" w:rsidR="00903706">
        <w:t>CO</w:t>
      </w:r>
      <w:r w:rsidRPr="00A9172C" w:rsidR="00903706">
        <w:rPr>
          <w:vertAlign w:val="subscript"/>
        </w:rPr>
        <w:t>3</w:t>
      </w:r>
      <w:r w:rsidRPr="00A9172C" w:rsidR="00903706">
        <w:t>), limestone (CaCO</w:t>
      </w:r>
      <w:r w:rsidRPr="00A9172C" w:rsidR="00903706">
        <w:rPr>
          <w:vertAlign w:val="subscript"/>
        </w:rPr>
        <w:t>3</w:t>
      </w:r>
      <w:r w:rsidRPr="00A9172C" w:rsidR="00903706">
        <w:t>), and a</w:t>
      </w:r>
      <w:r w:rsidRPr="00A9172C" w:rsidR="002D6F32">
        <w:t xml:space="preserve"> </w:t>
      </w:r>
      <w:r w:rsidRPr="00A9172C" w:rsidR="00903706">
        <w:t>small amount of dolomite (MgCa(CO</w:t>
      </w:r>
      <w:r w:rsidRPr="00A9172C" w:rsidR="00903706">
        <w:rPr>
          <w:vertAlign w:val="subscript"/>
        </w:rPr>
        <w:t>3</w:t>
      </w:r>
      <w:r w:rsidRPr="00A9172C" w:rsidR="00903706">
        <w:t>)</w:t>
      </w:r>
      <w:r w:rsidRPr="00A9172C" w:rsidR="00903706">
        <w:rPr>
          <w:vertAlign w:val="subscript"/>
        </w:rPr>
        <w:t>2</w:t>
      </w:r>
      <w:r w:rsidRPr="00A9172C" w:rsidR="00903706">
        <w:t>). The furnace is fed by natural gas, which is not accountable</w:t>
      </w:r>
      <w:r w:rsidRPr="00A9172C" w:rsidR="002D6F32">
        <w:t xml:space="preserve"> </w:t>
      </w:r>
      <w:r w:rsidRPr="00A9172C" w:rsidR="00903706">
        <w:t>for the stored substances because it is directly taken from the gas network. Introducing hydrogen in</w:t>
      </w:r>
      <w:r w:rsidRPr="00A9172C" w:rsidR="002D6F32">
        <w:t xml:space="preserve"> </w:t>
      </w:r>
      <w:r w:rsidRPr="00A9172C" w:rsidR="00903706">
        <w:t xml:space="preserve">the plant requires installing new equipment </w:t>
      </w:r>
      <w:r w:rsidRPr="00A9172C" w:rsidR="002D6F32">
        <w:t xml:space="preserve">to produce, </w:t>
      </w:r>
      <w:r w:rsidRPr="00A9172C" w:rsidR="00903706">
        <w:t>stor</w:t>
      </w:r>
      <w:r w:rsidRPr="00A9172C" w:rsidR="002D6F32">
        <w:t>e</w:t>
      </w:r>
      <w:r w:rsidRPr="00A9172C" w:rsidR="00903706">
        <w:t xml:space="preserve"> and transport</w:t>
      </w:r>
      <w:r w:rsidRPr="00A9172C" w:rsidR="002D6F32">
        <w:t xml:space="preserve"> </w:t>
      </w:r>
      <w:r w:rsidRPr="00A9172C" w:rsidR="00903706">
        <w:t>hydrogen to the burners.</w:t>
      </w:r>
      <w:r w:rsidRPr="00A9172C" w:rsidR="006805A0">
        <w:t xml:space="preserve"> </w:t>
      </w:r>
      <w:r w:rsidRPr="00A9172C" w:rsidR="00925529">
        <w:t>The g</w:t>
      </w:r>
      <w:r w:rsidRPr="00A9172C" w:rsidR="007C4452">
        <w:t xml:space="preserve">lass sector is only familiar with </w:t>
      </w:r>
      <w:r w:rsidRPr="00A9172C" w:rsidR="00C22925">
        <w:t xml:space="preserve">occupational risk aspects, </w:t>
      </w:r>
      <w:r w:rsidRPr="00A9172C" w:rsidR="00925529">
        <w:t xml:space="preserve">mainly due to </w:t>
      </w:r>
      <w:r w:rsidRPr="00A9172C" w:rsidR="00940DAE">
        <w:t xml:space="preserve">high-temperature work environments that could generate </w:t>
      </w:r>
      <w:r w:rsidRPr="00A9172C" w:rsidR="00207675">
        <w:t>physiological strain or thermal burns</w:t>
      </w:r>
      <w:r w:rsidRPr="00A9172C" w:rsidR="003D0E6D">
        <w:t xml:space="preserve"> (International Labour Office, 2011)</w:t>
      </w:r>
      <w:r w:rsidRPr="00A9172C" w:rsidR="00207675">
        <w:t>.</w:t>
      </w:r>
      <w:r w:rsidRPr="00A9172C" w:rsidR="009101BB">
        <w:t xml:space="preserve"> Other aspects are </w:t>
      </w:r>
      <w:r w:rsidRPr="00A9172C" w:rsidR="00ED59F9">
        <w:t>general ergonomic stressors, noise, the possibility of inhalat</w:t>
      </w:r>
      <w:r w:rsidRPr="00A9172C" w:rsidR="00191B8A">
        <w:t>ion</w:t>
      </w:r>
      <w:r w:rsidRPr="00A9172C" w:rsidR="00ED59F9">
        <w:t xml:space="preserve"> </w:t>
      </w:r>
      <w:r w:rsidRPr="00A9172C" w:rsidR="00AC0788">
        <w:t xml:space="preserve">of </w:t>
      </w:r>
      <w:r w:rsidRPr="00A9172C" w:rsidR="00191B8A">
        <w:t xml:space="preserve">airborne particulate matter from raw </w:t>
      </w:r>
      <w:r w:rsidRPr="00A9172C" w:rsidR="005A4099">
        <w:t>materials, and</w:t>
      </w:r>
      <w:r w:rsidRPr="00A9172C" w:rsidR="00AC0788">
        <w:t xml:space="preserve"> contact with sharp glass. </w:t>
      </w:r>
    </w:p>
    <w:p w:rsidRPr="00A9172C" w:rsidR="002D62E3" w:rsidP="00903706" w:rsidRDefault="00C34FD7" w14:paraId="4A914494" w14:textId="26575205">
      <w:pPr>
        <w:pStyle w:val="CETBodytext"/>
      </w:pPr>
      <w:r w:rsidRPr="00A9172C">
        <w:t xml:space="preserve">The willingness to implement hydrogen in the furnace significantly changes </w:t>
      </w:r>
      <w:r w:rsidRPr="00A9172C" w:rsidR="00A6011D">
        <w:t xml:space="preserve">the </w:t>
      </w:r>
      <w:r w:rsidRPr="00A9172C" w:rsidR="00EE4CC5">
        <w:t>safety management</w:t>
      </w:r>
      <w:r w:rsidRPr="00A9172C">
        <w:t>.</w:t>
      </w:r>
      <w:r w:rsidRPr="00A9172C" w:rsidR="002B39F6">
        <w:t xml:space="preserve"> </w:t>
      </w:r>
      <w:r w:rsidRPr="00A9172C" w:rsidR="00EF4196">
        <w:t xml:space="preserve">Hydrogen has </w:t>
      </w:r>
      <w:r w:rsidRPr="00A9172C" w:rsidR="00164B06">
        <w:t>a wide</w:t>
      </w:r>
      <w:r w:rsidRPr="00A9172C" w:rsidR="007D6BBE">
        <w:t xml:space="preserve"> flammability range (4 % </w:t>
      </w:r>
      <w:r w:rsidRPr="00A9172C" w:rsidR="00660CEF">
        <w:t>-</w:t>
      </w:r>
      <w:r w:rsidRPr="00A9172C" w:rsidR="007D6BBE">
        <w:t xml:space="preserve"> 75 %)</w:t>
      </w:r>
      <w:r w:rsidRPr="00A9172C" w:rsidR="00162823">
        <w:t>,</w:t>
      </w:r>
      <w:r w:rsidRPr="00A9172C" w:rsidR="007D6BBE">
        <w:t xml:space="preserve"> a low </w:t>
      </w:r>
      <w:r w:rsidRPr="00A9172C" w:rsidR="00AF69D8">
        <w:t>ignition energy (0.01</w:t>
      </w:r>
      <w:r w:rsidRPr="00A9172C" w:rsidR="004B0805">
        <w:t>7</w:t>
      </w:r>
      <w:r w:rsidRPr="00A9172C" w:rsidR="00AF69D8">
        <w:t xml:space="preserve"> mJ)</w:t>
      </w:r>
      <w:r w:rsidRPr="00A9172C" w:rsidR="005C3D0F">
        <w:t xml:space="preserve">, </w:t>
      </w:r>
      <w:r w:rsidRPr="00A9172C" w:rsidR="00164B06">
        <w:t>and a small molecula</w:t>
      </w:r>
      <w:r w:rsidRPr="00A9172C" w:rsidR="00C13A88">
        <w:t>r size which increase the likelihood of leaks</w:t>
      </w:r>
      <w:r w:rsidRPr="00A9172C" w:rsidR="00801E2A">
        <w:t xml:space="preserve"> (Ustolin, 2020)</w:t>
      </w:r>
      <w:r w:rsidRPr="00A9172C" w:rsidR="005C3D0F">
        <w:t>.</w:t>
      </w:r>
      <w:r w:rsidRPr="00A9172C" w:rsidR="00BE77E9">
        <w:t xml:space="preserve"> </w:t>
      </w:r>
    </w:p>
    <w:p w:rsidRPr="00A9172C" w:rsidR="00937B9A" w:rsidP="00903706" w:rsidRDefault="005417CB" w14:paraId="0918B05C" w14:textId="2134E20E">
      <w:pPr>
        <w:pStyle w:val="CETBodytext"/>
      </w:pPr>
      <w:r w:rsidRPr="00A9172C">
        <w:t>The possibility of introducing hydrogen in this sector is still in the feasibility stage</w:t>
      </w:r>
      <w:r w:rsidRPr="00A9172C" w:rsidR="00D439B3">
        <w:t>;</w:t>
      </w:r>
      <w:r w:rsidRPr="00A9172C">
        <w:t xml:space="preserve"> only a few pilot projects are investigating this switch</w:t>
      </w:r>
      <w:r w:rsidRPr="00A9172C" w:rsidR="00BA4F38">
        <w:t xml:space="preserve"> (HyNet</w:t>
      </w:r>
      <w:r w:rsidRPr="00A9172C" w:rsidR="00E949C4">
        <w:t xml:space="preserve"> North West, 2020</w:t>
      </w:r>
      <w:r w:rsidRPr="00A9172C" w:rsidR="00BA4F38">
        <w:t>), (H2GLASS</w:t>
      </w:r>
      <w:r w:rsidRPr="00A9172C" w:rsidR="00E949C4">
        <w:t>, 2023</w:t>
      </w:r>
      <w:r w:rsidRPr="00A9172C" w:rsidR="00BA4F38">
        <w:t>)</w:t>
      </w:r>
      <w:r w:rsidRPr="00A9172C" w:rsidR="002A62B8">
        <w:t xml:space="preserve">, (HyGlass, </w:t>
      </w:r>
      <w:r w:rsidRPr="00A9172C" w:rsidR="00EA129E">
        <w:t>2020)</w:t>
      </w:r>
      <w:r w:rsidRPr="00A9172C" w:rsidR="0099251D">
        <w:t xml:space="preserve">. </w:t>
      </w:r>
      <w:r w:rsidRPr="00A9172C" w:rsidR="00D439B3">
        <w:t>Implementing</w:t>
      </w:r>
      <w:r w:rsidRPr="00A9172C" w:rsidR="00EA7BA0">
        <w:t xml:space="preserve"> Inherently Safer Des</w:t>
      </w:r>
      <w:r w:rsidRPr="00A9172C" w:rsidR="002C573C">
        <w:t>ign practices is widely regarded as the most cost-effective app</w:t>
      </w:r>
      <w:r w:rsidRPr="00A9172C" w:rsidR="00155B05">
        <w:t>roach to address safety issues in</w:t>
      </w:r>
      <w:r w:rsidRPr="00A9172C" w:rsidR="007734A6">
        <w:t xml:space="preserve"> the early stages of process design, </w:t>
      </w:r>
      <w:r w:rsidRPr="00A9172C" w:rsidR="00155B05">
        <w:t>aiming to eliminate or minimi</w:t>
      </w:r>
      <w:r w:rsidR="00D90BBB">
        <w:t>z</w:t>
      </w:r>
      <w:r w:rsidRPr="00A9172C" w:rsidR="00155B05">
        <w:t>e process hazards as much as possible</w:t>
      </w:r>
      <w:r w:rsidRPr="00A9172C" w:rsidR="007734A6">
        <w:t xml:space="preserve"> (Kletz, 2010). </w:t>
      </w:r>
      <w:r w:rsidRPr="00A9172C" w:rsidR="00F47DB1">
        <w:t xml:space="preserve">Therefore, this study </w:t>
      </w:r>
      <w:r w:rsidRPr="00A9172C" w:rsidR="00937B9A">
        <w:t xml:space="preserve">compares </w:t>
      </w:r>
      <w:r w:rsidRPr="00A9172C" w:rsidR="00196645">
        <w:t>the safety implications of choosing a specific size of electroly</w:t>
      </w:r>
      <w:r w:rsidR="00793A62">
        <w:t>z</w:t>
      </w:r>
      <w:r w:rsidRPr="00A9172C" w:rsidR="00196645">
        <w:t>er</w:t>
      </w:r>
      <w:r w:rsidRPr="00A9172C" w:rsidR="008411F9">
        <w:t xml:space="preserve"> through a consequence-based</w:t>
      </w:r>
      <w:r w:rsidRPr="00A9172C" w:rsidR="00FE215B">
        <w:t xml:space="preserve"> Key Performance Indicators</w:t>
      </w:r>
      <w:r w:rsidRPr="00A9172C" w:rsidR="008411F9">
        <w:t xml:space="preserve"> </w:t>
      </w:r>
      <w:r w:rsidRPr="00A9172C" w:rsidR="00FE215B">
        <w:t>(</w:t>
      </w:r>
      <w:r w:rsidRPr="00A9172C" w:rsidR="00004F87">
        <w:t>KPI</w:t>
      </w:r>
      <w:r w:rsidRPr="00A9172C" w:rsidR="00FE215B">
        <w:t>s)</w:t>
      </w:r>
      <w:r w:rsidRPr="00A9172C" w:rsidR="00004F87">
        <w:t xml:space="preserve"> approach</w:t>
      </w:r>
      <w:r w:rsidRPr="00A9172C" w:rsidR="00CC7B11">
        <w:t xml:space="preserve"> (Tugnoli et al., 2007)</w:t>
      </w:r>
      <w:r w:rsidRPr="00A9172C" w:rsidR="006D601E">
        <w:t xml:space="preserve">. </w:t>
      </w:r>
      <w:r w:rsidRPr="00A9172C" w:rsidR="008411F9">
        <w:t>The focus</w:t>
      </w:r>
      <w:r w:rsidRPr="00A9172C" w:rsidR="00735296">
        <w:t xml:space="preserve"> is on PEM electroly</w:t>
      </w:r>
      <w:r w:rsidR="00793A62">
        <w:t>z</w:t>
      </w:r>
      <w:r w:rsidRPr="00A9172C" w:rsidR="00735296">
        <w:t xml:space="preserve">ers </w:t>
      </w:r>
      <w:r w:rsidRPr="00A9172C" w:rsidR="007E721C">
        <w:t>due to the</w:t>
      </w:r>
      <w:r w:rsidRPr="00A9172C" w:rsidR="00D439B3">
        <w:t>ir</w:t>
      </w:r>
      <w:r w:rsidRPr="00A9172C" w:rsidR="00223BDF">
        <w:t xml:space="preserve"> better coupling with renewable energy </w:t>
      </w:r>
      <w:r w:rsidRPr="00A9172C" w:rsidR="0079020A">
        <w:t>(Park et al., 2025).</w:t>
      </w:r>
    </w:p>
    <w:p w:rsidRPr="00A9172C" w:rsidR="002D69D7" w:rsidP="002D69D7" w:rsidRDefault="002D69D7" w14:paraId="0215E7BF" w14:textId="65DECCF9">
      <w:pPr>
        <w:pStyle w:val="CETHeading1"/>
        <w:rPr>
          <w:color w:val="FF0000"/>
        </w:rPr>
      </w:pPr>
      <w:r w:rsidRPr="00A9172C">
        <w:t>Methodology</w:t>
      </w:r>
    </w:p>
    <w:p w:rsidR="00BB633C" w:rsidP="00703B2B" w:rsidRDefault="00BC5FCB" w14:paraId="33BAB185" w14:textId="429591C3">
      <w:pPr>
        <w:pStyle w:val="CETBodytext"/>
      </w:pPr>
      <w:r w:rsidRPr="00A9172C">
        <w:t>Figure 1 shows t</w:t>
      </w:r>
      <w:r w:rsidRPr="00A9172C" w:rsidR="00593CAE">
        <w:t xml:space="preserve">he methodology adopted in </w:t>
      </w:r>
      <w:r w:rsidRPr="00A9172C" w:rsidR="00A10E31">
        <w:t xml:space="preserve">the present </w:t>
      </w:r>
      <w:r w:rsidRPr="00A9172C" w:rsidR="00593CAE">
        <w:t>study</w:t>
      </w:r>
      <w:r w:rsidRPr="00A9172C" w:rsidR="00F13AED">
        <w:t xml:space="preserve">. </w:t>
      </w:r>
      <w:r w:rsidRPr="00A9172C" w:rsidR="00184C01">
        <w:t>Before ad</w:t>
      </w:r>
      <w:r w:rsidRPr="00A9172C" w:rsidR="007E0E4A">
        <w:t>o</w:t>
      </w:r>
      <w:r w:rsidRPr="00A9172C" w:rsidR="00184C01">
        <w:t xml:space="preserve">pting </w:t>
      </w:r>
      <w:r w:rsidRPr="00A9172C" w:rsidR="0046086B">
        <w:t>an inherent safety approach to compare different sizes of electrolysis systems</w:t>
      </w:r>
      <w:r w:rsidRPr="00A9172C" w:rsidR="00A10E31">
        <w:t xml:space="preserve"> (Step 1-3)</w:t>
      </w:r>
      <w:r w:rsidRPr="00A9172C" w:rsidR="005B60C3">
        <w:t xml:space="preserve">, a few </w:t>
      </w:r>
      <w:r w:rsidRPr="00A9172C" w:rsidR="004A7191">
        <w:t xml:space="preserve">preliminary </w:t>
      </w:r>
      <w:r w:rsidRPr="00A9172C" w:rsidR="00A10E31">
        <w:t xml:space="preserve">preparation </w:t>
      </w:r>
      <w:r w:rsidRPr="00A9172C" w:rsidR="004A7191">
        <w:t>steps are required</w:t>
      </w:r>
      <w:r w:rsidRPr="00A9172C" w:rsidR="00B7794C">
        <w:t xml:space="preserve"> (Step 0)</w:t>
      </w:r>
      <w:r w:rsidRPr="00A9172C" w:rsidR="004A7191">
        <w:t xml:space="preserve">. </w:t>
      </w:r>
    </w:p>
    <w:p w:rsidRPr="00A9172C" w:rsidR="006122BC" w:rsidP="006122BC" w:rsidRDefault="006122BC" w14:paraId="2099020F" w14:textId="77777777">
      <w:pPr>
        <w:pStyle w:val="CETBodytext"/>
        <w:spacing w:before="120"/>
        <w:rPr>
          <w:i/>
          <w:iCs/>
          <w:u w:val="single"/>
        </w:rPr>
      </w:pPr>
      <w:r w:rsidRPr="00A9172C">
        <w:rPr>
          <w:i/>
          <w:iCs/>
          <w:u w:val="single"/>
        </w:rPr>
        <w:t>Step 0: Preliminary steps</w:t>
      </w:r>
    </w:p>
    <w:p w:rsidRPr="00A9172C" w:rsidR="006122BC" w:rsidP="006122BC" w:rsidRDefault="006122BC" w14:paraId="28F0AC41" w14:textId="5ECCB9DD">
      <w:pPr>
        <w:pStyle w:val="CETBodytext"/>
      </w:pPr>
      <w:r w:rsidRPr="00A9172C">
        <w:t>The green hydrogen production through electrolysis requires the PEM electrolysis stack and the corresponding Balance of Plant (BoP), including water purification stage, power electronics, oxygen purification loop, control and safety systems to regulate operational conditions, and the hydrogen purification stage (Smolinka et al., 2015). The potentially hazardous equipment in the system are the electrolysis stack and the hydrogen-water separator. Depending on the overall power rating, the electroly</w:t>
      </w:r>
      <w:r>
        <w:t>z</w:t>
      </w:r>
      <w:r w:rsidRPr="00A9172C">
        <w:t>er unit comprises one or more PEM stacks. PEM stacks available commercially have standardized capacity, and specifically 0.5 MW, 1 MW, 1.25 MW and 2.5 MW. The electrolysis stack is not listed among the equipment of the general safety guidelines (TNO, 2005).  The following steps require a reference component to evaluate the Inherent Safety performance. Hence, the electrolysis stack is associated with a vessel which is the most suitable in the list.</w:t>
      </w:r>
    </w:p>
    <w:p w:rsidRPr="00A9172C" w:rsidR="00BB633C" w:rsidP="00494C03" w:rsidRDefault="006E79DB" w14:paraId="1C38F90F" w14:textId="365FA82D">
      <w:pPr>
        <w:pStyle w:val="CETCaption"/>
        <w:spacing w:before="0" w:after="120"/>
        <w:rPr>
          <w:lang w:val="en-US"/>
        </w:rPr>
      </w:pPr>
      <w:r w:rsidRPr="00A9172C">
        <w:rPr>
          <w:noProof/>
          <w:lang w:val="en-US"/>
        </w:rPr>
        <w:lastRenderedPageBreak/>
        <w:drawing>
          <wp:inline distT="0" distB="0" distL="0" distR="0" wp14:anchorId="468ED187" wp14:editId="32254834">
            <wp:extent cx="3956792" cy="28346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6792" cy="2834640"/>
                    </a:xfrm>
                    <a:prstGeom prst="rect">
                      <a:avLst/>
                    </a:prstGeom>
                    <a:noFill/>
                    <a:ln>
                      <a:noFill/>
                    </a:ln>
                  </pic:spPr>
                </pic:pic>
              </a:graphicData>
            </a:graphic>
          </wp:inline>
        </w:drawing>
      </w:r>
    </w:p>
    <w:p w:rsidR="00BB633C" w:rsidP="00206E16" w:rsidRDefault="00BB633C" w14:paraId="50B781B3" w14:textId="4A86815A">
      <w:pPr>
        <w:pStyle w:val="CETCaption"/>
        <w:spacing w:before="0" w:after="120"/>
        <w:rPr>
          <w:lang w:val="en-US"/>
        </w:rPr>
      </w:pPr>
      <w:r w:rsidRPr="00A9172C">
        <w:rPr>
          <w:lang w:val="en-US"/>
        </w:rPr>
        <w:t xml:space="preserve">Figure </w:t>
      </w:r>
      <w:r w:rsidRPr="00A9172C">
        <w:rPr>
          <w:lang w:val="en-US"/>
        </w:rPr>
        <w:fldChar w:fldCharType="begin"/>
      </w:r>
      <w:r w:rsidRPr="00A9172C">
        <w:rPr>
          <w:lang w:val="en-US"/>
        </w:rPr>
        <w:instrText xml:space="preserve"> SEQ Figure \* ARABIC </w:instrText>
      </w:r>
      <w:r w:rsidRPr="00A9172C">
        <w:rPr>
          <w:lang w:val="en-US"/>
        </w:rPr>
        <w:fldChar w:fldCharType="separate"/>
      </w:r>
      <w:r w:rsidRPr="00A9172C" w:rsidR="00235AC0">
        <w:rPr>
          <w:noProof/>
          <w:lang w:val="en-US"/>
        </w:rPr>
        <w:t>1</w:t>
      </w:r>
      <w:r w:rsidRPr="00A9172C">
        <w:rPr>
          <w:lang w:val="en-US"/>
        </w:rPr>
        <w:fldChar w:fldCharType="end"/>
      </w:r>
      <w:r w:rsidRPr="00A9172C">
        <w:rPr>
          <w:lang w:val="en-US"/>
        </w:rPr>
        <w:t>: Flow chart of the methodology applied in this study.</w:t>
      </w:r>
    </w:p>
    <w:p w:rsidRPr="00A9172C" w:rsidR="00737B0D" w:rsidP="00737B0D" w:rsidRDefault="00737B0D" w14:paraId="17837B2D" w14:textId="77777777">
      <w:pPr>
        <w:pStyle w:val="CETBodytext"/>
      </w:pPr>
      <w:r w:rsidRPr="00A9172C">
        <w:t xml:space="preserve">Table 1 shows the reference online from the Bosh PEM stack of 1.25 MW. </w:t>
      </w:r>
    </w:p>
    <w:p w:rsidR="00737B0D" w:rsidP="00737B0D" w:rsidRDefault="00737B0D" w14:paraId="2A193056" w14:textId="77777777">
      <w:pPr>
        <w:pStyle w:val="CETBodytext"/>
      </w:pPr>
      <w:r w:rsidRPr="00A9172C">
        <w:t>Given the limited publicly available information about the detailed specifications of different sizes electrolysis systems, the stack volumes for different electroly</w:t>
      </w:r>
      <w:r>
        <w:t>z</w:t>
      </w:r>
      <w:r w:rsidRPr="00A9172C">
        <w:t>er capacity are calculated by scaling the reference dimensions of the 1.25 MW PEM stack from Bosh.</w:t>
      </w:r>
    </w:p>
    <w:p w:rsidRPr="00A9172C" w:rsidR="006122BC" w:rsidP="006122BC" w:rsidRDefault="006122BC" w14:paraId="4EA6F0F1" w14:textId="77777777">
      <w:pPr>
        <w:pStyle w:val="CETBodytext"/>
      </w:pPr>
      <w:r w:rsidRPr="00A9172C">
        <w:t>The residence time (</w:t>
      </w:r>
      <w:r w:rsidRPr="00A9172C">
        <w:rPr>
          <w:rFonts w:ascii="Calibri" w:hAnsi="Calibri" w:cs="Calibri"/>
        </w:rPr>
        <w:t>τ)</w:t>
      </w:r>
      <w:r w:rsidRPr="00A9172C">
        <w:t xml:space="preserve"> in the electrolysis stack to allow the reaction is considered the scaling parameter. It is defined as the ratio of the equipment volume and the inlet flow rate. Similarly, the volume of the hydrogen-water separator is assessed from known data from an existing system and adapted based on the different hydrogen production. However, one of the advantages of the PEM electroly</w:t>
      </w:r>
      <w:r>
        <w:t>z</w:t>
      </w:r>
      <w:r w:rsidRPr="00A9172C">
        <w:t>er is the high purity of hydrogen, meaning that the stream exiting the stack is already very rich in H</w:t>
      </w:r>
      <w:r w:rsidRPr="00A9172C">
        <w:rPr>
          <w:vertAlign w:val="subscript"/>
        </w:rPr>
        <w:t>2</w:t>
      </w:r>
      <w:r w:rsidRPr="00A9172C">
        <w:t>, and the equipment for the separation is generally small.</w:t>
      </w:r>
    </w:p>
    <w:p w:rsidRPr="00A9172C" w:rsidR="00E01520" w:rsidP="003568A9" w:rsidRDefault="00E01520" w14:paraId="67FF03DD" w14:textId="77777777">
      <w:pPr>
        <w:pStyle w:val="CETTabletitle"/>
        <w:spacing w:before="120"/>
        <w:rPr>
          <w:lang w:val="en-US"/>
        </w:rPr>
      </w:pPr>
      <w:r w:rsidRPr="00A9172C">
        <w:rPr>
          <w:lang w:val="en-US"/>
        </w:rPr>
        <w:t xml:space="preserve">Table </w:t>
      </w:r>
      <w:r w:rsidRPr="00A9172C">
        <w:rPr>
          <w:lang w:val="en-US"/>
        </w:rPr>
        <w:fldChar w:fldCharType="begin"/>
      </w:r>
      <w:r w:rsidRPr="00A9172C">
        <w:rPr>
          <w:lang w:val="en-US"/>
        </w:rPr>
        <w:instrText xml:space="preserve"> SEQ Table \* ARABIC </w:instrText>
      </w:r>
      <w:r w:rsidRPr="00A9172C">
        <w:rPr>
          <w:lang w:val="en-US"/>
        </w:rPr>
        <w:fldChar w:fldCharType="separate"/>
      </w:r>
      <w:r w:rsidRPr="00A9172C">
        <w:rPr>
          <w:noProof/>
          <w:lang w:val="en-US"/>
        </w:rPr>
        <w:t>1</w:t>
      </w:r>
      <w:r w:rsidRPr="00A9172C">
        <w:rPr>
          <w:lang w:val="en-US"/>
        </w:rPr>
        <w:fldChar w:fldCharType="end"/>
      </w:r>
      <w:r w:rsidRPr="00A9172C">
        <w:rPr>
          <w:lang w:val="en-US"/>
        </w:rPr>
        <w:t>: Dimension of commercial Bosh PEM stack of 1.25 MW.</w:t>
      </w:r>
    </w:p>
    <w:tbl>
      <w:tblPr>
        <w:tblW w:w="0" w:type="auto"/>
        <w:jc w:val="center"/>
        <w:tblBorders>
          <w:top w:val="single" w:color="008000" w:sz="12" w:space="0"/>
          <w:bottom w:val="single" w:color="008000" w:sz="12" w:space="0"/>
        </w:tblBorders>
        <w:shd w:val="clear" w:color="auto" w:fill="FFFFFF"/>
        <w:tblCellMar>
          <w:left w:w="0" w:type="dxa"/>
          <w:right w:w="0" w:type="dxa"/>
        </w:tblCellMar>
        <w:tblLook w:val="00A0" w:firstRow="1" w:lastRow="0" w:firstColumn="1" w:lastColumn="0" w:noHBand="0" w:noVBand="0"/>
      </w:tblPr>
      <w:tblGrid>
        <w:gridCol w:w="2736"/>
        <w:gridCol w:w="1152"/>
        <w:gridCol w:w="1152"/>
      </w:tblGrid>
      <w:tr w:rsidRPr="00A9172C" w:rsidR="00E01520" w:rsidTr="0033242D" w14:paraId="025CAB11" w14:textId="77777777">
        <w:trPr>
          <w:jc w:val="center"/>
        </w:trPr>
        <w:tc>
          <w:tcPr>
            <w:tcW w:w="2736" w:type="dxa"/>
            <w:tcBorders>
              <w:top w:val="single" w:color="008000" w:sz="12" w:space="0"/>
              <w:bottom w:val="single" w:color="008000" w:sz="6" w:space="0"/>
            </w:tcBorders>
            <w:shd w:val="clear" w:color="auto" w:fill="FFFFFF"/>
          </w:tcPr>
          <w:p w:rsidRPr="00A9172C" w:rsidR="00E01520" w:rsidP="006C7018" w:rsidRDefault="00E01520" w14:paraId="3D4433FD" w14:textId="77777777">
            <w:pPr>
              <w:pStyle w:val="CETBodytext"/>
              <w:jc w:val="left"/>
            </w:pPr>
            <w:r w:rsidRPr="00A9172C">
              <w:t>Dimension</w:t>
            </w:r>
          </w:p>
        </w:tc>
        <w:tc>
          <w:tcPr>
            <w:tcW w:w="1152" w:type="dxa"/>
            <w:tcBorders>
              <w:top w:val="single" w:color="008000" w:sz="12" w:space="0"/>
              <w:bottom w:val="single" w:color="008000" w:sz="6" w:space="0"/>
            </w:tcBorders>
            <w:shd w:val="clear" w:color="auto" w:fill="FFFFFF"/>
          </w:tcPr>
          <w:p w:rsidRPr="00A9172C" w:rsidR="00E01520" w:rsidP="006C7018" w:rsidRDefault="00E01520" w14:paraId="7C8B50AA" w14:textId="77777777">
            <w:pPr>
              <w:pStyle w:val="CETBodytext"/>
              <w:jc w:val="left"/>
            </w:pPr>
            <w:r w:rsidRPr="00A9172C">
              <w:t>Unit</w:t>
            </w:r>
          </w:p>
        </w:tc>
        <w:tc>
          <w:tcPr>
            <w:tcW w:w="1152" w:type="dxa"/>
            <w:tcBorders>
              <w:top w:val="single" w:color="008000" w:sz="12" w:space="0"/>
              <w:bottom w:val="single" w:color="008000" w:sz="6" w:space="0"/>
            </w:tcBorders>
            <w:shd w:val="clear" w:color="auto" w:fill="FFFFFF"/>
          </w:tcPr>
          <w:p w:rsidRPr="00A9172C" w:rsidR="00E01520" w:rsidP="006C7018" w:rsidRDefault="00E01520" w14:paraId="07A28F35" w14:textId="77777777">
            <w:pPr>
              <w:pStyle w:val="CETBodytext"/>
              <w:jc w:val="left"/>
            </w:pPr>
            <w:r w:rsidRPr="00A9172C">
              <w:t>Value</w:t>
            </w:r>
          </w:p>
        </w:tc>
      </w:tr>
      <w:tr w:rsidRPr="00A9172C" w:rsidR="00E01520" w:rsidTr="0033242D" w14:paraId="5D63F0DD" w14:textId="77777777">
        <w:trPr>
          <w:jc w:val="center"/>
        </w:trPr>
        <w:tc>
          <w:tcPr>
            <w:tcW w:w="2736" w:type="dxa"/>
            <w:shd w:val="clear" w:color="auto" w:fill="FFFFFF"/>
          </w:tcPr>
          <w:p w:rsidRPr="00A9172C" w:rsidR="00E01520" w:rsidP="006C7018" w:rsidRDefault="00E01520" w14:paraId="381B513D" w14:textId="77777777">
            <w:pPr>
              <w:pStyle w:val="CETBodytext"/>
              <w:jc w:val="left"/>
            </w:pPr>
            <w:r w:rsidRPr="00A9172C">
              <w:t>Width</w:t>
            </w:r>
          </w:p>
        </w:tc>
        <w:tc>
          <w:tcPr>
            <w:tcW w:w="1152" w:type="dxa"/>
            <w:shd w:val="clear" w:color="auto" w:fill="FFFFFF"/>
          </w:tcPr>
          <w:p w:rsidRPr="00A9172C" w:rsidR="00E01520" w:rsidP="006C7018" w:rsidRDefault="00E01520" w14:paraId="0B08757F" w14:textId="77777777">
            <w:pPr>
              <w:pStyle w:val="CETBodytext"/>
              <w:jc w:val="left"/>
            </w:pPr>
            <w:r w:rsidRPr="00A9172C">
              <w:t>m</w:t>
            </w:r>
          </w:p>
        </w:tc>
        <w:tc>
          <w:tcPr>
            <w:tcW w:w="1152" w:type="dxa"/>
            <w:shd w:val="clear" w:color="auto" w:fill="FFFFFF"/>
          </w:tcPr>
          <w:p w:rsidRPr="00A9172C" w:rsidR="00E01520" w:rsidP="006C7018" w:rsidRDefault="00E01520" w14:paraId="5E903591" w14:textId="77777777">
            <w:pPr>
              <w:pStyle w:val="CETBodytext"/>
              <w:jc w:val="left"/>
            </w:pPr>
            <w:r w:rsidRPr="00A9172C">
              <w:t>0.8</w:t>
            </w:r>
          </w:p>
        </w:tc>
      </w:tr>
      <w:tr w:rsidRPr="00A9172C" w:rsidR="00E01520" w:rsidTr="0033242D" w14:paraId="4F90CD39" w14:textId="77777777">
        <w:trPr>
          <w:jc w:val="center"/>
        </w:trPr>
        <w:tc>
          <w:tcPr>
            <w:tcW w:w="2736" w:type="dxa"/>
            <w:shd w:val="clear" w:color="auto" w:fill="FFFFFF"/>
          </w:tcPr>
          <w:p w:rsidRPr="00A9172C" w:rsidR="00E01520" w:rsidP="006C7018" w:rsidRDefault="00E01520" w14:paraId="5E1C2B6B" w14:textId="77777777">
            <w:pPr>
              <w:pStyle w:val="CETBodytext"/>
              <w:ind w:right="-1"/>
              <w:jc w:val="left"/>
              <w:rPr>
                <w:rFonts w:cs="Arial"/>
                <w:szCs w:val="18"/>
              </w:rPr>
            </w:pPr>
            <w:r w:rsidRPr="00A9172C">
              <w:rPr>
                <w:rFonts w:cs="Arial"/>
                <w:szCs w:val="18"/>
              </w:rPr>
              <w:t>Length</w:t>
            </w:r>
          </w:p>
        </w:tc>
        <w:tc>
          <w:tcPr>
            <w:tcW w:w="1152" w:type="dxa"/>
            <w:shd w:val="clear" w:color="auto" w:fill="FFFFFF"/>
          </w:tcPr>
          <w:p w:rsidRPr="00A9172C" w:rsidR="00E01520" w:rsidP="006C7018" w:rsidRDefault="00E01520" w14:paraId="79BA9F9A" w14:textId="77777777">
            <w:pPr>
              <w:pStyle w:val="CETBodytext"/>
              <w:ind w:right="-1"/>
              <w:jc w:val="left"/>
              <w:rPr>
                <w:rFonts w:cs="Arial"/>
                <w:szCs w:val="18"/>
              </w:rPr>
            </w:pPr>
            <w:r w:rsidRPr="00A9172C">
              <w:rPr>
                <w:rFonts w:cs="Arial"/>
                <w:szCs w:val="18"/>
              </w:rPr>
              <w:t>m</w:t>
            </w:r>
          </w:p>
        </w:tc>
        <w:tc>
          <w:tcPr>
            <w:tcW w:w="1152" w:type="dxa"/>
            <w:shd w:val="clear" w:color="auto" w:fill="FFFFFF"/>
          </w:tcPr>
          <w:p w:rsidRPr="00A9172C" w:rsidR="00E01520" w:rsidP="006C7018" w:rsidRDefault="00E01520" w14:paraId="0789E131" w14:textId="77777777">
            <w:pPr>
              <w:pStyle w:val="CETBodytext"/>
              <w:ind w:right="-1"/>
              <w:jc w:val="left"/>
              <w:rPr>
                <w:rFonts w:cs="Arial"/>
                <w:szCs w:val="18"/>
              </w:rPr>
            </w:pPr>
            <w:r w:rsidRPr="00A9172C">
              <w:rPr>
                <w:rFonts w:cs="Arial"/>
                <w:szCs w:val="18"/>
              </w:rPr>
              <w:t>0.97</w:t>
            </w:r>
          </w:p>
        </w:tc>
      </w:tr>
      <w:tr w:rsidRPr="00A9172C" w:rsidR="00E01520" w:rsidTr="0033242D" w14:paraId="5FF3F38E" w14:textId="77777777">
        <w:trPr>
          <w:jc w:val="center"/>
        </w:trPr>
        <w:tc>
          <w:tcPr>
            <w:tcW w:w="2736" w:type="dxa"/>
            <w:shd w:val="clear" w:color="auto" w:fill="FFFFFF"/>
          </w:tcPr>
          <w:p w:rsidRPr="00A9172C" w:rsidR="00E01520" w:rsidP="006C7018" w:rsidRDefault="00E01520" w14:paraId="011DD4EF" w14:textId="77777777">
            <w:pPr>
              <w:pStyle w:val="CETBodytext"/>
              <w:ind w:right="-1"/>
              <w:jc w:val="left"/>
              <w:rPr>
                <w:rFonts w:cs="Arial"/>
                <w:szCs w:val="18"/>
              </w:rPr>
            </w:pPr>
            <w:r w:rsidRPr="00A9172C">
              <w:rPr>
                <w:rFonts w:cs="Arial"/>
                <w:szCs w:val="18"/>
              </w:rPr>
              <w:t>Height</w:t>
            </w:r>
          </w:p>
        </w:tc>
        <w:tc>
          <w:tcPr>
            <w:tcW w:w="1152" w:type="dxa"/>
            <w:shd w:val="clear" w:color="auto" w:fill="FFFFFF"/>
          </w:tcPr>
          <w:p w:rsidRPr="00A9172C" w:rsidR="00E01520" w:rsidP="006C7018" w:rsidRDefault="00E01520" w14:paraId="707E8467" w14:textId="77777777">
            <w:pPr>
              <w:pStyle w:val="CETBodytext"/>
              <w:ind w:right="-1"/>
              <w:jc w:val="left"/>
              <w:rPr>
                <w:rFonts w:cs="Arial"/>
                <w:szCs w:val="18"/>
              </w:rPr>
            </w:pPr>
            <w:r w:rsidRPr="00A9172C">
              <w:rPr>
                <w:rFonts w:cs="Arial"/>
                <w:szCs w:val="18"/>
              </w:rPr>
              <w:t>m</w:t>
            </w:r>
          </w:p>
        </w:tc>
        <w:tc>
          <w:tcPr>
            <w:tcW w:w="1152" w:type="dxa"/>
            <w:shd w:val="clear" w:color="auto" w:fill="FFFFFF"/>
          </w:tcPr>
          <w:p w:rsidRPr="00A9172C" w:rsidR="00E01520" w:rsidP="006C7018" w:rsidRDefault="00E01520" w14:paraId="40AA4A5F" w14:textId="77777777">
            <w:pPr>
              <w:pStyle w:val="CETBodytext"/>
              <w:ind w:right="-1"/>
              <w:jc w:val="left"/>
              <w:rPr>
                <w:rFonts w:cs="Arial"/>
                <w:szCs w:val="18"/>
              </w:rPr>
            </w:pPr>
            <w:r w:rsidRPr="00A9172C">
              <w:rPr>
                <w:rFonts w:cs="Arial"/>
                <w:szCs w:val="18"/>
              </w:rPr>
              <w:t>1.5</w:t>
            </w:r>
          </w:p>
        </w:tc>
      </w:tr>
      <w:tr w:rsidRPr="00A9172C" w:rsidR="00E01520" w:rsidTr="0033242D" w14:paraId="1F786E90" w14:textId="77777777">
        <w:trPr>
          <w:jc w:val="center"/>
        </w:trPr>
        <w:tc>
          <w:tcPr>
            <w:tcW w:w="2736" w:type="dxa"/>
            <w:shd w:val="clear" w:color="auto" w:fill="FFFFFF"/>
          </w:tcPr>
          <w:p w:rsidRPr="00A9172C" w:rsidR="00E01520" w:rsidP="006C7018" w:rsidRDefault="00E01520" w14:paraId="2CD36EA5" w14:textId="77777777">
            <w:pPr>
              <w:pStyle w:val="CETBodytext"/>
              <w:ind w:right="-1"/>
              <w:jc w:val="left"/>
              <w:rPr>
                <w:rFonts w:cs="Arial"/>
                <w:szCs w:val="18"/>
              </w:rPr>
            </w:pPr>
            <w:r w:rsidRPr="00A9172C">
              <w:rPr>
                <w:rFonts w:cs="Arial"/>
                <w:szCs w:val="18"/>
              </w:rPr>
              <w:t>Volume</w:t>
            </w:r>
          </w:p>
        </w:tc>
        <w:tc>
          <w:tcPr>
            <w:tcW w:w="1152" w:type="dxa"/>
            <w:shd w:val="clear" w:color="auto" w:fill="FFFFFF"/>
          </w:tcPr>
          <w:p w:rsidRPr="00A9172C" w:rsidR="00E01520" w:rsidP="006C7018" w:rsidRDefault="00E01520" w14:paraId="46488489" w14:textId="77777777">
            <w:pPr>
              <w:pStyle w:val="CETBodytext"/>
              <w:ind w:right="-1"/>
              <w:jc w:val="left"/>
              <w:rPr>
                <w:rFonts w:cs="Arial"/>
                <w:szCs w:val="18"/>
              </w:rPr>
            </w:pPr>
            <w:r w:rsidRPr="00A9172C">
              <w:rPr>
                <w:rFonts w:cs="Arial"/>
                <w:szCs w:val="18"/>
              </w:rPr>
              <w:t>m</w:t>
            </w:r>
            <w:r w:rsidRPr="00A9172C">
              <w:rPr>
                <w:rFonts w:cs="Arial"/>
                <w:szCs w:val="18"/>
                <w:vertAlign w:val="superscript"/>
              </w:rPr>
              <w:t>3</w:t>
            </w:r>
          </w:p>
        </w:tc>
        <w:tc>
          <w:tcPr>
            <w:tcW w:w="1152" w:type="dxa"/>
            <w:shd w:val="clear" w:color="auto" w:fill="FFFFFF"/>
          </w:tcPr>
          <w:p w:rsidRPr="00A9172C" w:rsidR="00E01520" w:rsidP="006C7018" w:rsidRDefault="00E01520" w14:paraId="67115861" w14:textId="77777777">
            <w:pPr>
              <w:pStyle w:val="CETBodytext"/>
              <w:ind w:right="-1"/>
              <w:jc w:val="left"/>
              <w:rPr>
                <w:rFonts w:cs="Arial"/>
                <w:szCs w:val="18"/>
              </w:rPr>
            </w:pPr>
            <w:r w:rsidRPr="00A9172C">
              <w:rPr>
                <w:rFonts w:cs="Arial"/>
                <w:szCs w:val="18"/>
              </w:rPr>
              <w:t>1.16</w:t>
            </w:r>
          </w:p>
        </w:tc>
      </w:tr>
    </w:tbl>
    <w:p w:rsidRPr="00A9172C" w:rsidR="00E01520" w:rsidP="00703B2B" w:rsidRDefault="00E01520" w14:paraId="507A0C1C" w14:textId="77777777">
      <w:pPr>
        <w:pStyle w:val="CETBodytext"/>
      </w:pPr>
    </w:p>
    <w:p w:rsidRPr="00A9172C" w:rsidR="00983859" w:rsidP="00206E16" w:rsidRDefault="00983859" w14:paraId="17AEE0D1" w14:textId="79EA9943">
      <w:pPr>
        <w:pStyle w:val="CETBodytext"/>
        <w:spacing w:before="120"/>
        <w:rPr>
          <w:i/>
          <w:iCs/>
          <w:u w:val="single"/>
        </w:rPr>
      </w:pPr>
      <w:r w:rsidRPr="00A9172C">
        <w:rPr>
          <w:i/>
          <w:iCs/>
          <w:u w:val="single"/>
        </w:rPr>
        <w:t xml:space="preserve">Step 1-3: Inherent Safety KPIs calculation </w:t>
      </w:r>
    </w:p>
    <w:p w:rsidRPr="00A9172C" w:rsidR="00D926C9" w:rsidP="0033242D" w:rsidRDefault="00445C34" w14:paraId="03B6978F" w14:textId="07C2E07B">
      <w:pPr>
        <w:pStyle w:val="CETBodytext"/>
      </w:pPr>
      <w:r w:rsidRPr="00A9172C">
        <w:t>Once the foundational data is collected, the Inherent Safety</w:t>
      </w:r>
      <w:r w:rsidRPr="00A9172C" w:rsidR="00472800">
        <w:t xml:space="preserve"> (IS)</w:t>
      </w:r>
      <w:r w:rsidRPr="00A9172C">
        <w:t xml:space="preserve"> KPI developed by Tugnoli (2007) approach can be applied. Step 1 involves identifying Loss of Containment (LOC) events: 10 mm leak</w:t>
      </w:r>
      <w:r w:rsidR="00813A90">
        <w:t xml:space="preserve"> (LOC 1)</w:t>
      </w:r>
      <w:r w:rsidRPr="00A9172C">
        <w:t xml:space="preserve">, continuous 10 min leak </w:t>
      </w:r>
      <w:r w:rsidR="00813A90">
        <w:t xml:space="preserve">(LOC 2) </w:t>
      </w:r>
      <w:r w:rsidRPr="00A9172C">
        <w:t xml:space="preserve">and catastrophic rupture </w:t>
      </w:r>
      <w:r w:rsidR="00813A90">
        <w:t xml:space="preserve">(LCO 3) </w:t>
      </w:r>
      <w:r w:rsidRPr="00A9172C">
        <w:t>(TNO, 2005). Each event</w:t>
      </w:r>
      <w:r w:rsidRPr="00A9172C" w:rsidR="005257EC">
        <w:t xml:space="preserve"> </w:t>
      </w:r>
      <m:oMath>
        <m:r>
          <w:rPr>
            <w:rFonts w:ascii="Cambria Math" w:hAnsi="Cambria Math"/>
          </w:rPr>
          <m:t>j</m:t>
        </m:r>
      </m:oMath>
      <w:r w:rsidRPr="00A9172C">
        <w:t xml:space="preserve"> is simulated through the software PHAST 8.9 by DNV to evaluate the damage distances for </w:t>
      </w:r>
      <w:r w:rsidRPr="00A9172C" w:rsidR="00325522">
        <w:t>the</w:t>
      </w:r>
      <w:r w:rsidRPr="00A9172C">
        <w:t xml:space="preserve"> Release Accident Scenarios (RASs</w:t>
      </w:r>
      <w:r w:rsidRPr="00A9172C" w:rsidR="00325522">
        <w:t>)</w:t>
      </w:r>
      <w:r w:rsidRPr="00A9172C" w:rsidR="00166ADE">
        <w:t>, as in Step 2a</w:t>
      </w:r>
      <w:r w:rsidRPr="00A9172C" w:rsidR="00325522">
        <w:t xml:space="preserve">. </w:t>
      </w:r>
      <w:r w:rsidRPr="00A9172C" w:rsidR="00932B34">
        <w:t>According to Tugnoli et al. (2007), t</w:t>
      </w:r>
      <w:r w:rsidRPr="00A9172C" w:rsidR="00325522">
        <w:t xml:space="preserve">he threshold values </w:t>
      </w:r>
      <w:r w:rsidRPr="00A9172C" w:rsidR="00EF7F0A">
        <w:t>to evaluate the damage distances are: 14 kPa for the Vapor cloud Explosion, 7 kW/m</w:t>
      </w:r>
      <w:r w:rsidRPr="00A9172C" w:rsidR="00EF7F0A">
        <w:rPr>
          <w:vertAlign w:val="superscript"/>
        </w:rPr>
        <w:t>2</w:t>
      </w:r>
      <w:r w:rsidRPr="00A9172C" w:rsidR="00EF7F0A">
        <w:t xml:space="preserve"> for the fireball and </w:t>
      </w:r>
      <w:r w:rsidRPr="00A9172C" w:rsidR="00932B34">
        <w:t>flashfire</w:t>
      </w:r>
      <w:r w:rsidRPr="00A9172C" w:rsidR="00EF7F0A">
        <w:t xml:space="preserve">, and </w:t>
      </w:r>
      <w:r w:rsidRPr="00A9172C" w:rsidR="004A5EA8">
        <w:t>½ LFL</w:t>
      </w:r>
      <w:r w:rsidRPr="00A9172C" w:rsidR="00932B34">
        <w:t xml:space="preserve"> (low flammability level)</w:t>
      </w:r>
      <w:r w:rsidRPr="00A9172C" w:rsidR="004A5EA8">
        <w:t xml:space="preserve"> for the flashfire. </w:t>
      </w:r>
      <w:r w:rsidRPr="00A9172C">
        <w:t>The effects are evaluated at 1 m height from the ground level and the following environmental condition is considered: average wind speed of 1.5 m/s, Pasquill category F, meaning night time, air temperature of 25 °C with 70 % of relative humidity, and surface temperature of 10 °C. In parallel, to represent the yearly occurrence</w:t>
      </w:r>
      <w:r w:rsidRPr="00A9172C" w:rsidR="00166ADE">
        <w:t xml:space="preserve"> in Step 2b</w:t>
      </w:r>
      <w:r w:rsidRPr="00A9172C">
        <w:t xml:space="preserve">, credit factors for each LOC are selected from the literature, considering the electrolysis stack as a process vessel and the hydrogen-water separator as a pressure vessel (TNO, 2005). </w:t>
      </w:r>
      <w:r w:rsidRPr="00A9172C" w:rsidR="00C417EA">
        <w:t xml:space="preserve">The software </w:t>
      </w:r>
      <w:r w:rsidRPr="00A9172C" w:rsidR="00341395">
        <w:t xml:space="preserve">does not allow </w:t>
      </w:r>
      <w:r w:rsidRPr="00A9172C" w:rsidR="00932B34">
        <w:t>simulating</w:t>
      </w:r>
      <w:r w:rsidRPr="00A9172C" w:rsidR="00C417EA">
        <w:t xml:space="preserve"> hazardous inventories less than 0.5 kg</w:t>
      </w:r>
      <w:r w:rsidRPr="00A9172C" w:rsidR="00D67A9F">
        <w:t>; therefore, the H</w:t>
      </w:r>
      <w:r w:rsidRPr="00A9172C" w:rsidR="00D67A9F">
        <w:rPr>
          <w:vertAlign w:val="subscript"/>
        </w:rPr>
        <w:t>2</w:t>
      </w:r>
      <w:r w:rsidRPr="00A9172C" w:rsidR="00D67A9F">
        <w:t xml:space="preserve">-water separator is </w:t>
      </w:r>
      <w:r w:rsidRPr="00A9172C" w:rsidR="00B420E3">
        <w:t>part of the analysis only for the high</w:t>
      </w:r>
      <w:r w:rsidRPr="00A9172C" w:rsidR="00D926C9">
        <w:t xml:space="preserve">est green hydrogen production options. </w:t>
      </w:r>
    </w:p>
    <w:p w:rsidRPr="00A9172C" w:rsidR="00C907F1" w:rsidP="00445C34" w:rsidRDefault="00445C34" w14:paraId="501CA45E" w14:textId="4F13EB6D">
      <w:pPr>
        <w:pStyle w:val="CETBodytext"/>
      </w:pPr>
      <w:r w:rsidRPr="00A9172C">
        <w:t xml:space="preserve">Step 3 focuses on </w:t>
      </w:r>
      <w:r w:rsidRPr="00A9172C" w:rsidR="00472800">
        <w:t xml:space="preserve">the evaluation of IS-KPIs </w:t>
      </w:r>
      <w:r w:rsidRPr="00A9172C">
        <w:t xml:space="preserve">hazard indexing. The Unit Potential Hazard Index (UPI) is calculated </w:t>
      </w:r>
      <w:r w:rsidRPr="00A9172C" w:rsidR="00CA58CC">
        <w:t>as in Eq(1)</w:t>
      </w:r>
      <w:r w:rsidRPr="00A9172C" w:rsidR="00A249BC">
        <w:t xml:space="preserve"> to quantify the maximum potential damage </w:t>
      </w:r>
      <w:r w:rsidRPr="00A9172C" w:rsidR="00A810B7">
        <w:t>generated by the worst-case scenario.</w:t>
      </w:r>
      <w:r w:rsidRPr="00A9172C" w:rsidR="00932B34">
        <w:t xml:space="preserve"> </w:t>
      </w:r>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 xml:space="preserve"> </m:t>
        </m:r>
      </m:oMath>
      <w:r w:rsidRPr="00A9172C" w:rsidR="00932B34">
        <w:t xml:space="preserve">is the </w:t>
      </w:r>
      <w:r w:rsidRPr="00A9172C" w:rsidR="007608A2">
        <w:t>maximum di</w:t>
      </w:r>
      <w:r w:rsidRPr="00A9172C" w:rsidR="0012568C">
        <w:t xml:space="preserve">stance for the </w:t>
      </w:r>
      <m:oMath>
        <m:r>
          <w:rPr>
            <w:rFonts w:ascii="Cambria Math" w:hAnsi="Cambria Math"/>
          </w:rPr>
          <m:t>j</m:t>
        </m:r>
      </m:oMath>
      <w:r w:rsidRPr="00A9172C" w:rsidR="0012568C">
        <w:t xml:space="preserve"> LOC among the different RASs</w:t>
      </w:r>
      <w:r w:rsidRPr="00A9172C" w:rsidR="00425993">
        <w:t xml:space="preserve"> and </w:t>
      </w:r>
      <m:oMath>
        <m:r>
          <w:rPr>
            <w:rFonts w:ascii="Cambria Math" w:hAnsi="Cambria Math"/>
          </w:rPr>
          <m:t>n</m:t>
        </m:r>
      </m:oMath>
      <w:r w:rsidRPr="00A9172C" w:rsidR="00425993">
        <w:t xml:space="preserve"> is the number of stacks in the module</w:t>
      </w:r>
      <w:r w:rsidRPr="00A9172C" w:rsidR="0012568C">
        <w:t xml:space="preserve">. </w:t>
      </w:r>
    </w:p>
    <w:tbl>
      <w:tblPr>
        <w:tblW w:w="5000" w:type="pct"/>
        <w:tblLook w:val="04A0" w:firstRow="1" w:lastRow="0" w:firstColumn="1" w:lastColumn="0" w:noHBand="0" w:noVBand="1"/>
      </w:tblPr>
      <w:tblGrid>
        <w:gridCol w:w="7983"/>
        <w:gridCol w:w="804"/>
      </w:tblGrid>
      <w:tr w:rsidRPr="00A9172C" w:rsidR="00C907F1" w:rsidTr="00E30BDD" w14:paraId="14C12D0D" w14:textId="77777777">
        <w:tc>
          <w:tcPr>
            <w:tcW w:w="7983" w:type="dxa"/>
            <w:shd w:val="clear" w:color="auto" w:fill="auto"/>
            <w:vAlign w:val="center"/>
          </w:tcPr>
          <w:p w:rsidRPr="00A9172C" w:rsidR="00C907F1" w:rsidP="00E30BDD" w:rsidRDefault="00C907F1" w14:paraId="75DA82EF" w14:textId="0E3EE67A">
            <w:pPr>
              <w:pStyle w:val="CETEquation"/>
              <w:rPr>
                <w:lang w:val="en-US"/>
              </w:rPr>
            </w:pPr>
            <w:r w:rsidRPr="00A9172C">
              <w:rPr>
                <w:lang w:val="en-US"/>
              </w:rPr>
              <w:lastRenderedPageBreak/>
              <w:t xml:space="preserve"> </w:t>
            </w:r>
            <m:oMath>
              <m:r>
                <w:rPr>
                  <w:rFonts w:ascii="Cambria Math" w:hAnsi="Cambria Math"/>
                  <w:lang w:val="en-US"/>
                </w:rPr>
                <m:t>UPI=n∙</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e>
                    <m:lim>
                      <m:r>
                        <w:rPr>
                          <w:rFonts w:ascii="Cambria Math" w:hAnsi="Cambria Math"/>
                          <w:lang w:val="en-US"/>
                        </w:rPr>
                        <m:t>j</m:t>
                      </m:r>
                    </m:lim>
                  </m:limLow>
                </m:fName>
                <m:e>
                  <m:d>
                    <m:dPr>
                      <m:ctrlPr>
                        <w:rPr>
                          <w:rFonts w:ascii="Cambria Math" w:hAnsi="Cambria Math"/>
                          <w:i/>
                          <w:lang w:val="en-US"/>
                        </w:rPr>
                      </m:ctrlPr>
                    </m:dPr>
                    <m:e>
                      <w:bookmarkStart w:name="_Hlk191626663" w:id="2"/>
                      <m:sSubSup>
                        <m:sSubSupPr>
                          <m:ctrlPr>
                            <w:rPr>
                              <w:rFonts w:ascii="Cambria Math" w:hAnsi="Cambria Math"/>
                              <w:i/>
                              <w:lang w:val="en-US"/>
                            </w:rPr>
                          </m:ctrlPr>
                        </m:sSubSupPr>
                        <m:e>
                          <m:r>
                            <w:rPr>
                              <w:rFonts w:ascii="Cambria Math" w:hAnsi="Cambria Math"/>
                              <w:lang w:val="en-US"/>
                            </w:rPr>
                            <m:t>h</m:t>
                          </m:r>
                        </m:e>
                        <m:sub>
                          <m:r>
                            <w:rPr>
                              <w:rFonts w:ascii="Cambria Math" w:hAnsi="Cambria Math"/>
                              <w:lang w:val="en-US"/>
                            </w:rPr>
                            <m:t>j</m:t>
                          </m:r>
                        </m:sub>
                        <m:sup>
                          <m:r>
                            <w:rPr>
                              <w:rFonts w:ascii="Cambria Math" w:hAnsi="Cambria Math"/>
                              <w:lang w:val="en-US"/>
                            </w:rPr>
                            <m:t>2</m:t>
                          </m:r>
                        </m:sup>
                      </m:sSubSup>
                      <w:bookmarkEnd w:id="2"/>
                    </m:e>
                  </m:d>
                </m:e>
              </m:func>
            </m:oMath>
            <w:r w:rsidRPr="00A9172C">
              <w:rPr>
                <w:i/>
                <w:lang w:val="en-US"/>
              </w:rPr>
              <w:t xml:space="preserve"> </w:t>
            </w:r>
          </w:p>
        </w:tc>
        <w:tc>
          <w:tcPr>
            <w:tcW w:w="804" w:type="dxa"/>
            <w:shd w:val="clear" w:color="auto" w:fill="auto"/>
            <w:vAlign w:val="center"/>
          </w:tcPr>
          <w:p w:rsidRPr="00A9172C" w:rsidR="00C907F1" w:rsidP="00E30BDD" w:rsidRDefault="00C907F1" w14:paraId="5ADE1464" w14:textId="77777777">
            <w:pPr>
              <w:pStyle w:val="CETEquation"/>
              <w:jc w:val="right"/>
              <w:rPr>
                <w:lang w:val="en-US"/>
              </w:rPr>
            </w:pPr>
            <w:r w:rsidRPr="00A9172C">
              <w:rPr>
                <w:lang w:val="en-US"/>
              </w:rPr>
              <w:t>(1)</w:t>
            </w:r>
          </w:p>
        </w:tc>
      </w:tr>
    </w:tbl>
    <w:p w:rsidRPr="00A9172C" w:rsidR="00445C34" w:rsidP="00445C34" w:rsidRDefault="001014A5" w14:paraId="102928BC" w14:textId="76E8FDCB">
      <w:pPr>
        <w:pStyle w:val="CETBodytext"/>
      </w:pPr>
      <w:r w:rsidRPr="00A9172C">
        <w:t xml:space="preserve">The </w:t>
      </w:r>
      <w:r w:rsidRPr="00A9172C" w:rsidR="00445C34">
        <w:t>Unit Inherent Hazard Index (UHI) is determined</w:t>
      </w:r>
      <w:r w:rsidRPr="00A9172C" w:rsidR="00586410">
        <w:t xml:space="preserve"> as in Eq(2)</w:t>
      </w:r>
      <w:r w:rsidRPr="00A9172C" w:rsidR="00445C34">
        <w:t>, incorporating the</w:t>
      </w:r>
      <w:r w:rsidRPr="00A9172C" w:rsidR="00586410">
        <w:t xml:space="preserve"> </w:t>
      </w:r>
      <w:r w:rsidRPr="00A9172C" w:rsidR="00445C34">
        <w:t xml:space="preserve">assigned credit factors to reflect the </w:t>
      </w:r>
      <w:r w:rsidRPr="00A9172C" w:rsidR="00586410">
        <w:t xml:space="preserve">risk of the equipment. </w:t>
      </w:r>
    </w:p>
    <w:tbl>
      <w:tblPr>
        <w:tblW w:w="5000" w:type="pct"/>
        <w:tblLook w:val="04A0" w:firstRow="1" w:lastRow="0" w:firstColumn="1" w:lastColumn="0" w:noHBand="0" w:noVBand="1"/>
      </w:tblPr>
      <w:tblGrid>
        <w:gridCol w:w="7983"/>
        <w:gridCol w:w="804"/>
      </w:tblGrid>
      <w:tr w:rsidRPr="00A9172C" w:rsidR="00B16D98" w:rsidTr="005D136B" w14:paraId="28315D81" w14:textId="77777777">
        <w:tc>
          <w:tcPr>
            <w:tcW w:w="7983" w:type="dxa"/>
            <w:shd w:val="clear" w:color="auto" w:fill="auto"/>
            <w:vAlign w:val="center"/>
          </w:tcPr>
          <w:p w:rsidRPr="00A9172C" w:rsidR="00B16D98" w:rsidP="00B16D98" w:rsidRDefault="00BA4F05" w14:paraId="13C571FF" w14:textId="6A5AA689">
            <w:pPr>
              <w:pStyle w:val="CETEquation"/>
              <w:rPr>
                <w:i/>
                <w:lang w:val="en-US"/>
              </w:rPr>
            </w:pPr>
            <m:oMath>
              <m:r>
                <w:rPr>
                  <w:rFonts w:ascii="Cambria Math" w:hAnsi="Cambria Math"/>
                  <w:lang w:val="en-US"/>
                </w:rPr>
                <m:t>UHI= n∙</m:t>
              </m:r>
              <m:nary>
                <m:naryPr>
                  <m:chr m:val="∑"/>
                  <m:limLoc m:val="subSup"/>
                  <m:ctrlPr>
                    <w:rPr>
                      <w:rFonts w:ascii="Cambria Math" w:hAnsi="Cambria Math"/>
                      <w:i/>
                      <w:lang w:val="en-US"/>
                    </w:rPr>
                  </m:ctrlPr>
                </m:naryPr>
                <m:sub>
                  <m:r>
                    <w:rPr>
                      <w:rFonts w:ascii="Cambria Math" w:hAnsi="Cambria Math"/>
                      <w:lang w:val="en-US"/>
                    </w:rPr>
                    <m:t>j</m:t>
                  </m:r>
                </m:sub>
                <m:sup>
                  <m:r>
                    <w:rPr>
                      <w:rFonts w:ascii="Cambria Math" w:hAnsi="Cambria Math"/>
                      <w:lang w:val="en-US"/>
                    </w:rPr>
                    <m:t>LOC</m:t>
                  </m:r>
                </m:sup>
                <m:e>
                  <m:sSub>
                    <m:sSubPr>
                      <m:ctrlPr>
                        <w:rPr>
                          <w:rFonts w:ascii="Cambria Math" w:hAnsi="Cambria Math"/>
                          <w:i/>
                          <w:lang w:val="en-US"/>
                        </w:rPr>
                      </m:ctrlPr>
                    </m:sSubPr>
                    <m:e>
                      <m:r>
                        <w:rPr>
                          <w:rFonts w:ascii="Cambria Math" w:hAnsi="Cambria Math"/>
                          <w:lang w:val="en-US"/>
                        </w:rPr>
                        <m:t>C</m:t>
                      </m:r>
                    </m:e>
                    <m:sub>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j</m:t>
                          </m:r>
                        </m:sub>
                      </m:sSub>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h</m:t>
                      </m:r>
                    </m:e>
                    <m:sub>
                      <m:r>
                        <w:rPr>
                          <w:rFonts w:ascii="Cambria Math" w:hAnsi="Cambria Math"/>
                          <w:lang w:val="en-US"/>
                        </w:rPr>
                        <m:t>j</m:t>
                      </m:r>
                    </m:sub>
                    <m:sup>
                      <m:r>
                        <w:rPr>
                          <w:rFonts w:ascii="Cambria Math" w:hAnsi="Cambria Math"/>
                          <w:lang w:val="en-US"/>
                        </w:rPr>
                        <m:t>2</m:t>
                      </m:r>
                    </m:sup>
                  </m:sSubSup>
                </m:e>
              </m:nary>
            </m:oMath>
            <w:r w:rsidRPr="00A9172C" w:rsidR="00FC7809">
              <w:rPr>
                <w:i/>
                <w:lang w:val="en-US"/>
              </w:rPr>
              <w:t xml:space="preserve"> </w:t>
            </w:r>
          </w:p>
        </w:tc>
        <w:tc>
          <w:tcPr>
            <w:tcW w:w="804" w:type="dxa"/>
            <w:shd w:val="clear" w:color="auto" w:fill="auto"/>
            <w:vAlign w:val="center"/>
          </w:tcPr>
          <w:p w:rsidRPr="00A9172C" w:rsidR="00C907F1" w:rsidP="005D136B" w:rsidRDefault="007F55FB" w14:paraId="18B30E1E" w14:textId="14715A79">
            <w:pPr>
              <w:pStyle w:val="CETEquation"/>
              <w:jc w:val="right"/>
              <w:rPr>
                <w:lang w:val="en-US"/>
              </w:rPr>
            </w:pPr>
            <w:r w:rsidRPr="00A9172C">
              <w:rPr>
                <w:lang w:val="en-US"/>
              </w:rPr>
              <w:t>(2)</w:t>
            </w:r>
          </w:p>
        </w:tc>
      </w:tr>
    </w:tbl>
    <w:p w:rsidRPr="00A9172C" w:rsidR="005D136B" w:rsidP="005D136B" w:rsidRDefault="00073780" w14:paraId="6C9F90A3" w14:textId="1E22E323">
      <w:pPr>
        <w:pStyle w:val="CETBodytext"/>
      </w:pPr>
      <w:r w:rsidRPr="00A9172C">
        <w:t>For the</w:t>
      </w:r>
      <w:r w:rsidRPr="00A9172C" w:rsidR="00362E9F">
        <w:t xml:space="preserve"> greater hydrogen production</w:t>
      </w:r>
      <w:r w:rsidRPr="00A9172C" w:rsidR="00260568">
        <w:t>,</w:t>
      </w:r>
      <w:r w:rsidRPr="00A9172C" w:rsidR="00362E9F">
        <w:t xml:space="preserve"> </w:t>
      </w:r>
      <w:r w:rsidRPr="00A9172C" w:rsidR="0024240D">
        <w:t xml:space="preserve">the </w:t>
      </w:r>
      <w:r w:rsidRPr="00A9172C" w:rsidR="00260568">
        <w:t>IS-KPIs are the</w:t>
      </w:r>
      <w:r w:rsidRPr="00A9172C" w:rsidR="00AA211B">
        <w:t xml:space="preserve"> inherent Hazard Index (HI) and the Potential hazard Index (PI)</w:t>
      </w:r>
      <w:r w:rsidRPr="00A9172C" w:rsidR="00F728BB">
        <w:t>, calculated as the</w:t>
      </w:r>
      <w:r w:rsidRPr="00A9172C" w:rsidR="00260568">
        <w:t xml:space="preserve"> sum of the </w:t>
      </w:r>
      <w:r w:rsidRPr="00A9172C" w:rsidR="00B76D9E">
        <w:t xml:space="preserve">unit indexes of </w:t>
      </w:r>
      <w:r w:rsidRPr="00A9172C" w:rsidR="00C42C05">
        <w:t xml:space="preserve">the electrolysis stack and the separator. </w:t>
      </w:r>
      <w:r w:rsidRPr="00A9172C" w:rsidR="00F728BB">
        <w:t xml:space="preserve">The effect of considering also the </w:t>
      </w:r>
      <w:r w:rsidRPr="00A9172C" w:rsidR="008269C3">
        <w:t>separator is highlighted comparing the</w:t>
      </w:r>
      <w:r w:rsidRPr="00A9172C" w:rsidR="00243033">
        <w:t xml:space="preserve"> overall</w:t>
      </w:r>
      <w:r w:rsidRPr="00A9172C" w:rsidR="008269C3">
        <w:t xml:space="preserve"> </w:t>
      </w:r>
      <w:r w:rsidRPr="00A9172C" w:rsidR="00243033">
        <w:t>HI with the UHI of the electrolysis stack (ES) and the overall PI with the UPI of the electrolysis stack (ES).</w:t>
      </w:r>
    </w:p>
    <w:p w:rsidRPr="00A9172C" w:rsidR="00DB03D5" w:rsidP="00DB03D5" w:rsidRDefault="00B97694" w14:paraId="711010EF" w14:textId="0D50ACD8">
      <w:pPr>
        <w:pStyle w:val="CETHeading1"/>
      </w:pPr>
      <w:r w:rsidRPr="00A9172C">
        <w:t>Results and discussion</w:t>
      </w:r>
    </w:p>
    <w:p w:rsidRPr="00A9172C" w:rsidR="00471C0C" w:rsidP="00471C0C" w:rsidRDefault="00A761CB" w14:paraId="3B69E1F8" w14:textId="7C9BBF8D">
      <w:pPr>
        <w:pStyle w:val="CETBodytext"/>
      </w:pPr>
      <w:r w:rsidRPr="00A9172C">
        <w:t xml:space="preserve">Different </w:t>
      </w:r>
      <w:r w:rsidRPr="00A9172C" w:rsidR="00543A6E">
        <w:t>sizes</w:t>
      </w:r>
      <w:r w:rsidRPr="00A9172C">
        <w:t xml:space="preserve"> of electroly</w:t>
      </w:r>
      <w:r w:rsidR="00793A62">
        <w:t>z</w:t>
      </w:r>
      <w:r w:rsidRPr="00A9172C">
        <w:t xml:space="preserve">ers </w:t>
      </w:r>
      <w:r w:rsidRPr="00A9172C" w:rsidR="00543A6E">
        <w:t>are selected as possible options to feed the glass furnaces with green hydrogen produced on site</w:t>
      </w:r>
      <w:r w:rsidR="002A1C68">
        <w:t>, de</w:t>
      </w:r>
      <w:r w:rsidR="00B377B2">
        <w:t>pending on the size of the plant</w:t>
      </w:r>
      <w:r w:rsidRPr="00A9172C" w:rsidR="00543A6E">
        <w:t xml:space="preserve">. </w:t>
      </w:r>
      <w:r w:rsidRPr="00A9172C" w:rsidR="00375F39">
        <w:t xml:space="preserve">Table 2 shows </w:t>
      </w:r>
      <w:r w:rsidRPr="00A9172C" w:rsidR="007F385B">
        <w:t xml:space="preserve">the details, highlighting the hydrogen nominal production and the composition of the </w:t>
      </w:r>
      <w:r w:rsidRPr="00A9172C" w:rsidR="00E63A53">
        <w:t xml:space="preserve">module, in terms of number and type of stacks. </w:t>
      </w:r>
      <w:r w:rsidRPr="00A9172C" w:rsidR="00BE45F0">
        <w:t>The 10 MW system is considered in two different combination</w:t>
      </w:r>
      <w:r w:rsidRPr="00A9172C" w:rsidR="00647C43">
        <w:t xml:space="preserve">s, since different </w:t>
      </w:r>
      <w:r w:rsidRPr="00A9172C" w:rsidR="00D76E64">
        <w:t xml:space="preserve">information </w:t>
      </w:r>
      <w:r w:rsidRPr="00A9172C" w:rsidR="00806055">
        <w:t>was found on the manufacturers’ website</w:t>
      </w:r>
      <w:r w:rsidRPr="00A9172C" w:rsidR="001F2E0E">
        <w:t xml:space="preserve">, and specifically as </w:t>
      </w:r>
      <w:r w:rsidRPr="00A9172C" w:rsidR="002A4BCA">
        <w:t>either</w:t>
      </w:r>
      <w:r w:rsidRPr="00A9172C" w:rsidR="00E50859">
        <w:t xml:space="preserve"> four stacks of 2.5 MW and </w:t>
      </w:r>
      <w:r w:rsidRPr="00A9172C" w:rsidR="00647C43">
        <w:t>eight</w:t>
      </w:r>
      <w:r w:rsidRPr="00A9172C" w:rsidR="00E50859">
        <w:t xml:space="preserve"> stacks of 1.25 MW. </w:t>
      </w:r>
    </w:p>
    <w:p w:rsidRPr="00A9172C" w:rsidR="004E0138" w:rsidP="009679B9" w:rsidRDefault="004E0138" w14:paraId="42C2426A" w14:textId="33A1EAE7">
      <w:pPr>
        <w:pStyle w:val="CETTabletitle"/>
        <w:spacing w:before="120"/>
        <w:rPr>
          <w:lang w:val="en-US"/>
        </w:rPr>
      </w:pPr>
      <w:r w:rsidRPr="00A9172C">
        <w:rPr>
          <w:lang w:val="en-US"/>
        </w:rPr>
        <w:t xml:space="preserve">Table </w:t>
      </w:r>
      <w:r w:rsidRPr="00A9172C">
        <w:rPr>
          <w:lang w:val="en-US"/>
        </w:rPr>
        <w:fldChar w:fldCharType="begin"/>
      </w:r>
      <w:r w:rsidRPr="00A9172C">
        <w:rPr>
          <w:lang w:val="en-US"/>
        </w:rPr>
        <w:instrText xml:space="preserve"> SEQ Table \* ARABIC </w:instrText>
      </w:r>
      <w:r w:rsidRPr="00A9172C">
        <w:rPr>
          <w:lang w:val="en-US"/>
        </w:rPr>
        <w:fldChar w:fldCharType="separate"/>
      </w:r>
      <w:r w:rsidRPr="00A9172C" w:rsidR="00235AC0">
        <w:rPr>
          <w:noProof/>
          <w:lang w:val="en-US"/>
        </w:rPr>
        <w:t>2</w:t>
      </w:r>
      <w:r w:rsidRPr="00A9172C">
        <w:rPr>
          <w:lang w:val="en-US"/>
        </w:rPr>
        <w:fldChar w:fldCharType="end"/>
      </w:r>
      <w:r w:rsidRPr="00A9172C">
        <w:rPr>
          <w:lang w:val="en-US"/>
        </w:rPr>
        <w:t xml:space="preserve">: </w:t>
      </w:r>
      <w:r w:rsidRPr="00A9172C" w:rsidR="001A2E5B">
        <w:rPr>
          <w:lang w:val="en-US"/>
        </w:rPr>
        <w:t xml:space="preserve">Details </w:t>
      </w:r>
      <w:r w:rsidRPr="00A9172C" w:rsidR="00673916">
        <w:rPr>
          <w:lang w:val="en-US"/>
        </w:rPr>
        <w:t>of d</w:t>
      </w:r>
      <w:r w:rsidRPr="00A9172C">
        <w:rPr>
          <w:lang w:val="en-US"/>
        </w:rPr>
        <w:t>ifferent sizes of</w:t>
      </w:r>
      <w:r w:rsidRPr="00A9172C" w:rsidR="00CF70BA">
        <w:rPr>
          <w:lang w:val="en-US"/>
        </w:rPr>
        <w:t xml:space="preserve"> </w:t>
      </w:r>
      <w:r w:rsidRPr="00A9172C">
        <w:rPr>
          <w:lang w:val="en-US"/>
        </w:rPr>
        <w:t>electroly</w:t>
      </w:r>
      <w:r w:rsidR="00793A62">
        <w:rPr>
          <w:lang w:val="en-US"/>
        </w:rPr>
        <w:t>z</w:t>
      </w:r>
      <w:r w:rsidRPr="00A9172C">
        <w:rPr>
          <w:lang w:val="en-US"/>
        </w:rPr>
        <w:t>er.</w:t>
      </w:r>
      <w:r w:rsidRPr="00A9172C" w:rsidR="00845089">
        <w:rPr>
          <w:lang w:val="en-US"/>
        </w:rPr>
        <w:t xml:space="preserve"> (</w:t>
      </w:r>
      <w:r w:rsidRPr="00A9172C" w:rsidR="00BA301B">
        <w:rPr>
          <w:lang w:val="en-US"/>
        </w:rPr>
        <w:t>*) Different</w:t>
      </w:r>
      <w:r w:rsidRPr="00A9172C" w:rsidR="004358AC">
        <w:rPr>
          <w:lang w:val="en-US"/>
        </w:rPr>
        <w:t xml:space="preserve"> indications are available </w:t>
      </w:r>
      <w:r w:rsidRPr="00A9172C" w:rsidR="00CF70BA">
        <w:rPr>
          <w:lang w:val="en-US"/>
        </w:rPr>
        <w:t>on</w:t>
      </w:r>
      <w:r w:rsidRPr="00A9172C" w:rsidR="004358AC">
        <w:rPr>
          <w:lang w:val="en-US"/>
        </w:rPr>
        <w:t xml:space="preserve"> the electroly</w:t>
      </w:r>
      <w:r w:rsidR="00793A62">
        <w:rPr>
          <w:lang w:val="en-US"/>
        </w:rPr>
        <w:t>z</w:t>
      </w:r>
      <w:r w:rsidRPr="00A9172C" w:rsidR="004358AC">
        <w:rPr>
          <w:lang w:val="en-US"/>
        </w:rPr>
        <w:t>er</w:t>
      </w:r>
      <w:r w:rsidRPr="00A9172C" w:rsidR="00CF70BA">
        <w:rPr>
          <w:lang w:val="en-US"/>
        </w:rPr>
        <w:t xml:space="preserve"> manufacturers' website.</w:t>
      </w:r>
    </w:p>
    <w:tbl>
      <w:tblPr>
        <w:tblW w:w="5000" w:type="pct"/>
        <w:tblBorders>
          <w:top w:val="single" w:color="008000" w:sz="12" w:space="0"/>
          <w:bottom w:val="single" w:color="008000" w:sz="12" w:space="0"/>
        </w:tblBorders>
        <w:shd w:val="clear" w:color="auto" w:fill="FFFFFF"/>
        <w:tblCellMar>
          <w:left w:w="0" w:type="dxa"/>
          <w:right w:w="0" w:type="dxa"/>
        </w:tblCellMar>
        <w:tblLook w:val="00A0" w:firstRow="1" w:lastRow="0" w:firstColumn="1" w:lastColumn="0" w:noHBand="0" w:noVBand="0"/>
      </w:tblPr>
      <w:tblGrid>
        <w:gridCol w:w="1614"/>
        <w:gridCol w:w="1905"/>
        <w:gridCol w:w="1757"/>
        <w:gridCol w:w="1464"/>
        <w:gridCol w:w="2047"/>
      </w:tblGrid>
      <w:tr w:rsidRPr="00A9172C" w:rsidR="008A4BFB" w:rsidTr="00425993" w14:paraId="3DD635C4" w14:textId="77777777">
        <w:tc>
          <w:tcPr>
            <w:tcW w:w="918" w:type="pct"/>
            <w:tcBorders>
              <w:top w:val="single" w:color="008000" w:sz="12" w:space="0"/>
              <w:bottom w:val="single" w:color="008000" w:sz="6" w:space="0"/>
            </w:tcBorders>
            <w:shd w:val="clear" w:color="auto" w:fill="FFFFFF"/>
          </w:tcPr>
          <w:p w:rsidRPr="00A9172C" w:rsidR="00B65CFB" w:rsidP="00C13990" w:rsidRDefault="00B6635E" w14:paraId="1B0C28D1" w14:textId="4C89390B">
            <w:pPr>
              <w:pStyle w:val="CETBodytext"/>
              <w:jc w:val="left"/>
            </w:pPr>
            <w:r w:rsidRPr="00A9172C">
              <w:t>Power rated</w:t>
            </w:r>
            <w:r w:rsidRPr="00A9172C" w:rsidR="00B65CFB">
              <w:t xml:space="preserve"> </w:t>
            </w:r>
            <w:r w:rsidRPr="00A9172C" w:rsidR="008C42BF">
              <w:t>[MW]</w:t>
            </w:r>
          </w:p>
        </w:tc>
        <w:tc>
          <w:tcPr>
            <w:tcW w:w="1084" w:type="pct"/>
            <w:tcBorders>
              <w:top w:val="single" w:color="008000" w:sz="12" w:space="0"/>
              <w:bottom w:val="single" w:color="008000" w:sz="6" w:space="0"/>
            </w:tcBorders>
            <w:shd w:val="clear" w:color="auto" w:fill="FFFFFF"/>
          </w:tcPr>
          <w:p w:rsidRPr="00A9172C" w:rsidR="00B65CFB" w:rsidP="00C13990" w:rsidRDefault="00B6635E" w14:paraId="3C869EDC" w14:textId="201E912F">
            <w:pPr>
              <w:pStyle w:val="CETBodytext"/>
              <w:jc w:val="left"/>
            </w:pPr>
            <w:r w:rsidRPr="00A9172C">
              <w:t>H</w:t>
            </w:r>
            <w:r w:rsidRPr="00A9172C" w:rsidR="00C13990">
              <w:rPr>
                <w:vertAlign w:val="subscript"/>
              </w:rPr>
              <w:t>2</w:t>
            </w:r>
            <w:r w:rsidRPr="00A9172C" w:rsidR="00C13990">
              <w:t xml:space="preserve"> </w:t>
            </w:r>
            <w:r w:rsidRPr="00A9172C">
              <w:t xml:space="preserve">production </w:t>
            </w:r>
            <w:r w:rsidRPr="00A9172C" w:rsidR="00DA1D0C">
              <w:t>[</w:t>
            </w:r>
            <w:r w:rsidRPr="00A9172C" w:rsidR="004E0138">
              <w:t>Nm</w:t>
            </w:r>
            <w:r w:rsidRPr="00A9172C" w:rsidR="004E0138">
              <w:rPr>
                <w:vertAlign w:val="superscript"/>
              </w:rPr>
              <w:t>3</w:t>
            </w:r>
            <w:r w:rsidRPr="00A9172C" w:rsidR="004E0138">
              <w:t>/h]</w:t>
            </w:r>
          </w:p>
        </w:tc>
        <w:tc>
          <w:tcPr>
            <w:tcW w:w="1000" w:type="pct"/>
            <w:tcBorders>
              <w:top w:val="single" w:color="008000" w:sz="12" w:space="0"/>
              <w:bottom w:val="single" w:color="008000" w:sz="6" w:space="0"/>
            </w:tcBorders>
            <w:shd w:val="clear" w:color="auto" w:fill="FFFFFF"/>
          </w:tcPr>
          <w:p w:rsidRPr="00A9172C" w:rsidR="004E0138" w:rsidP="00C13990" w:rsidRDefault="00B65CFB" w14:paraId="13893BF6" w14:textId="2C8C724F">
            <w:pPr>
              <w:pStyle w:val="CETBodytext"/>
              <w:jc w:val="left"/>
            </w:pPr>
            <w:r w:rsidRPr="00A9172C">
              <w:t>H</w:t>
            </w:r>
            <w:r w:rsidRPr="00A9172C" w:rsidR="00C13990">
              <w:rPr>
                <w:vertAlign w:val="subscript"/>
              </w:rPr>
              <w:t>2</w:t>
            </w:r>
            <w:r w:rsidRPr="00A9172C" w:rsidR="00B6635E">
              <w:t xml:space="preserve"> production</w:t>
            </w:r>
            <w:r w:rsidRPr="00A9172C" w:rsidR="00A3338A">
              <w:t xml:space="preserve"> </w:t>
            </w:r>
            <w:r w:rsidRPr="00A9172C" w:rsidR="004E0138">
              <w:t>[kg/h]</w:t>
            </w:r>
          </w:p>
        </w:tc>
        <w:tc>
          <w:tcPr>
            <w:tcW w:w="833" w:type="pct"/>
            <w:tcBorders>
              <w:top w:val="single" w:color="008000" w:sz="12" w:space="0"/>
              <w:bottom w:val="single" w:color="008000" w:sz="6" w:space="0"/>
            </w:tcBorders>
            <w:shd w:val="clear" w:color="auto" w:fill="FFFFFF"/>
          </w:tcPr>
          <w:p w:rsidRPr="00A9172C" w:rsidR="00B65CFB" w:rsidP="00C13990" w:rsidRDefault="008C42BF" w14:paraId="12CDFE46" w14:textId="391E0999">
            <w:pPr>
              <w:pStyle w:val="CETBodytext"/>
              <w:ind w:right="-1"/>
              <w:jc w:val="left"/>
              <w:rPr>
                <w:rFonts w:cs="Arial"/>
                <w:szCs w:val="18"/>
              </w:rPr>
            </w:pPr>
            <w:r w:rsidRPr="00A9172C">
              <w:rPr>
                <w:rFonts w:cs="Arial"/>
                <w:szCs w:val="18"/>
              </w:rPr>
              <w:t>Nr</w:t>
            </w:r>
            <w:r w:rsidRPr="00A9172C" w:rsidR="00C13990">
              <w:rPr>
                <w:rFonts w:cs="Arial"/>
                <w:szCs w:val="18"/>
              </w:rPr>
              <w:t>.</w:t>
            </w:r>
            <w:r w:rsidRPr="00A9172C">
              <w:rPr>
                <w:rFonts w:cs="Arial"/>
                <w:szCs w:val="18"/>
              </w:rPr>
              <w:t xml:space="preserve"> of </w:t>
            </w:r>
            <w:r w:rsidRPr="00A9172C" w:rsidR="008A4BFB">
              <w:rPr>
                <w:rFonts w:cs="Arial"/>
                <w:szCs w:val="18"/>
              </w:rPr>
              <w:t>stack</w:t>
            </w:r>
            <w:r w:rsidRPr="00A9172C" w:rsidR="001E5A23">
              <w:rPr>
                <w:rFonts w:cs="Arial"/>
                <w:szCs w:val="18"/>
              </w:rPr>
              <w:t>s</w:t>
            </w:r>
            <w:r w:rsidRPr="00A9172C" w:rsidR="00425993">
              <w:rPr>
                <w:rFonts w:cs="Arial"/>
                <w:szCs w:val="18"/>
              </w:rPr>
              <w:t xml:space="preserve"> (</w:t>
            </w:r>
            <m:oMath>
              <m:r>
                <w:rPr>
                  <w:rFonts w:ascii="Cambria Math" w:hAnsi="Cambria Math"/>
                </w:rPr>
                <m:t>n</m:t>
              </m:r>
            </m:oMath>
            <w:r w:rsidRPr="00A9172C" w:rsidR="00425993">
              <w:rPr>
                <w:rFonts w:cs="Arial"/>
              </w:rPr>
              <w:t>)</w:t>
            </w:r>
          </w:p>
        </w:tc>
        <w:tc>
          <w:tcPr>
            <w:tcW w:w="1165" w:type="pct"/>
            <w:tcBorders>
              <w:top w:val="single" w:color="008000" w:sz="12" w:space="0"/>
              <w:bottom w:val="single" w:color="008000" w:sz="6" w:space="0"/>
            </w:tcBorders>
            <w:shd w:val="clear" w:color="auto" w:fill="FFFFFF"/>
          </w:tcPr>
          <w:p w:rsidRPr="00A9172C" w:rsidR="00B65CFB" w:rsidP="00C13990" w:rsidRDefault="008A4BFB" w14:paraId="03A075DC" w14:textId="14D45879">
            <w:pPr>
              <w:pStyle w:val="CETBodytext"/>
              <w:ind w:right="-1"/>
              <w:jc w:val="left"/>
              <w:rPr>
                <w:rFonts w:cs="Arial"/>
                <w:szCs w:val="18"/>
              </w:rPr>
            </w:pPr>
            <w:r w:rsidRPr="00A9172C">
              <w:rPr>
                <w:rFonts w:cs="Arial"/>
                <w:szCs w:val="18"/>
              </w:rPr>
              <w:t>Stack</w:t>
            </w:r>
            <w:r w:rsidRPr="00A9172C" w:rsidR="008C42BF">
              <w:rPr>
                <w:rFonts w:cs="Arial"/>
                <w:szCs w:val="18"/>
              </w:rPr>
              <w:t xml:space="preserve"> power rated [MW]</w:t>
            </w:r>
          </w:p>
        </w:tc>
      </w:tr>
      <w:tr w:rsidRPr="00A9172C" w:rsidR="008A4BFB" w:rsidTr="00425993" w14:paraId="1A367B68" w14:textId="77777777">
        <w:tc>
          <w:tcPr>
            <w:tcW w:w="918" w:type="pct"/>
            <w:shd w:val="clear" w:color="auto" w:fill="FFFFFF"/>
          </w:tcPr>
          <w:p w:rsidRPr="00A9172C" w:rsidR="00B65CFB" w:rsidP="00C13990" w:rsidRDefault="006A620B" w14:paraId="5DD9668F" w14:textId="16917D65">
            <w:pPr>
              <w:pStyle w:val="CETBodytext"/>
              <w:jc w:val="left"/>
            </w:pPr>
            <w:r w:rsidRPr="00A9172C">
              <w:t>0.5</w:t>
            </w:r>
          </w:p>
        </w:tc>
        <w:tc>
          <w:tcPr>
            <w:tcW w:w="1084" w:type="pct"/>
            <w:shd w:val="clear" w:color="auto" w:fill="FFFFFF"/>
          </w:tcPr>
          <w:p w:rsidRPr="00A9172C" w:rsidR="00B65CFB" w:rsidP="00C13990" w:rsidRDefault="003D777D" w14:paraId="78406B4A" w14:textId="3D748387">
            <w:pPr>
              <w:pStyle w:val="CETBodytext"/>
              <w:jc w:val="left"/>
            </w:pPr>
            <w:r w:rsidRPr="00A9172C">
              <w:t>100</w:t>
            </w:r>
          </w:p>
        </w:tc>
        <w:tc>
          <w:tcPr>
            <w:tcW w:w="1000" w:type="pct"/>
            <w:shd w:val="clear" w:color="auto" w:fill="FFFFFF"/>
          </w:tcPr>
          <w:p w:rsidRPr="00A9172C" w:rsidR="00B65CFB" w:rsidP="00C13990" w:rsidRDefault="006A620B" w14:paraId="5A60F2F0" w14:textId="12CF3A21">
            <w:pPr>
              <w:pStyle w:val="CETBodytext"/>
              <w:jc w:val="left"/>
            </w:pPr>
            <w:r w:rsidRPr="00A9172C">
              <w:t>9</w:t>
            </w:r>
          </w:p>
        </w:tc>
        <w:tc>
          <w:tcPr>
            <w:tcW w:w="833" w:type="pct"/>
            <w:shd w:val="clear" w:color="auto" w:fill="FFFFFF"/>
          </w:tcPr>
          <w:p w:rsidRPr="00A9172C" w:rsidR="00B65CFB" w:rsidP="00C13990" w:rsidRDefault="008A4BFB" w14:paraId="5454C12B" w14:textId="2F61350B">
            <w:pPr>
              <w:pStyle w:val="CETBodytext"/>
              <w:ind w:right="-1"/>
              <w:jc w:val="left"/>
              <w:rPr>
                <w:rFonts w:cs="Arial"/>
                <w:szCs w:val="18"/>
              </w:rPr>
            </w:pPr>
            <w:r w:rsidRPr="00A9172C">
              <w:rPr>
                <w:rFonts w:cs="Arial"/>
                <w:szCs w:val="18"/>
              </w:rPr>
              <w:t>1</w:t>
            </w:r>
          </w:p>
        </w:tc>
        <w:tc>
          <w:tcPr>
            <w:tcW w:w="1165" w:type="pct"/>
            <w:shd w:val="clear" w:color="auto" w:fill="FFFFFF"/>
          </w:tcPr>
          <w:p w:rsidRPr="00A9172C" w:rsidR="00B65CFB" w:rsidP="00C13990" w:rsidRDefault="001E5A23" w14:paraId="5283829C" w14:textId="23473BE9">
            <w:pPr>
              <w:pStyle w:val="CETBodytext"/>
              <w:ind w:right="-1"/>
              <w:jc w:val="left"/>
              <w:rPr>
                <w:rFonts w:cs="Arial"/>
                <w:szCs w:val="18"/>
              </w:rPr>
            </w:pPr>
            <w:r w:rsidRPr="00A9172C">
              <w:rPr>
                <w:rFonts w:cs="Arial"/>
                <w:szCs w:val="18"/>
              </w:rPr>
              <w:t>0.5</w:t>
            </w:r>
          </w:p>
        </w:tc>
      </w:tr>
      <w:tr w:rsidRPr="00A9172C" w:rsidR="008A4BFB" w:rsidTr="00425993" w14:paraId="2152E767" w14:textId="77777777">
        <w:tc>
          <w:tcPr>
            <w:tcW w:w="918" w:type="pct"/>
            <w:shd w:val="clear" w:color="auto" w:fill="FFFFFF"/>
          </w:tcPr>
          <w:p w:rsidRPr="00A9172C" w:rsidR="00B65CFB" w:rsidP="00C13990" w:rsidRDefault="006A620B" w14:paraId="37290B5D" w14:textId="66843B45">
            <w:pPr>
              <w:pStyle w:val="CETBodytext"/>
              <w:ind w:right="-1"/>
              <w:jc w:val="left"/>
              <w:rPr>
                <w:rFonts w:cs="Arial"/>
                <w:szCs w:val="18"/>
              </w:rPr>
            </w:pPr>
            <w:r w:rsidRPr="00A9172C">
              <w:rPr>
                <w:rFonts w:cs="Arial"/>
                <w:szCs w:val="18"/>
              </w:rPr>
              <w:t>1</w:t>
            </w:r>
          </w:p>
        </w:tc>
        <w:tc>
          <w:tcPr>
            <w:tcW w:w="1084" w:type="pct"/>
            <w:shd w:val="clear" w:color="auto" w:fill="FFFFFF"/>
          </w:tcPr>
          <w:p w:rsidRPr="00A9172C" w:rsidR="00B65CFB" w:rsidP="00C13990" w:rsidRDefault="00B6635E" w14:paraId="3CA5CCAC" w14:textId="244D4506">
            <w:pPr>
              <w:pStyle w:val="CETBodytext"/>
              <w:ind w:right="-1"/>
              <w:jc w:val="left"/>
              <w:rPr>
                <w:rFonts w:cs="Arial"/>
                <w:szCs w:val="18"/>
              </w:rPr>
            </w:pPr>
            <w:r w:rsidRPr="00A9172C">
              <w:rPr>
                <w:rFonts w:cs="Arial"/>
                <w:szCs w:val="18"/>
              </w:rPr>
              <w:t>200</w:t>
            </w:r>
          </w:p>
        </w:tc>
        <w:tc>
          <w:tcPr>
            <w:tcW w:w="1000" w:type="pct"/>
            <w:shd w:val="clear" w:color="auto" w:fill="FFFFFF"/>
          </w:tcPr>
          <w:p w:rsidRPr="00A9172C" w:rsidR="00B65CFB" w:rsidP="00C13990" w:rsidRDefault="006A620B" w14:paraId="3FA9ACD0" w14:textId="19524D79">
            <w:pPr>
              <w:pStyle w:val="CETBodytext"/>
              <w:ind w:right="-1"/>
              <w:jc w:val="left"/>
              <w:rPr>
                <w:rFonts w:cs="Arial"/>
                <w:szCs w:val="18"/>
              </w:rPr>
            </w:pPr>
            <w:r w:rsidRPr="00A9172C">
              <w:rPr>
                <w:rFonts w:cs="Arial"/>
                <w:szCs w:val="18"/>
              </w:rPr>
              <w:t>18</w:t>
            </w:r>
          </w:p>
        </w:tc>
        <w:tc>
          <w:tcPr>
            <w:tcW w:w="833" w:type="pct"/>
            <w:shd w:val="clear" w:color="auto" w:fill="FFFFFF"/>
          </w:tcPr>
          <w:p w:rsidRPr="00A9172C" w:rsidR="00B65CFB" w:rsidP="00C13990" w:rsidRDefault="008A4BFB" w14:paraId="6B578898" w14:textId="3F3CC64E">
            <w:pPr>
              <w:pStyle w:val="CETBodytext"/>
              <w:ind w:right="-1"/>
              <w:jc w:val="left"/>
              <w:rPr>
                <w:rFonts w:cs="Arial"/>
                <w:szCs w:val="18"/>
              </w:rPr>
            </w:pPr>
            <w:r w:rsidRPr="00A9172C">
              <w:rPr>
                <w:rFonts w:cs="Arial"/>
                <w:szCs w:val="18"/>
              </w:rPr>
              <w:t>1</w:t>
            </w:r>
          </w:p>
        </w:tc>
        <w:tc>
          <w:tcPr>
            <w:tcW w:w="1165" w:type="pct"/>
            <w:shd w:val="clear" w:color="auto" w:fill="FFFFFF"/>
          </w:tcPr>
          <w:p w:rsidRPr="00A9172C" w:rsidR="00B65CFB" w:rsidP="00C13990" w:rsidRDefault="001E5A23" w14:paraId="182011AD" w14:textId="7ED2234C">
            <w:pPr>
              <w:pStyle w:val="CETBodytext"/>
              <w:ind w:right="-1"/>
              <w:jc w:val="left"/>
              <w:rPr>
                <w:rFonts w:cs="Arial"/>
                <w:szCs w:val="18"/>
              </w:rPr>
            </w:pPr>
            <w:r w:rsidRPr="00A9172C">
              <w:rPr>
                <w:rFonts w:cs="Arial"/>
                <w:szCs w:val="18"/>
              </w:rPr>
              <w:t>1</w:t>
            </w:r>
          </w:p>
        </w:tc>
      </w:tr>
      <w:tr w:rsidRPr="00A9172C" w:rsidR="00425993" w:rsidTr="00425993" w14:paraId="1A22BD0E" w14:textId="77777777">
        <w:tc>
          <w:tcPr>
            <w:tcW w:w="918" w:type="pct"/>
            <w:shd w:val="clear" w:color="auto" w:fill="FFFFFF"/>
          </w:tcPr>
          <w:p w:rsidRPr="00A9172C" w:rsidR="006A620B" w:rsidP="00C13990" w:rsidRDefault="006A620B" w14:paraId="1D30CDDF" w14:textId="7D6DF487">
            <w:pPr>
              <w:pStyle w:val="CETBodytext"/>
              <w:ind w:right="-1"/>
              <w:jc w:val="left"/>
              <w:rPr>
                <w:rFonts w:cs="Arial"/>
                <w:szCs w:val="18"/>
              </w:rPr>
            </w:pPr>
            <w:r w:rsidRPr="00A9172C">
              <w:rPr>
                <w:rFonts w:cs="Arial"/>
                <w:szCs w:val="18"/>
              </w:rPr>
              <w:t>1.25</w:t>
            </w:r>
          </w:p>
        </w:tc>
        <w:tc>
          <w:tcPr>
            <w:tcW w:w="1084" w:type="pct"/>
            <w:shd w:val="clear" w:color="auto" w:fill="FFFFFF"/>
          </w:tcPr>
          <w:p w:rsidRPr="00A9172C" w:rsidR="006A620B" w:rsidP="00C13990" w:rsidRDefault="001711C7" w14:paraId="7456972F" w14:textId="5BC45CAE">
            <w:pPr>
              <w:pStyle w:val="CETBodytext"/>
              <w:ind w:right="-1"/>
              <w:jc w:val="left"/>
              <w:rPr>
                <w:rFonts w:cs="Arial"/>
                <w:szCs w:val="18"/>
              </w:rPr>
            </w:pPr>
            <w:r w:rsidRPr="00A9172C">
              <w:rPr>
                <w:rFonts w:cs="Arial"/>
                <w:szCs w:val="18"/>
              </w:rPr>
              <w:t>250</w:t>
            </w:r>
          </w:p>
        </w:tc>
        <w:tc>
          <w:tcPr>
            <w:tcW w:w="1000" w:type="pct"/>
            <w:shd w:val="clear" w:color="auto" w:fill="FFFFFF"/>
          </w:tcPr>
          <w:p w:rsidRPr="00A9172C" w:rsidR="006A620B" w:rsidP="00C13990" w:rsidRDefault="00AB55A0" w14:paraId="38F2E89A" w14:textId="17F4187B">
            <w:pPr>
              <w:pStyle w:val="CETBodytext"/>
              <w:ind w:right="-1"/>
              <w:jc w:val="left"/>
              <w:rPr>
                <w:rFonts w:cs="Arial"/>
                <w:szCs w:val="18"/>
              </w:rPr>
            </w:pPr>
            <w:r w:rsidRPr="00A9172C">
              <w:rPr>
                <w:rFonts w:cs="Arial"/>
                <w:szCs w:val="18"/>
              </w:rPr>
              <w:t>23</w:t>
            </w:r>
          </w:p>
        </w:tc>
        <w:tc>
          <w:tcPr>
            <w:tcW w:w="833" w:type="pct"/>
            <w:shd w:val="clear" w:color="auto" w:fill="FFFFFF"/>
          </w:tcPr>
          <w:p w:rsidRPr="00A9172C" w:rsidR="006A620B" w:rsidP="00C13990" w:rsidRDefault="008A4BFB" w14:paraId="59D21F9B" w14:textId="3152D022">
            <w:pPr>
              <w:pStyle w:val="CETBodytext"/>
              <w:ind w:right="-1"/>
              <w:jc w:val="left"/>
              <w:rPr>
                <w:rFonts w:cs="Arial"/>
                <w:szCs w:val="18"/>
              </w:rPr>
            </w:pPr>
            <w:r w:rsidRPr="00A9172C">
              <w:rPr>
                <w:rFonts w:cs="Arial"/>
                <w:szCs w:val="18"/>
              </w:rPr>
              <w:t>1</w:t>
            </w:r>
          </w:p>
        </w:tc>
        <w:tc>
          <w:tcPr>
            <w:tcW w:w="1165" w:type="pct"/>
            <w:shd w:val="clear" w:color="auto" w:fill="FFFFFF"/>
          </w:tcPr>
          <w:p w:rsidRPr="00A9172C" w:rsidR="006A620B" w:rsidP="00C13990" w:rsidRDefault="001E5A23" w14:paraId="6D1357F8" w14:textId="4EFE5703">
            <w:pPr>
              <w:pStyle w:val="CETBodytext"/>
              <w:ind w:right="-1"/>
              <w:jc w:val="left"/>
              <w:rPr>
                <w:rFonts w:cs="Arial"/>
                <w:szCs w:val="18"/>
              </w:rPr>
            </w:pPr>
            <w:r w:rsidRPr="00A9172C">
              <w:rPr>
                <w:rFonts w:cs="Arial"/>
                <w:szCs w:val="18"/>
              </w:rPr>
              <w:t>1.25</w:t>
            </w:r>
          </w:p>
        </w:tc>
      </w:tr>
      <w:tr w:rsidRPr="00A9172C" w:rsidR="00425993" w:rsidTr="00425993" w14:paraId="68F473A4" w14:textId="77777777">
        <w:tc>
          <w:tcPr>
            <w:tcW w:w="918" w:type="pct"/>
            <w:shd w:val="clear" w:color="auto" w:fill="FFFFFF"/>
          </w:tcPr>
          <w:p w:rsidRPr="00A9172C" w:rsidR="006A620B" w:rsidP="00C13990" w:rsidRDefault="006A620B" w14:paraId="6F7DBE95" w14:textId="7E4AE1B7">
            <w:pPr>
              <w:pStyle w:val="CETBodytext"/>
              <w:ind w:right="-1"/>
              <w:jc w:val="left"/>
              <w:rPr>
                <w:rFonts w:cs="Arial"/>
                <w:szCs w:val="18"/>
              </w:rPr>
            </w:pPr>
            <w:r w:rsidRPr="00A9172C">
              <w:rPr>
                <w:rFonts w:cs="Arial"/>
                <w:szCs w:val="18"/>
              </w:rPr>
              <w:t>2</w:t>
            </w:r>
          </w:p>
        </w:tc>
        <w:tc>
          <w:tcPr>
            <w:tcW w:w="1084" w:type="pct"/>
            <w:shd w:val="clear" w:color="auto" w:fill="FFFFFF"/>
          </w:tcPr>
          <w:p w:rsidRPr="00A9172C" w:rsidR="006A620B" w:rsidP="00C13990" w:rsidRDefault="001711C7" w14:paraId="46054341" w14:textId="22061A57">
            <w:pPr>
              <w:pStyle w:val="CETBodytext"/>
              <w:ind w:right="-1"/>
              <w:jc w:val="left"/>
              <w:rPr>
                <w:rFonts w:cs="Arial"/>
                <w:szCs w:val="18"/>
              </w:rPr>
            </w:pPr>
            <w:r w:rsidRPr="00A9172C">
              <w:rPr>
                <w:rFonts w:cs="Arial"/>
                <w:szCs w:val="18"/>
              </w:rPr>
              <w:t>400</w:t>
            </w:r>
          </w:p>
        </w:tc>
        <w:tc>
          <w:tcPr>
            <w:tcW w:w="1000" w:type="pct"/>
            <w:shd w:val="clear" w:color="auto" w:fill="FFFFFF"/>
          </w:tcPr>
          <w:p w:rsidRPr="00A9172C" w:rsidR="006A620B" w:rsidP="00C13990" w:rsidRDefault="00AB55A0" w14:paraId="52F1E875" w14:textId="04BB3B4E">
            <w:pPr>
              <w:pStyle w:val="CETBodytext"/>
              <w:ind w:right="-1"/>
              <w:jc w:val="left"/>
              <w:rPr>
                <w:rFonts w:cs="Arial"/>
                <w:szCs w:val="18"/>
              </w:rPr>
            </w:pPr>
            <w:r w:rsidRPr="00A9172C">
              <w:rPr>
                <w:rFonts w:cs="Arial"/>
                <w:szCs w:val="18"/>
              </w:rPr>
              <w:t>36</w:t>
            </w:r>
          </w:p>
        </w:tc>
        <w:tc>
          <w:tcPr>
            <w:tcW w:w="833" w:type="pct"/>
            <w:shd w:val="clear" w:color="auto" w:fill="FFFFFF"/>
          </w:tcPr>
          <w:p w:rsidRPr="00A9172C" w:rsidR="006A620B" w:rsidP="00C13990" w:rsidRDefault="008A4BFB" w14:paraId="256FB429" w14:textId="51076857">
            <w:pPr>
              <w:pStyle w:val="CETBodytext"/>
              <w:ind w:right="-1"/>
              <w:jc w:val="left"/>
              <w:rPr>
                <w:rFonts w:cs="Arial"/>
                <w:szCs w:val="18"/>
              </w:rPr>
            </w:pPr>
            <w:r w:rsidRPr="00A9172C">
              <w:rPr>
                <w:rFonts w:cs="Arial"/>
                <w:szCs w:val="18"/>
              </w:rPr>
              <w:t>2</w:t>
            </w:r>
          </w:p>
        </w:tc>
        <w:tc>
          <w:tcPr>
            <w:tcW w:w="1165" w:type="pct"/>
            <w:shd w:val="clear" w:color="auto" w:fill="FFFFFF"/>
          </w:tcPr>
          <w:p w:rsidRPr="00A9172C" w:rsidR="006A620B" w:rsidP="00C13990" w:rsidRDefault="001E5A23" w14:paraId="495F52B3" w14:textId="0E5CDB7E">
            <w:pPr>
              <w:pStyle w:val="CETBodytext"/>
              <w:ind w:right="-1"/>
              <w:jc w:val="left"/>
              <w:rPr>
                <w:rFonts w:cs="Arial"/>
                <w:szCs w:val="18"/>
              </w:rPr>
            </w:pPr>
            <w:r w:rsidRPr="00A9172C">
              <w:rPr>
                <w:rFonts w:cs="Arial"/>
                <w:szCs w:val="18"/>
              </w:rPr>
              <w:t>1</w:t>
            </w:r>
          </w:p>
        </w:tc>
      </w:tr>
      <w:tr w:rsidRPr="00A9172C" w:rsidR="00425993" w:rsidTr="00425993" w14:paraId="095932CC" w14:textId="77777777">
        <w:tc>
          <w:tcPr>
            <w:tcW w:w="918" w:type="pct"/>
            <w:shd w:val="clear" w:color="auto" w:fill="FFFFFF"/>
          </w:tcPr>
          <w:p w:rsidRPr="00A9172C" w:rsidR="006A620B" w:rsidP="00C13990" w:rsidRDefault="006A620B" w14:paraId="0920BD4A" w14:textId="2DD30665">
            <w:pPr>
              <w:pStyle w:val="CETBodytext"/>
              <w:ind w:right="-1"/>
              <w:jc w:val="left"/>
              <w:rPr>
                <w:rFonts w:cs="Arial"/>
                <w:szCs w:val="18"/>
              </w:rPr>
            </w:pPr>
            <w:r w:rsidRPr="00A9172C">
              <w:rPr>
                <w:rFonts w:cs="Arial"/>
                <w:szCs w:val="18"/>
              </w:rPr>
              <w:t>2.5</w:t>
            </w:r>
          </w:p>
        </w:tc>
        <w:tc>
          <w:tcPr>
            <w:tcW w:w="1084" w:type="pct"/>
            <w:shd w:val="clear" w:color="auto" w:fill="FFFFFF"/>
          </w:tcPr>
          <w:p w:rsidRPr="00A9172C" w:rsidR="006A620B" w:rsidP="00C13990" w:rsidRDefault="001711C7" w14:paraId="480A63EC" w14:textId="109AB879">
            <w:pPr>
              <w:pStyle w:val="CETBodytext"/>
              <w:ind w:right="-1"/>
              <w:jc w:val="left"/>
              <w:rPr>
                <w:rFonts w:cs="Arial"/>
                <w:szCs w:val="18"/>
              </w:rPr>
            </w:pPr>
            <w:r w:rsidRPr="00A9172C">
              <w:rPr>
                <w:rFonts w:cs="Arial"/>
                <w:szCs w:val="18"/>
              </w:rPr>
              <w:t>500</w:t>
            </w:r>
          </w:p>
        </w:tc>
        <w:tc>
          <w:tcPr>
            <w:tcW w:w="1000" w:type="pct"/>
            <w:shd w:val="clear" w:color="auto" w:fill="FFFFFF"/>
          </w:tcPr>
          <w:p w:rsidRPr="00A9172C" w:rsidR="006A620B" w:rsidP="00C13990" w:rsidRDefault="00AB55A0" w14:paraId="51A83CBC" w14:textId="0A892D5F">
            <w:pPr>
              <w:pStyle w:val="CETBodytext"/>
              <w:ind w:right="-1"/>
              <w:jc w:val="left"/>
              <w:rPr>
                <w:rFonts w:cs="Arial"/>
                <w:szCs w:val="18"/>
              </w:rPr>
            </w:pPr>
            <w:r w:rsidRPr="00A9172C">
              <w:rPr>
                <w:rFonts w:cs="Arial"/>
                <w:szCs w:val="18"/>
              </w:rPr>
              <w:t>45</w:t>
            </w:r>
          </w:p>
        </w:tc>
        <w:tc>
          <w:tcPr>
            <w:tcW w:w="833" w:type="pct"/>
            <w:shd w:val="clear" w:color="auto" w:fill="FFFFFF"/>
          </w:tcPr>
          <w:p w:rsidRPr="00A9172C" w:rsidR="006A620B" w:rsidP="00C13990" w:rsidRDefault="008A4BFB" w14:paraId="3E2ED6A2" w14:textId="243AB018">
            <w:pPr>
              <w:pStyle w:val="CETBodytext"/>
              <w:ind w:right="-1"/>
              <w:jc w:val="left"/>
              <w:rPr>
                <w:rFonts w:cs="Arial"/>
                <w:szCs w:val="18"/>
              </w:rPr>
            </w:pPr>
            <w:r w:rsidRPr="00A9172C">
              <w:rPr>
                <w:rFonts w:cs="Arial"/>
                <w:szCs w:val="18"/>
              </w:rPr>
              <w:t>1</w:t>
            </w:r>
          </w:p>
        </w:tc>
        <w:tc>
          <w:tcPr>
            <w:tcW w:w="1165" w:type="pct"/>
            <w:shd w:val="clear" w:color="auto" w:fill="FFFFFF"/>
          </w:tcPr>
          <w:p w:rsidRPr="00A9172C" w:rsidR="006A620B" w:rsidP="00C13990" w:rsidRDefault="001E5A23" w14:paraId="25ECD2A1" w14:textId="032611E0">
            <w:pPr>
              <w:pStyle w:val="CETBodytext"/>
              <w:ind w:right="-1"/>
              <w:jc w:val="left"/>
              <w:rPr>
                <w:rFonts w:cs="Arial"/>
                <w:szCs w:val="18"/>
              </w:rPr>
            </w:pPr>
            <w:r w:rsidRPr="00A9172C">
              <w:rPr>
                <w:rFonts w:cs="Arial"/>
                <w:szCs w:val="18"/>
              </w:rPr>
              <w:t>2.5</w:t>
            </w:r>
          </w:p>
        </w:tc>
      </w:tr>
      <w:tr w:rsidRPr="00A9172C" w:rsidR="00425993" w:rsidTr="00425993" w14:paraId="78249B67" w14:textId="77777777">
        <w:tc>
          <w:tcPr>
            <w:tcW w:w="918" w:type="pct"/>
            <w:shd w:val="clear" w:color="auto" w:fill="FFFFFF"/>
          </w:tcPr>
          <w:p w:rsidRPr="00A9172C" w:rsidR="006A620B" w:rsidP="00C13990" w:rsidRDefault="006A620B" w14:paraId="0BBE302E" w14:textId="13A91734">
            <w:pPr>
              <w:pStyle w:val="CETBodytext"/>
              <w:ind w:right="-1"/>
              <w:jc w:val="left"/>
              <w:rPr>
                <w:rFonts w:cs="Arial"/>
                <w:szCs w:val="18"/>
              </w:rPr>
            </w:pPr>
            <w:r w:rsidRPr="00A9172C">
              <w:rPr>
                <w:rFonts w:cs="Arial"/>
                <w:szCs w:val="18"/>
              </w:rPr>
              <w:t>3</w:t>
            </w:r>
          </w:p>
        </w:tc>
        <w:tc>
          <w:tcPr>
            <w:tcW w:w="1084" w:type="pct"/>
            <w:shd w:val="clear" w:color="auto" w:fill="FFFFFF"/>
          </w:tcPr>
          <w:p w:rsidRPr="00A9172C" w:rsidR="006A620B" w:rsidP="00C13990" w:rsidRDefault="001711C7" w14:paraId="1A4B0E2F" w14:textId="436FB674">
            <w:pPr>
              <w:pStyle w:val="CETBodytext"/>
              <w:ind w:right="-1"/>
              <w:jc w:val="left"/>
              <w:rPr>
                <w:rFonts w:cs="Arial"/>
                <w:szCs w:val="18"/>
              </w:rPr>
            </w:pPr>
            <w:r w:rsidRPr="00A9172C">
              <w:rPr>
                <w:rFonts w:cs="Arial"/>
                <w:szCs w:val="18"/>
              </w:rPr>
              <w:t>600</w:t>
            </w:r>
          </w:p>
        </w:tc>
        <w:tc>
          <w:tcPr>
            <w:tcW w:w="1000" w:type="pct"/>
            <w:shd w:val="clear" w:color="auto" w:fill="FFFFFF"/>
          </w:tcPr>
          <w:p w:rsidRPr="00A9172C" w:rsidR="006A620B" w:rsidP="00C13990" w:rsidRDefault="00AB55A0" w14:paraId="4C6BE0C3" w14:textId="15488238">
            <w:pPr>
              <w:pStyle w:val="CETBodytext"/>
              <w:ind w:right="-1"/>
              <w:jc w:val="left"/>
              <w:rPr>
                <w:rFonts w:cs="Arial"/>
                <w:szCs w:val="18"/>
              </w:rPr>
            </w:pPr>
            <w:r w:rsidRPr="00A9172C">
              <w:rPr>
                <w:rFonts w:cs="Arial"/>
                <w:szCs w:val="18"/>
              </w:rPr>
              <w:t>54</w:t>
            </w:r>
          </w:p>
        </w:tc>
        <w:tc>
          <w:tcPr>
            <w:tcW w:w="833" w:type="pct"/>
            <w:shd w:val="clear" w:color="auto" w:fill="FFFFFF"/>
          </w:tcPr>
          <w:p w:rsidRPr="00A9172C" w:rsidR="006A620B" w:rsidP="00C13990" w:rsidRDefault="008A4BFB" w14:paraId="619A81D0" w14:textId="7A823E10">
            <w:pPr>
              <w:pStyle w:val="CETBodytext"/>
              <w:ind w:right="-1"/>
              <w:jc w:val="left"/>
              <w:rPr>
                <w:rFonts w:cs="Arial"/>
                <w:szCs w:val="18"/>
              </w:rPr>
            </w:pPr>
            <w:r w:rsidRPr="00A9172C">
              <w:rPr>
                <w:rFonts w:cs="Arial"/>
                <w:szCs w:val="18"/>
              </w:rPr>
              <w:t>3</w:t>
            </w:r>
          </w:p>
        </w:tc>
        <w:tc>
          <w:tcPr>
            <w:tcW w:w="1165" w:type="pct"/>
            <w:shd w:val="clear" w:color="auto" w:fill="FFFFFF"/>
          </w:tcPr>
          <w:p w:rsidRPr="00A9172C" w:rsidR="006A620B" w:rsidP="00C13990" w:rsidRDefault="001E5A23" w14:paraId="7F72F4C1" w14:textId="668874D9">
            <w:pPr>
              <w:pStyle w:val="CETBodytext"/>
              <w:ind w:right="-1"/>
              <w:jc w:val="left"/>
              <w:rPr>
                <w:rFonts w:cs="Arial"/>
                <w:szCs w:val="18"/>
              </w:rPr>
            </w:pPr>
            <w:r w:rsidRPr="00A9172C">
              <w:rPr>
                <w:rFonts w:cs="Arial"/>
                <w:szCs w:val="18"/>
              </w:rPr>
              <w:t>1</w:t>
            </w:r>
          </w:p>
        </w:tc>
      </w:tr>
      <w:tr w:rsidRPr="00A9172C" w:rsidR="00425993" w:rsidTr="00425993" w14:paraId="6A589766" w14:textId="77777777">
        <w:tc>
          <w:tcPr>
            <w:tcW w:w="918" w:type="pct"/>
            <w:shd w:val="clear" w:color="auto" w:fill="FFFFFF"/>
          </w:tcPr>
          <w:p w:rsidRPr="00A9172C" w:rsidR="006A620B" w:rsidP="00C13990" w:rsidRDefault="006A620B" w14:paraId="77A7E78B" w14:textId="6C5AC7A9">
            <w:pPr>
              <w:pStyle w:val="CETBodytext"/>
              <w:ind w:right="-1"/>
              <w:jc w:val="left"/>
              <w:rPr>
                <w:rFonts w:cs="Arial"/>
                <w:szCs w:val="18"/>
              </w:rPr>
            </w:pPr>
            <w:r w:rsidRPr="00A9172C">
              <w:rPr>
                <w:rFonts w:cs="Arial"/>
                <w:szCs w:val="18"/>
              </w:rPr>
              <w:t>5</w:t>
            </w:r>
          </w:p>
        </w:tc>
        <w:tc>
          <w:tcPr>
            <w:tcW w:w="1084" w:type="pct"/>
            <w:shd w:val="clear" w:color="auto" w:fill="FFFFFF"/>
          </w:tcPr>
          <w:p w:rsidRPr="00A9172C" w:rsidR="006A620B" w:rsidP="00C13990" w:rsidRDefault="001711C7" w14:paraId="7F6AC64A" w14:textId="60E683BB">
            <w:pPr>
              <w:pStyle w:val="CETBodytext"/>
              <w:ind w:right="-1"/>
              <w:jc w:val="left"/>
              <w:rPr>
                <w:rFonts w:cs="Arial"/>
                <w:szCs w:val="18"/>
              </w:rPr>
            </w:pPr>
            <w:r w:rsidRPr="00A9172C">
              <w:rPr>
                <w:rFonts w:cs="Arial"/>
                <w:szCs w:val="18"/>
              </w:rPr>
              <w:t>1000</w:t>
            </w:r>
          </w:p>
        </w:tc>
        <w:tc>
          <w:tcPr>
            <w:tcW w:w="1000" w:type="pct"/>
            <w:shd w:val="clear" w:color="auto" w:fill="FFFFFF"/>
          </w:tcPr>
          <w:p w:rsidRPr="00A9172C" w:rsidR="006A620B" w:rsidP="00C13990" w:rsidRDefault="00AB55A0" w14:paraId="3E45FC65" w14:textId="50BA24DB">
            <w:pPr>
              <w:pStyle w:val="CETBodytext"/>
              <w:ind w:right="-1"/>
              <w:jc w:val="left"/>
              <w:rPr>
                <w:rFonts w:cs="Arial"/>
                <w:szCs w:val="18"/>
              </w:rPr>
            </w:pPr>
            <w:r w:rsidRPr="00A9172C">
              <w:rPr>
                <w:rFonts w:cs="Arial"/>
                <w:szCs w:val="18"/>
              </w:rPr>
              <w:t>90</w:t>
            </w:r>
          </w:p>
        </w:tc>
        <w:tc>
          <w:tcPr>
            <w:tcW w:w="833" w:type="pct"/>
            <w:shd w:val="clear" w:color="auto" w:fill="FFFFFF"/>
          </w:tcPr>
          <w:p w:rsidRPr="00A9172C" w:rsidR="006A620B" w:rsidP="00C13990" w:rsidRDefault="00C01A7C" w14:paraId="1DF07DBE" w14:textId="30E7DFEB">
            <w:pPr>
              <w:pStyle w:val="CETBodytext"/>
              <w:ind w:right="-1"/>
              <w:jc w:val="left"/>
              <w:rPr>
                <w:rFonts w:cs="Arial"/>
                <w:szCs w:val="18"/>
              </w:rPr>
            </w:pPr>
            <w:r w:rsidRPr="00A9172C">
              <w:rPr>
                <w:rFonts w:cs="Arial"/>
                <w:szCs w:val="18"/>
              </w:rPr>
              <w:t>4</w:t>
            </w:r>
          </w:p>
        </w:tc>
        <w:tc>
          <w:tcPr>
            <w:tcW w:w="1165" w:type="pct"/>
            <w:shd w:val="clear" w:color="auto" w:fill="FFFFFF"/>
          </w:tcPr>
          <w:p w:rsidRPr="00A9172C" w:rsidR="006A620B" w:rsidP="00C13990" w:rsidRDefault="001E5A23" w14:paraId="2E14ADB4" w14:textId="1B5A9ADF">
            <w:pPr>
              <w:pStyle w:val="CETBodytext"/>
              <w:ind w:right="-1"/>
              <w:jc w:val="left"/>
              <w:rPr>
                <w:rFonts w:cs="Arial"/>
                <w:szCs w:val="18"/>
              </w:rPr>
            </w:pPr>
            <w:r w:rsidRPr="00A9172C">
              <w:rPr>
                <w:rFonts w:cs="Arial"/>
                <w:szCs w:val="18"/>
              </w:rPr>
              <w:t>1.25</w:t>
            </w:r>
          </w:p>
        </w:tc>
      </w:tr>
      <w:tr w:rsidRPr="00A9172C" w:rsidR="00425993" w:rsidTr="00425993" w14:paraId="4799A4F9" w14:textId="77777777">
        <w:trPr>
          <w:trHeight w:val="74"/>
        </w:trPr>
        <w:tc>
          <w:tcPr>
            <w:tcW w:w="918" w:type="pct"/>
            <w:shd w:val="clear" w:color="auto" w:fill="FFFFFF"/>
          </w:tcPr>
          <w:p w:rsidRPr="00A9172C" w:rsidR="006A620B" w:rsidP="00C13990" w:rsidRDefault="006A620B" w14:paraId="708A1F11" w14:textId="69CE6DC5">
            <w:pPr>
              <w:pStyle w:val="CETBodytext"/>
              <w:ind w:right="-1"/>
              <w:jc w:val="left"/>
              <w:rPr>
                <w:rFonts w:cs="Arial"/>
                <w:szCs w:val="18"/>
              </w:rPr>
            </w:pPr>
            <w:r w:rsidRPr="00A9172C">
              <w:rPr>
                <w:rFonts w:cs="Arial"/>
                <w:szCs w:val="18"/>
              </w:rPr>
              <w:t>10</w:t>
            </w:r>
            <w:r w:rsidRPr="00A9172C" w:rsidR="00845089">
              <w:rPr>
                <w:rFonts w:cs="Arial"/>
                <w:szCs w:val="18"/>
              </w:rPr>
              <w:t xml:space="preserve"> (*)</w:t>
            </w:r>
          </w:p>
        </w:tc>
        <w:tc>
          <w:tcPr>
            <w:tcW w:w="1084" w:type="pct"/>
            <w:shd w:val="clear" w:color="auto" w:fill="FFFFFF"/>
          </w:tcPr>
          <w:p w:rsidRPr="00A9172C" w:rsidR="006A620B" w:rsidP="00C13990" w:rsidRDefault="001711C7" w14:paraId="7DD6BA9F" w14:textId="63350676">
            <w:pPr>
              <w:pStyle w:val="CETBodytext"/>
              <w:ind w:right="-1"/>
              <w:jc w:val="left"/>
              <w:rPr>
                <w:rFonts w:cs="Arial"/>
                <w:szCs w:val="18"/>
              </w:rPr>
            </w:pPr>
            <w:r w:rsidRPr="00A9172C">
              <w:rPr>
                <w:rFonts w:cs="Arial"/>
                <w:szCs w:val="18"/>
              </w:rPr>
              <w:t>2000</w:t>
            </w:r>
          </w:p>
        </w:tc>
        <w:tc>
          <w:tcPr>
            <w:tcW w:w="1000" w:type="pct"/>
            <w:shd w:val="clear" w:color="auto" w:fill="FFFFFF"/>
          </w:tcPr>
          <w:p w:rsidRPr="00A9172C" w:rsidR="006A620B" w:rsidP="00C13990" w:rsidRDefault="00AB55A0" w14:paraId="31C251E2" w14:textId="3BF060CE">
            <w:pPr>
              <w:pStyle w:val="CETBodytext"/>
              <w:ind w:right="-1"/>
              <w:jc w:val="left"/>
              <w:rPr>
                <w:rFonts w:cs="Arial"/>
                <w:szCs w:val="18"/>
              </w:rPr>
            </w:pPr>
            <w:r w:rsidRPr="00A9172C">
              <w:rPr>
                <w:rFonts w:cs="Arial"/>
                <w:szCs w:val="18"/>
              </w:rPr>
              <w:t>180</w:t>
            </w:r>
          </w:p>
        </w:tc>
        <w:tc>
          <w:tcPr>
            <w:tcW w:w="833" w:type="pct"/>
            <w:shd w:val="clear" w:color="auto" w:fill="FFFFFF"/>
          </w:tcPr>
          <w:p w:rsidRPr="00A9172C" w:rsidR="006A620B" w:rsidP="00C13990" w:rsidRDefault="00845089" w14:paraId="06CC2924" w14:textId="42F07DEE">
            <w:pPr>
              <w:pStyle w:val="CETBodytext"/>
              <w:ind w:right="-1"/>
              <w:jc w:val="left"/>
              <w:rPr>
                <w:rFonts w:cs="Arial"/>
                <w:szCs w:val="18"/>
              </w:rPr>
            </w:pPr>
            <w:r w:rsidRPr="00A9172C">
              <w:rPr>
                <w:rFonts w:cs="Arial"/>
                <w:szCs w:val="18"/>
              </w:rPr>
              <w:t>8</w:t>
            </w:r>
          </w:p>
        </w:tc>
        <w:tc>
          <w:tcPr>
            <w:tcW w:w="1165" w:type="pct"/>
            <w:shd w:val="clear" w:color="auto" w:fill="FFFFFF"/>
          </w:tcPr>
          <w:p w:rsidRPr="00A9172C" w:rsidR="006A620B" w:rsidP="00C13990" w:rsidRDefault="00845089" w14:paraId="6152FBFB" w14:textId="07762EC9">
            <w:pPr>
              <w:pStyle w:val="CETBodytext"/>
              <w:ind w:right="-1"/>
              <w:jc w:val="left"/>
              <w:rPr>
                <w:rFonts w:cs="Arial"/>
                <w:szCs w:val="18"/>
              </w:rPr>
            </w:pPr>
            <w:r w:rsidRPr="00A9172C">
              <w:rPr>
                <w:rFonts w:cs="Arial"/>
                <w:szCs w:val="18"/>
              </w:rPr>
              <w:t>1</w:t>
            </w:r>
            <w:r w:rsidRPr="00A9172C" w:rsidR="001E5A23">
              <w:rPr>
                <w:rFonts w:cs="Arial"/>
                <w:szCs w:val="18"/>
              </w:rPr>
              <w:t>.</w:t>
            </w:r>
            <w:r w:rsidRPr="00A9172C">
              <w:rPr>
                <w:rFonts w:cs="Arial"/>
                <w:szCs w:val="18"/>
              </w:rPr>
              <w:t>2</w:t>
            </w:r>
            <w:r w:rsidRPr="00A9172C" w:rsidR="001E5A23">
              <w:rPr>
                <w:rFonts w:cs="Arial"/>
                <w:szCs w:val="18"/>
              </w:rPr>
              <w:t>5</w:t>
            </w:r>
          </w:p>
        </w:tc>
      </w:tr>
      <w:tr w:rsidRPr="00A9172C" w:rsidR="001A2E5B" w:rsidTr="00425993" w14:paraId="7C79273B" w14:textId="77777777">
        <w:trPr>
          <w:trHeight w:val="74"/>
        </w:trPr>
        <w:tc>
          <w:tcPr>
            <w:tcW w:w="918" w:type="pct"/>
            <w:shd w:val="clear" w:color="auto" w:fill="FFFFFF"/>
          </w:tcPr>
          <w:p w:rsidRPr="00A9172C" w:rsidR="001A2E5B" w:rsidP="00C13990" w:rsidRDefault="001A2E5B" w14:paraId="0041D627" w14:textId="519C58F3">
            <w:pPr>
              <w:pStyle w:val="CETBodytext"/>
              <w:ind w:right="-1"/>
              <w:jc w:val="left"/>
              <w:rPr>
                <w:rFonts w:cs="Arial"/>
                <w:szCs w:val="18"/>
              </w:rPr>
            </w:pPr>
            <w:r w:rsidRPr="00A9172C">
              <w:rPr>
                <w:rFonts w:cs="Arial"/>
                <w:szCs w:val="18"/>
              </w:rPr>
              <w:t>10</w:t>
            </w:r>
            <w:r w:rsidRPr="00A9172C" w:rsidR="00845089">
              <w:rPr>
                <w:rFonts w:cs="Arial"/>
                <w:szCs w:val="18"/>
              </w:rPr>
              <w:t xml:space="preserve"> (*)</w:t>
            </w:r>
          </w:p>
        </w:tc>
        <w:tc>
          <w:tcPr>
            <w:tcW w:w="1084" w:type="pct"/>
            <w:shd w:val="clear" w:color="auto" w:fill="FFFFFF"/>
          </w:tcPr>
          <w:p w:rsidRPr="00A9172C" w:rsidR="001A2E5B" w:rsidP="00C13990" w:rsidRDefault="001A2E5B" w14:paraId="78C13928" w14:textId="09275CBD">
            <w:pPr>
              <w:pStyle w:val="CETBodytext"/>
              <w:ind w:right="-1"/>
              <w:jc w:val="left"/>
              <w:rPr>
                <w:rFonts w:cs="Arial"/>
                <w:szCs w:val="18"/>
              </w:rPr>
            </w:pPr>
            <w:r w:rsidRPr="00A9172C">
              <w:rPr>
                <w:rFonts w:cs="Arial"/>
                <w:szCs w:val="18"/>
              </w:rPr>
              <w:t>2000</w:t>
            </w:r>
          </w:p>
        </w:tc>
        <w:tc>
          <w:tcPr>
            <w:tcW w:w="1000" w:type="pct"/>
            <w:shd w:val="clear" w:color="auto" w:fill="FFFFFF"/>
          </w:tcPr>
          <w:p w:rsidRPr="00A9172C" w:rsidR="001A2E5B" w:rsidP="00C13990" w:rsidRDefault="001A2E5B" w14:paraId="27BAAD11" w14:textId="36608F53">
            <w:pPr>
              <w:pStyle w:val="CETBodytext"/>
              <w:ind w:right="-1"/>
              <w:jc w:val="left"/>
              <w:rPr>
                <w:rFonts w:cs="Arial"/>
                <w:szCs w:val="18"/>
              </w:rPr>
            </w:pPr>
            <w:r w:rsidRPr="00A9172C">
              <w:rPr>
                <w:rFonts w:cs="Arial"/>
                <w:szCs w:val="18"/>
              </w:rPr>
              <w:t>180</w:t>
            </w:r>
          </w:p>
        </w:tc>
        <w:tc>
          <w:tcPr>
            <w:tcW w:w="833" w:type="pct"/>
            <w:shd w:val="clear" w:color="auto" w:fill="FFFFFF"/>
          </w:tcPr>
          <w:p w:rsidRPr="00A9172C" w:rsidR="001A2E5B" w:rsidP="00C13990" w:rsidRDefault="00845089" w14:paraId="3F8E3EDE" w14:textId="59B7FE16">
            <w:pPr>
              <w:pStyle w:val="CETBodytext"/>
              <w:ind w:right="-1"/>
              <w:jc w:val="left"/>
              <w:rPr>
                <w:rFonts w:cs="Arial"/>
                <w:szCs w:val="18"/>
              </w:rPr>
            </w:pPr>
            <w:r w:rsidRPr="00A9172C">
              <w:rPr>
                <w:rFonts w:cs="Arial"/>
                <w:szCs w:val="18"/>
              </w:rPr>
              <w:t>4</w:t>
            </w:r>
          </w:p>
        </w:tc>
        <w:tc>
          <w:tcPr>
            <w:tcW w:w="1165" w:type="pct"/>
            <w:shd w:val="clear" w:color="auto" w:fill="FFFFFF"/>
          </w:tcPr>
          <w:p w:rsidRPr="00A9172C" w:rsidR="001A2E5B" w:rsidP="00C13990" w:rsidRDefault="00845089" w14:paraId="4F0E8E62" w14:textId="550FF4A1">
            <w:pPr>
              <w:pStyle w:val="CETBodytext"/>
              <w:ind w:right="-1"/>
              <w:jc w:val="left"/>
              <w:rPr>
                <w:rFonts w:cs="Arial"/>
                <w:szCs w:val="18"/>
              </w:rPr>
            </w:pPr>
            <w:r w:rsidRPr="00A9172C">
              <w:rPr>
                <w:rFonts w:cs="Arial"/>
                <w:szCs w:val="18"/>
              </w:rPr>
              <w:t>2.5</w:t>
            </w:r>
          </w:p>
        </w:tc>
      </w:tr>
      <w:tr w:rsidRPr="00A9172C" w:rsidR="00425993" w:rsidTr="00425993" w14:paraId="12026A9C" w14:textId="77777777">
        <w:tc>
          <w:tcPr>
            <w:tcW w:w="918" w:type="pct"/>
            <w:shd w:val="clear" w:color="auto" w:fill="FFFFFF"/>
          </w:tcPr>
          <w:p w:rsidRPr="00A9172C" w:rsidR="006A620B" w:rsidP="00C13990" w:rsidRDefault="006A620B" w14:paraId="28EFCA03" w14:textId="53C5E78E">
            <w:pPr>
              <w:pStyle w:val="CETBodytext"/>
              <w:ind w:right="-1"/>
              <w:jc w:val="left"/>
              <w:rPr>
                <w:rFonts w:cs="Arial"/>
                <w:szCs w:val="18"/>
              </w:rPr>
            </w:pPr>
            <w:r w:rsidRPr="00A9172C">
              <w:rPr>
                <w:rFonts w:cs="Arial"/>
                <w:szCs w:val="18"/>
              </w:rPr>
              <w:t>20</w:t>
            </w:r>
          </w:p>
        </w:tc>
        <w:tc>
          <w:tcPr>
            <w:tcW w:w="1084" w:type="pct"/>
            <w:shd w:val="clear" w:color="auto" w:fill="FFFFFF"/>
          </w:tcPr>
          <w:p w:rsidRPr="00A9172C" w:rsidR="006A620B" w:rsidP="00C13990" w:rsidRDefault="001711C7" w14:paraId="1225A44B" w14:textId="52E431F7">
            <w:pPr>
              <w:pStyle w:val="CETBodytext"/>
              <w:ind w:right="-1"/>
              <w:jc w:val="left"/>
              <w:rPr>
                <w:rFonts w:cs="Arial"/>
                <w:szCs w:val="18"/>
              </w:rPr>
            </w:pPr>
            <w:r w:rsidRPr="00A9172C">
              <w:rPr>
                <w:rFonts w:cs="Arial"/>
                <w:szCs w:val="18"/>
              </w:rPr>
              <w:t>4000</w:t>
            </w:r>
          </w:p>
        </w:tc>
        <w:tc>
          <w:tcPr>
            <w:tcW w:w="1000" w:type="pct"/>
            <w:shd w:val="clear" w:color="auto" w:fill="FFFFFF"/>
          </w:tcPr>
          <w:p w:rsidRPr="00A9172C" w:rsidR="006A620B" w:rsidP="00C13990" w:rsidRDefault="00AB55A0" w14:paraId="491C847F" w14:textId="5D27ACC2">
            <w:pPr>
              <w:pStyle w:val="CETBodytext"/>
              <w:ind w:right="-1"/>
              <w:jc w:val="left"/>
              <w:rPr>
                <w:rFonts w:cs="Arial"/>
                <w:szCs w:val="18"/>
              </w:rPr>
            </w:pPr>
            <w:r w:rsidRPr="00A9172C">
              <w:rPr>
                <w:rFonts w:cs="Arial"/>
                <w:szCs w:val="18"/>
              </w:rPr>
              <w:t>360</w:t>
            </w:r>
          </w:p>
        </w:tc>
        <w:tc>
          <w:tcPr>
            <w:tcW w:w="833" w:type="pct"/>
            <w:shd w:val="clear" w:color="auto" w:fill="FFFFFF"/>
          </w:tcPr>
          <w:p w:rsidRPr="00A9172C" w:rsidR="006A620B" w:rsidP="00C13990" w:rsidRDefault="00C01A7C" w14:paraId="6613DF44" w14:textId="100AE39C">
            <w:pPr>
              <w:pStyle w:val="CETBodytext"/>
              <w:ind w:right="-1"/>
              <w:jc w:val="left"/>
              <w:rPr>
                <w:rFonts w:cs="Arial"/>
                <w:szCs w:val="18"/>
              </w:rPr>
            </w:pPr>
            <w:r w:rsidRPr="00A9172C">
              <w:rPr>
                <w:rFonts w:cs="Arial"/>
                <w:szCs w:val="18"/>
              </w:rPr>
              <w:t>8</w:t>
            </w:r>
          </w:p>
        </w:tc>
        <w:tc>
          <w:tcPr>
            <w:tcW w:w="1165" w:type="pct"/>
            <w:shd w:val="clear" w:color="auto" w:fill="FFFFFF"/>
          </w:tcPr>
          <w:p w:rsidRPr="00A9172C" w:rsidR="006A620B" w:rsidP="00C13990" w:rsidRDefault="001E5A23" w14:paraId="23691975" w14:textId="01991E5F">
            <w:pPr>
              <w:pStyle w:val="CETBodytext"/>
              <w:ind w:right="-1"/>
              <w:jc w:val="left"/>
              <w:rPr>
                <w:rFonts w:cs="Arial"/>
                <w:szCs w:val="18"/>
              </w:rPr>
            </w:pPr>
            <w:r w:rsidRPr="00A9172C">
              <w:rPr>
                <w:rFonts w:cs="Arial"/>
                <w:szCs w:val="18"/>
              </w:rPr>
              <w:t>2.5</w:t>
            </w:r>
          </w:p>
        </w:tc>
      </w:tr>
    </w:tbl>
    <w:p w:rsidRPr="00A9172C" w:rsidR="00B65CFB" w:rsidP="00806055" w:rsidRDefault="0039260B" w14:paraId="04646891" w14:textId="7EF08AE3">
      <w:pPr>
        <w:pStyle w:val="CETBodytext"/>
        <w:spacing w:before="240"/>
      </w:pPr>
      <w:r w:rsidRPr="00A9172C">
        <w:t>Table 3 summari</w:t>
      </w:r>
      <w:r w:rsidR="00793A62">
        <w:t>z</w:t>
      </w:r>
      <w:r w:rsidRPr="00A9172C">
        <w:t>es the</w:t>
      </w:r>
      <w:r w:rsidRPr="00A9172C" w:rsidR="00186686">
        <w:t xml:space="preserve"> dimension </w:t>
      </w:r>
      <w:r w:rsidRPr="00A9172C" w:rsidR="00652137">
        <w:t>for each reference stack calculated from the available information for the 1.25 MW</w:t>
      </w:r>
      <w:r w:rsidRPr="00A9172C" w:rsidR="00495188">
        <w:t xml:space="preserve">. These values serve as input for the </w:t>
      </w:r>
      <w:r w:rsidRPr="00A9172C" w:rsidR="00EC7B90">
        <w:t>simul</w:t>
      </w:r>
      <w:r w:rsidRPr="00A9172C" w:rsidR="00F772E2">
        <w:t xml:space="preserve">ation </w:t>
      </w:r>
      <w:r w:rsidR="00E344F9">
        <w:t xml:space="preserve">in the software </w:t>
      </w:r>
      <w:r w:rsidRPr="00A9172C" w:rsidR="00F772E2">
        <w:t xml:space="preserve">and </w:t>
      </w:r>
      <w:r w:rsidR="005F2F09">
        <w:t>for calculating</w:t>
      </w:r>
      <w:r w:rsidRPr="00A9172C" w:rsidR="00F772E2">
        <w:t xml:space="preserve"> the damage distances</w:t>
      </w:r>
      <w:r w:rsidR="005F2F09">
        <w:t xml:space="preserve">, since the stack is </w:t>
      </w:r>
      <w:r w:rsidR="00907FBD">
        <w:t>considered a process vessel</w:t>
      </w:r>
      <w:r w:rsidR="00A8339F">
        <w:t>.</w:t>
      </w:r>
      <w:r w:rsidR="008353E7">
        <w:t xml:space="preserve"> </w:t>
      </w:r>
      <w:r w:rsidR="00F670F3">
        <w:t xml:space="preserve">In this study, the worst results </w:t>
      </w:r>
      <w:r w:rsidR="00B72001">
        <w:t xml:space="preserve">are </w:t>
      </w:r>
      <w:r w:rsidRPr="007843ED" w:rsidR="007843ED">
        <w:t>attributable</w:t>
      </w:r>
      <w:r w:rsidR="007843ED">
        <w:t xml:space="preserve"> to fireballs and Vapor Cloud Explosions</w:t>
      </w:r>
      <w:r w:rsidR="00813A90">
        <w:t xml:space="preserve"> (VCE) </w:t>
      </w:r>
      <w:r w:rsidR="004E4612">
        <w:t>resulting from LOC 1 and LOC 3</w:t>
      </w:r>
      <w:r w:rsidR="007843ED">
        <w:t xml:space="preserve">. </w:t>
      </w:r>
      <w:r w:rsidR="00552523">
        <w:t>The accident scenarios generated from LOC 2 are not p</w:t>
      </w:r>
      <w:r w:rsidR="00D936DD">
        <w:t>articularly critical in this study.</w:t>
      </w:r>
    </w:p>
    <w:p w:rsidRPr="00A9172C" w:rsidR="00C548EC" w:rsidP="009679B9" w:rsidRDefault="00C548EC" w14:paraId="6301FBC7" w14:textId="2AD5D336">
      <w:pPr>
        <w:pStyle w:val="CETTabletitle"/>
        <w:spacing w:before="120"/>
        <w:rPr>
          <w:lang w:val="en-US"/>
        </w:rPr>
      </w:pPr>
      <w:r w:rsidRPr="00A9172C">
        <w:rPr>
          <w:lang w:val="en-US"/>
        </w:rPr>
        <w:t xml:space="preserve">Table </w:t>
      </w:r>
      <w:r w:rsidRPr="00A9172C">
        <w:rPr>
          <w:lang w:val="en-US"/>
        </w:rPr>
        <w:fldChar w:fldCharType="begin"/>
      </w:r>
      <w:r w:rsidRPr="00A9172C">
        <w:rPr>
          <w:lang w:val="en-US"/>
        </w:rPr>
        <w:instrText xml:space="preserve"> SEQ Table \* ARABIC </w:instrText>
      </w:r>
      <w:r w:rsidRPr="00A9172C">
        <w:rPr>
          <w:lang w:val="en-US"/>
        </w:rPr>
        <w:fldChar w:fldCharType="separate"/>
      </w:r>
      <w:r w:rsidRPr="00A9172C" w:rsidR="00235AC0">
        <w:rPr>
          <w:noProof/>
          <w:lang w:val="en-US"/>
        </w:rPr>
        <w:t>3</w:t>
      </w:r>
      <w:r w:rsidRPr="00A9172C">
        <w:rPr>
          <w:lang w:val="en-US"/>
        </w:rPr>
        <w:fldChar w:fldCharType="end"/>
      </w:r>
      <w:r w:rsidRPr="00A9172C">
        <w:rPr>
          <w:lang w:val="en-US"/>
        </w:rPr>
        <w:t xml:space="preserve">: </w:t>
      </w:r>
      <w:r w:rsidRPr="00A9172C" w:rsidR="00BE287E">
        <w:rPr>
          <w:lang w:val="en-US"/>
        </w:rPr>
        <w:t>Electroly</w:t>
      </w:r>
      <w:r w:rsidR="00793A62">
        <w:rPr>
          <w:lang w:val="en-US"/>
        </w:rPr>
        <w:t>z</w:t>
      </w:r>
      <w:r w:rsidRPr="00A9172C" w:rsidR="00BE287E">
        <w:rPr>
          <w:lang w:val="en-US"/>
        </w:rPr>
        <w:t>er</w:t>
      </w:r>
      <w:r w:rsidRPr="00A9172C">
        <w:rPr>
          <w:lang w:val="en-US"/>
        </w:rPr>
        <w:t xml:space="preserve"> stack dimensions based on residence time.</w:t>
      </w:r>
    </w:p>
    <w:tbl>
      <w:tblPr>
        <w:tblW w:w="0" w:type="auto"/>
        <w:jc w:val="center"/>
        <w:tblBorders>
          <w:top w:val="single" w:color="008000" w:sz="12" w:space="0"/>
          <w:bottom w:val="single" w:color="008000" w:sz="12" w:space="0"/>
        </w:tblBorders>
        <w:shd w:val="clear" w:color="auto" w:fill="FFFFFF"/>
        <w:tblCellMar>
          <w:left w:w="0" w:type="dxa"/>
          <w:right w:w="0" w:type="dxa"/>
        </w:tblCellMar>
        <w:tblLook w:val="00A0" w:firstRow="1" w:lastRow="0" w:firstColumn="1" w:lastColumn="0" w:noHBand="0" w:noVBand="0"/>
      </w:tblPr>
      <w:tblGrid>
        <w:gridCol w:w="1728"/>
        <w:gridCol w:w="2736"/>
        <w:gridCol w:w="1152"/>
      </w:tblGrid>
      <w:tr w:rsidRPr="00A9172C" w:rsidR="000E6E7D" w:rsidTr="0033242D" w14:paraId="03599C65" w14:textId="77777777">
        <w:trPr>
          <w:jc w:val="center"/>
        </w:trPr>
        <w:tc>
          <w:tcPr>
            <w:tcW w:w="1728" w:type="dxa"/>
            <w:tcBorders>
              <w:top w:val="single" w:color="008000" w:sz="12" w:space="0"/>
              <w:bottom w:val="single" w:color="008000" w:sz="6" w:space="0"/>
            </w:tcBorders>
            <w:shd w:val="clear" w:color="auto" w:fill="FFFFFF"/>
          </w:tcPr>
          <w:p w:rsidRPr="00A9172C" w:rsidR="000E6E7D" w:rsidP="00E30BDD" w:rsidRDefault="000E6E7D" w14:paraId="71A8A943" w14:textId="0655A5DC">
            <w:pPr>
              <w:pStyle w:val="CETBodytext"/>
              <w:jc w:val="left"/>
            </w:pPr>
            <w:r w:rsidRPr="00A9172C">
              <w:t>Residence time (s)</w:t>
            </w:r>
          </w:p>
        </w:tc>
        <w:tc>
          <w:tcPr>
            <w:tcW w:w="2736" w:type="dxa"/>
            <w:tcBorders>
              <w:top w:val="single" w:color="008000" w:sz="12" w:space="0"/>
              <w:bottom w:val="single" w:color="008000" w:sz="6" w:space="0"/>
            </w:tcBorders>
            <w:shd w:val="clear" w:color="auto" w:fill="FFFFFF"/>
          </w:tcPr>
          <w:p w:rsidRPr="00A9172C" w:rsidR="000E6E7D" w:rsidP="00E30BDD" w:rsidRDefault="000E6E7D" w14:paraId="56F9F3E9" w14:textId="3578AD99">
            <w:pPr>
              <w:pStyle w:val="CETBodytext"/>
              <w:jc w:val="left"/>
            </w:pPr>
            <w:r w:rsidRPr="00A9172C">
              <w:t>Reference stack capacity [MW]</w:t>
            </w:r>
          </w:p>
        </w:tc>
        <w:tc>
          <w:tcPr>
            <w:tcW w:w="1152" w:type="dxa"/>
            <w:tcBorders>
              <w:top w:val="single" w:color="008000" w:sz="12" w:space="0"/>
              <w:bottom w:val="single" w:color="008000" w:sz="6" w:space="0"/>
            </w:tcBorders>
            <w:shd w:val="clear" w:color="auto" w:fill="FFFFFF"/>
          </w:tcPr>
          <w:p w:rsidRPr="00A9172C" w:rsidR="000E6E7D" w:rsidP="00E30BDD" w:rsidRDefault="000E6E7D" w14:paraId="4E0F24F5" w14:textId="3DBE4529">
            <w:pPr>
              <w:pStyle w:val="CETBodytext"/>
              <w:jc w:val="left"/>
            </w:pPr>
            <w:r w:rsidRPr="00A9172C">
              <w:t>Volume [m</w:t>
            </w:r>
            <w:r w:rsidRPr="00A9172C">
              <w:rPr>
                <w:vertAlign w:val="superscript"/>
              </w:rPr>
              <w:t>3</w:t>
            </w:r>
            <w:r w:rsidRPr="00A9172C">
              <w:t>]</w:t>
            </w:r>
          </w:p>
        </w:tc>
      </w:tr>
      <w:tr w:rsidRPr="00A9172C" w:rsidR="00D15548" w:rsidTr="0033242D" w14:paraId="2E87EAC9" w14:textId="77777777">
        <w:trPr>
          <w:jc w:val="center"/>
        </w:trPr>
        <w:tc>
          <w:tcPr>
            <w:tcW w:w="1728" w:type="dxa"/>
            <w:vMerge w:val="restart"/>
            <w:shd w:val="clear" w:color="auto" w:fill="FFFFFF"/>
          </w:tcPr>
          <w:p w:rsidRPr="00A9172C" w:rsidR="00D15548" w:rsidP="00E30BDD" w:rsidRDefault="00D15548" w14:paraId="3530E048" w14:textId="7796FE04">
            <w:pPr>
              <w:pStyle w:val="CETBodytext"/>
              <w:jc w:val="left"/>
            </w:pPr>
            <w:r w:rsidRPr="00A9172C">
              <w:t>17</w:t>
            </w:r>
          </w:p>
        </w:tc>
        <w:tc>
          <w:tcPr>
            <w:tcW w:w="2736" w:type="dxa"/>
            <w:shd w:val="clear" w:color="auto" w:fill="FFFFFF"/>
          </w:tcPr>
          <w:p w:rsidRPr="00A9172C" w:rsidR="00D15548" w:rsidP="00E30BDD" w:rsidRDefault="00D15548" w14:paraId="1FD182FE" w14:textId="19FDB5B7">
            <w:pPr>
              <w:pStyle w:val="CETBodytext"/>
              <w:jc w:val="left"/>
            </w:pPr>
            <w:r w:rsidRPr="00A9172C">
              <w:t>0.5</w:t>
            </w:r>
          </w:p>
        </w:tc>
        <w:tc>
          <w:tcPr>
            <w:tcW w:w="1152" w:type="dxa"/>
            <w:shd w:val="clear" w:color="auto" w:fill="FFFFFF"/>
          </w:tcPr>
          <w:p w:rsidRPr="00A9172C" w:rsidR="00D15548" w:rsidP="00E30BDD" w:rsidRDefault="00D15548" w14:paraId="439B1BDF" w14:textId="3EC603EB">
            <w:pPr>
              <w:pStyle w:val="CETBodytext"/>
              <w:jc w:val="left"/>
            </w:pPr>
            <w:r w:rsidRPr="00A9172C">
              <w:t>0.8</w:t>
            </w:r>
          </w:p>
        </w:tc>
      </w:tr>
      <w:tr w:rsidRPr="00A9172C" w:rsidR="00D15548" w:rsidTr="0033242D" w14:paraId="2EB4630F" w14:textId="77777777">
        <w:trPr>
          <w:jc w:val="center"/>
        </w:trPr>
        <w:tc>
          <w:tcPr>
            <w:tcW w:w="1728" w:type="dxa"/>
            <w:vMerge/>
            <w:shd w:val="clear" w:color="auto" w:fill="FFFFFF"/>
          </w:tcPr>
          <w:p w:rsidRPr="00A9172C" w:rsidR="00D15548" w:rsidP="00E30BDD" w:rsidRDefault="00D15548" w14:paraId="0D36F77A" w14:textId="77777777">
            <w:pPr>
              <w:pStyle w:val="CETBodytext"/>
              <w:ind w:right="-1"/>
              <w:jc w:val="left"/>
              <w:rPr>
                <w:rFonts w:cs="Arial"/>
                <w:szCs w:val="18"/>
              </w:rPr>
            </w:pPr>
          </w:p>
        </w:tc>
        <w:tc>
          <w:tcPr>
            <w:tcW w:w="2736" w:type="dxa"/>
            <w:shd w:val="clear" w:color="auto" w:fill="FFFFFF"/>
          </w:tcPr>
          <w:p w:rsidRPr="00A9172C" w:rsidR="00D15548" w:rsidP="00E30BDD" w:rsidRDefault="00D15548" w14:paraId="2F46F025" w14:textId="5821368F">
            <w:pPr>
              <w:pStyle w:val="CETBodytext"/>
              <w:ind w:right="-1"/>
              <w:jc w:val="left"/>
              <w:rPr>
                <w:rFonts w:cs="Arial"/>
                <w:szCs w:val="18"/>
              </w:rPr>
            </w:pPr>
            <w:r w:rsidRPr="00A9172C">
              <w:rPr>
                <w:rFonts w:cs="Arial"/>
                <w:szCs w:val="18"/>
              </w:rPr>
              <w:t>1</w:t>
            </w:r>
          </w:p>
        </w:tc>
        <w:tc>
          <w:tcPr>
            <w:tcW w:w="1152" w:type="dxa"/>
            <w:shd w:val="clear" w:color="auto" w:fill="FFFFFF"/>
          </w:tcPr>
          <w:p w:rsidRPr="00A9172C" w:rsidR="00D15548" w:rsidP="00E30BDD" w:rsidRDefault="00D15548" w14:paraId="4F778E16" w14:textId="27451495">
            <w:pPr>
              <w:pStyle w:val="CETBodytext"/>
              <w:ind w:right="-1"/>
              <w:jc w:val="left"/>
              <w:rPr>
                <w:rFonts w:cs="Arial"/>
                <w:szCs w:val="18"/>
              </w:rPr>
            </w:pPr>
            <w:r w:rsidRPr="00A9172C">
              <w:rPr>
                <w:rFonts w:cs="Arial"/>
                <w:szCs w:val="18"/>
              </w:rPr>
              <w:t>0.9</w:t>
            </w:r>
          </w:p>
        </w:tc>
      </w:tr>
      <w:tr w:rsidRPr="00A9172C" w:rsidR="00D15548" w:rsidTr="0033242D" w14:paraId="2747BFB0" w14:textId="77777777">
        <w:trPr>
          <w:jc w:val="center"/>
        </w:trPr>
        <w:tc>
          <w:tcPr>
            <w:tcW w:w="1728" w:type="dxa"/>
            <w:vMerge/>
            <w:shd w:val="clear" w:color="auto" w:fill="FFFFFF"/>
          </w:tcPr>
          <w:p w:rsidRPr="00A9172C" w:rsidR="00D15548" w:rsidP="00E30BDD" w:rsidRDefault="00D15548" w14:paraId="2B20B9B2" w14:textId="77777777">
            <w:pPr>
              <w:pStyle w:val="CETBodytext"/>
              <w:ind w:right="-1"/>
              <w:jc w:val="left"/>
              <w:rPr>
                <w:rFonts w:cs="Arial"/>
                <w:szCs w:val="18"/>
              </w:rPr>
            </w:pPr>
          </w:p>
        </w:tc>
        <w:tc>
          <w:tcPr>
            <w:tcW w:w="2736" w:type="dxa"/>
            <w:shd w:val="clear" w:color="auto" w:fill="FFFFFF"/>
          </w:tcPr>
          <w:p w:rsidRPr="00A9172C" w:rsidR="00D15548" w:rsidP="00E30BDD" w:rsidRDefault="00D15548" w14:paraId="5948F1B7" w14:textId="639D7865">
            <w:pPr>
              <w:pStyle w:val="CETBodytext"/>
              <w:ind w:right="-1"/>
              <w:jc w:val="left"/>
              <w:rPr>
                <w:rFonts w:cs="Arial"/>
                <w:szCs w:val="18"/>
              </w:rPr>
            </w:pPr>
            <w:r w:rsidRPr="00A9172C">
              <w:rPr>
                <w:rFonts w:cs="Arial"/>
                <w:szCs w:val="18"/>
              </w:rPr>
              <w:t>1.25</w:t>
            </w:r>
          </w:p>
        </w:tc>
        <w:tc>
          <w:tcPr>
            <w:tcW w:w="1152" w:type="dxa"/>
            <w:shd w:val="clear" w:color="auto" w:fill="FFFFFF"/>
          </w:tcPr>
          <w:p w:rsidRPr="00A9172C" w:rsidR="00D15548" w:rsidP="00E30BDD" w:rsidRDefault="00D15548" w14:paraId="5E6DED51" w14:textId="5033758A">
            <w:pPr>
              <w:pStyle w:val="CETBodytext"/>
              <w:ind w:right="-1"/>
              <w:jc w:val="left"/>
              <w:rPr>
                <w:rFonts w:cs="Arial"/>
                <w:szCs w:val="18"/>
              </w:rPr>
            </w:pPr>
            <w:r w:rsidRPr="00A9172C">
              <w:rPr>
                <w:rFonts w:cs="Arial"/>
                <w:szCs w:val="18"/>
              </w:rPr>
              <w:t>1.1</w:t>
            </w:r>
          </w:p>
        </w:tc>
      </w:tr>
      <w:tr w:rsidRPr="00A9172C" w:rsidR="00D15548" w:rsidTr="0033242D" w14:paraId="215BF87E" w14:textId="77777777">
        <w:trPr>
          <w:jc w:val="center"/>
        </w:trPr>
        <w:tc>
          <w:tcPr>
            <w:tcW w:w="1728" w:type="dxa"/>
            <w:vMerge/>
            <w:shd w:val="clear" w:color="auto" w:fill="FFFFFF"/>
          </w:tcPr>
          <w:p w:rsidRPr="00A9172C" w:rsidR="00D15548" w:rsidP="00E30BDD" w:rsidRDefault="00D15548" w14:paraId="5E5190C0" w14:textId="77777777">
            <w:pPr>
              <w:pStyle w:val="CETBodytext"/>
              <w:ind w:right="-1"/>
              <w:jc w:val="left"/>
              <w:rPr>
                <w:rFonts w:cs="Arial"/>
                <w:szCs w:val="18"/>
              </w:rPr>
            </w:pPr>
          </w:p>
        </w:tc>
        <w:tc>
          <w:tcPr>
            <w:tcW w:w="2736" w:type="dxa"/>
            <w:shd w:val="clear" w:color="auto" w:fill="FFFFFF"/>
          </w:tcPr>
          <w:p w:rsidRPr="00A9172C" w:rsidR="00D15548" w:rsidP="00E30BDD" w:rsidRDefault="00D15548" w14:paraId="0691809B" w14:textId="51CDC6D4">
            <w:pPr>
              <w:pStyle w:val="CETBodytext"/>
              <w:ind w:right="-1"/>
              <w:jc w:val="left"/>
              <w:rPr>
                <w:rFonts w:cs="Arial"/>
                <w:szCs w:val="18"/>
              </w:rPr>
            </w:pPr>
            <w:r w:rsidRPr="00A9172C">
              <w:rPr>
                <w:rFonts w:cs="Arial"/>
                <w:szCs w:val="18"/>
              </w:rPr>
              <w:t>2.5</w:t>
            </w:r>
          </w:p>
        </w:tc>
        <w:tc>
          <w:tcPr>
            <w:tcW w:w="1152" w:type="dxa"/>
            <w:shd w:val="clear" w:color="auto" w:fill="FFFFFF"/>
          </w:tcPr>
          <w:p w:rsidRPr="00A9172C" w:rsidR="00D15548" w:rsidP="00E30BDD" w:rsidRDefault="00D15548" w14:paraId="16FF8098" w14:textId="1115D4E5">
            <w:pPr>
              <w:pStyle w:val="CETBodytext"/>
              <w:ind w:right="-1"/>
              <w:jc w:val="left"/>
              <w:rPr>
                <w:rFonts w:cs="Arial"/>
                <w:szCs w:val="18"/>
              </w:rPr>
            </w:pPr>
            <w:r w:rsidRPr="00A9172C">
              <w:rPr>
                <w:rFonts w:cs="Arial"/>
                <w:szCs w:val="18"/>
              </w:rPr>
              <w:t>1.8</w:t>
            </w:r>
          </w:p>
        </w:tc>
      </w:tr>
    </w:tbl>
    <w:p w:rsidRPr="00A9172C" w:rsidR="00CD071A" w:rsidP="0085156D" w:rsidRDefault="00CA6745" w14:paraId="22328021" w14:textId="4B6A6CD8">
      <w:pPr>
        <w:pStyle w:val="CETBodytext"/>
        <w:spacing w:before="240"/>
      </w:pPr>
      <w:r w:rsidRPr="00A9172C">
        <w:t xml:space="preserve">Figure 2 </w:t>
      </w:r>
      <w:r w:rsidRPr="00A9172C" w:rsidR="008558AC">
        <w:t xml:space="preserve">shows the results of the IS-KPIs for the </w:t>
      </w:r>
      <w:r w:rsidRPr="00A9172C" w:rsidR="00A468D9">
        <w:t xml:space="preserve">considered equipment. </w:t>
      </w:r>
      <w:r w:rsidRPr="00A9172C" w:rsidR="00AB5E37">
        <w:t>I</w:t>
      </w:r>
      <w:r w:rsidRPr="00A9172C" w:rsidR="006B121F">
        <w:t>t is essential to first consider the baseline cases</w:t>
      </w:r>
      <w:r w:rsidRPr="00A9172C" w:rsidR="00AB5E37">
        <w:t xml:space="preserve"> in Table 3, which have</w:t>
      </w:r>
      <w:r w:rsidRPr="00A9172C" w:rsidR="006B121F">
        <w:t xml:space="preserve"> a single </w:t>
      </w:r>
      <w:r w:rsidRPr="00A9172C" w:rsidR="00AB5E37">
        <w:t>stack</w:t>
      </w:r>
      <w:r w:rsidR="00D50307">
        <w:t xml:space="preserve"> (0.5 MW, 1 MW, 1.25 MW, 2.5 MW)</w:t>
      </w:r>
      <w:r w:rsidRPr="00A9172C" w:rsidR="00D50307">
        <w:t>. The indexes UPI and UHI naturally increase as more hydrogen is produced. This trend is expected since a system with one stack has a direct proportional relationship between its size and the amount of hydrogen generated, impacting the safety performance accordingly.</w:t>
      </w:r>
      <w:r w:rsidR="00D50307">
        <w:t xml:space="preserve"> T</w:t>
      </w:r>
      <w:r w:rsidRPr="003703D9" w:rsidR="00D50307">
        <w:t>he</w:t>
      </w:r>
      <w:r w:rsidRPr="0089338C" w:rsidR="00D50307">
        <w:t xml:space="preserve"> results clearly show that, according to this methodology, the inherent safety performance of an electrolyzer is more influenced by the number of stacks than by the amount of hydrogen produced. </w:t>
      </w:r>
      <w:r w:rsidR="00D50307">
        <w:t>Indeed, c</w:t>
      </w:r>
      <w:r w:rsidRPr="00A9172C" w:rsidR="00D50307">
        <w:t>omparing the results of the 2 MW and 2.5 MW electroly</w:t>
      </w:r>
      <w:r w:rsidR="00D50307">
        <w:t>z</w:t>
      </w:r>
      <w:r w:rsidRPr="00A9172C" w:rsidR="00D50307">
        <w:t>ers, the impact of having an additional cell is evident</w:t>
      </w:r>
      <w:r w:rsidR="00D50307">
        <w:t xml:space="preserve"> in the 2 MW case. </w:t>
      </w:r>
      <w:r w:rsidRPr="00A9172C" w:rsidR="00D50307">
        <w:t xml:space="preserve">The UHI increases because an additional cell is introduced and the likelihood of something going wrong inherently increases due to the presence of more components susceptible to failure. The UPI considers the worst-case scenario, which represents the simultaneous faults. </w:t>
      </w:r>
      <w:r w:rsidR="00D50307">
        <w:t>Even more pronounced is the comparison between the two 10 MW</w:t>
      </w:r>
      <w:r w:rsidRPr="00A9172C" w:rsidR="00D50307">
        <w:t xml:space="preserve"> modules. Reducing the number of stacks is inherently </w:t>
      </w:r>
      <w:r w:rsidRPr="00A9172C" w:rsidR="00D50307">
        <w:lastRenderedPageBreak/>
        <w:t>safer for the same amount of hydrogen production.</w:t>
      </w:r>
      <w:r w:rsidR="00D50307">
        <w:t xml:space="preserve"> </w:t>
      </w:r>
      <w:r w:rsidRPr="00500D0F" w:rsidR="00D50307">
        <w:t>A configuration with fewer stacks delivering the same hydrogen output is inherently safer, as it reduces the number of interfaces, failure points, and potential for fault propagation. Therefore, from a safety perspective, minimizing the number of stacks while maintaining production levels is a favorable design strategy across different plant scales and applications</w:t>
      </w:r>
      <w:r w:rsidR="00CD071A">
        <w:t xml:space="preserve">. </w:t>
      </w:r>
    </w:p>
    <w:p w:rsidRPr="00A9172C" w:rsidR="00352D26" w:rsidP="00FF739A" w:rsidRDefault="009F3423" w14:paraId="49D8D3AF" w14:textId="03DD83AC">
      <w:pPr>
        <w:pStyle w:val="CETCaption"/>
        <w:jc w:val="left"/>
        <w:rPr>
          <w:lang w:val="en-US"/>
        </w:rPr>
      </w:pPr>
      <w:r w:rsidRPr="009F3423">
        <w:rPr>
          <w:noProof/>
        </w:rPr>
        <w:drawing>
          <wp:inline distT="0" distB="0" distL="0" distR="0" wp14:anchorId="1B3C7962" wp14:editId="5E76AD80">
            <wp:extent cx="5577840" cy="26214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392" r="1070"/>
                    <a:stretch/>
                  </pic:blipFill>
                  <pic:spPr bwMode="auto">
                    <a:xfrm>
                      <a:off x="0" y="0"/>
                      <a:ext cx="5577840" cy="2621427"/>
                    </a:xfrm>
                    <a:prstGeom prst="rect">
                      <a:avLst/>
                    </a:prstGeom>
                    <a:noFill/>
                    <a:ln>
                      <a:noFill/>
                    </a:ln>
                    <a:extLst>
                      <a:ext uri="{53640926-AAD7-44D8-BBD7-CCE9431645EC}">
                        <a14:shadowObscured xmlns:a14="http://schemas.microsoft.com/office/drawing/2010/main"/>
                      </a:ext>
                    </a:extLst>
                  </pic:spPr>
                </pic:pic>
              </a:graphicData>
            </a:graphic>
          </wp:inline>
        </w:drawing>
      </w:r>
      <w:r w:rsidRPr="00A9172C" w:rsidR="001C5465">
        <w:rPr>
          <w:lang w:val="en-US"/>
        </w:rPr>
        <w:t xml:space="preserve">Figure </w:t>
      </w:r>
      <w:r w:rsidRPr="00A9172C" w:rsidR="001C5465">
        <w:rPr>
          <w:lang w:val="en-US"/>
        </w:rPr>
        <w:fldChar w:fldCharType="begin"/>
      </w:r>
      <w:r w:rsidRPr="00A9172C" w:rsidR="001C5465">
        <w:rPr>
          <w:lang w:val="en-US"/>
        </w:rPr>
        <w:instrText xml:space="preserve"> SEQ Figure \* ARABIC </w:instrText>
      </w:r>
      <w:r w:rsidRPr="00A9172C" w:rsidR="001C5465">
        <w:rPr>
          <w:lang w:val="en-US"/>
        </w:rPr>
        <w:fldChar w:fldCharType="separate"/>
      </w:r>
      <w:r w:rsidRPr="00A9172C" w:rsidR="00235AC0">
        <w:rPr>
          <w:noProof/>
          <w:lang w:val="en-US"/>
        </w:rPr>
        <w:t>2</w:t>
      </w:r>
      <w:r w:rsidRPr="00A9172C" w:rsidR="001C5465">
        <w:rPr>
          <w:lang w:val="en-US"/>
        </w:rPr>
        <w:fldChar w:fldCharType="end"/>
      </w:r>
      <w:r w:rsidRPr="00A9172C" w:rsidR="001C5465">
        <w:rPr>
          <w:lang w:val="en-US"/>
        </w:rPr>
        <w:t>: Inherent safety KPI</w:t>
      </w:r>
      <w:r w:rsidRPr="00A9172C" w:rsidR="0056081C">
        <w:rPr>
          <w:lang w:val="en-US"/>
        </w:rPr>
        <w:t>s</w:t>
      </w:r>
      <w:r w:rsidRPr="00A9172C" w:rsidR="001C5465">
        <w:rPr>
          <w:lang w:val="en-US"/>
        </w:rPr>
        <w:t xml:space="preserve"> for different size</w:t>
      </w:r>
      <w:r w:rsidRPr="00A9172C" w:rsidR="007D03F8">
        <w:rPr>
          <w:lang w:val="en-US"/>
        </w:rPr>
        <w:t>s</w:t>
      </w:r>
      <w:r w:rsidRPr="00A9172C" w:rsidR="001C5465">
        <w:rPr>
          <w:lang w:val="en-US"/>
        </w:rPr>
        <w:t xml:space="preserve"> of electroly</w:t>
      </w:r>
      <w:r w:rsidR="00793A62">
        <w:rPr>
          <w:lang w:val="en-US"/>
        </w:rPr>
        <w:t>z</w:t>
      </w:r>
      <w:r w:rsidRPr="00A9172C" w:rsidR="001C5465">
        <w:rPr>
          <w:lang w:val="en-US"/>
        </w:rPr>
        <w:t>er.</w:t>
      </w:r>
    </w:p>
    <w:p w:rsidRPr="00A9172C" w:rsidR="008E0A02" w:rsidP="008E0A02" w:rsidRDefault="008E0A02" w14:paraId="1555684E" w14:textId="08EB2461">
      <w:pPr>
        <w:pStyle w:val="CETBodytext"/>
      </w:pPr>
      <w:r w:rsidRPr="00A9172C">
        <w:t xml:space="preserve">Figure 3 shows </w:t>
      </w:r>
      <w:r w:rsidRPr="00A9172C" w:rsidR="009A5B4F">
        <w:t>the effect</w:t>
      </w:r>
      <w:r w:rsidRPr="00A9172C" w:rsidR="00A7770A">
        <w:t xml:space="preserve"> of the </w:t>
      </w:r>
      <w:r w:rsidRPr="00A9172C" w:rsidR="00CF61F5">
        <w:t>separator vessel. The UPI and UHI of the electrolysis stack</w:t>
      </w:r>
      <w:r w:rsidRPr="00A9172C" w:rsidR="00B11130">
        <w:t>s</w:t>
      </w:r>
      <w:r w:rsidRPr="00A9172C" w:rsidR="00CF61F5">
        <w:t xml:space="preserve"> are compared to the overall PI and HI of the electrolys</w:t>
      </w:r>
      <w:r w:rsidRPr="00A9172C" w:rsidR="00B11130">
        <w:t xml:space="preserve">is systems. </w:t>
      </w:r>
      <w:r w:rsidRPr="00A9172C" w:rsidR="00270598">
        <w:t xml:space="preserve">The </w:t>
      </w:r>
      <w:r w:rsidRPr="00A9172C" w:rsidR="007A32BD">
        <w:t xml:space="preserve">labels represent the </w:t>
      </w:r>
      <w:r w:rsidRPr="00A9172C" w:rsidR="00AB7981">
        <w:t>percentage incre</w:t>
      </w:r>
      <w:r w:rsidRPr="00A9172C" w:rsidR="00506AB9">
        <w:t>ase compared to the case without the separator.</w:t>
      </w:r>
      <w:r w:rsidRPr="00A9172C" w:rsidR="00F322A9">
        <w:t xml:space="preserve"> </w:t>
      </w:r>
      <w:r w:rsidRPr="00A9172C" w:rsidR="00C85AB5">
        <w:t>Even</w:t>
      </w:r>
      <w:r w:rsidRPr="00A9172C" w:rsidR="00A158D9">
        <w:t xml:space="preserve"> if t</w:t>
      </w:r>
      <w:r w:rsidRPr="00A9172C" w:rsidR="00696495">
        <w:t xml:space="preserve">here is an impact, the change is not high enough to </w:t>
      </w:r>
      <w:r w:rsidRPr="00A9172C" w:rsidR="002C16C3">
        <w:t>be decisive</w:t>
      </w:r>
      <w:r w:rsidRPr="00A9172C" w:rsidR="00696495">
        <w:t xml:space="preserve"> when selecting </w:t>
      </w:r>
      <w:r w:rsidRPr="00A9172C" w:rsidR="00A049DC">
        <w:t>between different electroly</w:t>
      </w:r>
      <w:r w:rsidR="00793A62">
        <w:t>z</w:t>
      </w:r>
      <w:r w:rsidRPr="00A9172C" w:rsidR="00A049DC">
        <w:t>er capacities.</w:t>
      </w:r>
    </w:p>
    <w:p w:rsidR="0097787B" w:rsidP="00FF739A" w:rsidRDefault="00D8170F" w14:paraId="5783E976" w14:textId="162E1A54">
      <w:pPr>
        <w:pStyle w:val="CETCaption"/>
        <w:jc w:val="left"/>
        <w:rPr>
          <w:lang w:val="en-US"/>
        </w:rPr>
      </w:pPr>
      <w:r w:rsidRPr="00D8170F">
        <w:rPr>
          <w:noProof/>
        </w:rPr>
        <w:drawing>
          <wp:inline distT="0" distB="0" distL="0" distR="0" wp14:anchorId="7701EBD7" wp14:editId="05C072D7">
            <wp:extent cx="5626100" cy="2651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546" r="1196"/>
                    <a:stretch/>
                  </pic:blipFill>
                  <pic:spPr bwMode="auto">
                    <a:xfrm>
                      <a:off x="0" y="0"/>
                      <a:ext cx="5626112" cy="2651760"/>
                    </a:xfrm>
                    <a:prstGeom prst="rect">
                      <a:avLst/>
                    </a:prstGeom>
                    <a:noFill/>
                    <a:ln>
                      <a:noFill/>
                    </a:ln>
                    <a:extLst>
                      <a:ext uri="{53640926-AAD7-44D8-BBD7-CCE9431645EC}">
                        <a14:shadowObscured xmlns:a14="http://schemas.microsoft.com/office/drawing/2010/main"/>
                      </a:ext>
                    </a:extLst>
                  </pic:spPr>
                </pic:pic>
              </a:graphicData>
            </a:graphic>
          </wp:inline>
        </w:drawing>
      </w:r>
      <w:r w:rsidRPr="00A9172C" w:rsidR="005C07DB">
        <w:rPr>
          <w:lang w:val="en-US"/>
        </w:rPr>
        <w:t xml:space="preserve">Figure </w:t>
      </w:r>
      <w:r w:rsidRPr="00A9172C" w:rsidR="005C07DB">
        <w:rPr>
          <w:lang w:val="en-US"/>
        </w:rPr>
        <w:fldChar w:fldCharType="begin"/>
      </w:r>
      <w:r w:rsidRPr="00A9172C" w:rsidR="005C07DB">
        <w:rPr>
          <w:lang w:val="en-US"/>
        </w:rPr>
        <w:instrText xml:space="preserve"> SEQ Figure \* ARABIC </w:instrText>
      </w:r>
      <w:r w:rsidRPr="00A9172C" w:rsidR="005C07DB">
        <w:rPr>
          <w:lang w:val="en-US"/>
        </w:rPr>
        <w:fldChar w:fldCharType="separate"/>
      </w:r>
      <w:r w:rsidRPr="00A9172C" w:rsidR="00235AC0">
        <w:rPr>
          <w:noProof/>
          <w:lang w:val="en-US"/>
        </w:rPr>
        <w:t>3</w:t>
      </w:r>
      <w:r w:rsidRPr="00A9172C" w:rsidR="005C07DB">
        <w:rPr>
          <w:lang w:val="en-US"/>
        </w:rPr>
        <w:fldChar w:fldCharType="end"/>
      </w:r>
      <w:r w:rsidRPr="00A9172C" w:rsidR="005C07DB">
        <w:rPr>
          <w:lang w:val="en-US"/>
        </w:rPr>
        <w:t>: Impact of hydrogen-water separator on the inherent safety KPIs of the electroly</w:t>
      </w:r>
      <w:r w:rsidR="00793A62">
        <w:rPr>
          <w:lang w:val="en-US"/>
        </w:rPr>
        <w:t>z</w:t>
      </w:r>
      <w:r w:rsidRPr="00A9172C" w:rsidR="005C07DB">
        <w:rPr>
          <w:lang w:val="en-US"/>
        </w:rPr>
        <w:t>er system.</w:t>
      </w:r>
    </w:p>
    <w:p w:rsidRPr="00A9172C" w:rsidR="00737B0D" w:rsidP="00737B0D" w:rsidRDefault="00737B0D" w14:paraId="2DA4AB6C" w14:textId="77777777">
      <w:pPr>
        <w:pStyle w:val="CETBodytext"/>
      </w:pPr>
      <w:r w:rsidRPr="00A9172C">
        <w:t xml:space="preserve">Generally, the results strictly depend on the failure frequency considered as explained in the methodology section. Therefore, </w:t>
      </w:r>
      <w:r>
        <w:t xml:space="preserve">performing </w:t>
      </w:r>
      <w:r w:rsidRPr="00A9172C">
        <w:t xml:space="preserve">a sensitivity analysis could be beneficial to </w:t>
      </w:r>
      <w:r>
        <w:t xml:space="preserve">assess how variations affect the outcomes. Additionally, refining the evaluation of the credit factors which impact the UHI could further improve the robustness of the analysis. In this study, the stack is modeled as a process vessels, applying the conventional credit factors for this reference equipment. However, developing tailored credit factors would lead to more accurate estimation of the inherent safety performance. </w:t>
      </w:r>
    </w:p>
    <w:p w:rsidRPr="00A9172C" w:rsidR="00600535" w:rsidP="00600535" w:rsidRDefault="00600535" w14:paraId="68D26B83" w14:textId="42694D60">
      <w:pPr>
        <w:pStyle w:val="CETHeading1"/>
      </w:pPr>
      <w:r w:rsidRPr="00A9172C">
        <w:lastRenderedPageBreak/>
        <w:t>Conclusion</w:t>
      </w:r>
      <w:r w:rsidRPr="00A9172C" w:rsidR="00B46E93">
        <w:t>s</w:t>
      </w:r>
    </w:p>
    <w:p w:rsidRPr="00A9172C" w:rsidR="00CC0294" w:rsidP="00441016" w:rsidRDefault="00CC0294" w14:paraId="6CA8450C" w14:textId="79C29AD5">
      <w:pPr>
        <w:pStyle w:val="CETBodytext"/>
      </w:pPr>
      <w:r w:rsidRPr="00A9172C">
        <w:t xml:space="preserve">The transition towards hydrogen as a fuel in the glass industry represents a promising pathway to </w:t>
      </w:r>
      <w:r w:rsidRPr="00A9172C" w:rsidR="00B46E93">
        <w:t>decarbonize</w:t>
      </w:r>
      <w:r w:rsidRPr="00A9172C">
        <w:t xml:space="preserve"> one of the most energy-intensive sectors. However, this</w:t>
      </w:r>
      <w:r w:rsidRPr="00A9172C" w:rsidR="002455AD">
        <w:t xml:space="preserve"> study showed that this</w:t>
      </w:r>
      <w:r w:rsidRPr="00A9172C">
        <w:t xml:space="preserve"> transition presents several challenges regarding emissions, product quality, cost, and safety</w:t>
      </w:r>
      <w:r w:rsidRPr="00A9172C" w:rsidR="002455AD">
        <w:t xml:space="preserve">, </w:t>
      </w:r>
      <w:r w:rsidRPr="00A9172C" w:rsidR="00C42011">
        <w:t>especially</w:t>
      </w:r>
      <w:r w:rsidRPr="00A9172C" w:rsidR="002455AD">
        <w:t xml:space="preserve"> if the on-site green hydrogen production is selected.  </w:t>
      </w:r>
      <w:r w:rsidRPr="00A9172C" w:rsidR="001C6EA4">
        <w:t>Hence, in this study the inherent safety assessment of different P</w:t>
      </w:r>
      <w:r w:rsidRPr="00A9172C" w:rsidR="00932D23">
        <w:t>EM electroly</w:t>
      </w:r>
      <w:r w:rsidR="00793A62">
        <w:t>z</w:t>
      </w:r>
      <w:r w:rsidRPr="00A9172C" w:rsidR="00932D23">
        <w:t xml:space="preserve">er sizes has been conducted using the Inherent Safety Key Performance Indicator approach. </w:t>
      </w:r>
      <w:r w:rsidRPr="00A9172C" w:rsidR="00B04FF6">
        <w:t xml:space="preserve">The lack of </w:t>
      </w:r>
      <w:r w:rsidRPr="00A9172C" w:rsidR="00644BE8">
        <w:t xml:space="preserve">public data availability </w:t>
      </w:r>
      <w:r w:rsidRPr="00A9172C" w:rsidR="00C074CC">
        <w:t>makes modelling the system more challenging</w:t>
      </w:r>
      <w:r w:rsidRPr="00A9172C" w:rsidR="005A781D">
        <w:t xml:space="preserve">; indeed, a scaling up approach based on the residence time has been </w:t>
      </w:r>
      <w:r w:rsidRPr="00A9172C" w:rsidR="008A71D2">
        <w:t xml:space="preserve">adopted. </w:t>
      </w:r>
      <w:r w:rsidRPr="00A9172C" w:rsidR="00441016">
        <w:t xml:space="preserve">As expected, the results show that </w:t>
      </w:r>
      <w:r w:rsidRPr="00A9172C">
        <w:t xml:space="preserve">increasing hydrogen production generally leads to </w:t>
      </w:r>
      <w:r w:rsidRPr="00A9172C" w:rsidR="00221C98">
        <w:t xml:space="preserve">lower </w:t>
      </w:r>
      <w:r w:rsidRPr="00A9172C" w:rsidR="0042053C">
        <w:t>inherent</w:t>
      </w:r>
      <w:r w:rsidRPr="00A9172C" w:rsidR="00221C98">
        <w:t xml:space="preserve"> safety performance. </w:t>
      </w:r>
      <w:r w:rsidRPr="00A9172C" w:rsidR="002E040D">
        <w:t xml:space="preserve">Still, </w:t>
      </w:r>
      <w:r w:rsidRPr="00A9172C" w:rsidR="00A1796D">
        <w:t xml:space="preserve">the number of cell stacks </w:t>
      </w:r>
      <w:r w:rsidRPr="00A9172C" w:rsidR="005026DF">
        <w:t>significantly impacts</w:t>
      </w:r>
      <w:r w:rsidRPr="00A9172C" w:rsidR="00A1796D">
        <w:t xml:space="preserve"> the overall safety performance</w:t>
      </w:r>
      <w:r w:rsidRPr="00A9172C" w:rsidR="00EC5058">
        <w:t xml:space="preserve">, mainly because it </w:t>
      </w:r>
      <w:r w:rsidRPr="00A9172C" w:rsidR="005026DF">
        <w:t>affects</w:t>
      </w:r>
      <w:r w:rsidRPr="00A9172C" w:rsidR="00EC5058">
        <w:t xml:space="preserve"> </w:t>
      </w:r>
      <w:r w:rsidRPr="00A9172C" w:rsidR="005026DF">
        <w:t xml:space="preserve">the potential failures. </w:t>
      </w:r>
      <w:r w:rsidRPr="00A9172C" w:rsidR="0065225A">
        <w:t>In addition,</w:t>
      </w:r>
      <w:r w:rsidRPr="00A9172C">
        <w:t xml:space="preserve"> while the hydrogen-water separator does </w:t>
      </w:r>
      <w:r w:rsidRPr="00A9172C" w:rsidR="0065225A">
        <w:t>impact</w:t>
      </w:r>
      <w:r w:rsidRPr="00A9172C">
        <w:t xml:space="preserve"> safety ind</w:t>
      </w:r>
      <w:r w:rsidRPr="00A9172C" w:rsidR="006E0AB5">
        <w:t>e</w:t>
      </w:r>
      <w:r w:rsidRPr="00A9172C" w:rsidR="0065225A">
        <w:t>x</w:t>
      </w:r>
      <w:r w:rsidRPr="00A9172C">
        <w:t>es, its effect is not substantial enough to be a decisive factor in electroly</w:t>
      </w:r>
      <w:r w:rsidR="00793A62">
        <w:t>z</w:t>
      </w:r>
      <w:r w:rsidRPr="00A9172C">
        <w:t>er selection.</w:t>
      </w:r>
      <w:r w:rsidRPr="00A9172C" w:rsidR="0065225A">
        <w:t xml:space="preserve"> </w:t>
      </w:r>
      <w:r w:rsidRPr="00A9172C" w:rsidR="00222AE4">
        <w:t>This approach could be extended to the entire hydrogen-dedicated section of a decarbonized glass plant, optimizing the design phase with a strong focus on safety.</w:t>
      </w:r>
    </w:p>
    <w:p w:rsidRPr="00A9172C" w:rsidR="00600535" w:rsidP="00CC0294" w:rsidRDefault="00600535" w14:paraId="459D05E6" w14:textId="0FD4B7B7">
      <w:pPr>
        <w:pStyle w:val="CETAcknowledgementstitle"/>
        <w:rPr>
          <w:lang w:val="en-US"/>
        </w:rPr>
      </w:pPr>
      <w:r w:rsidRPr="00A9172C">
        <w:rPr>
          <w:lang w:val="en-US"/>
        </w:rPr>
        <w:t>Acknowledgments</w:t>
      </w:r>
    </w:p>
    <w:p w:rsidRPr="00A9172C" w:rsidR="00992D52" w:rsidP="00992D52" w:rsidRDefault="00992D52" w14:paraId="0597016F" w14:textId="77777777">
      <w:pPr>
        <w:pStyle w:val="CETBodytextItalic"/>
        <w:rPr>
          <w:b/>
          <w:lang w:val="en-US"/>
        </w:rPr>
      </w:pPr>
      <w:r w:rsidRPr="00A9172C">
        <w:rPr>
          <w:lang w:val="en-US"/>
        </w:rPr>
        <w:t>This work has received fundings from the European Union Horizon 2020 research and innovation program under the Grant Agreement No. 101092153. Views and opinions expressed are however those of the authors only and do not necessarily reflect those of the European Union or European Health and Digital Executive Agency. Neither the European Union nor the granting authority can be held responsible for them.</w:t>
      </w:r>
    </w:p>
    <w:p w:rsidRPr="00A9172C" w:rsidR="00600535" w:rsidP="00600535" w:rsidRDefault="00600535" w14:paraId="4F1327F8" w14:textId="184E0EB5">
      <w:pPr>
        <w:pStyle w:val="CETReference"/>
        <w:rPr>
          <w:lang w:val="en-US"/>
        </w:rPr>
      </w:pPr>
      <w:r w:rsidRPr="00A9172C">
        <w:rPr>
          <w:lang w:val="en-US"/>
        </w:rPr>
        <w:t>References</w:t>
      </w:r>
    </w:p>
    <w:p w:rsidRPr="00A9172C" w:rsidR="00BF47D8" w:rsidP="00C76DB9" w:rsidRDefault="00933215" w14:paraId="5D9DF546" w14:textId="091AA7B2">
      <w:pPr>
        <w:pStyle w:val="CETReferencetext"/>
        <w:rPr>
          <w:lang w:val="en-US"/>
        </w:rPr>
      </w:pPr>
      <w:r w:rsidRPr="00A9172C">
        <w:rPr>
          <w:lang w:val="en-US"/>
        </w:rPr>
        <w:t>Bataille</w:t>
      </w:r>
      <w:r w:rsidRPr="00A9172C" w:rsidR="00C76DB9">
        <w:rPr>
          <w:lang w:val="en-US"/>
        </w:rPr>
        <w:t xml:space="preserve"> C., </w:t>
      </w:r>
      <w:r w:rsidRPr="00A9172C">
        <w:rPr>
          <w:lang w:val="en-US"/>
        </w:rPr>
        <w:t xml:space="preserve">Åhman </w:t>
      </w:r>
      <w:r w:rsidRPr="00A9172C" w:rsidR="00C76DB9">
        <w:rPr>
          <w:lang w:val="en-US"/>
        </w:rPr>
        <w:t xml:space="preserve">M., </w:t>
      </w:r>
      <w:r w:rsidRPr="00A9172C">
        <w:rPr>
          <w:lang w:val="en-US"/>
        </w:rPr>
        <w:t xml:space="preserve">Neuhoff </w:t>
      </w:r>
      <w:r w:rsidRPr="00A9172C" w:rsidR="00C76DB9">
        <w:rPr>
          <w:lang w:val="en-US"/>
        </w:rPr>
        <w:t xml:space="preserve">K., </w:t>
      </w:r>
      <w:r w:rsidRPr="00A9172C">
        <w:rPr>
          <w:lang w:val="en-US"/>
        </w:rPr>
        <w:t xml:space="preserve">Nilsson </w:t>
      </w:r>
      <w:r w:rsidRPr="00A9172C" w:rsidR="00C76DB9">
        <w:rPr>
          <w:lang w:val="en-US"/>
        </w:rPr>
        <w:t>L.J.,</w:t>
      </w:r>
      <w:r w:rsidRPr="00A9172C">
        <w:rPr>
          <w:lang w:val="en-US"/>
        </w:rPr>
        <w:t xml:space="preserve">Fischedick </w:t>
      </w:r>
      <w:r w:rsidRPr="00A9172C" w:rsidR="00C76DB9">
        <w:rPr>
          <w:lang w:val="en-US"/>
        </w:rPr>
        <w:t>M.,</w:t>
      </w:r>
      <w:r w:rsidRPr="00A9172C">
        <w:rPr>
          <w:lang w:val="en-US"/>
        </w:rPr>
        <w:t xml:space="preserve"> Lechtenböhmer </w:t>
      </w:r>
      <w:r w:rsidRPr="00A9172C" w:rsidR="00C76DB9">
        <w:rPr>
          <w:lang w:val="en-US"/>
        </w:rPr>
        <w:t xml:space="preserve">S., </w:t>
      </w:r>
      <w:r w:rsidRPr="00A9172C">
        <w:rPr>
          <w:lang w:val="en-US"/>
        </w:rPr>
        <w:t xml:space="preserve">Solano-Rodriquez </w:t>
      </w:r>
      <w:r w:rsidRPr="00A9172C" w:rsidR="00C76DB9">
        <w:rPr>
          <w:lang w:val="en-US"/>
        </w:rPr>
        <w:t xml:space="preserve">B., </w:t>
      </w:r>
      <w:r w:rsidRPr="00A9172C">
        <w:rPr>
          <w:lang w:val="en-US"/>
        </w:rPr>
        <w:t xml:space="preserve">Denis-Ryan </w:t>
      </w:r>
      <w:r w:rsidRPr="00A9172C" w:rsidR="00C76DB9">
        <w:rPr>
          <w:lang w:val="en-US"/>
        </w:rPr>
        <w:t xml:space="preserve">A., </w:t>
      </w:r>
      <w:r w:rsidRPr="00A9172C">
        <w:rPr>
          <w:lang w:val="en-US"/>
        </w:rPr>
        <w:t xml:space="preserve">Stiebert </w:t>
      </w:r>
      <w:r w:rsidRPr="00A9172C" w:rsidR="003B71D1">
        <w:rPr>
          <w:lang w:val="en-US"/>
        </w:rPr>
        <w:t>S.,</w:t>
      </w:r>
      <w:r w:rsidRPr="00A9172C">
        <w:rPr>
          <w:lang w:val="en-US"/>
        </w:rPr>
        <w:t xml:space="preserve"> Waisman </w:t>
      </w:r>
      <w:r w:rsidRPr="00A9172C" w:rsidR="003B71D1">
        <w:rPr>
          <w:lang w:val="en-US"/>
        </w:rPr>
        <w:t xml:space="preserve">H., </w:t>
      </w:r>
      <w:r w:rsidRPr="00A9172C">
        <w:rPr>
          <w:lang w:val="en-US"/>
        </w:rPr>
        <w:t>Sartor</w:t>
      </w:r>
      <w:r w:rsidRPr="00A9172C" w:rsidR="00044CAE">
        <w:rPr>
          <w:lang w:val="en-US"/>
        </w:rPr>
        <w:t xml:space="preserve"> </w:t>
      </w:r>
      <w:r w:rsidRPr="00A9172C" w:rsidR="003B71D1">
        <w:rPr>
          <w:lang w:val="en-US"/>
        </w:rPr>
        <w:t xml:space="preserve">O., </w:t>
      </w:r>
      <w:r w:rsidRPr="00A9172C">
        <w:rPr>
          <w:lang w:val="en-US"/>
        </w:rPr>
        <w:t xml:space="preserve">Rahbar S., 2018, </w:t>
      </w:r>
      <w:r w:rsidRPr="00A9172C" w:rsidR="00BF47D8">
        <w:rPr>
          <w:lang w:val="en-US"/>
        </w:rPr>
        <w:t>A review of technology and policy deep decarboni</w:t>
      </w:r>
      <w:r w:rsidRPr="00A9172C" w:rsidR="00E835A7">
        <w:rPr>
          <w:lang w:val="en-US"/>
        </w:rPr>
        <w:t>s</w:t>
      </w:r>
      <w:r w:rsidRPr="00A9172C" w:rsidR="00BF47D8">
        <w:rPr>
          <w:lang w:val="en-US"/>
        </w:rPr>
        <w:t>ation pathway options for making energy-intensive industry production consistent with the Paris Agreement</w:t>
      </w:r>
      <w:r w:rsidRPr="00A9172C" w:rsidR="00395264">
        <w:rPr>
          <w:lang w:val="en-US"/>
        </w:rPr>
        <w:t>, Journal of Cleaner Production, 1887, 960-973.</w:t>
      </w:r>
    </w:p>
    <w:p w:rsidRPr="00A9172C" w:rsidR="00713C9F" w:rsidP="00713C9F" w:rsidRDefault="00713C9F" w14:paraId="1C69B074" w14:textId="26E0AE79">
      <w:pPr>
        <w:pStyle w:val="CETReferencetext"/>
        <w:rPr>
          <w:lang w:val="en-US"/>
        </w:rPr>
      </w:pPr>
      <w:r w:rsidRPr="00A9172C">
        <w:rPr>
          <w:lang w:val="en-US"/>
        </w:rPr>
        <w:t>Gärtner S., Rank D., Heberl M., Gaderer M., Dawoud B., Haumer A., Sterner M, 2021, Simulation and Techno-Economic Analysis of a Power-to-Hydrogen Process for Oxyfuel Glass Melting, Energies, 14, 24.</w:t>
      </w:r>
    </w:p>
    <w:p w:rsidRPr="00A9172C" w:rsidR="006A6876" w:rsidP="004916BB" w:rsidRDefault="006A6876" w14:paraId="21CAF1DF" w14:textId="0F39C10F">
      <w:pPr>
        <w:pStyle w:val="CETReferencetext"/>
        <w:rPr>
          <w:lang w:val="en-US"/>
        </w:rPr>
      </w:pPr>
      <w:r w:rsidRPr="00A9172C">
        <w:rPr>
          <w:lang w:val="en-US"/>
        </w:rPr>
        <w:t>Groenemans H., Saur G., Mittelsteadt</w:t>
      </w:r>
      <w:r w:rsidRPr="00A9172C" w:rsidR="004916BB">
        <w:rPr>
          <w:lang w:val="en-US"/>
        </w:rPr>
        <w:t xml:space="preserve"> </w:t>
      </w:r>
      <w:r w:rsidRPr="00A9172C">
        <w:rPr>
          <w:lang w:val="en-US"/>
        </w:rPr>
        <w:t>C., Lattimer J., Xu H.</w:t>
      </w:r>
      <w:r w:rsidRPr="00A9172C" w:rsidR="004916BB">
        <w:rPr>
          <w:lang w:val="en-US"/>
        </w:rPr>
        <w:t>,</w:t>
      </w:r>
      <w:r w:rsidRPr="00A9172C">
        <w:rPr>
          <w:lang w:val="en-US"/>
        </w:rPr>
        <w:t xml:space="preserve"> 2022</w:t>
      </w:r>
      <w:r w:rsidRPr="00A9172C" w:rsidR="004916BB">
        <w:rPr>
          <w:lang w:val="en-US"/>
        </w:rPr>
        <w:t xml:space="preserve">, </w:t>
      </w:r>
      <w:r w:rsidRPr="00A9172C">
        <w:rPr>
          <w:lang w:val="en-US"/>
        </w:rPr>
        <w:t>Techno-economic analysis of offshore wind PEM water electrolysis for H2 production</w:t>
      </w:r>
      <w:r w:rsidRPr="00A9172C" w:rsidR="004916BB">
        <w:rPr>
          <w:lang w:val="en-US"/>
        </w:rPr>
        <w:t>,</w:t>
      </w:r>
      <w:r w:rsidRPr="00A9172C">
        <w:rPr>
          <w:lang w:val="en-US"/>
        </w:rPr>
        <w:t xml:space="preserve"> Current Opinion in Chemical Engineering, 37, 100828.</w:t>
      </w:r>
    </w:p>
    <w:p w:rsidRPr="00A9172C" w:rsidR="00E4621E" w:rsidP="004916BB" w:rsidRDefault="00E4621E" w14:paraId="4F1564D4" w14:textId="78D4C7BA">
      <w:pPr>
        <w:pStyle w:val="CETReferencetext"/>
        <w:rPr>
          <w:lang w:val="en-US"/>
        </w:rPr>
      </w:pPr>
      <w:r w:rsidRPr="00A9172C">
        <w:rPr>
          <w:lang w:val="en-US"/>
        </w:rPr>
        <w:t xml:space="preserve">HyNet </w:t>
      </w:r>
      <w:r w:rsidRPr="00A9172C" w:rsidR="00E949C4">
        <w:rPr>
          <w:lang w:val="en-US"/>
        </w:rPr>
        <w:t>North West</w:t>
      </w:r>
      <w:r w:rsidRPr="00A9172C" w:rsidR="0083339F">
        <w:rPr>
          <w:lang w:val="en-US"/>
        </w:rPr>
        <w:t>,</w:t>
      </w:r>
      <w:r w:rsidRPr="00A9172C" w:rsidR="00E949C4">
        <w:rPr>
          <w:lang w:val="en-US"/>
        </w:rPr>
        <w:t xml:space="preserve"> 2020,</w:t>
      </w:r>
      <w:r w:rsidRPr="00A9172C" w:rsidR="0083339F">
        <w:rPr>
          <w:lang w:val="en-US"/>
        </w:rPr>
        <w:t xml:space="preserve"> </w:t>
      </w:r>
      <w:r w:rsidRPr="00A9172C" w:rsidR="009612AD">
        <w:rPr>
          <w:lang w:val="en-US"/>
        </w:rPr>
        <w:t xml:space="preserve">Unlocking a low carbon future. </w:t>
      </w:r>
    </w:p>
    <w:p w:rsidRPr="00A9172C" w:rsidR="00B34355" w:rsidP="004916BB" w:rsidRDefault="00B34355" w14:paraId="3A1F93D1" w14:textId="0412E5FB">
      <w:pPr>
        <w:pStyle w:val="CETReferencetext"/>
        <w:rPr>
          <w:lang w:val="en-US"/>
        </w:rPr>
      </w:pPr>
      <w:r w:rsidRPr="00A9172C">
        <w:rPr>
          <w:lang w:val="en-US"/>
        </w:rPr>
        <w:t xml:space="preserve">H2Glass, </w:t>
      </w:r>
      <w:r w:rsidRPr="00A9172C" w:rsidR="00E949C4">
        <w:rPr>
          <w:lang w:val="en-US"/>
        </w:rPr>
        <w:t xml:space="preserve">2023, </w:t>
      </w:r>
      <w:r w:rsidRPr="00A9172C">
        <w:rPr>
          <w:lang w:val="en-US"/>
        </w:rPr>
        <w:t>Decarboni</w:t>
      </w:r>
      <w:r w:rsidRPr="00A9172C" w:rsidR="001D7324">
        <w:rPr>
          <w:lang w:val="en-US"/>
        </w:rPr>
        <w:t>sing our future.</w:t>
      </w:r>
    </w:p>
    <w:p w:rsidRPr="00A9172C" w:rsidR="002E3E3C" w:rsidP="004916BB" w:rsidRDefault="002E3E3C" w14:paraId="4A070B9B" w14:textId="6444E711">
      <w:pPr>
        <w:pStyle w:val="CETReferencetext"/>
        <w:rPr>
          <w:lang w:val="en-US"/>
        </w:rPr>
      </w:pPr>
      <w:r w:rsidRPr="00A9172C">
        <w:rPr>
          <w:lang w:val="en-US"/>
        </w:rPr>
        <w:t xml:space="preserve">IEA, 2023, </w:t>
      </w:r>
      <w:r w:rsidRPr="00A9172C" w:rsidR="00912861">
        <w:rPr>
          <w:lang w:val="en-US"/>
        </w:rPr>
        <w:t>Global Hydrogen Review 2023</w:t>
      </w:r>
      <w:r w:rsidRPr="00A9172C" w:rsidR="000530E0">
        <w:rPr>
          <w:lang w:val="en-US"/>
        </w:rPr>
        <w:t>.</w:t>
      </w:r>
    </w:p>
    <w:p w:rsidRPr="00A9172C" w:rsidR="000530E0" w:rsidP="004916BB" w:rsidRDefault="000530E0" w14:paraId="1A35DA1A" w14:textId="20348EA4">
      <w:pPr>
        <w:pStyle w:val="CETReferencetext"/>
        <w:rPr>
          <w:lang w:val="en-US"/>
        </w:rPr>
      </w:pPr>
      <w:r w:rsidRPr="00A9172C">
        <w:rPr>
          <w:lang w:val="en-US"/>
        </w:rPr>
        <w:t>IEA, 2024, World Energy Outlook</w:t>
      </w:r>
      <w:r w:rsidRPr="00A9172C" w:rsidR="000B54ED">
        <w:rPr>
          <w:lang w:val="en-US"/>
        </w:rPr>
        <w:t xml:space="preserve"> 2024.</w:t>
      </w:r>
    </w:p>
    <w:p w:rsidR="004F1AF5" w:rsidP="004916BB" w:rsidRDefault="004F1AF5" w14:paraId="4B2E1317" w14:textId="13DE54AE">
      <w:pPr>
        <w:pStyle w:val="CETReferencetext"/>
        <w:rPr>
          <w:lang w:val="en-US"/>
        </w:rPr>
      </w:pPr>
      <w:r w:rsidRPr="00A9172C">
        <w:rPr>
          <w:lang w:val="en-US"/>
        </w:rPr>
        <w:t>I</w:t>
      </w:r>
      <w:r w:rsidRPr="00A9172C" w:rsidR="003877DD">
        <w:rPr>
          <w:lang w:val="en-US"/>
        </w:rPr>
        <w:t xml:space="preserve">nternational Labour Office, </w:t>
      </w:r>
      <w:r w:rsidRPr="00A9172C" w:rsidR="00502D62">
        <w:rPr>
          <w:lang w:val="en-US"/>
        </w:rPr>
        <w:t xml:space="preserve">2011, </w:t>
      </w:r>
      <w:r w:rsidRPr="00A9172C">
        <w:rPr>
          <w:lang w:val="en-US"/>
        </w:rPr>
        <w:t>Encyclopedia of Occupational Health and Safety</w:t>
      </w:r>
      <w:r w:rsidRPr="00A9172C" w:rsidR="003877DD">
        <w:rPr>
          <w:lang w:val="en-US"/>
        </w:rPr>
        <w:t xml:space="preserve">, </w:t>
      </w:r>
      <w:r w:rsidRPr="00A9172C" w:rsidR="001066E6">
        <w:rPr>
          <w:lang w:val="en-US"/>
        </w:rPr>
        <w:t>XIII, 84</w:t>
      </w:r>
    </w:p>
    <w:p w:rsidRPr="00A9172C" w:rsidR="00396E37" w:rsidP="00396E37" w:rsidRDefault="00396E37" w14:paraId="7530DEE6" w14:textId="77777777">
      <w:pPr>
        <w:pStyle w:val="CETReferencetext"/>
        <w:rPr>
          <w:lang w:val="en-US"/>
        </w:rPr>
      </w:pPr>
      <w:r w:rsidRPr="00A9172C">
        <w:rPr>
          <w:lang w:val="en-US"/>
        </w:rPr>
        <w:t xml:space="preserve">Kletz T. A., Amyotte P., 2010, Process plants: a handbook for inherently safer design, Second Edition, CRC Press. </w:t>
      </w:r>
    </w:p>
    <w:p w:rsidRPr="00A9172C" w:rsidR="00222D0D" w:rsidP="00222D0D" w:rsidRDefault="006A6BC0" w14:paraId="05055AAA" w14:textId="5A77F3E1">
      <w:pPr>
        <w:pStyle w:val="CETReferencetext"/>
        <w:rPr>
          <w:lang w:val="en-US"/>
        </w:rPr>
      </w:pPr>
      <w:r w:rsidRPr="00A9172C">
        <w:rPr>
          <w:lang w:val="en-US"/>
        </w:rPr>
        <w:t>Luc Jarry, 2022,</w:t>
      </w:r>
      <w:r w:rsidRPr="00A9172C" w:rsidR="002124FB">
        <w:rPr>
          <w:lang w:val="en-US"/>
        </w:rPr>
        <w:t xml:space="preserve"> Hydrogen combustion technologies for a smooth transition, 26</w:t>
      </w:r>
      <w:r w:rsidRPr="00A9172C" w:rsidR="002124FB">
        <w:rPr>
          <w:vertAlign w:val="superscript"/>
          <w:lang w:val="en-US"/>
        </w:rPr>
        <w:t>th</w:t>
      </w:r>
      <w:r w:rsidRPr="00A9172C" w:rsidR="002124FB">
        <w:rPr>
          <w:lang w:val="en-US"/>
        </w:rPr>
        <w:t xml:space="preserve"> International Congress on Glass.</w:t>
      </w:r>
    </w:p>
    <w:p w:rsidRPr="00A9172C" w:rsidR="00B66AB5" w:rsidP="000A1F1B" w:rsidRDefault="00B66AB5" w14:paraId="36E1BEB4" w14:textId="21A91ABF">
      <w:pPr>
        <w:pStyle w:val="CETReferencetext"/>
        <w:rPr>
          <w:lang w:val="en-US"/>
        </w:rPr>
      </w:pPr>
      <w:r w:rsidRPr="00A9172C">
        <w:rPr>
          <w:lang w:val="en-US"/>
        </w:rPr>
        <w:t xml:space="preserve">Park J., Kang S., Kim S., Kim H., Cho H. S., Lee J.H., 2025, Comparative techno-economic evaluation of alkaline and proton exchange membrane electrolysis for hydrogen production amidst renewable energy source volatility, Energy Conversion and Management 325, 119423. </w:t>
      </w:r>
    </w:p>
    <w:p w:rsidRPr="00A9172C" w:rsidR="00222D0D" w:rsidP="000A1F1B" w:rsidRDefault="00222D0D" w14:paraId="4B8110E6" w14:textId="1355587A">
      <w:pPr>
        <w:pStyle w:val="CETReferencetext"/>
        <w:rPr>
          <w:lang w:val="en-US"/>
        </w:rPr>
      </w:pPr>
      <w:r w:rsidRPr="00A9172C">
        <w:rPr>
          <w:lang w:val="en-US"/>
        </w:rPr>
        <w:t>Smolinka T., Ojong E.T., Garche J., 2015, Chapter 8 - Hydrogen Production from Renewable Energies—Electrolyzer Technologies, in: Moseley, P.T., Garche, J. (Eds.), Electrochemical Energy Storage for Renewable Sources and Grid Balancing. Elsevier</w:t>
      </w:r>
      <w:r w:rsidRPr="00A9172C" w:rsidR="00C47486">
        <w:rPr>
          <w:lang w:val="en-US"/>
        </w:rPr>
        <w:t>,</w:t>
      </w:r>
      <w:r w:rsidRPr="00A9172C">
        <w:rPr>
          <w:lang w:val="en-US"/>
        </w:rPr>
        <w:t xml:space="preserve"> 103–128</w:t>
      </w:r>
    </w:p>
    <w:p w:rsidRPr="00A9172C" w:rsidR="00B5428B" w:rsidP="00412E6D" w:rsidRDefault="00B5428B" w14:paraId="09485D76" w14:textId="77777777">
      <w:pPr>
        <w:pStyle w:val="CETReferencetext"/>
        <w:rPr>
          <w:lang w:val="en-US"/>
        </w:rPr>
      </w:pPr>
      <w:r w:rsidRPr="00A9172C">
        <w:rPr>
          <w:lang w:val="en-US"/>
        </w:rPr>
        <w:t xml:space="preserve">TNO, 2005, Purple Book - Guidelines for quantitative risk assessment. </w:t>
      </w:r>
    </w:p>
    <w:p w:rsidRPr="00A9172C" w:rsidR="000C28A7" w:rsidP="00412E6D" w:rsidRDefault="000C28A7" w14:paraId="78EA6DBE" w14:textId="4970CAF6">
      <w:pPr>
        <w:pStyle w:val="CETReferencetext"/>
        <w:rPr>
          <w:lang w:val="en-US"/>
        </w:rPr>
      </w:pPr>
      <w:r w:rsidRPr="00A9172C">
        <w:rPr>
          <w:lang w:val="en-US"/>
        </w:rPr>
        <w:t>Tugnoli A., Cozzani V., Landucci G., 2007, A consequence</w:t>
      </w:r>
      <w:r w:rsidR="006752DF">
        <w:rPr>
          <w:lang w:val="en-US"/>
        </w:rPr>
        <w:t xml:space="preserve"> </w:t>
      </w:r>
      <w:r w:rsidRPr="00A9172C">
        <w:rPr>
          <w:lang w:val="en-US"/>
        </w:rPr>
        <w:t xml:space="preserve">based approach to the quantitative assessment of inherent safety, </w:t>
      </w:r>
      <w:r w:rsidRPr="00A9172C" w:rsidR="00CC7B11">
        <w:rPr>
          <w:lang w:val="en-US"/>
        </w:rPr>
        <w:t>AIChE</w:t>
      </w:r>
      <w:r w:rsidRPr="00A9172C">
        <w:rPr>
          <w:lang w:val="en-US"/>
        </w:rPr>
        <w:t xml:space="preserve"> Journal 53, 3171–3182.</w:t>
      </w:r>
    </w:p>
    <w:p w:rsidRPr="00A9172C" w:rsidR="00801E2A" w:rsidP="00412E6D" w:rsidRDefault="00F60FE2" w14:paraId="17DBE208" w14:textId="19875C3E">
      <w:pPr>
        <w:pStyle w:val="CETReferencetext"/>
        <w:rPr>
          <w:lang w:val="en-US"/>
        </w:rPr>
      </w:pPr>
      <w:r w:rsidRPr="00A9172C">
        <w:rPr>
          <w:lang w:val="en-US"/>
        </w:rPr>
        <w:t>Ustolin F., Paltrinieri N., Berto F., 2020, Loss of integrity of hydrogen technologies: A critical review, International Journal of Hydrogen Energy 45, 23809–23840</w:t>
      </w:r>
      <w:r w:rsidRPr="00A9172C" w:rsidR="00801E2A">
        <w:rPr>
          <w:lang w:val="en-US"/>
        </w:rPr>
        <w:t>.</w:t>
      </w:r>
    </w:p>
    <w:p w:rsidRPr="00A9172C" w:rsidR="00CD071A" w:rsidP="00CD071A" w:rsidRDefault="00E52911" w14:paraId="00C57395" w14:textId="25EA71B3">
      <w:pPr>
        <w:pStyle w:val="CETReferencetext"/>
        <w:rPr>
          <w:lang w:val="en-US"/>
        </w:rPr>
      </w:pPr>
      <w:r w:rsidRPr="00A9172C">
        <w:rPr>
          <w:lang w:val="en-US"/>
        </w:rPr>
        <w:t>Zier M., Stenzel P., Kotzur L., Stolten, D., 2021, A review of decarboni</w:t>
      </w:r>
      <w:r w:rsidRPr="00A9172C" w:rsidR="00E835A7">
        <w:rPr>
          <w:lang w:val="en-US"/>
        </w:rPr>
        <w:t>s</w:t>
      </w:r>
      <w:r w:rsidRPr="00A9172C">
        <w:rPr>
          <w:lang w:val="en-US"/>
        </w:rPr>
        <w:t>ation options for the glass industry. Energy Conversion and Management: X, 10, 100083.</w:t>
      </w:r>
    </w:p>
    <w:sectPr w:rsidRPr="00A9172C" w:rsidR="00CD071A" w:rsidSect="00DC73EE">
      <w:type w:val="continuous"/>
      <w:pgSz w:w="11906" w:h="16838" w:orient="portrait"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CE5" w:rsidP="004F5E36" w:rsidRDefault="00333CE5" w14:paraId="4F91998E" w14:textId="77777777">
      <w:r>
        <w:separator/>
      </w:r>
    </w:p>
  </w:endnote>
  <w:endnote w:type="continuationSeparator" w:id="0">
    <w:p w:rsidR="00333CE5" w:rsidP="004F5E36" w:rsidRDefault="00333CE5" w14:paraId="259E06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Cuerpo en alfa">
    <w:altName w:val="Times New Roman"/>
    <w:charset w:val="00"/>
    <w:family w:val="roman"/>
    <w:pitch w:val="default"/>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CE5" w:rsidP="004F5E36" w:rsidRDefault="00333CE5" w14:paraId="7072BA57" w14:textId="77777777">
      <w:r>
        <w:separator/>
      </w:r>
    </w:p>
  </w:footnote>
  <w:footnote w:type="continuationSeparator" w:id="0">
    <w:p w:rsidR="00333CE5" w:rsidP="004F5E36" w:rsidRDefault="00333CE5" w14:paraId="0FA8BC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hint="default" w:ascii="Courier New" w:hAnsi="Courier New" w:cs="Courier New"/>
      </w:rPr>
    </w:lvl>
    <w:lvl w:ilvl="1" w:tplc="04100003">
      <w:start w:val="1"/>
      <w:numFmt w:val="bullet"/>
      <w:lvlText w:val="o"/>
      <w:lvlJc w:val="left"/>
      <w:pPr>
        <w:tabs>
          <w:tab w:val="num" w:pos="1800"/>
        </w:tabs>
        <w:ind w:left="1800" w:hanging="360"/>
      </w:pPr>
      <w:rPr>
        <w:rFonts w:hint="default" w:ascii="Courier New" w:hAnsi="Courier New" w:cs="Courier New"/>
      </w:rPr>
    </w:lvl>
    <w:lvl w:ilvl="2" w:tplc="04100005">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438217E"/>
    <w:multiLevelType w:val="multilevel"/>
    <w:tmpl w:val="1068CA6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color w:val="auto"/>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autoFormatOverride/>
  <w:styleLockTheme/>
  <w:styleLockQFSet/>
  <w:defaultTabStop w:val="706"/>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gFADPRo54tAAAA"/>
  </w:docVars>
  <w:rsids>
    <w:rsidRoot w:val="000E414A"/>
    <w:rsid w:val="000016F5"/>
    <w:rsid w:val="000027C0"/>
    <w:rsid w:val="00004D77"/>
    <w:rsid w:val="00004F87"/>
    <w:rsid w:val="000052FB"/>
    <w:rsid w:val="00005A19"/>
    <w:rsid w:val="00010D9F"/>
    <w:rsid w:val="000113C3"/>
    <w:rsid w:val="000117CB"/>
    <w:rsid w:val="00014CE7"/>
    <w:rsid w:val="0001565B"/>
    <w:rsid w:val="00025A8F"/>
    <w:rsid w:val="00030027"/>
    <w:rsid w:val="0003148D"/>
    <w:rsid w:val="00031EEC"/>
    <w:rsid w:val="00040230"/>
    <w:rsid w:val="00044CAE"/>
    <w:rsid w:val="0004673F"/>
    <w:rsid w:val="00050AB1"/>
    <w:rsid w:val="00050DB5"/>
    <w:rsid w:val="00051566"/>
    <w:rsid w:val="000530E0"/>
    <w:rsid w:val="000562A9"/>
    <w:rsid w:val="00061D2B"/>
    <w:rsid w:val="00062A9A"/>
    <w:rsid w:val="0006351E"/>
    <w:rsid w:val="00065058"/>
    <w:rsid w:val="00066674"/>
    <w:rsid w:val="0007333F"/>
    <w:rsid w:val="00073780"/>
    <w:rsid w:val="00074D20"/>
    <w:rsid w:val="0008120D"/>
    <w:rsid w:val="000862E7"/>
    <w:rsid w:val="000863D3"/>
    <w:rsid w:val="00086C39"/>
    <w:rsid w:val="00093BB3"/>
    <w:rsid w:val="000A03B2"/>
    <w:rsid w:val="000A1F1B"/>
    <w:rsid w:val="000A72B4"/>
    <w:rsid w:val="000A7C9E"/>
    <w:rsid w:val="000B09CE"/>
    <w:rsid w:val="000B0AB2"/>
    <w:rsid w:val="000B439B"/>
    <w:rsid w:val="000B54ED"/>
    <w:rsid w:val="000C28A7"/>
    <w:rsid w:val="000D0268"/>
    <w:rsid w:val="000D0822"/>
    <w:rsid w:val="000D34BE"/>
    <w:rsid w:val="000E0B3C"/>
    <w:rsid w:val="000E102F"/>
    <w:rsid w:val="000E323F"/>
    <w:rsid w:val="000E36F1"/>
    <w:rsid w:val="000E3A73"/>
    <w:rsid w:val="000E414A"/>
    <w:rsid w:val="000E5529"/>
    <w:rsid w:val="000E6E7D"/>
    <w:rsid w:val="000E75FD"/>
    <w:rsid w:val="000F04FF"/>
    <w:rsid w:val="000F093C"/>
    <w:rsid w:val="000F6911"/>
    <w:rsid w:val="000F787B"/>
    <w:rsid w:val="001014A5"/>
    <w:rsid w:val="0010225F"/>
    <w:rsid w:val="00104562"/>
    <w:rsid w:val="0010633F"/>
    <w:rsid w:val="001066E6"/>
    <w:rsid w:val="00107D42"/>
    <w:rsid w:val="0012091F"/>
    <w:rsid w:val="00120EE8"/>
    <w:rsid w:val="00122427"/>
    <w:rsid w:val="001234C2"/>
    <w:rsid w:val="0012568C"/>
    <w:rsid w:val="00126230"/>
    <w:rsid w:val="00126BC2"/>
    <w:rsid w:val="001308B6"/>
    <w:rsid w:val="0013121F"/>
    <w:rsid w:val="0013157C"/>
    <w:rsid w:val="00131E43"/>
    <w:rsid w:val="00131FE6"/>
    <w:rsid w:val="0013263F"/>
    <w:rsid w:val="001331DF"/>
    <w:rsid w:val="00134DE4"/>
    <w:rsid w:val="0014034D"/>
    <w:rsid w:val="00140FE3"/>
    <w:rsid w:val="00144664"/>
    <w:rsid w:val="00144D16"/>
    <w:rsid w:val="00147095"/>
    <w:rsid w:val="00150E59"/>
    <w:rsid w:val="00151E0E"/>
    <w:rsid w:val="00152DE3"/>
    <w:rsid w:val="00153FD0"/>
    <w:rsid w:val="00154345"/>
    <w:rsid w:val="001545A3"/>
    <w:rsid w:val="00155B05"/>
    <w:rsid w:val="00162823"/>
    <w:rsid w:val="001632EF"/>
    <w:rsid w:val="00163B2B"/>
    <w:rsid w:val="00164B06"/>
    <w:rsid w:val="00164CF9"/>
    <w:rsid w:val="001667A6"/>
    <w:rsid w:val="00166ADE"/>
    <w:rsid w:val="001711C7"/>
    <w:rsid w:val="0017703E"/>
    <w:rsid w:val="0018171E"/>
    <w:rsid w:val="0018254A"/>
    <w:rsid w:val="00184AD6"/>
    <w:rsid w:val="00184C01"/>
    <w:rsid w:val="00186686"/>
    <w:rsid w:val="00191B8A"/>
    <w:rsid w:val="0019451D"/>
    <w:rsid w:val="00196645"/>
    <w:rsid w:val="00197AB5"/>
    <w:rsid w:val="001A2E5B"/>
    <w:rsid w:val="001A4AF7"/>
    <w:rsid w:val="001B0349"/>
    <w:rsid w:val="001B1E93"/>
    <w:rsid w:val="001B5F50"/>
    <w:rsid w:val="001B65C1"/>
    <w:rsid w:val="001C067E"/>
    <w:rsid w:val="001C260F"/>
    <w:rsid w:val="001C5465"/>
    <w:rsid w:val="001C5C3A"/>
    <w:rsid w:val="001C6521"/>
    <w:rsid w:val="001C684B"/>
    <w:rsid w:val="001C6EA4"/>
    <w:rsid w:val="001D0CFB"/>
    <w:rsid w:val="001D13CF"/>
    <w:rsid w:val="001D21AF"/>
    <w:rsid w:val="001D53FC"/>
    <w:rsid w:val="001D62B9"/>
    <w:rsid w:val="001D7324"/>
    <w:rsid w:val="001E0586"/>
    <w:rsid w:val="001E11F3"/>
    <w:rsid w:val="001E22BB"/>
    <w:rsid w:val="001E5A23"/>
    <w:rsid w:val="001F0C6C"/>
    <w:rsid w:val="001F2E0E"/>
    <w:rsid w:val="001F42A5"/>
    <w:rsid w:val="001F7B9D"/>
    <w:rsid w:val="00201C93"/>
    <w:rsid w:val="00205D14"/>
    <w:rsid w:val="00206E16"/>
    <w:rsid w:val="00207675"/>
    <w:rsid w:val="002106BE"/>
    <w:rsid w:val="002124FB"/>
    <w:rsid w:val="0022090B"/>
    <w:rsid w:val="0022141E"/>
    <w:rsid w:val="00221C98"/>
    <w:rsid w:val="00222308"/>
    <w:rsid w:val="002224B4"/>
    <w:rsid w:val="00222AE4"/>
    <w:rsid w:val="00222D0D"/>
    <w:rsid w:val="00223BDF"/>
    <w:rsid w:val="00230828"/>
    <w:rsid w:val="00232FD2"/>
    <w:rsid w:val="00235109"/>
    <w:rsid w:val="00235AC0"/>
    <w:rsid w:val="0024240D"/>
    <w:rsid w:val="00243033"/>
    <w:rsid w:val="00244226"/>
    <w:rsid w:val="002447EF"/>
    <w:rsid w:val="002455AD"/>
    <w:rsid w:val="00251550"/>
    <w:rsid w:val="00255889"/>
    <w:rsid w:val="00256DAC"/>
    <w:rsid w:val="00260568"/>
    <w:rsid w:val="00263B05"/>
    <w:rsid w:val="0026500F"/>
    <w:rsid w:val="00270598"/>
    <w:rsid w:val="0027221A"/>
    <w:rsid w:val="00273643"/>
    <w:rsid w:val="00274106"/>
    <w:rsid w:val="002756BF"/>
    <w:rsid w:val="00275B61"/>
    <w:rsid w:val="002808B8"/>
    <w:rsid w:val="00280ECE"/>
    <w:rsid w:val="00280FAF"/>
    <w:rsid w:val="00281EB1"/>
    <w:rsid w:val="00282656"/>
    <w:rsid w:val="002832DA"/>
    <w:rsid w:val="002910D9"/>
    <w:rsid w:val="00296B83"/>
    <w:rsid w:val="002A1C68"/>
    <w:rsid w:val="002A1FE9"/>
    <w:rsid w:val="002A2796"/>
    <w:rsid w:val="002A4BCA"/>
    <w:rsid w:val="002A58FA"/>
    <w:rsid w:val="002A5FC9"/>
    <w:rsid w:val="002A62B8"/>
    <w:rsid w:val="002B39F6"/>
    <w:rsid w:val="002B3B30"/>
    <w:rsid w:val="002B4015"/>
    <w:rsid w:val="002B60B1"/>
    <w:rsid w:val="002B73AB"/>
    <w:rsid w:val="002B78CE"/>
    <w:rsid w:val="002C14AF"/>
    <w:rsid w:val="002C16C3"/>
    <w:rsid w:val="002C2FB6"/>
    <w:rsid w:val="002C573C"/>
    <w:rsid w:val="002D3BDA"/>
    <w:rsid w:val="002D4F03"/>
    <w:rsid w:val="002D62E3"/>
    <w:rsid w:val="002D69D7"/>
    <w:rsid w:val="002D6F32"/>
    <w:rsid w:val="002E040D"/>
    <w:rsid w:val="002E16F3"/>
    <w:rsid w:val="002E36DB"/>
    <w:rsid w:val="002E3E3C"/>
    <w:rsid w:val="002E5FA7"/>
    <w:rsid w:val="002F2808"/>
    <w:rsid w:val="002F3309"/>
    <w:rsid w:val="002F3EC9"/>
    <w:rsid w:val="002F6443"/>
    <w:rsid w:val="002F7B96"/>
    <w:rsid w:val="003008CE"/>
    <w:rsid w:val="003009B7"/>
    <w:rsid w:val="00300E56"/>
    <w:rsid w:val="0030152C"/>
    <w:rsid w:val="00302403"/>
    <w:rsid w:val="00303D82"/>
    <w:rsid w:val="00304238"/>
    <w:rsid w:val="0030469C"/>
    <w:rsid w:val="003066A5"/>
    <w:rsid w:val="00310B45"/>
    <w:rsid w:val="00312C09"/>
    <w:rsid w:val="003140EE"/>
    <w:rsid w:val="003205B0"/>
    <w:rsid w:val="00320A59"/>
    <w:rsid w:val="00321CA6"/>
    <w:rsid w:val="00322538"/>
    <w:rsid w:val="00322599"/>
    <w:rsid w:val="00323763"/>
    <w:rsid w:val="00323C5F"/>
    <w:rsid w:val="00325522"/>
    <w:rsid w:val="0033242D"/>
    <w:rsid w:val="00333CE5"/>
    <w:rsid w:val="00334C09"/>
    <w:rsid w:val="00335012"/>
    <w:rsid w:val="00337BCB"/>
    <w:rsid w:val="00341395"/>
    <w:rsid w:val="003418B4"/>
    <w:rsid w:val="003430D9"/>
    <w:rsid w:val="0034336C"/>
    <w:rsid w:val="00350C4F"/>
    <w:rsid w:val="00352D26"/>
    <w:rsid w:val="003539D5"/>
    <w:rsid w:val="00354646"/>
    <w:rsid w:val="00355095"/>
    <w:rsid w:val="003568A9"/>
    <w:rsid w:val="00356FCF"/>
    <w:rsid w:val="003604A9"/>
    <w:rsid w:val="00362A3F"/>
    <w:rsid w:val="00362E9F"/>
    <w:rsid w:val="003656A9"/>
    <w:rsid w:val="00365A3B"/>
    <w:rsid w:val="0037054D"/>
    <w:rsid w:val="003723D4"/>
    <w:rsid w:val="00375F39"/>
    <w:rsid w:val="0038121A"/>
    <w:rsid w:val="00381905"/>
    <w:rsid w:val="00384C1E"/>
    <w:rsid w:val="00384CC8"/>
    <w:rsid w:val="003871FD"/>
    <w:rsid w:val="003877DD"/>
    <w:rsid w:val="003904D3"/>
    <w:rsid w:val="0039260B"/>
    <w:rsid w:val="00395264"/>
    <w:rsid w:val="00396E37"/>
    <w:rsid w:val="003A1E30"/>
    <w:rsid w:val="003A2829"/>
    <w:rsid w:val="003A47C8"/>
    <w:rsid w:val="003A7D1C"/>
    <w:rsid w:val="003B097A"/>
    <w:rsid w:val="003B304B"/>
    <w:rsid w:val="003B3146"/>
    <w:rsid w:val="003B3811"/>
    <w:rsid w:val="003B492C"/>
    <w:rsid w:val="003B49CD"/>
    <w:rsid w:val="003B4C80"/>
    <w:rsid w:val="003B5AB5"/>
    <w:rsid w:val="003B65D1"/>
    <w:rsid w:val="003B71D1"/>
    <w:rsid w:val="003C4941"/>
    <w:rsid w:val="003D0E6D"/>
    <w:rsid w:val="003D1E02"/>
    <w:rsid w:val="003D3D19"/>
    <w:rsid w:val="003D6139"/>
    <w:rsid w:val="003D777D"/>
    <w:rsid w:val="003D7C21"/>
    <w:rsid w:val="003E1F62"/>
    <w:rsid w:val="003E22FB"/>
    <w:rsid w:val="003E4AB2"/>
    <w:rsid w:val="003E567D"/>
    <w:rsid w:val="003E6041"/>
    <w:rsid w:val="003E72AE"/>
    <w:rsid w:val="003F015E"/>
    <w:rsid w:val="003F5C04"/>
    <w:rsid w:val="00400414"/>
    <w:rsid w:val="004032BC"/>
    <w:rsid w:val="004039C4"/>
    <w:rsid w:val="00404979"/>
    <w:rsid w:val="004063FF"/>
    <w:rsid w:val="00410B11"/>
    <w:rsid w:val="00412E6D"/>
    <w:rsid w:val="0041446B"/>
    <w:rsid w:val="00416139"/>
    <w:rsid w:val="0042053C"/>
    <w:rsid w:val="00421176"/>
    <w:rsid w:val="004246B1"/>
    <w:rsid w:val="00425993"/>
    <w:rsid w:val="004267B9"/>
    <w:rsid w:val="004267EB"/>
    <w:rsid w:val="0043102E"/>
    <w:rsid w:val="00433064"/>
    <w:rsid w:val="004333E1"/>
    <w:rsid w:val="004358AC"/>
    <w:rsid w:val="0044071E"/>
    <w:rsid w:val="00441016"/>
    <w:rsid w:val="004429E3"/>
    <w:rsid w:val="0044329C"/>
    <w:rsid w:val="00445233"/>
    <w:rsid w:val="00445C34"/>
    <w:rsid w:val="00453E24"/>
    <w:rsid w:val="004542C2"/>
    <w:rsid w:val="00457456"/>
    <w:rsid w:val="004577FE"/>
    <w:rsid w:val="00457B9C"/>
    <w:rsid w:val="0046086B"/>
    <w:rsid w:val="0046164A"/>
    <w:rsid w:val="004628D2"/>
    <w:rsid w:val="00462DCD"/>
    <w:rsid w:val="004648AD"/>
    <w:rsid w:val="004703A9"/>
    <w:rsid w:val="00471C0C"/>
    <w:rsid w:val="00472218"/>
    <w:rsid w:val="004723EB"/>
    <w:rsid w:val="00472800"/>
    <w:rsid w:val="00472AA4"/>
    <w:rsid w:val="0047576D"/>
    <w:rsid w:val="004760DE"/>
    <w:rsid w:val="004763D7"/>
    <w:rsid w:val="00484075"/>
    <w:rsid w:val="004913EE"/>
    <w:rsid w:val="004916BB"/>
    <w:rsid w:val="00494C03"/>
    <w:rsid w:val="00495188"/>
    <w:rsid w:val="004A004E"/>
    <w:rsid w:val="004A15DF"/>
    <w:rsid w:val="004A1D46"/>
    <w:rsid w:val="004A24CF"/>
    <w:rsid w:val="004A25A3"/>
    <w:rsid w:val="004A465D"/>
    <w:rsid w:val="004A5EA8"/>
    <w:rsid w:val="004A7191"/>
    <w:rsid w:val="004A7B97"/>
    <w:rsid w:val="004B0805"/>
    <w:rsid w:val="004B2BB2"/>
    <w:rsid w:val="004B7881"/>
    <w:rsid w:val="004C3A08"/>
    <w:rsid w:val="004C3D1D"/>
    <w:rsid w:val="004C3D84"/>
    <w:rsid w:val="004C7913"/>
    <w:rsid w:val="004D465F"/>
    <w:rsid w:val="004D5792"/>
    <w:rsid w:val="004D7422"/>
    <w:rsid w:val="004E0138"/>
    <w:rsid w:val="004E2757"/>
    <w:rsid w:val="004E2B84"/>
    <w:rsid w:val="004E335F"/>
    <w:rsid w:val="004E4612"/>
    <w:rsid w:val="004E4959"/>
    <w:rsid w:val="004E4DD6"/>
    <w:rsid w:val="004E588E"/>
    <w:rsid w:val="004F1AF5"/>
    <w:rsid w:val="004F22EE"/>
    <w:rsid w:val="004F3E6C"/>
    <w:rsid w:val="004F5E36"/>
    <w:rsid w:val="00500538"/>
    <w:rsid w:val="0050077B"/>
    <w:rsid w:val="00501AC0"/>
    <w:rsid w:val="00501CE1"/>
    <w:rsid w:val="005026DF"/>
    <w:rsid w:val="00502D62"/>
    <w:rsid w:val="0050495E"/>
    <w:rsid w:val="00505A29"/>
    <w:rsid w:val="00506AB9"/>
    <w:rsid w:val="00507B47"/>
    <w:rsid w:val="00507BEF"/>
    <w:rsid w:val="00507CC9"/>
    <w:rsid w:val="005119A5"/>
    <w:rsid w:val="00512DE0"/>
    <w:rsid w:val="005152C9"/>
    <w:rsid w:val="0051557B"/>
    <w:rsid w:val="005257EC"/>
    <w:rsid w:val="005278B7"/>
    <w:rsid w:val="00531BA4"/>
    <w:rsid w:val="00532016"/>
    <w:rsid w:val="005346C8"/>
    <w:rsid w:val="00534A99"/>
    <w:rsid w:val="00537625"/>
    <w:rsid w:val="005417CB"/>
    <w:rsid w:val="00543A6E"/>
    <w:rsid w:val="00543E7D"/>
    <w:rsid w:val="00547A68"/>
    <w:rsid w:val="00547D81"/>
    <w:rsid w:val="00552523"/>
    <w:rsid w:val="005531C9"/>
    <w:rsid w:val="00554879"/>
    <w:rsid w:val="005601A1"/>
    <w:rsid w:val="0056081C"/>
    <w:rsid w:val="005610AB"/>
    <w:rsid w:val="00564136"/>
    <w:rsid w:val="00570C43"/>
    <w:rsid w:val="00575510"/>
    <w:rsid w:val="00577DA0"/>
    <w:rsid w:val="00582204"/>
    <w:rsid w:val="00582345"/>
    <w:rsid w:val="00583C95"/>
    <w:rsid w:val="005849C0"/>
    <w:rsid w:val="00586410"/>
    <w:rsid w:val="00592274"/>
    <w:rsid w:val="00593CAE"/>
    <w:rsid w:val="00596BFC"/>
    <w:rsid w:val="00597D39"/>
    <w:rsid w:val="005A04E3"/>
    <w:rsid w:val="005A20A0"/>
    <w:rsid w:val="005A21C4"/>
    <w:rsid w:val="005A38D8"/>
    <w:rsid w:val="005A4099"/>
    <w:rsid w:val="005A781D"/>
    <w:rsid w:val="005B011F"/>
    <w:rsid w:val="005B2110"/>
    <w:rsid w:val="005B2409"/>
    <w:rsid w:val="005B350B"/>
    <w:rsid w:val="005B60C3"/>
    <w:rsid w:val="005B61E6"/>
    <w:rsid w:val="005C04F1"/>
    <w:rsid w:val="005C07DB"/>
    <w:rsid w:val="005C3D0F"/>
    <w:rsid w:val="005C77E1"/>
    <w:rsid w:val="005C7FF4"/>
    <w:rsid w:val="005D136B"/>
    <w:rsid w:val="005D6649"/>
    <w:rsid w:val="005D668A"/>
    <w:rsid w:val="005D6A2F"/>
    <w:rsid w:val="005D7E35"/>
    <w:rsid w:val="005E0592"/>
    <w:rsid w:val="005E0D9B"/>
    <w:rsid w:val="005E1A82"/>
    <w:rsid w:val="005E4D30"/>
    <w:rsid w:val="005E5144"/>
    <w:rsid w:val="005E794C"/>
    <w:rsid w:val="005F0A28"/>
    <w:rsid w:val="005F0E5E"/>
    <w:rsid w:val="005F2F09"/>
    <w:rsid w:val="005F4B55"/>
    <w:rsid w:val="005F5C89"/>
    <w:rsid w:val="00600535"/>
    <w:rsid w:val="0060584B"/>
    <w:rsid w:val="00607A5A"/>
    <w:rsid w:val="00610CD6"/>
    <w:rsid w:val="006122BC"/>
    <w:rsid w:val="006162DE"/>
    <w:rsid w:val="0062097E"/>
    <w:rsid w:val="00620DEE"/>
    <w:rsid w:val="00621071"/>
    <w:rsid w:val="00621F92"/>
    <w:rsid w:val="0062280A"/>
    <w:rsid w:val="006231E1"/>
    <w:rsid w:val="00623329"/>
    <w:rsid w:val="00625639"/>
    <w:rsid w:val="00625E16"/>
    <w:rsid w:val="00625FA9"/>
    <w:rsid w:val="00630328"/>
    <w:rsid w:val="00631B33"/>
    <w:rsid w:val="0064184D"/>
    <w:rsid w:val="006422CC"/>
    <w:rsid w:val="00644BE8"/>
    <w:rsid w:val="006454D0"/>
    <w:rsid w:val="00647C43"/>
    <w:rsid w:val="00647CFC"/>
    <w:rsid w:val="00650ABD"/>
    <w:rsid w:val="006510E7"/>
    <w:rsid w:val="006511B3"/>
    <w:rsid w:val="00651D18"/>
    <w:rsid w:val="00652137"/>
    <w:rsid w:val="0065225A"/>
    <w:rsid w:val="00653CED"/>
    <w:rsid w:val="00660846"/>
    <w:rsid w:val="00660CEF"/>
    <w:rsid w:val="00660E3E"/>
    <w:rsid w:val="006615B3"/>
    <w:rsid w:val="00662E74"/>
    <w:rsid w:val="00673256"/>
    <w:rsid w:val="00673916"/>
    <w:rsid w:val="006752DF"/>
    <w:rsid w:val="0067648C"/>
    <w:rsid w:val="006805A0"/>
    <w:rsid w:val="00680C23"/>
    <w:rsid w:val="00683E23"/>
    <w:rsid w:val="00685BE5"/>
    <w:rsid w:val="00693766"/>
    <w:rsid w:val="006938F9"/>
    <w:rsid w:val="006948F6"/>
    <w:rsid w:val="00696495"/>
    <w:rsid w:val="0069743C"/>
    <w:rsid w:val="006A26CC"/>
    <w:rsid w:val="006A2F14"/>
    <w:rsid w:val="006A3281"/>
    <w:rsid w:val="006A620B"/>
    <w:rsid w:val="006A6876"/>
    <w:rsid w:val="006A6BC0"/>
    <w:rsid w:val="006A6DE5"/>
    <w:rsid w:val="006B0648"/>
    <w:rsid w:val="006B121F"/>
    <w:rsid w:val="006B34C2"/>
    <w:rsid w:val="006B46F2"/>
    <w:rsid w:val="006B4888"/>
    <w:rsid w:val="006B762B"/>
    <w:rsid w:val="006C1076"/>
    <w:rsid w:val="006C2E45"/>
    <w:rsid w:val="006C3390"/>
    <w:rsid w:val="006C359C"/>
    <w:rsid w:val="006C376B"/>
    <w:rsid w:val="006C3DF2"/>
    <w:rsid w:val="006C5579"/>
    <w:rsid w:val="006C5C73"/>
    <w:rsid w:val="006D601E"/>
    <w:rsid w:val="006D6E8B"/>
    <w:rsid w:val="006D7209"/>
    <w:rsid w:val="006D7D7A"/>
    <w:rsid w:val="006E0AB5"/>
    <w:rsid w:val="006E510B"/>
    <w:rsid w:val="006E6B57"/>
    <w:rsid w:val="006E737D"/>
    <w:rsid w:val="006E79DB"/>
    <w:rsid w:val="006E7ABE"/>
    <w:rsid w:val="006F3F2B"/>
    <w:rsid w:val="00701374"/>
    <w:rsid w:val="00703B2B"/>
    <w:rsid w:val="00703CD8"/>
    <w:rsid w:val="00707DD1"/>
    <w:rsid w:val="007102F5"/>
    <w:rsid w:val="0071161D"/>
    <w:rsid w:val="007122BA"/>
    <w:rsid w:val="00713973"/>
    <w:rsid w:val="00713C9F"/>
    <w:rsid w:val="0071492C"/>
    <w:rsid w:val="00720A24"/>
    <w:rsid w:val="007273AD"/>
    <w:rsid w:val="00732386"/>
    <w:rsid w:val="0073514D"/>
    <w:rsid w:val="00735296"/>
    <w:rsid w:val="00736D3B"/>
    <w:rsid w:val="00737B0D"/>
    <w:rsid w:val="00741D0A"/>
    <w:rsid w:val="007447F3"/>
    <w:rsid w:val="00746148"/>
    <w:rsid w:val="007516C0"/>
    <w:rsid w:val="0075499F"/>
    <w:rsid w:val="007608A2"/>
    <w:rsid w:val="00763C88"/>
    <w:rsid w:val="007661C8"/>
    <w:rsid w:val="0077098D"/>
    <w:rsid w:val="00773090"/>
    <w:rsid w:val="007734A6"/>
    <w:rsid w:val="007754CA"/>
    <w:rsid w:val="00784231"/>
    <w:rsid w:val="007843ED"/>
    <w:rsid w:val="00785BF9"/>
    <w:rsid w:val="00786A3F"/>
    <w:rsid w:val="0079020A"/>
    <w:rsid w:val="007931FA"/>
    <w:rsid w:val="00793A62"/>
    <w:rsid w:val="00796263"/>
    <w:rsid w:val="0079637D"/>
    <w:rsid w:val="007966B6"/>
    <w:rsid w:val="007977AC"/>
    <w:rsid w:val="007A32BD"/>
    <w:rsid w:val="007A4861"/>
    <w:rsid w:val="007A4F39"/>
    <w:rsid w:val="007A6A9E"/>
    <w:rsid w:val="007A7BBA"/>
    <w:rsid w:val="007A7F3A"/>
    <w:rsid w:val="007B061F"/>
    <w:rsid w:val="007B0C50"/>
    <w:rsid w:val="007B3124"/>
    <w:rsid w:val="007B3C73"/>
    <w:rsid w:val="007B48F9"/>
    <w:rsid w:val="007C1A43"/>
    <w:rsid w:val="007C26AF"/>
    <w:rsid w:val="007C3235"/>
    <w:rsid w:val="007C3F37"/>
    <w:rsid w:val="007C4452"/>
    <w:rsid w:val="007C67EA"/>
    <w:rsid w:val="007D03F8"/>
    <w:rsid w:val="007D06C3"/>
    <w:rsid w:val="007D0951"/>
    <w:rsid w:val="007D479C"/>
    <w:rsid w:val="007D610D"/>
    <w:rsid w:val="007D6BBE"/>
    <w:rsid w:val="007E09E9"/>
    <w:rsid w:val="007E0E4A"/>
    <w:rsid w:val="007E5334"/>
    <w:rsid w:val="007E619C"/>
    <w:rsid w:val="007E721C"/>
    <w:rsid w:val="007F385B"/>
    <w:rsid w:val="007F3A2C"/>
    <w:rsid w:val="007F55FB"/>
    <w:rsid w:val="0080013E"/>
    <w:rsid w:val="00801759"/>
    <w:rsid w:val="00801E2A"/>
    <w:rsid w:val="00806055"/>
    <w:rsid w:val="0081146B"/>
    <w:rsid w:val="00813288"/>
    <w:rsid w:val="00813A90"/>
    <w:rsid w:val="008168FC"/>
    <w:rsid w:val="008173DB"/>
    <w:rsid w:val="0082417C"/>
    <w:rsid w:val="008269C3"/>
    <w:rsid w:val="00830996"/>
    <w:rsid w:val="0083339F"/>
    <w:rsid w:val="00833F46"/>
    <w:rsid w:val="008345F1"/>
    <w:rsid w:val="008353E7"/>
    <w:rsid w:val="00840492"/>
    <w:rsid w:val="00840F8D"/>
    <w:rsid w:val="008411F9"/>
    <w:rsid w:val="00841BCD"/>
    <w:rsid w:val="00845089"/>
    <w:rsid w:val="00846DCF"/>
    <w:rsid w:val="0085156D"/>
    <w:rsid w:val="008517C8"/>
    <w:rsid w:val="00851C0F"/>
    <w:rsid w:val="008558AC"/>
    <w:rsid w:val="00855C01"/>
    <w:rsid w:val="00856A61"/>
    <w:rsid w:val="00857098"/>
    <w:rsid w:val="00865B07"/>
    <w:rsid w:val="008667EA"/>
    <w:rsid w:val="008722FA"/>
    <w:rsid w:val="00873776"/>
    <w:rsid w:val="00875AF6"/>
    <w:rsid w:val="0087637F"/>
    <w:rsid w:val="0087733F"/>
    <w:rsid w:val="008832AA"/>
    <w:rsid w:val="008856B7"/>
    <w:rsid w:val="00887E46"/>
    <w:rsid w:val="00892767"/>
    <w:rsid w:val="00892AD5"/>
    <w:rsid w:val="008931EE"/>
    <w:rsid w:val="008A0764"/>
    <w:rsid w:val="008A1512"/>
    <w:rsid w:val="008A166E"/>
    <w:rsid w:val="008A4763"/>
    <w:rsid w:val="008A4BFB"/>
    <w:rsid w:val="008A570C"/>
    <w:rsid w:val="008A69B6"/>
    <w:rsid w:val="008A71D2"/>
    <w:rsid w:val="008B065A"/>
    <w:rsid w:val="008B1B6C"/>
    <w:rsid w:val="008B26F3"/>
    <w:rsid w:val="008B2A01"/>
    <w:rsid w:val="008B60A5"/>
    <w:rsid w:val="008C25E5"/>
    <w:rsid w:val="008C2BDC"/>
    <w:rsid w:val="008C42BF"/>
    <w:rsid w:val="008C46BA"/>
    <w:rsid w:val="008C6536"/>
    <w:rsid w:val="008D02C2"/>
    <w:rsid w:val="008D304B"/>
    <w:rsid w:val="008D32B9"/>
    <w:rsid w:val="008D433B"/>
    <w:rsid w:val="008D4A16"/>
    <w:rsid w:val="008E08BF"/>
    <w:rsid w:val="008E0A02"/>
    <w:rsid w:val="008E2F2D"/>
    <w:rsid w:val="008E5401"/>
    <w:rsid w:val="008E566E"/>
    <w:rsid w:val="008E6F57"/>
    <w:rsid w:val="008E72A9"/>
    <w:rsid w:val="008F249C"/>
    <w:rsid w:val="008F2615"/>
    <w:rsid w:val="008F2D23"/>
    <w:rsid w:val="0090161A"/>
    <w:rsid w:val="00901EB6"/>
    <w:rsid w:val="00902DAD"/>
    <w:rsid w:val="00903706"/>
    <w:rsid w:val="00903ECB"/>
    <w:rsid w:val="009041F8"/>
    <w:rsid w:val="00904A63"/>
    <w:rsid w:val="00904C62"/>
    <w:rsid w:val="00907C61"/>
    <w:rsid w:val="00907FBD"/>
    <w:rsid w:val="009101BB"/>
    <w:rsid w:val="00912861"/>
    <w:rsid w:val="00912F6A"/>
    <w:rsid w:val="00914C85"/>
    <w:rsid w:val="00915729"/>
    <w:rsid w:val="00915E4F"/>
    <w:rsid w:val="009208F9"/>
    <w:rsid w:val="00922128"/>
    <w:rsid w:val="00922BA8"/>
    <w:rsid w:val="00924DAC"/>
    <w:rsid w:val="00925529"/>
    <w:rsid w:val="00925F72"/>
    <w:rsid w:val="00927058"/>
    <w:rsid w:val="00931658"/>
    <w:rsid w:val="00931734"/>
    <w:rsid w:val="00931FDB"/>
    <w:rsid w:val="00932B34"/>
    <w:rsid w:val="00932D23"/>
    <w:rsid w:val="00933215"/>
    <w:rsid w:val="00933623"/>
    <w:rsid w:val="00937B9A"/>
    <w:rsid w:val="00940DAE"/>
    <w:rsid w:val="00940E07"/>
    <w:rsid w:val="00941FCD"/>
    <w:rsid w:val="00942750"/>
    <w:rsid w:val="009450CE"/>
    <w:rsid w:val="009453B9"/>
    <w:rsid w:val="009459BB"/>
    <w:rsid w:val="00946F38"/>
    <w:rsid w:val="00947179"/>
    <w:rsid w:val="0095164B"/>
    <w:rsid w:val="00954090"/>
    <w:rsid w:val="009573E7"/>
    <w:rsid w:val="009577AE"/>
    <w:rsid w:val="009612AD"/>
    <w:rsid w:val="00963E05"/>
    <w:rsid w:val="00964A45"/>
    <w:rsid w:val="00967843"/>
    <w:rsid w:val="009679B9"/>
    <w:rsid w:val="00967D54"/>
    <w:rsid w:val="00971028"/>
    <w:rsid w:val="00972D0F"/>
    <w:rsid w:val="0097502B"/>
    <w:rsid w:val="009775A5"/>
    <w:rsid w:val="0097787B"/>
    <w:rsid w:val="00981BB2"/>
    <w:rsid w:val="00982E74"/>
    <w:rsid w:val="00983859"/>
    <w:rsid w:val="00991BD2"/>
    <w:rsid w:val="00991E94"/>
    <w:rsid w:val="0099251D"/>
    <w:rsid w:val="00992D52"/>
    <w:rsid w:val="00993B84"/>
    <w:rsid w:val="00994C6A"/>
    <w:rsid w:val="00996483"/>
    <w:rsid w:val="00996F5A"/>
    <w:rsid w:val="009A0D81"/>
    <w:rsid w:val="009A2547"/>
    <w:rsid w:val="009A5B4F"/>
    <w:rsid w:val="009B041A"/>
    <w:rsid w:val="009B350F"/>
    <w:rsid w:val="009C37C3"/>
    <w:rsid w:val="009C3AE5"/>
    <w:rsid w:val="009C605B"/>
    <w:rsid w:val="009C6067"/>
    <w:rsid w:val="009C7C86"/>
    <w:rsid w:val="009D20F9"/>
    <w:rsid w:val="009D2FF7"/>
    <w:rsid w:val="009D5224"/>
    <w:rsid w:val="009D7FBF"/>
    <w:rsid w:val="009E08B8"/>
    <w:rsid w:val="009E2EB3"/>
    <w:rsid w:val="009E478C"/>
    <w:rsid w:val="009E7884"/>
    <w:rsid w:val="009E788A"/>
    <w:rsid w:val="009E7E09"/>
    <w:rsid w:val="009F0E08"/>
    <w:rsid w:val="009F1B56"/>
    <w:rsid w:val="009F3423"/>
    <w:rsid w:val="009F4608"/>
    <w:rsid w:val="00A038D3"/>
    <w:rsid w:val="00A049DC"/>
    <w:rsid w:val="00A079AE"/>
    <w:rsid w:val="00A10E31"/>
    <w:rsid w:val="00A10F4E"/>
    <w:rsid w:val="00A158D9"/>
    <w:rsid w:val="00A16DB0"/>
    <w:rsid w:val="00A1763D"/>
    <w:rsid w:val="00A1796D"/>
    <w:rsid w:val="00A17CEC"/>
    <w:rsid w:val="00A241F5"/>
    <w:rsid w:val="00A249BC"/>
    <w:rsid w:val="00A27EF0"/>
    <w:rsid w:val="00A301F9"/>
    <w:rsid w:val="00A3338A"/>
    <w:rsid w:val="00A34AD9"/>
    <w:rsid w:val="00A35F2D"/>
    <w:rsid w:val="00A42361"/>
    <w:rsid w:val="00A43938"/>
    <w:rsid w:val="00A468D9"/>
    <w:rsid w:val="00A47DD1"/>
    <w:rsid w:val="00A50B20"/>
    <w:rsid w:val="00A51390"/>
    <w:rsid w:val="00A6011D"/>
    <w:rsid w:val="00A60D13"/>
    <w:rsid w:val="00A623E8"/>
    <w:rsid w:val="00A63581"/>
    <w:rsid w:val="00A677D5"/>
    <w:rsid w:val="00A7223D"/>
    <w:rsid w:val="00A72745"/>
    <w:rsid w:val="00A7576A"/>
    <w:rsid w:val="00A75C97"/>
    <w:rsid w:val="00A75FEA"/>
    <w:rsid w:val="00A761CB"/>
    <w:rsid w:val="00A76EFC"/>
    <w:rsid w:val="00A7770A"/>
    <w:rsid w:val="00A810B7"/>
    <w:rsid w:val="00A8339F"/>
    <w:rsid w:val="00A847BE"/>
    <w:rsid w:val="00A87D50"/>
    <w:rsid w:val="00A91010"/>
    <w:rsid w:val="00A9172C"/>
    <w:rsid w:val="00A925C1"/>
    <w:rsid w:val="00A9443B"/>
    <w:rsid w:val="00A945CB"/>
    <w:rsid w:val="00A962C6"/>
    <w:rsid w:val="00A97F29"/>
    <w:rsid w:val="00AA08CF"/>
    <w:rsid w:val="00AA1234"/>
    <w:rsid w:val="00AA211B"/>
    <w:rsid w:val="00AA4B7B"/>
    <w:rsid w:val="00AA5321"/>
    <w:rsid w:val="00AA702E"/>
    <w:rsid w:val="00AA7D26"/>
    <w:rsid w:val="00AB0964"/>
    <w:rsid w:val="00AB4A46"/>
    <w:rsid w:val="00AB5011"/>
    <w:rsid w:val="00AB55A0"/>
    <w:rsid w:val="00AB5E37"/>
    <w:rsid w:val="00AB7981"/>
    <w:rsid w:val="00AC0788"/>
    <w:rsid w:val="00AC27AF"/>
    <w:rsid w:val="00AC7368"/>
    <w:rsid w:val="00AD16B9"/>
    <w:rsid w:val="00AD5242"/>
    <w:rsid w:val="00AD7E22"/>
    <w:rsid w:val="00AE0233"/>
    <w:rsid w:val="00AE377D"/>
    <w:rsid w:val="00AE6FC0"/>
    <w:rsid w:val="00AF0EBA"/>
    <w:rsid w:val="00AF2463"/>
    <w:rsid w:val="00AF417D"/>
    <w:rsid w:val="00AF69D8"/>
    <w:rsid w:val="00AF72F7"/>
    <w:rsid w:val="00B02C6E"/>
    <w:rsid w:val="00B02C8A"/>
    <w:rsid w:val="00B04FF6"/>
    <w:rsid w:val="00B11130"/>
    <w:rsid w:val="00B13F84"/>
    <w:rsid w:val="00B15509"/>
    <w:rsid w:val="00B16D98"/>
    <w:rsid w:val="00B17FBD"/>
    <w:rsid w:val="00B200E9"/>
    <w:rsid w:val="00B209F1"/>
    <w:rsid w:val="00B27E06"/>
    <w:rsid w:val="00B315A6"/>
    <w:rsid w:val="00B31813"/>
    <w:rsid w:val="00B33365"/>
    <w:rsid w:val="00B34355"/>
    <w:rsid w:val="00B377B2"/>
    <w:rsid w:val="00B37F8C"/>
    <w:rsid w:val="00B420E3"/>
    <w:rsid w:val="00B46E93"/>
    <w:rsid w:val="00B5428B"/>
    <w:rsid w:val="00B543D8"/>
    <w:rsid w:val="00B55232"/>
    <w:rsid w:val="00B57B36"/>
    <w:rsid w:val="00B57E6F"/>
    <w:rsid w:val="00B6053B"/>
    <w:rsid w:val="00B61743"/>
    <w:rsid w:val="00B65CFB"/>
    <w:rsid w:val="00B6635E"/>
    <w:rsid w:val="00B66AB5"/>
    <w:rsid w:val="00B72001"/>
    <w:rsid w:val="00B75938"/>
    <w:rsid w:val="00B76D9E"/>
    <w:rsid w:val="00B773DF"/>
    <w:rsid w:val="00B7794C"/>
    <w:rsid w:val="00B81559"/>
    <w:rsid w:val="00B822CE"/>
    <w:rsid w:val="00B83E0D"/>
    <w:rsid w:val="00B857ED"/>
    <w:rsid w:val="00B8686D"/>
    <w:rsid w:val="00B93F69"/>
    <w:rsid w:val="00B974CB"/>
    <w:rsid w:val="00B97694"/>
    <w:rsid w:val="00BA1BFB"/>
    <w:rsid w:val="00BA1C63"/>
    <w:rsid w:val="00BA29B9"/>
    <w:rsid w:val="00BA301B"/>
    <w:rsid w:val="00BA4F05"/>
    <w:rsid w:val="00BA4F1A"/>
    <w:rsid w:val="00BA4F38"/>
    <w:rsid w:val="00BA5DD5"/>
    <w:rsid w:val="00BB100E"/>
    <w:rsid w:val="00BB1DDC"/>
    <w:rsid w:val="00BB5596"/>
    <w:rsid w:val="00BB633C"/>
    <w:rsid w:val="00BC1C46"/>
    <w:rsid w:val="00BC30C9"/>
    <w:rsid w:val="00BC5464"/>
    <w:rsid w:val="00BC5FCB"/>
    <w:rsid w:val="00BC6E49"/>
    <w:rsid w:val="00BD0000"/>
    <w:rsid w:val="00BD077D"/>
    <w:rsid w:val="00BD0F6F"/>
    <w:rsid w:val="00BD3DAB"/>
    <w:rsid w:val="00BE10BF"/>
    <w:rsid w:val="00BE287E"/>
    <w:rsid w:val="00BE3E58"/>
    <w:rsid w:val="00BE44E0"/>
    <w:rsid w:val="00BE45F0"/>
    <w:rsid w:val="00BE77E9"/>
    <w:rsid w:val="00BF13CE"/>
    <w:rsid w:val="00BF1BD1"/>
    <w:rsid w:val="00BF43EB"/>
    <w:rsid w:val="00BF47D8"/>
    <w:rsid w:val="00BF5950"/>
    <w:rsid w:val="00BF64DA"/>
    <w:rsid w:val="00BF7574"/>
    <w:rsid w:val="00C003F1"/>
    <w:rsid w:val="00C00BF7"/>
    <w:rsid w:val="00C00F6D"/>
    <w:rsid w:val="00C01616"/>
    <w:rsid w:val="00C0162B"/>
    <w:rsid w:val="00C01A7C"/>
    <w:rsid w:val="00C04A26"/>
    <w:rsid w:val="00C068ED"/>
    <w:rsid w:val="00C074CC"/>
    <w:rsid w:val="00C10A1D"/>
    <w:rsid w:val="00C13990"/>
    <w:rsid w:val="00C13A88"/>
    <w:rsid w:val="00C1489F"/>
    <w:rsid w:val="00C21420"/>
    <w:rsid w:val="00C22925"/>
    <w:rsid w:val="00C22E0C"/>
    <w:rsid w:val="00C24AA6"/>
    <w:rsid w:val="00C27A3A"/>
    <w:rsid w:val="00C27BA7"/>
    <w:rsid w:val="00C32C7D"/>
    <w:rsid w:val="00C345B1"/>
    <w:rsid w:val="00C34FD7"/>
    <w:rsid w:val="00C40142"/>
    <w:rsid w:val="00C417EA"/>
    <w:rsid w:val="00C42011"/>
    <w:rsid w:val="00C424C2"/>
    <w:rsid w:val="00C42C05"/>
    <w:rsid w:val="00C46766"/>
    <w:rsid w:val="00C4720A"/>
    <w:rsid w:val="00C47486"/>
    <w:rsid w:val="00C52C3C"/>
    <w:rsid w:val="00C54088"/>
    <w:rsid w:val="00C546ED"/>
    <w:rsid w:val="00C548EC"/>
    <w:rsid w:val="00C57182"/>
    <w:rsid w:val="00C57863"/>
    <w:rsid w:val="00C60864"/>
    <w:rsid w:val="00C62FE3"/>
    <w:rsid w:val="00C640AF"/>
    <w:rsid w:val="00C655FD"/>
    <w:rsid w:val="00C66B54"/>
    <w:rsid w:val="00C72C20"/>
    <w:rsid w:val="00C75407"/>
    <w:rsid w:val="00C76DB9"/>
    <w:rsid w:val="00C8111B"/>
    <w:rsid w:val="00C81E7D"/>
    <w:rsid w:val="00C81FCA"/>
    <w:rsid w:val="00C82E2A"/>
    <w:rsid w:val="00C841C6"/>
    <w:rsid w:val="00C85AB5"/>
    <w:rsid w:val="00C870A8"/>
    <w:rsid w:val="00C907F1"/>
    <w:rsid w:val="00C91139"/>
    <w:rsid w:val="00C915F5"/>
    <w:rsid w:val="00C94434"/>
    <w:rsid w:val="00C9599D"/>
    <w:rsid w:val="00CA0D75"/>
    <w:rsid w:val="00CA1C95"/>
    <w:rsid w:val="00CA58CC"/>
    <w:rsid w:val="00CA5A9C"/>
    <w:rsid w:val="00CA6745"/>
    <w:rsid w:val="00CC0294"/>
    <w:rsid w:val="00CC3051"/>
    <w:rsid w:val="00CC4C20"/>
    <w:rsid w:val="00CC7A83"/>
    <w:rsid w:val="00CC7B11"/>
    <w:rsid w:val="00CC7CB8"/>
    <w:rsid w:val="00CD071A"/>
    <w:rsid w:val="00CD0CD4"/>
    <w:rsid w:val="00CD2901"/>
    <w:rsid w:val="00CD3517"/>
    <w:rsid w:val="00CD4C54"/>
    <w:rsid w:val="00CD5FE2"/>
    <w:rsid w:val="00CD6552"/>
    <w:rsid w:val="00CE2600"/>
    <w:rsid w:val="00CE3F7E"/>
    <w:rsid w:val="00CE7C68"/>
    <w:rsid w:val="00CF1C0E"/>
    <w:rsid w:val="00CF61F5"/>
    <w:rsid w:val="00CF70BA"/>
    <w:rsid w:val="00D02B4C"/>
    <w:rsid w:val="00D040C4"/>
    <w:rsid w:val="00D04902"/>
    <w:rsid w:val="00D10413"/>
    <w:rsid w:val="00D120D6"/>
    <w:rsid w:val="00D15548"/>
    <w:rsid w:val="00D20AD1"/>
    <w:rsid w:val="00D21A92"/>
    <w:rsid w:val="00D24811"/>
    <w:rsid w:val="00D2582C"/>
    <w:rsid w:val="00D26314"/>
    <w:rsid w:val="00D43008"/>
    <w:rsid w:val="00D439B3"/>
    <w:rsid w:val="00D46B7E"/>
    <w:rsid w:val="00D46FFC"/>
    <w:rsid w:val="00D47A0C"/>
    <w:rsid w:val="00D50307"/>
    <w:rsid w:val="00D52DFD"/>
    <w:rsid w:val="00D533A2"/>
    <w:rsid w:val="00D57C84"/>
    <w:rsid w:val="00D6057D"/>
    <w:rsid w:val="00D66405"/>
    <w:rsid w:val="00D67A9F"/>
    <w:rsid w:val="00D71640"/>
    <w:rsid w:val="00D73FD9"/>
    <w:rsid w:val="00D742F3"/>
    <w:rsid w:val="00D76E64"/>
    <w:rsid w:val="00D80BA1"/>
    <w:rsid w:val="00D8170F"/>
    <w:rsid w:val="00D836C5"/>
    <w:rsid w:val="00D84576"/>
    <w:rsid w:val="00D8529F"/>
    <w:rsid w:val="00D90BBB"/>
    <w:rsid w:val="00D91740"/>
    <w:rsid w:val="00D926C9"/>
    <w:rsid w:val="00D92A6B"/>
    <w:rsid w:val="00D936DD"/>
    <w:rsid w:val="00D95F25"/>
    <w:rsid w:val="00DA1399"/>
    <w:rsid w:val="00DA1CF8"/>
    <w:rsid w:val="00DA1D0C"/>
    <w:rsid w:val="00DA24C6"/>
    <w:rsid w:val="00DA2A63"/>
    <w:rsid w:val="00DA3E91"/>
    <w:rsid w:val="00DA4D7B"/>
    <w:rsid w:val="00DB03D5"/>
    <w:rsid w:val="00DB0782"/>
    <w:rsid w:val="00DB4839"/>
    <w:rsid w:val="00DB4F32"/>
    <w:rsid w:val="00DB5447"/>
    <w:rsid w:val="00DC2840"/>
    <w:rsid w:val="00DC2A9D"/>
    <w:rsid w:val="00DC3AD2"/>
    <w:rsid w:val="00DC73EE"/>
    <w:rsid w:val="00DD271C"/>
    <w:rsid w:val="00DE264A"/>
    <w:rsid w:val="00DE7968"/>
    <w:rsid w:val="00DF34BA"/>
    <w:rsid w:val="00DF5072"/>
    <w:rsid w:val="00DF58E8"/>
    <w:rsid w:val="00E01520"/>
    <w:rsid w:val="00E02D18"/>
    <w:rsid w:val="00E041E7"/>
    <w:rsid w:val="00E06459"/>
    <w:rsid w:val="00E130AA"/>
    <w:rsid w:val="00E16105"/>
    <w:rsid w:val="00E20969"/>
    <w:rsid w:val="00E23CA1"/>
    <w:rsid w:val="00E2573B"/>
    <w:rsid w:val="00E265F5"/>
    <w:rsid w:val="00E27A42"/>
    <w:rsid w:val="00E31AF0"/>
    <w:rsid w:val="00E322A4"/>
    <w:rsid w:val="00E3339E"/>
    <w:rsid w:val="00E33E45"/>
    <w:rsid w:val="00E3421A"/>
    <w:rsid w:val="00E344F9"/>
    <w:rsid w:val="00E34B77"/>
    <w:rsid w:val="00E40224"/>
    <w:rsid w:val="00E40639"/>
    <w:rsid w:val="00E409A8"/>
    <w:rsid w:val="00E40ED4"/>
    <w:rsid w:val="00E4272E"/>
    <w:rsid w:val="00E45430"/>
    <w:rsid w:val="00E4621E"/>
    <w:rsid w:val="00E46B60"/>
    <w:rsid w:val="00E472C4"/>
    <w:rsid w:val="00E50859"/>
    <w:rsid w:val="00E50C12"/>
    <w:rsid w:val="00E52911"/>
    <w:rsid w:val="00E560AB"/>
    <w:rsid w:val="00E623FA"/>
    <w:rsid w:val="00E63A53"/>
    <w:rsid w:val="00E63F0B"/>
    <w:rsid w:val="00E65B91"/>
    <w:rsid w:val="00E67F56"/>
    <w:rsid w:val="00E7209D"/>
    <w:rsid w:val="00E72EAD"/>
    <w:rsid w:val="00E752C5"/>
    <w:rsid w:val="00E76B7E"/>
    <w:rsid w:val="00E77223"/>
    <w:rsid w:val="00E8057A"/>
    <w:rsid w:val="00E806CC"/>
    <w:rsid w:val="00E81E34"/>
    <w:rsid w:val="00E835A7"/>
    <w:rsid w:val="00E8528B"/>
    <w:rsid w:val="00E85B94"/>
    <w:rsid w:val="00E91EEB"/>
    <w:rsid w:val="00E949C4"/>
    <w:rsid w:val="00E956F2"/>
    <w:rsid w:val="00E9662D"/>
    <w:rsid w:val="00E978D0"/>
    <w:rsid w:val="00E97CD3"/>
    <w:rsid w:val="00EA08F1"/>
    <w:rsid w:val="00EA129E"/>
    <w:rsid w:val="00EA2AC2"/>
    <w:rsid w:val="00EA4613"/>
    <w:rsid w:val="00EA7BA0"/>
    <w:rsid w:val="00EA7F91"/>
    <w:rsid w:val="00EB028F"/>
    <w:rsid w:val="00EB1523"/>
    <w:rsid w:val="00EB3272"/>
    <w:rsid w:val="00EB4697"/>
    <w:rsid w:val="00EB649D"/>
    <w:rsid w:val="00EB704B"/>
    <w:rsid w:val="00EB7108"/>
    <w:rsid w:val="00EC036F"/>
    <w:rsid w:val="00EC0E49"/>
    <w:rsid w:val="00EC101F"/>
    <w:rsid w:val="00EC1D9F"/>
    <w:rsid w:val="00EC5058"/>
    <w:rsid w:val="00EC7B90"/>
    <w:rsid w:val="00ED11EC"/>
    <w:rsid w:val="00ED1ED0"/>
    <w:rsid w:val="00ED21BF"/>
    <w:rsid w:val="00ED59F9"/>
    <w:rsid w:val="00EE0131"/>
    <w:rsid w:val="00EE17B0"/>
    <w:rsid w:val="00EE4CC5"/>
    <w:rsid w:val="00EE7EA0"/>
    <w:rsid w:val="00EF06D9"/>
    <w:rsid w:val="00EF4196"/>
    <w:rsid w:val="00EF5A4D"/>
    <w:rsid w:val="00EF5E3D"/>
    <w:rsid w:val="00EF7F0A"/>
    <w:rsid w:val="00F062B9"/>
    <w:rsid w:val="00F1094C"/>
    <w:rsid w:val="00F120AB"/>
    <w:rsid w:val="00F13AED"/>
    <w:rsid w:val="00F2025C"/>
    <w:rsid w:val="00F2163C"/>
    <w:rsid w:val="00F2556A"/>
    <w:rsid w:val="00F3049E"/>
    <w:rsid w:val="00F30C64"/>
    <w:rsid w:val="00F31CF4"/>
    <w:rsid w:val="00F31D4F"/>
    <w:rsid w:val="00F322A9"/>
    <w:rsid w:val="00F32BA2"/>
    <w:rsid w:val="00F32CDB"/>
    <w:rsid w:val="00F37781"/>
    <w:rsid w:val="00F40BC2"/>
    <w:rsid w:val="00F41EE4"/>
    <w:rsid w:val="00F43ED9"/>
    <w:rsid w:val="00F47DB1"/>
    <w:rsid w:val="00F565FE"/>
    <w:rsid w:val="00F60FE2"/>
    <w:rsid w:val="00F62C11"/>
    <w:rsid w:val="00F62E44"/>
    <w:rsid w:val="00F63A70"/>
    <w:rsid w:val="00F63D8C"/>
    <w:rsid w:val="00F64719"/>
    <w:rsid w:val="00F670F3"/>
    <w:rsid w:val="00F728BB"/>
    <w:rsid w:val="00F7534E"/>
    <w:rsid w:val="00F772E2"/>
    <w:rsid w:val="00F922FD"/>
    <w:rsid w:val="00F92500"/>
    <w:rsid w:val="00F93EDF"/>
    <w:rsid w:val="00F944CB"/>
    <w:rsid w:val="00FA1727"/>
    <w:rsid w:val="00FA1802"/>
    <w:rsid w:val="00FA21D0"/>
    <w:rsid w:val="00FA5F5F"/>
    <w:rsid w:val="00FA65CB"/>
    <w:rsid w:val="00FB1EB4"/>
    <w:rsid w:val="00FB53DE"/>
    <w:rsid w:val="00FB6938"/>
    <w:rsid w:val="00FB730C"/>
    <w:rsid w:val="00FB7CF0"/>
    <w:rsid w:val="00FC2695"/>
    <w:rsid w:val="00FC3E03"/>
    <w:rsid w:val="00FC3FC1"/>
    <w:rsid w:val="00FC7809"/>
    <w:rsid w:val="00FD0041"/>
    <w:rsid w:val="00FD1DB7"/>
    <w:rsid w:val="00FD23D1"/>
    <w:rsid w:val="00FD2718"/>
    <w:rsid w:val="00FD53AE"/>
    <w:rsid w:val="00FE0C31"/>
    <w:rsid w:val="00FE1B4A"/>
    <w:rsid w:val="00FE1DCE"/>
    <w:rsid w:val="00FE215B"/>
    <w:rsid w:val="00FE4E25"/>
    <w:rsid w:val="00FE7288"/>
    <w:rsid w:val="00FF081A"/>
    <w:rsid w:val="00FF3E70"/>
    <w:rsid w:val="00FF5B85"/>
    <w:rsid w:val="00FF62AB"/>
    <w:rsid w:val="00FF739A"/>
    <w:rsid w:val="017B02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CET Top_page"/>
    <w:rsid w:val="00620DEE"/>
    <w:pPr>
      <w:tabs>
        <w:tab w:val="right" w:pos="7100"/>
      </w:tabs>
      <w:spacing w:after="0" w:line="264" w:lineRule="auto"/>
      <w:jc w:val="both"/>
    </w:pPr>
    <w:rPr>
      <w:rFonts w:ascii="Arial" w:hAnsi="Arial" w:eastAsia="Times New Roman"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ETAuthors" w:customStyle="1">
    <w:name w:val="CET Authors"/>
    <w:basedOn w:val="CETBodytext"/>
    <w:link w:val="CETAuthorsCarattere"/>
    <w:qFormat/>
    <w:rsid w:val="000E414A"/>
    <w:pPr>
      <w:keepNext/>
      <w:suppressAutoHyphens/>
      <w:spacing w:after="120"/>
    </w:pPr>
    <w:rPr>
      <w:noProof/>
      <w:sz w:val="24"/>
      <w:lang w:val="en-GB"/>
    </w:rPr>
  </w:style>
  <w:style w:type="paragraph" w:styleId="CETTitle" w:customStyle="1">
    <w:name w:val="CET Title"/>
    <w:next w:val="CETAuthors"/>
    <w:link w:val="CETTitleCarattere"/>
    <w:rsid w:val="00FB730C"/>
    <w:pPr>
      <w:suppressAutoHyphens/>
      <w:spacing w:before="480" w:after="120" w:line="264" w:lineRule="auto"/>
      <w:jc w:val="center"/>
      <w:outlineLvl w:val="0"/>
    </w:pPr>
    <w:rPr>
      <w:rFonts w:ascii="Arial" w:hAnsi="Arial" w:eastAsia="Times New Roman" w:cs="Times New Roman"/>
      <w:sz w:val="32"/>
      <w:szCs w:val="20"/>
      <w:lang w:val="en-GB"/>
    </w:rPr>
  </w:style>
  <w:style w:type="character" w:styleId="CETAuthorsCarattere" w:customStyle="1">
    <w:name w:val="CET Authors Carattere"/>
    <w:link w:val="CETAuthors"/>
    <w:rsid w:val="009E788A"/>
    <w:rPr>
      <w:rFonts w:ascii="Arial" w:hAnsi="Arial" w:eastAsia="Times New Roman" w:cs="Times New Roman"/>
      <w:noProof/>
      <w:sz w:val="24"/>
      <w:szCs w:val="20"/>
      <w:lang w:val="en-GB"/>
    </w:rPr>
  </w:style>
  <w:style w:type="character" w:styleId="CETTitleCarattere" w:customStyle="1">
    <w:name w:val="CET Title Carattere"/>
    <w:link w:val="CETTitle"/>
    <w:rsid w:val="00FB730C"/>
    <w:rPr>
      <w:rFonts w:ascii="Arial" w:hAnsi="Arial" w:eastAsia="Times New Roman" w:cs="Times New Roman"/>
      <w:sz w:val="32"/>
      <w:szCs w:val="20"/>
      <w:lang w:val="en-GB"/>
    </w:rPr>
  </w:style>
  <w:style w:type="paragraph" w:styleId="CETHeading1" w:customStyle="1">
    <w:name w:val="CET Heading1"/>
    <w:next w:val="CETBodytext"/>
    <w:qFormat/>
    <w:rsid w:val="009E788A"/>
    <w:pPr>
      <w:keepNext/>
      <w:numPr>
        <w:ilvl w:val="1"/>
        <w:numId w:val="1"/>
      </w:numPr>
      <w:tabs>
        <w:tab w:val="num" w:pos="360"/>
      </w:tabs>
      <w:suppressAutoHyphens/>
      <w:spacing w:before="240" w:after="120" w:line="240" w:lineRule="auto"/>
    </w:pPr>
    <w:rPr>
      <w:rFonts w:ascii="Arial" w:hAnsi="Arial" w:eastAsia="Times New Roman" w:cs="Times New Roman"/>
      <w:b/>
      <w:sz w:val="20"/>
      <w:szCs w:val="20"/>
      <w:lang w:val="en-US"/>
    </w:rPr>
  </w:style>
  <w:style w:type="paragraph" w:styleId="CETBodytext" w:customStyle="1">
    <w:name w:val="CET Body text"/>
    <w:link w:val="CETBodytextCarattere"/>
    <w:qFormat/>
    <w:rsid w:val="00FB1EB4"/>
    <w:pPr>
      <w:tabs>
        <w:tab w:val="right" w:pos="7100"/>
      </w:tabs>
      <w:spacing w:after="0" w:line="264" w:lineRule="auto"/>
      <w:jc w:val="both"/>
    </w:pPr>
    <w:rPr>
      <w:rFonts w:ascii="Arial" w:hAnsi="Arial" w:eastAsia="Times New Roman" w:cs="Times New Roman"/>
      <w:sz w:val="18"/>
      <w:szCs w:val="20"/>
      <w:lang w:val="en-US"/>
    </w:rPr>
  </w:style>
  <w:style w:type="paragraph" w:styleId="CETheadingx" w:customStyle="1">
    <w:name w:val="CET headingx"/>
    <w:next w:val="CETBodytext"/>
    <w:link w:val="CETheadingxCarattere"/>
    <w:autoRedefine/>
    <w:qFormat/>
    <w:rsid w:val="00FA5F5F"/>
    <w:pPr>
      <w:keepNext/>
      <w:numPr>
        <w:ilvl w:val="2"/>
        <w:numId w:val="1"/>
      </w:numPr>
      <w:suppressAutoHyphens/>
      <w:spacing w:before="120" w:after="120" w:line="240" w:lineRule="auto"/>
    </w:pPr>
    <w:rPr>
      <w:rFonts w:ascii="Arial" w:hAnsi="Arial" w:eastAsia="Times New Roman" w:cs="Times New Roman"/>
      <w:b/>
      <w:sz w:val="18"/>
      <w:szCs w:val="20"/>
      <w:lang w:val="en-US"/>
    </w:rPr>
  </w:style>
  <w:style w:type="paragraph" w:styleId="CETAddress" w:customStyle="1">
    <w:name w:val="CET Address"/>
    <w:link w:val="CETAddressCarattere"/>
    <w:qFormat/>
    <w:rsid w:val="009E788A"/>
    <w:pPr>
      <w:keepNext/>
      <w:suppressAutoHyphens/>
      <w:spacing w:after="0"/>
      <w:contextualSpacing/>
    </w:pPr>
    <w:rPr>
      <w:rFonts w:ascii="Arial" w:hAnsi="Arial" w:eastAsia="Times New Roman"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hAnsi="Times New Roman" w:eastAsia="Times New Roman" w:cs="Times New Roman"/>
      <w:sz w:val="20"/>
      <w:szCs w:val="20"/>
      <w:lang w:eastAsia="it-IT"/>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character" w:styleId="CETBodytextCarattere" w:customStyle="1">
    <w:name w:val="CET Body text Carattere"/>
    <w:link w:val="CETBodytext"/>
    <w:rsid w:val="00FB1EB4"/>
    <w:rPr>
      <w:rFonts w:ascii="Arial" w:hAnsi="Arial" w:eastAsia="Times New Roman" w:cs="Times New Roman"/>
      <w:sz w:val="18"/>
      <w:szCs w:val="20"/>
      <w:lang w:val="en-US"/>
    </w:rPr>
  </w:style>
  <w:style w:type="paragraph" w:styleId="CETReference" w:customStyle="1">
    <w:name w:val="CET Reference"/>
    <w:qFormat/>
    <w:rsid w:val="00FC2695"/>
    <w:pPr>
      <w:spacing w:before="200" w:after="120" w:line="240" w:lineRule="auto"/>
    </w:pPr>
    <w:rPr>
      <w:rFonts w:ascii="Arial" w:hAnsi="Arial" w:eastAsia="Times New Roman" w:cs="Times New Roman"/>
      <w:b/>
      <w:sz w:val="18"/>
      <w:szCs w:val="20"/>
      <w:lang w:val="en-GB"/>
    </w:rPr>
  </w:style>
  <w:style w:type="paragraph" w:styleId="CETCaption" w:customStyle="1">
    <w:name w:val="CET Caption"/>
    <w:link w:val="CETCaptionCarattere"/>
    <w:qFormat/>
    <w:rsid w:val="00F7534E"/>
    <w:pPr>
      <w:spacing w:before="240" w:after="240" w:line="264" w:lineRule="auto"/>
      <w:jc w:val="both"/>
    </w:pPr>
    <w:rPr>
      <w:rFonts w:ascii="Arial" w:hAnsi="Arial" w:eastAsia="Times New Roman" w:cs="Times New Roman"/>
      <w:i/>
      <w:sz w:val="18"/>
      <w:szCs w:val="20"/>
      <w:lang w:val="en-GB"/>
    </w:rPr>
  </w:style>
  <w:style w:type="character" w:styleId="CETheadingxCarattere" w:customStyle="1">
    <w:name w:val="CET headingx Carattere"/>
    <w:link w:val="CETheadingx"/>
    <w:rsid w:val="00FA5F5F"/>
    <w:rPr>
      <w:rFonts w:ascii="Arial" w:hAnsi="Arial" w:eastAsia="Times New Roman" w:cs="Times New Roman"/>
      <w:b/>
      <w:sz w:val="18"/>
      <w:szCs w:val="20"/>
      <w:lang w:val="en-US"/>
    </w:rPr>
  </w:style>
  <w:style w:type="character" w:styleId="CETCaptionCarattere" w:customStyle="1">
    <w:name w:val="CET Caption Carattere"/>
    <w:link w:val="CETCaption"/>
    <w:rsid w:val="00F7534E"/>
    <w:rPr>
      <w:rFonts w:ascii="Arial" w:hAnsi="Arial" w:eastAsia="Times New Roman" w:cs="Times New Roman"/>
      <w:i/>
      <w:sz w:val="18"/>
      <w:szCs w:val="20"/>
      <w:lang w:val="en-GB"/>
    </w:rPr>
  </w:style>
  <w:style w:type="paragraph" w:styleId="CETBodytextItalic" w:customStyle="1">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styleId="BodyText2Char" w:customStyle="1">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styleId="BodyText3Char" w:customStyle="1">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styleId="BodyTextChar" w:customStyle="1">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styleId="DateChar" w:customStyle="1">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styleId="SignatureChar" w:customStyle="1">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styleId="E-mailSignatureChar" w:customStyle="1">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styleId="SalutationChar" w:customStyle="1">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styleId="ClosingChar" w:customStyle="1">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styleId="HTMLAddressChar" w:customStyle="1">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hAnsiTheme="majorHAnsi" w:eastAsiaTheme="majorEastAsia" w:cstheme="majorBidi"/>
    </w:rPr>
  </w:style>
  <w:style w:type="paragraph" w:styleId="MessageHeader">
    <w:name w:val="Message Header"/>
    <w:basedOn w:val="Normal"/>
    <w:link w:val="MessageHeaderChar"/>
    <w:uiPriority w:val="99"/>
    <w:semiHidden/>
    <w:unhideWhenUsed/>
    <w:rsid w:val="0003148D"/>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3148D"/>
    <w:rPr>
      <w:rFonts w:asciiTheme="majorHAnsi" w:hAnsiTheme="majorHAnsi" w:eastAsiaTheme="majorEastAsia"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styleId="NoteHeadingChar" w:customStyle="1">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styleId="HTMLPreformattedChar" w:customStyle="1">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styleId="BodyTextFirstIndentChar" w:customStyle="1">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styleId="BodyTextIndentChar" w:customStyle="1">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styleId="BodyTextIndent2Char" w:customStyle="1">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styleId="CommentTextChar" w:customStyle="1">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styleId="CommentSubjectChar" w:customStyle="1">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styleId="MacroTextChar" w:customStyle="1">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styleId="PlainTextChar" w:customStyle="1">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styleId="FootnoteTextChar" w:customStyle="1">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styleId="EndnoteTextChar" w:customStyle="1">
    <w:name w:val="Endnote Text Char"/>
    <w:basedOn w:val="DefaultParagraphFont"/>
    <w:link w:val="EndnoteText"/>
    <w:uiPriority w:val="99"/>
    <w:semiHidden/>
    <w:rsid w:val="0003148D"/>
    <w:rPr>
      <w:sz w:val="20"/>
      <w:szCs w:val="20"/>
    </w:rPr>
  </w:style>
  <w:style w:type="character" w:styleId="Heading1Char" w:customStyle="1">
    <w:name w:val="Heading 1 Char"/>
    <w:basedOn w:val="DefaultParagraphFont"/>
    <w:link w:val="Heading1"/>
    <w:uiPriority w:val="9"/>
    <w:rsid w:val="004F5E36"/>
    <w:rPr>
      <w:rFonts w:ascii="Arial" w:hAnsi="Arial" w:eastAsia="Times New Roman" w:cs="Times New Roman"/>
      <w:b/>
      <w:sz w:val="20"/>
      <w:szCs w:val="20"/>
      <w:lang w:val="en-GB"/>
    </w:rPr>
  </w:style>
  <w:style w:type="character" w:styleId="Heading2Char" w:customStyle="1">
    <w:name w:val="Heading 2 Char"/>
    <w:basedOn w:val="DefaultParagraphFont"/>
    <w:link w:val="Heading2"/>
    <w:uiPriority w:val="9"/>
    <w:semiHidden/>
    <w:rsid w:val="0003148D"/>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semiHidden/>
    <w:rsid w:val="0003148D"/>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semiHidden/>
    <w:rsid w:val="0003148D"/>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03148D"/>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03148D"/>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03148D"/>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03148D"/>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148D"/>
    <w:rPr>
      <w:rFonts w:asciiTheme="majorHAnsi" w:hAnsiTheme="majorHAnsi" w:eastAsiaTheme="majorEastAsia"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hAnsiTheme="majorHAnsi" w:eastAsiaTheme="majorEastAsia" w:cstheme="majorBidi"/>
      <w:b/>
      <w:bCs/>
    </w:rPr>
  </w:style>
  <w:style w:type="paragraph" w:styleId="TOAHeading">
    <w:name w:val="toa heading"/>
    <w:basedOn w:val="Normal"/>
    <w:next w:val="Normal"/>
    <w:uiPriority w:val="99"/>
    <w:semiHidden/>
    <w:unhideWhenUsed/>
    <w:rsid w:val="0003148D"/>
    <w:pPr>
      <w:spacing w:before="120"/>
    </w:pPr>
    <w:rPr>
      <w:rFonts w:asciiTheme="majorHAnsi" w:hAnsiTheme="majorHAnsi" w:eastAsiaTheme="majorEastAsia"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styleId="CETemail" w:customStyle="1">
    <w:name w:val="CET email"/>
    <w:next w:val="CETBodytext"/>
    <w:rsid w:val="009E788A"/>
    <w:pPr>
      <w:spacing w:after="240"/>
    </w:pPr>
    <w:rPr>
      <w:rFonts w:ascii="Arial" w:hAnsi="Arial" w:eastAsia="Times New Roman" w:cs="Times New Roman"/>
      <w:noProof/>
      <w:sz w:val="16"/>
      <w:szCs w:val="20"/>
      <w:lang w:val="en-GB"/>
    </w:rPr>
  </w:style>
  <w:style w:type="character" w:styleId="CETAddressCarattere" w:customStyle="1">
    <w:name w:val="CET Address Carattere"/>
    <w:basedOn w:val="DefaultParagraphFont"/>
    <w:link w:val="CETAddress"/>
    <w:rsid w:val="009E788A"/>
    <w:rPr>
      <w:rFonts w:ascii="Arial" w:hAnsi="Arial" w:eastAsia="Times New Roman" w:cs="Times New Roman"/>
      <w:noProof/>
      <w:sz w:val="16"/>
      <w:szCs w:val="20"/>
      <w:lang w:val="en-GB"/>
    </w:rPr>
  </w:style>
  <w:style w:type="paragraph" w:styleId="CETBodytextBold" w:customStyle="1">
    <w:name w:val="CET Body text (Bold)"/>
    <w:basedOn w:val="CETBodytext"/>
    <w:rsid w:val="00901EB6"/>
    <w:rPr>
      <w:b/>
    </w:rPr>
  </w:style>
  <w:style w:type="paragraph" w:styleId="CETnumberingbullets" w:customStyle="1">
    <w:name w:val="CET numbering (bullets)"/>
    <w:rsid w:val="008D433B"/>
    <w:pPr>
      <w:numPr>
        <w:numId w:val="13"/>
      </w:numPr>
      <w:spacing w:after="0" w:line="264" w:lineRule="auto"/>
    </w:pPr>
    <w:rPr>
      <w:rFonts w:ascii="Arial" w:hAnsi="Arial" w:eastAsia="Times New Roman" w:cs="Times New Roman"/>
      <w:sz w:val="18"/>
      <w:szCs w:val="20"/>
      <w:lang w:val="en-GB"/>
    </w:rPr>
  </w:style>
  <w:style w:type="paragraph" w:styleId="CETnumbering1" w:customStyle="1">
    <w:name w:val="CET numbering (1"/>
    <w:aliases w:val="2..)"/>
    <w:rsid w:val="00B57B36"/>
    <w:pPr>
      <w:numPr>
        <w:numId w:val="14"/>
      </w:numPr>
      <w:spacing w:after="0" w:line="264" w:lineRule="auto"/>
      <w:ind w:left="340" w:hanging="227"/>
    </w:pPr>
    <w:rPr>
      <w:rFonts w:ascii="Arial" w:hAnsi="Arial" w:eastAsia="Times New Roman" w:cs="Times New Roman"/>
      <w:sz w:val="18"/>
      <w:szCs w:val="20"/>
      <w:lang w:val="en-US"/>
    </w:rPr>
  </w:style>
  <w:style w:type="paragraph" w:styleId="CETnumberinga" w:customStyle="1">
    <w:name w:val="CET numbering (a"/>
    <w:aliases w:val="b,..)"/>
    <w:rsid w:val="00B57B36"/>
    <w:pPr>
      <w:numPr>
        <w:numId w:val="15"/>
      </w:numPr>
      <w:spacing w:after="0" w:line="264" w:lineRule="auto"/>
    </w:pPr>
    <w:rPr>
      <w:rFonts w:ascii="Arial" w:hAnsi="Arial" w:eastAsia="Times New Roman"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styleId="HeaderChar" w:customStyle="1">
    <w:name w:val="Header Char"/>
    <w:basedOn w:val="DefaultParagraphFont"/>
    <w:link w:val="Header"/>
    <w:uiPriority w:val="99"/>
    <w:rsid w:val="005278B7"/>
    <w:rPr>
      <w:rFonts w:ascii="Arial" w:hAnsi="Arial" w:eastAsia="Times New Roman"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styleId="FooterChar" w:customStyle="1">
    <w:name w:val="Footer Char"/>
    <w:basedOn w:val="DefaultParagraphFont"/>
    <w:link w:val="Footer"/>
    <w:uiPriority w:val="99"/>
    <w:rsid w:val="005278B7"/>
    <w:rPr>
      <w:rFonts w:ascii="Arial" w:hAnsi="Arial" w:eastAsia="Times New Roman" w:cs="Times New Roman"/>
      <w:sz w:val="18"/>
      <w:szCs w:val="20"/>
      <w:lang w:val="en-GB"/>
    </w:rPr>
  </w:style>
  <w:style w:type="table" w:styleId="TableGrid">
    <w:name w:val="Table Grid"/>
    <w:basedOn w:val="TableNormal"/>
    <w:uiPriority w:val="3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04C62"/>
    <w:rPr>
      <w:color w:val="0000FF" w:themeColor="hyperlink"/>
      <w:u w:val="single"/>
    </w:rPr>
  </w:style>
  <w:style w:type="character" w:styleId="eudoraheader" w:customStyle="1">
    <w:name w:val="eudoraheader"/>
    <w:basedOn w:val="DefaultParagraphFont"/>
    <w:rsid w:val="00904C62"/>
  </w:style>
  <w:style w:type="paragraph" w:styleId="CETListbullets" w:customStyle="1">
    <w:name w:val="CET List bullets"/>
    <w:qFormat/>
    <w:rsid w:val="004577FE"/>
    <w:pPr>
      <w:spacing w:after="0" w:line="264" w:lineRule="auto"/>
      <w:ind w:left="340" w:hanging="227"/>
      <w:jc w:val="both"/>
    </w:pPr>
    <w:rPr>
      <w:rFonts w:ascii="Arial" w:hAnsi="Arial" w:eastAsia="Times New Roman" w:cs="Times New Roman"/>
      <w:sz w:val="18"/>
      <w:szCs w:val="20"/>
      <w:lang w:val="en-GB"/>
    </w:rPr>
  </w:style>
  <w:style w:type="paragraph" w:styleId="CETReferencetext" w:customStyle="1">
    <w:name w:val="CET Reference text"/>
    <w:qFormat/>
    <w:rsid w:val="00600535"/>
    <w:pPr>
      <w:spacing w:after="0" w:line="264" w:lineRule="auto"/>
      <w:ind w:left="284" w:hanging="284"/>
      <w:jc w:val="both"/>
    </w:pPr>
    <w:rPr>
      <w:rFonts w:ascii="Arial" w:hAnsi="Arial" w:eastAsia="Times New Roman" w:cs="Times New Roman"/>
      <w:sz w:val="18"/>
      <w:szCs w:val="20"/>
      <w:lang w:val="en-GB"/>
    </w:rPr>
  </w:style>
  <w:style w:type="paragraph" w:styleId="CETTabletitle" w:customStyle="1">
    <w:name w:val="CET Table title"/>
    <w:qFormat/>
    <w:rsid w:val="00600535"/>
    <w:pPr>
      <w:keepNext/>
      <w:spacing w:before="240" w:after="80" w:line="240" w:lineRule="exact"/>
    </w:pPr>
    <w:rPr>
      <w:rFonts w:ascii="Arial" w:hAnsi="Arial" w:eastAsia="Times New Roman" w:cs="Times New Roman"/>
      <w:i/>
      <w:sz w:val="18"/>
      <w:szCs w:val="20"/>
      <w:lang w:val="en-GB"/>
    </w:rPr>
  </w:style>
  <w:style w:type="paragraph" w:styleId="CETAcknowledgementstitle" w:customStyle="1">
    <w:name w:val="CET Acknowledgements title"/>
    <w:next w:val="CETBodytext"/>
    <w:qFormat/>
    <w:rsid w:val="00600535"/>
    <w:pPr>
      <w:spacing w:before="200" w:after="120"/>
    </w:pPr>
    <w:rPr>
      <w:rFonts w:ascii="Arial" w:hAnsi="Arial" w:eastAsia="Times New Roman" w:cs="Times New Roman"/>
      <w:b/>
      <w:sz w:val="18"/>
      <w:szCs w:val="20"/>
      <w:lang w:val="en-GB"/>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numPr>
        <w:ilvl w:val="0"/>
        <w:numId w:val="0"/>
      </w:numPr>
    </w:pPr>
  </w:style>
  <w:style w:type="character" w:styleId="CETHeadingxxChar" w:customStyle="1">
    <w:name w:val="CET Headingxx Char"/>
    <w:basedOn w:val="CETheadingxCarattere"/>
    <w:link w:val="CETHeadingxx"/>
    <w:rsid w:val="000F787B"/>
    <w:rPr>
      <w:rFonts w:ascii="Arial" w:hAnsi="Arial" w:eastAsia="Times New Roman"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gmail-apple-converted-space" w:customStyle="1">
    <w:name w:val="gmail-apple-converted-space"/>
    <w:basedOn w:val="DefaultParagraphFont"/>
    <w:rsid w:val="00005A19"/>
  </w:style>
  <w:style w:type="paragraph" w:styleId="Default" w:customStyle="1">
    <w:name w:val="Default"/>
    <w:rsid w:val="00FB7CF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Table" w:customStyle="1">
    <w:name w:val="CaptionTable"/>
    <w:basedOn w:val="Caption"/>
    <w:link w:val="CaptionTableChar"/>
    <w:qFormat/>
    <w:rsid w:val="00352D26"/>
    <w:pPr>
      <w:keepNext/>
      <w:tabs>
        <w:tab w:val="clear" w:pos="7100"/>
      </w:tabs>
      <w:spacing w:before="200" w:after="80"/>
      <w:ind w:left="230" w:hanging="115"/>
    </w:pPr>
    <w:rPr>
      <w:rFonts w:ascii="Times New Roman" w:hAnsi="Times New Roman" w:cs="Times New Roman (Cuerpo en alfa" w:eastAsiaTheme="minorHAnsi"/>
      <w:b w:val="0"/>
      <w:bCs w:val="0"/>
      <w:color w:val="auto"/>
      <w:lang w:val="en-US"/>
    </w:rPr>
  </w:style>
  <w:style w:type="character" w:styleId="CaptionTableChar" w:customStyle="1">
    <w:name w:val="CaptionTable Char"/>
    <w:basedOn w:val="DefaultParagraphFont"/>
    <w:link w:val="CaptionTable"/>
    <w:rsid w:val="00352D26"/>
    <w:rPr>
      <w:rFonts w:ascii="Times New Roman" w:hAnsi="Times New Roman" w:cs="Times New Roman (Cuerpo en alfa"/>
      <w:sz w:val="18"/>
      <w:szCs w:val="18"/>
      <w:lang w:val="en-US"/>
    </w:rPr>
  </w:style>
  <w:style w:type="character" w:styleId="PlaceholderText">
    <w:name w:val="Placeholder Text"/>
    <w:basedOn w:val="DefaultParagraphFont"/>
    <w:uiPriority w:val="99"/>
    <w:semiHidden/>
    <w:rsid w:val="00FE1DCE"/>
    <w:rPr>
      <w:color w:val="666666"/>
    </w:rPr>
  </w:style>
  <w:style w:type="paragraph" w:styleId="Revision">
    <w:name w:val="Revision"/>
    <w:hidden/>
    <w:uiPriority w:val="99"/>
    <w:semiHidden/>
    <w:rsid w:val="004267B9"/>
    <w:pPr>
      <w:spacing w:after="0" w:line="240" w:lineRule="auto"/>
    </w:pPr>
    <w:rPr>
      <w:rFonts w:ascii="Arial" w:hAnsi="Arial" w:eastAsia="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2563">
      <w:bodyDiv w:val="1"/>
      <w:marLeft w:val="0"/>
      <w:marRight w:val="0"/>
      <w:marTop w:val="0"/>
      <w:marBottom w:val="0"/>
      <w:divBdr>
        <w:top w:val="none" w:sz="0" w:space="0" w:color="auto"/>
        <w:left w:val="none" w:sz="0" w:space="0" w:color="auto"/>
        <w:bottom w:val="none" w:sz="0" w:space="0" w:color="auto"/>
        <w:right w:val="none" w:sz="0" w:space="0" w:color="auto"/>
      </w:divBdr>
      <w:divsChild>
        <w:div w:id="1831824954">
          <w:marLeft w:val="480"/>
          <w:marRight w:val="0"/>
          <w:marTop w:val="0"/>
          <w:marBottom w:val="0"/>
          <w:divBdr>
            <w:top w:val="none" w:sz="0" w:space="0" w:color="auto"/>
            <w:left w:val="none" w:sz="0" w:space="0" w:color="auto"/>
            <w:bottom w:val="none" w:sz="0" w:space="0" w:color="auto"/>
            <w:right w:val="none" w:sz="0" w:space="0" w:color="auto"/>
          </w:divBdr>
          <w:divsChild>
            <w:div w:id="5800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emf"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emf" Id="rId11" /><Relationship Type="http://schemas.openxmlformats.org/officeDocument/2006/relationships/webSettings" Target="webSettings.xml" Id="rId5" /><Relationship Type="http://schemas.openxmlformats.org/officeDocument/2006/relationships/image" Target="media/image3.emf"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Dipartimento CMIC - Politecnico di Milano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raffaella</dc:creator>
  <lastModifiedBy>Giulia Collina</lastModifiedBy>
  <revision>139</revision>
  <lastPrinted>2025-02-28T15:14:00.0000000Z</lastPrinted>
  <dcterms:created xsi:type="dcterms:W3CDTF">2025-03-06T11:38:00.0000000Z</dcterms:created>
  <dcterms:modified xsi:type="dcterms:W3CDTF">2025-07-15T17:29:24.6078622Z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9744d2ab-b437-49cd-b363-ebdb53d4e95c</vt:lpwstr>
  </property>
</Properties>
</file>