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4A0" w:firstRow="1" w:lastRow="0" w:firstColumn="1" w:lastColumn="0" w:noHBand="0" w:noVBand="1"/>
      </w:tblPr>
      <w:tblGrid>
        <w:gridCol w:w="6752"/>
        <w:gridCol w:w="2030"/>
      </w:tblGrid>
      <w:tr w:rsidR="00797FE8" w:rsidRPr="00797FE8">
        <w:trPr>
          <w:trHeight w:val="852"/>
          <w:jc w:val="center"/>
        </w:trPr>
        <w:tc>
          <w:tcPr>
            <w:tcW w:w="6946" w:type="dxa"/>
            <w:vMerge w:val="restart"/>
            <w:tcBorders>
              <w:right w:val="single" w:sz="4" w:space="0" w:color="auto"/>
            </w:tcBorders>
          </w:tcPr>
          <w:p w:rsidR="00502A65" w:rsidRPr="00797FE8" w:rsidRDefault="00907BE5">
            <w:pPr>
              <w:tabs>
                <w:tab w:val="left" w:pos="-108"/>
              </w:tabs>
              <w:ind w:left="-108"/>
              <w:jc w:val="left"/>
              <w:rPr>
                <w:rFonts w:cs="Arial"/>
                <w:b/>
                <w:bCs/>
                <w:i/>
                <w:iCs/>
                <w:color w:val="000000" w:themeColor="text1"/>
                <w:sz w:val="24"/>
                <w:szCs w:val="24"/>
                <w:lang w:eastAsia="it-IT"/>
              </w:rPr>
            </w:pPr>
            <w:bookmarkStart w:id="0" w:name="_Hlk145068772"/>
            <w:r w:rsidRPr="00797FE8">
              <w:rPr>
                <w:rFonts w:cs="Arial"/>
                <w:noProof/>
                <w:color w:val="000000" w:themeColor="text1"/>
                <w:sz w:val="24"/>
                <w:szCs w:val="24"/>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sidRPr="00797FE8">
              <w:rPr>
                <w:rFonts w:cs="Arial"/>
                <w:color w:val="000000" w:themeColor="text1"/>
                <w:sz w:val="24"/>
                <w:szCs w:val="24"/>
                <w:lang w:eastAsia="it-IT"/>
              </w:rPr>
              <w:t xml:space="preserve"> </w:t>
            </w:r>
            <w:r w:rsidRPr="00797FE8">
              <w:rPr>
                <w:rFonts w:cs="Arial"/>
                <w:b/>
                <w:bCs/>
                <w:i/>
                <w:iCs/>
                <w:color w:val="000000" w:themeColor="text1"/>
                <w:sz w:val="24"/>
                <w:szCs w:val="24"/>
                <w:lang w:eastAsia="it-IT"/>
              </w:rPr>
              <w:t>CHEMICAL ENGINEERING TRANSACTIONS</w:t>
            </w:r>
            <w:r w:rsidRPr="00797FE8">
              <w:rPr>
                <w:rFonts w:cs="Arial"/>
                <w:color w:val="000000" w:themeColor="text1"/>
                <w:sz w:val="24"/>
                <w:szCs w:val="24"/>
                <w:lang w:eastAsia="it-IT"/>
              </w:rPr>
              <w:t xml:space="preserve"> </w:t>
            </w:r>
            <w:r w:rsidRPr="00797FE8">
              <w:rPr>
                <w:rFonts w:cs="Arial"/>
                <w:b/>
                <w:bCs/>
                <w:i/>
                <w:iCs/>
                <w:color w:val="000000" w:themeColor="text1"/>
                <w:sz w:val="24"/>
                <w:szCs w:val="24"/>
                <w:lang w:eastAsia="it-IT"/>
              </w:rPr>
              <w:br/>
            </w:r>
          </w:p>
          <w:p w:rsidR="00502A65" w:rsidRPr="00797FE8" w:rsidRDefault="00907BE5">
            <w:pPr>
              <w:tabs>
                <w:tab w:val="left" w:pos="-108"/>
              </w:tabs>
              <w:ind w:left="-108"/>
              <w:rPr>
                <w:rFonts w:cs="Arial"/>
                <w:b/>
                <w:bCs/>
                <w:i/>
                <w:iCs/>
                <w:color w:val="000000" w:themeColor="text1"/>
                <w:sz w:val="24"/>
                <w:szCs w:val="24"/>
                <w:lang w:eastAsia="it-IT"/>
              </w:rPr>
            </w:pPr>
            <w:r w:rsidRPr="00797FE8">
              <w:rPr>
                <w:rFonts w:cs="Arial"/>
                <w:b/>
                <w:bCs/>
                <w:i/>
                <w:iCs/>
                <w:color w:val="000000" w:themeColor="text1"/>
                <w:sz w:val="24"/>
                <w:szCs w:val="24"/>
                <w:lang w:eastAsia="it-IT"/>
              </w:rPr>
              <w:t>VOL. xxx, 2025</w:t>
            </w:r>
          </w:p>
        </w:tc>
        <w:tc>
          <w:tcPr>
            <w:tcW w:w="1843" w:type="dxa"/>
            <w:tcBorders>
              <w:left w:val="single" w:sz="4" w:space="0" w:color="auto"/>
              <w:bottom w:val="nil"/>
              <w:right w:val="single" w:sz="4" w:space="0" w:color="auto"/>
            </w:tcBorders>
          </w:tcPr>
          <w:p w:rsidR="00502A65" w:rsidRPr="00797FE8" w:rsidRDefault="00907BE5">
            <w:pPr>
              <w:spacing w:line="140" w:lineRule="atLeast"/>
              <w:jc w:val="right"/>
              <w:rPr>
                <w:rFonts w:cs="Arial"/>
                <w:color w:val="000000" w:themeColor="text1"/>
                <w:sz w:val="24"/>
                <w:szCs w:val="24"/>
              </w:rPr>
            </w:pPr>
            <w:r w:rsidRPr="00797FE8">
              <w:rPr>
                <w:rFonts w:cs="Arial"/>
                <w:color w:val="000000" w:themeColor="text1"/>
                <w:sz w:val="24"/>
                <w:szCs w:val="24"/>
              </w:rPr>
              <w:t>A publication of</w:t>
            </w:r>
          </w:p>
          <w:p w:rsidR="00502A65" w:rsidRPr="00797FE8" w:rsidRDefault="00907BE5">
            <w:pPr>
              <w:jc w:val="right"/>
              <w:rPr>
                <w:rFonts w:cs="Arial"/>
                <w:color w:val="000000" w:themeColor="text1"/>
                <w:sz w:val="24"/>
                <w:szCs w:val="24"/>
              </w:rPr>
            </w:pPr>
            <w:r w:rsidRPr="00797FE8">
              <w:rPr>
                <w:rFonts w:cs="Arial"/>
                <w:noProof/>
                <w:color w:val="000000" w:themeColor="text1"/>
                <w:sz w:val="24"/>
                <w:szCs w:val="24"/>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797FE8" w:rsidRPr="00797FE8">
        <w:trPr>
          <w:trHeight w:val="567"/>
          <w:jc w:val="center"/>
        </w:trPr>
        <w:tc>
          <w:tcPr>
            <w:tcW w:w="6946" w:type="dxa"/>
            <w:vMerge/>
            <w:tcBorders>
              <w:right w:val="single" w:sz="4" w:space="0" w:color="auto"/>
            </w:tcBorders>
          </w:tcPr>
          <w:p w:rsidR="00502A65" w:rsidRPr="00797FE8" w:rsidRDefault="00502A65">
            <w:pPr>
              <w:tabs>
                <w:tab w:val="left" w:pos="-108"/>
              </w:tabs>
              <w:rPr>
                <w:rFonts w:cs="Arial"/>
                <w:color w:val="000000" w:themeColor="text1"/>
                <w:sz w:val="24"/>
                <w:szCs w:val="24"/>
              </w:rPr>
            </w:pPr>
          </w:p>
        </w:tc>
        <w:tc>
          <w:tcPr>
            <w:tcW w:w="1843" w:type="dxa"/>
            <w:tcBorders>
              <w:left w:val="single" w:sz="4" w:space="0" w:color="auto"/>
              <w:bottom w:val="nil"/>
              <w:right w:val="single" w:sz="4" w:space="0" w:color="auto"/>
            </w:tcBorders>
          </w:tcPr>
          <w:p w:rsidR="00502A65" w:rsidRPr="00797FE8" w:rsidRDefault="00907BE5">
            <w:pPr>
              <w:spacing w:line="140" w:lineRule="atLeast"/>
              <w:jc w:val="right"/>
              <w:rPr>
                <w:rFonts w:cs="Arial"/>
                <w:color w:val="000000" w:themeColor="text1"/>
                <w:sz w:val="24"/>
                <w:szCs w:val="24"/>
              </w:rPr>
            </w:pPr>
            <w:r w:rsidRPr="00797FE8">
              <w:rPr>
                <w:rFonts w:cs="Arial"/>
                <w:color w:val="000000" w:themeColor="text1"/>
                <w:sz w:val="24"/>
                <w:szCs w:val="24"/>
              </w:rPr>
              <w:t>The Italian Association</w:t>
            </w:r>
          </w:p>
          <w:p w:rsidR="00502A65" w:rsidRPr="00797FE8" w:rsidRDefault="00907BE5">
            <w:pPr>
              <w:spacing w:line="140" w:lineRule="atLeast"/>
              <w:jc w:val="right"/>
              <w:rPr>
                <w:rFonts w:cs="Arial"/>
                <w:color w:val="000000" w:themeColor="text1"/>
                <w:sz w:val="24"/>
                <w:szCs w:val="24"/>
              </w:rPr>
            </w:pPr>
            <w:r w:rsidRPr="00797FE8">
              <w:rPr>
                <w:rFonts w:cs="Arial"/>
                <w:color w:val="000000" w:themeColor="text1"/>
                <w:sz w:val="24"/>
                <w:szCs w:val="24"/>
              </w:rPr>
              <w:t>of Chemical Engineering</w:t>
            </w:r>
          </w:p>
          <w:p w:rsidR="00502A65" w:rsidRPr="00797FE8" w:rsidRDefault="00907BE5">
            <w:pPr>
              <w:spacing w:line="140" w:lineRule="atLeast"/>
              <w:jc w:val="right"/>
              <w:rPr>
                <w:rFonts w:cs="Arial"/>
                <w:color w:val="000000" w:themeColor="text1"/>
                <w:sz w:val="24"/>
                <w:szCs w:val="24"/>
              </w:rPr>
            </w:pPr>
            <w:r w:rsidRPr="00797FE8">
              <w:rPr>
                <w:rFonts w:cs="Arial"/>
                <w:color w:val="000000" w:themeColor="text1"/>
                <w:sz w:val="24"/>
                <w:szCs w:val="24"/>
              </w:rPr>
              <w:t>Online at www.cetjournal.it</w:t>
            </w:r>
          </w:p>
        </w:tc>
      </w:tr>
      <w:tr w:rsidR="00797FE8" w:rsidRPr="00797FE8">
        <w:trPr>
          <w:trHeight w:val="68"/>
          <w:jc w:val="center"/>
        </w:trPr>
        <w:tc>
          <w:tcPr>
            <w:tcW w:w="8789" w:type="dxa"/>
            <w:gridSpan w:val="2"/>
          </w:tcPr>
          <w:p w:rsidR="00502A65" w:rsidRPr="005F1048" w:rsidRDefault="00907BE5">
            <w:pPr>
              <w:ind w:left="-107"/>
              <w:outlineLvl w:val="2"/>
              <w:rPr>
                <w:rFonts w:eastAsiaTheme="minorHAnsi" w:cs="Arial"/>
                <w:color w:val="000000" w:themeColor="text1"/>
                <w:sz w:val="24"/>
                <w:szCs w:val="24"/>
                <w:lang w:val="it-IT"/>
                <w14:ligatures w14:val="standardContextual"/>
              </w:rPr>
            </w:pPr>
            <w:r w:rsidRPr="005F1048">
              <w:rPr>
                <w:rFonts w:cs="Arial"/>
                <w:iCs/>
                <w:color w:val="000000" w:themeColor="text1"/>
                <w:sz w:val="24"/>
                <w:szCs w:val="24"/>
                <w:lang w:val="it-IT" w:eastAsia="it-IT"/>
              </w:rPr>
              <w:t>Guest Editors:</w:t>
            </w:r>
            <w:r w:rsidRPr="005F1048">
              <w:rPr>
                <w:rFonts w:eastAsiaTheme="minorHAnsi" w:cs="Arial"/>
                <w:color w:val="000000" w:themeColor="text1"/>
                <w:sz w:val="24"/>
                <w:szCs w:val="24"/>
                <w:lang w:val="it-IT"/>
              </w:rPr>
              <w:t xml:space="preserve"> </w:t>
            </w:r>
            <w:r w:rsidRPr="005F1048">
              <w:rPr>
                <w:rFonts w:eastAsiaTheme="minorHAnsi" w:cs="Arial"/>
                <w:color w:val="000000" w:themeColor="text1"/>
                <w:sz w:val="24"/>
                <w:szCs w:val="24"/>
                <w:lang w:val="it-IT"/>
                <w14:ligatures w14:val="standardContextual"/>
              </w:rPr>
              <w:t>David Bogle, Flavio Manenti, Piero Salatino</w:t>
            </w:r>
          </w:p>
          <w:p w:rsidR="00502A65" w:rsidRPr="00797FE8" w:rsidRDefault="00907BE5">
            <w:pPr>
              <w:tabs>
                <w:tab w:val="left" w:pos="-108"/>
              </w:tabs>
              <w:spacing w:line="140" w:lineRule="atLeast"/>
              <w:ind w:left="-107"/>
              <w:jc w:val="left"/>
              <w:rPr>
                <w:rFonts w:cs="Arial"/>
                <w:color w:val="000000" w:themeColor="text1"/>
                <w:sz w:val="24"/>
                <w:szCs w:val="24"/>
              </w:rPr>
            </w:pPr>
            <w:r w:rsidRPr="00797FE8">
              <w:rPr>
                <w:rFonts w:cs="Arial"/>
                <w:iCs/>
                <w:color w:val="000000" w:themeColor="text1"/>
                <w:sz w:val="24"/>
                <w:szCs w:val="24"/>
                <w:lang w:eastAsia="it-IT"/>
              </w:rPr>
              <w:t>Copyright © 2025, AIDIC Servizi S.r.l.</w:t>
            </w:r>
            <w:r w:rsidRPr="00797FE8">
              <w:rPr>
                <w:rFonts w:cs="Arial"/>
                <w:iCs/>
                <w:color w:val="000000" w:themeColor="text1"/>
                <w:sz w:val="24"/>
                <w:szCs w:val="24"/>
                <w:lang w:eastAsia="it-IT"/>
              </w:rPr>
              <w:br/>
            </w:r>
            <w:r w:rsidRPr="00797FE8">
              <w:rPr>
                <w:rFonts w:cs="Arial"/>
                <w:b/>
                <w:iCs/>
                <w:color w:val="000000" w:themeColor="text1"/>
                <w:sz w:val="24"/>
                <w:szCs w:val="24"/>
                <w:lang w:eastAsia="it-IT"/>
              </w:rPr>
              <w:t>ISBN</w:t>
            </w:r>
            <w:r w:rsidRPr="00797FE8">
              <w:rPr>
                <w:rFonts w:cs="Arial"/>
                <w:iCs/>
                <w:color w:val="000000" w:themeColor="text1"/>
                <w:sz w:val="24"/>
                <w:szCs w:val="24"/>
                <w:lang w:eastAsia="it-IT"/>
              </w:rPr>
              <w:t xml:space="preserve"> </w:t>
            </w:r>
            <w:r w:rsidRPr="00797FE8">
              <w:rPr>
                <w:rFonts w:cs="Arial"/>
                <w:color w:val="000000" w:themeColor="text1"/>
                <w:sz w:val="24"/>
                <w:szCs w:val="24"/>
              </w:rPr>
              <w:t>979-12-81206-21-2</w:t>
            </w:r>
            <w:r w:rsidRPr="00797FE8">
              <w:rPr>
                <w:rFonts w:cs="Arial"/>
                <w:iCs/>
                <w:color w:val="000000" w:themeColor="text1"/>
                <w:sz w:val="24"/>
                <w:szCs w:val="24"/>
                <w:lang w:eastAsia="it-IT"/>
              </w:rPr>
              <w:t xml:space="preserve">; </w:t>
            </w:r>
            <w:r w:rsidRPr="00797FE8">
              <w:rPr>
                <w:rFonts w:cs="Arial"/>
                <w:b/>
                <w:iCs/>
                <w:color w:val="000000" w:themeColor="text1"/>
                <w:sz w:val="24"/>
                <w:szCs w:val="24"/>
                <w:lang w:eastAsia="it-IT"/>
              </w:rPr>
              <w:t>ISSN</w:t>
            </w:r>
            <w:r w:rsidRPr="00797FE8">
              <w:rPr>
                <w:rFonts w:cs="Arial"/>
                <w:iCs/>
                <w:color w:val="000000" w:themeColor="text1"/>
                <w:sz w:val="24"/>
                <w:szCs w:val="24"/>
                <w:lang w:eastAsia="it-IT"/>
              </w:rPr>
              <w:t xml:space="preserve"> 2283-9216</w:t>
            </w:r>
          </w:p>
        </w:tc>
      </w:tr>
    </w:tbl>
    <w:bookmarkEnd w:id="0"/>
    <w:p w:rsidR="00502A65" w:rsidRPr="00797FE8" w:rsidRDefault="00907BE5">
      <w:pPr>
        <w:pStyle w:val="CETTitle"/>
        <w:rPr>
          <w:rFonts w:cs="Arial"/>
          <w:color w:val="000000" w:themeColor="text1"/>
          <w:sz w:val="24"/>
          <w:szCs w:val="24"/>
        </w:rPr>
      </w:pPr>
      <w:r w:rsidRPr="00797FE8">
        <w:rPr>
          <w:rFonts w:cs="Arial"/>
          <w:color w:val="000000" w:themeColor="text1"/>
          <w:sz w:val="24"/>
          <w:szCs w:val="24"/>
        </w:rPr>
        <w:t>A new digital tool for Crude Processability Evaluation</w:t>
      </w:r>
    </w:p>
    <w:p w:rsidR="00502A65" w:rsidRPr="005F1048" w:rsidRDefault="00907BE5">
      <w:pPr>
        <w:pStyle w:val="CETAuthors"/>
        <w:rPr>
          <w:rFonts w:cs="Arial"/>
          <w:color w:val="000000" w:themeColor="text1"/>
          <w:szCs w:val="24"/>
          <w:lang w:val="it-IT"/>
        </w:rPr>
      </w:pPr>
      <w:r w:rsidRPr="005F1048">
        <w:rPr>
          <w:rFonts w:cs="Arial"/>
          <w:color w:val="000000" w:themeColor="text1"/>
          <w:szCs w:val="24"/>
          <w:lang w:val="it-IT"/>
        </w:rPr>
        <w:t>Egnazio Ollà</w:t>
      </w:r>
      <w:r w:rsidRPr="005F1048">
        <w:rPr>
          <w:rFonts w:cs="Arial"/>
          <w:color w:val="000000" w:themeColor="text1"/>
          <w:szCs w:val="24"/>
          <w:vertAlign w:val="superscript"/>
          <w:lang w:val="it-IT"/>
        </w:rPr>
        <w:t>1</w:t>
      </w:r>
      <w:r w:rsidRPr="005F1048">
        <w:rPr>
          <w:rFonts w:cs="Arial"/>
          <w:color w:val="000000" w:themeColor="text1"/>
          <w:szCs w:val="24"/>
          <w:lang w:val="it-IT"/>
        </w:rPr>
        <w:t>, Valentina Stillo</w:t>
      </w:r>
      <w:r w:rsidRPr="005F1048">
        <w:rPr>
          <w:rFonts w:cs="Arial"/>
          <w:color w:val="000000" w:themeColor="text1"/>
          <w:szCs w:val="24"/>
          <w:vertAlign w:val="superscript"/>
          <w:lang w:val="it-IT"/>
        </w:rPr>
        <w:t>1</w:t>
      </w:r>
      <w:r w:rsidRPr="005F1048">
        <w:rPr>
          <w:rFonts w:cs="Arial"/>
          <w:color w:val="000000" w:themeColor="text1"/>
          <w:szCs w:val="24"/>
          <w:lang w:val="it-IT"/>
        </w:rPr>
        <w:t>, Michele Celebre</w:t>
      </w:r>
      <w:r w:rsidRPr="005F1048">
        <w:rPr>
          <w:rFonts w:cs="Arial"/>
          <w:color w:val="000000" w:themeColor="text1"/>
          <w:szCs w:val="24"/>
          <w:vertAlign w:val="superscript"/>
          <w:lang w:val="it-IT"/>
        </w:rPr>
        <w:t>1</w:t>
      </w:r>
      <w:r w:rsidRPr="005F1048">
        <w:rPr>
          <w:rFonts w:cs="Arial"/>
          <w:color w:val="000000" w:themeColor="text1"/>
          <w:szCs w:val="24"/>
          <w:lang w:val="it-IT"/>
        </w:rPr>
        <w:t>, Francesca Ventimiglia</w:t>
      </w:r>
      <w:r w:rsidRPr="005F1048">
        <w:rPr>
          <w:rFonts w:cs="Arial"/>
          <w:color w:val="000000" w:themeColor="text1"/>
          <w:szCs w:val="24"/>
          <w:vertAlign w:val="superscript"/>
          <w:lang w:val="it-IT"/>
        </w:rPr>
        <w:t>1</w:t>
      </w:r>
      <w:r w:rsidRPr="005F1048">
        <w:rPr>
          <w:rFonts w:cs="Arial"/>
          <w:color w:val="000000" w:themeColor="text1"/>
          <w:szCs w:val="24"/>
          <w:lang w:val="it-IT"/>
        </w:rPr>
        <w:t>, Alessandra Saraceno</w:t>
      </w:r>
      <w:r w:rsidRPr="005F1048">
        <w:rPr>
          <w:rFonts w:cs="Arial"/>
          <w:color w:val="000000" w:themeColor="text1"/>
          <w:szCs w:val="24"/>
          <w:vertAlign w:val="superscript"/>
          <w:lang w:val="it-IT"/>
        </w:rPr>
        <w:t>1</w:t>
      </w:r>
      <w:r w:rsidRPr="005F1048">
        <w:rPr>
          <w:rFonts w:cs="Arial"/>
          <w:color w:val="000000" w:themeColor="text1"/>
          <w:szCs w:val="24"/>
          <w:lang w:val="it-IT"/>
        </w:rPr>
        <w:t>, Francesca D’Amico</w:t>
      </w:r>
      <w:r w:rsidRPr="005F1048">
        <w:rPr>
          <w:rFonts w:cs="Arial"/>
          <w:color w:val="000000" w:themeColor="text1"/>
          <w:szCs w:val="24"/>
          <w:vertAlign w:val="superscript"/>
          <w:lang w:val="it-IT"/>
        </w:rPr>
        <w:t>1</w:t>
      </w:r>
      <w:r w:rsidRPr="005F1048">
        <w:rPr>
          <w:rFonts w:cs="Arial"/>
          <w:color w:val="000000" w:themeColor="text1"/>
          <w:szCs w:val="24"/>
          <w:lang w:val="it-IT"/>
        </w:rPr>
        <w:t>, Fortunato Laganà</w:t>
      </w:r>
      <w:r w:rsidRPr="005F1048">
        <w:rPr>
          <w:rFonts w:cs="Arial"/>
          <w:color w:val="000000" w:themeColor="text1"/>
          <w:szCs w:val="24"/>
          <w:vertAlign w:val="superscript"/>
          <w:lang w:val="it-IT"/>
        </w:rPr>
        <w:t>1</w:t>
      </w:r>
    </w:p>
    <w:p w:rsidR="00502A65" w:rsidRPr="005F1048" w:rsidRDefault="00907BE5">
      <w:pPr>
        <w:pStyle w:val="CETAddress"/>
        <w:rPr>
          <w:rFonts w:cs="Arial"/>
          <w:color w:val="000000" w:themeColor="text1"/>
          <w:sz w:val="24"/>
          <w:szCs w:val="24"/>
          <w:lang w:val="it-IT"/>
        </w:rPr>
      </w:pPr>
      <w:r w:rsidRPr="005F1048">
        <w:rPr>
          <w:rFonts w:cs="Arial"/>
          <w:color w:val="000000" w:themeColor="text1"/>
          <w:sz w:val="24"/>
          <w:szCs w:val="24"/>
          <w:vertAlign w:val="superscript"/>
          <w:lang w:val="it-IT"/>
        </w:rPr>
        <w:t>1</w:t>
      </w:r>
      <w:r w:rsidRPr="005F1048">
        <w:rPr>
          <w:rFonts w:cs="Arial"/>
          <w:color w:val="000000" w:themeColor="text1"/>
          <w:sz w:val="24"/>
          <w:szCs w:val="24"/>
          <w:lang w:val="it-IT"/>
        </w:rPr>
        <w:t>Milazzo Refinery, 98057 CONTRADA MANGIAVACCA, Milazzo (ME)</w:t>
      </w:r>
    </w:p>
    <w:p w:rsidR="00502A65" w:rsidRPr="00797FE8" w:rsidRDefault="00907BE5">
      <w:pPr>
        <w:pStyle w:val="CETAddress"/>
        <w:rPr>
          <w:rFonts w:cs="Arial"/>
          <w:color w:val="000000" w:themeColor="text1"/>
          <w:sz w:val="24"/>
          <w:szCs w:val="24"/>
        </w:rPr>
      </w:pPr>
      <w:r w:rsidRPr="00797FE8">
        <w:rPr>
          <w:rFonts w:cs="Arial"/>
          <w:color w:val="000000" w:themeColor="text1"/>
          <w:sz w:val="24"/>
          <w:szCs w:val="24"/>
          <w:vertAlign w:val="superscript"/>
        </w:rPr>
        <w:t>1</w:t>
      </w:r>
      <w:r w:rsidRPr="00797FE8">
        <w:rPr>
          <w:rFonts w:cs="Arial"/>
          <w:color w:val="000000" w:themeColor="text1"/>
          <w:sz w:val="24"/>
          <w:szCs w:val="24"/>
        </w:rPr>
        <w:t>valentina.stillo@ram.it</w:t>
      </w:r>
    </w:p>
    <w:p w:rsidR="00502A65" w:rsidRPr="00797FE8" w:rsidRDefault="00502A65">
      <w:pPr>
        <w:pStyle w:val="CETAddress"/>
        <w:rPr>
          <w:rFonts w:cs="Arial"/>
          <w:color w:val="000000" w:themeColor="text1"/>
          <w:sz w:val="24"/>
          <w:szCs w:val="24"/>
        </w:rPr>
      </w:pP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 xml:space="preserve">Recent geopolitical and economic events—such as the COVID-19 pandemic and ongoing global crises—have significantly </w:t>
      </w:r>
      <w:r w:rsidR="009C0D73" w:rsidRPr="00797FE8">
        <w:rPr>
          <w:rFonts w:cs="Arial"/>
          <w:color w:val="000000" w:themeColor="text1"/>
        </w:rPr>
        <w:t>influenced</w:t>
      </w:r>
      <w:r w:rsidRPr="00797FE8">
        <w:rPr>
          <w:rFonts w:cs="Arial"/>
          <w:color w:val="000000" w:themeColor="text1"/>
        </w:rPr>
        <w:t xml:space="preserve"> the crude oil supply market, affecting both cost and availability. In response, Milazzo Refinery (RAM) has broadened and diversified </w:t>
      </w:r>
      <w:r w:rsidR="009C0D73" w:rsidRPr="00797FE8">
        <w:rPr>
          <w:rFonts w:cs="Arial"/>
          <w:color w:val="000000" w:themeColor="text1"/>
        </w:rPr>
        <w:t>its crude oil sourcing strategy; consequently, RAM has recognised the</w:t>
      </w:r>
      <w:r w:rsidRPr="00797FE8">
        <w:rPr>
          <w:rFonts w:cs="Arial"/>
          <w:color w:val="000000" w:themeColor="text1"/>
        </w:rPr>
        <w:t xml:space="preserve"> importance of </w:t>
      </w:r>
      <w:r w:rsidR="009C0D73" w:rsidRPr="00797FE8">
        <w:rPr>
          <w:rFonts w:cs="Arial"/>
          <w:color w:val="000000" w:themeColor="text1"/>
        </w:rPr>
        <w:t>evaluating</w:t>
      </w:r>
      <w:r w:rsidRPr="00797FE8">
        <w:rPr>
          <w:rFonts w:cs="Arial"/>
          <w:color w:val="000000" w:themeColor="text1"/>
        </w:rPr>
        <w:t xml:space="preserve"> crudes more efficiently </w:t>
      </w:r>
      <w:r w:rsidR="009C0D73" w:rsidRPr="00797FE8">
        <w:rPr>
          <w:rFonts w:cs="Arial"/>
          <w:color w:val="000000" w:themeColor="text1"/>
        </w:rPr>
        <w:t>so as not to</w:t>
      </w:r>
      <w:r w:rsidRPr="00797FE8">
        <w:rPr>
          <w:rFonts w:cs="Arial"/>
          <w:color w:val="000000" w:themeColor="text1"/>
        </w:rPr>
        <w:t xml:space="preserve"> </w:t>
      </w:r>
      <w:r w:rsidR="009C0D73" w:rsidRPr="00797FE8">
        <w:rPr>
          <w:rFonts w:cs="Arial"/>
          <w:color w:val="000000" w:themeColor="text1"/>
        </w:rPr>
        <w:t>miss</w:t>
      </w:r>
      <w:r w:rsidRPr="00797FE8">
        <w:rPr>
          <w:rFonts w:cs="Arial"/>
          <w:color w:val="000000" w:themeColor="text1"/>
        </w:rPr>
        <w:t xml:space="preserve"> fleeting market opportunities.</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To accelerate the assess</w:t>
      </w:r>
      <w:r w:rsidR="00AA36DB">
        <w:rPr>
          <w:rFonts w:cs="Arial"/>
          <w:color w:val="000000" w:themeColor="text1"/>
        </w:rPr>
        <w:t xml:space="preserve">ment process and, after extensive research for a solution to this particular need, RAM </w:t>
      </w:r>
      <w:r w:rsidR="009C0D73" w:rsidRPr="00797FE8">
        <w:rPr>
          <w:rFonts w:cs="Arial"/>
          <w:color w:val="000000" w:themeColor="text1"/>
        </w:rPr>
        <w:t xml:space="preserve">has </w:t>
      </w:r>
      <w:r w:rsidRPr="00797FE8">
        <w:rPr>
          <w:rFonts w:cs="Arial"/>
          <w:color w:val="000000" w:themeColor="text1"/>
        </w:rPr>
        <w:t xml:space="preserve">developed a digital tool called </w:t>
      </w:r>
      <w:r w:rsidRPr="00AA36DB">
        <w:rPr>
          <w:rStyle w:val="Enfasigrassetto"/>
          <w:rFonts w:cs="Arial"/>
          <w:color w:val="000000" w:themeColor="text1"/>
        </w:rPr>
        <w:t>CRUDOKU</w:t>
      </w:r>
      <w:r w:rsidR="00AA36DB" w:rsidRPr="00AA36DB">
        <w:rPr>
          <w:rStyle w:val="Enfasigrassetto"/>
          <w:rFonts w:cs="Arial"/>
          <w:color w:val="000000" w:themeColor="text1"/>
        </w:rPr>
        <w:t>, the first of its kind</w:t>
      </w:r>
      <w:r w:rsidRPr="00797FE8">
        <w:rPr>
          <w:rFonts w:cs="Arial"/>
          <w:color w:val="000000" w:themeColor="text1"/>
        </w:rPr>
        <w:t>. When</w:t>
      </w:r>
      <w:r w:rsidR="009C0D73" w:rsidRPr="00797FE8">
        <w:rPr>
          <w:rFonts w:cs="Arial"/>
          <w:color w:val="000000" w:themeColor="text1"/>
        </w:rPr>
        <w:t xml:space="preserve"> introducing</w:t>
      </w:r>
      <w:r w:rsidRPr="00797FE8">
        <w:rPr>
          <w:rFonts w:cs="Arial"/>
          <w:color w:val="000000" w:themeColor="text1"/>
        </w:rPr>
        <w:t xml:space="preserve"> a new crude the tool creates blends using various dilution crudes, aiming to maximize overall processability. CRUDOKU focuses specifically on RAM’s primary conversion units to determine the viability of each blend.</w:t>
      </w:r>
    </w:p>
    <w:p w:rsidR="00502A65" w:rsidRPr="00797FE8" w:rsidRDefault="00907BE5">
      <w:pPr>
        <w:pStyle w:val="Titolo2"/>
        <w:keepNext w:val="0"/>
        <w:keepLines w:val="0"/>
        <w:rPr>
          <w:rFonts w:ascii="Arial" w:hAnsi="Arial" w:cs="Arial"/>
          <w:color w:val="000000" w:themeColor="text1"/>
          <w:sz w:val="24"/>
          <w:szCs w:val="24"/>
        </w:rPr>
      </w:pPr>
      <w:r w:rsidRPr="00797FE8">
        <w:rPr>
          <w:rStyle w:val="Enfasigrassetto"/>
          <w:rFonts w:ascii="Arial" w:hAnsi="Arial" w:cs="Arial"/>
          <w:b/>
          <w:bCs/>
          <w:color w:val="000000" w:themeColor="text1"/>
          <w:sz w:val="24"/>
          <w:szCs w:val="24"/>
        </w:rPr>
        <w:t>1. Introduction</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Every refinery operates with a s</w:t>
      </w:r>
      <w:r w:rsidR="007C02B2">
        <w:rPr>
          <w:rFonts w:cs="Arial"/>
          <w:color w:val="000000" w:themeColor="text1"/>
        </w:rPr>
        <w:t>pecific portfolio of crude feed</w:t>
      </w:r>
      <w:r w:rsidRPr="00797FE8">
        <w:rPr>
          <w:rFonts w:cs="Arial"/>
          <w:color w:val="000000" w:themeColor="text1"/>
        </w:rPr>
        <w:t>stocks tailored to its processing set-up. However, since 2019, the availability and profitability of many crude oils on the market have declined sharply. As a result, crude selection played a key economic role. The ability to secure and process the most profitable crudes strongly influences refinery throughput and overall financial performance.</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 xml:space="preserve">Political and economic situations can affect crude availability and market value, therefore RAM’s shareholders emphasized the need for a more thorough and </w:t>
      </w:r>
      <w:r w:rsidRPr="00797FE8">
        <w:rPr>
          <w:rFonts w:cs="Arial"/>
          <w:color w:val="000000" w:themeColor="text1"/>
        </w:rPr>
        <w:lastRenderedPageBreak/>
        <w:t>adaptable approach to evaluating new crudes, which would enable RAM to seize market opportunities.</w:t>
      </w:r>
    </w:p>
    <w:p w:rsidR="00502A65" w:rsidRPr="00797FE8" w:rsidRDefault="009C0D73">
      <w:pPr>
        <w:pStyle w:val="NormaleWeb"/>
        <w:spacing w:beforeAutospacing="1" w:afterAutospacing="1"/>
        <w:rPr>
          <w:rStyle w:val="Enfasigrassetto"/>
          <w:rFonts w:cs="Arial"/>
          <w:color w:val="000000" w:themeColor="text1"/>
        </w:rPr>
      </w:pPr>
      <w:r w:rsidRPr="00797FE8">
        <w:rPr>
          <w:rFonts w:cs="Arial"/>
          <w:color w:val="000000" w:themeColor="text1"/>
        </w:rPr>
        <w:t>New crudes require</w:t>
      </w:r>
      <w:r w:rsidR="00907BE5" w:rsidRPr="00797FE8">
        <w:rPr>
          <w:rFonts w:cs="Arial"/>
          <w:color w:val="000000" w:themeColor="text1"/>
        </w:rPr>
        <w:t xml:space="preserve"> a detailed processability </w:t>
      </w:r>
      <w:r w:rsidRPr="00797FE8">
        <w:rPr>
          <w:rFonts w:cs="Arial"/>
          <w:color w:val="000000" w:themeColor="text1"/>
        </w:rPr>
        <w:t>assessment;</w:t>
      </w:r>
      <w:r w:rsidR="00907BE5" w:rsidRPr="00797FE8">
        <w:rPr>
          <w:rFonts w:cs="Arial"/>
          <w:color w:val="000000" w:themeColor="text1"/>
        </w:rPr>
        <w:t xml:space="preserve"> </w:t>
      </w:r>
      <w:r w:rsidRPr="00797FE8">
        <w:rPr>
          <w:rFonts w:cs="Arial"/>
          <w:color w:val="000000" w:themeColor="text1"/>
        </w:rPr>
        <w:t>however</w:t>
      </w:r>
      <w:r w:rsidR="00907BE5" w:rsidRPr="00797FE8">
        <w:rPr>
          <w:rFonts w:cs="Arial"/>
          <w:color w:val="000000" w:themeColor="text1"/>
        </w:rPr>
        <w:t>, the increasing variability among available crudes requires faster and more efficient evaluation methods. Traditionally, this process required significant time and effort. Recognizing this challenge, RAM initiated the development of a new digital tool—</w:t>
      </w:r>
      <w:r w:rsidR="00907BE5" w:rsidRPr="00797FE8">
        <w:rPr>
          <w:rStyle w:val="Enfasigrassetto"/>
          <w:rFonts w:cs="Arial"/>
          <w:color w:val="000000" w:themeColor="text1"/>
        </w:rPr>
        <w:t>CRUDoku.</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The CRUDoku tool was designed with three main objectives in mind:</w:t>
      </w:r>
    </w:p>
    <w:p w:rsidR="00502A65" w:rsidRPr="00797FE8" w:rsidRDefault="00907BE5">
      <w:pPr>
        <w:pStyle w:val="NormaleWeb"/>
        <w:numPr>
          <w:ilvl w:val="0"/>
          <w:numId w:val="15"/>
        </w:numPr>
        <w:spacing w:beforeAutospacing="1" w:afterAutospacing="1"/>
        <w:ind w:left="720"/>
        <w:rPr>
          <w:rFonts w:cs="Arial"/>
          <w:color w:val="000000" w:themeColor="text1"/>
        </w:rPr>
      </w:pPr>
      <w:r w:rsidRPr="00797FE8">
        <w:rPr>
          <w:rStyle w:val="Enfasigrassetto"/>
          <w:rFonts w:cs="Arial"/>
          <w:color w:val="000000" w:themeColor="text1"/>
        </w:rPr>
        <w:t>Determine the maximum processability</w:t>
      </w:r>
      <w:r w:rsidRPr="00797FE8">
        <w:rPr>
          <w:rFonts w:cs="Arial"/>
          <w:color w:val="000000" w:themeColor="text1"/>
        </w:rPr>
        <w:t xml:space="preserve"> of a selected new crude, given current plant capabilities.</w:t>
      </w:r>
    </w:p>
    <w:p w:rsidR="00502A65" w:rsidRPr="00797FE8" w:rsidRDefault="00907BE5">
      <w:pPr>
        <w:pStyle w:val="NormaleWeb"/>
        <w:numPr>
          <w:ilvl w:val="0"/>
          <w:numId w:val="15"/>
        </w:numPr>
        <w:spacing w:beforeAutospacing="1" w:afterAutospacing="1"/>
        <w:ind w:left="720"/>
        <w:rPr>
          <w:rFonts w:cs="Arial"/>
          <w:color w:val="000000" w:themeColor="text1"/>
        </w:rPr>
      </w:pPr>
      <w:r w:rsidRPr="00797FE8">
        <w:rPr>
          <w:rStyle w:val="Enfasigrassetto"/>
          <w:rFonts w:cs="Arial"/>
          <w:color w:val="000000" w:themeColor="text1"/>
        </w:rPr>
        <w:t>Reduce the time required</w:t>
      </w:r>
      <w:r w:rsidRPr="00797FE8">
        <w:rPr>
          <w:rFonts w:cs="Arial"/>
          <w:color w:val="000000" w:themeColor="text1"/>
        </w:rPr>
        <w:t xml:space="preserve"> to perform this assessment, in this way accelerating the purchase time.</w:t>
      </w:r>
    </w:p>
    <w:p w:rsidR="00502A65" w:rsidRPr="007C02B2" w:rsidRDefault="00907BE5" w:rsidP="007C02B2">
      <w:pPr>
        <w:pStyle w:val="NormaleWeb"/>
        <w:numPr>
          <w:ilvl w:val="0"/>
          <w:numId w:val="15"/>
        </w:numPr>
        <w:spacing w:beforeAutospacing="1" w:afterAutospacing="1"/>
        <w:ind w:left="720"/>
        <w:rPr>
          <w:rFonts w:cs="Arial"/>
          <w:color w:val="000000" w:themeColor="text1"/>
        </w:rPr>
      </w:pPr>
      <w:r w:rsidRPr="00797FE8">
        <w:rPr>
          <w:rStyle w:val="Enfasigrassetto"/>
          <w:rFonts w:cs="Arial"/>
          <w:color w:val="000000" w:themeColor="text1"/>
        </w:rPr>
        <w:t>Identify recurring constraints</w:t>
      </w:r>
      <w:r w:rsidRPr="00797FE8">
        <w:rPr>
          <w:rFonts w:cs="Arial"/>
          <w:color w:val="000000" w:themeColor="text1"/>
        </w:rPr>
        <w:t xml:space="preserve"> that may be overcome through minor plant modifications, allowing the processing of a wider range of crudes.</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 xml:space="preserve">Why is such an evaluation essential? </w:t>
      </w:r>
      <w:r w:rsidR="009C0D73" w:rsidRPr="00797FE8">
        <w:rPr>
          <w:rFonts w:cs="Arial"/>
          <w:color w:val="000000" w:themeColor="text1"/>
        </w:rPr>
        <w:t>It</w:t>
      </w:r>
      <w:r w:rsidRPr="00797FE8">
        <w:rPr>
          <w:rFonts w:cs="Arial"/>
          <w:color w:val="000000" w:themeColor="text1"/>
        </w:rPr>
        <w:t xml:space="preserve"> involves defining a logical and feasible strategy for introducing a new crude oil into the refinery, considering a range of operational and technical constraints. These may include:</w:t>
      </w:r>
    </w:p>
    <w:p w:rsidR="00502A65" w:rsidRPr="00797FE8" w:rsidRDefault="00907BE5">
      <w:pPr>
        <w:pStyle w:val="NormaleWeb"/>
        <w:spacing w:beforeAutospacing="1" w:afterAutospacing="1"/>
        <w:ind w:left="720"/>
        <w:rPr>
          <w:rFonts w:cs="Arial"/>
          <w:color w:val="000000" w:themeColor="text1"/>
        </w:rPr>
      </w:pPr>
      <w:r w:rsidRPr="00797FE8">
        <w:rPr>
          <w:rStyle w:val="Enfasigrassetto"/>
          <w:rFonts w:cs="Arial"/>
          <w:color w:val="000000" w:themeColor="text1"/>
        </w:rPr>
        <w:t>Catalytic limitations</w:t>
      </w:r>
      <w:r w:rsidRPr="00797FE8">
        <w:rPr>
          <w:rFonts w:cs="Arial"/>
          <w:color w:val="000000" w:themeColor="text1"/>
        </w:rPr>
        <w:t>, such as performance and cycle life of existing catalyst systems;</w:t>
      </w:r>
    </w:p>
    <w:p w:rsidR="00502A65" w:rsidRPr="00797FE8" w:rsidRDefault="00907BE5">
      <w:pPr>
        <w:pStyle w:val="NormaleWeb"/>
        <w:spacing w:beforeAutospacing="1" w:afterAutospacing="1"/>
        <w:ind w:left="720"/>
        <w:rPr>
          <w:rFonts w:cs="Arial"/>
          <w:color w:val="000000" w:themeColor="text1"/>
        </w:rPr>
      </w:pPr>
      <w:r w:rsidRPr="00797FE8">
        <w:rPr>
          <w:rStyle w:val="Enfasigrassetto"/>
          <w:rFonts w:cs="Arial"/>
          <w:color w:val="000000" w:themeColor="text1"/>
        </w:rPr>
        <w:t>Process-related constraints</w:t>
      </w:r>
      <w:r w:rsidRPr="00797FE8">
        <w:rPr>
          <w:rFonts w:cs="Arial"/>
          <w:color w:val="000000" w:themeColor="text1"/>
        </w:rPr>
        <w:t>, which depend on the design and flexibility of specific units;</w:t>
      </w:r>
    </w:p>
    <w:p w:rsidR="00502A65" w:rsidRPr="00797FE8" w:rsidRDefault="00907BE5">
      <w:pPr>
        <w:pStyle w:val="NormaleWeb"/>
        <w:spacing w:beforeAutospacing="1" w:afterAutospacing="1"/>
        <w:ind w:left="720"/>
        <w:rPr>
          <w:rFonts w:cs="Arial"/>
          <w:color w:val="000000" w:themeColor="text1"/>
        </w:rPr>
      </w:pPr>
      <w:r w:rsidRPr="00797FE8">
        <w:rPr>
          <w:rStyle w:val="Enfasigrassetto"/>
          <w:rFonts w:cs="Arial"/>
          <w:color w:val="000000" w:themeColor="text1"/>
        </w:rPr>
        <w:t>Metallurgical restrictions</w:t>
      </w:r>
      <w:r w:rsidRPr="00797FE8">
        <w:rPr>
          <w:rFonts w:cs="Arial"/>
          <w:color w:val="000000" w:themeColor="text1"/>
        </w:rPr>
        <w:t>, related to material compatibility and corrosion risk.</w:t>
      </w:r>
    </w:p>
    <w:p w:rsidR="007C02B2" w:rsidRPr="00797FE8" w:rsidRDefault="009C0D73">
      <w:pPr>
        <w:pStyle w:val="NormaleWeb"/>
        <w:spacing w:beforeAutospacing="1" w:afterAutospacing="1"/>
        <w:rPr>
          <w:rFonts w:cs="Arial"/>
          <w:color w:val="000000" w:themeColor="text1"/>
        </w:rPr>
      </w:pPr>
      <w:r w:rsidRPr="00797FE8">
        <w:rPr>
          <w:rFonts w:cs="Arial"/>
          <w:color w:val="000000" w:themeColor="text1"/>
        </w:rPr>
        <w:t>It is</w:t>
      </w:r>
      <w:r w:rsidR="00907BE5" w:rsidRPr="00797FE8">
        <w:rPr>
          <w:rFonts w:cs="Arial"/>
          <w:color w:val="000000" w:themeColor="text1"/>
        </w:rPr>
        <w:t xml:space="preserve"> important to note that CRUDoku has been set up specifically for RAM’s current refining needs. However, it can be adjusted and developed for any future requirements.</w:t>
      </w:r>
    </w:p>
    <w:p w:rsidR="00502A65" w:rsidRDefault="00907BE5" w:rsidP="00C27A2B">
      <w:pPr>
        <w:pStyle w:val="NormaleWeb"/>
        <w:spacing w:beforeAutospacing="1" w:afterAutospacing="1"/>
        <w:rPr>
          <w:rFonts w:cs="Arial"/>
          <w:color w:val="000000" w:themeColor="text1"/>
        </w:rPr>
      </w:pPr>
      <w:r w:rsidRPr="00797FE8">
        <w:rPr>
          <w:rFonts w:cs="Arial"/>
          <w:color w:val="000000" w:themeColor="text1"/>
        </w:rPr>
        <w:t>As well as assessing processability, CRUDoku also provides feedback</w:t>
      </w:r>
      <w:r w:rsidR="007C02B2">
        <w:rPr>
          <w:rFonts w:cs="Arial"/>
          <w:color w:val="000000" w:themeColor="text1"/>
        </w:rPr>
        <w:t xml:space="preserve"> </w:t>
      </w:r>
      <w:r w:rsidRPr="00797FE8">
        <w:rPr>
          <w:rFonts w:cs="Arial"/>
          <w:color w:val="000000" w:themeColor="text1"/>
        </w:rPr>
        <w:t xml:space="preserve">about the </w:t>
      </w:r>
      <w:r w:rsidRPr="00797FE8">
        <w:rPr>
          <w:rStyle w:val="Enfasigrassetto"/>
          <w:rFonts w:cs="Arial"/>
          <w:color w:val="000000" w:themeColor="text1"/>
        </w:rPr>
        <w:t>potential instability</w:t>
      </w:r>
      <w:r w:rsidRPr="00797FE8">
        <w:rPr>
          <w:rFonts w:cs="Arial"/>
          <w:color w:val="000000" w:themeColor="text1"/>
        </w:rPr>
        <w:t xml:space="preserve"> of crude blends. While the tool itself does not carry out all the stability checks, it does generate </w:t>
      </w:r>
      <w:r w:rsidR="009C0D73" w:rsidRPr="00797FE8">
        <w:rPr>
          <w:rFonts w:cs="Arial"/>
          <w:color w:val="000000" w:themeColor="text1"/>
        </w:rPr>
        <w:t>warnings, which are</w:t>
      </w:r>
      <w:r w:rsidRPr="00797FE8">
        <w:rPr>
          <w:rFonts w:cs="Arial"/>
          <w:color w:val="000000" w:themeColor="text1"/>
        </w:rPr>
        <w:t xml:space="preserve"> checked through external means such as third-party databases or laboratory analysis.</w:t>
      </w:r>
    </w:p>
    <w:p w:rsidR="00C27A2B" w:rsidRDefault="00C27A2B" w:rsidP="00C27A2B">
      <w:pPr>
        <w:pStyle w:val="NormaleWeb"/>
        <w:spacing w:beforeAutospacing="1" w:afterAutospacing="1"/>
        <w:rPr>
          <w:rFonts w:cs="Arial"/>
          <w:color w:val="000000" w:themeColor="text1"/>
        </w:rPr>
      </w:pPr>
    </w:p>
    <w:p w:rsidR="00C27A2B" w:rsidRPr="00797FE8" w:rsidRDefault="00C27A2B" w:rsidP="00C27A2B">
      <w:pPr>
        <w:pStyle w:val="NormaleWeb"/>
        <w:spacing w:beforeAutospacing="1" w:afterAutospacing="1"/>
        <w:rPr>
          <w:rFonts w:cs="Arial"/>
          <w:color w:val="000000" w:themeColor="text1"/>
        </w:rPr>
      </w:pPr>
    </w:p>
    <w:p w:rsidR="00502A65" w:rsidRPr="00797FE8" w:rsidRDefault="00907BE5">
      <w:pPr>
        <w:pStyle w:val="CETHeading1"/>
        <w:numPr>
          <w:ilvl w:val="0"/>
          <w:numId w:val="16"/>
        </w:numPr>
        <w:rPr>
          <w:rFonts w:cs="Arial"/>
          <w:color w:val="000000" w:themeColor="text1"/>
          <w:sz w:val="24"/>
          <w:szCs w:val="24"/>
          <w:lang w:val="en-GB"/>
        </w:rPr>
      </w:pPr>
      <w:r w:rsidRPr="00797FE8">
        <w:rPr>
          <w:rFonts w:cs="Arial"/>
          <w:color w:val="000000" w:themeColor="text1"/>
          <w:sz w:val="24"/>
          <w:szCs w:val="24"/>
          <w:lang w:val="en-GB"/>
        </w:rPr>
        <w:lastRenderedPageBreak/>
        <w:t>Crude Processability – Evaluation Software</w:t>
      </w:r>
    </w:p>
    <w:p w:rsidR="00502A65" w:rsidRPr="00797FE8" w:rsidRDefault="00502A65">
      <w:pPr>
        <w:pStyle w:val="CETBodytext"/>
        <w:rPr>
          <w:rFonts w:cs="Arial"/>
          <w:color w:val="000000" w:themeColor="text1"/>
          <w:sz w:val="24"/>
          <w:szCs w:val="24"/>
          <w:lang w:val="en-GB"/>
        </w:rPr>
      </w:pPr>
    </w:p>
    <w:p w:rsidR="00502A65" w:rsidRPr="00797FE8" w:rsidRDefault="004F74C8" w:rsidP="00C27A2B">
      <w:pPr>
        <w:pStyle w:val="CETBodytext"/>
        <w:keepNext/>
        <w:jc w:val="left"/>
        <w:rPr>
          <w:rFonts w:cs="Arial"/>
          <w:color w:val="000000" w:themeColor="text1"/>
          <w:sz w:val="24"/>
          <w:szCs w:val="24"/>
          <w:lang w:val="en-GB"/>
        </w:rPr>
      </w:pPr>
      <w:r>
        <w:rPr>
          <w:noProof/>
          <w:lang w:val="it-IT" w:eastAsia="it-IT"/>
        </w:rPr>
        <w:drawing>
          <wp:inline distT="0" distB="0" distL="0" distR="0" wp14:anchorId="2917846A" wp14:editId="270CE510">
            <wp:extent cx="5420528" cy="3078000"/>
            <wp:effectExtent l="19050" t="19050" r="27940" b="273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614" t="7186" r="6031" b="3624"/>
                    <a:stretch/>
                  </pic:blipFill>
                  <pic:spPr bwMode="auto">
                    <a:xfrm>
                      <a:off x="0" y="0"/>
                      <a:ext cx="5420528" cy="307800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502A65" w:rsidRPr="00797FE8" w:rsidRDefault="00907BE5" w:rsidP="00C27A2B">
      <w:pPr>
        <w:pStyle w:val="CETCaption"/>
      </w:pPr>
      <w:r w:rsidRPr="00797FE8">
        <w:t xml:space="preserve">Figure </w:t>
      </w:r>
      <w:r w:rsidRPr="00797FE8">
        <w:fldChar w:fldCharType="begin"/>
      </w:r>
      <w:r w:rsidRPr="00797FE8">
        <w:instrText xml:space="preserve"> SEQ Figure \* ARABIC </w:instrText>
      </w:r>
      <w:r w:rsidRPr="00797FE8">
        <w:fldChar w:fldCharType="separate"/>
      </w:r>
      <w:r w:rsidRPr="00797FE8">
        <w:t>1</w:t>
      </w:r>
      <w:r w:rsidRPr="00797FE8">
        <w:fldChar w:fldCharType="end"/>
      </w:r>
      <w:r w:rsidRPr="00797FE8">
        <w:t xml:space="preserve">. </w:t>
      </w:r>
      <w:r w:rsidRPr="00C27A2B">
        <w:t>CRUDoku</w:t>
      </w:r>
      <w:r w:rsidRPr="00797FE8">
        <w:t xml:space="preserve"> Architecture</w:t>
      </w:r>
    </w:p>
    <w:p w:rsidR="00502A65" w:rsidRPr="00797FE8" w:rsidRDefault="00907BE5">
      <w:pPr>
        <w:pStyle w:val="Titolo3"/>
        <w:keepNext w:val="0"/>
        <w:keepLines w:val="0"/>
        <w:rPr>
          <w:rFonts w:ascii="Arial" w:hAnsi="Arial" w:cs="Arial"/>
          <w:color w:val="000000" w:themeColor="text1"/>
          <w:sz w:val="24"/>
          <w:szCs w:val="24"/>
        </w:rPr>
      </w:pPr>
      <w:r w:rsidRPr="00797FE8">
        <w:rPr>
          <w:rFonts w:ascii="Arial" w:hAnsi="Arial" w:cs="Arial"/>
          <w:color w:val="000000" w:themeColor="text1"/>
          <w:sz w:val="24"/>
          <w:szCs w:val="24"/>
        </w:rPr>
        <w:t>Software Architecture Overview</w:t>
      </w:r>
    </w:p>
    <w:p w:rsidR="00502A65" w:rsidRPr="00797FE8" w:rsidRDefault="00907BE5" w:rsidP="00C27A2B">
      <w:pPr>
        <w:pStyle w:val="NormaleWeb"/>
        <w:spacing w:beforeAutospacing="1" w:afterAutospacing="1"/>
        <w:rPr>
          <w:rFonts w:cs="Arial"/>
          <w:color w:val="000000" w:themeColor="text1"/>
        </w:rPr>
      </w:pPr>
      <w:r w:rsidRPr="00797FE8">
        <w:rPr>
          <w:rFonts w:cs="Arial"/>
          <w:color w:val="000000" w:themeColor="text1"/>
        </w:rPr>
        <w:t>The CRUDOKU software follows a structured, multi-step workflow designed to assess and optimize the processability of new crude oils. Each phase plays a critical role in ensuring that the final blend meets the operational requirements of the refinery’s processing units. Below is a detailed breakdown of each step:</w:t>
      </w:r>
    </w:p>
    <w:p w:rsidR="00502A65" w:rsidRPr="00797FE8" w:rsidRDefault="00907BE5">
      <w:pPr>
        <w:pStyle w:val="Titolo4"/>
        <w:keepNext w:val="0"/>
        <w:keepLines w:val="0"/>
        <w:rPr>
          <w:rFonts w:ascii="Arial" w:hAnsi="Arial" w:cs="Arial"/>
          <w:color w:val="000000" w:themeColor="text1"/>
          <w:sz w:val="24"/>
          <w:szCs w:val="24"/>
        </w:rPr>
      </w:pPr>
      <w:r w:rsidRPr="00797FE8">
        <w:rPr>
          <w:rStyle w:val="Enfasigrassetto"/>
          <w:rFonts w:ascii="Arial" w:hAnsi="Arial" w:cs="Arial"/>
          <w:b/>
          <w:bCs/>
          <w:color w:val="000000" w:themeColor="text1"/>
          <w:sz w:val="24"/>
          <w:szCs w:val="24"/>
        </w:rPr>
        <w:t>Step 1: Input of Crude Assay Data for the Target Crude</w:t>
      </w:r>
    </w:p>
    <w:p w:rsidR="00502A65" w:rsidRPr="00797FE8" w:rsidRDefault="00907BE5">
      <w:pPr>
        <w:rPr>
          <w:rFonts w:cs="Arial"/>
          <w:color w:val="000000" w:themeColor="text1"/>
          <w:sz w:val="24"/>
          <w:szCs w:val="24"/>
        </w:rPr>
      </w:pPr>
      <w:r w:rsidRPr="00797FE8">
        <w:rPr>
          <w:rFonts w:cs="Arial"/>
          <w:color w:val="000000" w:themeColor="text1"/>
          <w:sz w:val="24"/>
          <w:szCs w:val="24"/>
        </w:rPr>
        <w:t>Comprehensive data is collected from Crude Assay, specifically those related to atmospheric residue</w:t>
      </w:r>
    </w:p>
    <w:p w:rsidR="00502A65" w:rsidRPr="00797FE8" w:rsidRDefault="00907BE5">
      <w:pPr>
        <w:pStyle w:val="Titolo4"/>
        <w:keepNext w:val="0"/>
        <w:keepLines w:val="0"/>
        <w:rPr>
          <w:rFonts w:ascii="Arial" w:hAnsi="Arial" w:cs="Arial"/>
          <w:color w:val="000000" w:themeColor="text1"/>
          <w:sz w:val="24"/>
          <w:szCs w:val="24"/>
        </w:rPr>
      </w:pPr>
      <w:r w:rsidRPr="00797FE8">
        <w:rPr>
          <w:rStyle w:val="Enfasigrassetto"/>
          <w:rFonts w:ascii="Arial" w:hAnsi="Arial" w:cs="Arial"/>
          <w:b/>
          <w:bCs/>
          <w:color w:val="000000" w:themeColor="text1"/>
          <w:sz w:val="24"/>
          <w:szCs w:val="24"/>
        </w:rPr>
        <w:t>Step 2: Selection of Diluent Crudes for CDU Feed Blend Formation</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In this phase, one or more "diluent crudes" are selected to be blended with the target crude in order to create the feedstock for the Topping Unit. A "diluent crude" is defined as a previously processed crude that has been successfully processed in the plant without issues.</w:t>
      </w:r>
    </w:p>
    <w:p w:rsidR="00502A65" w:rsidRPr="00797FE8" w:rsidRDefault="00907BE5">
      <w:pPr>
        <w:pStyle w:val="Titolo4"/>
        <w:keepNext w:val="0"/>
        <w:keepLines w:val="0"/>
        <w:rPr>
          <w:rFonts w:ascii="Arial" w:hAnsi="Arial" w:cs="Arial"/>
          <w:color w:val="000000" w:themeColor="text1"/>
          <w:sz w:val="24"/>
          <w:szCs w:val="24"/>
        </w:rPr>
      </w:pPr>
      <w:r w:rsidRPr="00797FE8">
        <w:rPr>
          <w:rStyle w:val="Enfasigrassetto"/>
          <w:rFonts w:ascii="Arial" w:hAnsi="Arial" w:cs="Arial"/>
          <w:b/>
          <w:bCs/>
          <w:color w:val="000000" w:themeColor="text1"/>
          <w:sz w:val="24"/>
          <w:szCs w:val="24"/>
        </w:rPr>
        <w:t>Step 3: Calculation of Blend Characteristics Based on Target Crude Percentage</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At this point, the software calculates the characteristics of the resulting feed mixture, even starting from 100% crude.</w:t>
      </w:r>
    </w:p>
    <w:p w:rsidR="00502A65" w:rsidRPr="00797FE8" w:rsidRDefault="00907BE5">
      <w:pPr>
        <w:pStyle w:val="Titolo4"/>
        <w:keepNext w:val="0"/>
        <w:keepLines w:val="0"/>
        <w:rPr>
          <w:rFonts w:ascii="Arial" w:hAnsi="Arial" w:cs="Arial"/>
          <w:color w:val="000000" w:themeColor="text1"/>
          <w:sz w:val="24"/>
          <w:szCs w:val="24"/>
        </w:rPr>
      </w:pPr>
      <w:r w:rsidRPr="00797FE8">
        <w:rPr>
          <w:rStyle w:val="Enfasigrassetto"/>
          <w:rFonts w:ascii="Arial" w:hAnsi="Arial" w:cs="Arial"/>
          <w:b/>
          <w:bCs/>
          <w:color w:val="000000" w:themeColor="text1"/>
          <w:sz w:val="24"/>
          <w:szCs w:val="24"/>
        </w:rPr>
        <w:lastRenderedPageBreak/>
        <w:t>Step 4: Validation Against Operational Constraints</w:t>
      </w:r>
    </w:p>
    <w:p w:rsidR="00502A65" w:rsidRPr="00797FE8" w:rsidRDefault="00907BE5" w:rsidP="00C27A2B">
      <w:pPr>
        <w:pStyle w:val="NormaleWeb"/>
        <w:spacing w:beforeAutospacing="1" w:afterAutospacing="1"/>
        <w:rPr>
          <w:rFonts w:cs="Arial"/>
          <w:color w:val="000000" w:themeColor="text1"/>
        </w:rPr>
      </w:pPr>
      <w:r w:rsidRPr="00797FE8">
        <w:rPr>
          <w:rFonts w:cs="Arial"/>
          <w:color w:val="000000" w:themeColor="text1"/>
        </w:rPr>
        <w:t>The software then compares the calculated parameters of the blend against a predefined set of operational and product constraints. These constraints, embedded within the tool, represent the technical limits of RAM’s process units (e.g., catalytic performance, metallurgy, cycle life).</w:t>
      </w:r>
    </w:p>
    <w:p w:rsidR="00502A65" w:rsidRPr="00797FE8" w:rsidRDefault="00907BE5">
      <w:pPr>
        <w:pStyle w:val="Titolo3"/>
        <w:keepNext w:val="0"/>
        <w:keepLines w:val="0"/>
        <w:rPr>
          <w:rFonts w:ascii="Arial" w:hAnsi="Arial" w:cs="Arial"/>
          <w:color w:val="000000" w:themeColor="text1"/>
          <w:sz w:val="24"/>
          <w:szCs w:val="24"/>
        </w:rPr>
      </w:pPr>
      <w:r w:rsidRPr="00797FE8">
        <w:rPr>
          <w:rFonts w:ascii="Arial" w:hAnsi="Arial" w:cs="Arial"/>
          <w:color w:val="000000" w:themeColor="text1"/>
          <w:sz w:val="24"/>
          <w:szCs w:val="24"/>
        </w:rPr>
        <w:t>Iterative Evaluation and Optimization</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If the blend meets all constraint thresholds, the mixture is deemed processable and a processability evaluation is given. If not, the software automatically adjusts the proportion of the diluent crude in 5% increments and re-evaluates the mixture.</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This iterative process continues until a processable blend is identified, or all blending possibilities have been exhausted.</w:t>
      </w:r>
    </w:p>
    <w:p w:rsidR="00502A65" w:rsidRPr="00797FE8" w:rsidRDefault="00907BE5" w:rsidP="00C27A2B">
      <w:pPr>
        <w:pStyle w:val="NormaleWeb"/>
        <w:spacing w:beforeAutospacing="1" w:afterAutospacing="1"/>
        <w:rPr>
          <w:rFonts w:cs="Arial"/>
          <w:color w:val="000000" w:themeColor="text1"/>
        </w:rPr>
      </w:pPr>
      <w:r w:rsidRPr="00797FE8">
        <w:rPr>
          <w:rFonts w:cs="Arial"/>
          <w:color w:val="000000" w:themeColor="text1"/>
        </w:rPr>
        <w:t>If there are multiple dilutents, the software explores all feasible combinations—with a maximum of four diluents in a single blend—to identify the most favorable configuration.</w:t>
      </w:r>
    </w:p>
    <w:p w:rsidR="00502A65" w:rsidRPr="00797FE8" w:rsidRDefault="00907BE5">
      <w:pPr>
        <w:pStyle w:val="CETHeading1"/>
        <w:numPr>
          <w:ilvl w:val="0"/>
          <w:numId w:val="16"/>
        </w:numPr>
        <w:rPr>
          <w:rFonts w:cs="Arial"/>
          <w:color w:val="000000" w:themeColor="text1"/>
          <w:sz w:val="24"/>
          <w:szCs w:val="24"/>
          <w:lang w:val="en-GB"/>
        </w:rPr>
      </w:pPr>
      <w:r w:rsidRPr="00797FE8">
        <w:rPr>
          <w:rFonts w:cs="Arial"/>
          <w:color w:val="000000" w:themeColor="text1"/>
          <w:sz w:val="24"/>
          <w:szCs w:val="24"/>
          <w:lang w:val="en-GB"/>
        </w:rPr>
        <w:t>Software section: HS – LS</w:t>
      </w:r>
    </w:p>
    <w:p w:rsidR="00502A65" w:rsidRPr="00797FE8" w:rsidRDefault="00907BE5">
      <w:pPr>
        <w:pStyle w:val="NormaleWeb"/>
        <w:spacing w:beforeAutospacing="1" w:afterAutospacing="1"/>
        <w:rPr>
          <w:rFonts w:cs="Arial"/>
          <w:color w:val="000000" w:themeColor="text1"/>
        </w:rPr>
      </w:pPr>
      <w:r w:rsidRPr="00797FE8">
        <w:rPr>
          <w:rFonts w:cs="Arial"/>
          <w:color w:val="000000" w:themeColor="text1"/>
        </w:rPr>
        <w:t>The CRUDoku tool is structured into two sections, each reflecting one of the main processing cycles in the Milazzo Refinery:</w:t>
      </w:r>
    </w:p>
    <w:p w:rsidR="00502A65" w:rsidRPr="00797FE8" w:rsidRDefault="00907BE5">
      <w:pPr>
        <w:pStyle w:val="NormaleWeb"/>
        <w:spacing w:beforeAutospacing="1" w:afterAutospacing="1"/>
        <w:ind w:left="720"/>
        <w:rPr>
          <w:rFonts w:cs="Arial"/>
          <w:color w:val="000000" w:themeColor="text1"/>
        </w:rPr>
      </w:pPr>
      <w:r w:rsidRPr="00797FE8">
        <w:rPr>
          <w:rStyle w:val="Enfasigrassetto"/>
          <w:rFonts w:cs="Arial"/>
          <w:color w:val="000000" w:themeColor="text1"/>
        </w:rPr>
        <w:t>High Sulfur (HS) Cycle which includes</w:t>
      </w:r>
      <w:r w:rsidRPr="00797FE8">
        <w:rPr>
          <w:rFonts w:cs="Arial"/>
          <w:color w:val="000000" w:themeColor="text1"/>
        </w:rPr>
        <w:t xml:space="preserve"> High Sulfur Crude Distillation Unit (CDU), the Vacuum Distillation Unit (VDU), and the LC-Finer unit.</w:t>
      </w:r>
    </w:p>
    <w:p w:rsidR="00502A65" w:rsidRPr="00797FE8" w:rsidRDefault="00907BE5" w:rsidP="00C27A2B">
      <w:pPr>
        <w:pStyle w:val="NormaleWeb"/>
        <w:spacing w:beforeAutospacing="1" w:afterAutospacing="1"/>
        <w:ind w:left="720"/>
        <w:rPr>
          <w:rFonts w:cs="Arial"/>
          <w:color w:val="000000" w:themeColor="text1"/>
        </w:rPr>
      </w:pPr>
      <w:r w:rsidRPr="00797FE8">
        <w:rPr>
          <w:rStyle w:val="Enfasigrassetto"/>
          <w:rFonts w:cs="Arial"/>
          <w:color w:val="000000" w:themeColor="text1"/>
        </w:rPr>
        <w:t>Low Sulfur (LS) Cycle which comprise of</w:t>
      </w:r>
      <w:r w:rsidRPr="00797FE8">
        <w:rPr>
          <w:rFonts w:cs="Arial"/>
          <w:color w:val="000000" w:themeColor="text1"/>
        </w:rPr>
        <w:t xml:space="preserve"> the Low Sulfur CDU and the Fluid Catalytic Cracking (FCC) unit.</w:t>
      </w:r>
    </w:p>
    <w:p w:rsidR="00502A65" w:rsidRPr="00797FE8" w:rsidRDefault="00502A65">
      <w:pPr>
        <w:pStyle w:val="CETBodytext"/>
        <w:ind w:left="720"/>
        <w:rPr>
          <w:rFonts w:cs="Arial"/>
          <w:color w:val="000000" w:themeColor="text1"/>
          <w:sz w:val="24"/>
          <w:szCs w:val="24"/>
          <w:lang w:val="en-GB"/>
        </w:rPr>
      </w:pPr>
    </w:p>
    <w:p w:rsidR="00502A65" w:rsidRPr="00797FE8" w:rsidRDefault="00907BE5">
      <w:pPr>
        <w:pStyle w:val="CETBodytext"/>
        <w:rPr>
          <w:rFonts w:eastAsia="SimSun" w:cs="Arial"/>
          <w:color w:val="000000" w:themeColor="text1"/>
          <w:sz w:val="24"/>
          <w:szCs w:val="24"/>
          <w:lang w:val="en-GB"/>
        </w:rPr>
      </w:pPr>
      <w:r w:rsidRPr="00797FE8">
        <w:rPr>
          <w:rFonts w:eastAsia="SimSun" w:cs="Arial"/>
          <w:color w:val="000000" w:themeColor="text1"/>
          <w:sz w:val="24"/>
          <w:szCs w:val="24"/>
          <w:lang w:val="en-GB"/>
        </w:rPr>
        <w:t xml:space="preserve">When </w:t>
      </w:r>
      <w:r w:rsidR="00797FE8" w:rsidRPr="00797FE8">
        <w:rPr>
          <w:rFonts w:eastAsia="SimSun" w:cs="Arial"/>
          <w:color w:val="000000" w:themeColor="text1"/>
          <w:sz w:val="24"/>
          <w:szCs w:val="24"/>
          <w:lang w:val="en-GB"/>
        </w:rPr>
        <w:t>analysing</w:t>
      </w:r>
      <w:r w:rsidRPr="00797FE8">
        <w:rPr>
          <w:rFonts w:eastAsia="SimSun" w:cs="Arial"/>
          <w:color w:val="000000" w:themeColor="text1"/>
          <w:sz w:val="24"/>
          <w:szCs w:val="24"/>
          <w:lang w:val="en-GB"/>
        </w:rPr>
        <w:t xml:space="preserve"> the Milazzo Refinery cycle, particular emphasis must be placed on the conversion units—such as the FCC and LC-Finer—which play key role</w:t>
      </w:r>
      <w:r w:rsidR="009C0D73" w:rsidRPr="00797FE8">
        <w:rPr>
          <w:rFonts w:eastAsia="SimSun" w:cs="Arial"/>
          <w:color w:val="000000" w:themeColor="text1"/>
          <w:sz w:val="24"/>
          <w:szCs w:val="24"/>
          <w:lang w:val="en-GB"/>
        </w:rPr>
        <w:t>s</w:t>
      </w:r>
      <w:r w:rsidRPr="00797FE8">
        <w:rPr>
          <w:rFonts w:eastAsia="SimSun" w:cs="Arial"/>
          <w:color w:val="000000" w:themeColor="text1"/>
          <w:sz w:val="24"/>
          <w:szCs w:val="24"/>
          <w:lang w:val="en-GB"/>
        </w:rPr>
        <w:t xml:space="preserve"> in crude selection</w:t>
      </w:r>
      <w:r w:rsidR="009C0D73" w:rsidRPr="00797FE8">
        <w:rPr>
          <w:rFonts w:eastAsia="SimSun" w:cs="Arial"/>
          <w:color w:val="000000" w:themeColor="text1"/>
          <w:sz w:val="24"/>
          <w:szCs w:val="24"/>
          <w:lang w:val="en-GB"/>
        </w:rPr>
        <w:t>.</w:t>
      </w:r>
    </w:p>
    <w:p w:rsidR="00502A65" w:rsidRPr="00797FE8" w:rsidRDefault="00502A65">
      <w:pPr>
        <w:pStyle w:val="CETBodytext"/>
        <w:rPr>
          <w:rFonts w:eastAsia="SimSun" w:cs="Arial"/>
          <w:color w:val="000000" w:themeColor="text1"/>
          <w:sz w:val="24"/>
          <w:szCs w:val="24"/>
          <w:lang w:val="en-GB"/>
        </w:rPr>
      </w:pPr>
    </w:p>
    <w:p w:rsidR="00502A65" w:rsidRPr="00797FE8" w:rsidRDefault="00907BE5">
      <w:pPr>
        <w:pStyle w:val="CETBodytext"/>
        <w:rPr>
          <w:rFonts w:eastAsia="SimSun" w:cs="Arial"/>
          <w:color w:val="000000" w:themeColor="text1"/>
          <w:sz w:val="24"/>
          <w:szCs w:val="24"/>
          <w:lang w:val="en-GB"/>
        </w:rPr>
      </w:pPr>
      <w:r w:rsidRPr="00797FE8">
        <w:rPr>
          <w:rFonts w:eastAsia="SimSun" w:cs="Arial"/>
          <w:color w:val="000000" w:themeColor="text1"/>
          <w:sz w:val="24"/>
          <w:szCs w:val="24"/>
          <w:lang w:val="en-GB"/>
        </w:rPr>
        <w:t xml:space="preserve">In the High </w:t>
      </w:r>
      <w:r w:rsidR="00797FE8" w:rsidRPr="00797FE8">
        <w:rPr>
          <w:rFonts w:eastAsia="SimSun" w:cs="Arial"/>
          <w:color w:val="000000" w:themeColor="text1"/>
          <w:sz w:val="24"/>
          <w:szCs w:val="24"/>
          <w:lang w:val="en-GB"/>
        </w:rPr>
        <w:t>Sulphur</w:t>
      </w:r>
      <w:r w:rsidRPr="00797FE8">
        <w:rPr>
          <w:rFonts w:eastAsia="SimSun" w:cs="Arial"/>
          <w:color w:val="000000" w:themeColor="text1"/>
          <w:sz w:val="24"/>
          <w:szCs w:val="24"/>
          <w:lang w:val="en-GB"/>
        </w:rPr>
        <w:t xml:space="preserve"> cycle, CRUDoku evaluates the CDU and VDU units, where both crude oil and high-</w:t>
      </w:r>
      <w:r w:rsidR="00797FE8" w:rsidRPr="00797FE8">
        <w:rPr>
          <w:rFonts w:eastAsia="SimSun" w:cs="Arial"/>
          <w:color w:val="000000" w:themeColor="text1"/>
          <w:sz w:val="24"/>
          <w:szCs w:val="24"/>
          <w:lang w:val="en-GB"/>
        </w:rPr>
        <w:t>sulphur</w:t>
      </w:r>
      <w:r w:rsidRPr="00797FE8">
        <w:rPr>
          <w:rFonts w:eastAsia="SimSun" w:cs="Arial"/>
          <w:color w:val="000000" w:themeColor="text1"/>
          <w:sz w:val="24"/>
          <w:szCs w:val="24"/>
          <w:lang w:val="en-GB"/>
        </w:rPr>
        <w:t xml:space="preserve"> atmospheric residue can be introduced</w:t>
      </w:r>
    </w:p>
    <w:p w:rsidR="00502A65" w:rsidRPr="00797FE8" w:rsidRDefault="00907BE5">
      <w:pPr>
        <w:pStyle w:val="CETBodytext"/>
        <w:rPr>
          <w:rFonts w:cs="Arial"/>
          <w:color w:val="000000" w:themeColor="text1"/>
          <w:sz w:val="24"/>
          <w:szCs w:val="24"/>
          <w:lang w:val="en-GB"/>
        </w:rPr>
      </w:pPr>
      <w:r w:rsidRPr="00797FE8">
        <w:rPr>
          <w:rFonts w:cs="Arial"/>
          <w:color w:val="000000" w:themeColor="text1"/>
          <w:sz w:val="24"/>
          <w:szCs w:val="24"/>
          <w:lang w:val="en-GB"/>
        </w:rPr>
        <w:t>Crude oil feeds the Topping, while the Vacuum unit is fed with the Atmospheric Residue, coming from CDU bottom; in the Vacuum column the Atmospheric Residue is divided into VGO, fed to Hydrocracker unit and Vacuum Residue fed to LC-finer unit.</w:t>
      </w:r>
    </w:p>
    <w:p w:rsidR="00502A65" w:rsidRPr="00797FE8" w:rsidRDefault="00502A65">
      <w:pPr>
        <w:pStyle w:val="CETBodytext"/>
        <w:rPr>
          <w:rFonts w:cs="Arial"/>
          <w:color w:val="000000" w:themeColor="text1"/>
          <w:sz w:val="24"/>
          <w:szCs w:val="24"/>
          <w:lang w:val="en-GB"/>
        </w:rPr>
      </w:pPr>
    </w:p>
    <w:p w:rsidR="00502A65" w:rsidRPr="00C27A2B" w:rsidRDefault="00907BE5" w:rsidP="00C27A2B">
      <w:pPr>
        <w:pStyle w:val="CETBodytext"/>
        <w:rPr>
          <w:rFonts w:cs="Arial"/>
          <w:color w:val="000000" w:themeColor="text1"/>
          <w:sz w:val="24"/>
          <w:szCs w:val="24"/>
          <w:lang w:val="en-GB"/>
        </w:rPr>
      </w:pPr>
      <w:r w:rsidRPr="00797FE8">
        <w:rPr>
          <w:rFonts w:cs="Arial"/>
          <w:color w:val="000000" w:themeColor="text1"/>
          <w:sz w:val="24"/>
          <w:szCs w:val="24"/>
          <w:lang w:val="en-GB"/>
        </w:rPr>
        <w:t xml:space="preserve">In the Low Sulphur Cycle, the tool focuses on </w:t>
      </w:r>
      <w:r w:rsidR="00E77CCD" w:rsidRPr="00797FE8">
        <w:rPr>
          <w:rFonts w:cs="Arial"/>
          <w:color w:val="000000" w:themeColor="text1"/>
          <w:sz w:val="24"/>
          <w:szCs w:val="24"/>
          <w:lang w:val="en-GB"/>
        </w:rPr>
        <w:t>CDU, which</w:t>
      </w:r>
      <w:r w:rsidRPr="00797FE8">
        <w:rPr>
          <w:rFonts w:cs="Arial"/>
          <w:color w:val="000000" w:themeColor="text1"/>
          <w:sz w:val="24"/>
          <w:szCs w:val="24"/>
          <w:lang w:val="en-GB"/>
        </w:rPr>
        <w:t xml:space="preserve"> processes Low Sulphur Crude, and FCC, which processes the LS AR.</w:t>
      </w:r>
    </w:p>
    <w:p w:rsidR="00502A65" w:rsidRPr="00797FE8" w:rsidRDefault="00907BE5" w:rsidP="009C0D73">
      <w:pPr>
        <w:pStyle w:val="CETheadingx"/>
        <w:numPr>
          <w:ilvl w:val="1"/>
          <w:numId w:val="16"/>
        </w:numPr>
        <w:rPr>
          <w:rFonts w:cs="Arial"/>
          <w:color w:val="000000" w:themeColor="text1"/>
          <w:sz w:val="24"/>
          <w:szCs w:val="24"/>
          <w:lang w:val="en-GB"/>
        </w:rPr>
      </w:pPr>
      <w:r w:rsidRPr="00797FE8">
        <w:rPr>
          <w:rFonts w:cs="Arial"/>
          <w:color w:val="000000" w:themeColor="text1"/>
          <w:sz w:val="24"/>
          <w:szCs w:val="24"/>
          <w:lang w:val="en-GB"/>
        </w:rPr>
        <w:lastRenderedPageBreak/>
        <w:t>CDU and VDU - Plant Constraint</w:t>
      </w:r>
    </w:p>
    <w:p w:rsidR="00563045" w:rsidRPr="00797FE8" w:rsidRDefault="00563045" w:rsidP="00563045">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For the Vacuum and Atmospheric Distillation Units (VDU and CDU), the tool first evaluates cut yields to determine whether the selected crude is processable from a hy</w:t>
      </w:r>
      <w:r w:rsidR="008200FE" w:rsidRPr="00797FE8">
        <w:rPr>
          <w:rFonts w:cs="Arial"/>
          <w:color w:val="000000" w:themeColor="text1"/>
          <w:sz w:val="24"/>
          <w:szCs w:val="24"/>
          <w:lang w:eastAsia="it-IT"/>
        </w:rPr>
        <w:t>draulic standpoint. For example</w:t>
      </w:r>
      <w:r w:rsidRPr="00797FE8">
        <w:rPr>
          <w:rFonts w:cs="Arial"/>
          <w:color w:val="000000" w:themeColor="text1"/>
          <w:sz w:val="24"/>
          <w:szCs w:val="24"/>
          <w:lang w:eastAsia="it-IT"/>
        </w:rPr>
        <w:t xml:space="preserve">, a naphtha yield exceeding 30–35 wt% in the CDU can lead to potential clogging in the system overhead. </w:t>
      </w:r>
      <w:r w:rsidR="008200FE" w:rsidRPr="00797FE8">
        <w:rPr>
          <w:rFonts w:cs="Arial"/>
          <w:color w:val="000000" w:themeColor="text1"/>
          <w:sz w:val="24"/>
          <w:szCs w:val="24"/>
          <w:lang w:eastAsia="it-IT"/>
        </w:rPr>
        <w:t>In addition</w:t>
      </w:r>
      <w:r w:rsidRPr="00797FE8">
        <w:rPr>
          <w:rFonts w:cs="Arial"/>
          <w:color w:val="000000" w:themeColor="text1"/>
          <w:sz w:val="24"/>
          <w:szCs w:val="24"/>
          <w:lang w:eastAsia="it-IT"/>
        </w:rPr>
        <w:t>, if the atmospheric residue yield is too low, there may be insufficient heat to maintain efficiency in the preheat train.</w:t>
      </w:r>
    </w:p>
    <w:p w:rsidR="00563045" w:rsidRPr="00797FE8" w:rsidRDefault="00A25E9C" w:rsidP="00563045">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Next, the tool assesses</w:t>
      </w:r>
      <w:r w:rsidR="008D543D" w:rsidRPr="00797FE8">
        <w:rPr>
          <w:rFonts w:cs="Arial"/>
          <w:color w:val="000000" w:themeColor="text1"/>
          <w:sz w:val="24"/>
          <w:szCs w:val="24"/>
          <w:lang w:eastAsia="it-IT"/>
        </w:rPr>
        <w:t xml:space="preserve"> crude properties that can affect</w:t>
      </w:r>
      <w:r w:rsidR="00563045" w:rsidRPr="00797FE8">
        <w:rPr>
          <w:rFonts w:cs="Arial"/>
          <w:color w:val="000000" w:themeColor="text1"/>
          <w:sz w:val="24"/>
          <w:szCs w:val="24"/>
          <w:lang w:eastAsia="it-IT"/>
        </w:rPr>
        <w:t xml:space="preserve"> product quality. Parameters such as total </w:t>
      </w:r>
      <w:r w:rsidR="00E77CCD" w:rsidRPr="00797FE8">
        <w:rPr>
          <w:rFonts w:cs="Arial"/>
          <w:color w:val="000000" w:themeColor="text1"/>
          <w:sz w:val="24"/>
          <w:szCs w:val="24"/>
          <w:lang w:eastAsia="it-IT"/>
        </w:rPr>
        <w:t>sulphur</w:t>
      </w:r>
      <w:r w:rsidR="00563045" w:rsidRPr="00797FE8">
        <w:rPr>
          <w:rFonts w:cs="Arial"/>
          <w:color w:val="000000" w:themeColor="text1"/>
          <w:sz w:val="24"/>
          <w:szCs w:val="24"/>
          <w:lang w:eastAsia="it-IT"/>
        </w:rPr>
        <w:t xml:space="preserve"> in the naphtha cut and the presence of oxygenates—commonly found in WTI crudes—are evaluated, as these can </w:t>
      </w:r>
      <w:r w:rsidR="008D543D" w:rsidRPr="00797FE8">
        <w:rPr>
          <w:rFonts w:cs="Arial"/>
          <w:color w:val="000000" w:themeColor="text1"/>
          <w:sz w:val="24"/>
          <w:szCs w:val="24"/>
          <w:lang w:eastAsia="it-IT"/>
        </w:rPr>
        <w:t>influence</w:t>
      </w:r>
      <w:r w:rsidR="00563045" w:rsidRPr="00797FE8">
        <w:rPr>
          <w:rFonts w:cs="Arial"/>
          <w:color w:val="000000" w:themeColor="text1"/>
          <w:sz w:val="24"/>
          <w:szCs w:val="24"/>
          <w:lang w:eastAsia="it-IT"/>
        </w:rPr>
        <w:t xml:space="preserve"> downstream processing. </w:t>
      </w:r>
      <w:r w:rsidR="008D543D" w:rsidRPr="00797FE8">
        <w:rPr>
          <w:rFonts w:cs="Arial"/>
          <w:color w:val="000000" w:themeColor="text1"/>
          <w:sz w:val="24"/>
          <w:szCs w:val="24"/>
          <w:lang w:eastAsia="it-IT"/>
        </w:rPr>
        <w:t>In addition</w:t>
      </w:r>
      <w:r w:rsidR="00563045" w:rsidRPr="00797FE8">
        <w:rPr>
          <w:rFonts w:cs="Arial"/>
          <w:color w:val="000000" w:themeColor="text1"/>
          <w:sz w:val="24"/>
          <w:szCs w:val="24"/>
          <w:lang w:eastAsia="it-IT"/>
        </w:rPr>
        <w:t xml:space="preserve">, total nitrogen in the VGO cut is examined, given its potential to </w:t>
      </w:r>
      <w:r w:rsidRPr="00797FE8">
        <w:rPr>
          <w:rFonts w:cs="Arial"/>
          <w:color w:val="000000" w:themeColor="text1"/>
          <w:sz w:val="24"/>
          <w:szCs w:val="24"/>
          <w:lang w:eastAsia="it-IT"/>
        </w:rPr>
        <w:t>influence the</w:t>
      </w:r>
      <w:r w:rsidR="00563045" w:rsidRPr="00797FE8">
        <w:rPr>
          <w:rFonts w:cs="Arial"/>
          <w:color w:val="000000" w:themeColor="text1"/>
          <w:sz w:val="24"/>
          <w:szCs w:val="24"/>
          <w:lang w:eastAsia="it-IT"/>
        </w:rPr>
        <w:t xml:space="preserve"> catalysts in </w:t>
      </w:r>
      <w:r w:rsidRPr="00797FE8">
        <w:rPr>
          <w:rFonts w:cs="Arial"/>
          <w:color w:val="000000" w:themeColor="text1"/>
          <w:sz w:val="24"/>
          <w:szCs w:val="24"/>
          <w:lang w:eastAsia="it-IT"/>
        </w:rPr>
        <w:t>the hydrocracker unit (fixed bed)</w:t>
      </w:r>
      <w:r w:rsidR="00563045" w:rsidRPr="00797FE8">
        <w:rPr>
          <w:rFonts w:cs="Arial"/>
          <w:color w:val="000000" w:themeColor="text1"/>
          <w:sz w:val="24"/>
          <w:szCs w:val="24"/>
          <w:lang w:eastAsia="it-IT"/>
        </w:rPr>
        <w:t>.</w:t>
      </w:r>
    </w:p>
    <w:p w:rsidR="00563045" w:rsidRPr="00797FE8" w:rsidRDefault="008200FE" w:rsidP="00563045">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P</w:t>
      </w:r>
      <w:r w:rsidR="00563045" w:rsidRPr="00797FE8">
        <w:rPr>
          <w:rFonts w:cs="Arial"/>
          <w:color w:val="000000" w:themeColor="text1"/>
          <w:sz w:val="24"/>
          <w:szCs w:val="24"/>
          <w:lang w:eastAsia="it-IT"/>
        </w:rPr>
        <w:t>roperties affecting metallurgy</w:t>
      </w:r>
      <w:r w:rsidRPr="00797FE8">
        <w:rPr>
          <w:rFonts w:cs="Arial"/>
          <w:color w:val="000000" w:themeColor="text1"/>
          <w:sz w:val="24"/>
          <w:szCs w:val="24"/>
          <w:lang w:eastAsia="it-IT"/>
        </w:rPr>
        <w:t xml:space="preserve"> are also important</w:t>
      </w:r>
      <w:r w:rsidR="00563045" w:rsidRPr="00797FE8">
        <w:rPr>
          <w:rFonts w:cs="Arial"/>
          <w:color w:val="000000" w:themeColor="text1"/>
          <w:sz w:val="24"/>
          <w:szCs w:val="24"/>
          <w:lang w:eastAsia="it-IT"/>
        </w:rPr>
        <w:t xml:space="preserve">, particularly those linked to corrosion, such as </w:t>
      </w:r>
      <w:r w:rsidR="00E77CCD" w:rsidRPr="00797FE8">
        <w:rPr>
          <w:rFonts w:cs="Arial"/>
          <w:color w:val="000000" w:themeColor="text1"/>
          <w:sz w:val="24"/>
          <w:szCs w:val="24"/>
          <w:lang w:eastAsia="it-IT"/>
        </w:rPr>
        <w:t>sulphur</w:t>
      </w:r>
      <w:r w:rsidR="00563045" w:rsidRPr="00797FE8">
        <w:rPr>
          <w:rFonts w:cs="Arial"/>
          <w:color w:val="000000" w:themeColor="text1"/>
          <w:sz w:val="24"/>
          <w:szCs w:val="24"/>
          <w:lang w:eastAsia="it-IT"/>
        </w:rPr>
        <w:t xml:space="preserve"> (which contributes to H</w:t>
      </w:r>
      <w:r w:rsidR="00563045" w:rsidRPr="00797FE8">
        <w:rPr>
          <w:rFonts w:ascii="Cambria Math" w:hAnsi="Cambria Math" w:cs="Cambria Math"/>
          <w:color w:val="000000" w:themeColor="text1"/>
          <w:sz w:val="24"/>
          <w:szCs w:val="24"/>
          <w:lang w:eastAsia="it-IT"/>
        </w:rPr>
        <w:t>₂</w:t>
      </w:r>
      <w:r w:rsidR="00563045" w:rsidRPr="00797FE8">
        <w:rPr>
          <w:rFonts w:cs="Arial"/>
          <w:color w:val="000000" w:themeColor="text1"/>
          <w:sz w:val="24"/>
          <w:szCs w:val="24"/>
          <w:lang w:eastAsia="it-IT"/>
        </w:rPr>
        <w:t xml:space="preserve">S formation) and the Total Acid Number (TAN). </w:t>
      </w:r>
      <w:r w:rsidR="00A25E9C" w:rsidRPr="00797FE8">
        <w:rPr>
          <w:rFonts w:cs="Arial"/>
          <w:color w:val="000000" w:themeColor="text1"/>
          <w:sz w:val="24"/>
          <w:szCs w:val="24"/>
          <w:lang w:eastAsia="it-IT"/>
        </w:rPr>
        <w:t xml:space="preserve">The </w:t>
      </w:r>
      <w:r w:rsidRPr="00797FE8">
        <w:rPr>
          <w:rFonts w:cs="Arial"/>
          <w:color w:val="000000" w:themeColor="text1"/>
          <w:sz w:val="24"/>
          <w:szCs w:val="24"/>
          <w:lang w:eastAsia="it-IT"/>
        </w:rPr>
        <w:t>unit’s</w:t>
      </w:r>
      <w:r w:rsidR="00A25E9C" w:rsidRPr="00797FE8">
        <w:rPr>
          <w:rFonts w:cs="Arial"/>
          <w:color w:val="000000" w:themeColor="text1"/>
          <w:sz w:val="24"/>
          <w:szCs w:val="24"/>
          <w:lang w:eastAsia="it-IT"/>
        </w:rPr>
        <w:t xml:space="preserve"> contamination limits are based on its </w:t>
      </w:r>
      <w:r w:rsidR="00127CAD" w:rsidRPr="00797FE8">
        <w:rPr>
          <w:rFonts w:cs="Arial"/>
          <w:color w:val="000000" w:themeColor="text1"/>
          <w:sz w:val="24"/>
          <w:szCs w:val="24"/>
          <w:lang w:eastAsia="it-IT"/>
        </w:rPr>
        <w:t>metallurgic design.</w:t>
      </w:r>
    </w:p>
    <w:p w:rsidR="00502A65" w:rsidRPr="00797FE8" w:rsidRDefault="00563045" w:rsidP="00C27A2B">
      <w:pPr>
        <w:tabs>
          <w:tab w:val="clear" w:pos="7100"/>
        </w:tabs>
        <w:spacing w:before="100" w:beforeAutospacing="1" w:after="100" w:afterAutospacing="1" w:line="240" w:lineRule="auto"/>
        <w:jc w:val="left"/>
        <w:rPr>
          <w:rFonts w:cs="Arial"/>
          <w:bCs/>
          <w:color w:val="000000" w:themeColor="text1"/>
          <w:sz w:val="24"/>
          <w:szCs w:val="24"/>
        </w:rPr>
      </w:pPr>
      <w:r w:rsidRPr="00797FE8">
        <w:rPr>
          <w:rFonts w:cs="Arial"/>
          <w:color w:val="000000" w:themeColor="text1"/>
          <w:sz w:val="24"/>
          <w:szCs w:val="24"/>
          <w:lang w:eastAsia="it-IT"/>
        </w:rPr>
        <w:t xml:space="preserve">To manage high-TAN crudes, </w:t>
      </w:r>
      <w:r w:rsidR="00127CAD" w:rsidRPr="00797FE8">
        <w:rPr>
          <w:rFonts w:cs="Arial"/>
          <w:color w:val="000000" w:themeColor="text1"/>
          <w:sz w:val="24"/>
          <w:szCs w:val="24"/>
          <w:lang w:eastAsia="it-IT"/>
        </w:rPr>
        <w:t>RAM implemented</w:t>
      </w:r>
      <w:r w:rsidRPr="00797FE8">
        <w:rPr>
          <w:rFonts w:cs="Arial"/>
          <w:color w:val="000000" w:themeColor="text1"/>
          <w:sz w:val="24"/>
          <w:szCs w:val="24"/>
          <w:lang w:eastAsia="it-IT"/>
        </w:rPr>
        <w:t xml:space="preserve"> a chemical treatment system on both the CDU and VDU. This treatment forms a protective film on internal surfaces, </w:t>
      </w:r>
      <w:r w:rsidR="00127CAD" w:rsidRPr="00797FE8">
        <w:rPr>
          <w:rFonts w:cs="Arial"/>
          <w:color w:val="000000" w:themeColor="text1"/>
          <w:sz w:val="24"/>
          <w:szCs w:val="24"/>
          <w:lang w:eastAsia="it-IT"/>
        </w:rPr>
        <w:t>reducing the impact of</w:t>
      </w:r>
      <w:r w:rsidRPr="00797FE8">
        <w:rPr>
          <w:rFonts w:cs="Arial"/>
          <w:color w:val="000000" w:themeColor="text1"/>
          <w:sz w:val="24"/>
          <w:szCs w:val="24"/>
          <w:lang w:eastAsia="it-IT"/>
        </w:rPr>
        <w:t xml:space="preserve"> acid corrosion and enabling the processing of opportunity crudes with </w:t>
      </w:r>
      <w:r w:rsidR="00127CAD" w:rsidRPr="00797FE8">
        <w:rPr>
          <w:rFonts w:cs="Arial"/>
          <w:color w:val="000000" w:themeColor="text1"/>
          <w:sz w:val="24"/>
          <w:szCs w:val="24"/>
          <w:lang w:eastAsia="it-IT"/>
        </w:rPr>
        <w:t>higher</w:t>
      </w:r>
      <w:r w:rsidRPr="00797FE8">
        <w:rPr>
          <w:rFonts w:cs="Arial"/>
          <w:color w:val="000000" w:themeColor="text1"/>
          <w:sz w:val="24"/>
          <w:szCs w:val="24"/>
          <w:lang w:eastAsia="it-IT"/>
        </w:rPr>
        <w:t xml:space="preserve"> TAN levels.</w:t>
      </w:r>
    </w:p>
    <w:p w:rsidR="00502A65" w:rsidRPr="00797FE8" w:rsidRDefault="00A25E9C" w:rsidP="00563045">
      <w:pPr>
        <w:pStyle w:val="CETheadingx"/>
        <w:numPr>
          <w:ilvl w:val="1"/>
          <w:numId w:val="16"/>
        </w:numPr>
        <w:rPr>
          <w:rFonts w:cs="Arial"/>
          <w:color w:val="000000" w:themeColor="text1"/>
          <w:sz w:val="24"/>
          <w:szCs w:val="24"/>
          <w:lang w:val="en-GB"/>
        </w:rPr>
      </w:pPr>
      <w:r w:rsidRPr="00797FE8">
        <w:rPr>
          <w:rFonts w:cs="Arial"/>
          <w:color w:val="000000" w:themeColor="text1"/>
          <w:sz w:val="24"/>
          <w:szCs w:val="24"/>
          <w:lang w:val="en-GB"/>
        </w:rPr>
        <w:t xml:space="preserve"> </w:t>
      </w:r>
      <w:r w:rsidR="00907BE5" w:rsidRPr="00797FE8">
        <w:rPr>
          <w:rFonts w:cs="Arial"/>
          <w:color w:val="000000" w:themeColor="text1"/>
          <w:sz w:val="24"/>
          <w:szCs w:val="24"/>
          <w:lang w:val="en-GB"/>
        </w:rPr>
        <w:t>HS Cycle Section: LC-Finer Process</w:t>
      </w:r>
    </w:p>
    <w:p w:rsidR="002049EE" w:rsidRPr="00797FE8" w:rsidRDefault="002049EE" w:rsidP="002049EE">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 xml:space="preserve">The LC-Finer unit is a specialized hydrotreating system utilizing an ebullated bed catalyst configuration. Licensed by Chevron Lummus Global (CLG), the unit was commissioned at the Milazzo refinery in 1996. Its primary objective is to upgrade Vacuum Residue (VR) into higher-value products such as Naphtha, Atmospheric Gas Oil (AGO), Vacuum Gas Oil (VGO), and Low </w:t>
      </w:r>
      <w:r w:rsidR="00280680" w:rsidRPr="00797FE8">
        <w:rPr>
          <w:rFonts w:cs="Arial"/>
          <w:color w:val="000000" w:themeColor="text1"/>
          <w:sz w:val="24"/>
          <w:szCs w:val="24"/>
          <w:lang w:eastAsia="it-IT"/>
        </w:rPr>
        <w:t>Sulphur</w:t>
      </w:r>
      <w:r w:rsidRPr="00797FE8">
        <w:rPr>
          <w:rFonts w:cs="Arial"/>
          <w:color w:val="000000" w:themeColor="text1"/>
          <w:sz w:val="24"/>
          <w:szCs w:val="24"/>
          <w:lang w:eastAsia="it-IT"/>
        </w:rPr>
        <w:t xml:space="preserve"> Fuel Oil (LSFO).</w:t>
      </w:r>
    </w:p>
    <w:p w:rsidR="002049EE" w:rsidRPr="00797FE8" w:rsidRDefault="002049EE" w:rsidP="002049EE">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Operating at high pressure (approximately 180 bar) and temperature (around 420°C), the process takes place in three ebullated-bed reactors. Within these reactors, multiple reactions occur simultaneously—desulfurization, denitrogenation, demetallation, and the reduction of Conradson Carbon Residue (CCR) and asphaltenes.</w:t>
      </w:r>
    </w:p>
    <w:p w:rsidR="002049EE" w:rsidRPr="00797FE8" w:rsidRDefault="002049EE" w:rsidP="002049EE">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For high-</w:t>
      </w:r>
      <w:r w:rsidR="00280680" w:rsidRPr="00797FE8">
        <w:rPr>
          <w:rFonts w:cs="Arial"/>
          <w:color w:val="000000" w:themeColor="text1"/>
          <w:sz w:val="24"/>
          <w:szCs w:val="24"/>
          <w:lang w:eastAsia="it-IT"/>
        </w:rPr>
        <w:t>sulphur</w:t>
      </w:r>
      <w:r w:rsidRPr="00797FE8">
        <w:rPr>
          <w:rFonts w:cs="Arial"/>
          <w:color w:val="000000" w:themeColor="text1"/>
          <w:sz w:val="24"/>
          <w:szCs w:val="24"/>
          <w:lang w:eastAsia="it-IT"/>
        </w:rPr>
        <w:t xml:space="preserve"> (HS) crudes, CRUDoku </w:t>
      </w:r>
      <w:r w:rsidR="00280680" w:rsidRPr="00797FE8">
        <w:rPr>
          <w:rFonts w:cs="Arial"/>
          <w:color w:val="000000" w:themeColor="text1"/>
          <w:sz w:val="24"/>
          <w:szCs w:val="24"/>
          <w:lang w:eastAsia="it-IT"/>
        </w:rPr>
        <w:t>creates</w:t>
      </w:r>
      <w:r w:rsidRPr="00797FE8">
        <w:rPr>
          <w:rFonts w:cs="Arial"/>
          <w:color w:val="000000" w:themeColor="text1"/>
          <w:sz w:val="24"/>
          <w:szCs w:val="24"/>
          <w:lang w:eastAsia="it-IT"/>
        </w:rPr>
        <w:t xml:space="preserve"> the mix flowrate and compares its characteristics against historical plant data. Using licensor-provided correlations and current operating parameters, the tool estimates feed and process </w:t>
      </w:r>
      <w:r w:rsidR="00280680" w:rsidRPr="00797FE8">
        <w:rPr>
          <w:rFonts w:cs="Arial"/>
          <w:color w:val="000000" w:themeColor="text1"/>
          <w:sz w:val="24"/>
          <w:szCs w:val="24"/>
          <w:lang w:eastAsia="it-IT"/>
        </w:rPr>
        <w:t>behaviour</w:t>
      </w:r>
      <w:r w:rsidRPr="00797FE8">
        <w:rPr>
          <w:rFonts w:cs="Arial"/>
          <w:color w:val="000000" w:themeColor="text1"/>
          <w:sz w:val="24"/>
          <w:szCs w:val="24"/>
          <w:lang w:eastAsia="it-IT"/>
        </w:rPr>
        <w:t xml:space="preserve">, </w:t>
      </w:r>
      <w:r w:rsidR="00280680" w:rsidRPr="00797FE8">
        <w:rPr>
          <w:rFonts w:cs="Arial"/>
          <w:color w:val="000000" w:themeColor="text1"/>
          <w:sz w:val="24"/>
          <w:szCs w:val="24"/>
          <w:lang w:eastAsia="it-IT"/>
        </w:rPr>
        <w:t>releasing</w:t>
      </w:r>
      <w:r w:rsidRPr="00797FE8">
        <w:rPr>
          <w:rFonts w:cs="Arial"/>
          <w:color w:val="000000" w:themeColor="text1"/>
          <w:sz w:val="24"/>
          <w:szCs w:val="24"/>
          <w:lang w:eastAsia="it-IT"/>
        </w:rPr>
        <w:t xml:space="preserve"> a Processability score.</w:t>
      </w:r>
    </w:p>
    <w:p w:rsidR="002049EE" w:rsidRPr="00797FE8" w:rsidRDefault="002049EE" w:rsidP="002049EE">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Key constraints for the LC-Finer include:</w:t>
      </w:r>
    </w:p>
    <w:p w:rsidR="002049EE" w:rsidRPr="00797FE8" w:rsidRDefault="00280680" w:rsidP="002049EE">
      <w:pPr>
        <w:numPr>
          <w:ilvl w:val="0"/>
          <w:numId w:val="19"/>
        </w:num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b/>
          <w:bCs/>
          <w:color w:val="000000" w:themeColor="text1"/>
          <w:sz w:val="24"/>
          <w:szCs w:val="24"/>
          <w:lang w:eastAsia="it-IT"/>
        </w:rPr>
        <w:t>Sulphur</w:t>
      </w:r>
      <w:r w:rsidR="002049EE" w:rsidRPr="00797FE8">
        <w:rPr>
          <w:rFonts w:cs="Arial"/>
          <w:b/>
          <w:bCs/>
          <w:color w:val="000000" w:themeColor="text1"/>
          <w:sz w:val="24"/>
          <w:szCs w:val="24"/>
          <w:lang w:eastAsia="it-IT"/>
        </w:rPr>
        <w:t>:</w:t>
      </w:r>
      <w:r w:rsidR="002049EE" w:rsidRPr="00797FE8">
        <w:rPr>
          <w:rFonts w:cs="Arial"/>
          <w:color w:val="000000" w:themeColor="text1"/>
          <w:sz w:val="24"/>
          <w:szCs w:val="24"/>
          <w:lang w:eastAsia="it-IT"/>
        </w:rPr>
        <w:t xml:space="preserve"> This presents </w:t>
      </w:r>
      <w:r w:rsidRPr="00797FE8">
        <w:rPr>
          <w:rFonts w:cs="Arial"/>
          <w:color w:val="000000" w:themeColor="text1"/>
          <w:sz w:val="24"/>
          <w:szCs w:val="24"/>
          <w:lang w:eastAsia="it-IT"/>
        </w:rPr>
        <w:t>two issues</w:t>
      </w:r>
      <w:r w:rsidR="002049EE" w:rsidRPr="00797FE8">
        <w:rPr>
          <w:rFonts w:cs="Arial"/>
          <w:color w:val="000000" w:themeColor="text1"/>
          <w:sz w:val="24"/>
          <w:szCs w:val="24"/>
          <w:lang w:eastAsia="it-IT"/>
        </w:rPr>
        <w:t xml:space="preserve">. If </w:t>
      </w:r>
      <w:r w:rsidRPr="00797FE8">
        <w:rPr>
          <w:rFonts w:cs="Arial"/>
          <w:color w:val="000000" w:themeColor="text1"/>
          <w:sz w:val="24"/>
          <w:szCs w:val="24"/>
          <w:lang w:eastAsia="it-IT"/>
        </w:rPr>
        <w:t>concentration</w:t>
      </w:r>
      <w:r w:rsidR="002049EE" w:rsidRPr="00797FE8">
        <w:rPr>
          <w:rFonts w:cs="Arial"/>
          <w:color w:val="000000" w:themeColor="text1"/>
          <w:sz w:val="24"/>
          <w:szCs w:val="24"/>
          <w:lang w:eastAsia="it-IT"/>
        </w:rPr>
        <w:t xml:space="preserve"> is too low, the feed lacks the </w:t>
      </w:r>
      <w:r w:rsidRPr="00797FE8">
        <w:rPr>
          <w:rFonts w:cs="Arial"/>
          <w:color w:val="000000" w:themeColor="text1"/>
          <w:sz w:val="24"/>
          <w:szCs w:val="24"/>
          <w:lang w:eastAsia="it-IT"/>
        </w:rPr>
        <w:t>thermal</w:t>
      </w:r>
      <w:r w:rsidR="002049EE" w:rsidRPr="00797FE8">
        <w:rPr>
          <w:rFonts w:cs="Arial"/>
          <w:color w:val="000000" w:themeColor="text1"/>
          <w:sz w:val="24"/>
          <w:szCs w:val="24"/>
          <w:lang w:eastAsia="it-IT"/>
        </w:rPr>
        <w:t xml:space="preserve"> energy required to sustain processing, leading to a </w:t>
      </w:r>
      <w:r w:rsidR="002049EE" w:rsidRPr="00797FE8">
        <w:rPr>
          <w:rFonts w:cs="Arial"/>
          <w:color w:val="000000" w:themeColor="text1"/>
          <w:sz w:val="24"/>
          <w:szCs w:val="24"/>
          <w:lang w:eastAsia="it-IT"/>
        </w:rPr>
        <w:lastRenderedPageBreak/>
        <w:t xml:space="preserve">bottleneck—especially at the furnace. Conversely, high </w:t>
      </w:r>
      <w:r w:rsidRPr="00797FE8">
        <w:rPr>
          <w:rFonts w:cs="Arial"/>
          <w:color w:val="000000" w:themeColor="text1"/>
          <w:sz w:val="24"/>
          <w:szCs w:val="24"/>
          <w:lang w:eastAsia="it-IT"/>
        </w:rPr>
        <w:t>sulphur</w:t>
      </w:r>
      <w:r w:rsidR="002049EE" w:rsidRPr="00797FE8">
        <w:rPr>
          <w:rFonts w:cs="Arial"/>
          <w:color w:val="000000" w:themeColor="text1"/>
          <w:sz w:val="24"/>
          <w:szCs w:val="24"/>
          <w:lang w:eastAsia="it-IT"/>
        </w:rPr>
        <w:t xml:space="preserve"> levels can exceed the metallurgical limits of the unit.</w:t>
      </w:r>
    </w:p>
    <w:p w:rsidR="002049EE" w:rsidRPr="00797FE8" w:rsidRDefault="002049EE" w:rsidP="002049EE">
      <w:pPr>
        <w:numPr>
          <w:ilvl w:val="0"/>
          <w:numId w:val="19"/>
        </w:num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b/>
          <w:bCs/>
          <w:color w:val="000000" w:themeColor="text1"/>
          <w:sz w:val="24"/>
          <w:szCs w:val="24"/>
          <w:lang w:eastAsia="it-IT"/>
        </w:rPr>
        <w:t>Nitrogen and Metals:</w:t>
      </w:r>
      <w:r w:rsidRPr="00797FE8">
        <w:rPr>
          <w:rFonts w:cs="Arial"/>
          <w:color w:val="000000" w:themeColor="text1"/>
          <w:sz w:val="24"/>
          <w:szCs w:val="24"/>
          <w:lang w:eastAsia="it-IT"/>
        </w:rPr>
        <w:t xml:space="preserve"> These contaminants </w:t>
      </w:r>
      <w:r w:rsidR="00280680" w:rsidRPr="00797FE8">
        <w:rPr>
          <w:rFonts w:cs="Arial"/>
          <w:color w:val="000000" w:themeColor="text1"/>
          <w:sz w:val="24"/>
          <w:szCs w:val="24"/>
          <w:lang w:eastAsia="it-IT"/>
        </w:rPr>
        <w:t>cause problems</w:t>
      </w:r>
      <w:r w:rsidRPr="00797FE8">
        <w:rPr>
          <w:rFonts w:cs="Arial"/>
          <w:color w:val="000000" w:themeColor="text1"/>
          <w:sz w:val="24"/>
          <w:szCs w:val="24"/>
          <w:lang w:eastAsia="it-IT"/>
        </w:rPr>
        <w:t xml:space="preserve"> by blocking</w:t>
      </w:r>
      <w:r w:rsidR="00280680" w:rsidRPr="00797FE8">
        <w:rPr>
          <w:rFonts w:cs="Arial"/>
          <w:color w:val="000000" w:themeColor="text1"/>
          <w:sz w:val="24"/>
          <w:szCs w:val="24"/>
          <w:lang w:eastAsia="it-IT"/>
        </w:rPr>
        <w:t xml:space="preserve"> the catalyst at</w:t>
      </w:r>
      <w:r w:rsidRPr="00797FE8">
        <w:rPr>
          <w:rFonts w:cs="Arial"/>
          <w:color w:val="000000" w:themeColor="text1"/>
          <w:sz w:val="24"/>
          <w:szCs w:val="24"/>
          <w:lang w:eastAsia="it-IT"/>
        </w:rPr>
        <w:t xml:space="preserve"> active sites, reducing overall catalytic activity. </w:t>
      </w:r>
      <w:r w:rsidR="00280680" w:rsidRPr="00797FE8">
        <w:rPr>
          <w:rFonts w:cs="Arial"/>
          <w:color w:val="000000" w:themeColor="text1"/>
          <w:sz w:val="24"/>
          <w:szCs w:val="24"/>
          <w:lang w:eastAsia="it-IT"/>
        </w:rPr>
        <w:t>Performance can be maintained by increasing the make-up of fresh catalyst</w:t>
      </w:r>
    </w:p>
    <w:p w:rsidR="002049EE" w:rsidRPr="00797FE8" w:rsidRDefault="002049EE" w:rsidP="002049EE">
      <w:pPr>
        <w:numPr>
          <w:ilvl w:val="0"/>
          <w:numId w:val="19"/>
        </w:num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b/>
          <w:bCs/>
          <w:color w:val="000000" w:themeColor="text1"/>
          <w:sz w:val="24"/>
          <w:szCs w:val="24"/>
          <w:lang w:eastAsia="it-IT"/>
        </w:rPr>
        <w:t>CCR, Asphaltenes, P-Value, and K-UOP:</w:t>
      </w:r>
      <w:r w:rsidRPr="00797FE8">
        <w:rPr>
          <w:rFonts w:cs="Arial"/>
          <w:color w:val="000000" w:themeColor="text1"/>
          <w:sz w:val="24"/>
          <w:szCs w:val="24"/>
          <w:lang w:eastAsia="it-IT"/>
        </w:rPr>
        <w:t xml:space="preserve"> These parameters provide </w:t>
      </w:r>
      <w:r w:rsidR="00280680" w:rsidRPr="00797FE8">
        <w:rPr>
          <w:rFonts w:cs="Arial"/>
          <w:color w:val="000000" w:themeColor="text1"/>
          <w:sz w:val="24"/>
          <w:szCs w:val="24"/>
          <w:lang w:eastAsia="it-IT"/>
        </w:rPr>
        <w:t>information</w:t>
      </w:r>
      <w:r w:rsidRPr="00797FE8">
        <w:rPr>
          <w:rFonts w:cs="Arial"/>
          <w:color w:val="000000" w:themeColor="text1"/>
          <w:sz w:val="24"/>
          <w:szCs w:val="24"/>
          <w:lang w:eastAsia="it-IT"/>
        </w:rPr>
        <w:t xml:space="preserve"> </w:t>
      </w:r>
      <w:r w:rsidR="00280680" w:rsidRPr="00797FE8">
        <w:rPr>
          <w:rFonts w:cs="Arial"/>
          <w:color w:val="000000" w:themeColor="text1"/>
          <w:sz w:val="24"/>
          <w:szCs w:val="24"/>
          <w:lang w:eastAsia="it-IT"/>
        </w:rPr>
        <w:t>on</w:t>
      </w:r>
      <w:r w:rsidRPr="00797FE8">
        <w:rPr>
          <w:rFonts w:cs="Arial"/>
          <w:color w:val="000000" w:themeColor="text1"/>
          <w:sz w:val="24"/>
          <w:szCs w:val="24"/>
          <w:lang w:eastAsia="it-IT"/>
        </w:rPr>
        <w:t xml:space="preserve"> the crude matrix’s </w:t>
      </w:r>
      <w:r w:rsidR="00280680" w:rsidRPr="00797FE8">
        <w:rPr>
          <w:rFonts w:cs="Arial"/>
          <w:color w:val="000000" w:themeColor="text1"/>
          <w:sz w:val="24"/>
          <w:szCs w:val="24"/>
          <w:lang w:eastAsia="it-IT"/>
        </w:rPr>
        <w:t>tendency to precipitate</w:t>
      </w:r>
      <w:r w:rsidRPr="00797FE8">
        <w:rPr>
          <w:rFonts w:cs="Arial"/>
          <w:color w:val="000000" w:themeColor="text1"/>
          <w:sz w:val="24"/>
          <w:szCs w:val="24"/>
          <w:lang w:eastAsia="it-IT"/>
        </w:rPr>
        <w:t>. Elevated values indicate a greater risk of fouling, instability in VTB (LSFO), and failure to meet fuel oil specifications due to excess asphaltenes.</w:t>
      </w:r>
    </w:p>
    <w:p w:rsidR="00502A65" w:rsidRPr="00797FE8" w:rsidRDefault="00907BE5" w:rsidP="00563045">
      <w:pPr>
        <w:pStyle w:val="CETheadingx"/>
        <w:numPr>
          <w:ilvl w:val="1"/>
          <w:numId w:val="16"/>
        </w:numPr>
        <w:rPr>
          <w:rFonts w:cs="Arial"/>
          <w:color w:val="000000" w:themeColor="text1"/>
          <w:sz w:val="24"/>
          <w:szCs w:val="24"/>
          <w:lang w:val="en-GB"/>
        </w:rPr>
      </w:pPr>
      <w:r w:rsidRPr="00797FE8">
        <w:rPr>
          <w:rFonts w:cs="Arial"/>
          <w:color w:val="000000" w:themeColor="text1"/>
          <w:sz w:val="24"/>
          <w:szCs w:val="24"/>
          <w:lang w:val="en-GB"/>
        </w:rPr>
        <w:t>LS Cycle Section: FCC Process</w:t>
      </w: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Commissioned in the 1970s, RAM was among the first conversion units. The process consists of catalytic cracking in a fluidized bed, converting Atmospheric Residue (AR) into high-value products such as LPG and Naphtha.</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Under partial combustion mode, the FCC feed typically consists of 70% Low </w:t>
      </w:r>
      <w:r w:rsidR="00797FE8" w:rsidRPr="00797FE8">
        <w:rPr>
          <w:rFonts w:eastAsiaTheme="minorEastAsia" w:cs="Arial"/>
          <w:color w:val="000000" w:themeColor="text1"/>
          <w:sz w:val="24"/>
          <w:szCs w:val="24"/>
          <w:lang w:val="en-GB"/>
        </w:rPr>
        <w:t>sulphur</w:t>
      </w:r>
      <w:r w:rsidRPr="00797FE8">
        <w:rPr>
          <w:rFonts w:eastAsiaTheme="minorEastAsia" w:cs="Arial"/>
          <w:color w:val="000000" w:themeColor="text1"/>
          <w:sz w:val="24"/>
          <w:szCs w:val="24"/>
          <w:lang w:val="en-GB"/>
        </w:rPr>
        <w:t xml:space="preserve"> Atmospheric Residue, blended with 30% VGO from the LC-Finer unit and UCO from the Hydrocracker.</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Constraints for FCC operations are well </w:t>
      </w:r>
      <w:r w:rsidR="002851FB" w:rsidRPr="00797FE8">
        <w:rPr>
          <w:rFonts w:eastAsiaTheme="minorEastAsia" w:cs="Arial"/>
          <w:color w:val="000000" w:themeColor="text1"/>
          <w:sz w:val="24"/>
          <w:szCs w:val="24"/>
          <w:lang w:val="en-GB"/>
        </w:rPr>
        <w:t>defined</w:t>
      </w:r>
      <w:r w:rsidRPr="00797FE8">
        <w:rPr>
          <w:rFonts w:eastAsiaTheme="minorEastAsia" w:cs="Arial"/>
          <w:color w:val="000000" w:themeColor="text1"/>
          <w:sz w:val="24"/>
          <w:szCs w:val="24"/>
          <w:lang w:val="en-GB"/>
        </w:rPr>
        <w:t xml:space="preserve"> and have been established through years of historical </w:t>
      </w:r>
      <w:r w:rsidR="002851FB" w:rsidRPr="00797FE8">
        <w:rPr>
          <w:rFonts w:eastAsiaTheme="minorEastAsia" w:cs="Arial"/>
          <w:color w:val="000000" w:themeColor="text1"/>
          <w:sz w:val="24"/>
          <w:szCs w:val="24"/>
          <w:lang w:val="en-GB"/>
        </w:rPr>
        <w:t>modelling</w:t>
      </w:r>
      <w:r w:rsidRPr="00797FE8">
        <w:rPr>
          <w:rFonts w:eastAsiaTheme="minorEastAsia" w:cs="Arial"/>
          <w:color w:val="000000" w:themeColor="text1"/>
          <w:sz w:val="24"/>
          <w:szCs w:val="24"/>
          <w:lang w:val="en-GB"/>
        </w:rPr>
        <w:t>. These include:</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2851FB">
      <w:pPr>
        <w:pStyle w:val="CETBodytext"/>
        <w:numPr>
          <w:ilvl w:val="0"/>
          <w:numId w:val="20"/>
        </w:numPr>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Metals (e.g., Nickel and Vanadium): These </w:t>
      </w:r>
      <w:r w:rsidR="002851FB" w:rsidRPr="00797FE8">
        <w:rPr>
          <w:rFonts w:eastAsiaTheme="minorEastAsia" w:cs="Arial"/>
          <w:color w:val="000000" w:themeColor="text1"/>
          <w:sz w:val="24"/>
          <w:szCs w:val="24"/>
          <w:lang w:val="en-GB"/>
        </w:rPr>
        <w:t>hinder the performance of the catalyst system</w:t>
      </w:r>
      <w:r w:rsidRPr="00797FE8">
        <w:rPr>
          <w:rFonts w:eastAsiaTheme="minorEastAsia" w:cs="Arial"/>
          <w:color w:val="000000" w:themeColor="text1"/>
          <w:sz w:val="24"/>
          <w:szCs w:val="24"/>
          <w:lang w:val="en-GB"/>
        </w:rPr>
        <w:t>.</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2851FB">
      <w:pPr>
        <w:pStyle w:val="CETBodytext"/>
        <w:numPr>
          <w:ilvl w:val="0"/>
          <w:numId w:val="20"/>
        </w:numPr>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CCR and Asphaltenes: These properties influence key process limits, such as air blower capacity and maximum regenerator temperature.</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2851FB">
      <w:pPr>
        <w:pStyle w:val="CETBodytext"/>
        <w:numPr>
          <w:ilvl w:val="0"/>
          <w:numId w:val="20"/>
        </w:numPr>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Total and Basic Nitrogen: These affect product yields and selectivity, particularly for more valuable </w:t>
      </w:r>
      <w:r w:rsidR="002851FB" w:rsidRPr="00797FE8">
        <w:rPr>
          <w:rFonts w:eastAsiaTheme="minorEastAsia" w:cs="Arial"/>
          <w:color w:val="000000" w:themeColor="text1"/>
          <w:sz w:val="24"/>
          <w:szCs w:val="24"/>
          <w:lang w:val="en-GB"/>
        </w:rPr>
        <w:t>products.</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2851FB" w:rsidP="002851FB">
      <w:pPr>
        <w:pStyle w:val="CETBodytext"/>
        <w:numPr>
          <w:ilvl w:val="0"/>
          <w:numId w:val="20"/>
        </w:numPr>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Sulphur</w:t>
      </w:r>
      <w:r w:rsidR="008200FE" w:rsidRPr="00797FE8">
        <w:rPr>
          <w:rFonts w:eastAsiaTheme="minorEastAsia" w:cs="Arial"/>
          <w:color w:val="000000" w:themeColor="text1"/>
          <w:sz w:val="24"/>
          <w:szCs w:val="24"/>
          <w:lang w:val="en-GB"/>
        </w:rPr>
        <w:t xml:space="preserve"> Content: </w:t>
      </w:r>
      <w:r w:rsidRPr="00797FE8">
        <w:rPr>
          <w:rFonts w:eastAsiaTheme="minorEastAsia" w:cs="Arial"/>
          <w:color w:val="000000" w:themeColor="text1"/>
          <w:sz w:val="24"/>
          <w:szCs w:val="24"/>
          <w:lang w:val="en-GB"/>
        </w:rPr>
        <w:t>This</w:t>
      </w:r>
      <w:r w:rsidR="008200FE" w:rsidRPr="00797FE8">
        <w:rPr>
          <w:rFonts w:eastAsiaTheme="minorEastAsia" w:cs="Arial"/>
          <w:color w:val="000000" w:themeColor="text1"/>
          <w:sz w:val="24"/>
          <w:szCs w:val="24"/>
          <w:lang w:val="en-GB"/>
        </w:rPr>
        <w:t xml:space="preserve"> impacts emissions targets and constrains downstream units like the Light Cycle Naphtha (LCN) treatment plant.</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For simulations involving low </w:t>
      </w:r>
      <w:r w:rsidR="002851FB" w:rsidRPr="00797FE8">
        <w:rPr>
          <w:rFonts w:eastAsiaTheme="minorEastAsia" w:cs="Arial"/>
          <w:color w:val="000000" w:themeColor="text1"/>
          <w:sz w:val="24"/>
          <w:szCs w:val="24"/>
          <w:lang w:val="en-GB"/>
        </w:rPr>
        <w:t>sulphur</w:t>
      </w:r>
      <w:r w:rsidRPr="00797FE8">
        <w:rPr>
          <w:rFonts w:eastAsiaTheme="minorEastAsia" w:cs="Arial"/>
          <w:color w:val="000000" w:themeColor="text1"/>
          <w:sz w:val="24"/>
          <w:szCs w:val="24"/>
          <w:lang w:val="en-GB"/>
        </w:rPr>
        <w:t xml:space="preserve"> crudes, as with high </w:t>
      </w:r>
      <w:r w:rsidR="002851FB" w:rsidRPr="00797FE8">
        <w:rPr>
          <w:rFonts w:eastAsiaTheme="minorEastAsia" w:cs="Arial"/>
          <w:color w:val="000000" w:themeColor="text1"/>
          <w:sz w:val="24"/>
          <w:szCs w:val="24"/>
          <w:lang w:val="en-GB"/>
        </w:rPr>
        <w:t>sulphur</w:t>
      </w:r>
      <w:r w:rsidRPr="00797FE8">
        <w:rPr>
          <w:rFonts w:eastAsiaTheme="minorEastAsia" w:cs="Arial"/>
          <w:color w:val="000000" w:themeColor="text1"/>
          <w:sz w:val="24"/>
          <w:szCs w:val="24"/>
          <w:lang w:val="en-GB"/>
        </w:rPr>
        <w:t xml:space="preserve"> scenarios, CRUDoku requires the assay of the target crude and a selected diluent crude. In Standard Mode, the tool </w:t>
      </w:r>
      <w:r w:rsidR="002851FB" w:rsidRPr="00797FE8">
        <w:rPr>
          <w:rFonts w:eastAsiaTheme="minorEastAsia" w:cs="Arial"/>
          <w:color w:val="000000" w:themeColor="text1"/>
          <w:sz w:val="24"/>
          <w:szCs w:val="24"/>
          <w:lang w:val="en-GB"/>
        </w:rPr>
        <w:t>calculates</w:t>
      </w:r>
      <w:r w:rsidRPr="00797FE8">
        <w:rPr>
          <w:rFonts w:eastAsiaTheme="minorEastAsia" w:cs="Arial"/>
          <w:color w:val="000000" w:themeColor="text1"/>
          <w:sz w:val="24"/>
          <w:szCs w:val="24"/>
          <w:lang w:val="en-GB"/>
        </w:rPr>
        <w:t xml:space="preserve"> the blended feed characteristics based on </w:t>
      </w:r>
      <w:r w:rsidR="002851FB" w:rsidRPr="00797FE8">
        <w:rPr>
          <w:rFonts w:eastAsiaTheme="minorEastAsia" w:cs="Arial"/>
          <w:color w:val="000000" w:themeColor="text1"/>
          <w:sz w:val="24"/>
          <w:szCs w:val="24"/>
          <w:lang w:val="en-GB"/>
        </w:rPr>
        <w:t>standard</w:t>
      </w:r>
      <w:r w:rsidRPr="00797FE8">
        <w:rPr>
          <w:rFonts w:eastAsiaTheme="minorEastAsia" w:cs="Arial"/>
          <w:color w:val="000000" w:themeColor="text1"/>
          <w:sz w:val="24"/>
          <w:szCs w:val="24"/>
          <w:lang w:val="en-GB"/>
        </w:rPr>
        <w:t xml:space="preserve"> feed setups, particularly focusing on AR percentage,</w:t>
      </w:r>
      <w:r w:rsidR="002851FB" w:rsidRPr="00797FE8">
        <w:rPr>
          <w:rFonts w:eastAsiaTheme="minorEastAsia" w:cs="Arial"/>
          <w:color w:val="000000" w:themeColor="text1"/>
          <w:sz w:val="24"/>
          <w:szCs w:val="24"/>
          <w:lang w:val="en-GB"/>
        </w:rPr>
        <w:t xml:space="preserve"> and checks compatibility with plant</w:t>
      </w:r>
      <w:r w:rsidRPr="00797FE8">
        <w:rPr>
          <w:rFonts w:eastAsiaTheme="minorEastAsia" w:cs="Arial"/>
          <w:color w:val="000000" w:themeColor="text1"/>
          <w:sz w:val="24"/>
          <w:szCs w:val="24"/>
          <w:lang w:val="en-GB"/>
        </w:rPr>
        <w:t xml:space="preserve"> constraints.</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t xml:space="preserve">In </w:t>
      </w:r>
      <w:bookmarkStart w:id="1" w:name="_GoBack"/>
      <w:r w:rsidRPr="00797FE8">
        <w:rPr>
          <w:rFonts w:eastAsiaTheme="minorEastAsia" w:cs="Arial"/>
          <w:color w:val="000000" w:themeColor="text1"/>
          <w:sz w:val="24"/>
          <w:szCs w:val="24"/>
          <w:lang w:val="en-GB"/>
        </w:rPr>
        <w:t xml:space="preserve">Max </w:t>
      </w:r>
      <w:bookmarkEnd w:id="1"/>
      <w:r w:rsidRPr="00797FE8">
        <w:rPr>
          <w:rFonts w:eastAsiaTheme="minorEastAsia" w:cs="Arial"/>
          <w:color w:val="000000" w:themeColor="text1"/>
          <w:sz w:val="24"/>
          <w:szCs w:val="24"/>
          <w:lang w:val="en-GB"/>
        </w:rPr>
        <w:t xml:space="preserve">Mode, the tool allows for a reduction in AR intake to mitigate the impact of limiting parameters by increasing dilution with VGO. This enables processability even when the target crude poses </w:t>
      </w:r>
      <w:r w:rsidR="002851FB" w:rsidRPr="00797FE8">
        <w:rPr>
          <w:rFonts w:eastAsiaTheme="minorEastAsia" w:cs="Arial"/>
          <w:color w:val="000000" w:themeColor="text1"/>
          <w:sz w:val="24"/>
          <w:szCs w:val="24"/>
          <w:lang w:val="en-GB"/>
        </w:rPr>
        <w:t>some</w:t>
      </w:r>
      <w:r w:rsidRPr="00797FE8">
        <w:rPr>
          <w:rFonts w:eastAsiaTheme="minorEastAsia" w:cs="Arial"/>
          <w:color w:val="000000" w:themeColor="text1"/>
          <w:sz w:val="24"/>
          <w:szCs w:val="24"/>
          <w:lang w:val="en-GB"/>
        </w:rPr>
        <w:t xml:space="preserve"> challenges.</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797FE8">
        <w:rPr>
          <w:rFonts w:eastAsiaTheme="minorEastAsia" w:cs="Arial"/>
          <w:color w:val="000000" w:themeColor="text1"/>
          <w:sz w:val="24"/>
          <w:szCs w:val="24"/>
          <w:lang w:val="en-GB"/>
        </w:rPr>
        <w:lastRenderedPageBreak/>
        <w:t xml:space="preserve">Two </w:t>
      </w:r>
      <w:r w:rsidR="002851FB" w:rsidRPr="00797FE8">
        <w:rPr>
          <w:rFonts w:eastAsiaTheme="minorEastAsia" w:cs="Arial"/>
          <w:color w:val="000000" w:themeColor="text1"/>
          <w:sz w:val="24"/>
          <w:szCs w:val="24"/>
          <w:lang w:val="en-GB"/>
        </w:rPr>
        <w:t>other</w:t>
      </w:r>
      <w:r w:rsidRPr="00797FE8">
        <w:rPr>
          <w:rFonts w:eastAsiaTheme="minorEastAsia" w:cs="Arial"/>
          <w:color w:val="000000" w:themeColor="text1"/>
          <w:sz w:val="24"/>
          <w:szCs w:val="24"/>
          <w:lang w:val="en-GB"/>
        </w:rPr>
        <w:t xml:space="preserve"> simulation types are available:</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C27A2B">
        <w:rPr>
          <w:rFonts w:eastAsiaTheme="minorEastAsia" w:cs="Arial"/>
          <w:i/>
          <w:color w:val="000000" w:themeColor="text1"/>
          <w:sz w:val="24"/>
          <w:szCs w:val="24"/>
          <w:lang w:val="en-GB"/>
        </w:rPr>
        <w:t>Spot Simulation:</w:t>
      </w:r>
      <w:r w:rsidRPr="00797FE8">
        <w:rPr>
          <w:rFonts w:eastAsiaTheme="minorEastAsia" w:cs="Arial"/>
          <w:color w:val="000000" w:themeColor="text1"/>
          <w:sz w:val="24"/>
          <w:szCs w:val="24"/>
          <w:lang w:val="en-GB"/>
        </w:rPr>
        <w:t xml:space="preserve"> At a standard feed setup, the tool </w:t>
      </w:r>
      <w:r w:rsidR="002851FB" w:rsidRPr="00797FE8">
        <w:rPr>
          <w:rFonts w:eastAsiaTheme="minorEastAsia" w:cs="Arial"/>
          <w:color w:val="000000" w:themeColor="text1"/>
          <w:sz w:val="24"/>
          <w:szCs w:val="24"/>
          <w:lang w:val="en-GB"/>
        </w:rPr>
        <w:t xml:space="preserve">requires further information, </w:t>
      </w:r>
      <w:r w:rsidRPr="00797FE8">
        <w:rPr>
          <w:rFonts w:eastAsiaTheme="minorEastAsia" w:cs="Arial"/>
          <w:color w:val="000000" w:themeColor="text1"/>
          <w:sz w:val="24"/>
          <w:szCs w:val="24"/>
          <w:lang w:val="en-GB"/>
        </w:rPr>
        <w:t xml:space="preserve">such as ECAT (equilibrium catalyst) characteristics, cargo size, flowrate, catalyst inventory, and Catalyst-to-Oil Ratio (CAR). This mode estimates metal accumulation on ECAT over the processing period and compares </w:t>
      </w:r>
      <w:r w:rsidR="00795DF7" w:rsidRPr="00797FE8">
        <w:rPr>
          <w:rFonts w:eastAsiaTheme="minorEastAsia" w:cs="Arial"/>
          <w:color w:val="000000" w:themeColor="text1"/>
          <w:sz w:val="24"/>
          <w:szCs w:val="24"/>
          <w:lang w:val="en-GB"/>
        </w:rPr>
        <w:t>these with input constraints.</w:t>
      </w:r>
    </w:p>
    <w:p w:rsidR="008200FE" w:rsidRPr="00797FE8" w:rsidRDefault="008200FE" w:rsidP="008200FE">
      <w:pPr>
        <w:pStyle w:val="CETBodytext"/>
        <w:rPr>
          <w:rFonts w:eastAsiaTheme="minorEastAsia" w:cs="Arial"/>
          <w:color w:val="000000" w:themeColor="text1"/>
          <w:sz w:val="24"/>
          <w:szCs w:val="24"/>
          <w:lang w:val="en-GB"/>
        </w:rPr>
      </w:pPr>
    </w:p>
    <w:p w:rsidR="008200FE" w:rsidRPr="00797FE8" w:rsidRDefault="008200FE" w:rsidP="008200FE">
      <w:pPr>
        <w:pStyle w:val="CETBodytext"/>
        <w:rPr>
          <w:rFonts w:eastAsiaTheme="minorEastAsia" w:cs="Arial"/>
          <w:color w:val="000000" w:themeColor="text1"/>
          <w:sz w:val="24"/>
          <w:szCs w:val="24"/>
          <w:lang w:val="en-GB"/>
        </w:rPr>
      </w:pPr>
      <w:r w:rsidRPr="00C27A2B">
        <w:rPr>
          <w:rFonts w:eastAsiaTheme="minorEastAsia" w:cs="Arial"/>
          <w:i/>
          <w:color w:val="000000" w:themeColor="text1"/>
          <w:sz w:val="24"/>
          <w:szCs w:val="24"/>
          <w:lang w:val="en-GB"/>
        </w:rPr>
        <w:t>Max Spot Simulation:</w:t>
      </w:r>
      <w:r w:rsidRPr="00797FE8">
        <w:rPr>
          <w:rFonts w:eastAsiaTheme="minorEastAsia" w:cs="Arial"/>
          <w:color w:val="000000" w:themeColor="text1"/>
          <w:sz w:val="24"/>
          <w:szCs w:val="24"/>
          <w:lang w:val="en-GB"/>
        </w:rPr>
        <w:t xml:space="preserve"> Similar to Spot Mode, but if convergence is not achieved, the </w:t>
      </w:r>
      <w:r w:rsidR="00795DF7" w:rsidRPr="00797FE8">
        <w:rPr>
          <w:rFonts w:eastAsiaTheme="minorEastAsia" w:cs="Arial"/>
          <w:color w:val="000000" w:themeColor="text1"/>
          <w:sz w:val="24"/>
          <w:szCs w:val="24"/>
          <w:lang w:val="en-GB"/>
        </w:rPr>
        <w:t>simulator</w:t>
      </w:r>
      <w:r w:rsidRPr="00797FE8">
        <w:rPr>
          <w:rFonts w:eastAsiaTheme="minorEastAsia" w:cs="Arial"/>
          <w:color w:val="000000" w:themeColor="text1"/>
          <w:sz w:val="24"/>
          <w:szCs w:val="24"/>
          <w:lang w:val="en-GB"/>
        </w:rPr>
        <w:t xml:space="preserve"> automatically reduces the AR portion of the feed to </w:t>
      </w:r>
      <w:r w:rsidR="00795DF7" w:rsidRPr="00797FE8">
        <w:rPr>
          <w:rFonts w:eastAsiaTheme="minorEastAsia" w:cs="Arial"/>
          <w:color w:val="000000" w:themeColor="text1"/>
          <w:sz w:val="24"/>
          <w:szCs w:val="24"/>
          <w:lang w:val="en-GB"/>
        </w:rPr>
        <w:t>achieve processability.</w:t>
      </w:r>
    </w:p>
    <w:p w:rsidR="00502A65" w:rsidRPr="00797FE8" w:rsidRDefault="00257B65">
      <w:pPr>
        <w:pStyle w:val="CETheadingx"/>
        <w:numPr>
          <w:ilvl w:val="0"/>
          <w:numId w:val="0"/>
        </w:numPr>
        <w:rPr>
          <w:rFonts w:cs="Arial"/>
          <w:color w:val="000000" w:themeColor="text1"/>
          <w:sz w:val="24"/>
          <w:szCs w:val="24"/>
          <w:lang w:val="en-GB"/>
        </w:rPr>
      </w:pPr>
      <w:r>
        <w:rPr>
          <w:noProof/>
          <w:lang w:val="it-IT" w:eastAsia="it-IT"/>
        </w:rPr>
        <w:drawing>
          <wp:inline distT="0" distB="0" distL="0" distR="0" wp14:anchorId="7367579B" wp14:editId="306869DD">
            <wp:extent cx="5474099" cy="3078000"/>
            <wp:effectExtent l="19050" t="19050" r="12700" b="273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287" t="7784" r="5482" b="4023"/>
                    <a:stretch/>
                  </pic:blipFill>
                  <pic:spPr bwMode="auto">
                    <a:xfrm>
                      <a:off x="0" y="0"/>
                      <a:ext cx="5474099" cy="307800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502A65" w:rsidRDefault="00907BE5" w:rsidP="00C27A2B">
      <w:pPr>
        <w:pStyle w:val="CETCaption"/>
      </w:pPr>
      <w:r w:rsidRPr="00797FE8">
        <w:t xml:space="preserve">Figure </w:t>
      </w:r>
      <w:r w:rsidRPr="00797FE8">
        <w:fldChar w:fldCharType="begin"/>
      </w:r>
      <w:r w:rsidRPr="00797FE8">
        <w:instrText xml:space="preserve"> SEQ Figure \* ARABIC </w:instrText>
      </w:r>
      <w:r w:rsidRPr="00797FE8">
        <w:fldChar w:fldCharType="separate"/>
      </w:r>
      <w:r w:rsidRPr="00797FE8">
        <w:t>4</w:t>
      </w:r>
      <w:r w:rsidRPr="00797FE8">
        <w:fldChar w:fldCharType="end"/>
      </w:r>
      <w:r w:rsidRPr="00797FE8">
        <w:t xml:space="preserve">. LS </w:t>
      </w:r>
      <w:r w:rsidRPr="00C27A2B">
        <w:t>simulation</w:t>
      </w:r>
      <w:r w:rsidRPr="00797FE8">
        <w:t xml:space="preserve"> opportunity</w:t>
      </w:r>
      <w:r w:rsidRPr="00797FE8">
        <w:tab/>
      </w:r>
    </w:p>
    <w:p w:rsidR="00502A65" w:rsidRPr="00797FE8" w:rsidRDefault="00907BE5" w:rsidP="00563045">
      <w:pPr>
        <w:pStyle w:val="CETHeading1"/>
        <w:numPr>
          <w:ilvl w:val="0"/>
          <w:numId w:val="16"/>
        </w:numPr>
        <w:rPr>
          <w:rFonts w:cs="Arial"/>
          <w:color w:val="000000" w:themeColor="text1"/>
          <w:sz w:val="24"/>
          <w:szCs w:val="24"/>
          <w:lang w:val="en-GB"/>
        </w:rPr>
      </w:pPr>
      <w:r w:rsidRPr="00797FE8">
        <w:rPr>
          <w:rFonts w:cs="Arial"/>
          <w:color w:val="000000" w:themeColor="text1"/>
          <w:sz w:val="24"/>
          <w:szCs w:val="24"/>
          <w:lang w:val="en-GB"/>
        </w:rPr>
        <w:t>Conclusions</w:t>
      </w:r>
    </w:p>
    <w:p w:rsidR="00795DF7" w:rsidRPr="00795DF7" w:rsidRDefault="00795DF7" w:rsidP="00795DF7">
      <w:pPr>
        <w:tabs>
          <w:tab w:val="clear" w:pos="7100"/>
        </w:tabs>
        <w:spacing w:before="100" w:beforeAutospacing="1" w:after="100" w:afterAutospacing="1" w:line="240" w:lineRule="auto"/>
        <w:jc w:val="left"/>
        <w:rPr>
          <w:rFonts w:cs="Arial"/>
          <w:color w:val="000000" w:themeColor="text1"/>
          <w:sz w:val="24"/>
          <w:szCs w:val="24"/>
          <w:lang w:eastAsia="it-IT"/>
        </w:rPr>
      </w:pPr>
      <w:r w:rsidRPr="00795DF7">
        <w:rPr>
          <w:rFonts w:cs="Arial"/>
          <w:color w:val="000000" w:themeColor="text1"/>
          <w:sz w:val="24"/>
          <w:szCs w:val="24"/>
          <w:lang w:eastAsia="it-IT"/>
        </w:rPr>
        <w:t xml:space="preserve">Since the start-up of the tool, approximately 200 new crude assays—80 Low </w:t>
      </w:r>
      <w:r w:rsidRPr="00797FE8">
        <w:rPr>
          <w:rFonts w:cs="Arial"/>
          <w:color w:val="000000" w:themeColor="text1"/>
          <w:sz w:val="24"/>
          <w:szCs w:val="24"/>
          <w:lang w:eastAsia="it-IT"/>
        </w:rPr>
        <w:t>Sulphur</w:t>
      </w:r>
      <w:r w:rsidRPr="00795DF7">
        <w:rPr>
          <w:rFonts w:cs="Arial"/>
          <w:color w:val="000000" w:themeColor="text1"/>
          <w:sz w:val="24"/>
          <w:szCs w:val="24"/>
          <w:lang w:eastAsia="it-IT"/>
        </w:rPr>
        <w:t xml:space="preserve"> (LS) and 120 High </w:t>
      </w:r>
      <w:r w:rsidRPr="00797FE8">
        <w:rPr>
          <w:rFonts w:cs="Arial"/>
          <w:color w:val="000000" w:themeColor="text1"/>
          <w:sz w:val="24"/>
          <w:szCs w:val="24"/>
          <w:lang w:eastAsia="it-IT"/>
        </w:rPr>
        <w:t>Sulphur</w:t>
      </w:r>
      <w:r w:rsidRPr="00795DF7">
        <w:rPr>
          <w:rFonts w:cs="Arial"/>
          <w:color w:val="000000" w:themeColor="text1"/>
          <w:sz w:val="24"/>
          <w:szCs w:val="24"/>
          <w:lang w:eastAsia="it-IT"/>
        </w:rPr>
        <w:t xml:space="preserve"> (HS)—have been assessed.</w:t>
      </w:r>
    </w:p>
    <w:p w:rsidR="00795DF7" w:rsidRPr="00795DF7" w:rsidRDefault="00795DF7" w:rsidP="00795DF7">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More than</w:t>
      </w:r>
      <w:r w:rsidRPr="00795DF7">
        <w:rPr>
          <w:rFonts w:cs="Arial"/>
          <w:color w:val="000000" w:themeColor="text1"/>
          <w:sz w:val="24"/>
          <w:szCs w:val="24"/>
          <w:lang w:eastAsia="it-IT"/>
        </w:rPr>
        <w:t xml:space="preserve"> 800 crude blends have been simulated, leading to the identification of 450 processable mixtures. Among these, a significant number achieved processability scores greater than 20%, with a portion exceeding 40%.</w:t>
      </w:r>
    </w:p>
    <w:p w:rsidR="00795DF7" w:rsidRPr="00795DF7" w:rsidRDefault="00795DF7" w:rsidP="00795DF7">
      <w:pPr>
        <w:tabs>
          <w:tab w:val="clear" w:pos="7100"/>
        </w:tabs>
        <w:spacing w:before="100" w:beforeAutospacing="1" w:after="100" w:afterAutospacing="1" w:line="240" w:lineRule="auto"/>
        <w:jc w:val="left"/>
        <w:rPr>
          <w:rFonts w:cs="Arial"/>
          <w:color w:val="000000" w:themeColor="text1"/>
          <w:sz w:val="24"/>
          <w:szCs w:val="24"/>
          <w:lang w:eastAsia="it-IT"/>
        </w:rPr>
      </w:pPr>
      <w:r w:rsidRPr="00795DF7">
        <w:rPr>
          <w:rFonts w:cs="Arial"/>
          <w:color w:val="000000" w:themeColor="text1"/>
          <w:sz w:val="24"/>
          <w:szCs w:val="24"/>
          <w:lang w:eastAsia="it-IT"/>
        </w:rPr>
        <w:t>At the Milazzo Refinery, a crude is considered a potential diluent if its processability exceeds 40%, which has become a key benchmark for us.</w:t>
      </w:r>
    </w:p>
    <w:p w:rsidR="00795DF7" w:rsidRPr="00795DF7" w:rsidRDefault="00795DF7" w:rsidP="00795DF7">
      <w:pPr>
        <w:tabs>
          <w:tab w:val="clear" w:pos="7100"/>
        </w:tabs>
        <w:spacing w:before="100" w:beforeAutospacing="1" w:after="100" w:afterAutospacing="1" w:line="240" w:lineRule="auto"/>
        <w:jc w:val="left"/>
        <w:rPr>
          <w:rFonts w:cs="Arial"/>
          <w:color w:val="000000" w:themeColor="text1"/>
          <w:sz w:val="24"/>
          <w:szCs w:val="24"/>
          <w:lang w:eastAsia="it-IT"/>
        </w:rPr>
      </w:pPr>
      <w:r w:rsidRPr="00795DF7">
        <w:rPr>
          <w:rFonts w:cs="Arial"/>
          <w:color w:val="000000" w:themeColor="text1"/>
          <w:sz w:val="24"/>
          <w:szCs w:val="24"/>
          <w:lang w:eastAsia="it-IT"/>
        </w:rPr>
        <w:t>Since 2020, and based on available market offerings, RAM has successfully introduced 22 new crudes into our daily schedule—thanks to evaluations carried out with CRUDoku.</w:t>
      </w:r>
    </w:p>
    <w:p w:rsidR="00795DF7" w:rsidRPr="00795DF7" w:rsidRDefault="00795DF7" w:rsidP="00795DF7">
      <w:pPr>
        <w:tabs>
          <w:tab w:val="clear" w:pos="7100"/>
        </w:tabs>
        <w:spacing w:before="100" w:beforeAutospacing="1" w:after="100" w:afterAutospacing="1" w:line="240" w:lineRule="auto"/>
        <w:jc w:val="left"/>
        <w:rPr>
          <w:rFonts w:cs="Arial"/>
          <w:color w:val="000000" w:themeColor="text1"/>
          <w:sz w:val="24"/>
          <w:szCs w:val="24"/>
          <w:lang w:eastAsia="it-IT"/>
        </w:rPr>
      </w:pPr>
      <w:r w:rsidRPr="00795DF7">
        <w:rPr>
          <w:rFonts w:cs="Arial"/>
          <w:color w:val="000000" w:themeColor="text1"/>
          <w:sz w:val="24"/>
          <w:szCs w:val="24"/>
          <w:lang w:eastAsia="it-IT"/>
        </w:rPr>
        <w:lastRenderedPageBreak/>
        <w:t xml:space="preserve">Through this period of successful </w:t>
      </w:r>
      <w:r w:rsidRPr="00797FE8">
        <w:rPr>
          <w:rFonts w:cs="Arial"/>
          <w:color w:val="000000" w:themeColor="text1"/>
          <w:sz w:val="24"/>
          <w:szCs w:val="24"/>
          <w:lang w:eastAsia="it-IT"/>
        </w:rPr>
        <w:t>utilisation</w:t>
      </w:r>
      <w:r w:rsidRPr="00795DF7">
        <w:rPr>
          <w:rFonts w:cs="Arial"/>
          <w:color w:val="000000" w:themeColor="text1"/>
          <w:sz w:val="24"/>
          <w:szCs w:val="24"/>
          <w:lang w:eastAsia="it-IT"/>
        </w:rPr>
        <w:t xml:space="preserve">, RAM has come to fully appreciate CRUDoku’s potential. Given that the tool has been entirely developed and maintained within RAM, we believe that with minimal upgrades, its capabilities can be significantly expanded. </w:t>
      </w:r>
      <w:r w:rsidRPr="00797FE8">
        <w:rPr>
          <w:rFonts w:cs="Arial"/>
          <w:color w:val="000000" w:themeColor="text1"/>
          <w:sz w:val="24"/>
          <w:szCs w:val="24"/>
          <w:lang w:eastAsia="it-IT"/>
        </w:rPr>
        <w:t>Particularly, in these areas</w:t>
      </w:r>
      <w:r w:rsidRPr="00795DF7">
        <w:rPr>
          <w:rFonts w:cs="Arial"/>
          <w:color w:val="000000" w:themeColor="text1"/>
          <w:sz w:val="24"/>
          <w:szCs w:val="24"/>
          <w:lang w:eastAsia="it-IT"/>
        </w:rPr>
        <w:t>:</w:t>
      </w:r>
    </w:p>
    <w:p w:rsidR="00795DF7" w:rsidRPr="00795DF7" w:rsidRDefault="00795DF7" w:rsidP="00795DF7">
      <w:pPr>
        <w:numPr>
          <w:ilvl w:val="0"/>
          <w:numId w:val="21"/>
        </w:numPr>
        <w:tabs>
          <w:tab w:val="clear" w:pos="7100"/>
        </w:tabs>
        <w:spacing w:before="100" w:beforeAutospacing="1" w:after="100" w:afterAutospacing="1" w:line="240" w:lineRule="auto"/>
        <w:jc w:val="left"/>
        <w:rPr>
          <w:rFonts w:cs="Arial"/>
          <w:color w:val="000000" w:themeColor="text1"/>
          <w:sz w:val="24"/>
          <w:szCs w:val="24"/>
          <w:lang w:eastAsia="it-IT"/>
        </w:rPr>
      </w:pPr>
      <w:r w:rsidRPr="00795DF7">
        <w:rPr>
          <w:rFonts w:cs="Arial"/>
          <w:color w:val="000000" w:themeColor="text1"/>
          <w:sz w:val="24"/>
          <w:szCs w:val="24"/>
          <w:lang w:eastAsia="it-IT"/>
        </w:rPr>
        <w:t xml:space="preserve">Adding an </w:t>
      </w:r>
      <w:r w:rsidRPr="00797FE8">
        <w:rPr>
          <w:rFonts w:cs="Arial"/>
          <w:b/>
          <w:bCs/>
          <w:color w:val="000000" w:themeColor="text1"/>
          <w:sz w:val="24"/>
          <w:szCs w:val="24"/>
          <w:lang w:eastAsia="it-IT"/>
        </w:rPr>
        <w:t>Opportunity Evaluation Mode</w:t>
      </w:r>
      <w:r w:rsidRPr="00795DF7">
        <w:rPr>
          <w:rFonts w:cs="Arial"/>
          <w:color w:val="000000" w:themeColor="text1"/>
          <w:sz w:val="24"/>
          <w:szCs w:val="24"/>
          <w:lang w:eastAsia="it-IT"/>
        </w:rPr>
        <w:t xml:space="preserve"> for HS assessments, similar to the existing LS cycle;</w:t>
      </w:r>
    </w:p>
    <w:p w:rsidR="00795DF7" w:rsidRPr="00795DF7" w:rsidRDefault="00795DF7" w:rsidP="00795DF7">
      <w:pPr>
        <w:numPr>
          <w:ilvl w:val="0"/>
          <w:numId w:val="21"/>
        </w:num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Creating</w:t>
      </w:r>
      <w:r w:rsidRPr="00795DF7">
        <w:rPr>
          <w:rFonts w:cs="Arial"/>
          <w:color w:val="000000" w:themeColor="text1"/>
          <w:sz w:val="24"/>
          <w:szCs w:val="24"/>
          <w:lang w:eastAsia="it-IT"/>
        </w:rPr>
        <w:t xml:space="preserve"> a </w:t>
      </w:r>
      <w:r w:rsidRPr="00797FE8">
        <w:rPr>
          <w:rFonts w:cs="Arial"/>
          <w:b/>
          <w:bCs/>
          <w:color w:val="000000" w:themeColor="text1"/>
          <w:sz w:val="24"/>
          <w:szCs w:val="24"/>
          <w:lang w:eastAsia="it-IT"/>
        </w:rPr>
        <w:t>new simulation section</w:t>
      </w:r>
      <w:r w:rsidRPr="00795DF7">
        <w:rPr>
          <w:rFonts w:cs="Arial"/>
          <w:color w:val="000000" w:themeColor="text1"/>
          <w:sz w:val="24"/>
          <w:szCs w:val="24"/>
          <w:lang w:eastAsia="it-IT"/>
        </w:rPr>
        <w:t xml:space="preserve"> to identify optimal diluent crude combinations within a defined basket, aimed at maximizing target crude intake;</w:t>
      </w:r>
    </w:p>
    <w:p w:rsidR="00502A65" w:rsidRPr="00C27A2B" w:rsidRDefault="00795DF7" w:rsidP="00082E6F">
      <w:pPr>
        <w:numPr>
          <w:ilvl w:val="0"/>
          <w:numId w:val="21"/>
        </w:numPr>
        <w:tabs>
          <w:tab w:val="clear" w:pos="7100"/>
        </w:tabs>
        <w:spacing w:before="100" w:beforeAutospacing="1" w:after="100" w:afterAutospacing="1" w:line="240" w:lineRule="auto"/>
        <w:jc w:val="left"/>
        <w:rPr>
          <w:rFonts w:cs="Arial"/>
          <w:color w:val="000000" w:themeColor="text1"/>
          <w:sz w:val="24"/>
          <w:szCs w:val="24"/>
        </w:rPr>
      </w:pPr>
      <w:r w:rsidRPr="00C27A2B">
        <w:rPr>
          <w:rFonts w:cs="Arial"/>
          <w:b/>
          <w:bCs/>
          <w:color w:val="000000" w:themeColor="text1"/>
          <w:sz w:val="24"/>
          <w:szCs w:val="24"/>
          <w:lang w:eastAsia="it-IT"/>
        </w:rPr>
        <w:t>Integrating CRUDoku</w:t>
      </w:r>
      <w:r w:rsidRPr="00C27A2B">
        <w:rPr>
          <w:rFonts w:cs="Arial"/>
          <w:color w:val="000000" w:themeColor="text1"/>
          <w:sz w:val="24"/>
          <w:szCs w:val="24"/>
          <w:lang w:eastAsia="it-IT"/>
        </w:rPr>
        <w:t xml:space="preserve"> with existing scheduling software to optimize weekly planning.</w:t>
      </w:r>
    </w:p>
    <w:p w:rsidR="00502A65" w:rsidRPr="00797FE8" w:rsidRDefault="00797FE8">
      <w:pPr>
        <w:pStyle w:val="CETReferencetext"/>
        <w:rPr>
          <w:rFonts w:cs="Arial"/>
          <w:color w:val="000000" w:themeColor="text1"/>
          <w:sz w:val="24"/>
          <w:szCs w:val="24"/>
        </w:rPr>
      </w:pPr>
      <w:r w:rsidRPr="00797FE8">
        <w:rPr>
          <w:rFonts w:cs="Arial"/>
          <w:color w:val="000000" w:themeColor="text1"/>
          <w:sz w:val="24"/>
          <w:szCs w:val="24"/>
        </w:rPr>
        <w:t>Acknowledgements</w:t>
      </w:r>
    </w:p>
    <w:p w:rsidR="00797FE8" w:rsidRPr="00797FE8" w:rsidRDefault="00797FE8" w:rsidP="00797FE8">
      <w:pPr>
        <w:tabs>
          <w:tab w:val="clear" w:pos="7100"/>
        </w:tabs>
        <w:spacing w:before="100" w:beforeAutospacing="1" w:after="100" w:afterAutospacing="1" w:line="240" w:lineRule="auto"/>
        <w:jc w:val="left"/>
        <w:rPr>
          <w:rFonts w:cs="Arial"/>
          <w:color w:val="000000" w:themeColor="text1"/>
          <w:sz w:val="24"/>
          <w:szCs w:val="24"/>
          <w:lang w:eastAsia="it-IT"/>
        </w:rPr>
      </w:pPr>
      <w:r w:rsidRPr="00797FE8">
        <w:rPr>
          <w:rFonts w:cs="Arial"/>
          <w:color w:val="000000" w:themeColor="text1"/>
          <w:sz w:val="24"/>
          <w:szCs w:val="24"/>
          <w:lang w:eastAsia="it-IT"/>
        </w:rPr>
        <w:t>The authors wish to thank</w:t>
      </w:r>
      <w:r w:rsidR="007C02B2">
        <w:rPr>
          <w:rFonts w:cs="Arial"/>
          <w:color w:val="000000" w:themeColor="text1"/>
          <w:sz w:val="24"/>
          <w:szCs w:val="24"/>
          <w:lang w:eastAsia="it-IT"/>
        </w:rPr>
        <w:t xml:space="preserve"> all</w:t>
      </w:r>
      <w:r w:rsidRPr="00797FE8">
        <w:rPr>
          <w:rFonts w:cs="Arial"/>
          <w:color w:val="000000" w:themeColor="text1"/>
          <w:sz w:val="24"/>
          <w:szCs w:val="24"/>
          <w:lang w:eastAsia="it-IT"/>
        </w:rPr>
        <w:t xml:space="preserve"> RAM </w:t>
      </w:r>
      <w:r w:rsidR="007C02B2">
        <w:rPr>
          <w:rFonts w:cs="Arial"/>
          <w:color w:val="000000" w:themeColor="text1"/>
          <w:sz w:val="24"/>
          <w:szCs w:val="24"/>
          <w:lang w:eastAsia="it-IT"/>
        </w:rPr>
        <w:t>contributed to development</w:t>
      </w:r>
      <w:r w:rsidR="007C02B2" w:rsidRPr="00797FE8">
        <w:rPr>
          <w:rFonts w:cs="Arial"/>
          <w:color w:val="000000" w:themeColor="text1"/>
          <w:sz w:val="24"/>
          <w:szCs w:val="24"/>
          <w:lang w:eastAsia="it-IT"/>
        </w:rPr>
        <w:t xml:space="preserve"> during tool implementation</w:t>
      </w:r>
      <w:r w:rsidRPr="00797FE8">
        <w:rPr>
          <w:rFonts w:cs="Arial"/>
          <w:color w:val="000000" w:themeColor="text1"/>
          <w:sz w:val="24"/>
          <w:szCs w:val="24"/>
          <w:lang w:eastAsia="it-IT"/>
        </w:rPr>
        <w:t>. Their insights were instrumental in shaping the functionality and usability of the CRUDoku tool.</w:t>
      </w:r>
    </w:p>
    <w:p w:rsidR="00502A65" w:rsidRPr="00797FE8" w:rsidRDefault="00502A65">
      <w:pPr>
        <w:pStyle w:val="CETReferencetext"/>
        <w:rPr>
          <w:rFonts w:cs="Arial"/>
          <w:color w:val="000000" w:themeColor="text1"/>
          <w:sz w:val="24"/>
          <w:szCs w:val="24"/>
        </w:rPr>
      </w:pPr>
    </w:p>
    <w:p w:rsidR="00502A65" w:rsidRPr="00797FE8" w:rsidRDefault="00502A65">
      <w:pPr>
        <w:pStyle w:val="CETReferencetext"/>
        <w:rPr>
          <w:rFonts w:cs="Arial"/>
          <w:color w:val="000000" w:themeColor="text1"/>
          <w:sz w:val="24"/>
          <w:szCs w:val="24"/>
        </w:rPr>
      </w:pPr>
    </w:p>
    <w:p w:rsidR="00502A65" w:rsidRPr="00797FE8" w:rsidRDefault="00502A65">
      <w:pPr>
        <w:pStyle w:val="CETReferencetext"/>
        <w:rPr>
          <w:rFonts w:cs="Arial"/>
          <w:color w:val="000000" w:themeColor="text1"/>
          <w:sz w:val="24"/>
          <w:szCs w:val="24"/>
        </w:rPr>
      </w:pPr>
    </w:p>
    <w:p w:rsidR="00502A65" w:rsidRPr="00797FE8" w:rsidRDefault="00502A65">
      <w:pPr>
        <w:pStyle w:val="CETHeading1"/>
        <w:numPr>
          <w:ilvl w:val="0"/>
          <w:numId w:val="0"/>
        </w:numPr>
        <w:rPr>
          <w:rFonts w:cs="Arial"/>
          <w:color w:val="000000" w:themeColor="text1"/>
          <w:sz w:val="24"/>
          <w:szCs w:val="24"/>
          <w:lang w:val="en-GB"/>
        </w:rPr>
      </w:pPr>
    </w:p>
    <w:sectPr w:rsidR="00502A65" w:rsidRPr="00797FE8">
      <w:type w:val="continuous"/>
      <w:pgSz w:w="11906" w:h="16838"/>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3C" w:rsidRDefault="0079373C">
      <w:pPr>
        <w:spacing w:line="240" w:lineRule="auto"/>
      </w:pPr>
      <w:r>
        <w:separator/>
      </w:r>
    </w:p>
  </w:endnote>
  <w:endnote w:type="continuationSeparator" w:id="0">
    <w:p w:rsidR="0079373C" w:rsidRDefault="00793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3C" w:rsidRDefault="0079373C">
      <w:r>
        <w:separator/>
      </w:r>
    </w:p>
  </w:footnote>
  <w:footnote w:type="continuationSeparator" w:id="0">
    <w:p w:rsidR="0079373C" w:rsidRDefault="0079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Numeroelenco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Numeroelenco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Numeroelenco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Numeroelenco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Puntoelenco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Puntoelenco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Puntoelenco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Puntoelenco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Numeroelenco"/>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Puntoelenco"/>
      <w:lvlText w:val=""/>
      <w:lvlJc w:val="left"/>
      <w:pPr>
        <w:tabs>
          <w:tab w:val="left" w:pos="360"/>
        </w:tabs>
        <w:ind w:left="360" w:hanging="360"/>
      </w:pPr>
      <w:rPr>
        <w:rFonts w:ascii="Symbol" w:hAnsi="Symbol" w:hint="default"/>
      </w:rPr>
    </w:lvl>
  </w:abstractNum>
  <w:abstractNum w:abstractNumId="10" w15:restartNumberingAfterBreak="0">
    <w:nsid w:val="06EC2ACD"/>
    <w:multiLevelType w:val="multilevel"/>
    <w:tmpl w:val="06EC2ACD"/>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7B4D08"/>
    <w:multiLevelType w:val="multilevel"/>
    <w:tmpl w:val="F4F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07D258"/>
    <w:multiLevelType w:val="multilevel"/>
    <w:tmpl w:val="557623EC"/>
    <w:lvl w:ilvl="0">
      <w:start w:val="2"/>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A52CBB"/>
    <w:multiLevelType w:val="hybridMultilevel"/>
    <w:tmpl w:val="AD369308"/>
    <w:lvl w:ilvl="0" w:tplc="DB92EC3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D3D0C5"/>
    <w:multiLevelType w:val="singleLevel"/>
    <w:tmpl w:val="51D3D0C5"/>
    <w:lvl w:ilvl="0">
      <w:start w:val="1"/>
      <w:numFmt w:val="decimal"/>
      <w:suff w:val="space"/>
      <w:lvlText w:val="%1."/>
      <w:lvlJc w:val="left"/>
    </w:lvl>
  </w:abstractNum>
  <w:abstractNum w:abstractNumId="17" w15:restartNumberingAfterBreak="0">
    <w:nsid w:val="51E63B52"/>
    <w:multiLevelType w:val="multilevel"/>
    <w:tmpl w:val="DEF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765632"/>
    <w:multiLevelType w:val="hybridMultilevel"/>
    <w:tmpl w:val="5BB24492"/>
    <w:lvl w:ilvl="0" w:tplc="FDF420F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8"/>
  </w:num>
  <w:num w:numId="14">
    <w:abstractNumId w:val="19"/>
  </w:num>
  <w:num w:numId="15">
    <w:abstractNumId w:val="16"/>
  </w:num>
  <w:num w:numId="16">
    <w:abstractNumId w:val="12"/>
  </w:num>
  <w:num w:numId="17">
    <w:abstractNumId w:val="10"/>
  </w:num>
  <w:num w:numId="18">
    <w:abstractNumId w:val="20"/>
  </w:num>
  <w:num w:numId="19">
    <w:abstractNumId w:val="17"/>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0249"/>
    <w:rsid w:val="0003148D"/>
    <w:rsid w:val="00031EEC"/>
    <w:rsid w:val="00051566"/>
    <w:rsid w:val="000562A9"/>
    <w:rsid w:val="00062A9A"/>
    <w:rsid w:val="00065058"/>
    <w:rsid w:val="00076D31"/>
    <w:rsid w:val="00086C39"/>
    <w:rsid w:val="000A03B2"/>
    <w:rsid w:val="000D0268"/>
    <w:rsid w:val="000D34BE"/>
    <w:rsid w:val="000E0B3C"/>
    <w:rsid w:val="000E102F"/>
    <w:rsid w:val="000E323F"/>
    <w:rsid w:val="000E36F1"/>
    <w:rsid w:val="000E3A73"/>
    <w:rsid w:val="000E414A"/>
    <w:rsid w:val="000E75FD"/>
    <w:rsid w:val="000F093C"/>
    <w:rsid w:val="000F787B"/>
    <w:rsid w:val="0012091F"/>
    <w:rsid w:val="001254AE"/>
    <w:rsid w:val="00126BC2"/>
    <w:rsid w:val="00127CAD"/>
    <w:rsid w:val="001308B6"/>
    <w:rsid w:val="0013121F"/>
    <w:rsid w:val="00131FE6"/>
    <w:rsid w:val="0013263F"/>
    <w:rsid w:val="001331DF"/>
    <w:rsid w:val="00134DE4"/>
    <w:rsid w:val="0014034D"/>
    <w:rsid w:val="001407F0"/>
    <w:rsid w:val="00140FE3"/>
    <w:rsid w:val="00144D16"/>
    <w:rsid w:val="00144ECE"/>
    <w:rsid w:val="00150E59"/>
    <w:rsid w:val="00152DE3"/>
    <w:rsid w:val="001545A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F42A5"/>
    <w:rsid w:val="001F7B9D"/>
    <w:rsid w:val="00201C93"/>
    <w:rsid w:val="002049EE"/>
    <w:rsid w:val="002224B4"/>
    <w:rsid w:val="002447EF"/>
    <w:rsid w:val="00251550"/>
    <w:rsid w:val="00257B65"/>
    <w:rsid w:val="00263B05"/>
    <w:rsid w:val="002711B4"/>
    <w:rsid w:val="0027221A"/>
    <w:rsid w:val="00275B61"/>
    <w:rsid w:val="00280680"/>
    <w:rsid w:val="00280FAF"/>
    <w:rsid w:val="00282656"/>
    <w:rsid w:val="002851FB"/>
    <w:rsid w:val="00296B83"/>
    <w:rsid w:val="002B120A"/>
    <w:rsid w:val="002B4015"/>
    <w:rsid w:val="002B78CE"/>
    <w:rsid w:val="002C2B4C"/>
    <w:rsid w:val="002C2FB6"/>
    <w:rsid w:val="002E4A20"/>
    <w:rsid w:val="002E5FA7"/>
    <w:rsid w:val="002F3309"/>
    <w:rsid w:val="003008CE"/>
    <w:rsid w:val="003009B7"/>
    <w:rsid w:val="00300E56"/>
    <w:rsid w:val="0030152C"/>
    <w:rsid w:val="0030469C"/>
    <w:rsid w:val="00316D7E"/>
    <w:rsid w:val="00321CA6"/>
    <w:rsid w:val="00323763"/>
    <w:rsid w:val="00323C5F"/>
    <w:rsid w:val="00334C09"/>
    <w:rsid w:val="003723D4"/>
    <w:rsid w:val="00381905"/>
    <w:rsid w:val="00384CC8"/>
    <w:rsid w:val="003871FD"/>
    <w:rsid w:val="003904D3"/>
    <w:rsid w:val="003A1E30"/>
    <w:rsid w:val="003A2829"/>
    <w:rsid w:val="003A7D1C"/>
    <w:rsid w:val="003B304B"/>
    <w:rsid w:val="003B3146"/>
    <w:rsid w:val="003B49CD"/>
    <w:rsid w:val="003D1E02"/>
    <w:rsid w:val="003F015E"/>
    <w:rsid w:val="00400414"/>
    <w:rsid w:val="0041446B"/>
    <w:rsid w:val="0044071E"/>
    <w:rsid w:val="0044329C"/>
    <w:rsid w:val="00447422"/>
    <w:rsid w:val="00453E24"/>
    <w:rsid w:val="00457456"/>
    <w:rsid w:val="004577FE"/>
    <w:rsid w:val="00457B9C"/>
    <w:rsid w:val="0046164A"/>
    <w:rsid w:val="004628D2"/>
    <w:rsid w:val="00462DCD"/>
    <w:rsid w:val="004648AD"/>
    <w:rsid w:val="004703A9"/>
    <w:rsid w:val="0047059B"/>
    <w:rsid w:val="004760DE"/>
    <w:rsid w:val="004763D7"/>
    <w:rsid w:val="004A004E"/>
    <w:rsid w:val="004A24CF"/>
    <w:rsid w:val="004C3D1D"/>
    <w:rsid w:val="004C3D84"/>
    <w:rsid w:val="004C7913"/>
    <w:rsid w:val="004E2B84"/>
    <w:rsid w:val="004E4DD6"/>
    <w:rsid w:val="004F5E36"/>
    <w:rsid w:val="004F74C8"/>
    <w:rsid w:val="00502A65"/>
    <w:rsid w:val="00507B47"/>
    <w:rsid w:val="00507BEF"/>
    <w:rsid w:val="00507CC9"/>
    <w:rsid w:val="005119A5"/>
    <w:rsid w:val="005278B7"/>
    <w:rsid w:val="00532016"/>
    <w:rsid w:val="005346C8"/>
    <w:rsid w:val="00543E7D"/>
    <w:rsid w:val="00547A68"/>
    <w:rsid w:val="005531C9"/>
    <w:rsid w:val="00554879"/>
    <w:rsid w:val="00563045"/>
    <w:rsid w:val="00570C43"/>
    <w:rsid w:val="005849C0"/>
    <w:rsid w:val="00592274"/>
    <w:rsid w:val="005B2110"/>
    <w:rsid w:val="005B350B"/>
    <w:rsid w:val="005B4286"/>
    <w:rsid w:val="005B61E6"/>
    <w:rsid w:val="005C379F"/>
    <w:rsid w:val="005C77E1"/>
    <w:rsid w:val="005D668A"/>
    <w:rsid w:val="005D6A2F"/>
    <w:rsid w:val="005E0299"/>
    <w:rsid w:val="005E0592"/>
    <w:rsid w:val="005E1A82"/>
    <w:rsid w:val="005E794C"/>
    <w:rsid w:val="005F0A28"/>
    <w:rsid w:val="005F0E5E"/>
    <w:rsid w:val="005F1048"/>
    <w:rsid w:val="00600535"/>
    <w:rsid w:val="00610CD6"/>
    <w:rsid w:val="00620DEE"/>
    <w:rsid w:val="00621F92"/>
    <w:rsid w:val="0062280A"/>
    <w:rsid w:val="006231E1"/>
    <w:rsid w:val="00625639"/>
    <w:rsid w:val="00631B33"/>
    <w:rsid w:val="0064184D"/>
    <w:rsid w:val="006422CC"/>
    <w:rsid w:val="00651D18"/>
    <w:rsid w:val="00660E3E"/>
    <w:rsid w:val="00662E74"/>
    <w:rsid w:val="00680C23"/>
    <w:rsid w:val="00683D6E"/>
    <w:rsid w:val="00683E23"/>
    <w:rsid w:val="00693766"/>
    <w:rsid w:val="006A3281"/>
    <w:rsid w:val="006A6DE5"/>
    <w:rsid w:val="006B4888"/>
    <w:rsid w:val="006C2E45"/>
    <w:rsid w:val="006C359C"/>
    <w:rsid w:val="006C5579"/>
    <w:rsid w:val="006D6E8B"/>
    <w:rsid w:val="006D7209"/>
    <w:rsid w:val="006E737D"/>
    <w:rsid w:val="006F17D2"/>
    <w:rsid w:val="00707DD1"/>
    <w:rsid w:val="00713973"/>
    <w:rsid w:val="00720A24"/>
    <w:rsid w:val="00732386"/>
    <w:rsid w:val="0073514D"/>
    <w:rsid w:val="007447F3"/>
    <w:rsid w:val="0075499F"/>
    <w:rsid w:val="007661C8"/>
    <w:rsid w:val="0077098D"/>
    <w:rsid w:val="00785BF9"/>
    <w:rsid w:val="007931FA"/>
    <w:rsid w:val="0079373C"/>
    <w:rsid w:val="00795DF7"/>
    <w:rsid w:val="00797FE8"/>
    <w:rsid w:val="007A1183"/>
    <w:rsid w:val="007A4861"/>
    <w:rsid w:val="007A5004"/>
    <w:rsid w:val="007A6454"/>
    <w:rsid w:val="007A7BBA"/>
    <w:rsid w:val="007B0C50"/>
    <w:rsid w:val="007B48F9"/>
    <w:rsid w:val="007B4C0C"/>
    <w:rsid w:val="007C02B2"/>
    <w:rsid w:val="007C1A43"/>
    <w:rsid w:val="007D0951"/>
    <w:rsid w:val="007D610D"/>
    <w:rsid w:val="007E4096"/>
    <w:rsid w:val="007F08BF"/>
    <w:rsid w:val="0080013E"/>
    <w:rsid w:val="00801759"/>
    <w:rsid w:val="00813288"/>
    <w:rsid w:val="00813DB1"/>
    <w:rsid w:val="008168FC"/>
    <w:rsid w:val="008200FE"/>
    <w:rsid w:val="00830996"/>
    <w:rsid w:val="008345F1"/>
    <w:rsid w:val="00843BD4"/>
    <w:rsid w:val="00846C7F"/>
    <w:rsid w:val="00865B07"/>
    <w:rsid w:val="008667EA"/>
    <w:rsid w:val="0087637F"/>
    <w:rsid w:val="008832AA"/>
    <w:rsid w:val="00892AD5"/>
    <w:rsid w:val="008A1512"/>
    <w:rsid w:val="008D2DE8"/>
    <w:rsid w:val="008D32B9"/>
    <w:rsid w:val="008D433B"/>
    <w:rsid w:val="008D4A16"/>
    <w:rsid w:val="008D543D"/>
    <w:rsid w:val="008E5401"/>
    <w:rsid w:val="008E566E"/>
    <w:rsid w:val="009011C1"/>
    <w:rsid w:val="0090161A"/>
    <w:rsid w:val="00901EB6"/>
    <w:rsid w:val="009041F8"/>
    <w:rsid w:val="00904C62"/>
    <w:rsid w:val="00907BE5"/>
    <w:rsid w:val="00922BA8"/>
    <w:rsid w:val="00924DAC"/>
    <w:rsid w:val="00927058"/>
    <w:rsid w:val="0094017E"/>
    <w:rsid w:val="00942750"/>
    <w:rsid w:val="009450CE"/>
    <w:rsid w:val="009459BB"/>
    <w:rsid w:val="00947179"/>
    <w:rsid w:val="0095164B"/>
    <w:rsid w:val="009529AA"/>
    <w:rsid w:val="00954090"/>
    <w:rsid w:val="0095424A"/>
    <w:rsid w:val="009573E7"/>
    <w:rsid w:val="00963E05"/>
    <w:rsid w:val="00964A45"/>
    <w:rsid w:val="00967843"/>
    <w:rsid w:val="00967D54"/>
    <w:rsid w:val="00971028"/>
    <w:rsid w:val="00993B84"/>
    <w:rsid w:val="00994C6A"/>
    <w:rsid w:val="00996483"/>
    <w:rsid w:val="00996F5A"/>
    <w:rsid w:val="009B041A"/>
    <w:rsid w:val="009C0D73"/>
    <w:rsid w:val="009C37C3"/>
    <w:rsid w:val="009C7C86"/>
    <w:rsid w:val="009D2FF7"/>
    <w:rsid w:val="009E7884"/>
    <w:rsid w:val="009E788A"/>
    <w:rsid w:val="009F0E08"/>
    <w:rsid w:val="00A079AE"/>
    <w:rsid w:val="00A1763D"/>
    <w:rsid w:val="00A17CEC"/>
    <w:rsid w:val="00A25E9C"/>
    <w:rsid w:val="00A27EF0"/>
    <w:rsid w:val="00A42361"/>
    <w:rsid w:val="00A50B20"/>
    <w:rsid w:val="00A51390"/>
    <w:rsid w:val="00A60D13"/>
    <w:rsid w:val="00A7223D"/>
    <w:rsid w:val="00A72745"/>
    <w:rsid w:val="00A76EFC"/>
    <w:rsid w:val="00A82AA6"/>
    <w:rsid w:val="00A87D50"/>
    <w:rsid w:val="00A91010"/>
    <w:rsid w:val="00A91602"/>
    <w:rsid w:val="00A94E51"/>
    <w:rsid w:val="00A97F29"/>
    <w:rsid w:val="00AA36DB"/>
    <w:rsid w:val="00AA702E"/>
    <w:rsid w:val="00AA7D26"/>
    <w:rsid w:val="00AB0964"/>
    <w:rsid w:val="00AB5011"/>
    <w:rsid w:val="00AC6AD3"/>
    <w:rsid w:val="00AC7368"/>
    <w:rsid w:val="00AD16B9"/>
    <w:rsid w:val="00AE377D"/>
    <w:rsid w:val="00AF0EBA"/>
    <w:rsid w:val="00AF2463"/>
    <w:rsid w:val="00B02C8A"/>
    <w:rsid w:val="00B17FBD"/>
    <w:rsid w:val="00B315A6"/>
    <w:rsid w:val="00B31813"/>
    <w:rsid w:val="00B33365"/>
    <w:rsid w:val="00B47850"/>
    <w:rsid w:val="00B57B36"/>
    <w:rsid w:val="00B57E6F"/>
    <w:rsid w:val="00B8686D"/>
    <w:rsid w:val="00B93F69"/>
    <w:rsid w:val="00BB1DDC"/>
    <w:rsid w:val="00BC30C9"/>
    <w:rsid w:val="00BD077D"/>
    <w:rsid w:val="00BE3E58"/>
    <w:rsid w:val="00BE44E0"/>
    <w:rsid w:val="00BF13CE"/>
    <w:rsid w:val="00C01616"/>
    <w:rsid w:val="00C0162B"/>
    <w:rsid w:val="00C068ED"/>
    <w:rsid w:val="00C22E0C"/>
    <w:rsid w:val="00C27A2B"/>
    <w:rsid w:val="00C32C7D"/>
    <w:rsid w:val="00C345B1"/>
    <w:rsid w:val="00C40142"/>
    <w:rsid w:val="00C52C3C"/>
    <w:rsid w:val="00C57182"/>
    <w:rsid w:val="00C57863"/>
    <w:rsid w:val="00C640AF"/>
    <w:rsid w:val="00C655FD"/>
    <w:rsid w:val="00C75407"/>
    <w:rsid w:val="00C76741"/>
    <w:rsid w:val="00C81E7D"/>
    <w:rsid w:val="00C841C6"/>
    <w:rsid w:val="00C870A8"/>
    <w:rsid w:val="00C94434"/>
    <w:rsid w:val="00CA0D75"/>
    <w:rsid w:val="00CA1C95"/>
    <w:rsid w:val="00CA5A9C"/>
    <w:rsid w:val="00CC4C20"/>
    <w:rsid w:val="00CD07DA"/>
    <w:rsid w:val="00CD3517"/>
    <w:rsid w:val="00CD4A5C"/>
    <w:rsid w:val="00CD5FE2"/>
    <w:rsid w:val="00CE7C68"/>
    <w:rsid w:val="00D02B4C"/>
    <w:rsid w:val="00D040C4"/>
    <w:rsid w:val="00D20AD1"/>
    <w:rsid w:val="00D2582C"/>
    <w:rsid w:val="00D431F4"/>
    <w:rsid w:val="00D46B7E"/>
    <w:rsid w:val="00D47A0C"/>
    <w:rsid w:val="00D57C84"/>
    <w:rsid w:val="00D6057D"/>
    <w:rsid w:val="00D666B7"/>
    <w:rsid w:val="00D71640"/>
    <w:rsid w:val="00D73FD9"/>
    <w:rsid w:val="00D836C5"/>
    <w:rsid w:val="00D84576"/>
    <w:rsid w:val="00DA1399"/>
    <w:rsid w:val="00DA1CF8"/>
    <w:rsid w:val="00DA24C6"/>
    <w:rsid w:val="00DA4D7B"/>
    <w:rsid w:val="00DC2840"/>
    <w:rsid w:val="00DC73EE"/>
    <w:rsid w:val="00DD271C"/>
    <w:rsid w:val="00DE264A"/>
    <w:rsid w:val="00DF5072"/>
    <w:rsid w:val="00E02D18"/>
    <w:rsid w:val="00E041E7"/>
    <w:rsid w:val="00E23CA1"/>
    <w:rsid w:val="00E242B1"/>
    <w:rsid w:val="00E409A8"/>
    <w:rsid w:val="00E50C12"/>
    <w:rsid w:val="00E65B91"/>
    <w:rsid w:val="00E7209D"/>
    <w:rsid w:val="00E72EAD"/>
    <w:rsid w:val="00E77223"/>
    <w:rsid w:val="00E77CCD"/>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41EE4"/>
    <w:rsid w:val="00F565FE"/>
    <w:rsid w:val="00F62A5E"/>
    <w:rsid w:val="00F63A70"/>
    <w:rsid w:val="00F63D8C"/>
    <w:rsid w:val="00F7534E"/>
    <w:rsid w:val="00F93EDF"/>
    <w:rsid w:val="00FA1802"/>
    <w:rsid w:val="00FA21D0"/>
    <w:rsid w:val="00FA5F5F"/>
    <w:rsid w:val="00FB730C"/>
    <w:rsid w:val="00FC2695"/>
    <w:rsid w:val="00FC3E03"/>
    <w:rsid w:val="00FC3FC1"/>
    <w:rsid w:val="1A694A8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2C0F7EB"/>
  <w14:defaultImageDpi w14:val="330"/>
  <w15:docId w15:val="{1D78C7C7-CA4F-4F0C-AD96-1D30547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abs>
        <w:tab w:val="right" w:pos="7100"/>
      </w:tabs>
      <w:spacing w:line="264" w:lineRule="auto"/>
      <w:jc w:val="both"/>
    </w:pPr>
    <w:rPr>
      <w:rFonts w:ascii="Arial" w:eastAsia="Times New Roman" w:hAnsi="Arial"/>
      <w:sz w:val="18"/>
      <w:lang w:val="en-GB" w:eastAsia="en-US"/>
    </w:rPr>
  </w:style>
  <w:style w:type="paragraph" w:styleId="Titolo1">
    <w:name w:val="heading 1"/>
    <w:basedOn w:val="CETHeading1"/>
    <w:next w:val="Normale"/>
    <w:link w:val="Titolo1Carattere"/>
    <w:uiPriority w:val="9"/>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val="en-US" w:eastAsia="en-US"/>
    </w:rPr>
  </w:style>
  <w:style w:type="paragraph" w:styleId="Testofumetto">
    <w:name w:val="Balloon Text"/>
    <w:basedOn w:val="Normale"/>
    <w:link w:val="TestofumettoCarattere"/>
    <w:uiPriority w:val="99"/>
    <w:semiHidden/>
    <w:unhideWhenUsed/>
    <w:pPr>
      <w:spacing w:line="240" w:lineRule="auto"/>
    </w:pPr>
    <w:rPr>
      <w:rFonts w:ascii="Tahoma" w:hAnsi="Tahoma" w:cs="Tahoma"/>
      <w:sz w:val="16"/>
      <w:szCs w:val="16"/>
    </w:rPr>
  </w:style>
  <w:style w:type="paragraph" w:styleId="Testodelblocco">
    <w:name w:val="Block Text"/>
    <w:basedOn w:val="Normale"/>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Corpotesto">
    <w:name w:val="Body Text"/>
    <w:basedOn w:val="Normale"/>
    <w:link w:val="CorpotestoCarattere"/>
    <w:uiPriority w:val="99"/>
    <w:semiHidden/>
    <w:unhideWhenUsed/>
    <w:pPr>
      <w:spacing w:after="120"/>
    </w:pPr>
  </w:style>
  <w:style w:type="paragraph" w:styleId="Corpodeltesto2">
    <w:name w:val="Body Text 2"/>
    <w:basedOn w:val="Normale"/>
    <w:link w:val="Corpodeltesto2Carattere"/>
    <w:uiPriority w:val="99"/>
    <w:semiHidden/>
    <w:unhideWhenUsed/>
    <w:pPr>
      <w:spacing w:after="120" w:line="480" w:lineRule="auto"/>
    </w:pPr>
  </w:style>
  <w:style w:type="paragraph" w:styleId="Corpodeltesto3">
    <w:name w:val="Body Text 3"/>
    <w:basedOn w:val="Normale"/>
    <w:link w:val="Corpodeltesto3Carattere"/>
    <w:uiPriority w:val="99"/>
    <w:semiHidden/>
    <w:unhideWhenUsed/>
    <w:pPr>
      <w:spacing w:after="120"/>
    </w:pPr>
    <w:rPr>
      <w:sz w:val="16"/>
      <w:szCs w:val="16"/>
    </w:rPr>
  </w:style>
  <w:style w:type="paragraph" w:styleId="Primorientrocorpodeltesto">
    <w:name w:val="Body Text First Indent"/>
    <w:basedOn w:val="Corpotesto"/>
    <w:link w:val="PrimorientrocorpodeltestoCarattere"/>
    <w:uiPriority w:val="99"/>
    <w:semiHidden/>
    <w:unhideWhenUsed/>
    <w:pPr>
      <w:spacing w:after="200"/>
      <w:ind w:firstLine="360"/>
    </w:pPr>
  </w:style>
  <w:style w:type="paragraph" w:styleId="Rientrocorpodeltesto">
    <w:name w:val="Body Text Indent"/>
    <w:basedOn w:val="Normale"/>
    <w:link w:val="RientrocorpodeltestoCarattere"/>
    <w:uiPriority w:val="99"/>
    <w:semiHidden/>
    <w:unhideWhenUsed/>
    <w:pPr>
      <w:spacing w:after="120"/>
      <w:ind w:left="283"/>
    </w:pPr>
  </w:style>
  <w:style w:type="paragraph" w:styleId="Primorientrocorpodeltesto2">
    <w:name w:val="Body Text First Indent 2"/>
    <w:basedOn w:val="Rientrocorpodeltesto"/>
    <w:link w:val="Primorientrocorpodeltesto2Carattere"/>
    <w:uiPriority w:val="99"/>
    <w:semiHidden/>
    <w:unhideWhenUsed/>
    <w:pPr>
      <w:spacing w:after="200"/>
      <w:ind w:left="360" w:firstLine="360"/>
    </w:p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paragraph" w:styleId="Didascalia">
    <w:name w:val="caption"/>
    <w:basedOn w:val="Normale"/>
    <w:next w:val="Normale"/>
    <w:uiPriority w:val="35"/>
    <w:unhideWhenUsed/>
    <w:qFormat/>
    <w:pPr>
      <w:spacing w:line="240" w:lineRule="auto"/>
    </w:pPr>
    <w:rPr>
      <w:b/>
      <w:bCs/>
      <w:color w:val="4F81BD" w:themeColor="accent1"/>
      <w:szCs w:val="18"/>
    </w:rPr>
  </w:style>
  <w:style w:type="paragraph" w:styleId="Formuladichiusura">
    <w:name w:val="Closing"/>
    <w:basedOn w:val="Normale"/>
    <w:link w:val="FormuladichiusuraCarattere"/>
    <w:uiPriority w:val="99"/>
    <w:semiHidden/>
    <w:unhideWhenUsed/>
    <w:pPr>
      <w:spacing w:line="240" w:lineRule="auto"/>
      <w:ind w:left="4252"/>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style>
  <w:style w:type="paragraph" w:styleId="Soggettocommento">
    <w:name w:val="annotation subject"/>
    <w:basedOn w:val="Testocommento"/>
    <w:next w:val="Testocommento"/>
    <w:link w:val="SoggettocommentoCarattere"/>
    <w:uiPriority w:val="99"/>
    <w:semiHidden/>
    <w:unhideWhenUsed/>
    <w:rPr>
      <w:b/>
      <w:bCs/>
    </w:rPr>
  </w:style>
  <w:style w:type="paragraph" w:styleId="Data">
    <w:name w:val="Date"/>
    <w:basedOn w:val="Normale"/>
    <w:next w:val="Normale"/>
    <w:link w:val="DataCarattere"/>
    <w:uiPriority w:val="99"/>
    <w:semiHidden/>
    <w:unhideWhenUsed/>
  </w:style>
  <w:style w:type="paragraph" w:styleId="Mappadocumento">
    <w:name w:val="Document Map"/>
    <w:basedOn w:val="Normale"/>
    <w:link w:val="MappadocumentoCarattere"/>
    <w:uiPriority w:val="99"/>
    <w:semiHidden/>
    <w:unhideWhenUsed/>
    <w:pPr>
      <w:spacing w:line="240" w:lineRule="auto"/>
    </w:pPr>
    <w:rPr>
      <w:rFonts w:ascii="Tahoma" w:hAnsi="Tahoma" w:cs="Tahoma"/>
      <w:sz w:val="16"/>
      <w:szCs w:val="16"/>
    </w:rPr>
  </w:style>
  <w:style w:type="paragraph" w:styleId="Firmadipostaelettronica">
    <w:name w:val="E-mail Signature"/>
    <w:basedOn w:val="Normale"/>
    <w:link w:val="FirmadipostaelettronicaCarattere"/>
    <w:uiPriority w:val="99"/>
    <w:semiHidden/>
    <w:unhideWhenUsed/>
    <w:pPr>
      <w:spacing w:line="240" w:lineRule="auto"/>
    </w:pPr>
  </w:style>
  <w:style w:type="paragraph" w:styleId="Testonotadichiusura">
    <w:name w:val="endnote text"/>
    <w:basedOn w:val="Normale"/>
    <w:link w:val="TestonotadichiusuraCarattere"/>
    <w:uiPriority w:val="99"/>
    <w:semiHidden/>
    <w:unhideWhenUsed/>
    <w:pPr>
      <w:spacing w:line="240" w:lineRule="auto"/>
    </w:pPr>
  </w:style>
  <w:style w:type="paragraph" w:styleId="Indirizzodestinatario">
    <w:name w:val="envelope address"/>
    <w:basedOn w:val="Normale"/>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pPr>
      <w:spacing w:line="240" w:lineRule="auto"/>
    </w:pPr>
    <w:rPr>
      <w:rFonts w:asciiTheme="majorHAnsi" w:eastAsiaTheme="majorEastAsia" w:hAnsiTheme="majorHAnsi" w:cstheme="majorBidi"/>
    </w:rPr>
  </w:style>
  <w:style w:type="paragraph" w:styleId="Pidipagina">
    <w:name w:val="footer"/>
    <w:basedOn w:val="Normale"/>
    <w:link w:val="PidipaginaCarattere"/>
    <w:uiPriority w:val="99"/>
    <w:unhideWhenUsed/>
    <w:pPr>
      <w:tabs>
        <w:tab w:val="clear" w:pos="7100"/>
        <w:tab w:val="center" w:pos="4819"/>
        <w:tab w:val="right" w:pos="9638"/>
      </w:tabs>
      <w:spacing w:line="240" w:lineRule="auto"/>
    </w:pPr>
  </w:style>
  <w:style w:type="paragraph" w:styleId="Testonotaapidipagina">
    <w:name w:val="footnote text"/>
    <w:basedOn w:val="Normale"/>
    <w:link w:val="TestonotaapidipaginaCarattere"/>
    <w:uiPriority w:val="99"/>
    <w:semiHidden/>
    <w:unhideWhenUsed/>
    <w:pPr>
      <w:spacing w:line="240" w:lineRule="auto"/>
    </w:pPr>
  </w:style>
  <w:style w:type="paragraph" w:styleId="Intestazione">
    <w:name w:val="header"/>
    <w:basedOn w:val="Normale"/>
    <w:link w:val="IntestazioneCarattere"/>
    <w:uiPriority w:val="99"/>
    <w:unhideWhenUsed/>
    <w:pPr>
      <w:tabs>
        <w:tab w:val="clear" w:pos="7100"/>
        <w:tab w:val="center" w:pos="4819"/>
        <w:tab w:val="right" w:pos="9638"/>
      </w:tabs>
      <w:spacing w:line="240" w:lineRule="auto"/>
    </w:pPr>
  </w:style>
  <w:style w:type="paragraph" w:styleId="IndirizzoHTML">
    <w:name w:val="HTML Address"/>
    <w:basedOn w:val="Normale"/>
    <w:link w:val="IndirizzoHTMLCarattere"/>
    <w:uiPriority w:val="99"/>
    <w:semiHidden/>
    <w:unhideWhenUsed/>
    <w:qFormat/>
    <w:pPr>
      <w:spacing w:line="240" w:lineRule="auto"/>
    </w:pPr>
    <w:rPr>
      <w:i/>
      <w:iCs/>
    </w:rPr>
  </w:style>
  <w:style w:type="paragraph" w:styleId="PreformattatoHTML">
    <w:name w:val="HTML Preformatted"/>
    <w:basedOn w:val="Normale"/>
    <w:link w:val="PreformattatoHTMLCarattere"/>
    <w:uiPriority w:val="99"/>
    <w:semiHidden/>
    <w:unhideWhenUsed/>
    <w:pPr>
      <w:spacing w:line="240" w:lineRule="auto"/>
    </w:pPr>
    <w:rPr>
      <w:rFonts w:ascii="Consolas" w:hAnsi="Consolas" w:cs="Consolas"/>
    </w:rPr>
  </w:style>
  <w:style w:type="character" w:styleId="Collegamentoipertestuale">
    <w:name w:val="Hyperlink"/>
    <w:basedOn w:val="Carpredefinitoparagrafo"/>
    <w:uiPriority w:val="99"/>
    <w:unhideWhenUsed/>
    <w:rPr>
      <w:color w:val="0000FF" w:themeColor="hyperlink"/>
      <w:u w:val="single"/>
    </w:rPr>
  </w:style>
  <w:style w:type="paragraph" w:styleId="Indice1">
    <w:name w:val="index 1"/>
    <w:basedOn w:val="Normale"/>
    <w:next w:val="Normale"/>
    <w:autoRedefine/>
    <w:uiPriority w:val="99"/>
    <w:semiHidden/>
    <w:unhideWhenUsed/>
    <w:pPr>
      <w:spacing w:line="240" w:lineRule="auto"/>
      <w:ind w:left="220" w:hanging="220"/>
    </w:pPr>
  </w:style>
  <w:style w:type="paragraph" w:styleId="Indice2">
    <w:name w:val="index 2"/>
    <w:basedOn w:val="Normale"/>
    <w:next w:val="Normale"/>
    <w:autoRedefine/>
    <w:uiPriority w:val="99"/>
    <w:semiHidden/>
    <w:unhideWhenUsed/>
    <w:pPr>
      <w:spacing w:line="240" w:lineRule="auto"/>
      <w:ind w:left="440" w:hanging="220"/>
    </w:pPr>
  </w:style>
  <w:style w:type="paragraph" w:styleId="Indice3">
    <w:name w:val="index 3"/>
    <w:basedOn w:val="Normale"/>
    <w:next w:val="Normale"/>
    <w:autoRedefine/>
    <w:uiPriority w:val="99"/>
    <w:semiHidden/>
    <w:unhideWhenUsed/>
    <w:pPr>
      <w:spacing w:line="240" w:lineRule="auto"/>
      <w:ind w:left="660" w:hanging="220"/>
    </w:pPr>
  </w:style>
  <w:style w:type="paragraph" w:styleId="Indice4">
    <w:name w:val="index 4"/>
    <w:basedOn w:val="Normale"/>
    <w:next w:val="Normale"/>
    <w:autoRedefine/>
    <w:uiPriority w:val="99"/>
    <w:semiHidden/>
    <w:unhideWhenUsed/>
    <w:pPr>
      <w:spacing w:line="240" w:lineRule="auto"/>
      <w:ind w:left="880" w:hanging="220"/>
    </w:pPr>
  </w:style>
  <w:style w:type="paragraph" w:styleId="Indice5">
    <w:name w:val="index 5"/>
    <w:basedOn w:val="Normale"/>
    <w:next w:val="Normale"/>
    <w:autoRedefine/>
    <w:uiPriority w:val="99"/>
    <w:semiHidden/>
    <w:unhideWhenUsed/>
    <w:pPr>
      <w:spacing w:line="240" w:lineRule="auto"/>
      <w:ind w:left="1100" w:hanging="220"/>
    </w:pPr>
  </w:style>
  <w:style w:type="paragraph" w:styleId="Indice6">
    <w:name w:val="index 6"/>
    <w:basedOn w:val="Normale"/>
    <w:next w:val="Normale"/>
    <w:autoRedefine/>
    <w:uiPriority w:val="99"/>
    <w:semiHidden/>
    <w:unhideWhenUsed/>
    <w:pPr>
      <w:spacing w:line="240" w:lineRule="auto"/>
      <w:ind w:left="1320" w:hanging="220"/>
    </w:pPr>
  </w:style>
  <w:style w:type="paragraph" w:styleId="Indice7">
    <w:name w:val="index 7"/>
    <w:basedOn w:val="Normale"/>
    <w:next w:val="Normale"/>
    <w:autoRedefine/>
    <w:uiPriority w:val="99"/>
    <w:semiHidden/>
    <w:unhideWhenUsed/>
    <w:pPr>
      <w:spacing w:line="240" w:lineRule="auto"/>
      <w:ind w:left="1540" w:hanging="220"/>
    </w:pPr>
  </w:style>
  <w:style w:type="paragraph" w:styleId="Indice8">
    <w:name w:val="index 8"/>
    <w:basedOn w:val="Normale"/>
    <w:next w:val="Normale"/>
    <w:autoRedefine/>
    <w:uiPriority w:val="99"/>
    <w:semiHidden/>
    <w:unhideWhenUsed/>
    <w:pPr>
      <w:spacing w:line="240" w:lineRule="auto"/>
      <w:ind w:left="1760" w:hanging="220"/>
    </w:pPr>
  </w:style>
  <w:style w:type="paragraph" w:styleId="Indice9">
    <w:name w:val="index 9"/>
    <w:basedOn w:val="Normale"/>
    <w:next w:val="Normale"/>
    <w:autoRedefine/>
    <w:uiPriority w:val="99"/>
    <w:semiHidden/>
    <w:unhideWhenUsed/>
    <w:pPr>
      <w:spacing w:line="240" w:lineRule="auto"/>
      <w:ind w:left="1980" w:hanging="220"/>
    </w:pPr>
  </w:style>
  <w:style w:type="paragraph" w:styleId="Titoloindice">
    <w:name w:val="index heading"/>
    <w:basedOn w:val="Normale"/>
    <w:next w:val="Indice1"/>
    <w:uiPriority w:val="99"/>
    <w:semiHidden/>
    <w:unhideWhenUsed/>
    <w:rPr>
      <w:rFonts w:asciiTheme="majorHAnsi" w:eastAsiaTheme="majorEastAsia" w:hAnsiTheme="majorHAnsi" w:cstheme="majorBidi"/>
      <w:b/>
      <w:bCs/>
    </w:rPr>
  </w:style>
  <w:style w:type="paragraph" w:styleId="Elenco">
    <w:name w:val="List"/>
    <w:basedOn w:val="Normale"/>
    <w:uiPriority w:val="99"/>
    <w:semiHidden/>
    <w:unhideWhenUsed/>
    <w:pPr>
      <w:ind w:left="283" w:hanging="283"/>
      <w:contextualSpacing/>
    </w:pPr>
  </w:style>
  <w:style w:type="paragraph" w:styleId="Elenco2">
    <w:name w:val="List 2"/>
    <w:basedOn w:val="Normale"/>
    <w:uiPriority w:val="99"/>
    <w:semiHidden/>
    <w:unhideWhenUsed/>
    <w:pPr>
      <w:ind w:left="566" w:hanging="283"/>
      <w:contextualSpacing/>
    </w:pPr>
  </w:style>
  <w:style w:type="paragraph" w:styleId="Elenco3">
    <w:name w:val="List 3"/>
    <w:basedOn w:val="Normale"/>
    <w:uiPriority w:val="99"/>
    <w:semiHidden/>
    <w:unhideWhenUsed/>
    <w:pPr>
      <w:ind w:left="849" w:hanging="283"/>
      <w:contextualSpacing/>
    </w:pPr>
  </w:style>
  <w:style w:type="paragraph" w:styleId="Elenco4">
    <w:name w:val="List 4"/>
    <w:basedOn w:val="Normale"/>
    <w:uiPriority w:val="99"/>
    <w:semiHidden/>
    <w:unhideWhenUsed/>
    <w:pPr>
      <w:ind w:left="1132" w:hanging="283"/>
      <w:contextualSpacing/>
    </w:pPr>
  </w:style>
  <w:style w:type="paragraph" w:styleId="Elenco5">
    <w:name w:val="List 5"/>
    <w:basedOn w:val="Normale"/>
    <w:uiPriority w:val="99"/>
    <w:semiHidden/>
    <w:unhideWhenUsed/>
    <w:pPr>
      <w:ind w:left="1415" w:hanging="283"/>
      <w:contextualSpacing/>
    </w:pPr>
  </w:style>
  <w:style w:type="paragraph" w:styleId="Puntoelenco">
    <w:name w:val="List Bullet"/>
    <w:basedOn w:val="Normale"/>
    <w:uiPriority w:val="99"/>
    <w:semiHidden/>
    <w:unhideWhenUsed/>
    <w:pPr>
      <w:numPr>
        <w:numId w:val="2"/>
      </w:numPr>
      <w:contextualSpacing/>
    </w:pPr>
  </w:style>
  <w:style w:type="paragraph" w:styleId="Puntoelenco2">
    <w:name w:val="List Bullet 2"/>
    <w:basedOn w:val="Normale"/>
    <w:uiPriority w:val="99"/>
    <w:semiHidden/>
    <w:unhideWhenUsed/>
    <w:pPr>
      <w:numPr>
        <w:numId w:val="3"/>
      </w:numPr>
      <w:contextualSpacing/>
    </w:pPr>
  </w:style>
  <w:style w:type="paragraph" w:styleId="Puntoelenco3">
    <w:name w:val="List Bullet 3"/>
    <w:basedOn w:val="Normale"/>
    <w:uiPriority w:val="99"/>
    <w:semiHidden/>
    <w:unhideWhenUsed/>
    <w:pPr>
      <w:numPr>
        <w:numId w:val="4"/>
      </w:numPr>
      <w:contextualSpacing/>
    </w:pPr>
  </w:style>
  <w:style w:type="paragraph" w:styleId="Puntoelenco4">
    <w:name w:val="List Bullet 4"/>
    <w:basedOn w:val="Normale"/>
    <w:uiPriority w:val="99"/>
    <w:semiHidden/>
    <w:unhideWhenUsed/>
    <w:pPr>
      <w:numPr>
        <w:numId w:val="5"/>
      </w:numPr>
      <w:contextualSpacing/>
    </w:pPr>
  </w:style>
  <w:style w:type="paragraph" w:styleId="Puntoelenco5">
    <w:name w:val="List Bullet 5"/>
    <w:basedOn w:val="Normale"/>
    <w:uiPriority w:val="99"/>
    <w:semiHidden/>
    <w:unhideWhenUsed/>
    <w:pPr>
      <w:numPr>
        <w:numId w:val="6"/>
      </w:numPr>
      <w:contextualSpacing/>
    </w:pPr>
  </w:style>
  <w:style w:type="paragraph" w:styleId="Elencocontinua">
    <w:name w:val="List Continue"/>
    <w:basedOn w:val="Normale"/>
    <w:uiPriority w:val="99"/>
    <w:semiHidden/>
    <w:unhideWhenUsed/>
    <w:pPr>
      <w:spacing w:after="120"/>
      <w:ind w:left="283"/>
      <w:contextualSpacing/>
    </w:pPr>
  </w:style>
  <w:style w:type="paragraph" w:styleId="Elencocontinua2">
    <w:name w:val="List Continue 2"/>
    <w:basedOn w:val="Normale"/>
    <w:uiPriority w:val="99"/>
    <w:semiHidden/>
    <w:unhideWhenUsed/>
    <w:pPr>
      <w:spacing w:after="120"/>
      <w:ind w:left="566"/>
      <w:contextualSpacing/>
    </w:pPr>
  </w:style>
  <w:style w:type="paragraph" w:styleId="Elencocontinua3">
    <w:name w:val="List Continue 3"/>
    <w:basedOn w:val="Normale"/>
    <w:uiPriority w:val="99"/>
    <w:semiHidden/>
    <w:unhideWhenUsed/>
    <w:pPr>
      <w:spacing w:after="120"/>
      <w:ind w:left="849"/>
      <w:contextualSpacing/>
    </w:pPr>
  </w:style>
  <w:style w:type="paragraph" w:styleId="Elencocontinua4">
    <w:name w:val="List Continue 4"/>
    <w:basedOn w:val="Normale"/>
    <w:uiPriority w:val="99"/>
    <w:semiHidden/>
    <w:unhideWhenUsed/>
    <w:pPr>
      <w:spacing w:after="120"/>
      <w:ind w:left="1132"/>
      <w:contextualSpacing/>
    </w:pPr>
  </w:style>
  <w:style w:type="paragraph" w:styleId="Elencocontinua5">
    <w:name w:val="List Continue 5"/>
    <w:basedOn w:val="Normale"/>
    <w:uiPriority w:val="99"/>
    <w:semiHidden/>
    <w:unhideWhenUsed/>
    <w:pPr>
      <w:spacing w:after="120"/>
      <w:ind w:left="1415"/>
      <w:contextualSpacing/>
    </w:pPr>
  </w:style>
  <w:style w:type="paragraph" w:styleId="Numeroelenco">
    <w:name w:val="List Number"/>
    <w:basedOn w:val="Normale"/>
    <w:uiPriority w:val="99"/>
    <w:semiHidden/>
    <w:unhideWhenUsed/>
    <w:pPr>
      <w:numPr>
        <w:numId w:val="7"/>
      </w:numPr>
      <w:contextualSpacing/>
    </w:pPr>
  </w:style>
  <w:style w:type="paragraph" w:styleId="Numeroelenco2">
    <w:name w:val="List Number 2"/>
    <w:basedOn w:val="Normale"/>
    <w:uiPriority w:val="99"/>
    <w:semiHidden/>
    <w:unhideWhenUsed/>
    <w:pPr>
      <w:numPr>
        <w:numId w:val="8"/>
      </w:numPr>
      <w:contextualSpacing/>
    </w:pPr>
  </w:style>
  <w:style w:type="paragraph" w:styleId="Numeroelenco3">
    <w:name w:val="List Number 3"/>
    <w:basedOn w:val="Normale"/>
    <w:uiPriority w:val="99"/>
    <w:semiHidden/>
    <w:unhideWhenUsed/>
    <w:pPr>
      <w:numPr>
        <w:numId w:val="9"/>
      </w:numPr>
      <w:contextualSpacing/>
    </w:pPr>
  </w:style>
  <w:style w:type="paragraph" w:styleId="Numeroelenco4">
    <w:name w:val="List Number 4"/>
    <w:basedOn w:val="Normale"/>
    <w:uiPriority w:val="99"/>
    <w:semiHidden/>
    <w:unhideWhenUsed/>
    <w:pPr>
      <w:numPr>
        <w:numId w:val="10"/>
      </w:numPr>
      <w:contextualSpacing/>
    </w:pPr>
  </w:style>
  <w:style w:type="paragraph" w:styleId="Numeroelenco5">
    <w:name w:val="List Number 5"/>
    <w:basedOn w:val="Normale"/>
    <w:uiPriority w:val="99"/>
    <w:semiHidden/>
    <w:unhideWhenUsed/>
    <w:pPr>
      <w:numPr>
        <w:numId w:val="11"/>
      </w:numPr>
      <w:contextualSpacing/>
    </w:pPr>
  </w:style>
  <w:style w:type="paragraph" w:styleId="Testomacro">
    <w:name w:val="macro"/>
    <w:link w:val="TestomacroCarattere"/>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lang w:eastAsia="en-US"/>
    </w:rPr>
  </w:style>
  <w:style w:type="paragraph" w:styleId="Intestazionemessaggio">
    <w:name w:val="Message Header"/>
    <w:basedOn w:val="Normale"/>
    <w:link w:val="IntestazionemessaggioCarattere"/>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eWeb">
    <w:name w:val="Normal (Web)"/>
    <w:basedOn w:val="Normale"/>
    <w:uiPriority w:val="99"/>
    <w:unhideWhenUsed/>
    <w:rPr>
      <w:sz w:val="24"/>
      <w:szCs w:val="24"/>
    </w:rPr>
  </w:style>
  <w:style w:type="paragraph" w:styleId="Rientronormale">
    <w:name w:val="Normal Indent"/>
    <w:basedOn w:val="Normale"/>
    <w:uiPriority w:val="99"/>
    <w:semiHidden/>
    <w:unhideWhenUsed/>
    <w:pPr>
      <w:ind w:left="720"/>
    </w:pPr>
  </w:style>
  <w:style w:type="paragraph" w:styleId="Intestazionenota">
    <w:name w:val="Note Heading"/>
    <w:basedOn w:val="Normale"/>
    <w:next w:val="Normale"/>
    <w:link w:val="IntestazionenotaCarattere"/>
    <w:uiPriority w:val="99"/>
    <w:semiHidden/>
    <w:unhideWhenUsed/>
    <w:pPr>
      <w:spacing w:line="240" w:lineRule="auto"/>
    </w:pPr>
  </w:style>
  <w:style w:type="paragraph" w:styleId="Testonormale">
    <w:name w:val="Plain Text"/>
    <w:basedOn w:val="Normale"/>
    <w:link w:val="TestonormaleCarattere"/>
    <w:uiPriority w:val="99"/>
    <w:semiHidden/>
    <w:unhideWhenUsed/>
    <w:pPr>
      <w:spacing w:line="240" w:lineRule="auto"/>
    </w:pPr>
    <w:rPr>
      <w:rFonts w:ascii="Consolas" w:hAnsi="Consolas" w:cs="Consolas"/>
      <w:sz w:val="21"/>
      <w:szCs w:val="21"/>
    </w:rPr>
  </w:style>
  <w:style w:type="paragraph" w:styleId="Formuladiapertura">
    <w:name w:val="Salutation"/>
    <w:basedOn w:val="Normale"/>
    <w:next w:val="Normale"/>
    <w:link w:val="FormuladiaperturaCarattere"/>
    <w:uiPriority w:val="99"/>
    <w:semiHidden/>
    <w:unhideWhenUsed/>
  </w:style>
  <w:style w:type="paragraph" w:styleId="Firma">
    <w:name w:val="Signature"/>
    <w:basedOn w:val="Normale"/>
    <w:link w:val="FirmaCarattere"/>
    <w:uiPriority w:val="99"/>
    <w:semiHidden/>
    <w:unhideWhenUsed/>
    <w:pPr>
      <w:spacing w:line="240" w:lineRule="auto"/>
      <w:ind w:left="4252"/>
    </w:pPr>
  </w:style>
  <w:style w:type="character" w:styleId="Enfasigrassetto">
    <w:name w:val="Strong"/>
    <w:basedOn w:val="Carpredefinitoparagrafo"/>
    <w:uiPriority w:val="22"/>
    <w:qFormat/>
    <w:rPr>
      <w:b/>
      <w:bCs/>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fonti">
    <w:name w:val="table of authorities"/>
    <w:basedOn w:val="Normale"/>
    <w:next w:val="Normale"/>
    <w:uiPriority w:val="99"/>
    <w:semiHidden/>
    <w:unhideWhenUsed/>
    <w:pPr>
      <w:ind w:left="220" w:hanging="220"/>
    </w:pPr>
  </w:style>
  <w:style w:type="paragraph" w:styleId="Indicedellefigure">
    <w:name w:val="table of figures"/>
    <w:basedOn w:val="Normale"/>
    <w:next w:val="Normale"/>
    <w:uiPriority w:val="99"/>
    <w:semiHidden/>
    <w:unhideWhenUsed/>
  </w:style>
  <w:style w:type="table" w:styleId="Tabellasemplice1">
    <w:name w:val="Table Simple 1"/>
    <w:basedOn w:val="Tabellanormale"/>
    <w:semiHidden/>
    <w:pPr>
      <w:numPr>
        <w:ilvl w:val="3"/>
        <w:numId w:val="1"/>
      </w:numPr>
      <w:spacing w:line="264" w:lineRule="auto"/>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itoloindicefonti">
    <w:name w:val="toa heading"/>
    <w:basedOn w:val="Normale"/>
    <w:next w:val="Normale"/>
    <w:uiPriority w:val="99"/>
    <w:semiHidden/>
    <w:unhideWhenUsed/>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pPr>
      <w:spacing w:after="100"/>
    </w:pPr>
  </w:style>
  <w:style w:type="paragraph" w:styleId="Sommario2">
    <w:name w:val="toc 2"/>
    <w:basedOn w:val="Normale"/>
    <w:next w:val="Normale"/>
    <w:autoRedefine/>
    <w:uiPriority w:val="39"/>
    <w:semiHidden/>
    <w:unhideWhenUsed/>
    <w:pPr>
      <w:spacing w:after="100"/>
      <w:ind w:left="220"/>
    </w:pPr>
  </w:style>
  <w:style w:type="paragraph" w:styleId="Sommario3">
    <w:name w:val="toc 3"/>
    <w:basedOn w:val="Normale"/>
    <w:next w:val="Normale"/>
    <w:autoRedefine/>
    <w:uiPriority w:val="39"/>
    <w:semiHidden/>
    <w:unhideWhenUsed/>
    <w:pPr>
      <w:spacing w:after="100"/>
      <w:ind w:left="440"/>
    </w:pPr>
  </w:style>
  <w:style w:type="paragraph" w:styleId="Sommario4">
    <w:name w:val="toc 4"/>
    <w:basedOn w:val="Normale"/>
    <w:next w:val="Normale"/>
    <w:autoRedefine/>
    <w:uiPriority w:val="39"/>
    <w:semiHidden/>
    <w:unhideWhenUsed/>
    <w:pPr>
      <w:spacing w:after="100"/>
      <w:ind w:left="660"/>
    </w:pPr>
  </w:style>
  <w:style w:type="paragraph" w:styleId="Sommario5">
    <w:name w:val="toc 5"/>
    <w:basedOn w:val="Normale"/>
    <w:next w:val="Normale"/>
    <w:autoRedefine/>
    <w:uiPriority w:val="39"/>
    <w:semiHidden/>
    <w:unhideWhenUsed/>
    <w:pPr>
      <w:spacing w:after="100"/>
      <w:ind w:left="880"/>
    </w:pPr>
  </w:style>
  <w:style w:type="paragraph" w:styleId="Sommario6">
    <w:name w:val="toc 6"/>
    <w:basedOn w:val="Normale"/>
    <w:next w:val="Normale"/>
    <w:autoRedefine/>
    <w:uiPriority w:val="39"/>
    <w:semiHidden/>
    <w:unhideWhenUsed/>
    <w:pPr>
      <w:spacing w:after="100"/>
      <w:ind w:left="1100"/>
    </w:pPr>
  </w:style>
  <w:style w:type="paragraph" w:styleId="Sommario7">
    <w:name w:val="toc 7"/>
    <w:basedOn w:val="Normale"/>
    <w:next w:val="Normale"/>
    <w:autoRedefine/>
    <w:uiPriority w:val="39"/>
    <w:semiHidden/>
    <w:unhideWhenUsed/>
    <w:pPr>
      <w:spacing w:after="100"/>
      <w:ind w:left="1320"/>
    </w:pPr>
  </w:style>
  <w:style w:type="paragraph" w:styleId="Sommario8">
    <w:name w:val="toc 8"/>
    <w:basedOn w:val="Normale"/>
    <w:next w:val="Normale"/>
    <w:autoRedefine/>
    <w:uiPriority w:val="39"/>
    <w:semiHidden/>
    <w:unhideWhenUsed/>
    <w:pPr>
      <w:spacing w:after="100"/>
      <w:ind w:left="1540"/>
    </w:pPr>
  </w:style>
  <w:style w:type="paragraph" w:styleId="Sommario9">
    <w:name w:val="toc 9"/>
    <w:basedOn w:val="Normale"/>
    <w:next w:val="Normale"/>
    <w:autoRedefine/>
    <w:uiPriority w:val="39"/>
    <w:semiHidden/>
    <w:unhideWhenUsed/>
    <w:pPr>
      <w:spacing w:after="100"/>
      <w:ind w:left="1760"/>
    </w:p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pPr>
      <w:suppressAutoHyphens/>
      <w:spacing w:before="480" w:after="120" w:line="264" w:lineRule="auto"/>
      <w:jc w:val="center"/>
      <w:outlineLvl w:val="0"/>
    </w:pPr>
    <w:rPr>
      <w:rFonts w:ascii="Arial" w:eastAsia="Times New Roman" w:hAnsi="Arial"/>
      <w:sz w:val="32"/>
      <w:lang w:val="en-GB" w:eastAsia="en-US"/>
    </w:rPr>
  </w:style>
  <w:style w:type="character" w:customStyle="1" w:styleId="CETAuthorsCarattere">
    <w:name w:val="CET Authors Carattere"/>
    <w:link w:val="CETAuthors"/>
    <w:rPr>
      <w:rFonts w:ascii="Arial" w:eastAsia="Times New Roman" w:hAnsi="Arial" w:cs="Times New Roman"/>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x">
    <w:name w:val="CET headingx"/>
    <w:next w:val="CETBodytext"/>
    <w:link w:val="CETheadingxCarattere"/>
    <w:autoRedefine/>
    <w:qFormat/>
    <w:pPr>
      <w:keepNext/>
      <w:numPr>
        <w:ilvl w:val="2"/>
        <w:numId w:val="1"/>
      </w:numPr>
      <w:suppressAutoHyphens/>
      <w:spacing w:before="120" w:after="120"/>
    </w:pPr>
    <w:rPr>
      <w:rFonts w:ascii="Arial" w:eastAsia="Times New Roman" w:hAnsi="Arial"/>
      <w:b/>
      <w:sz w:val="18"/>
      <w:lang w:val="en-US"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sz w:val="16"/>
      <w:lang w:val="en-GB" w:eastAsia="en-US"/>
    </w:r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b/>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i/>
      <w:sz w:val="18"/>
      <w:lang w:val="en-GB" w:eastAsia="en-US"/>
    </w:rPr>
  </w:style>
  <w:style w:type="character" w:customStyle="1" w:styleId="CETheadingxCarattere">
    <w:name w:val="CET headingx Carattere"/>
    <w:link w:val="CETheadingx"/>
    <w:rPr>
      <w:rFonts w:ascii="Arial" w:eastAsia="Times New Roman" w:hAnsi="Arial" w:cs="Times New Roman"/>
      <w:b/>
      <w:sz w:val="18"/>
      <w:szCs w:val="20"/>
      <w:lang w:val="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customStyle="1" w:styleId="Bibliografia1">
    <w:name w:val="Bibliografia1"/>
    <w:basedOn w:val="CETReferencetext"/>
    <w:uiPriority w:val="37"/>
    <w:unhideWhenUsed/>
    <w:pPr>
      <w:spacing w:line="240" w:lineRule="auto"/>
      <w:ind w:left="720" w:hanging="720"/>
    </w:pPr>
  </w:style>
  <w:style w:type="paragraph" w:customStyle="1" w:styleId="CETReferencetext">
    <w:name w:val="CET Reference text"/>
    <w:qFormat/>
    <w:pPr>
      <w:spacing w:line="264" w:lineRule="auto"/>
      <w:ind w:left="284" w:hanging="284"/>
      <w:jc w:val="both"/>
    </w:pPr>
    <w:rPr>
      <w:rFonts w:ascii="Arial" w:eastAsia="Times New Roman" w:hAnsi="Arial"/>
      <w:sz w:val="18"/>
      <w:lang w:val="en-GB" w:eastAsia="en-US"/>
    </w:rPr>
  </w:style>
  <w:style w:type="character" w:customStyle="1" w:styleId="Corpodeltesto2Carattere">
    <w:name w:val="Corpo del testo 2 Carattere"/>
    <w:basedOn w:val="Carpredefinitoparagrafo"/>
    <w:link w:val="Corpodeltesto2"/>
    <w:uiPriority w:val="99"/>
    <w:semiHidden/>
  </w:style>
  <w:style w:type="character" w:customStyle="1" w:styleId="Corpodeltesto3Carattere">
    <w:name w:val="Corpo del testo 3 Carattere"/>
    <w:basedOn w:val="Carpredefinitoparagrafo"/>
    <w:link w:val="Corpodeltesto3"/>
    <w:uiPriority w:val="99"/>
    <w:semiHidden/>
    <w:rPr>
      <w:sz w:val="16"/>
      <w:szCs w:val="16"/>
    </w:rPr>
  </w:style>
  <w:style w:type="character" w:customStyle="1" w:styleId="CorpotestoCarattere">
    <w:name w:val="Corpo testo Carattere"/>
    <w:basedOn w:val="Carpredefinitoparagrafo"/>
    <w:link w:val="Corpotesto"/>
    <w:uiPriority w:val="99"/>
    <w:semiHidden/>
  </w:style>
  <w:style w:type="character" w:customStyle="1" w:styleId="DataCarattere">
    <w:name w:val="Data Carattere"/>
    <w:basedOn w:val="Carpredefinitoparagrafo"/>
    <w:link w:val="Data"/>
    <w:uiPriority w:val="99"/>
    <w:semiHidden/>
  </w:style>
  <w:style w:type="character" w:customStyle="1" w:styleId="FirmaCarattere">
    <w:name w:val="Firma Carattere"/>
    <w:basedOn w:val="Carpredefinitoparagrafo"/>
    <w:link w:val="Firma"/>
    <w:uiPriority w:val="99"/>
    <w:semiHidden/>
  </w:style>
  <w:style w:type="character" w:customStyle="1" w:styleId="FirmadipostaelettronicaCarattere">
    <w:name w:val="Firma di posta elettronica Carattere"/>
    <w:basedOn w:val="Carpredefinitoparagrafo"/>
    <w:link w:val="Firmadipostaelettronica"/>
    <w:uiPriority w:val="99"/>
    <w:semiHidden/>
  </w:style>
  <w:style w:type="character" w:customStyle="1" w:styleId="FormuladiaperturaCarattere">
    <w:name w:val="Formula di apertura Carattere"/>
    <w:basedOn w:val="Carpredefinitoparagrafo"/>
    <w:link w:val="Formuladiapertura"/>
    <w:uiPriority w:val="99"/>
    <w:semiHidden/>
  </w:style>
  <w:style w:type="character" w:customStyle="1" w:styleId="FormuladichiusuraCarattere">
    <w:name w:val="Formula di chiusura Carattere"/>
    <w:basedOn w:val="Carpredefinitoparagrafo"/>
    <w:link w:val="Formuladichiusura"/>
    <w:uiPriority w:val="99"/>
    <w:semiHidden/>
  </w:style>
  <w:style w:type="character" w:customStyle="1" w:styleId="IndirizzoHTMLCarattere">
    <w:name w:val="Indirizzo HTML Carattere"/>
    <w:basedOn w:val="Carpredefinitoparagrafo"/>
    <w:link w:val="IndirizzoHTML"/>
    <w:uiPriority w:val="99"/>
    <w:semiHidden/>
    <w:rPr>
      <w:i/>
      <w:iCs/>
    </w:rPr>
  </w:style>
  <w:style w:type="character" w:customStyle="1" w:styleId="IntestazionemessaggioCarattere">
    <w:name w:val="Intestazione messaggio Carattere"/>
    <w:basedOn w:val="Carpredefinitoparagrafo"/>
    <w:link w:val="Intestazionemessaggio"/>
    <w:uiPriority w:val="99"/>
    <w:semiHidden/>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semiHidden/>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 w:type="character" w:customStyle="1" w:styleId="PreformattatoHTMLCarattere">
    <w:name w:val="Preformattato HTML Carattere"/>
    <w:basedOn w:val="Carpredefinitoparagrafo"/>
    <w:link w:val="PreformattatoHTML"/>
    <w:uiPriority w:val="99"/>
    <w:semiHidden/>
    <w:rPr>
      <w:rFonts w:ascii="Consolas" w:hAnsi="Consolas" w:cs="Consolas"/>
      <w:sz w:val="20"/>
      <w:szCs w:val="20"/>
    </w:rPr>
  </w:style>
  <w:style w:type="character" w:customStyle="1" w:styleId="PrimorientrocorpodeltestoCarattere">
    <w:name w:val="Primo rientro corpo del testo Carattere"/>
    <w:basedOn w:val="CorpotestoCarattere"/>
    <w:link w:val="Primorientrocorpodeltesto"/>
    <w:uiPriority w:val="99"/>
    <w:semiHidden/>
  </w:style>
  <w:style w:type="character" w:customStyle="1" w:styleId="RientrocorpodeltestoCarattere">
    <w:name w:val="Rientro corpo del testo Carattere"/>
    <w:basedOn w:val="Carpredefinitoparagrafo"/>
    <w:link w:val="Rientrocorpodeltesto"/>
    <w:uiPriority w:val="99"/>
    <w:semiHidden/>
  </w:style>
  <w:style w:type="character" w:customStyle="1" w:styleId="Primorientrocorpodeltesto2Carattere">
    <w:name w:val="Primo rientro corpo del testo 2 Carattere"/>
    <w:basedOn w:val="RientrocorpodeltestoCarattere"/>
    <w:link w:val="Primorientrocorpodeltesto2"/>
    <w:uiPriority w:val="99"/>
    <w:semiHidden/>
  </w:style>
  <w:style w:type="character" w:customStyle="1" w:styleId="Rientrocorpodeltesto2Carattere">
    <w:name w:val="Rientro corpo del testo 2 Carattere"/>
    <w:basedOn w:val="Carpredefinitoparagrafo"/>
    <w:link w:val="Rientrocorpodeltesto2"/>
    <w:uiPriority w:val="99"/>
    <w:semiHidden/>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character" w:customStyle="1" w:styleId="TestocommentoCarattere">
    <w:name w:val="Testo commento Carattere"/>
    <w:basedOn w:val="Carpredefinitoparagrafo"/>
    <w:link w:val="Testocommento"/>
    <w:uiPriority w:val="99"/>
    <w:rPr>
      <w:sz w:val="20"/>
      <w:szCs w:val="20"/>
    </w:rPr>
  </w:style>
  <w:style w:type="character" w:customStyle="1" w:styleId="SoggettocommentoCarattere">
    <w:name w:val="Soggetto commento Carattere"/>
    <w:basedOn w:val="TestocommentoCarattere"/>
    <w:link w:val="Soggettocommento"/>
    <w:uiPriority w:val="99"/>
    <w:semiHidden/>
    <w:rPr>
      <w:b/>
      <w:bCs/>
      <w:sz w:val="20"/>
      <w:szCs w:val="20"/>
    </w:rPr>
  </w:style>
  <w:style w:type="character" w:customStyle="1" w:styleId="TestomacroCarattere">
    <w:name w:val="Testo macro Carattere"/>
    <w:basedOn w:val="Carpredefinitoparagrafo"/>
    <w:link w:val="Testomacro"/>
    <w:uiPriority w:val="99"/>
    <w:semiHidden/>
    <w:rPr>
      <w:rFonts w:ascii="Consolas" w:hAnsi="Consolas" w:cs="Consolas"/>
      <w:sz w:val="20"/>
      <w:szCs w:val="20"/>
    </w:rPr>
  </w:style>
  <w:style w:type="character" w:customStyle="1" w:styleId="TestonormaleCarattere">
    <w:name w:val="Testo normale Carattere"/>
    <w:basedOn w:val="Carpredefinitoparagrafo"/>
    <w:link w:val="Testonormale"/>
    <w:uiPriority w:val="99"/>
    <w:semiHidden/>
    <w:rPr>
      <w:rFonts w:ascii="Consolas" w:hAnsi="Consolas" w:cs="Consolas"/>
      <w:sz w:val="21"/>
      <w:szCs w:val="21"/>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customStyle="1" w:styleId="Titolo1Carattere">
    <w:name w:val="Titolo 1 Carattere"/>
    <w:basedOn w:val="Carpredefinitoparagrafo"/>
    <w:link w:val="Titolo1"/>
    <w:uiPriority w:val="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44061" w:themeColor="accent1" w:themeShade="80"/>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iCs/>
      <w:color w:val="244061" w:themeColor="accent1" w:themeShade="80"/>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404040" w:themeColor="text1" w:themeTint="BF"/>
      <w:sz w:val="20"/>
      <w:szCs w:val="20"/>
    </w:rPr>
  </w:style>
  <w:style w:type="paragraph" w:customStyle="1" w:styleId="Titolosommario1">
    <w:name w:val="Titolo sommario1"/>
    <w:basedOn w:val="Titolo1"/>
    <w:next w:val="Normale"/>
    <w:uiPriority w:val="39"/>
    <w:semiHidden/>
    <w:unhideWhenUsed/>
    <w:qFormat/>
    <w:pPr>
      <w:outlineLvl w:val="9"/>
    </w:pPr>
  </w:style>
  <w:style w:type="paragraph" w:customStyle="1" w:styleId="CETemail">
    <w:name w:val="CET email"/>
    <w:next w:val="CETBodytext"/>
    <w:pPr>
      <w:spacing w:after="240" w:line="276" w:lineRule="auto"/>
    </w:pPr>
    <w:rPr>
      <w:rFonts w:ascii="Arial" w:eastAsia="Times New Roman" w:hAnsi="Arial"/>
      <w:sz w:val="16"/>
      <w:lang w:val="en-GB" w:eastAsia="en-US"/>
    </w:rPr>
  </w:style>
  <w:style w:type="character" w:customStyle="1" w:styleId="CETAddressCarattere">
    <w:name w:val="CET Address Carattere"/>
    <w:basedOn w:val="Carpredefinitoparagrafo"/>
    <w:link w:val="CETAddress"/>
    <w:rPr>
      <w:rFonts w:ascii="Arial" w:eastAsia="Times New Roman" w:hAnsi="Arial" w:cs="Times New Roman"/>
      <w:sz w:val="16"/>
      <w:szCs w:val="20"/>
      <w:lang w:val="en-GB"/>
    </w:rPr>
  </w:style>
  <w:style w:type="paragraph" w:customStyle="1" w:styleId="CETBodytextBold">
    <w:name w:val="CET Body text (Bold)"/>
    <w:basedOn w:val="CETBodytext"/>
    <w:rPr>
      <w:b/>
    </w:rPr>
  </w:style>
  <w:style w:type="paragraph" w:customStyle="1" w:styleId="CETnumberingbullets">
    <w:name w:val="CET numbering (bullets)"/>
    <w:pPr>
      <w:numPr>
        <w:numId w:val="12"/>
      </w:numPr>
      <w:spacing w:line="264" w:lineRule="auto"/>
    </w:pPr>
    <w:rPr>
      <w:rFonts w:ascii="Arial" w:eastAsia="Times New Roman" w:hAnsi="Arial"/>
      <w:sz w:val="18"/>
      <w:lang w:val="en-GB" w:eastAsia="en-US"/>
    </w:rPr>
  </w:style>
  <w:style w:type="paragraph" w:customStyle="1" w:styleId="CETnumbering1">
    <w:name w:val="CET numbering (1"/>
    <w:pPr>
      <w:numPr>
        <w:numId w:val="13"/>
      </w:numPr>
      <w:spacing w:line="264" w:lineRule="auto"/>
      <w:ind w:left="340" w:hanging="227"/>
    </w:pPr>
    <w:rPr>
      <w:rFonts w:ascii="Arial" w:eastAsia="Times New Roman" w:hAnsi="Arial"/>
      <w:sz w:val="18"/>
      <w:lang w:val="en-US" w:eastAsia="en-US"/>
    </w:rPr>
  </w:style>
  <w:style w:type="paragraph" w:customStyle="1" w:styleId="CETnumberinga">
    <w:name w:val="CET numbering (a"/>
    <w:pPr>
      <w:numPr>
        <w:numId w:val="14"/>
      </w:numPr>
      <w:spacing w:line="264" w:lineRule="auto"/>
    </w:pPr>
    <w:rPr>
      <w:rFonts w:ascii="Arial" w:eastAsia="Times New Roman" w:hAnsi="Arial"/>
      <w:sz w:val="18"/>
      <w:lang w:val="en-GB" w:eastAsia="en-US"/>
    </w:rPr>
  </w:style>
  <w:style w:type="character" w:customStyle="1" w:styleId="IntestazioneCarattere">
    <w:name w:val="Intestazione Carattere"/>
    <w:basedOn w:val="Carpredefinitoparagrafo"/>
    <w:link w:val="Intestazione"/>
    <w:uiPriority w:val="99"/>
    <w:rPr>
      <w:rFonts w:ascii="Arial" w:eastAsia="Times New Roman" w:hAnsi="Arial" w:cs="Times New Roman"/>
      <w:sz w:val="18"/>
      <w:szCs w:val="20"/>
      <w:lang w:val="en-GB"/>
    </w:rPr>
  </w:style>
  <w:style w:type="character" w:customStyle="1" w:styleId="PidipaginaCarattere">
    <w:name w:val="Piè di pagina Carattere"/>
    <w:basedOn w:val="Carpredefinitoparagrafo"/>
    <w:link w:val="Pidipagina"/>
    <w:uiPriority w:val="99"/>
    <w:rPr>
      <w:rFonts w:ascii="Arial" w:eastAsia="Times New Roman" w:hAnsi="Arial" w:cs="Times New Roman"/>
      <w:sz w:val="18"/>
      <w:szCs w:val="20"/>
      <w:lang w:val="en-GB"/>
    </w:rPr>
  </w:style>
  <w:style w:type="character" w:customStyle="1" w:styleId="eudoraheader">
    <w:name w:val="eudoraheader"/>
    <w:basedOn w:val="Carpredefinitoparagrafo"/>
  </w:style>
  <w:style w:type="paragraph" w:customStyle="1" w:styleId="CETListbullets">
    <w:name w:val="CET List bullets"/>
    <w:qFormat/>
    <w:pPr>
      <w:spacing w:line="264" w:lineRule="auto"/>
      <w:ind w:left="340" w:hanging="227"/>
      <w:jc w:val="both"/>
    </w:pPr>
    <w:rPr>
      <w:rFonts w:ascii="Arial" w:eastAsia="Times New Roman" w:hAnsi="Arial"/>
      <w:sz w:val="18"/>
      <w:lang w:val="en-GB" w:eastAsia="en-US"/>
    </w:rPr>
  </w:style>
  <w:style w:type="paragraph" w:customStyle="1" w:styleId="CETTabletitle">
    <w:name w:val="CET Table title"/>
    <w:qFormat/>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rPr>
      <w:rFonts w:ascii="Arial" w:eastAsia="Times New Roman" w:hAnsi="Arial" w:cs="Times New Roman"/>
      <w:b/>
      <w:sz w:val="18"/>
      <w:szCs w:val="20"/>
      <w:lang w:val="en-US"/>
    </w:rPr>
  </w:style>
  <w:style w:type="paragraph" w:styleId="Paragrafoelenco">
    <w:name w:val="List Paragraph"/>
    <w:basedOn w:val="Normale"/>
    <w:uiPriority w:val="34"/>
    <w:pPr>
      <w:ind w:left="720"/>
      <w:contextualSpacing/>
    </w:pPr>
  </w:style>
  <w:style w:type="character" w:customStyle="1" w:styleId="gmail-apple-converted-space">
    <w:name w:val="gmail-apple-converted-spac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514">
      <w:bodyDiv w:val="1"/>
      <w:marLeft w:val="0"/>
      <w:marRight w:val="0"/>
      <w:marTop w:val="0"/>
      <w:marBottom w:val="0"/>
      <w:divBdr>
        <w:top w:val="none" w:sz="0" w:space="0" w:color="auto"/>
        <w:left w:val="none" w:sz="0" w:space="0" w:color="auto"/>
        <w:bottom w:val="none" w:sz="0" w:space="0" w:color="auto"/>
        <w:right w:val="none" w:sz="0" w:space="0" w:color="auto"/>
      </w:divBdr>
    </w:div>
    <w:div w:id="289477543">
      <w:bodyDiv w:val="1"/>
      <w:marLeft w:val="0"/>
      <w:marRight w:val="0"/>
      <w:marTop w:val="0"/>
      <w:marBottom w:val="0"/>
      <w:divBdr>
        <w:top w:val="none" w:sz="0" w:space="0" w:color="auto"/>
        <w:left w:val="none" w:sz="0" w:space="0" w:color="auto"/>
        <w:bottom w:val="none" w:sz="0" w:space="0" w:color="auto"/>
        <w:right w:val="none" w:sz="0" w:space="0" w:color="auto"/>
      </w:divBdr>
    </w:div>
    <w:div w:id="524055592">
      <w:bodyDiv w:val="1"/>
      <w:marLeft w:val="0"/>
      <w:marRight w:val="0"/>
      <w:marTop w:val="0"/>
      <w:marBottom w:val="0"/>
      <w:divBdr>
        <w:top w:val="none" w:sz="0" w:space="0" w:color="auto"/>
        <w:left w:val="none" w:sz="0" w:space="0" w:color="auto"/>
        <w:bottom w:val="none" w:sz="0" w:space="0" w:color="auto"/>
        <w:right w:val="none" w:sz="0" w:space="0" w:color="auto"/>
      </w:divBdr>
    </w:div>
    <w:div w:id="1252276515">
      <w:bodyDiv w:val="1"/>
      <w:marLeft w:val="0"/>
      <w:marRight w:val="0"/>
      <w:marTop w:val="0"/>
      <w:marBottom w:val="0"/>
      <w:divBdr>
        <w:top w:val="none" w:sz="0" w:space="0" w:color="auto"/>
        <w:left w:val="none" w:sz="0" w:space="0" w:color="auto"/>
        <w:bottom w:val="none" w:sz="0" w:space="0" w:color="auto"/>
        <w:right w:val="none" w:sz="0" w:space="0" w:color="auto"/>
      </w:divBdr>
    </w:div>
    <w:div w:id="1446660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1901-D514-4C39-A2DF-21D4770F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2057</Words>
  <Characters>11731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RAM</cp:lastModifiedBy>
  <cp:revision>9</cp:revision>
  <cp:lastPrinted>2025-05-05T13:35:00Z</cp:lastPrinted>
  <dcterms:created xsi:type="dcterms:W3CDTF">2025-05-07T12:27:00Z</dcterms:created>
  <dcterms:modified xsi:type="dcterms:W3CDTF">2025-05-07T13:14:00Z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KSOProductBuildVer">
    <vt:lpwstr>2057-12.2.0.20796</vt:lpwstr>
  </property>
  <property fmtid="{D5CDD505-2E9C-101B-9397-08002B2CF9AE}" pid="5" name="ICV">
    <vt:lpwstr>5F5341444413417291ECADE1DE694EA5_13</vt:lpwstr>
  </property>
</Properties>
</file>