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4A0" w:firstRow="1" w:lastRow="0" w:firstColumn="1" w:lastColumn="0" w:noHBand="0" w:noVBand="1"/>
      </w:tblPr>
      <w:tblGrid>
        <w:gridCol w:w="6940"/>
        <w:gridCol w:w="1842"/>
      </w:tblGrid>
      <w:tr w:rsidR="00192F92">
        <w:trPr>
          <w:trHeight w:val="852"/>
          <w:jc w:val="center"/>
        </w:trPr>
        <w:tc>
          <w:tcPr>
            <w:tcW w:w="6940" w:type="dxa"/>
            <w:vMerge w:val="restart"/>
            <w:tcBorders>
              <w:right w:val="single" w:sz="4" w:space="0" w:color="auto"/>
            </w:tcBorders>
          </w:tcPr>
          <w:p w:rsidR="00192F92" w:rsidRDefault="00CA326F">
            <w:pPr>
              <w:tabs>
                <w:tab w:val="left" w:pos="-108"/>
              </w:tabs>
              <w:ind w:left="-108"/>
              <w:jc w:val="left"/>
              <w:rPr>
                <w:rFonts w:cs="Arial"/>
                <w:b/>
                <w:bCs/>
                <w:i/>
                <w:iCs/>
                <w:color w:val="000066"/>
                <w:sz w:val="12"/>
                <w:szCs w:val="12"/>
                <w:lang w:eastAsia="it-IT"/>
              </w:rPr>
            </w:pPr>
            <w:bookmarkStart w:id="0" w:name="_Hlk145068772"/>
            <w:r>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40080" cy="373380"/>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rsidR="00192F92" w:rsidRDefault="00CA326F">
            <w:pPr>
              <w:tabs>
                <w:tab w:val="left" w:pos="-108"/>
              </w:tabs>
              <w:ind w:left="-108"/>
              <w:rPr>
                <w:rFonts w:cs="Arial"/>
                <w:b/>
                <w:bCs/>
                <w:i/>
                <w:iCs/>
                <w:color w:val="000066"/>
                <w:sz w:val="22"/>
                <w:szCs w:val="22"/>
                <w:lang w:eastAsia="it-IT"/>
              </w:rPr>
            </w:pPr>
            <w:r>
              <w:rPr>
                <w:rFonts w:cs="Arial"/>
                <w:b/>
                <w:bCs/>
                <w:i/>
                <w:iCs/>
                <w:color w:val="000066"/>
                <w:sz w:val="22"/>
                <w:szCs w:val="22"/>
                <w:lang w:eastAsia="it-IT"/>
              </w:rPr>
              <w:t>VOL. xxx, 2025</w:t>
            </w:r>
          </w:p>
        </w:tc>
        <w:tc>
          <w:tcPr>
            <w:tcW w:w="1842" w:type="dxa"/>
            <w:tcBorders>
              <w:left w:val="single" w:sz="4" w:space="0" w:color="auto"/>
              <w:bottom w:val="nil"/>
              <w:right w:val="single" w:sz="4" w:space="0" w:color="auto"/>
            </w:tcBorders>
          </w:tcPr>
          <w:p w:rsidR="00192F92" w:rsidRDefault="00CA326F">
            <w:pPr>
              <w:spacing w:line="140" w:lineRule="atLeast"/>
              <w:jc w:val="right"/>
              <w:rPr>
                <w:rFonts w:cs="Arial"/>
                <w:sz w:val="14"/>
                <w:szCs w:val="14"/>
              </w:rPr>
            </w:pPr>
            <w:r>
              <w:rPr>
                <w:rFonts w:cs="Arial"/>
                <w:sz w:val="14"/>
                <w:szCs w:val="14"/>
              </w:rPr>
              <w:t>A publication of</w:t>
            </w:r>
          </w:p>
          <w:p w:rsidR="00192F92" w:rsidRDefault="00CA326F">
            <w:pPr>
              <w:jc w:val="right"/>
            </w:pPr>
            <w:r>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70560" cy="358140"/>
                          </a:xfrm>
                          <a:prstGeom prst="rect">
                            <a:avLst/>
                          </a:prstGeom>
                          <a:noFill/>
                          <a:ln>
                            <a:noFill/>
                          </a:ln>
                        </pic:spPr>
                      </pic:pic>
                    </a:graphicData>
                  </a:graphic>
                </wp:inline>
              </w:drawing>
            </w:r>
          </w:p>
        </w:tc>
      </w:tr>
      <w:tr w:rsidR="00192F92">
        <w:trPr>
          <w:trHeight w:val="567"/>
          <w:jc w:val="center"/>
        </w:trPr>
        <w:tc>
          <w:tcPr>
            <w:tcW w:w="6940" w:type="dxa"/>
            <w:vMerge/>
            <w:tcBorders>
              <w:right w:val="single" w:sz="4" w:space="0" w:color="auto"/>
            </w:tcBorders>
          </w:tcPr>
          <w:p w:rsidR="00192F92" w:rsidRDefault="00192F92">
            <w:pPr>
              <w:tabs>
                <w:tab w:val="left" w:pos="-108"/>
              </w:tabs>
            </w:pPr>
          </w:p>
        </w:tc>
        <w:tc>
          <w:tcPr>
            <w:tcW w:w="1842" w:type="dxa"/>
            <w:tcBorders>
              <w:left w:val="single" w:sz="4" w:space="0" w:color="auto"/>
              <w:bottom w:val="nil"/>
              <w:right w:val="single" w:sz="4" w:space="0" w:color="auto"/>
            </w:tcBorders>
          </w:tcPr>
          <w:p w:rsidR="00192F92" w:rsidRDefault="00CA326F">
            <w:pPr>
              <w:spacing w:line="140" w:lineRule="atLeast"/>
              <w:jc w:val="right"/>
              <w:rPr>
                <w:rFonts w:cs="Arial"/>
                <w:sz w:val="14"/>
                <w:szCs w:val="14"/>
              </w:rPr>
            </w:pPr>
            <w:r>
              <w:rPr>
                <w:rFonts w:cs="Arial"/>
                <w:sz w:val="14"/>
                <w:szCs w:val="14"/>
              </w:rPr>
              <w:t>The Italian Association</w:t>
            </w:r>
          </w:p>
          <w:p w:rsidR="00192F92" w:rsidRDefault="00CA326F">
            <w:pPr>
              <w:spacing w:line="140" w:lineRule="atLeast"/>
              <w:jc w:val="right"/>
              <w:rPr>
                <w:rFonts w:cs="Arial"/>
                <w:sz w:val="14"/>
                <w:szCs w:val="14"/>
              </w:rPr>
            </w:pPr>
            <w:r>
              <w:rPr>
                <w:rFonts w:cs="Arial"/>
                <w:sz w:val="14"/>
                <w:szCs w:val="14"/>
              </w:rPr>
              <w:t>of Chemical Engineering</w:t>
            </w:r>
          </w:p>
          <w:p w:rsidR="00192F92" w:rsidRDefault="00CA326F">
            <w:pPr>
              <w:spacing w:line="140" w:lineRule="atLeast"/>
              <w:jc w:val="right"/>
              <w:rPr>
                <w:rFonts w:cs="Arial"/>
                <w:sz w:val="13"/>
                <w:szCs w:val="13"/>
              </w:rPr>
            </w:pPr>
            <w:r>
              <w:rPr>
                <w:rFonts w:cs="Arial"/>
                <w:sz w:val="13"/>
                <w:szCs w:val="13"/>
              </w:rPr>
              <w:t>Online at www.cetjournal.it</w:t>
            </w:r>
          </w:p>
        </w:tc>
      </w:tr>
      <w:tr w:rsidR="00192F92">
        <w:trPr>
          <w:trHeight w:val="68"/>
          <w:jc w:val="center"/>
        </w:trPr>
        <w:tc>
          <w:tcPr>
            <w:tcW w:w="8782" w:type="dxa"/>
            <w:gridSpan w:val="2"/>
          </w:tcPr>
          <w:p w:rsidR="00192F92" w:rsidRDefault="00CA326F">
            <w:pPr>
              <w:ind w:left="-107"/>
              <w:outlineLvl w:val="2"/>
              <w:rPr>
                <w:rFonts w:ascii="Aptos" w:eastAsiaTheme="minorHAnsi" w:hAnsi="Aptos" w:cs="Aptos"/>
                <w:sz w:val="22"/>
                <w:szCs w:val="22"/>
                <w:lang w:val="it-IT"/>
                <w14:ligatures w14:val="standardContextual"/>
              </w:rPr>
            </w:pPr>
            <w:r>
              <w:rPr>
                <w:rFonts w:ascii="Tahoma" w:hAnsi="Tahoma" w:cs="Tahoma"/>
                <w:iCs/>
                <w:color w:val="333333"/>
                <w:sz w:val="14"/>
                <w:szCs w:val="14"/>
                <w:lang w:val="it-IT" w:eastAsia="it-IT"/>
              </w:rPr>
              <w:t>Guest Editors:</w:t>
            </w:r>
            <w:r>
              <w:rPr>
                <w:rFonts w:ascii="Aptos" w:eastAsiaTheme="minorHAnsi" w:hAnsi="Aptos" w:cs="Aptos"/>
                <w:sz w:val="22"/>
                <w:szCs w:val="22"/>
                <w:lang w:val="it-IT"/>
              </w:rPr>
              <w:t xml:space="preserve"> </w:t>
            </w:r>
            <w:r>
              <w:rPr>
                <w:rFonts w:ascii="Tahoma" w:eastAsiaTheme="minorHAnsi" w:hAnsi="Tahoma" w:cs="Tahoma"/>
                <w:sz w:val="14"/>
                <w:szCs w:val="14"/>
                <w:lang w:val="it-IT"/>
                <w14:ligatures w14:val="standardContextual"/>
              </w:rPr>
              <w:t>David Bogle, Flavio Manenti, Piero Salatino</w:t>
            </w:r>
          </w:p>
          <w:p w:rsidR="00192F92" w:rsidRDefault="00CA326F">
            <w:pPr>
              <w:tabs>
                <w:tab w:val="left" w:pos="-108"/>
              </w:tabs>
              <w:spacing w:line="140" w:lineRule="atLeast"/>
              <w:ind w:left="-107"/>
              <w:jc w:val="left"/>
            </w:pPr>
            <w:r>
              <w:rPr>
                <w:rFonts w:ascii="Tahoma" w:hAnsi="Tahoma" w:cs="Tahoma"/>
                <w:iCs/>
                <w:color w:val="333333"/>
                <w:sz w:val="14"/>
                <w:szCs w:val="14"/>
                <w:lang w:eastAsia="it-IT"/>
              </w:rPr>
              <w:t>Copyright © 2025, AIDIC Servizi S.r.l.</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979-12-81206-21-2</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bookmarkEnd w:id="0"/>
    <w:p w:rsidR="00192F92" w:rsidRDefault="00CA326F">
      <w:pPr>
        <w:pStyle w:val="CETTitle"/>
      </w:pPr>
      <w:r>
        <w:t>Mobile App suite to improve refinery safety, communication and operations</w:t>
      </w:r>
    </w:p>
    <w:p w:rsidR="00192F92" w:rsidRDefault="00CA326F">
      <w:pPr>
        <w:pStyle w:val="CETAuthors"/>
      </w:pPr>
      <w:r>
        <w:t>Michele Celebre*, Giuseppe Caravello, Francesca D’Amico</w:t>
      </w:r>
    </w:p>
    <w:p w:rsidR="00192F92" w:rsidRDefault="00CA326F">
      <w:pPr>
        <w:pStyle w:val="CETAddress"/>
      </w:pPr>
      <w:r>
        <w:t xml:space="preserve">Raffineria di Milazzo SCPA, C.da Mangiavacca, Milazzo (Me - Italy)] </w:t>
      </w:r>
    </w:p>
    <w:p w:rsidR="00192F92" w:rsidRDefault="00CA326F">
      <w:pPr>
        <w:pStyle w:val="CETemail"/>
      </w:pPr>
      <w:r>
        <w:t xml:space="preserve">michele.celebre@ram.it </w:t>
      </w:r>
    </w:p>
    <w:p w:rsidR="00192F92" w:rsidRDefault="00CA326F">
      <w:pPr>
        <w:pStyle w:val="CETBodytext"/>
      </w:pPr>
      <w:r>
        <w:t>Over the past two years, the Refinery has developed a suite of mobile applications, used by external operators and specifically designed to improve safety, communication and operations within the plants.</w:t>
      </w:r>
    </w:p>
    <w:p w:rsidR="00192F92" w:rsidRDefault="00CA326F">
      <w:pPr>
        <w:pStyle w:val="CETBodytext"/>
      </w:pPr>
      <w:r>
        <w:t>The project involved the dis</w:t>
      </w:r>
      <w:r>
        <w:t>tribution of 75 Atex smartphones, certified for use in potentially explosive environments, on which dedicated apps were installed. These smartphones are currently used by approximately 300 shift workers.</w:t>
      </w:r>
    </w:p>
    <w:p w:rsidR="00192F92" w:rsidRDefault="00CA326F">
      <w:pPr>
        <w:pStyle w:val="CETBodytext"/>
      </w:pPr>
      <w:r>
        <w:t>The applications cover several key functions, such a</w:t>
      </w:r>
      <w:r>
        <w:t>s real-time management of work permits, monitoring of external companies entering and leaving the plant and immediate reporting of near misses.</w:t>
      </w:r>
    </w:p>
    <w:p w:rsidR="00192F92" w:rsidRDefault="00CA326F">
      <w:pPr>
        <w:pStyle w:val="CETBodytext"/>
      </w:pPr>
      <w:r>
        <w:t>In addition, an integrated address book facilitates quick access to contacts for both refinery personnel and ext</w:t>
      </w:r>
      <w:r>
        <w:t xml:space="preserve">ernal collaborators. </w:t>
      </w:r>
    </w:p>
    <w:p w:rsidR="00192F92" w:rsidRDefault="00CA326F">
      <w:pPr>
        <w:pStyle w:val="CETBodytext"/>
      </w:pPr>
      <w:r>
        <w:t>The digitalization of processes has led to greater awareness of risks and a more efficient and traceable exchange of information.</w:t>
      </w:r>
    </w:p>
    <w:p w:rsidR="00192F92" w:rsidRDefault="00CA326F">
      <w:pPr>
        <w:pStyle w:val="CETBodytext"/>
      </w:pPr>
      <w:r>
        <w:t>Preliminary results highlight significant improvements in terms of safety.</w:t>
      </w:r>
    </w:p>
    <w:p w:rsidR="00192F92" w:rsidRDefault="00CA326F">
      <w:pPr>
        <w:pStyle w:val="CETBodytext"/>
      </w:pPr>
      <w:r>
        <w:t>The project represents a majo</w:t>
      </w:r>
      <w:r>
        <w:t>r innovation in the operational management and prevention of accidents within the industrial complex.</w:t>
      </w:r>
    </w:p>
    <w:p w:rsidR="00192F92" w:rsidRDefault="00CA326F">
      <w:pPr>
        <w:pStyle w:val="CETHeading1"/>
        <w:tabs>
          <w:tab w:val="left" w:pos="360"/>
        </w:tabs>
        <w:rPr>
          <w:lang w:val="en-GB"/>
        </w:rPr>
      </w:pPr>
      <w:r>
        <w:rPr>
          <w:lang w:val="en-GB"/>
        </w:rPr>
        <w:t>Introduction</w:t>
      </w:r>
    </w:p>
    <w:p w:rsidR="00192F92" w:rsidRDefault="00CA326F">
      <w:pPr>
        <w:pStyle w:val="CETBodytext"/>
        <w:rPr>
          <w:lang w:eastAsia="it-IT"/>
        </w:rPr>
      </w:pPr>
      <w:r>
        <w:rPr>
          <w:lang w:eastAsia="it-IT"/>
        </w:rPr>
        <w:t xml:space="preserve">The growing need for safety and optimization of operational processes in refineries has led to the need for advanced digital solutions. </w:t>
      </w:r>
    </w:p>
    <w:p w:rsidR="00192F92" w:rsidRDefault="00CA326F">
      <w:pPr>
        <w:pStyle w:val="CETBodytext"/>
        <w:rPr>
          <w:lang w:eastAsia="it-IT"/>
        </w:rPr>
      </w:pPr>
      <w:r>
        <w:t>In t</w:t>
      </w:r>
      <w:r>
        <w:t>he context of complex and potentially dangerous industrial environments, the adoption of mobile technologies represents a significant step forward. The project described aimed to integrate digital tools for managing work permits, real-time monitoring of ev</w:t>
      </w:r>
      <w:r>
        <w:t>ents and facilitating communication between operators. This initiative is part of a broader digital transformation framework, aimed at reducing risks and improving operational efficiency.</w:t>
      </w:r>
    </w:p>
    <w:p w:rsidR="00192F92" w:rsidRDefault="00CA326F">
      <w:pPr>
        <w:pStyle w:val="CETHeading1"/>
        <w:tabs>
          <w:tab w:val="left" w:pos="360"/>
        </w:tabs>
        <w:rPr>
          <w:lang w:val="en-GB"/>
        </w:rPr>
      </w:pPr>
      <w:r>
        <w:rPr>
          <w:lang w:val="en-GB"/>
        </w:rPr>
        <w:t>Implementation</w:t>
      </w:r>
    </w:p>
    <w:p w:rsidR="00192F92" w:rsidRDefault="00CA326F">
      <w:pPr>
        <w:pStyle w:val="CETBodytext"/>
      </w:pPr>
      <w:r>
        <w:t>More than 75 Atex smartphones certified for potential</w:t>
      </w:r>
      <w:r>
        <w:t>ly explosive environments (zone 1) were distributed, ensuring compatibility with safety regulations.</w:t>
      </w:r>
    </w:p>
    <w:p w:rsidR="00192F92" w:rsidRDefault="00CA326F">
      <w:pPr>
        <w:pStyle w:val="CETBodytext"/>
        <w:rPr>
          <w:lang w:eastAsia="it-IT"/>
        </w:rPr>
      </w:pPr>
      <w:r>
        <w:t xml:space="preserve">A software for MDM (Mobile Device Management) was used to better manage the devices in accordance with IT department policies for secure device management </w:t>
      </w:r>
      <w:r>
        <w:t>(Dino, 2025, Lautala 2019).</w:t>
      </w:r>
    </w:p>
    <w:p w:rsidR="00192F92" w:rsidRDefault="00CA326F">
      <w:pPr>
        <w:pStyle w:val="CETBodytext"/>
        <w:rPr>
          <w:lang w:eastAsia="it-IT"/>
        </w:rPr>
      </w:pPr>
      <w:r>
        <w:t xml:space="preserve">The apps developed are progressive web applications (PWA) with which you can get both the advantages of the web and those of native applications. In fact, PWAs allow users to work offline, receive push notifications, access the </w:t>
      </w:r>
      <w:r>
        <w:t>GPS coordinates of the smartphone (Kothapalli, 2021).</w:t>
      </w:r>
    </w:p>
    <w:p w:rsidR="00192F92" w:rsidRDefault="00CA326F">
      <w:pPr>
        <w:pStyle w:val="CETHeading1"/>
        <w:rPr>
          <w:lang w:eastAsia="it-IT"/>
        </w:rPr>
      </w:pPr>
      <w:r>
        <w:rPr>
          <w:lang w:eastAsia="it-IT"/>
        </w:rPr>
        <w:t>Developed Applications</w:t>
      </w:r>
    </w:p>
    <w:p w:rsidR="00192F92" w:rsidRDefault="00CA326F">
      <w:pPr>
        <w:pStyle w:val="CETBodytext"/>
        <w:rPr>
          <w:lang w:eastAsia="it-IT"/>
        </w:rPr>
      </w:pPr>
      <w:r>
        <w:rPr>
          <w:lang w:eastAsia="it-IT"/>
        </w:rPr>
        <w:t xml:space="preserve">The applications developed cover the following functional areas: </w:t>
      </w:r>
    </w:p>
    <w:p w:rsidR="00192F92" w:rsidRDefault="00192F92">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104"/>
      </w:tblGrid>
      <w:tr w:rsidR="00192F92">
        <w:tc>
          <w:tcPr>
            <w:tcW w:w="4673" w:type="dxa"/>
          </w:tcPr>
          <w:p w:rsidR="00192F92" w:rsidRDefault="00CA326F">
            <w:pPr>
              <w:pStyle w:val="CETBodytext"/>
            </w:pPr>
            <w:r>
              <w:rPr>
                <w:noProof/>
                <w:lang w:val="it-IT" w:eastAsia="it-IT"/>
              </w:rPr>
              <w:lastRenderedPageBreak/>
              <w:drawing>
                <wp:inline distT="0" distB="0" distL="0" distR="0">
                  <wp:extent cx="2774315" cy="1859280"/>
                  <wp:effectExtent l="0" t="0" r="6985"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86174" cy="1867167"/>
                          </a:xfrm>
                          <a:prstGeom prst="rect">
                            <a:avLst/>
                          </a:prstGeom>
                          <a:noFill/>
                          <a:ln>
                            <a:noFill/>
                          </a:ln>
                        </pic:spPr>
                      </pic:pic>
                    </a:graphicData>
                  </a:graphic>
                </wp:inline>
              </w:drawing>
            </w:r>
          </w:p>
        </w:tc>
        <w:tc>
          <w:tcPr>
            <w:tcW w:w="4104" w:type="dxa"/>
          </w:tcPr>
          <w:p w:rsidR="00192F92" w:rsidRDefault="00CA326F">
            <w:pPr>
              <w:pStyle w:val="CETBodytext"/>
            </w:pPr>
            <w:r>
              <w:rPr>
                <w:noProof/>
                <w:lang w:val="it-IT" w:eastAsia="it-IT"/>
              </w:rPr>
              <w:drawing>
                <wp:inline distT="0" distB="0" distL="0" distR="0">
                  <wp:extent cx="1844040" cy="1844040"/>
                  <wp:effectExtent l="0" t="0" r="3810" b="3810"/>
                  <wp:docPr id="4" name="Immagine 4" descr="Smart-Ex® 02 DZ1: smartphone per zona 1/ 21 / divisione 1 | 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Smart-Ex® 02 DZ1: smartphone per zona 1/ 21 / divisione 1 | E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49974" cy="1849974"/>
                          </a:xfrm>
                          <a:prstGeom prst="rect">
                            <a:avLst/>
                          </a:prstGeom>
                          <a:noFill/>
                          <a:ln>
                            <a:noFill/>
                          </a:ln>
                        </pic:spPr>
                      </pic:pic>
                    </a:graphicData>
                  </a:graphic>
                </wp:inline>
              </w:drawing>
            </w:r>
          </w:p>
        </w:tc>
      </w:tr>
      <w:tr w:rsidR="00192F92">
        <w:trPr>
          <w:trHeight w:val="703"/>
        </w:trPr>
        <w:tc>
          <w:tcPr>
            <w:tcW w:w="4673" w:type="dxa"/>
          </w:tcPr>
          <w:p w:rsidR="00192F92" w:rsidRDefault="00CA326F">
            <w:pPr>
              <w:pStyle w:val="CETCaption"/>
            </w:pPr>
            <w:r>
              <w:t>Fig. 1a: Operators in the plant with Atex smartphones</w:t>
            </w:r>
          </w:p>
        </w:tc>
        <w:tc>
          <w:tcPr>
            <w:tcW w:w="4104" w:type="dxa"/>
          </w:tcPr>
          <w:p w:rsidR="00192F92" w:rsidRDefault="00CA326F">
            <w:pPr>
              <w:pStyle w:val="CETCaption"/>
            </w:pPr>
            <w:r>
              <w:t>Fig. 1b: Used atex smartphone</w:t>
            </w:r>
          </w:p>
        </w:tc>
      </w:tr>
    </w:tbl>
    <w:p w:rsidR="00192F92" w:rsidRDefault="00CA326F">
      <w:pPr>
        <w:pStyle w:val="CETheadingx"/>
      </w:pPr>
      <w:r>
        <w:rPr>
          <w:rStyle w:val="Enfasigrassetto"/>
          <w:b/>
          <w:bCs w:val="0"/>
        </w:rPr>
        <w:t xml:space="preserve">Management of Work </w:t>
      </w:r>
      <w:r>
        <w:rPr>
          <w:rStyle w:val="Enfasigrassetto"/>
          <w:b/>
          <w:bCs w:val="0"/>
        </w:rPr>
        <w:t>Permits</w:t>
      </w:r>
    </w:p>
    <w:p w:rsidR="00192F92" w:rsidRDefault="00CA326F">
      <w:pPr>
        <w:pStyle w:val="CETBodytext"/>
      </w:pPr>
      <w:r>
        <w:t>Function: This application enables the real-time monitoring and control of work permits. The external operators of the refinery verify the work permit and record the relative entry and exit made by the contractors in the plant area. This ensures th</w:t>
      </w:r>
      <w:r>
        <w:t>at only authorized personnel are present on site during specific maintenance activities.</w:t>
      </w:r>
    </w:p>
    <w:p w:rsidR="00192F92" w:rsidRDefault="00CA326F">
      <w:pPr>
        <w:pStyle w:val="CETBodytext"/>
      </w:pPr>
      <w:r>
        <w:rPr>
          <w:rStyle w:val="Enfasicorsivo"/>
          <w:i w:val="0"/>
          <w:iCs w:val="0"/>
        </w:rPr>
        <w:t>Objective:</w:t>
      </w:r>
      <w:r>
        <w:t xml:space="preserve"> The primary goal is to ensure a secure and controlled environment during potentially hazardous maintenance activities. Having an up-to-date overview of whic</w:t>
      </w:r>
      <w:r>
        <w:t xml:space="preserve">h personnel are in the plant at any given time minimizes safety risks.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92F92">
        <w:tc>
          <w:tcPr>
            <w:tcW w:w="4388" w:type="dxa"/>
          </w:tcPr>
          <w:p w:rsidR="00192F92" w:rsidRDefault="00CA326F">
            <w:pPr>
              <w:pStyle w:val="CETBodytext"/>
            </w:pPr>
            <w:r>
              <w:rPr>
                <w:noProof/>
                <w:lang w:val="it-IT" w:eastAsia="it-IT"/>
              </w:rPr>
              <w:drawing>
                <wp:inline distT="0" distB="0" distL="0" distR="0">
                  <wp:extent cx="2581275" cy="3018790"/>
                  <wp:effectExtent l="0" t="0" r="0" b="0"/>
                  <wp:docPr id="261" name="Immagine 261" descr="D:\Users\gcaravel\OneDrive - ram.it\Desktop\LAVORI IN CORSO\Materiale Grafico Guide APP\SWmobile\Screenshot_20230420-09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magine 261" descr="D:\Users\gcaravel\OneDrive - ram.it\Desktop\LAVORI IN CORSO\Materiale Grafico Guide APP\SWmobile\Screenshot_20230420-091130.png"/>
                          <pic:cNvPicPr>
                            <a:picLocks noChangeAspect="1" noChangeArrowheads="1"/>
                          </pic:cNvPicPr>
                        </pic:nvPicPr>
                        <pic:blipFill>
                          <a:blip r:embed="rId12" cstate="print">
                            <a:extLst>
                              <a:ext uri="{28A0092B-C50C-407E-A947-70E740481C1C}">
                                <a14:useLocalDpi xmlns:a14="http://schemas.microsoft.com/office/drawing/2010/main" val="0"/>
                              </a:ext>
                            </a:extLst>
                          </a:blip>
                          <a:srcRect b="29799"/>
                          <a:stretch>
                            <a:fillRect/>
                          </a:stretch>
                        </pic:blipFill>
                        <pic:spPr>
                          <a:xfrm>
                            <a:off x="0" y="0"/>
                            <a:ext cx="2600504" cy="3041737"/>
                          </a:xfrm>
                          <a:prstGeom prst="rect">
                            <a:avLst/>
                          </a:prstGeom>
                          <a:noFill/>
                          <a:ln>
                            <a:noFill/>
                          </a:ln>
                        </pic:spPr>
                      </pic:pic>
                    </a:graphicData>
                  </a:graphic>
                </wp:inline>
              </w:drawing>
            </w:r>
          </w:p>
        </w:tc>
        <w:tc>
          <w:tcPr>
            <w:tcW w:w="4389" w:type="dxa"/>
          </w:tcPr>
          <w:p w:rsidR="00192F92" w:rsidRDefault="00CA326F">
            <w:pPr>
              <w:pStyle w:val="CETBodytext"/>
              <w:jc w:val="center"/>
            </w:pPr>
            <w:r>
              <w:object w:dxaOrig="3465" w:dyaOrig="4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1pt;height:235.4pt" o:ole="">
                  <v:imagedata r:id="rId13" o:title=""/>
                </v:shape>
                <o:OLEObject Type="Embed" ProgID="PBrush" ShapeID="_x0000_i1025" DrawAspect="Content" ObjectID="_1809236085" r:id="rId14"/>
              </w:object>
            </w:r>
          </w:p>
        </w:tc>
      </w:tr>
      <w:tr w:rsidR="00192F92">
        <w:tc>
          <w:tcPr>
            <w:tcW w:w="4388" w:type="dxa"/>
          </w:tcPr>
          <w:p w:rsidR="00192F92" w:rsidRDefault="00CA326F">
            <w:pPr>
              <w:pStyle w:val="CETBodytext"/>
            </w:pPr>
            <w:r>
              <w:t xml:space="preserve">Figure 2a: </w:t>
            </w:r>
            <w:r>
              <w:rPr>
                <w:rStyle w:val="CETCaptionCarattere"/>
              </w:rPr>
              <w:t xml:space="preserve">The following data is reported: number of permits opened for the first time today, number of permits renewed, number of permits awaiting the signature </w:t>
            </w:r>
            <w:r>
              <w:rPr>
                <w:rStyle w:val="CETCaptionCarattere"/>
              </w:rPr>
              <w:t>of the facility manager, number of permits requiring authorization from the area manager, number of permits active in the field</w:t>
            </w:r>
            <w:r>
              <w:rPr>
                <w:rStyle w:val="CETCaptionCarattere"/>
                <w:color w:val="FF0000"/>
              </w:rPr>
              <w:t>.</w:t>
            </w:r>
          </w:p>
        </w:tc>
        <w:tc>
          <w:tcPr>
            <w:tcW w:w="4389" w:type="dxa"/>
          </w:tcPr>
          <w:p w:rsidR="00192F92" w:rsidRDefault="00CA326F">
            <w:pPr>
              <w:pStyle w:val="CETBodytext"/>
            </w:pPr>
            <w:r>
              <w:t>Figure 2b:Visualizzazione permessi e registrazione ingresso e uscita del personale della ditta dall’impianto</w:t>
            </w:r>
          </w:p>
        </w:tc>
      </w:tr>
    </w:tbl>
    <w:p w:rsidR="00192F92" w:rsidRDefault="00CA326F">
      <w:pPr>
        <w:pStyle w:val="CETheadingx"/>
        <w:rPr>
          <w:rStyle w:val="Enfasigrassetto"/>
          <w:b/>
          <w:bCs w:val="0"/>
        </w:rPr>
      </w:pPr>
      <w:r>
        <w:rPr>
          <w:rStyle w:val="Enfasigrassetto"/>
          <w:b/>
          <w:bCs w:val="0"/>
        </w:rPr>
        <w:t>Near Miss Reporti</w:t>
      </w:r>
      <w:r>
        <w:rPr>
          <w:rStyle w:val="Enfasigrassetto"/>
          <w:b/>
          <w:bCs w:val="0"/>
        </w:rPr>
        <w:t>ng</w:t>
      </w:r>
    </w:p>
    <w:p w:rsidR="00192F92" w:rsidRDefault="00CA326F">
      <w:pPr>
        <w:pStyle w:val="CETBodytext"/>
        <w:rPr>
          <w:rStyle w:val="Enfasicorsivo"/>
          <w:i w:val="0"/>
          <w:iCs w:val="0"/>
        </w:rPr>
      </w:pPr>
      <w:r>
        <w:rPr>
          <w:rStyle w:val="Enfasicorsivo"/>
          <w:i w:val="0"/>
          <w:iCs w:val="0"/>
        </w:rPr>
        <w:t>Function: This tool enables immediate documentation and reporting of near misses. With an intuitive interface, personnel can quickly submit details of any observed unsafe conditions or behaviors, attaching photos or, if necessary, additional data.</w:t>
      </w:r>
    </w:p>
    <w:p w:rsidR="00192F92" w:rsidRDefault="00CA326F">
      <w:pPr>
        <w:pStyle w:val="CETBodytext"/>
        <w:rPr>
          <w:rStyle w:val="Enfasicorsivo"/>
          <w:i w:val="0"/>
          <w:iCs w:val="0"/>
        </w:rPr>
      </w:pPr>
      <w:r>
        <w:rPr>
          <w:rStyle w:val="Enfasicorsivo"/>
          <w:i w:val="0"/>
          <w:iCs w:val="0"/>
        </w:rPr>
        <w:t>Objec</w:t>
      </w:r>
      <w:r>
        <w:rPr>
          <w:rStyle w:val="Enfasicorsivo"/>
          <w:i w:val="0"/>
          <w:iCs w:val="0"/>
        </w:rPr>
        <w:t>tive: By encouraging real-time reporting of such incidents, the refinery can undertake timely root cause analysis and implement corrective measures before a major incident occurs. This proactive approach fosters a culture of continuous improvement.</w:t>
      </w:r>
    </w:p>
    <w:tbl>
      <w:tblPr>
        <w:tblStyle w:val="Grigliatabel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192F92">
        <w:tc>
          <w:tcPr>
            <w:tcW w:w="8931" w:type="dxa"/>
          </w:tcPr>
          <w:p w:rsidR="00192F92" w:rsidRDefault="00CA326F">
            <w:pPr>
              <w:pStyle w:val="CETBodytext"/>
              <w:rPr>
                <w:rStyle w:val="Enfasicorsivo"/>
                <w:i w:val="0"/>
                <w:iCs w:val="0"/>
              </w:rPr>
            </w:pPr>
            <w:r>
              <w:rPr>
                <w:noProof/>
                <w:lang w:val="it-IT" w:eastAsia="it-IT"/>
              </w:rPr>
              <w:drawing>
                <wp:inline distT="0" distB="0" distL="0" distR="0">
                  <wp:extent cx="1609725" cy="2854960"/>
                  <wp:effectExtent l="0" t="0" r="0" b="2540"/>
                  <wp:docPr id="11" name="Immagine 11" descr="D:\Users\mcelebre\AppData\Local\Microsoft\Windows\INetCache\Content.Word\Screenshot_20250507-10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D:\Users\mcelebre\AppData\Local\Microsoft\Windows\INetCache\Content.Word\Screenshot_20250507-10223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34573" cy="2899518"/>
                          </a:xfrm>
                          <a:prstGeom prst="rect">
                            <a:avLst/>
                          </a:prstGeom>
                          <a:noFill/>
                          <a:ln>
                            <a:noFill/>
                          </a:ln>
                        </pic:spPr>
                      </pic:pic>
                    </a:graphicData>
                  </a:graphic>
                </wp:inline>
              </w:drawing>
            </w:r>
          </w:p>
        </w:tc>
      </w:tr>
      <w:tr w:rsidR="00192F92">
        <w:tc>
          <w:tcPr>
            <w:tcW w:w="8931" w:type="dxa"/>
          </w:tcPr>
          <w:p w:rsidR="00192F92" w:rsidRDefault="00CA326F">
            <w:pPr>
              <w:pStyle w:val="CETCaption"/>
              <w:rPr>
                <w:rStyle w:val="Enfasicorsivo"/>
                <w:i/>
                <w:iCs w:val="0"/>
              </w:rPr>
            </w:pPr>
            <w:r>
              <w:t>Figure 3 Insertion of near miss report, with the possibility of indicating the affected equipment and attaching a photo</w:t>
            </w:r>
          </w:p>
        </w:tc>
      </w:tr>
    </w:tbl>
    <w:p w:rsidR="00192F92" w:rsidRDefault="00CA326F">
      <w:pPr>
        <w:pStyle w:val="CETheadingx"/>
        <w:rPr>
          <w:rStyle w:val="Enfasigrassetto"/>
          <w:b/>
          <w:bCs w:val="0"/>
        </w:rPr>
      </w:pPr>
      <w:r>
        <w:rPr>
          <w:rStyle w:val="Enfasigrassetto"/>
          <w:b/>
          <w:bCs w:val="0"/>
        </w:rPr>
        <w:t>Management of Shift Information</w:t>
      </w:r>
    </w:p>
    <w:p w:rsidR="00192F92" w:rsidRDefault="00CA326F">
      <w:pPr>
        <w:pStyle w:val="CETBodytext"/>
        <w:rPr>
          <w:rStyle w:val="Enfasicorsivo"/>
          <w:i w:val="0"/>
          <w:iCs w:val="0"/>
        </w:rPr>
      </w:pPr>
      <w:r>
        <w:rPr>
          <w:rStyle w:val="Enfasicorsivo"/>
          <w:i w:val="0"/>
          <w:iCs w:val="0"/>
        </w:rPr>
        <w:t>Function: Shift-based operations rely heavily on clear communication between outgoing and incoming team</w:t>
      </w:r>
      <w:r>
        <w:rPr>
          <w:rStyle w:val="Enfasicorsivo"/>
          <w:i w:val="0"/>
          <w:iCs w:val="0"/>
        </w:rPr>
        <w:t>s. This application provides a centralized digital log where shift notes, updates, and any observed anomalies can be recorded and reviewed by subsequent personnel.</w:t>
      </w:r>
    </w:p>
    <w:p w:rsidR="00192F92" w:rsidRDefault="00CA326F">
      <w:pPr>
        <w:pStyle w:val="CETBodytext"/>
      </w:pPr>
      <w:r>
        <w:t xml:space="preserve">Objective: </w:t>
      </w:r>
      <w:r>
        <w:t>The objective is to enhance business continuity by ensuring that critical info</w:t>
      </w:r>
      <w:r>
        <w:t>rmation is not lost or misunderstood during shift handovers.</w:t>
      </w:r>
    </w:p>
    <w:p w:rsidR="00192F92" w:rsidRDefault="00CA326F">
      <w:pPr>
        <w:pStyle w:val="CETheadingx"/>
      </w:pPr>
      <w:r>
        <w:rPr>
          <w:rStyle w:val="Enfasigrassetto"/>
          <w:b/>
          <w:bCs w:val="0"/>
        </w:rPr>
        <w:t>Daily Checklist</w:t>
      </w:r>
    </w:p>
    <w:p w:rsidR="00192F92" w:rsidRDefault="00CA326F">
      <w:pPr>
        <w:pStyle w:val="CETBodytext"/>
        <w:rPr>
          <w:rStyle w:val="Enfasicorsivo"/>
          <w:i w:val="0"/>
          <w:iCs w:val="0"/>
        </w:rPr>
      </w:pPr>
      <w:r>
        <w:rPr>
          <w:rStyle w:val="Enfasicorsivo"/>
          <w:i w:val="0"/>
          <w:iCs w:val="0"/>
        </w:rPr>
        <w:t>Function: Routine checks are essential to ensure that daily operations comply with established operational and safety standards. The Daily Checklist application guides personnel t</w:t>
      </w:r>
      <w:r>
        <w:rPr>
          <w:rStyle w:val="Enfasicorsivo"/>
          <w:i w:val="0"/>
          <w:iCs w:val="0"/>
        </w:rPr>
        <w:t>hrough standardized inspection points to monitor the health of equipment.</w:t>
      </w:r>
    </w:p>
    <w:p w:rsidR="00192F92" w:rsidRDefault="00CA326F">
      <w:pPr>
        <w:pStyle w:val="CETBodytext"/>
      </w:pPr>
      <w:r>
        <w:rPr>
          <w:rStyle w:val="Enfasicorsivo"/>
          <w:i w:val="0"/>
          <w:iCs w:val="0"/>
        </w:rPr>
        <w:t xml:space="preserve">Objective: By digitizing these periodic checks, the system helps prevent equipment failures by ensuring that potential problems are identified early, thereby reducing the likelihood </w:t>
      </w:r>
      <w:r>
        <w:rPr>
          <w:rStyle w:val="Enfasicorsivo"/>
          <w:i w:val="0"/>
          <w:iCs w:val="0"/>
        </w:rPr>
        <w:t>of unexpected downtime or accidents</w:t>
      </w:r>
      <w:r>
        <w:t>.</w:t>
      </w:r>
    </w:p>
    <w:p w:rsidR="00192F92" w:rsidRDefault="00CA326F">
      <w:pPr>
        <w:pStyle w:val="CETheadingx"/>
      </w:pPr>
      <w:r>
        <w:rPr>
          <w:rStyle w:val="Enfasigrassetto"/>
          <w:b/>
          <w:bCs w:val="0"/>
        </w:rPr>
        <w:t>HSE Audit</w:t>
      </w:r>
    </w:p>
    <w:p w:rsidR="00192F92" w:rsidRDefault="00CA326F">
      <w:pPr>
        <w:pStyle w:val="CETBodytext"/>
        <w:rPr>
          <w:rStyle w:val="Enfasicorsivo"/>
          <w:i w:val="0"/>
          <w:iCs w:val="0"/>
        </w:rPr>
      </w:pPr>
      <w:r>
        <w:rPr>
          <w:rStyle w:val="Enfasicorsivo"/>
          <w:i w:val="0"/>
          <w:iCs w:val="0"/>
        </w:rPr>
        <w:t>Function: Focused on Health, Safety, and Environment (HSE) regulations, this application supports the planning, scheduling, and execution of safety audits within the plant. Auditors can record observations, up</w:t>
      </w:r>
      <w:r>
        <w:rPr>
          <w:rStyle w:val="Enfasicorsivo"/>
          <w:i w:val="0"/>
          <w:iCs w:val="0"/>
        </w:rPr>
        <w:t>load photographs, and assign corrective actions in a unified platform, ensuring that all relevant information is captured efficiently.</w:t>
      </w:r>
    </w:p>
    <w:p w:rsidR="00192F92" w:rsidRDefault="00CA326F">
      <w:pPr>
        <w:pStyle w:val="CETBodytext"/>
      </w:pPr>
      <w:r>
        <w:rPr>
          <w:rStyle w:val="Enfasicorsivo"/>
          <w:i w:val="0"/>
          <w:iCs w:val="0"/>
        </w:rPr>
        <w:t>Objective: The primary aim is to enhance the overall safety culture by involving both refinery personnel and contractor c</w:t>
      </w:r>
      <w:r>
        <w:rPr>
          <w:rStyle w:val="Enfasicorsivo"/>
          <w:i w:val="0"/>
          <w:iCs w:val="0"/>
        </w:rPr>
        <w:t>ompanies in understanding and following best practices. Systematic auditing improves awareness of potential hazards, and drives continual improvement in workplace safety performance</w:t>
      </w:r>
      <w:r>
        <w:t>.</w:t>
      </w:r>
    </w:p>
    <w:p w:rsidR="00192F92" w:rsidRDefault="00CA326F">
      <w:pPr>
        <w:pStyle w:val="CETheadingx"/>
        <w:rPr>
          <w:rStyle w:val="Enfasigrassetto"/>
          <w:b/>
          <w:bCs w:val="0"/>
        </w:rPr>
      </w:pPr>
      <w:r>
        <w:rPr>
          <w:rStyle w:val="Enfasigrassetto"/>
          <w:b/>
          <w:bCs w:val="0"/>
        </w:rPr>
        <w:t>Phone Book</w:t>
      </w:r>
    </w:p>
    <w:p w:rsidR="00192F92" w:rsidRDefault="00CA326F">
      <w:pPr>
        <w:pStyle w:val="CETBodytext"/>
        <w:rPr>
          <w:rStyle w:val="Enfasicorsivo"/>
          <w:i w:val="0"/>
          <w:iCs w:val="0"/>
        </w:rPr>
      </w:pPr>
      <w:r>
        <w:rPr>
          <w:rStyle w:val="Enfasicorsivo"/>
          <w:i w:val="0"/>
          <w:iCs w:val="0"/>
        </w:rPr>
        <w:t>Function: Timely collaboration requires direct access to the r</w:t>
      </w:r>
      <w:r>
        <w:rPr>
          <w:rStyle w:val="Enfasicorsivo"/>
          <w:i w:val="0"/>
          <w:iCs w:val="0"/>
        </w:rPr>
        <w:t xml:space="preserve">ight people, whether they are refinery employees or outside maintenance contractors. This digital phone book provides access to the company phone of anyone who may be involved in the work in progress. </w:t>
      </w:r>
    </w:p>
    <w:p w:rsidR="00192F92" w:rsidRDefault="00CA326F">
      <w:pPr>
        <w:pStyle w:val="CETBodytext"/>
      </w:pPr>
      <w:r>
        <w:rPr>
          <w:rStyle w:val="Enfasicorsivo"/>
          <w:i w:val="0"/>
          <w:iCs w:val="0"/>
        </w:rPr>
        <w:t>Objective: The central phone directory promotes effect</w:t>
      </w:r>
      <w:r>
        <w:rPr>
          <w:rStyle w:val="Enfasicorsivo"/>
          <w:i w:val="0"/>
          <w:iCs w:val="0"/>
        </w:rPr>
        <w:t>ive teamwork by allowing staff to quickly locate the right people to contact</w:t>
      </w:r>
      <w: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92F92">
        <w:tc>
          <w:tcPr>
            <w:tcW w:w="4388" w:type="dxa"/>
          </w:tcPr>
          <w:p w:rsidR="00192F92" w:rsidRDefault="00CA326F">
            <w:pPr>
              <w:pStyle w:val="CETBodytext"/>
            </w:pPr>
            <w:r>
              <w:object w:dxaOrig="2595" w:dyaOrig="4380">
                <v:shape id="_x0000_i1026" type="#_x0000_t75" style="width:129.45pt;height:218.75pt" o:ole="">
                  <v:imagedata r:id="rId16" o:title=""/>
                </v:shape>
                <o:OLEObject Type="Embed" ProgID="PBrush" ShapeID="_x0000_i1026" DrawAspect="Content" ObjectID="_1809236086" r:id="rId17"/>
              </w:object>
            </w:r>
          </w:p>
        </w:tc>
        <w:tc>
          <w:tcPr>
            <w:tcW w:w="4389" w:type="dxa"/>
          </w:tcPr>
          <w:p w:rsidR="00192F92" w:rsidRDefault="00CA326F">
            <w:pPr>
              <w:pStyle w:val="CETBodytext"/>
            </w:pPr>
            <w:r>
              <w:object w:dxaOrig="2610" w:dyaOrig="4335">
                <v:shape id="_x0000_i1027" type="#_x0000_t75" style="width:130.85pt;height:216.7pt" o:ole="">
                  <v:imagedata r:id="rId18" o:title=""/>
                </v:shape>
                <o:OLEObject Type="Embed" ProgID="PBrush" ShapeID="_x0000_i1027" DrawAspect="Content" ObjectID="_1809236087" r:id="rId19"/>
              </w:object>
            </w:r>
          </w:p>
        </w:tc>
      </w:tr>
      <w:tr w:rsidR="00192F92">
        <w:tc>
          <w:tcPr>
            <w:tcW w:w="4388" w:type="dxa"/>
          </w:tcPr>
          <w:p w:rsidR="00192F92" w:rsidRDefault="00CA326F">
            <w:pPr>
              <w:pStyle w:val="CETCaption"/>
            </w:pPr>
            <w:r>
              <w:t xml:space="preserve">Figure 5a: </w:t>
            </w:r>
            <w:r>
              <w:rPr>
                <w:rStyle w:val="CETCaptionCarattere"/>
                <w:i/>
              </w:rPr>
              <w:t>Refinery Staff Phones</w:t>
            </w:r>
          </w:p>
        </w:tc>
        <w:tc>
          <w:tcPr>
            <w:tcW w:w="4389" w:type="dxa"/>
          </w:tcPr>
          <w:p w:rsidR="00192F92" w:rsidRDefault="00CA326F">
            <w:pPr>
              <w:pStyle w:val="CETCaption"/>
            </w:pPr>
            <w:r>
              <w:t xml:space="preserve">Figure 5b: </w:t>
            </w:r>
            <w:r>
              <w:rPr>
                <w:rStyle w:val="CETCaptionCarattere"/>
                <w:i/>
              </w:rPr>
              <w:t>External phone numbers, useful for work</w:t>
            </w:r>
          </w:p>
        </w:tc>
      </w:tr>
    </w:tbl>
    <w:p w:rsidR="00192F92" w:rsidRDefault="00CA326F">
      <w:pPr>
        <w:pStyle w:val="CETheadingx"/>
        <w:rPr>
          <w:rStyle w:val="Enfasigrassetto"/>
          <w:b/>
          <w:bCs w:val="0"/>
        </w:rPr>
      </w:pPr>
      <w:r>
        <w:rPr>
          <w:rStyle w:val="Enfasigrassetto"/>
          <w:b/>
          <w:bCs w:val="0"/>
        </w:rPr>
        <w:t>Gas Certificates</w:t>
      </w:r>
    </w:p>
    <w:p w:rsidR="00192F92" w:rsidRDefault="00CA326F">
      <w:pPr>
        <w:pStyle w:val="CETBodytext"/>
        <w:rPr>
          <w:rStyle w:val="Enfasicorsivo"/>
          <w:i w:val="0"/>
          <w:iCs w:val="0"/>
        </w:rPr>
      </w:pPr>
      <w:r>
        <w:rPr>
          <w:rStyle w:val="Enfasicorsivo"/>
          <w:i w:val="0"/>
          <w:iCs w:val="0"/>
        </w:rPr>
        <w:t>Function: Industrial activities often involve working in hazardous atmospheres or require environment-specific testing, such as explosiveness measurements or air quality assessments. This module simplifies the completion, review and issuance of gas certifi</w:t>
      </w:r>
      <w:r>
        <w:rPr>
          <w:rStyle w:val="Enfasicorsivo"/>
          <w:i w:val="0"/>
          <w:iCs w:val="0"/>
        </w:rPr>
        <w:t xml:space="preserve">cates. The certificate is signed using a </w:t>
      </w:r>
      <w:r>
        <w:t>biometric handwritten signature</w:t>
      </w:r>
      <w:r>
        <w:rPr>
          <w:rStyle w:val="Enfasicorsivo"/>
          <w:i w:val="0"/>
          <w:iCs w:val="0"/>
        </w:rPr>
        <w:t xml:space="preserve"> (advanced electronic signature)</w:t>
      </w:r>
    </w:p>
    <w:p w:rsidR="00192F92" w:rsidRDefault="00CA326F">
      <w:pPr>
        <w:pStyle w:val="CETBodytext"/>
      </w:pPr>
      <w:r>
        <w:rPr>
          <w:rStyle w:val="Enfasicorsivo"/>
          <w:i w:val="0"/>
          <w:iCs w:val="0"/>
        </w:rPr>
        <w:t xml:space="preserve">Objective: By automating certificate generation and centralizing all test results, the time required to authorize and begin critical work is </w:t>
      </w:r>
      <w:r>
        <w:rPr>
          <w:rStyle w:val="Enfasicorsivo"/>
          <w:i w:val="0"/>
          <w:iCs w:val="0"/>
        </w:rPr>
        <w:t>significantly reduced. It also ensures complete and consistent documentation, aiding in compliance with regulatory bodies and providing verifiable evidence for audits</w:t>
      </w:r>
      <w: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92F92">
        <w:tc>
          <w:tcPr>
            <w:tcW w:w="4388" w:type="dxa"/>
          </w:tcPr>
          <w:p w:rsidR="00192F92" w:rsidRDefault="00CA326F">
            <w:pPr>
              <w:pStyle w:val="CETBodytext"/>
            </w:pPr>
            <w:r>
              <w:object w:dxaOrig="3330" w:dyaOrig="3795">
                <v:shape id="_x0000_i1028" type="#_x0000_t75" style="width:166.85pt;height:189.7pt" o:ole="">
                  <v:imagedata r:id="rId20" o:title="" cropbottom="15997f" cropright="514f"/>
                </v:shape>
                <o:OLEObject Type="Embed" ProgID="PBrush" ShapeID="_x0000_i1028" DrawAspect="Content" ObjectID="_1809236088" r:id="rId21"/>
              </w:object>
            </w:r>
          </w:p>
        </w:tc>
        <w:tc>
          <w:tcPr>
            <w:tcW w:w="4389" w:type="dxa"/>
          </w:tcPr>
          <w:p w:rsidR="00192F92" w:rsidRDefault="00CA326F">
            <w:pPr>
              <w:pStyle w:val="CETBodytext"/>
            </w:pPr>
            <w:r>
              <w:object w:dxaOrig="3270" w:dyaOrig="3690">
                <v:shape id="_x0000_i1029" type="#_x0000_t75" style="width:163.4pt;height:184.85pt" o:ole="">
                  <v:imagedata r:id="rId22" o:title=""/>
                </v:shape>
                <o:OLEObject Type="Embed" ProgID="PBrush" ShapeID="_x0000_i1029" DrawAspect="Content" ObjectID="_1809236089" r:id="rId23"/>
              </w:object>
            </w:r>
          </w:p>
        </w:tc>
      </w:tr>
      <w:tr w:rsidR="00192F92">
        <w:tc>
          <w:tcPr>
            <w:tcW w:w="4388" w:type="dxa"/>
          </w:tcPr>
          <w:p w:rsidR="00192F92" w:rsidRDefault="00CA326F">
            <w:pPr>
              <w:pStyle w:val="CETCaption"/>
            </w:pPr>
            <w:r>
              <w:t xml:space="preserve">Figure 6a: </w:t>
            </w:r>
            <w:r>
              <w:rPr>
                <w:rStyle w:val="CETCaptionCarattere"/>
                <w:i/>
              </w:rPr>
              <w:t>List of gas certificates in progress a</w:t>
            </w:r>
            <w:r>
              <w:rPr>
                <w:rStyle w:val="CETCaptionCarattere"/>
                <w:i/>
              </w:rPr>
              <w:t>nd completed on the current day</w:t>
            </w:r>
          </w:p>
        </w:tc>
        <w:tc>
          <w:tcPr>
            <w:tcW w:w="4389" w:type="dxa"/>
          </w:tcPr>
          <w:p w:rsidR="00192F92" w:rsidRDefault="00CA326F">
            <w:pPr>
              <w:pStyle w:val="CETCaption"/>
            </w:pPr>
            <w:r>
              <w:t>Figure 6b: The operator enters the explosiveness and/or habitability measurements carried out into the APP</w:t>
            </w:r>
          </w:p>
        </w:tc>
      </w:tr>
    </w:tbl>
    <w:p w:rsidR="00192F92" w:rsidRDefault="00CA326F">
      <w:pPr>
        <w:pStyle w:val="CETheadingx"/>
        <w:rPr>
          <w:lang w:eastAsia="it-IT"/>
        </w:rPr>
      </w:pPr>
      <w:r>
        <w:rPr>
          <w:lang w:eastAsia="it-IT"/>
        </w:rPr>
        <w:t>Monitoring and Analysis Tools</w:t>
      </w:r>
    </w:p>
    <w:p w:rsidR="00192F92" w:rsidRDefault="00CA326F">
      <w:pPr>
        <w:pStyle w:val="CETBodytext"/>
        <w:rPr>
          <w:lang w:eastAsia="it-IT"/>
        </w:rPr>
      </w:pPr>
      <w:r>
        <w:rPr>
          <w:lang w:eastAsia="it-IT"/>
        </w:rPr>
        <w:t>To evaluate the impact of these applications on the way of working of the operators in</w:t>
      </w:r>
      <w:r>
        <w:rPr>
          <w:lang w:eastAsia="it-IT"/>
        </w:rPr>
        <w:t>volved, we report, as an example, some usage statistics.</w:t>
      </w:r>
    </w:p>
    <w:p w:rsidR="00192F92" w:rsidRDefault="00CA326F">
      <w:pPr>
        <w:pStyle w:val="CETBodytext"/>
        <w:rPr>
          <w:lang w:eastAsia="it-IT"/>
        </w:rPr>
      </w:pPr>
      <w:r>
        <w:rPr>
          <w:noProof/>
          <w:lang w:val="it-IT" w:eastAsia="it-IT"/>
        </w:rPr>
        <w:drawing>
          <wp:inline distT="0" distB="0" distL="0" distR="0">
            <wp:extent cx="4495800" cy="2114550"/>
            <wp:effectExtent l="0" t="0" r="0" b="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2F92" w:rsidRDefault="00CA326F">
      <w:pPr>
        <w:pStyle w:val="CETCaption"/>
      </w:pPr>
      <w:r>
        <w:rPr>
          <w:rStyle w:val="CETCaptionCarattere"/>
          <w:i/>
        </w:rPr>
        <w:t>Figure 4: Number of gas free certificates</w:t>
      </w:r>
      <w:r>
        <w:t>.</w:t>
      </w:r>
    </w:p>
    <w:p w:rsidR="00192F92" w:rsidRDefault="00CA326F">
      <w:pPr>
        <w:pStyle w:val="CETBodytext"/>
        <w:rPr>
          <w:lang w:eastAsia="it-IT"/>
        </w:rPr>
      </w:pPr>
      <w:r>
        <w:rPr>
          <w:noProof/>
          <w:lang w:val="it-IT" w:eastAsia="it-IT"/>
        </w:rPr>
        <w:drawing>
          <wp:inline distT="0" distB="0" distL="0" distR="0">
            <wp:extent cx="4495800" cy="1933575"/>
            <wp:effectExtent l="0" t="0" r="0" b="9525"/>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2F92" w:rsidRDefault="00CA326F">
      <w:pPr>
        <w:pStyle w:val="CETCaption"/>
        <w:rPr>
          <w:lang w:eastAsia="it-IT"/>
        </w:rPr>
      </w:pPr>
      <w:r>
        <w:t xml:space="preserve">Figure 5: </w:t>
      </w:r>
      <w:r>
        <w:rPr>
          <w:lang w:eastAsia="it-IT"/>
        </w:rPr>
        <w:t>Average minutes between requesting a gas certificate and entering the result</w:t>
      </w:r>
    </w:p>
    <w:p w:rsidR="00192F92" w:rsidRDefault="00CA326F">
      <w:pPr>
        <w:pStyle w:val="CETBodytext"/>
      </w:pPr>
      <w:r>
        <w:t xml:space="preserve">From these graphs it is clear that even during turnaround, in </w:t>
      </w:r>
      <w:r>
        <w:t>which more gas free certificates are carried out, the average execution time remains almost constant.</w:t>
      </w:r>
    </w:p>
    <w:p w:rsidR="00192F92" w:rsidRDefault="00CA326F">
      <w:pPr>
        <w:pStyle w:val="CETBodytext"/>
        <w:rPr>
          <w:lang w:eastAsia="it-IT"/>
        </w:rPr>
      </w:pPr>
      <w:r>
        <w:rPr>
          <w:noProof/>
          <w:lang w:val="it-IT" w:eastAsia="it-IT"/>
        </w:rPr>
        <w:drawing>
          <wp:inline distT="0" distB="0" distL="0" distR="0">
            <wp:extent cx="4533900" cy="1857375"/>
            <wp:effectExtent l="0" t="0" r="0" b="9525"/>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2F92" w:rsidRDefault="00CA326F">
      <w:pPr>
        <w:pStyle w:val="CETCaption"/>
      </w:pPr>
      <w:r>
        <w:t>Figure 6: Number of near miss reports in the last few years</w:t>
      </w:r>
    </w:p>
    <w:p w:rsidR="00192F92" w:rsidRDefault="00CA326F">
      <w:pPr>
        <w:pStyle w:val="CETHeading1"/>
        <w:rPr>
          <w:lang w:eastAsia="it-IT"/>
        </w:rPr>
      </w:pPr>
      <w:r>
        <w:rPr>
          <w:lang w:eastAsia="it-IT"/>
        </w:rPr>
        <w:t>Conclusions</w:t>
      </w:r>
    </w:p>
    <w:p w:rsidR="00192F92" w:rsidRDefault="00CA326F">
      <w:pPr>
        <w:pStyle w:val="CETBodytext"/>
        <w:rPr>
          <w:lang w:eastAsia="it-IT"/>
        </w:rPr>
      </w:pPr>
      <w:r>
        <w:rPr>
          <w:lang w:eastAsia="it-IT"/>
        </w:rPr>
        <w:t>The project to implement mobile applications in the refinery has led to signific</w:t>
      </w:r>
      <w:r>
        <w:rPr>
          <w:lang w:eastAsia="it-IT"/>
        </w:rPr>
        <w:t>ant results in several respects:</w:t>
      </w:r>
    </w:p>
    <w:p w:rsidR="00192F92" w:rsidRDefault="00CA326F">
      <w:pPr>
        <w:pStyle w:val="CETBodytext"/>
        <w:numPr>
          <w:ilvl w:val="0"/>
          <w:numId w:val="15"/>
        </w:numPr>
        <w:rPr>
          <w:lang w:eastAsia="it-IT"/>
        </w:rPr>
      </w:pPr>
      <w:r>
        <w:rPr>
          <w:lang w:eastAsia="it-IT"/>
        </w:rPr>
        <w:t>Increased safety: The rapid reporting of near misses has contributed to an improvement in safety in the refinery.</w:t>
      </w:r>
    </w:p>
    <w:p w:rsidR="00192F92" w:rsidRDefault="00CA326F">
      <w:pPr>
        <w:pStyle w:val="CETBodytext"/>
        <w:numPr>
          <w:ilvl w:val="0"/>
          <w:numId w:val="15"/>
        </w:numPr>
        <w:rPr>
          <w:lang w:eastAsia="it-IT"/>
        </w:rPr>
      </w:pPr>
      <w:r>
        <w:rPr>
          <w:lang w:eastAsia="it-IT"/>
        </w:rPr>
        <w:t>Improved communication: The centralization of information has optimized the communication flow between the va</w:t>
      </w:r>
      <w:r>
        <w:rPr>
          <w:lang w:eastAsia="it-IT"/>
        </w:rPr>
        <w:t>rious departments and shifts, promoting better coordination and avoiding misunderstandings.</w:t>
      </w:r>
    </w:p>
    <w:p w:rsidR="00192F92" w:rsidRDefault="00CA326F">
      <w:pPr>
        <w:pStyle w:val="CETBodytext"/>
        <w:numPr>
          <w:ilvl w:val="0"/>
          <w:numId w:val="15"/>
        </w:numPr>
        <w:rPr>
          <w:lang w:eastAsia="it-IT"/>
        </w:rPr>
      </w:pPr>
      <w:r>
        <w:rPr>
          <w:lang w:eastAsia="it-IT"/>
        </w:rPr>
        <w:t>Optimization of operational processes: the digitalization of controls and procedures has enabled more efficient management of daily activities, and has helped impro</w:t>
      </w:r>
      <w:r>
        <w:rPr>
          <w:lang w:eastAsia="it-IT"/>
        </w:rPr>
        <w:t>ve predictive maintenance, reducing the likelihood of unplanned downtime or accidents.</w:t>
      </w:r>
    </w:p>
    <w:p w:rsidR="00192F92" w:rsidRDefault="00CA326F">
      <w:pPr>
        <w:pStyle w:val="CETBodytext"/>
        <w:rPr>
          <w:lang w:eastAsia="it-IT"/>
        </w:rPr>
      </w:pPr>
      <w:r>
        <w:t xml:space="preserve">These results underscore the importance of integrating digital solutions in the industrial sector to ensure high standards of safety and operation. </w:t>
      </w:r>
    </w:p>
    <w:p w:rsidR="00192F92" w:rsidRDefault="00CA326F">
      <w:pPr>
        <w:pStyle w:val="CETBodytext"/>
        <w:rPr>
          <w:lang w:eastAsia="it-IT"/>
        </w:rPr>
      </w:pPr>
      <w:r>
        <w:t>Given the ongoing ad</w:t>
      </w:r>
      <w:r>
        <w:t xml:space="preserve">vances in generative AI, the next logical step in the near future may be the development of AI-based apps that assist field workers in performing critical tasks and retrieving technical documentation or identifying equipment anomalies directly from images </w:t>
      </w:r>
      <w:r>
        <w:t>(Megahed et al., 2025).</w:t>
      </w:r>
    </w:p>
    <w:p w:rsidR="00192F92" w:rsidRDefault="00CA326F">
      <w:pPr>
        <w:pStyle w:val="CETReference"/>
      </w:pPr>
      <w:r>
        <w:t>References</w:t>
      </w:r>
    </w:p>
    <w:p w:rsidR="00192F92" w:rsidRDefault="00CA326F">
      <w:pPr>
        <w:pStyle w:val="CETReferencetext"/>
      </w:pPr>
      <w:r>
        <w:t>Kothapalli M., 2021. Progressive Web Apps: Merging Web Accessibility with Native Performance. European Journal of Advances in Engineering and Technology, 8(4), 60-68.</w:t>
      </w:r>
    </w:p>
    <w:p w:rsidR="00192F92" w:rsidRDefault="00CA326F">
      <w:pPr>
        <w:pStyle w:val="CETReferencetext"/>
      </w:pPr>
      <w:r>
        <w:t xml:space="preserve">Dino D., 2025. Incentivizing Cybersecurity Resilience </w:t>
      </w:r>
      <w:r>
        <w:t>through a Risk-Based Taxation Framework for Critical Infrastructure Protection.</w:t>
      </w:r>
    </w:p>
    <w:p w:rsidR="00192F92" w:rsidRDefault="00CA326F">
      <w:pPr>
        <w:pStyle w:val="CETReferencetext"/>
      </w:pPr>
      <w:r>
        <w:t>Lautala J. ,2019. Improving mobile device enrollment in corporate environment.</w:t>
      </w:r>
    </w:p>
    <w:p w:rsidR="00192F92" w:rsidRDefault="00CA326F">
      <w:pPr>
        <w:pStyle w:val="CETReferencetext"/>
      </w:pPr>
      <w:r>
        <w:t>Megahed, F. M., Chen, Y., Colosimo, B. M., Grasso, M., Jones</w:t>
      </w:r>
      <w:r>
        <w:rPr>
          <w:rFonts w:ascii="Cambria Math" w:hAnsi="Cambria Math" w:cs="Cambria Math"/>
        </w:rPr>
        <w:t>‐</w:t>
      </w:r>
      <w:r>
        <w:t>Farmer, L. A., Knoth, S., Sun, H., &amp;</w:t>
      </w:r>
      <w:r>
        <w:t xml:space="preserve"> Zwetsloot, I. M. , 2025. Adapting OpenAI’</w:t>
      </w:r>
      <w:bookmarkStart w:id="1" w:name="_GoBack"/>
      <w:bookmarkEnd w:id="1"/>
      <w:r>
        <w:t>s CLIP Model for Few-Shot Image Inspection in Manufacturing Quality Control: An Expository Case Study with Multiple Application Examples. https://doi.org/10.48550/arxiv.2501.12596</w:t>
      </w:r>
    </w:p>
    <w:sectPr w:rsidR="00192F92">
      <w:type w:val="continuous"/>
      <w:pgSz w:w="11906" w:h="16838"/>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F92" w:rsidRDefault="00CA326F">
      <w:pPr>
        <w:spacing w:line="240" w:lineRule="auto"/>
      </w:pPr>
      <w:r>
        <w:separator/>
      </w:r>
    </w:p>
  </w:endnote>
  <w:endnote w:type="continuationSeparator" w:id="0">
    <w:p w:rsidR="00192F92" w:rsidRDefault="00CA32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Arial"/>
    <w:charset w:val="00"/>
    <w:family w:val="swiss"/>
    <w:pitch w:val="variable"/>
    <w:sig w:usb0="20000287" w:usb1="00000003" w:usb2="00000000" w:usb3="00000000" w:csb0="0000019F" w:csb1="00000000"/>
  </w:font>
  <w:font w:name="Cambria Math">
    <w:panose1 w:val="02040503050406030204"/>
    <w:charset w:val="0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F92" w:rsidRDefault="00CA326F">
      <w:r>
        <w:separator/>
      </w:r>
    </w:p>
  </w:footnote>
  <w:footnote w:type="continuationSeparator" w:id="0">
    <w:p w:rsidR="00192F92" w:rsidRDefault="00CA32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Numeroelenco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Numeroelenco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Numeroelenco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Numeroelenco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Puntoelenco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Puntoelenco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Puntoelenco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Puntoelenco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Numeroelenco"/>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Puntoelenco"/>
      <w:lvlText w:val=""/>
      <w:lvlJc w:val="left"/>
      <w:pPr>
        <w:tabs>
          <w:tab w:val="left" w:pos="360"/>
        </w:tabs>
        <w:ind w:left="360" w:hanging="360"/>
      </w:pPr>
      <w:rPr>
        <w:rFonts w:ascii="Symbol" w:hAnsi="Symbol" w:hint="default"/>
      </w:rPr>
    </w:lvl>
  </w:abstractNum>
  <w:abstractNum w:abstractNumId="10" w15:restartNumberingAfterBreak="0">
    <w:nsid w:val="000B4B3A"/>
    <w:multiLevelType w:val="multilevel"/>
    <w:tmpl w:val="000B4B3A"/>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2438217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multilevel"/>
    <w:tmpl w:val="351E0394"/>
    <w:lvl w:ilvl="0">
      <w:start w:val="1"/>
      <w:numFmt w:val="bullet"/>
      <w:pStyle w:val="CETnumberingbullets"/>
      <w:lvlText w:val=""/>
      <w:lvlJc w:val="left"/>
      <w:pPr>
        <w:ind w:left="340"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AD311D0"/>
    <w:multiLevelType w:val="multilevel"/>
    <w:tmpl w:val="5AD311D0"/>
    <w:lvl w:ilvl="0">
      <w:start w:val="1"/>
      <w:numFmt w:val="decimal"/>
      <w:pStyle w:val="CETnumber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865266D"/>
    <w:multiLevelType w:val="multilevel"/>
    <w:tmpl w:val="6865266D"/>
    <w:lvl w:ilvl="0">
      <w:start w:val="1"/>
      <w:numFmt w:val="lowerLetter"/>
      <w:pStyle w:val="CETnumberinga"/>
      <w:lvlText w:val="%1."/>
      <w:lvlJc w:val="left"/>
      <w:pPr>
        <w:ind w:left="340" w:hanging="22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51566"/>
    <w:rsid w:val="0005607D"/>
    <w:rsid w:val="000562A9"/>
    <w:rsid w:val="00062A9A"/>
    <w:rsid w:val="00065058"/>
    <w:rsid w:val="0006661E"/>
    <w:rsid w:val="00086C39"/>
    <w:rsid w:val="000A03B2"/>
    <w:rsid w:val="000D0268"/>
    <w:rsid w:val="000D34BE"/>
    <w:rsid w:val="000E0B3C"/>
    <w:rsid w:val="000E102F"/>
    <w:rsid w:val="000E323F"/>
    <w:rsid w:val="000E36F1"/>
    <w:rsid w:val="000E3A73"/>
    <w:rsid w:val="000E414A"/>
    <w:rsid w:val="000E75FD"/>
    <w:rsid w:val="000F093C"/>
    <w:rsid w:val="000F787B"/>
    <w:rsid w:val="0012091F"/>
    <w:rsid w:val="00126BC2"/>
    <w:rsid w:val="001308B6"/>
    <w:rsid w:val="0013121F"/>
    <w:rsid w:val="00131FE6"/>
    <w:rsid w:val="0013263F"/>
    <w:rsid w:val="001331DF"/>
    <w:rsid w:val="00134DE4"/>
    <w:rsid w:val="0014034D"/>
    <w:rsid w:val="00140FE3"/>
    <w:rsid w:val="00144D16"/>
    <w:rsid w:val="00150E59"/>
    <w:rsid w:val="00152DE3"/>
    <w:rsid w:val="001545A3"/>
    <w:rsid w:val="00164CF9"/>
    <w:rsid w:val="001667A6"/>
    <w:rsid w:val="0018171E"/>
    <w:rsid w:val="00184AD6"/>
    <w:rsid w:val="00192F92"/>
    <w:rsid w:val="001A4AF7"/>
    <w:rsid w:val="001B0349"/>
    <w:rsid w:val="001B1E93"/>
    <w:rsid w:val="001B65C1"/>
    <w:rsid w:val="001C260F"/>
    <w:rsid w:val="001C5C3A"/>
    <w:rsid w:val="001C684B"/>
    <w:rsid w:val="001D0CFB"/>
    <w:rsid w:val="001D21AF"/>
    <w:rsid w:val="001D53FC"/>
    <w:rsid w:val="001E5234"/>
    <w:rsid w:val="001F42A5"/>
    <w:rsid w:val="001F7B9D"/>
    <w:rsid w:val="00201C93"/>
    <w:rsid w:val="002224B4"/>
    <w:rsid w:val="002447EF"/>
    <w:rsid w:val="00251550"/>
    <w:rsid w:val="00263B05"/>
    <w:rsid w:val="0027221A"/>
    <w:rsid w:val="00275B61"/>
    <w:rsid w:val="00280FAF"/>
    <w:rsid w:val="00282656"/>
    <w:rsid w:val="00296B83"/>
    <w:rsid w:val="002B4015"/>
    <w:rsid w:val="002B78CE"/>
    <w:rsid w:val="002C2FB6"/>
    <w:rsid w:val="002E5FA7"/>
    <w:rsid w:val="002F3309"/>
    <w:rsid w:val="003008CE"/>
    <w:rsid w:val="003009B7"/>
    <w:rsid w:val="00300E56"/>
    <w:rsid w:val="0030152C"/>
    <w:rsid w:val="0030469C"/>
    <w:rsid w:val="00321CA6"/>
    <w:rsid w:val="00323763"/>
    <w:rsid w:val="00323C5F"/>
    <w:rsid w:val="00334C09"/>
    <w:rsid w:val="00337ABC"/>
    <w:rsid w:val="003412DB"/>
    <w:rsid w:val="003723D4"/>
    <w:rsid w:val="00381905"/>
    <w:rsid w:val="00384CC8"/>
    <w:rsid w:val="003871FD"/>
    <w:rsid w:val="003904D3"/>
    <w:rsid w:val="003A1E30"/>
    <w:rsid w:val="003A2829"/>
    <w:rsid w:val="003A7D1C"/>
    <w:rsid w:val="003B304B"/>
    <w:rsid w:val="003B3146"/>
    <w:rsid w:val="003B49CD"/>
    <w:rsid w:val="003D1E02"/>
    <w:rsid w:val="003F015E"/>
    <w:rsid w:val="00400414"/>
    <w:rsid w:val="0041446B"/>
    <w:rsid w:val="0044071E"/>
    <w:rsid w:val="0044329C"/>
    <w:rsid w:val="00446198"/>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2B84"/>
    <w:rsid w:val="004E4DD6"/>
    <w:rsid w:val="004F5E36"/>
    <w:rsid w:val="00507B47"/>
    <w:rsid w:val="00507BEF"/>
    <w:rsid w:val="00507CC9"/>
    <w:rsid w:val="005119A5"/>
    <w:rsid w:val="005205B4"/>
    <w:rsid w:val="005278B7"/>
    <w:rsid w:val="00532016"/>
    <w:rsid w:val="005346C8"/>
    <w:rsid w:val="00543E7D"/>
    <w:rsid w:val="00547A68"/>
    <w:rsid w:val="005531C9"/>
    <w:rsid w:val="00554879"/>
    <w:rsid w:val="00570C43"/>
    <w:rsid w:val="005830B7"/>
    <w:rsid w:val="005849C0"/>
    <w:rsid w:val="00592274"/>
    <w:rsid w:val="005B2110"/>
    <w:rsid w:val="005B350B"/>
    <w:rsid w:val="005B61E6"/>
    <w:rsid w:val="005C77E1"/>
    <w:rsid w:val="005D668A"/>
    <w:rsid w:val="005D6A2F"/>
    <w:rsid w:val="005D6D30"/>
    <w:rsid w:val="005E0592"/>
    <w:rsid w:val="005E1A82"/>
    <w:rsid w:val="005E794C"/>
    <w:rsid w:val="005F0A28"/>
    <w:rsid w:val="005F0E5E"/>
    <w:rsid w:val="00600535"/>
    <w:rsid w:val="00610CD6"/>
    <w:rsid w:val="00620DEE"/>
    <w:rsid w:val="00621F92"/>
    <w:rsid w:val="006225E3"/>
    <w:rsid w:val="0062280A"/>
    <w:rsid w:val="00622918"/>
    <w:rsid w:val="006231E1"/>
    <w:rsid w:val="00625639"/>
    <w:rsid w:val="00631B33"/>
    <w:rsid w:val="0064184D"/>
    <w:rsid w:val="006422CC"/>
    <w:rsid w:val="00651D18"/>
    <w:rsid w:val="00660E3E"/>
    <w:rsid w:val="00662E74"/>
    <w:rsid w:val="0067520B"/>
    <w:rsid w:val="00680C23"/>
    <w:rsid w:val="00683E23"/>
    <w:rsid w:val="00693766"/>
    <w:rsid w:val="006A3281"/>
    <w:rsid w:val="006A6DE5"/>
    <w:rsid w:val="006B4888"/>
    <w:rsid w:val="006C2C59"/>
    <w:rsid w:val="006C2E45"/>
    <w:rsid w:val="006C359C"/>
    <w:rsid w:val="006C5579"/>
    <w:rsid w:val="006D6E8B"/>
    <w:rsid w:val="006D7209"/>
    <w:rsid w:val="006E737D"/>
    <w:rsid w:val="00707DD1"/>
    <w:rsid w:val="00713973"/>
    <w:rsid w:val="00720A24"/>
    <w:rsid w:val="00732386"/>
    <w:rsid w:val="0073514D"/>
    <w:rsid w:val="007447F3"/>
    <w:rsid w:val="0075499F"/>
    <w:rsid w:val="007661C8"/>
    <w:rsid w:val="0077098D"/>
    <w:rsid w:val="00785BF9"/>
    <w:rsid w:val="007931FA"/>
    <w:rsid w:val="007A4861"/>
    <w:rsid w:val="007A7BBA"/>
    <w:rsid w:val="007B0C50"/>
    <w:rsid w:val="007B48F9"/>
    <w:rsid w:val="007C1A43"/>
    <w:rsid w:val="007D0951"/>
    <w:rsid w:val="007D610D"/>
    <w:rsid w:val="0080013E"/>
    <w:rsid w:val="00801759"/>
    <w:rsid w:val="00813288"/>
    <w:rsid w:val="00815FA1"/>
    <w:rsid w:val="008168FC"/>
    <w:rsid w:val="00830996"/>
    <w:rsid w:val="008345F1"/>
    <w:rsid w:val="00865B07"/>
    <w:rsid w:val="008667EA"/>
    <w:rsid w:val="0087637F"/>
    <w:rsid w:val="008832AA"/>
    <w:rsid w:val="00892AD5"/>
    <w:rsid w:val="00895460"/>
    <w:rsid w:val="008A0805"/>
    <w:rsid w:val="008A1512"/>
    <w:rsid w:val="008A6CAF"/>
    <w:rsid w:val="008D32B9"/>
    <w:rsid w:val="008D433B"/>
    <w:rsid w:val="008D4A16"/>
    <w:rsid w:val="008E5401"/>
    <w:rsid w:val="008E566E"/>
    <w:rsid w:val="0090161A"/>
    <w:rsid w:val="00901EB6"/>
    <w:rsid w:val="009041F8"/>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4C6A"/>
    <w:rsid w:val="00996483"/>
    <w:rsid w:val="0099665F"/>
    <w:rsid w:val="00996F5A"/>
    <w:rsid w:val="009B041A"/>
    <w:rsid w:val="009C37C3"/>
    <w:rsid w:val="009C7C86"/>
    <w:rsid w:val="009D2FF7"/>
    <w:rsid w:val="009E7884"/>
    <w:rsid w:val="009E788A"/>
    <w:rsid w:val="009E7E00"/>
    <w:rsid w:val="009F0E08"/>
    <w:rsid w:val="009F11CF"/>
    <w:rsid w:val="00A079AE"/>
    <w:rsid w:val="00A1763D"/>
    <w:rsid w:val="00A17CEC"/>
    <w:rsid w:val="00A27EF0"/>
    <w:rsid w:val="00A32A70"/>
    <w:rsid w:val="00A42361"/>
    <w:rsid w:val="00A507F1"/>
    <w:rsid w:val="00A50B20"/>
    <w:rsid w:val="00A51390"/>
    <w:rsid w:val="00A60D13"/>
    <w:rsid w:val="00A7223D"/>
    <w:rsid w:val="00A72745"/>
    <w:rsid w:val="00A76EFC"/>
    <w:rsid w:val="00A87D50"/>
    <w:rsid w:val="00A91010"/>
    <w:rsid w:val="00A97F29"/>
    <w:rsid w:val="00AA702E"/>
    <w:rsid w:val="00AA7D26"/>
    <w:rsid w:val="00AB0964"/>
    <w:rsid w:val="00AB5011"/>
    <w:rsid w:val="00AC7368"/>
    <w:rsid w:val="00AD16B9"/>
    <w:rsid w:val="00AE377D"/>
    <w:rsid w:val="00AF0EBA"/>
    <w:rsid w:val="00AF2463"/>
    <w:rsid w:val="00B02C8A"/>
    <w:rsid w:val="00B17FBD"/>
    <w:rsid w:val="00B315A6"/>
    <w:rsid w:val="00B31813"/>
    <w:rsid w:val="00B33365"/>
    <w:rsid w:val="00B57B36"/>
    <w:rsid w:val="00B57E6F"/>
    <w:rsid w:val="00B8686D"/>
    <w:rsid w:val="00B93F69"/>
    <w:rsid w:val="00BB1DDC"/>
    <w:rsid w:val="00BC30C9"/>
    <w:rsid w:val="00BD077D"/>
    <w:rsid w:val="00BD4560"/>
    <w:rsid w:val="00BE3E58"/>
    <w:rsid w:val="00BE44E0"/>
    <w:rsid w:val="00BF13CE"/>
    <w:rsid w:val="00C01616"/>
    <w:rsid w:val="00C0162B"/>
    <w:rsid w:val="00C068ED"/>
    <w:rsid w:val="00C22E0C"/>
    <w:rsid w:val="00C32C7D"/>
    <w:rsid w:val="00C345B1"/>
    <w:rsid w:val="00C40142"/>
    <w:rsid w:val="00C52C3C"/>
    <w:rsid w:val="00C57182"/>
    <w:rsid w:val="00C57863"/>
    <w:rsid w:val="00C640AF"/>
    <w:rsid w:val="00C655FD"/>
    <w:rsid w:val="00C75407"/>
    <w:rsid w:val="00C80DA6"/>
    <w:rsid w:val="00C81E7D"/>
    <w:rsid w:val="00C841C6"/>
    <w:rsid w:val="00C870A8"/>
    <w:rsid w:val="00C94434"/>
    <w:rsid w:val="00CA0D75"/>
    <w:rsid w:val="00CA1C95"/>
    <w:rsid w:val="00CA326F"/>
    <w:rsid w:val="00CA5A9C"/>
    <w:rsid w:val="00CC4C20"/>
    <w:rsid w:val="00CD3517"/>
    <w:rsid w:val="00CD5FE2"/>
    <w:rsid w:val="00CE7C68"/>
    <w:rsid w:val="00D0205B"/>
    <w:rsid w:val="00D02B4C"/>
    <w:rsid w:val="00D040C4"/>
    <w:rsid w:val="00D20AD1"/>
    <w:rsid w:val="00D2582C"/>
    <w:rsid w:val="00D46B7E"/>
    <w:rsid w:val="00D47A0C"/>
    <w:rsid w:val="00D57C84"/>
    <w:rsid w:val="00D6057D"/>
    <w:rsid w:val="00D71640"/>
    <w:rsid w:val="00D73FD9"/>
    <w:rsid w:val="00D836C5"/>
    <w:rsid w:val="00D84576"/>
    <w:rsid w:val="00D97DD4"/>
    <w:rsid w:val="00DA1399"/>
    <w:rsid w:val="00DA1CF8"/>
    <w:rsid w:val="00DA24C6"/>
    <w:rsid w:val="00DA4D7B"/>
    <w:rsid w:val="00DC2840"/>
    <w:rsid w:val="00DC73EE"/>
    <w:rsid w:val="00DD271C"/>
    <w:rsid w:val="00DE264A"/>
    <w:rsid w:val="00DF5072"/>
    <w:rsid w:val="00E02D18"/>
    <w:rsid w:val="00E041E7"/>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C4C74"/>
    <w:rsid w:val="00EE0131"/>
    <w:rsid w:val="00EE17B0"/>
    <w:rsid w:val="00EF06D9"/>
    <w:rsid w:val="00F214CA"/>
    <w:rsid w:val="00F3049E"/>
    <w:rsid w:val="00F30C64"/>
    <w:rsid w:val="00F32BA2"/>
    <w:rsid w:val="00F32CDB"/>
    <w:rsid w:val="00F353F6"/>
    <w:rsid w:val="00F41EE4"/>
    <w:rsid w:val="00F565FE"/>
    <w:rsid w:val="00F63A70"/>
    <w:rsid w:val="00F63D8C"/>
    <w:rsid w:val="00F7534E"/>
    <w:rsid w:val="00F93EDF"/>
    <w:rsid w:val="00FA1802"/>
    <w:rsid w:val="00FA21D0"/>
    <w:rsid w:val="00FA5F5F"/>
    <w:rsid w:val="00FB730C"/>
    <w:rsid w:val="00FC2695"/>
    <w:rsid w:val="00FC3E03"/>
    <w:rsid w:val="00FC3FC1"/>
    <w:rsid w:val="744F288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4462A01B"/>
  <w14:defaultImageDpi w14:val="330"/>
  <w15:docId w15:val="{05D780F3-1A33-496F-AC8E-0148D23DE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it-IT" w:eastAsia="it-IT"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qFormat="1"/>
    <w:lsdException w:name="index 4" w:semiHidden="1" w:unhideWhenUsed="1"/>
    <w:lsdException w:name="index 5" w:semiHidden="1" w:unhideWhenUsed="1" w:qFormat="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qFormat="1"/>
    <w:lsdException w:name="List Number 4" w:semiHidden="1" w:unhideWhenUsed="1" w:qFormat="1"/>
    <w:lsdException w:name="List Number 5" w:semiHidden="1" w:unhideWhenUsed="1" w:qFormat="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pPr>
      <w:tabs>
        <w:tab w:val="right" w:pos="7100"/>
      </w:tabs>
      <w:spacing w:line="264" w:lineRule="auto"/>
      <w:jc w:val="both"/>
    </w:pPr>
    <w:rPr>
      <w:rFonts w:ascii="Arial" w:eastAsia="Times New Roman" w:hAnsi="Arial" w:cs="Times New Roman"/>
      <w:sz w:val="18"/>
      <w:lang w:val="en-GB" w:eastAsia="en-US"/>
    </w:rPr>
  </w:style>
  <w:style w:type="paragraph" w:styleId="Titolo1">
    <w:name w:val="heading 1"/>
    <w:basedOn w:val="CETHeading1"/>
    <w:next w:val="Normale"/>
    <w:link w:val="Titolo1Carattere"/>
    <w:uiPriority w:val="9"/>
    <w:qFormat/>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pPr>
      <w:keepNext/>
      <w:keepLines/>
      <w:spacing w:before="200"/>
      <w:outlineLvl w:val="4"/>
    </w:pPr>
    <w:rPr>
      <w:rFonts w:asciiTheme="majorHAnsi" w:eastAsiaTheme="majorEastAsia" w:hAnsiTheme="majorHAnsi" w:cstheme="majorBidi"/>
      <w:color w:val="244061" w:themeColor="accent1" w:themeShade="80"/>
    </w:rPr>
  </w:style>
  <w:style w:type="paragraph" w:styleId="Titolo6">
    <w:name w:val="heading 6"/>
    <w:basedOn w:val="Normale"/>
    <w:next w:val="Normale"/>
    <w:link w:val="Titolo6Carattere"/>
    <w:uiPriority w:val="9"/>
    <w:semiHidden/>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paragraph" w:styleId="Titolo7">
    <w:name w:val="heading 7"/>
    <w:basedOn w:val="Normale"/>
    <w:next w:val="Normale"/>
    <w:link w:val="Titolo7Carattere"/>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Heading1">
    <w:name w:val="CET Heading1"/>
    <w:next w:val="CETBodytext"/>
    <w:qFormat/>
    <w:pPr>
      <w:keepNext/>
      <w:numPr>
        <w:ilvl w:val="1"/>
        <w:numId w:val="1"/>
      </w:numPr>
      <w:suppressAutoHyphens/>
      <w:spacing w:before="240" w:after="120"/>
    </w:pPr>
    <w:rPr>
      <w:rFonts w:ascii="Arial" w:eastAsia="Times New Roman" w:hAnsi="Arial" w:cs="Times New Roman"/>
      <w:b/>
      <w:lang w:val="en-US" w:eastAsia="en-US"/>
    </w:rPr>
  </w:style>
  <w:style w:type="paragraph" w:customStyle="1" w:styleId="CETBodytext">
    <w:name w:val="CET Body text"/>
    <w:link w:val="CETBodytextCarattere"/>
    <w:qFormat/>
    <w:pPr>
      <w:tabs>
        <w:tab w:val="right" w:pos="7100"/>
      </w:tabs>
      <w:spacing w:line="264" w:lineRule="auto"/>
      <w:jc w:val="both"/>
    </w:pPr>
    <w:rPr>
      <w:rFonts w:ascii="Arial" w:eastAsia="Times New Roman" w:hAnsi="Arial" w:cs="Times New Roman"/>
      <w:sz w:val="18"/>
      <w:lang w:val="en-US" w:eastAsia="en-US"/>
    </w:rPr>
  </w:style>
  <w:style w:type="paragraph" w:styleId="Testofumetto">
    <w:name w:val="Balloon Text"/>
    <w:basedOn w:val="Normale"/>
    <w:link w:val="TestofumettoCarattere"/>
    <w:uiPriority w:val="99"/>
    <w:semiHidden/>
    <w:unhideWhenUsed/>
    <w:pPr>
      <w:spacing w:line="240" w:lineRule="auto"/>
    </w:pPr>
    <w:rPr>
      <w:rFonts w:ascii="Tahoma" w:hAnsi="Tahoma" w:cs="Tahoma"/>
      <w:sz w:val="16"/>
      <w:szCs w:val="16"/>
    </w:rPr>
  </w:style>
  <w:style w:type="paragraph" w:styleId="Testodelblocco">
    <w:name w:val="Block Text"/>
    <w:basedOn w:val="Normale"/>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Corpotesto">
    <w:name w:val="Body Text"/>
    <w:basedOn w:val="Normale"/>
    <w:link w:val="CorpotestoCarattere"/>
    <w:uiPriority w:val="99"/>
    <w:semiHidden/>
    <w:unhideWhenUsed/>
    <w:pPr>
      <w:spacing w:after="120"/>
    </w:pPr>
  </w:style>
  <w:style w:type="paragraph" w:styleId="Corpodeltesto2">
    <w:name w:val="Body Text 2"/>
    <w:basedOn w:val="Normale"/>
    <w:link w:val="Corpodeltesto2Carattere"/>
    <w:uiPriority w:val="99"/>
    <w:semiHidden/>
    <w:unhideWhenUsed/>
    <w:pPr>
      <w:spacing w:after="120" w:line="480" w:lineRule="auto"/>
    </w:pPr>
  </w:style>
  <w:style w:type="paragraph" w:styleId="Corpodeltesto3">
    <w:name w:val="Body Text 3"/>
    <w:basedOn w:val="Normale"/>
    <w:link w:val="Corpodeltesto3Carattere"/>
    <w:uiPriority w:val="99"/>
    <w:semiHidden/>
    <w:unhideWhenUsed/>
    <w:pPr>
      <w:spacing w:after="120"/>
    </w:pPr>
    <w:rPr>
      <w:sz w:val="16"/>
      <w:szCs w:val="16"/>
    </w:rPr>
  </w:style>
  <w:style w:type="paragraph" w:styleId="Primorientrocorpodeltesto">
    <w:name w:val="Body Text First Indent"/>
    <w:basedOn w:val="Corpotesto"/>
    <w:link w:val="PrimorientrocorpodeltestoCarattere"/>
    <w:uiPriority w:val="99"/>
    <w:semiHidden/>
    <w:unhideWhenUsed/>
    <w:qFormat/>
    <w:pPr>
      <w:spacing w:after="200"/>
      <w:ind w:firstLine="360"/>
    </w:pPr>
  </w:style>
  <w:style w:type="paragraph" w:styleId="Rientrocorpodeltesto">
    <w:name w:val="Body Text Indent"/>
    <w:basedOn w:val="Normale"/>
    <w:link w:val="RientrocorpodeltestoCarattere"/>
    <w:uiPriority w:val="99"/>
    <w:semiHidden/>
    <w:unhideWhenUsed/>
    <w:qFormat/>
    <w:pPr>
      <w:spacing w:after="120"/>
      <w:ind w:left="283"/>
    </w:pPr>
  </w:style>
  <w:style w:type="paragraph" w:styleId="Primorientrocorpodeltesto2">
    <w:name w:val="Body Text First Indent 2"/>
    <w:basedOn w:val="Rientrocorpodeltesto"/>
    <w:link w:val="Primorientrocorpodeltesto2Carattere"/>
    <w:uiPriority w:val="99"/>
    <w:semiHidden/>
    <w:unhideWhenUsed/>
    <w:qFormat/>
    <w:pPr>
      <w:spacing w:after="200"/>
      <w:ind w:left="360" w:firstLine="360"/>
    </w:pPr>
  </w:style>
  <w:style w:type="paragraph" w:styleId="Rientrocorpodeltesto2">
    <w:name w:val="Body Text Indent 2"/>
    <w:basedOn w:val="Normale"/>
    <w:link w:val="Rientrocorpodeltesto2Carattere"/>
    <w:uiPriority w:val="99"/>
    <w:semiHidden/>
    <w:unhideWhenUsed/>
    <w:pPr>
      <w:spacing w:after="120" w:line="480" w:lineRule="auto"/>
      <w:ind w:left="283"/>
    </w:pPr>
  </w:style>
  <w:style w:type="paragraph" w:styleId="Rientrocorpodeltesto3">
    <w:name w:val="Body Text Indent 3"/>
    <w:basedOn w:val="Normale"/>
    <w:link w:val="Rientrocorpodeltesto3Carattere"/>
    <w:uiPriority w:val="99"/>
    <w:semiHidden/>
    <w:unhideWhenUsed/>
    <w:qFormat/>
    <w:pPr>
      <w:spacing w:after="120"/>
      <w:ind w:left="283"/>
    </w:pPr>
    <w:rPr>
      <w:sz w:val="16"/>
      <w:szCs w:val="16"/>
    </w:rPr>
  </w:style>
  <w:style w:type="paragraph" w:styleId="Didascalia">
    <w:name w:val="caption"/>
    <w:basedOn w:val="Normale"/>
    <w:next w:val="Normale"/>
    <w:uiPriority w:val="35"/>
    <w:semiHidden/>
    <w:unhideWhenUsed/>
    <w:qFormat/>
    <w:pPr>
      <w:spacing w:line="240" w:lineRule="auto"/>
    </w:pPr>
    <w:rPr>
      <w:b/>
      <w:bCs/>
      <w:color w:val="4F81BD" w:themeColor="accent1"/>
      <w:szCs w:val="18"/>
    </w:rPr>
  </w:style>
  <w:style w:type="paragraph" w:styleId="Formuladichiusura">
    <w:name w:val="Closing"/>
    <w:basedOn w:val="Normale"/>
    <w:link w:val="FormuladichiusuraCarattere"/>
    <w:uiPriority w:val="99"/>
    <w:semiHidden/>
    <w:unhideWhenUsed/>
    <w:pPr>
      <w:spacing w:line="240" w:lineRule="auto"/>
      <w:ind w:left="4252"/>
    </w:pPr>
  </w:style>
  <w:style w:type="character" w:styleId="Rimandocommento">
    <w:name w:val="annotation reference"/>
    <w:basedOn w:val="Carpredefinitoparagrafo"/>
    <w:uiPriority w:val="99"/>
    <w:semiHidden/>
    <w:unhideWhenUsed/>
    <w:qFormat/>
    <w:rPr>
      <w:sz w:val="16"/>
      <w:szCs w:val="16"/>
    </w:rPr>
  </w:style>
  <w:style w:type="paragraph" w:styleId="Testocommento">
    <w:name w:val="annotation text"/>
    <w:basedOn w:val="Normale"/>
    <w:link w:val="TestocommentoCarattere"/>
    <w:uiPriority w:val="99"/>
    <w:unhideWhenUsed/>
    <w:qFormat/>
    <w:pPr>
      <w:spacing w:line="240" w:lineRule="auto"/>
    </w:pPr>
  </w:style>
  <w:style w:type="paragraph" w:styleId="Soggettocommento">
    <w:name w:val="annotation subject"/>
    <w:basedOn w:val="Testocommento"/>
    <w:next w:val="Testocommento"/>
    <w:link w:val="SoggettocommentoCarattere"/>
    <w:uiPriority w:val="99"/>
    <w:semiHidden/>
    <w:unhideWhenUsed/>
    <w:qFormat/>
    <w:rPr>
      <w:b/>
      <w:bCs/>
    </w:rPr>
  </w:style>
  <w:style w:type="paragraph" w:styleId="Data">
    <w:name w:val="Date"/>
    <w:basedOn w:val="Normale"/>
    <w:next w:val="Normale"/>
    <w:link w:val="DataCarattere"/>
    <w:uiPriority w:val="99"/>
    <w:semiHidden/>
    <w:unhideWhenUsed/>
  </w:style>
  <w:style w:type="paragraph" w:styleId="Mappadocumento">
    <w:name w:val="Document Map"/>
    <w:basedOn w:val="Normale"/>
    <w:link w:val="MappadocumentoCarattere"/>
    <w:uiPriority w:val="99"/>
    <w:semiHidden/>
    <w:unhideWhenUsed/>
    <w:pPr>
      <w:spacing w:line="240" w:lineRule="auto"/>
    </w:pPr>
    <w:rPr>
      <w:rFonts w:ascii="Tahoma" w:hAnsi="Tahoma" w:cs="Tahoma"/>
      <w:sz w:val="16"/>
      <w:szCs w:val="16"/>
    </w:rPr>
  </w:style>
  <w:style w:type="paragraph" w:styleId="Firmadipostaelettronica">
    <w:name w:val="E-mail Signature"/>
    <w:basedOn w:val="Normale"/>
    <w:link w:val="FirmadipostaelettronicaCarattere"/>
    <w:uiPriority w:val="99"/>
    <w:semiHidden/>
    <w:unhideWhenUsed/>
    <w:pPr>
      <w:spacing w:line="240" w:lineRule="auto"/>
    </w:pPr>
  </w:style>
  <w:style w:type="character" w:styleId="Enfasicorsivo">
    <w:name w:val="Emphasis"/>
    <w:basedOn w:val="Carpredefinitoparagrafo"/>
    <w:uiPriority w:val="20"/>
    <w:qFormat/>
    <w:rPr>
      <w:i/>
      <w:iCs/>
    </w:rPr>
  </w:style>
  <w:style w:type="paragraph" w:styleId="Testonotadichiusura">
    <w:name w:val="endnote text"/>
    <w:basedOn w:val="Normale"/>
    <w:link w:val="TestonotadichiusuraCarattere"/>
    <w:uiPriority w:val="99"/>
    <w:semiHidden/>
    <w:unhideWhenUsed/>
    <w:qFormat/>
    <w:pPr>
      <w:spacing w:line="240" w:lineRule="auto"/>
    </w:pPr>
  </w:style>
  <w:style w:type="paragraph" w:styleId="Indirizzodestinatario">
    <w:name w:val="envelope address"/>
    <w:basedOn w:val="Normale"/>
    <w:uiPriority w:val="99"/>
    <w:semiHidden/>
    <w:unhideWhenUsed/>
    <w:qFormat/>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mittente">
    <w:name w:val="envelope return"/>
    <w:basedOn w:val="Normale"/>
    <w:uiPriority w:val="99"/>
    <w:semiHidden/>
    <w:unhideWhenUsed/>
    <w:qFormat/>
    <w:pPr>
      <w:spacing w:line="240" w:lineRule="auto"/>
    </w:pPr>
    <w:rPr>
      <w:rFonts w:asciiTheme="majorHAnsi" w:eastAsiaTheme="majorEastAsia" w:hAnsiTheme="majorHAnsi" w:cstheme="majorBidi"/>
    </w:rPr>
  </w:style>
  <w:style w:type="paragraph" w:styleId="Pidipagina">
    <w:name w:val="footer"/>
    <w:basedOn w:val="Normale"/>
    <w:link w:val="PidipaginaCarattere"/>
    <w:uiPriority w:val="99"/>
    <w:unhideWhenUsed/>
    <w:pPr>
      <w:tabs>
        <w:tab w:val="clear" w:pos="7100"/>
        <w:tab w:val="center" w:pos="4819"/>
        <w:tab w:val="right" w:pos="9638"/>
      </w:tabs>
      <w:spacing w:line="240" w:lineRule="auto"/>
    </w:pPr>
  </w:style>
  <w:style w:type="paragraph" w:styleId="Testonotaapidipagina">
    <w:name w:val="footnote text"/>
    <w:basedOn w:val="Normale"/>
    <w:link w:val="TestonotaapidipaginaCarattere"/>
    <w:uiPriority w:val="99"/>
    <w:semiHidden/>
    <w:unhideWhenUsed/>
    <w:pPr>
      <w:spacing w:line="240" w:lineRule="auto"/>
    </w:pPr>
  </w:style>
  <w:style w:type="paragraph" w:styleId="Intestazione">
    <w:name w:val="header"/>
    <w:basedOn w:val="Normale"/>
    <w:link w:val="IntestazioneCarattere"/>
    <w:uiPriority w:val="99"/>
    <w:unhideWhenUsed/>
    <w:pPr>
      <w:tabs>
        <w:tab w:val="clear" w:pos="7100"/>
        <w:tab w:val="center" w:pos="4819"/>
        <w:tab w:val="right" w:pos="9638"/>
      </w:tabs>
      <w:spacing w:line="240" w:lineRule="auto"/>
    </w:pPr>
  </w:style>
  <w:style w:type="paragraph" w:styleId="IndirizzoHTML">
    <w:name w:val="HTML Address"/>
    <w:basedOn w:val="Normale"/>
    <w:link w:val="IndirizzoHTMLCarattere"/>
    <w:uiPriority w:val="99"/>
    <w:semiHidden/>
    <w:unhideWhenUsed/>
    <w:qFormat/>
    <w:pPr>
      <w:spacing w:line="240" w:lineRule="auto"/>
    </w:pPr>
    <w:rPr>
      <w:i/>
      <w:iCs/>
    </w:rPr>
  </w:style>
  <w:style w:type="paragraph" w:styleId="PreformattatoHTML">
    <w:name w:val="HTML Preformatted"/>
    <w:basedOn w:val="Normale"/>
    <w:link w:val="PreformattatoHTMLCarattere"/>
    <w:uiPriority w:val="99"/>
    <w:semiHidden/>
    <w:unhideWhenUsed/>
    <w:qFormat/>
    <w:pPr>
      <w:spacing w:line="240" w:lineRule="auto"/>
    </w:pPr>
    <w:rPr>
      <w:rFonts w:ascii="Consolas" w:hAnsi="Consolas" w:cs="Consolas"/>
    </w:rPr>
  </w:style>
  <w:style w:type="character" w:styleId="Collegamentoipertestuale">
    <w:name w:val="Hyperlink"/>
    <w:basedOn w:val="Carpredefinitoparagrafo"/>
    <w:uiPriority w:val="99"/>
    <w:unhideWhenUsed/>
    <w:rPr>
      <w:color w:val="0000FF" w:themeColor="hyperlink"/>
      <w:u w:val="single"/>
    </w:rPr>
  </w:style>
  <w:style w:type="paragraph" w:styleId="Indice1">
    <w:name w:val="index 1"/>
    <w:basedOn w:val="Normale"/>
    <w:next w:val="Normale"/>
    <w:autoRedefine/>
    <w:uiPriority w:val="99"/>
    <w:semiHidden/>
    <w:unhideWhenUsed/>
    <w:qFormat/>
    <w:pPr>
      <w:spacing w:line="240" w:lineRule="auto"/>
      <w:ind w:left="220" w:hanging="220"/>
    </w:pPr>
  </w:style>
  <w:style w:type="paragraph" w:styleId="Indice2">
    <w:name w:val="index 2"/>
    <w:basedOn w:val="Normale"/>
    <w:next w:val="Normale"/>
    <w:autoRedefine/>
    <w:uiPriority w:val="99"/>
    <w:semiHidden/>
    <w:unhideWhenUsed/>
    <w:pPr>
      <w:spacing w:line="240" w:lineRule="auto"/>
      <w:ind w:left="440" w:hanging="220"/>
    </w:pPr>
  </w:style>
  <w:style w:type="paragraph" w:styleId="Indice3">
    <w:name w:val="index 3"/>
    <w:basedOn w:val="Normale"/>
    <w:next w:val="Normale"/>
    <w:autoRedefine/>
    <w:uiPriority w:val="99"/>
    <w:semiHidden/>
    <w:unhideWhenUsed/>
    <w:qFormat/>
    <w:pPr>
      <w:spacing w:line="240" w:lineRule="auto"/>
      <w:ind w:left="660" w:hanging="220"/>
    </w:pPr>
  </w:style>
  <w:style w:type="paragraph" w:styleId="Indice4">
    <w:name w:val="index 4"/>
    <w:basedOn w:val="Normale"/>
    <w:next w:val="Normale"/>
    <w:autoRedefine/>
    <w:uiPriority w:val="99"/>
    <w:semiHidden/>
    <w:unhideWhenUsed/>
    <w:pPr>
      <w:spacing w:line="240" w:lineRule="auto"/>
      <w:ind w:left="880" w:hanging="220"/>
    </w:pPr>
  </w:style>
  <w:style w:type="paragraph" w:styleId="Indice5">
    <w:name w:val="index 5"/>
    <w:basedOn w:val="Normale"/>
    <w:next w:val="Normale"/>
    <w:autoRedefine/>
    <w:uiPriority w:val="99"/>
    <w:semiHidden/>
    <w:unhideWhenUsed/>
    <w:qFormat/>
    <w:pPr>
      <w:spacing w:line="240" w:lineRule="auto"/>
      <w:ind w:left="1100" w:hanging="220"/>
    </w:pPr>
  </w:style>
  <w:style w:type="paragraph" w:styleId="Indice6">
    <w:name w:val="index 6"/>
    <w:basedOn w:val="Normale"/>
    <w:next w:val="Normale"/>
    <w:autoRedefine/>
    <w:uiPriority w:val="99"/>
    <w:semiHidden/>
    <w:unhideWhenUsed/>
    <w:qFormat/>
    <w:pPr>
      <w:spacing w:line="240" w:lineRule="auto"/>
      <w:ind w:left="1320" w:hanging="220"/>
    </w:pPr>
  </w:style>
  <w:style w:type="paragraph" w:styleId="Indice7">
    <w:name w:val="index 7"/>
    <w:basedOn w:val="Normale"/>
    <w:next w:val="Normale"/>
    <w:autoRedefine/>
    <w:uiPriority w:val="99"/>
    <w:semiHidden/>
    <w:unhideWhenUsed/>
    <w:pPr>
      <w:spacing w:line="240" w:lineRule="auto"/>
      <w:ind w:left="1540" w:hanging="220"/>
    </w:pPr>
  </w:style>
  <w:style w:type="paragraph" w:styleId="Indice8">
    <w:name w:val="index 8"/>
    <w:basedOn w:val="Normale"/>
    <w:next w:val="Normale"/>
    <w:autoRedefine/>
    <w:uiPriority w:val="99"/>
    <w:semiHidden/>
    <w:unhideWhenUsed/>
    <w:pPr>
      <w:spacing w:line="240" w:lineRule="auto"/>
      <w:ind w:left="1760" w:hanging="220"/>
    </w:pPr>
  </w:style>
  <w:style w:type="paragraph" w:styleId="Indice9">
    <w:name w:val="index 9"/>
    <w:basedOn w:val="Normale"/>
    <w:next w:val="Normale"/>
    <w:autoRedefine/>
    <w:uiPriority w:val="99"/>
    <w:semiHidden/>
    <w:unhideWhenUsed/>
    <w:pPr>
      <w:spacing w:line="240" w:lineRule="auto"/>
      <w:ind w:left="1980" w:hanging="220"/>
    </w:pPr>
  </w:style>
  <w:style w:type="paragraph" w:styleId="Titoloindice">
    <w:name w:val="index heading"/>
    <w:basedOn w:val="Normale"/>
    <w:next w:val="Indice1"/>
    <w:uiPriority w:val="99"/>
    <w:semiHidden/>
    <w:unhideWhenUsed/>
    <w:qFormat/>
    <w:rPr>
      <w:rFonts w:asciiTheme="majorHAnsi" w:eastAsiaTheme="majorEastAsia" w:hAnsiTheme="majorHAnsi" w:cstheme="majorBidi"/>
      <w:b/>
      <w:bCs/>
    </w:rPr>
  </w:style>
  <w:style w:type="paragraph" w:styleId="Elenco">
    <w:name w:val="List"/>
    <w:basedOn w:val="Normale"/>
    <w:uiPriority w:val="99"/>
    <w:semiHidden/>
    <w:unhideWhenUsed/>
    <w:pPr>
      <w:ind w:left="283" w:hanging="283"/>
      <w:contextualSpacing/>
    </w:pPr>
  </w:style>
  <w:style w:type="paragraph" w:styleId="Elenco2">
    <w:name w:val="List 2"/>
    <w:basedOn w:val="Normale"/>
    <w:uiPriority w:val="99"/>
    <w:semiHidden/>
    <w:unhideWhenUsed/>
    <w:qFormat/>
    <w:pPr>
      <w:ind w:left="566" w:hanging="283"/>
      <w:contextualSpacing/>
    </w:pPr>
  </w:style>
  <w:style w:type="paragraph" w:styleId="Elenco3">
    <w:name w:val="List 3"/>
    <w:basedOn w:val="Normale"/>
    <w:uiPriority w:val="99"/>
    <w:semiHidden/>
    <w:unhideWhenUsed/>
    <w:pPr>
      <w:ind w:left="849" w:hanging="283"/>
      <w:contextualSpacing/>
    </w:pPr>
  </w:style>
  <w:style w:type="paragraph" w:styleId="Elenco4">
    <w:name w:val="List 4"/>
    <w:basedOn w:val="Normale"/>
    <w:uiPriority w:val="99"/>
    <w:semiHidden/>
    <w:unhideWhenUsed/>
    <w:pPr>
      <w:ind w:left="1132" w:hanging="283"/>
      <w:contextualSpacing/>
    </w:pPr>
  </w:style>
  <w:style w:type="paragraph" w:styleId="Elenco5">
    <w:name w:val="List 5"/>
    <w:basedOn w:val="Normale"/>
    <w:uiPriority w:val="99"/>
    <w:semiHidden/>
    <w:unhideWhenUsed/>
    <w:qFormat/>
    <w:pPr>
      <w:ind w:left="1415" w:hanging="283"/>
      <w:contextualSpacing/>
    </w:pPr>
  </w:style>
  <w:style w:type="paragraph" w:styleId="Puntoelenco">
    <w:name w:val="List Bullet"/>
    <w:basedOn w:val="Normale"/>
    <w:uiPriority w:val="99"/>
    <w:semiHidden/>
    <w:unhideWhenUsed/>
    <w:qFormat/>
    <w:pPr>
      <w:numPr>
        <w:numId w:val="2"/>
      </w:numPr>
      <w:contextualSpacing/>
    </w:pPr>
  </w:style>
  <w:style w:type="paragraph" w:styleId="Puntoelenco2">
    <w:name w:val="List Bullet 2"/>
    <w:basedOn w:val="Normale"/>
    <w:uiPriority w:val="99"/>
    <w:semiHidden/>
    <w:unhideWhenUsed/>
    <w:qFormat/>
    <w:pPr>
      <w:numPr>
        <w:numId w:val="3"/>
      </w:numPr>
      <w:contextualSpacing/>
    </w:pPr>
  </w:style>
  <w:style w:type="paragraph" w:styleId="Puntoelenco3">
    <w:name w:val="List Bullet 3"/>
    <w:basedOn w:val="Normale"/>
    <w:uiPriority w:val="99"/>
    <w:semiHidden/>
    <w:unhideWhenUsed/>
    <w:qFormat/>
    <w:pPr>
      <w:numPr>
        <w:numId w:val="4"/>
      </w:numPr>
      <w:contextualSpacing/>
    </w:pPr>
  </w:style>
  <w:style w:type="paragraph" w:styleId="Puntoelenco4">
    <w:name w:val="List Bullet 4"/>
    <w:basedOn w:val="Normale"/>
    <w:uiPriority w:val="99"/>
    <w:semiHidden/>
    <w:unhideWhenUsed/>
    <w:qFormat/>
    <w:pPr>
      <w:numPr>
        <w:numId w:val="5"/>
      </w:numPr>
      <w:contextualSpacing/>
    </w:pPr>
  </w:style>
  <w:style w:type="paragraph" w:styleId="Puntoelenco5">
    <w:name w:val="List Bullet 5"/>
    <w:basedOn w:val="Normale"/>
    <w:uiPriority w:val="99"/>
    <w:semiHidden/>
    <w:unhideWhenUsed/>
    <w:qFormat/>
    <w:pPr>
      <w:numPr>
        <w:numId w:val="6"/>
      </w:numPr>
      <w:contextualSpacing/>
    </w:pPr>
  </w:style>
  <w:style w:type="paragraph" w:styleId="Elencocontinua">
    <w:name w:val="List Continue"/>
    <w:basedOn w:val="Normale"/>
    <w:uiPriority w:val="99"/>
    <w:semiHidden/>
    <w:unhideWhenUsed/>
    <w:qFormat/>
    <w:pPr>
      <w:spacing w:after="120"/>
      <w:ind w:left="283"/>
      <w:contextualSpacing/>
    </w:pPr>
  </w:style>
  <w:style w:type="paragraph" w:styleId="Elencocontinua2">
    <w:name w:val="List Continue 2"/>
    <w:basedOn w:val="Normale"/>
    <w:uiPriority w:val="99"/>
    <w:semiHidden/>
    <w:unhideWhenUsed/>
    <w:qFormat/>
    <w:pPr>
      <w:spacing w:after="120"/>
      <w:ind w:left="566"/>
      <w:contextualSpacing/>
    </w:pPr>
  </w:style>
  <w:style w:type="paragraph" w:styleId="Elencocontinua3">
    <w:name w:val="List Continue 3"/>
    <w:basedOn w:val="Normale"/>
    <w:uiPriority w:val="99"/>
    <w:semiHidden/>
    <w:unhideWhenUsed/>
    <w:pPr>
      <w:spacing w:after="120"/>
      <w:ind w:left="849"/>
      <w:contextualSpacing/>
    </w:pPr>
  </w:style>
  <w:style w:type="paragraph" w:styleId="Elencocontinua4">
    <w:name w:val="List Continue 4"/>
    <w:basedOn w:val="Normale"/>
    <w:uiPriority w:val="99"/>
    <w:semiHidden/>
    <w:unhideWhenUsed/>
    <w:pPr>
      <w:spacing w:after="120"/>
      <w:ind w:left="1132"/>
      <w:contextualSpacing/>
    </w:pPr>
  </w:style>
  <w:style w:type="paragraph" w:styleId="Elencocontinua5">
    <w:name w:val="List Continue 5"/>
    <w:basedOn w:val="Normale"/>
    <w:uiPriority w:val="99"/>
    <w:semiHidden/>
    <w:unhideWhenUsed/>
    <w:pPr>
      <w:spacing w:after="120"/>
      <w:ind w:left="1415"/>
      <w:contextualSpacing/>
    </w:pPr>
  </w:style>
  <w:style w:type="paragraph" w:styleId="Numeroelenco">
    <w:name w:val="List Number"/>
    <w:basedOn w:val="Normale"/>
    <w:uiPriority w:val="99"/>
    <w:semiHidden/>
    <w:unhideWhenUsed/>
    <w:qFormat/>
    <w:pPr>
      <w:numPr>
        <w:numId w:val="7"/>
      </w:numPr>
      <w:contextualSpacing/>
    </w:pPr>
  </w:style>
  <w:style w:type="paragraph" w:styleId="Numeroelenco2">
    <w:name w:val="List Number 2"/>
    <w:basedOn w:val="Normale"/>
    <w:uiPriority w:val="99"/>
    <w:semiHidden/>
    <w:unhideWhenUsed/>
    <w:pPr>
      <w:numPr>
        <w:numId w:val="8"/>
      </w:numPr>
      <w:contextualSpacing/>
    </w:pPr>
  </w:style>
  <w:style w:type="paragraph" w:styleId="Numeroelenco3">
    <w:name w:val="List Number 3"/>
    <w:basedOn w:val="Normale"/>
    <w:uiPriority w:val="99"/>
    <w:semiHidden/>
    <w:unhideWhenUsed/>
    <w:qFormat/>
    <w:pPr>
      <w:numPr>
        <w:numId w:val="9"/>
      </w:numPr>
      <w:contextualSpacing/>
    </w:pPr>
  </w:style>
  <w:style w:type="paragraph" w:styleId="Numeroelenco4">
    <w:name w:val="List Number 4"/>
    <w:basedOn w:val="Normale"/>
    <w:uiPriority w:val="99"/>
    <w:semiHidden/>
    <w:unhideWhenUsed/>
    <w:qFormat/>
    <w:pPr>
      <w:numPr>
        <w:numId w:val="10"/>
      </w:numPr>
      <w:contextualSpacing/>
    </w:pPr>
  </w:style>
  <w:style w:type="paragraph" w:styleId="Numeroelenco5">
    <w:name w:val="List Number 5"/>
    <w:basedOn w:val="Normale"/>
    <w:uiPriority w:val="99"/>
    <w:semiHidden/>
    <w:unhideWhenUsed/>
    <w:qFormat/>
    <w:pPr>
      <w:numPr>
        <w:numId w:val="11"/>
      </w:numPr>
      <w:contextualSpacing/>
    </w:pPr>
  </w:style>
  <w:style w:type="paragraph" w:styleId="Testomacro">
    <w:name w:val="macro"/>
    <w:link w:val="TestomacroCarattere"/>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lang w:eastAsia="en-US"/>
    </w:rPr>
  </w:style>
  <w:style w:type="paragraph" w:styleId="Intestazionemessaggio">
    <w:name w:val="Message Header"/>
    <w:basedOn w:val="Normale"/>
    <w:link w:val="IntestazionemessaggioCarattere"/>
    <w:uiPriority w:val="99"/>
    <w:semiHidden/>
    <w:unhideWhenUsed/>
    <w:qFormat/>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paragraph" w:styleId="NormaleWeb">
    <w:name w:val="Normal (Web)"/>
    <w:basedOn w:val="Normale"/>
    <w:uiPriority w:val="99"/>
    <w:semiHidden/>
    <w:unhideWhenUsed/>
    <w:qFormat/>
    <w:rPr>
      <w:sz w:val="24"/>
      <w:szCs w:val="24"/>
    </w:rPr>
  </w:style>
  <w:style w:type="paragraph" w:styleId="Rientronormale">
    <w:name w:val="Normal Indent"/>
    <w:basedOn w:val="Normale"/>
    <w:uiPriority w:val="99"/>
    <w:semiHidden/>
    <w:unhideWhenUsed/>
    <w:pPr>
      <w:ind w:left="720"/>
    </w:pPr>
  </w:style>
  <w:style w:type="paragraph" w:styleId="Intestazionenota">
    <w:name w:val="Note Heading"/>
    <w:basedOn w:val="Normale"/>
    <w:next w:val="Normale"/>
    <w:link w:val="IntestazionenotaCarattere"/>
    <w:uiPriority w:val="99"/>
    <w:semiHidden/>
    <w:unhideWhenUsed/>
    <w:qFormat/>
    <w:pPr>
      <w:spacing w:line="240" w:lineRule="auto"/>
    </w:pPr>
  </w:style>
  <w:style w:type="paragraph" w:styleId="Testonormale">
    <w:name w:val="Plain Text"/>
    <w:basedOn w:val="Normale"/>
    <w:link w:val="TestonormaleCarattere"/>
    <w:uiPriority w:val="99"/>
    <w:semiHidden/>
    <w:unhideWhenUsed/>
    <w:qFormat/>
    <w:pPr>
      <w:spacing w:line="240" w:lineRule="auto"/>
    </w:pPr>
    <w:rPr>
      <w:rFonts w:ascii="Consolas" w:hAnsi="Consolas" w:cs="Consolas"/>
      <w:sz w:val="21"/>
      <w:szCs w:val="21"/>
    </w:rPr>
  </w:style>
  <w:style w:type="paragraph" w:styleId="Formuladiapertura">
    <w:name w:val="Salutation"/>
    <w:basedOn w:val="Normale"/>
    <w:next w:val="Normale"/>
    <w:link w:val="FormuladiaperturaCarattere"/>
    <w:uiPriority w:val="99"/>
    <w:semiHidden/>
    <w:unhideWhenUsed/>
  </w:style>
  <w:style w:type="paragraph" w:styleId="Firma">
    <w:name w:val="Signature"/>
    <w:basedOn w:val="Normale"/>
    <w:link w:val="FirmaCarattere"/>
    <w:uiPriority w:val="99"/>
    <w:semiHidden/>
    <w:unhideWhenUsed/>
    <w:pPr>
      <w:spacing w:line="240" w:lineRule="auto"/>
      <w:ind w:left="4252"/>
    </w:pPr>
  </w:style>
  <w:style w:type="character" w:styleId="Enfasigrassetto">
    <w:name w:val="Strong"/>
    <w:basedOn w:val="Carpredefinitoparagrafo"/>
    <w:uiPriority w:val="22"/>
    <w:qFormat/>
    <w:rPr>
      <w:b/>
      <w:bCs/>
    </w:rPr>
  </w:style>
  <w:style w:type="table" w:styleId="Grigliatabella">
    <w:name w:val="Table Grid"/>
    <w:basedOn w:val="Tabellanorma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fonti">
    <w:name w:val="table of authorities"/>
    <w:basedOn w:val="Normale"/>
    <w:next w:val="Normale"/>
    <w:uiPriority w:val="99"/>
    <w:semiHidden/>
    <w:unhideWhenUsed/>
    <w:qFormat/>
    <w:pPr>
      <w:ind w:left="220" w:hanging="220"/>
    </w:pPr>
  </w:style>
  <w:style w:type="paragraph" w:styleId="Indicedellefigure">
    <w:name w:val="table of figures"/>
    <w:basedOn w:val="Normale"/>
    <w:next w:val="Normale"/>
    <w:uiPriority w:val="99"/>
    <w:semiHidden/>
    <w:unhideWhenUsed/>
    <w:qFormat/>
  </w:style>
  <w:style w:type="table" w:styleId="Tabellasemplice1">
    <w:name w:val="Table Simple 1"/>
    <w:basedOn w:val="Tabellanormale"/>
    <w:semiHidden/>
    <w:pPr>
      <w:numPr>
        <w:ilvl w:val="3"/>
        <w:numId w:val="1"/>
      </w:numPr>
      <w:spacing w:line="264" w:lineRule="auto"/>
      <w:jc w:val="both"/>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styleId="Titoloindicefonti">
    <w:name w:val="toa heading"/>
    <w:basedOn w:val="Normale"/>
    <w:next w:val="Normale"/>
    <w:uiPriority w:val="99"/>
    <w:semiHidden/>
    <w:unhideWhenUsed/>
    <w:qFormat/>
    <w:pPr>
      <w:spacing w:before="120"/>
    </w:pPr>
    <w:rPr>
      <w:rFonts w:asciiTheme="majorHAnsi" w:eastAsiaTheme="majorEastAsia" w:hAnsiTheme="majorHAnsi" w:cstheme="majorBidi"/>
      <w:b/>
      <w:bCs/>
      <w:sz w:val="24"/>
      <w:szCs w:val="24"/>
    </w:rPr>
  </w:style>
  <w:style w:type="paragraph" w:styleId="Sommario1">
    <w:name w:val="toc 1"/>
    <w:basedOn w:val="Normale"/>
    <w:next w:val="Normale"/>
    <w:autoRedefine/>
    <w:uiPriority w:val="39"/>
    <w:semiHidden/>
    <w:unhideWhenUsed/>
    <w:pPr>
      <w:spacing w:after="100"/>
    </w:pPr>
  </w:style>
  <w:style w:type="paragraph" w:styleId="Sommario2">
    <w:name w:val="toc 2"/>
    <w:basedOn w:val="Normale"/>
    <w:next w:val="Normale"/>
    <w:autoRedefine/>
    <w:uiPriority w:val="39"/>
    <w:semiHidden/>
    <w:unhideWhenUsed/>
    <w:pPr>
      <w:spacing w:after="100"/>
      <w:ind w:left="220"/>
    </w:pPr>
  </w:style>
  <w:style w:type="paragraph" w:styleId="Sommario3">
    <w:name w:val="toc 3"/>
    <w:basedOn w:val="Normale"/>
    <w:next w:val="Normale"/>
    <w:autoRedefine/>
    <w:uiPriority w:val="39"/>
    <w:semiHidden/>
    <w:unhideWhenUsed/>
    <w:pPr>
      <w:spacing w:after="100"/>
      <w:ind w:left="440"/>
    </w:pPr>
  </w:style>
  <w:style w:type="paragraph" w:styleId="Sommario4">
    <w:name w:val="toc 4"/>
    <w:basedOn w:val="Normale"/>
    <w:next w:val="Normale"/>
    <w:autoRedefine/>
    <w:uiPriority w:val="39"/>
    <w:semiHidden/>
    <w:unhideWhenUsed/>
    <w:pPr>
      <w:spacing w:after="100"/>
      <w:ind w:left="660"/>
    </w:pPr>
  </w:style>
  <w:style w:type="paragraph" w:styleId="Sommario5">
    <w:name w:val="toc 5"/>
    <w:basedOn w:val="Normale"/>
    <w:next w:val="Normale"/>
    <w:autoRedefine/>
    <w:uiPriority w:val="39"/>
    <w:semiHidden/>
    <w:unhideWhenUsed/>
    <w:qFormat/>
    <w:pPr>
      <w:spacing w:after="100"/>
      <w:ind w:left="880"/>
    </w:pPr>
  </w:style>
  <w:style w:type="paragraph" w:styleId="Sommario6">
    <w:name w:val="toc 6"/>
    <w:basedOn w:val="Normale"/>
    <w:next w:val="Normale"/>
    <w:autoRedefine/>
    <w:uiPriority w:val="39"/>
    <w:semiHidden/>
    <w:unhideWhenUsed/>
    <w:qFormat/>
    <w:pPr>
      <w:spacing w:after="100"/>
      <w:ind w:left="1100"/>
    </w:pPr>
  </w:style>
  <w:style w:type="paragraph" w:styleId="Sommario7">
    <w:name w:val="toc 7"/>
    <w:basedOn w:val="Normale"/>
    <w:next w:val="Normale"/>
    <w:autoRedefine/>
    <w:uiPriority w:val="39"/>
    <w:semiHidden/>
    <w:unhideWhenUsed/>
    <w:pPr>
      <w:spacing w:after="100"/>
      <w:ind w:left="1320"/>
    </w:pPr>
  </w:style>
  <w:style w:type="paragraph" w:styleId="Sommario8">
    <w:name w:val="toc 8"/>
    <w:basedOn w:val="Normale"/>
    <w:next w:val="Normale"/>
    <w:autoRedefine/>
    <w:uiPriority w:val="39"/>
    <w:semiHidden/>
    <w:unhideWhenUsed/>
    <w:pPr>
      <w:spacing w:after="100"/>
      <w:ind w:left="1540"/>
    </w:pPr>
  </w:style>
  <w:style w:type="paragraph" w:styleId="Sommario9">
    <w:name w:val="toc 9"/>
    <w:basedOn w:val="Normale"/>
    <w:next w:val="Normale"/>
    <w:autoRedefine/>
    <w:uiPriority w:val="39"/>
    <w:semiHidden/>
    <w:unhideWhenUsed/>
    <w:pPr>
      <w:spacing w:after="100"/>
      <w:ind w:left="1760"/>
    </w:pPr>
  </w:style>
  <w:style w:type="paragraph" w:customStyle="1" w:styleId="CETAuthors">
    <w:name w:val="CET Authors"/>
    <w:basedOn w:val="CETBodytext"/>
    <w:link w:val="CETAuthorsCarattere"/>
    <w:qFormat/>
    <w:pPr>
      <w:keepNext/>
      <w:suppressAutoHyphens/>
      <w:spacing w:after="120"/>
    </w:pPr>
    <w:rPr>
      <w:sz w:val="24"/>
      <w:lang w:val="en-GB"/>
    </w:rPr>
  </w:style>
  <w:style w:type="paragraph" w:customStyle="1" w:styleId="CETTitle">
    <w:name w:val="CET Title"/>
    <w:next w:val="CETAuthors"/>
    <w:link w:val="CETTitleCarattere"/>
    <w:qFormat/>
    <w:pPr>
      <w:suppressAutoHyphens/>
      <w:spacing w:before="480" w:after="120" w:line="264" w:lineRule="auto"/>
      <w:jc w:val="center"/>
      <w:outlineLvl w:val="0"/>
    </w:pPr>
    <w:rPr>
      <w:rFonts w:ascii="Arial" w:eastAsia="Times New Roman" w:hAnsi="Arial" w:cs="Times New Roman"/>
      <w:sz w:val="32"/>
      <w:lang w:val="en-GB" w:eastAsia="en-US"/>
    </w:rPr>
  </w:style>
  <w:style w:type="character" w:customStyle="1" w:styleId="CETAuthorsCarattere">
    <w:name w:val="CET Authors Carattere"/>
    <w:link w:val="CETAuthors"/>
    <w:rPr>
      <w:rFonts w:ascii="Arial" w:eastAsia="Times New Roman" w:hAnsi="Arial" w:cs="Times New Roman"/>
      <w:sz w:val="24"/>
      <w:szCs w:val="20"/>
      <w:lang w:val="en-GB"/>
    </w:rPr>
  </w:style>
  <w:style w:type="character" w:customStyle="1" w:styleId="CETTitleCarattere">
    <w:name w:val="CET Title Carattere"/>
    <w:link w:val="CETTitle"/>
    <w:qFormat/>
    <w:rPr>
      <w:rFonts w:ascii="Arial" w:eastAsia="Times New Roman" w:hAnsi="Arial" w:cs="Times New Roman"/>
      <w:sz w:val="32"/>
      <w:szCs w:val="20"/>
      <w:lang w:val="en-GB"/>
    </w:rPr>
  </w:style>
  <w:style w:type="paragraph" w:customStyle="1" w:styleId="CETheadingx">
    <w:name w:val="CET headingx"/>
    <w:next w:val="CETBodytext"/>
    <w:link w:val="CETheadingxCarattere"/>
    <w:autoRedefine/>
    <w:qFormat/>
    <w:pPr>
      <w:keepNext/>
      <w:numPr>
        <w:ilvl w:val="2"/>
        <w:numId w:val="1"/>
      </w:numPr>
      <w:suppressAutoHyphens/>
      <w:spacing w:before="120" w:after="120"/>
    </w:pPr>
    <w:rPr>
      <w:rFonts w:ascii="Arial" w:eastAsia="Times New Roman" w:hAnsi="Arial" w:cs="Times New Roman"/>
      <w:b/>
      <w:sz w:val="18"/>
      <w:lang w:val="en-US" w:eastAsia="en-US"/>
    </w:rPr>
  </w:style>
  <w:style w:type="paragraph" w:customStyle="1" w:styleId="CETAddress">
    <w:name w:val="CET Address"/>
    <w:link w:val="CETAddressCarattere"/>
    <w:qFormat/>
    <w:pPr>
      <w:keepNext/>
      <w:suppressAutoHyphens/>
      <w:spacing w:line="276" w:lineRule="auto"/>
      <w:contextualSpacing/>
    </w:pPr>
    <w:rPr>
      <w:rFonts w:ascii="Arial" w:eastAsia="Times New Roman" w:hAnsi="Arial" w:cs="Times New Roman"/>
      <w:sz w:val="16"/>
      <w:lang w:val="en-GB" w:eastAsia="en-US"/>
    </w:rPr>
  </w:style>
  <w:style w:type="character" w:customStyle="1" w:styleId="CETBodytextCarattere">
    <w:name w:val="CET Body text Carattere"/>
    <w:link w:val="CETBodytext"/>
    <w:rPr>
      <w:rFonts w:ascii="Arial" w:eastAsia="Times New Roman" w:hAnsi="Arial" w:cs="Times New Roman"/>
      <w:sz w:val="18"/>
      <w:szCs w:val="20"/>
      <w:lang w:val="en-US"/>
    </w:rPr>
  </w:style>
  <w:style w:type="paragraph" w:customStyle="1" w:styleId="CETReference">
    <w:name w:val="CET Reference"/>
    <w:qFormat/>
    <w:pPr>
      <w:spacing w:before="200" w:after="120"/>
    </w:pPr>
    <w:rPr>
      <w:rFonts w:ascii="Arial" w:eastAsia="Times New Roman" w:hAnsi="Arial" w:cs="Times New Roman"/>
      <w:b/>
      <w:sz w:val="18"/>
      <w:lang w:val="en-GB" w:eastAsia="en-US"/>
    </w:rPr>
  </w:style>
  <w:style w:type="paragraph" w:customStyle="1" w:styleId="CETCaption">
    <w:name w:val="CET Caption"/>
    <w:link w:val="CETCaptionCarattere"/>
    <w:qFormat/>
    <w:pPr>
      <w:spacing w:before="240" w:after="240" w:line="264" w:lineRule="auto"/>
      <w:jc w:val="both"/>
    </w:pPr>
    <w:rPr>
      <w:rFonts w:ascii="Arial" w:eastAsia="Times New Roman" w:hAnsi="Arial" w:cs="Times New Roman"/>
      <w:i/>
      <w:sz w:val="18"/>
      <w:lang w:val="en-GB" w:eastAsia="en-US"/>
    </w:rPr>
  </w:style>
  <w:style w:type="character" w:customStyle="1" w:styleId="CETheadingxCarattere">
    <w:name w:val="CET headingx Carattere"/>
    <w:link w:val="CETheadingx"/>
    <w:qFormat/>
    <w:rPr>
      <w:rFonts w:ascii="Arial" w:eastAsia="Times New Roman" w:hAnsi="Arial" w:cs="Times New Roman"/>
      <w:b/>
      <w:sz w:val="18"/>
      <w:szCs w:val="20"/>
      <w:lang w:val="en-US"/>
    </w:rPr>
  </w:style>
  <w:style w:type="character" w:customStyle="1" w:styleId="CETCaptionCarattere">
    <w:name w:val="CET Caption Carattere"/>
    <w:link w:val="CETCaption"/>
    <w:qFormat/>
    <w:rPr>
      <w:rFonts w:ascii="Arial" w:eastAsia="Times New Roman" w:hAnsi="Arial" w:cs="Times New Roman"/>
      <w:i/>
      <w:sz w:val="18"/>
      <w:szCs w:val="20"/>
      <w:lang w:val="en-GB"/>
    </w:rPr>
  </w:style>
  <w:style w:type="paragraph" w:customStyle="1" w:styleId="CETBodytextItalic">
    <w:name w:val="CET Body text (Italic)"/>
    <w:basedOn w:val="CETBodytext"/>
    <w:qFormat/>
    <w:rPr>
      <w:i/>
      <w:lang w:val="en-GB"/>
    </w:rPr>
  </w:style>
  <w:style w:type="character" w:customStyle="1" w:styleId="TestofumettoCarattere">
    <w:name w:val="Testo fumetto Carattere"/>
    <w:basedOn w:val="Carpredefinitoparagrafo"/>
    <w:link w:val="Testofumetto"/>
    <w:uiPriority w:val="99"/>
    <w:semiHidden/>
    <w:qFormat/>
    <w:rPr>
      <w:rFonts w:ascii="Tahoma" w:hAnsi="Tahoma" w:cs="Tahoma"/>
      <w:sz w:val="16"/>
      <w:szCs w:val="16"/>
    </w:rPr>
  </w:style>
  <w:style w:type="paragraph" w:customStyle="1" w:styleId="Bibliografia1">
    <w:name w:val="Bibliografia1"/>
    <w:basedOn w:val="CETReferencetext"/>
    <w:uiPriority w:val="37"/>
    <w:unhideWhenUsed/>
    <w:qFormat/>
    <w:pPr>
      <w:spacing w:line="240" w:lineRule="auto"/>
      <w:ind w:left="720" w:hanging="720"/>
    </w:pPr>
  </w:style>
  <w:style w:type="paragraph" w:customStyle="1" w:styleId="CETReferencetext">
    <w:name w:val="CET Reference text"/>
    <w:qFormat/>
    <w:pPr>
      <w:spacing w:line="264" w:lineRule="auto"/>
      <w:ind w:left="284" w:hanging="284"/>
      <w:jc w:val="both"/>
    </w:pPr>
    <w:rPr>
      <w:rFonts w:ascii="Arial" w:eastAsia="Times New Roman" w:hAnsi="Arial" w:cs="Times New Roman"/>
      <w:sz w:val="18"/>
      <w:lang w:val="en-GB" w:eastAsia="en-US"/>
    </w:rPr>
  </w:style>
  <w:style w:type="character" w:customStyle="1" w:styleId="Corpodeltesto2Carattere">
    <w:name w:val="Corpo del testo 2 Carattere"/>
    <w:basedOn w:val="Carpredefinitoparagrafo"/>
    <w:link w:val="Corpodeltesto2"/>
    <w:uiPriority w:val="99"/>
    <w:semiHidden/>
    <w:qFormat/>
  </w:style>
  <w:style w:type="character" w:customStyle="1" w:styleId="Corpodeltesto3Carattere">
    <w:name w:val="Corpo del testo 3 Carattere"/>
    <w:basedOn w:val="Carpredefinitoparagrafo"/>
    <w:link w:val="Corpodeltesto3"/>
    <w:uiPriority w:val="99"/>
    <w:semiHidden/>
    <w:rPr>
      <w:sz w:val="16"/>
      <w:szCs w:val="16"/>
    </w:rPr>
  </w:style>
  <w:style w:type="character" w:customStyle="1" w:styleId="CorpotestoCarattere">
    <w:name w:val="Corpo testo Carattere"/>
    <w:basedOn w:val="Carpredefinitoparagrafo"/>
    <w:link w:val="Corpotesto"/>
    <w:uiPriority w:val="99"/>
    <w:semiHidden/>
  </w:style>
  <w:style w:type="character" w:customStyle="1" w:styleId="DataCarattere">
    <w:name w:val="Data Carattere"/>
    <w:basedOn w:val="Carpredefinitoparagrafo"/>
    <w:link w:val="Data"/>
    <w:uiPriority w:val="99"/>
    <w:semiHidden/>
  </w:style>
  <w:style w:type="character" w:customStyle="1" w:styleId="FirmaCarattere">
    <w:name w:val="Firma Carattere"/>
    <w:basedOn w:val="Carpredefinitoparagrafo"/>
    <w:link w:val="Firma"/>
    <w:uiPriority w:val="99"/>
    <w:semiHidden/>
    <w:qFormat/>
  </w:style>
  <w:style w:type="character" w:customStyle="1" w:styleId="FirmadipostaelettronicaCarattere">
    <w:name w:val="Firma di posta elettronica Carattere"/>
    <w:basedOn w:val="Carpredefinitoparagrafo"/>
    <w:link w:val="Firmadipostaelettronica"/>
    <w:uiPriority w:val="99"/>
    <w:semiHidden/>
    <w:qFormat/>
  </w:style>
  <w:style w:type="character" w:customStyle="1" w:styleId="FormuladiaperturaCarattere">
    <w:name w:val="Formula di apertura Carattere"/>
    <w:basedOn w:val="Carpredefinitoparagrafo"/>
    <w:link w:val="Formuladiapertura"/>
    <w:uiPriority w:val="99"/>
    <w:semiHidden/>
    <w:qFormat/>
  </w:style>
  <w:style w:type="character" w:customStyle="1" w:styleId="FormuladichiusuraCarattere">
    <w:name w:val="Formula di chiusura Carattere"/>
    <w:basedOn w:val="Carpredefinitoparagrafo"/>
    <w:link w:val="Formuladichiusura"/>
    <w:uiPriority w:val="99"/>
    <w:semiHidden/>
  </w:style>
  <w:style w:type="character" w:customStyle="1" w:styleId="IndirizzoHTMLCarattere">
    <w:name w:val="Indirizzo HTML Carattere"/>
    <w:basedOn w:val="Carpredefinitoparagrafo"/>
    <w:link w:val="IndirizzoHTML"/>
    <w:uiPriority w:val="99"/>
    <w:semiHidden/>
    <w:rPr>
      <w:i/>
      <w:iCs/>
    </w:rPr>
  </w:style>
  <w:style w:type="character" w:customStyle="1" w:styleId="IntestazionemessaggioCarattere">
    <w:name w:val="Intestazione messaggio Carattere"/>
    <w:basedOn w:val="Carpredefinitoparagrafo"/>
    <w:link w:val="Intestazionemessaggio"/>
    <w:uiPriority w:val="99"/>
    <w:semiHidden/>
    <w:qFormat/>
    <w:rPr>
      <w:rFonts w:asciiTheme="majorHAnsi" w:eastAsiaTheme="majorEastAsia" w:hAnsiTheme="majorHAnsi" w:cstheme="majorBidi"/>
      <w:sz w:val="24"/>
      <w:szCs w:val="24"/>
      <w:shd w:val="pct20" w:color="auto" w:fill="auto"/>
    </w:rPr>
  </w:style>
  <w:style w:type="character" w:customStyle="1" w:styleId="IntestazionenotaCarattere">
    <w:name w:val="Intestazione nota Carattere"/>
    <w:basedOn w:val="Carpredefinitoparagrafo"/>
    <w:link w:val="Intestazionenota"/>
    <w:uiPriority w:val="99"/>
    <w:semiHidden/>
    <w:qFormat/>
  </w:style>
  <w:style w:type="character" w:customStyle="1" w:styleId="MappadocumentoCarattere">
    <w:name w:val="Mappa documento Carattere"/>
    <w:basedOn w:val="Carpredefinitoparagrafo"/>
    <w:link w:val="Mappadocumento"/>
    <w:uiPriority w:val="99"/>
    <w:semiHidden/>
    <w:qFormat/>
    <w:rPr>
      <w:rFonts w:ascii="Tahoma" w:hAnsi="Tahoma" w:cs="Tahoma"/>
      <w:sz w:val="16"/>
      <w:szCs w:val="16"/>
    </w:rPr>
  </w:style>
  <w:style w:type="character" w:customStyle="1" w:styleId="PreformattatoHTMLCarattere">
    <w:name w:val="Preformattato HTML Carattere"/>
    <w:basedOn w:val="Carpredefinitoparagrafo"/>
    <w:link w:val="PreformattatoHTML"/>
    <w:uiPriority w:val="99"/>
    <w:semiHidden/>
    <w:qFormat/>
    <w:rPr>
      <w:rFonts w:ascii="Consolas" w:hAnsi="Consolas" w:cs="Consolas"/>
      <w:sz w:val="20"/>
      <w:szCs w:val="20"/>
    </w:rPr>
  </w:style>
  <w:style w:type="character" w:customStyle="1" w:styleId="PrimorientrocorpodeltestoCarattere">
    <w:name w:val="Primo rientro corpo del testo Carattere"/>
    <w:basedOn w:val="CorpotestoCarattere"/>
    <w:link w:val="Primorientrocorpodeltesto"/>
    <w:uiPriority w:val="99"/>
    <w:semiHidden/>
    <w:qFormat/>
  </w:style>
  <w:style w:type="character" w:customStyle="1" w:styleId="RientrocorpodeltestoCarattere">
    <w:name w:val="Rientro corpo del testo Carattere"/>
    <w:basedOn w:val="Carpredefinitoparagrafo"/>
    <w:link w:val="Rientrocorpodeltesto"/>
    <w:uiPriority w:val="99"/>
    <w:semiHidden/>
  </w:style>
  <w:style w:type="character" w:customStyle="1" w:styleId="Primorientrocorpodeltesto2Carattere">
    <w:name w:val="Primo rientro corpo del testo 2 Carattere"/>
    <w:basedOn w:val="RientrocorpodeltestoCarattere"/>
    <w:link w:val="Primorientrocorpodeltesto2"/>
    <w:uiPriority w:val="99"/>
    <w:semiHidden/>
  </w:style>
  <w:style w:type="character" w:customStyle="1" w:styleId="Rientrocorpodeltesto2Carattere">
    <w:name w:val="Rientro corpo del testo 2 Carattere"/>
    <w:basedOn w:val="Carpredefinitoparagrafo"/>
    <w:link w:val="Rientrocorpodeltesto2"/>
    <w:uiPriority w:val="99"/>
    <w:semiHidden/>
    <w:qFormat/>
  </w:style>
  <w:style w:type="character" w:customStyle="1" w:styleId="Rientrocorpodeltesto3Carattere">
    <w:name w:val="Rientro corpo del testo 3 Carattere"/>
    <w:basedOn w:val="Carpredefinitoparagrafo"/>
    <w:link w:val="Rientrocorpodeltesto3"/>
    <w:uiPriority w:val="99"/>
    <w:semiHidden/>
    <w:rPr>
      <w:sz w:val="16"/>
      <w:szCs w:val="16"/>
    </w:rPr>
  </w:style>
  <w:style w:type="character" w:customStyle="1" w:styleId="TestocommentoCarattere">
    <w:name w:val="Testo commento Carattere"/>
    <w:basedOn w:val="Carpredefinitoparagrafo"/>
    <w:link w:val="Testocommento"/>
    <w:uiPriority w:val="99"/>
    <w:qFormat/>
    <w:rPr>
      <w:sz w:val="20"/>
      <w:szCs w:val="20"/>
    </w:rPr>
  </w:style>
  <w:style w:type="character" w:customStyle="1" w:styleId="SoggettocommentoCarattere">
    <w:name w:val="Soggetto commento Carattere"/>
    <w:basedOn w:val="TestocommentoCarattere"/>
    <w:link w:val="Soggettocommento"/>
    <w:uiPriority w:val="99"/>
    <w:semiHidden/>
    <w:qFormat/>
    <w:rPr>
      <w:b/>
      <w:bCs/>
      <w:sz w:val="20"/>
      <w:szCs w:val="20"/>
    </w:rPr>
  </w:style>
  <w:style w:type="character" w:customStyle="1" w:styleId="TestomacroCarattere">
    <w:name w:val="Testo macro Carattere"/>
    <w:basedOn w:val="Carpredefinitoparagrafo"/>
    <w:link w:val="Testomacro"/>
    <w:uiPriority w:val="99"/>
    <w:semiHidden/>
    <w:rPr>
      <w:rFonts w:ascii="Consolas" w:hAnsi="Consolas" w:cs="Consolas"/>
      <w:sz w:val="20"/>
      <w:szCs w:val="20"/>
    </w:rPr>
  </w:style>
  <w:style w:type="character" w:customStyle="1" w:styleId="TestonormaleCarattere">
    <w:name w:val="Testo normale Carattere"/>
    <w:basedOn w:val="Carpredefinitoparagrafo"/>
    <w:link w:val="Testonormale"/>
    <w:uiPriority w:val="99"/>
    <w:semiHidden/>
    <w:qFormat/>
    <w:rPr>
      <w:rFonts w:ascii="Consolas" w:hAnsi="Consolas" w:cs="Consolas"/>
      <w:sz w:val="21"/>
      <w:szCs w:val="21"/>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character" w:customStyle="1" w:styleId="TestonotadichiusuraCarattere">
    <w:name w:val="Testo nota di chiusura Carattere"/>
    <w:basedOn w:val="Carpredefinitoparagrafo"/>
    <w:link w:val="Testonotadichiusura"/>
    <w:uiPriority w:val="99"/>
    <w:semiHidden/>
    <w:qFormat/>
    <w:rPr>
      <w:sz w:val="20"/>
      <w:szCs w:val="20"/>
    </w:rPr>
  </w:style>
  <w:style w:type="character" w:customStyle="1" w:styleId="Titolo1Carattere">
    <w:name w:val="Titolo 1 Carattere"/>
    <w:basedOn w:val="Carpredefinitoparagrafo"/>
    <w:link w:val="Titolo1"/>
    <w:uiPriority w:val="9"/>
    <w:qFormat/>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qFormat/>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qFormat/>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Pr>
      <w:rFonts w:asciiTheme="majorHAnsi" w:eastAsiaTheme="majorEastAsia" w:hAnsiTheme="majorHAnsi" w:cstheme="majorBidi"/>
      <w:color w:val="244061" w:themeColor="accent1" w:themeShade="80"/>
    </w:rPr>
  </w:style>
  <w:style w:type="character" w:customStyle="1" w:styleId="Titolo6Carattere">
    <w:name w:val="Titolo 6 Carattere"/>
    <w:basedOn w:val="Carpredefinitoparagrafo"/>
    <w:link w:val="Titolo6"/>
    <w:uiPriority w:val="9"/>
    <w:semiHidden/>
    <w:rPr>
      <w:rFonts w:asciiTheme="majorHAnsi" w:eastAsiaTheme="majorEastAsia" w:hAnsiTheme="majorHAnsi" w:cstheme="majorBidi"/>
      <w:i/>
      <w:iCs/>
      <w:color w:val="244061" w:themeColor="accent1" w:themeShade="80"/>
    </w:rPr>
  </w:style>
  <w:style w:type="character" w:customStyle="1" w:styleId="Titolo7Carattere">
    <w:name w:val="Titolo 7 Carattere"/>
    <w:basedOn w:val="Carpredefinitoparagrafo"/>
    <w:link w:val="Titolo7"/>
    <w:uiPriority w:val="9"/>
    <w:semiHidden/>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qFormat/>
    <w:rPr>
      <w:rFonts w:asciiTheme="majorHAnsi" w:eastAsiaTheme="majorEastAsia" w:hAnsiTheme="majorHAnsi" w:cstheme="majorBidi"/>
      <w:i/>
      <w:iCs/>
      <w:color w:val="404040" w:themeColor="text1" w:themeTint="BF"/>
      <w:sz w:val="20"/>
      <w:szCs w:val="20"/>
    </w:rPr>
  </w:style>
  <w:style w:type="paragraph" w:customStyle="1" w:styleId="Titolosommario1">
    <w:name w:val="Titolo sommario1"/>
    <w:basedOn w:val="Titolo1"/>
    <w:next w:val="Normale"/>
    <w:uiPriority w:val="39"/>
    <w:semiHidden/>
    <w:unhideWhenUsed/>
    <w:qFormat/>
    <w:pPr>
      <w:outlineLvl w:val="9"/>
    </w:pPr>
  </w:style>
  <w:style w:type="paragraph" w:customStyle="1" w:styleId="CETemail">
    <w:name w:val="CET email"/>
    <w:next w:val="CETBodytext"/>
    <w:qFormat/>
    <w:pPr>
      <w:spacing w:after="240" w:line="276" w:lineRule="auto"/>
    </w:pPr>
    <w:rPr>
      <w:rFonts w:ascii="Arial" w:eastAsia="Times New Roman" w:hAnsi="Arial" w:cs="Times New Roman"/>
      <w:sz w:val="16"/>
      <w:lang w:val="en-GB" w:eastAsia="en-US"/>
    </w:rPr>
  </w:style>
  <w:style w:type="character" w:customStyle="1" w:styleId="CETAddressCarattere">
    <w:name w:val="CET Address Carattere"/>
    <w:basedOn w:val="Carpredefinitoparagrafo"/>
    <w:link w:val="CETAddress"/>
    <w:rPr>
      <w:rFonts w:ascii="Arial" w:eastAsia="Times New Roman" w:hAnsi="Arial" w:cs="Times New Roman"/>
      <w:sz w:val="16"/>
      <w:szCs w:val="20"/>
      <w:lang w:val="en-GB"/>
    </w:rPr>
  </w:style>
  <w:style w:type="paragraph" w:customStyle="1" w:styleId="CETBodytextBold">
    <w:name w:val="CET Body text (Bold)"/>
    <w:basedOn w:val="CETBodytext"/>
    <w:qFormat/>
    <w:rPr>
      <w:b/>
    </w:rPr>
  </w:style>
  <w:style w:type="paragraph" w:customStyle="1" w:styleId="CETnumberingbullets">
    <w:name w:val="CET numbering (bullets)"/>
    <w:pPr>
      <w:numPr>
        <w:numId w:val="12"/>
      </w:numPr>
      <w:spacing w:line="264" w:lineRule="auto"/>
    </w:pPr>
    <w:rPr>
      <w:rFonts w:ascii="Arial" w:eastAsia="Times New Roman" w:hAnsi="Arial" w:cs="Times New Roman"/>
      <w:sz w:val="18"/>
      <w:lang w:val="en-GB" w:eastAsia="en-US"/>
    </w:rPr>
  </w:style>
  <w:style w:type="paragraph" w:customStyle="1" w:styleId="CETnumbering1">
    <w:name w:val="CET numbering (1"/>
    <w:qFormat/>
    <w:pPr>
      <w:numPr>
        <w:numId w:val="13"/>
      </w:numPr>
      <w:spacing w:line="264" w:lineRule="auto"/>
      <w:ind w:left="340" w:hanging="227"/>
    </w:pPr>
    <w:rPr>
      <w:rFonts w:ascii="Arial" w:eastAsia="Times New Roman" w:hAnsi="Arial" w:cs="Times New Roman"/>
      <w:sz w:val="18"/>
      <w:lang w:val="en-US" w:eastAsia="en-US"/>
    </w:rPr>
  </w:style>
  <w:style w:type="paragraph" w:customStyle="1" w:styleId="CETnumberinga">
    <w:name w:val="CET numbering (a"/>
    <w:qFormat/>
    <w:pPr>
      <w:numPr>
        <w:numId w:val="14"/>
      </w:numPr>
      <w:spacing w:line="264" w:lineRule="auto"/>
    </w:pPr>
    <w:rPr>
      <w:rFonts w:ascii="Arial" w:eastAsia="Times New Roman" w:hAnsi="Arial" w:cs="Times New Roman"/>
      <w:sz w:val="18"/>
      <w:lang w:val="en-GB" w:eastAsia="en-US"/>
    </w:rPr>
  </w:style>
  <w:style w:type="character" w:customStyle="1" w:styleId="IntestazioneCarattere">
    <w:name w:val="Intestazione Carattere"/>
    <w:basedOn w:val="Carpredefinitoparagrafo"/>
    <w:link w:val="Intestazione"/>
    <w:uiPriority w:val="99"/>
    <w:rPr>
      <w:rFonts w:ascii="Arial" w:eastAsia="Times New Roman" w:hAnsi="Arial" w:cs="Times New Roman"/>
      <w:sz w:val="18"/>
      <w:szCs w:val="20"/>
      <w:lang w:val="en-GB"/>
    </w:rPr>
  </w:style>
  <w:style w:type="character" w:customStyle="1" w:styleId="PidipaginaCarattere">
    <w:name w:val="Piè di pagina Carattere"/>
    <w:basedOn w:val="Carpredefinitoparagrafo"/>
    <w:link w:val="Pidipagina"/>
    <w:uiPriority w:val="99"/>
    <w:rPr>
      <w:rFonts w:ascii="Arial" w:eastAsia="Times New Roman" w:hAnsi="Arial" w:cs="Times New Roman"/>
      <w:sz w:val="18"/>
      <w:szCs w:val="20"/>
      <w:lang w:val="en-GB"/>
    </w:rPr>
  </w:style>
  <w:style w:type="character" w:customStyle="1" w:styleId="eudoraheader">
    <w:name w:val="eudoraheader"/>
    <w:basedOn w:val="Carpredefinitoparagrafo"/>
  </w:style>
  <w:style w:type="paragraph" w:customStyle="1" w:styleId="CETListbullets">
    <w:name w:val="CET List bullets"/>
    <w:qFormat/>
    <w:pPr>
      <w:spacing w:line="264" w:lineRule="auto"/>
      <w:ind w:left="340" w:hanging="227"/>
      <w:jc w:val="both"/>
    </w:pPr>
    <w:rPr>
      <w:rFonts w:ascii="Arial" w:eastAsia="Times New Roman" w:hAnsi="Arial" w:cs="Times New Roman"/>
      <w:sz w:val="18"/>
      <w:lang w:val="en-GB" w:eastAsia="en-US"/>
    </w:rPr>
  </w:style>
  <w:style w:type="paragraph" w:customStyle="1" w:styleId="CETTabletitle">
    <w:name w:val="CET Table title"/>
    <w:qFormat/>
    <w:pPr>
      <w:keepNext/>
      <w:spacing w:before="240" w:after="80" w:line="240" w:lineRule="exact"/>
    </w:pPr>
    <w:rPr>
      <w:rFonts w:ascii="Arial" w:eastAsia="Times New Roman" w:hAnsi="Arial" w:cs="Times New Roman"/>
      <w:i/>
      <w:sz w:val="18"/>
      <w:lang w:val="en-GB" w:eastAsia="en-US"/>
    </w:rPr>
  </w:style>
  <w:style w:type="paragraph" w:customStyle="1" w:styleId="CETAcknowledgementstitle">
    <w:name w:val="CET Acknowledgements title"/>
    <w:next w:val="CETBodytext"/>
    <w:qFormat/>
    <w:pPr>
      <w:spacing w:before="200" w:after="120" w:line="276" w:lineRule="auto"/>
    </w:pPr>
    <w:rPr>
      <w:rFonts w:ascii="Arial" w:eastAsia="Times New Roman" w:hAnsi="Arial" w:cs="Times New Roman"/>
      <w:b/>
      <w:sz w:val="18"/>
      <w:lang w:val="en-GB" w:eastAsia="en-US"/>
    </w:rPr>
  </w:style>
  <w:style w:type="paragraph" w:customStyle="1" w:styleId="CETEquation">
    <w:name w:val="CET Equation"/>
    <w:basedOn w:val="CETBodytext"/>
    <w:next w:val="CETBodytext"/>
    <w:qFormat/>
    <w:pPr>
      <w:spacing w:before="120" w:after="120"/>
      <w:jc w:val="left"/>
    </w:pPr>
    <w:rPr>
      <w:lang w:val="en-GB"/>
    </w:rPr>
  </w:style>
  <w:style w:type="paragraph" w:customStyle="1" w:styleId="CETHeadingxx">
    <w:name w:val="CET Headingxx"/>
    <w:basedOn w:val="CETheadingx"/>
    <w:link w:val="CETHeadingxxChar"/>
    <w:qFormat/>
    <w:pPr>
      <w:numPr>
        <w:ilvl w:val="0"/>
        <w:numId w:val="0"/>
      </w:numPr>
    </w:pPr>
  </w:style>
  <w:style w:type="character" w:customStyle="1" w:styleId="CETHeadingxxChar">
    <w:name w:val="CET Headingxx Char"/>
    <w:basedOn w:val="CETheadingxCarattere"/>
    <w:link w:val="CETHeadingxx"/>
    <w:rPr>
      <w:rFonts w:ascii="Arial" w:eastAsia="Times New Roman" w:hAnsi="Arial" w:cs="Times New Roman"/>
      <w:b/>
      <w:sz w:val="18"/>
      <w:szCs w:val="20"/>
      <w:lang w:val="en-US"/>
    </w:rPr>
  </w:style>
  <w:style w:type="paragraph" w:styleId="Paragrafoelenco">
    <w:name w:val="List Paragraph"/>
    <w:basedOn w:val="Normale"/>
    <w:uiPriority w:val="34"/>
    <w:pPr>
      <w:ind w:left="720"/>
      <w:contextualSpacing/>
    </w:pPr>
  </w:style>
  <w:style w:type="character" w:customStyle="1" w:styleId="gmail-apple-converted-space">
    <w:name w:val="gmail-apple-converted-space"/>
    <w:basedOn w:val="Carpredefinitoparagraf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FSRAM3\VOL3\DATISIST.MAP\PROTEC\Congresso\certificati%20gas%20e%20audit%20hs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mcelebre\AppData\Local\Microsoft\Windows\INetCache\Content.Outlook\YK150WBO\Cartel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RAM3\VOL3\DATISIST.MAP\PROTEC\Congresso\Segnalazioni_ari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it-IT"/>
              <a:t>Gas</a:t>
            </a:r>
            <a:r>
              <a:rPr lang="it-IT" baseline="0"/>
              <a:t> Free</a:t>
            </a:r>
            <a:endParaRPr lang="it-IT"/>
          </a:p>
        </c:rich>
      </c:tx>
      <c:layout/>
      <c:overlay val="0"/>
      <c:spPr>
        <a:noFill/>
        <a:ln>
          <a:noFill/>
        </a:ln>
        <a:effectLst/>
      </c:spPr>
      <c:txPr>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cat>
            <c:strRef>
              <c:f>Foglio1!$B$4:$B$17</c:f>
              <c:strCache>
                <c:ptCount val="14"/>
                <c:pt idx="0">
                  <c:v>2024-01</c:v>
                </c:pt>
                <c:pt idx="1">
                  <c:v>2024-02</c:v>
                </c:pt>
                <c:pt idx="2">
                  <c:v>2024-03</c:v>
                </c:pt>
                <c:pt idx="3">
                  <c:v>2024-04</c:v>
                </c:pt>
                <c:pt idx="4">
                  <c:v>2024-05</c:v>
                </c:pt>
                <c:pt idx="5">
                  <c:v>2024-06</c:v>
                </c:pt>
                <c:pt idx="6">
                  <c:v>2024-07</c:v>
                </c:pt>
                <c:pt idx="7">
                  <c:v>2024-08</c:v>
                </c:pt>
                <c:pt idx="8">
                  <c:v>2024-09</c:v>
                </c:pt>
                <c:pt idx="9">
                  <c:v>2024-10</c:v>
                </c:pt>
                <c:pt idx="10">
                  <c:v>2024-11</c:v>
                </c:pt>
                <c:pt idx="11">
                  <c:v>2024-12</c:v>
                </c:pt>
                <c:pt idx="12">
                  <c:v>2025-01</c:v>
                </c:pt>
                <c:pt idx="13">
                  <c:v>2025-02</c:v>
                </c:pt>
              </c:strCache>
            </c:strRef>
          </c:cat>
          <c:val>
            <c:numRef>
              <c:f>Foglio1!$C$4:$C$17</c:f>
              <c:numCache>
                <c:formatCode>General</c:formatCode>
                <c:ptCount val="14"/>
                <c:pt idx="0">
                  <c:v>326</c:v>
                </c:pt>
                <c:pt idx="1">
                  <c:v>455</c:v>
                </c:pt>
                <c:pt idx="2">
                  <c:v>1405</c:v>
                </c:pt>
                <c:pt idx="3">
                  <c:v>345</c:v>
                </c:pt>
                <c:pt idx="4">
                  <c:v>428</c:v>
                </c:pt>
                <c:pt idx="5">
                  <c:v>1262</c:v>
                </c:pt>
                <c:pt idx="6">
                  <c:v>613</c:v>
                </c:pt>
                <c:pt idx="7">
                  <c:v>188</c:v>
                </c:pt>
                <c:pt idx="8">
                  <c:v>218</c:v>
                </c:pt>
                <c:pt idx="9">
                  <c:v>365</c:v>
                </c:pt>
                <c:pt idx="10">
                  <c:v>332</c:v>
                </c:pt>
                <c:pt idx="11">
                  <c:v>258</c:v>
                </c:pt>
                <c:pt idx="12">
                  <c:v>292</c:v>
                </c:pt>
                <c:pt idx="13">
                  <c:v>59</c:v>
                </c:pt>
              </c:numCache>
            </c:numRef>
          </c:val>
          <c:extLst>
            <c:ext xmlns:c16="http://schemas.microsoft.com/office/drawing/2014/chart" uri="{C3380CC4-5D6E-409C-BE32-E72D297353CC}">
              <c16:uniqueId val="{00000000-9CA9-4A07-8323-1F8711118559}"/>
            </c:ext>
          </c:extLst>
        </c:ser>
        <c:dLbls>
          <c:showLegendKey val="0"/>
          <c:showVal val="0"/>
          <c:showCatName val="0"/>
          <c:showSerName val="0"/>
          <c:showPercent val="0"/>
          <c:showBubbleSize val="0"/>
        </c:dLbls>
        <c:gapWidth val="219"/>
        <c:overlap val="-27"/>
        <c:axId val="652412912"/>
        <c:axId val="652420128"/>
      </c:barChart>
      <c:catAx>
        <c:axId val="6524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it-IT"/>
          </a:p>
        </c:txPr>
        <c:crossAx val="652420128"/>
        <c:crosses val="autoZero"/>
        <c:auto val="1"/>
        <c:lblAlgn val="ctr"/>
        <c:lblOffset val="100"/>
        <c:noMultiLvlLbl val="0"/>
      </c:catAx>
      <c:valAx>
        <c:axId val="65242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it-IT"/>
          </a:p>
        </c:txPr>
        <c:crossAx val="652412912"/>
        <c:crosses val="autoZero"/>
        <c:crossBetween val="between"/>
      </c:valAx>
      <c:spPr>
        <a:noFill/>
        <a:ln>
          <a:noFill/>
        </a:ln>
        <a:effectLst/>
      </c:spPr>
    </c:plotArea>
    <c:plotVisOnly val="1"/>
    <c:dispBlanksAs val="gap"/>
    <c:showDLblsOverMax val="0"/>
    <c:extLst>
      <c:ext uri="{0b15fc19-7d7d-44ad-8c2d-2c3a37ce22c3}">
        <chartProps xmlns="https://web.wps.cn/et/2018/main" chartId="{11834ba8-83bd-4aa6-8417-6951ddce5169}"/>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pivotSource>
    <c:name>[Cartel1.xlsx]Foglio5!Tabella pivot3</c:name>
    <c:fmtId val="-1"/>
  </c:pivotSource>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Average execution time (minutes)</a:t>
            </a:r>
          </a:p>
        </c:rich>
      </c:tx>
      <c:layout/>
      <c:overlay val="0"/>
      <c:spPr>
        <a:noFill/>
        <a:ln>
          <a:noFill/>
        </a:ln>
        <a:effectLst/>
      </c:spPr>
      <c:txPr>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Foglio5!$B$3</c:f>
              <c:strCache>
                <c:ptCount val="1"/>
                <c:pt idx="0">
                  <c:v>Totale</c:v>
                </c:pt>
              </c:strCache>
            </c:strRef>
          </c:tx>
          <c:spPr>
            <a:solidFill>
              <a:schemeClr val="accent1"/>
            </a:solidFill>
            <a:ln>
              <a:noFill/>
            </a:ln>
            <a:effectLst/>
          </c:spPr>
          <c:invertIfNegative val="0"/>
          <c:cat>
            <c:multiLvlStrRef>
              <c:f>Foglio5!$A$4:$A$20</c:f>
              <c:multiLvlStrCache>
                <c:ptCount val="14"/>
                <c:lvl>
                  <c:pt idx="0">
                    <c:v>gen</c:v>
                  </c:pt>
                  <c:pt idx="1">
                    <c:v>feb</c:v>
                  </c:pt>
                  <c:pt idx="2">
                    <c:v>mar</c:v>
                  </c:pt>
                  <c:pt idx="3">
                    <c:v>apr</c:v>
                  </c:pt>
                  <c:pt idx="4">
                    <c:v>mag</c:v>
                  </c:pt>
                  <c:pt idx="5">
                    <c:v>giu</c:v>
                  </c:pt>
                  <c:pt idx="6">
                    <c:v>lug</c:v>
                  </c:pt>
                  <c:pt idx="7">
                    <c:v>ago</c:v>
                  </c:pt>
                  <c:pt idx="8">
                    <c:v>set</c:v>
                  </c:pt>
                  <c:pt idx="9">
                    <c:v>ott</c:v>
                  </c:pt>
                  <c:pt idx="10">
                    <c:v>nov</c:v>
                  </c:pt>
                  <c:pt idx="11">
                    <c:v>dic</c:v>
                  </c:pt>
                  <c:pt idx="12">
                    <c:v>gen</c:v>
                  </c:pt>
                  <c:pt idx="13">
                    <c:v>feb</c:v>
                  </c:pt>
                </c:lvl>
                <c:lvl>
                  <c:pt idx="0">
                    <c:v>2024</c:v>
                  </c:pt>
                  <c:pt idx="12">
                    <c:v>2025</c:v>
                  </c:pt>
                </c:lvl>
              </c:multiLvlStrCache>
            </c:multiLvlStrRef>
          </c:cat>
          <c:val>
            <c:numRef>
              <c:f>Foglio5!$B$4:$B$20</c:f>
              <c:numCache>
                <c:formatCode>General</c:formatCode>
                <c:ptCount val="14"/>
                <c:pt idx="0">
                  <c:v>37.311111111111103</c:v>
                </c:pt>
                <c:pt idx="1">
                  <c:v>45.826086956521699</c:v>
                </c:pt>
                <c:pt idx="2">
                  <c:v>43.589580686149901</c:v>
                </c:pt>
                <c:pt idx="3">
                  <c:v>42.807174887892401</c:v>
                </c:pt>
                <c:pt idx="4">
                  <c:v>45.211038961039002</c:v>
                </c:pt>
                <c:pt idx="5">
                  <c:v>46.376792698826598</c:v>
                </c:pt>
                <c:pt idx="6">
                  <c:v>42.717073170731702</c:v>
                </c:pt>
                <c:pt idx="7">
                  <c:v>49.735294117647101</c:v>
                </c:pt>
                <c:pt idx="8">
                  <c:v>47.0979020979021</c:v>
                </c:pt>
                <c:pt idx="9">
                  <c:v>46.579166666666701</c:v>
                </c:pt>
                <c:pt idx="10">
                  <c:v>39.0052083333333</c:v>
                </c:pt>
                <c:pt idx="11">
                  <c:v>40.608938547485998</c:v>
                </c:pt>
                <c:pt idx="12">
                  <c:v>39.134615384615401</c:v>
                </c:pt>
                <c:pt idx="13">
                  <c:v>35.417910447761201</c:v>
                </c:pt>
              </c:numCache>
            </c:numRef>
          </c:val>
          <c:extLst>
            <c:ext xmlns:c16="http://schemas.microsoft.com/office/drawing/2014/chart" uri="{C3380CC4-5D6E-409C-BE32-E72D297353CC}">
              <c16:uniqueId val="{00000000-994E-4486-AFC1-0689E4160081}"/>
            </c:ext>
          </c:extLst>
        </c:ser>
        <c:dLbls>
          <c:showLegendKey val="0"/>
          <c:showVal val="0"/>
          <c:showCatName val="0"/>
          <c:showSerName val="0"/>
          <c:showPercent val="0"/>
          <c:showBubbleSize val="0"/>
        </c:dLbls>
        <c:gapWidth val="219"/>
        <c:overlap val="-27"/>
        <c:axId val="688970384"/>
        <c:axId val="688968744"/>
      </c:barChart>
      <c:catAx>
        <c:axId val="68897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it-IT"/>
          </a:p>
        </c:txPr>
        <c:crossAx val="688968744"/>
        <c:crosses val="autoZero"/>
        <c:auto val="1"/>
        <c:lblAlgn val="ctr"/>
        <c:lblOffset val="100"/>
        <c:noMultiLvlLbl val="0"/>
      </c:catAx>
      <c:valAx>
        <c:axId val="688968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it-IT"/>
          </a:p>
        </c:txPr>
        <c:crossAx val="688970384"/>
        <c:crosses val="autoZero"/>
        <c:crossBetween val="between"/>
      </c:valAx>
      <c:spPr>
        <a:noFill/>
        <a:ln>
          <a:noFill/>
        </a:ln>
        <a:effectLst/>
      </c:spPr>
    </c:plotArea>
    <c:plotVisOnly val="1"/>
    <c:dispBlanksAs val="gap"/>
    <c:showDLblsOverMax val="0"/>
    <c:extLst>
      <c:ext uri="{0b15fc19-7d7d-44ad-8c2d-2c3a37ce22c3}">
        <chartProps xmlns="https://web.wps.cn/et/2018/main" chartId="{96dee90b-739a-4653-90f1-cd07a4648edb}"/>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it-IT"/>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127126135435901"/>
          <c:y val="4.3503662842980302E-2"/>
        </c:manualLayout>
      </c:layout>
      <c:overlay val="0"/>
      <c:spPr>
        <a:noFill/>
        <a:ln>
          <a:noFill/>
        </a:ln>
        <a:effectLst/>
      </c:spPr>
      <c:txPr>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Foglio1!$H$8</c:f>
              <c:strCache>
                <c:ptCount val="1"/>
                <c:pt idx="0">
                  <c:v>Near Miss</c:v>
                </c:pt>
              </c:strCache>
            </c:strRef>
          </c:tx>
          <c:spPr>
            <a:solidFill>
              <a:schemeClr val="accent1"/>
            </a:solidFill>
            <a:ln>
              <a:noFill/>
            </a:ln>
            <a:effectLst/>
          </c:spPr>
          <c:invertIfNegative val="0"/>
          <c:cat>
            <c:numRef>
              <c:f>Foglio1!$G$9:$G$10</c:f>
              <c:numCache>
                <c:formatCode>General</c:formatCode>
                <c:ptCount val="2"/>
                <c:pt idx="0">
                  <c:v>2023</c:v>
                </c:pt>
                <c:pt idx="1">
                  <c:v>2024</c:v>
                </c:pt>
              </c:numCache>
            </c:numRef>
          </c:cat>
          <c:val>
            <c:numRef>
              <c:f>Foglio1!$H$9:$H$10</c:f>
              <c:numCache>
                <c:formatCode>General</c:formatCode>
                <c:ptCount val="2"/>
                <c:pt idx="0">
                  <c:v>37</c:v>
                </c:pt>
                <c:pt idx="1">
                  <c:v>60</c:v>
                </c:pt>
              </c:numCache>
            </c:numRef>
          </c:val>
          <c:extLst>
            <c:ext xmlns:c16="http://schemas.microsoft.com/office/drawing/2014/chart" uri="{C3380CC4-5D6E-409C-BE32-E72D297353CC}">
              <c16:uniqueId val="{00000000-6EA6-4519-912F-5931852F209A}"/>
            </c:ext>
          </c:extLst>
        </c:ser>
        <c:dLbls>
          <c:showLegendKey val="0"/>
          <c:showVal val="0"/>
          <c:showCatName val="0"/>
          <c:showSerName val="0"/>
          <c:showPercent val="0"/>
          <c:showBubbleSize val="0"/>
        </c:dLbls>
        <c:gapWidth val="219"/>
        <c:overlap val="-27"/>
        <c:axId val="837481400"/>
        <c:axId val="837489272"/>
      </c:barChart>
      <c:catAx>
        <c:axId val="83748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it-IT"/>
          </a:p>
        </c:txPr>
        <c:crossAx val="837489272"/>
        <c:crosses val="autoZero"/>
        <c:auto val="1"/>
        <c:lblAlgn val="ctr"/>
        <c:lblOffset val="100"/>
        <c:noMultiLvlLbl val="0"/>
      </c:catAx>
      <c:valAx>
        <c:axId val="837489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it-IT"/>
          </a:p>
        </c:txPr>
        <c:crossAx val="837481400"/>
        <c:crosses val="autoZero"/>
        <c:crossBetween val="between"/>
      </c:valAx>
      <c:spPr>
        <a:noFill/>
        <a:ln>
          <a:noFill/>
        </a:ln>
        <a:effectLst/>
      </c:spPr>
    </c:plotArea>
    <c:plotVisOnly val="1"/>
    <c:dispBlanksAs val="gap"/>
    <c:showDLblsOverMax val="0"/>
    <c:extLst>
      <c:ext uri="{0b15fc19-7d7d-44ad-8c2d-2c3a37ce22c3}">
        <chartProps xmlns="https://web.wps.cn/et/2018/main" chartId="{a957f5f5-2399-49b1-84c3-5db243572539}"/>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4E0C6-BBCE-4349-A104-428A37C9B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6</Pages>
  <Words>1510</Words>
  <Characters>8612</Characters>
  <Application>Microsoft Office Word</Application>
  <DocSecurity>0</DocSecurity>
  <Lines>71</Lines>
  <Paragraphs>20</Paragraphs>
  <ScaleCrop>false</ScaleCrop>
  <Company>Dipartimento CMIC - Politecnico di Milano</Company>
  <LinksUpToDate>false</LinksUpToDate>
  <CharactersWithSpaces>10102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RAM</cp:lastModifiedBy>
  <cp:revision>22</cp:revision>
  <cp:lastPrinted>2025-05-12T14:38:00Z</cp:lastPrinted>
  <dcterms:created xsi:type="dcterms:W3CDTF">2025-05-06T13:35:00Z</dcterms:created>
  <dcterms:modified xsi:type="dcterms:W3CDTF">2025-05-20T06:48:00Z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KSOProductBuildVer">
    <vt:lpwstr>2057-12.2.0.20796</vt:lpwstr>
  </property>
  <property fmtid="{D5CDD505-2E9C-101B-9397-08002B2CF9AE}" pid="5" name="ICV">
    <vt:lpwstr>6B668B9ECC9842FE93C0AD2F648E5485_12</vt:lpwstr>
  </property>
</Properties>
</file>