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B076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B076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B0763">
        <w:trPr>
          <w:trHeight w:val="68"/>
          <w:jc w:val="center"/>
        </w:trPr>
        <w:tc>
          <w:tcPr>
            <w:tcW w:w="8782" w:type="dxa"/>
            <w:gridSpan w:val="2"/>
          </w:tcPr>
          <w:p w14:paraId="1D8DD3C9" w14:textId="0F721BB9" w:rsidR="00AA7D26" w:rsidRPr="008832AA" w:rsidRDefault="00AA7D26" w:rsidP="008832AA">
            <w:pPr>
              <w:ind w:left="-107"/>
              <w:outlineLvl w:val="2"/>
              <w:rPr>
                <w:rFonts w:ascii="Aptos" w:eastAsiaTheme="minorHAnsi" w:hAnsi="Aptos" w:cs="Aptos"/>
                <w:sz w:val="22"/>
                <w:szCs w:val="22"/>
                <w:lang w:val="it-IT"/>
                <w14:ligatures w14:val="standardContextual"/>
              </w:rPr>
            </w:pPr>
            <w:r w:rsidRPr="007D610D">
              <w:rPr>
                <w:rFonts w:ascii="Tahoma" w:hAnsi="Tahoma" w:cs="Tahoma"/>
                <w:iCs/>
                <w:color w:val="333333"/>
                <w:sz w:val="14"/>
                <w:szCs w:val="14"/>
                <w:lang w:val="it-IT" w:eastAsia="it-IT"/>
              </w:rPr>
              <w:t>Guest Editors:</w:t>
            </w:r>
            <w:r w:rsidR="008832AA" w:rsidRPr="008832AA">
              <w:rPr>
                <w:rFonts w:ascii="Aptos" w:eastAsiaTheme="minorHAnsi" w:hAnsi="Aptos" w:cs="Aptos"/>
                <w:sz w:val="22"/>
                <w:szCs w:val="22"/>
                <w:lang w:val="it-IT"/>
              </w:rPr>
              <w:t xml:space="preserve"> </w:t>
            </w:r>
            <w:r w:rsidR="008832AA" w:rsidRPr="008832AA">
              <w:rPr>
                <w:rFonts w:ascii="Tahoma" w:eastAsiaTheme="minorHAnsi" w:hAnsi="Tahoma" w:cs="Tahoma"/>
                <w:sz w:val="14"/>
                <w:szCs w:val="14"/>
                <w:lang w:val="it-IT"/>
                <w14:ligatures w14:val="standardContextual"/>
              </w:rPr>
              <w:t>David Bogle, Flavio Manenti, Piero Salatino</w:t>
            </w:r>
          </w:p>
          <w:p w14:paraId="1B0F1814" w14:textId="39433521"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w:t>
            </w:r>
            <w:r w:rsidR="003904D3">
              <w:rPr>
                <w:rFonts w:ascii="Tahoma" w:hAnsi="Tahoma" w:cs="Tahoma"/>
                <w:sz w:val="14"/>
                <w:szCs w:val="14"/>
              </w:rPr>
              <w:t>21</w:t>
            </w:r>
            <w:r w:rsidR="003B49CD" w:rsidRPr="003904D3">
              <w:rPr>
                <w:rFonts w:ascii="Tahoma" w:hAnsi="Tahoma" w:cs="Tahoma"/>
                <w:sz w:val="14"/>
                <w:szCs w:val="14"/>
              </w:rPr>
              <w:t>-</w:t>
            </w:r>
            <w:r w:rsidR="003904D3">
              <w:rPr>
                <w:rFonts w:ascii="Tahoma" w:hAnsi="Tahoma" w:cs="Tahoma"/>
                <w:sz w:val="14"/>
                <w:szCs w:val="14"/>
              </w:rPr>
              <w:t>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339D857" w:rsidR="00E978D0" w:rsidRPr="00B57B36" w:rsidRDefault="006B0763" w:rsidP="00E978D0">
      <w:pPr>
        <w:pStyle w:val="CETTitle"/>
      </w:pPr>
      <w:r w:rsidRPr="006B0763">
        <w:t xml:space="preserve">Semi-quantitative approach on </w:t>
      </w:r>
      <w:r w:rsidR="00CF5203">
        <w:t xml:space="preserve">AtEx risk assessment </w:t>
      </w:r>
      <w:r w:rsidRPr="006B0763">
        <w:t>for gaseous hydrogen releases</w:t>
      </w:r>
    </w:p>
    <w:p w14:paraId="3D72B0B0" w14:textId="12B2C525" w:rsidR="00B57E6F" w:rsidRPr="006B0763" w:rsidRDefault="006B0763" w:rsidP="006B0763">
      <w:pPr>
        <w:pStyle w:val="CETAuthors"/>
        <w:rPr>
          <w:lang w:val="it-IT"/>
        </w:rPr>
      </w:pPr>
      <w:r w:rsidRPr="006B0763">
        <w:rPr>
          <w:lang w:val="it-IT"/>
        </w:rPr>
        <w:t>Andrea Gritti</w:t>
      </w:r>
      <w:r w:rsidR="00B57E6F" w:rsidRPr="006B0763">
        <w:rPr>
          <w:lang w:val="it-IT"/>
        </w:rPr>
        <w:t>*,</w:t>
      </w:r>
      <w:r w:rsidRPr="006B0763">
        <w:rPr>
          <w:lang w:val="it-IT"/>
        </w:rPr>
        <w:t xml:space="preserve"> Leonardo Michele Carluccio, Aurora La</w:t>
      </w:r>
      <w:r w:rsidR="00E143B7">
        <w:rPr>
          <w:lang w:val="it-IT"/>
        </w:rPr>
        <w:t>f</w:t>
      </w:r>
      <w:r w:rsidRPr="006B0763">
        <w:rPr>
          <w:lang w:val="it-IT"/>
        </w:rPr>
        <w:t>iosca, Maria Elyas</w:t>
      </w:r>
      <w:r w:rsidR="00B57E6F" w:rsidRPr="006B0763">
        <w:rPr>
          <w:lang w:val="it-IT"/>
        </w:rPr>
        <w:t xml:space="preserve"> </w:t>
      </w:r>
    </w:p>
    <w:p w14:paraId="0674F76A" w14:textId="26A85BA3" w:rsidR="006B0763" w:rsidRPr="006B0763" w:rsidRDefault="006B0763" w:rsidP="006B0763">
      <w:pPr>
        <w:pStyle w:val="CETAddress"/>
        <w:rPr>
          <w:lang w:val="it-IT"/>
        </w:rPr>
      </w:pPr>
      <w:r w:rsidRPr="006B0763">
        <w:rPr>
          <w:lang w:val="it-IT"/>
        </w:rPr>
        <w:t>DEKRA Italia s.r.l., Process Safety Business Unit, Via Fratelli Gracchi 27, 20122 Cinisello Balsamo (MI)</w:t>
      </w:r>
    </w:p>
    <w:p w14:paraId="50443E67" w14:textId="10594A8E" w:rsidR="006B0763" w:rsidRPr="00B57B36" w:rsidRDefault="00980531" w:rsidP="006B0763">
      <w:pPr>
        <w:pStyle w:val="CETemail"/>
      </w:pPr>
      <w:r>
        <w:rPr>
          <w:lang w:val="en-US"/>
        </w:rPr>
        <w:t>a</w:t>
      </w:r>
      <w:r w:rsidR="006B0763" w:rsidRPr="006B0763">
        <w:rPr>
          <w:lang w:val="en-US"/>
        </w:rPr>
        <w:t>ndrea.gritti@</w:t>
      </w:r>
      <w:r w:rsidR="006B0763">
        <w:rPr>
          <w:lang w:val="en-US"/>
        </w:rPr>
        <w:t>dekra.com</w:t>
      </w:r>
    </w:p>
    <w:p w14:paraId="235EEAA4" w14:textId="7AA20B94" w:rsidR="006B0763" w:rsidRPr="006B0763" w:rsidRDefault="006B0763" w:rsidP="006B0763">
      <w:pPr>
        <w:pStyle w:val="CETBodytext"/>
        <w:rPr>
          <w:lang w:val="en-GB"/>
        </w:rPr>
      </w:pPr>
      <w:r w:rsidRPr="006B0763">
        <w:rPr>
          <w:lang w:val="en-GB"/>
        </w:rPr>
        <w:t>This paper presents a semi-quantitative approach for evaluating explosion risks in environments where hydrogen gas is present, utilizing a risk matrix as a decision-making tool. This semi-quantitative methodology enables a balanced, evidence-based evaluation of explosion risks, facilitating risk reduction strategies and ensuring compliance with A</w:t>
      </w:r>
      <w:r w:rsidR="00A330BF">
        <w:rPr>
          <w:lang w:val="en-GB"/>
        </w:rPr>
        <w:t>t</w:t>
      </w:r>
      <w:r w:rsidRPr="006B0763">
        <w:rPr>
          <w:lang w:val="en-GB"/>
        </w:rPr>
        <w:t>E</w:t>
      </w:r>
      <w:r w:rsidR="00A330BF">
        <w:rPr>
          <w:lang w:val="en-GB"/>
        </w:rPr>
        <w:t>x</w:t>
      </w:r>
      <w:r w:rsidRPr="006B0763">
        <w:rPr>
          <w:lang w:val="en-GB"/>
        </w:rPr>
        <w:t xml:space="preserve"> regulations</w:t>
      </w:r>
      <w:r w:rsidR="00A330BF">
        <w:rPr>
          <w:lang w:val="en-GB"/>
        </w:rPr>
        <w:t>.</w:t>
      </w:r>
    </w:p>
    <w:p w14:paraId="0B5C5DF7" w14:textId="1195D39D" w:rsidR="006B0763" w:rsidRPr="006B0763" w:rsidRDefault="006B0763" w:rsidP="006B0763">
      <w:pPr>
        <w:pStyle w:val="CETBodytext"/>
        <w:rPr>
          <w:lang w:val="en-GB"/>
        </w:rPr>
      </w:pPr>
      <w:r w:rsidRPr="006B0763">
        <w:rPr>
          <w:lang w:val="en-GB"/>
        </w:rPr>
        <w:t>The case study proposed in this article assesses the risks associated with hydrogen gas generation during the charging of lead-acid batteries. The selection of lead-acid batteries as a case study is due to their continued widespread use in process industries, particularly in powering electric vehicles such as forklifts, UPS systems, and emergency lighting. This choice also reflects their significant role in environments where potential hazards, such as the generation of hydrogen during charging, require careful consideration in terms of safety regulations and risk management.</w:t>
      </w:r>
    </w:p>
    <w:p w14:paraId="718D82AD" w14:textId="48A8B2E8" w:rsidR="006B0763" w:rsidRPr="006B0763" w:rsidRDefault="006B0763" w:rsidP="006B0763">
      <w:pPr>
        <w:pStyle w:val="CETBodytext"/>
        <w:rPr>
          <w:lang w:val="en-GB"/>
        </w:rPr>
      </w:pPr>
      <w:r w:rsidRPr="006B0763">
        <w:rPr>
          <w:lang w:val="en-GB"/>
        </w:rPr>
        <w:t>During battery charging, hydrogen is produced as a byproduct of electrolysis, creating a potentially explosive atmosphere in confined or poorly ventilated areas. Given hydrogen's low ignition energy, wide flammability range, and rapid diffusion, even small concentrations pose significant safety risks in A</w:t>
      </w:r>
      <w:r w:rsidR="00A330BF">
        <w:rPr>
          <w:lang w:val="en-GB"/>
        </w:rPr>
        <w:t>t</w:t>
      </w:r>
      <w:r w:rsidRPr="006B0763">
        <w:rPr>
          <w:lang w:val="en-GB"/>
        </w:rPr>
        <w:t>E</w:t>
      </w:r>
      <w:r w:rsidR="00A330BF">
        <w:rPr>
          <w:lang w:val="en-GB"/>
        </w:rPr>
        <w:t>x</w:t>
      </w:r>
      <w:r w:rsidRPr="006B0763">
        <w:rPr>
          <w:lang w:val="en-GB"/>
        </w:rPr>
        <w:t>-classified zones.</w:t>
      </w:r>
    </w:p>
    <w:p w14:paraId="6893AF25" w14:textId="466FF0DB" w:rsidR="006B0763" w:rsidRDefault="006B0763" w:rsidP="006B0763">
      <w:pPr>
        <w:pStyle w:val="CETBodytext"/>
      </w:pPr>
      <w:r w:rsidRPr="006B0763">
        <w:rPr>
          <w:lang w:val="en-GB"/>
        </w:rPr>
        <w:t>The method currently being employed is still in the developmental phase, and as a result, its limitations will be carefully identified and discussed. However, addressing these weaknesses will be essential for ensuring that the method evolves into a robust tool. This will allow the structured, semi-quantitative approach for A</w:t>
      </w:r>
      <w:r w:rsidR="00A330BF">
        <w:rPr>
          <w:lang w:val="en-GB"/>
        </w:rPr>
        <w:t>t</w:t>
      </w:r>
      <w:r w:rsidRPr="006B0763">
        <w:rPr>
          <w:lang w:val="en-GB"/>
        </w:rPr>
        <w:t>E</w:t>
      </w:r>
      <w:r w:rsidR="00A330BF">
        <w:rPr>
          <w:lang w:val="en-GB"/>
        </w:rPr>
        <w:t>x</w:t>
      </w:r>
      <w:r w:rsidRPr="006B0763">
        <w:rPr>
          <w:lang w:val="en-GB"/>
        </w:rPr>
        <w:t xml:space="preserve"> </w:t>
      </w:r>
      <w:r w:rsidR="00CF5203">
        <w:rPr>
          <w:lang w:val="en-GB"/>
        </w:rPr>
        <w:t xml:space="preserve">risk </w:t>
      </w:r>
      <w:r w:rsidRPr="006B0763">
        <w:rPr>
          <w:lang w:val="en-GB"/>
        </w:rPr>
        <w:t>assessments concerning hydrogen hazards to be applied on a broader scale across a wider range of industries, further supporting the safe integration of hydrogen technologies in various sectors.</w:t>
      </w:r>
      <w:bookmarkStart w:id="1" w:name="_Hlk495475023"/>
    </w:p>
    <w:bookmarkEnd w:id="1"/>
    <w:p w14:paraId="476B2F2E" w14:textId="52B36035" w:rsidR="00600535" w:rsidRPr="00B57B36" w:rsidRDefault="00600535" w:rsidP="00600535">
      <w:pPr>
        <w:pStyle w:val="CETHeading1"/>
        <w:rPr>
          <w:lang w:val="en-GB"/>
        </w:rPr>
      </w:pPr>
      <w:r w:rsidRPr="00B57B36">
        <w:rPr>
          <w:lang w:val="en-GB"/>
        </w:rPr>
        <w:t>Introduction</w:t>
      </w:r>
    </w:p>
    <w:p w14:paraId="75D1FCFE" w14:textId="729E7E4F" w:rsidR="00D00D2A" w:rsidRPr="00207704" w:rsidRDefault="00D00D2A" w:rsidP="00D00D2A">
      <w:pPr>
        <w:pStyle w:val="ListParagraph"/>
        <w:ind w:left="0"/>
        <w:rPr>
          <w:lang w:val="en-US"/>
        </w:rPr>
      </w:pPr>
      <w:r w:rsidRPr="00207704">
        <w:rPr>
          <w:lang w:val="en-US"/>
        </w:rPr>
        <w:t>Hydrogen is emerging as a critical energy carrier capable of storing, transporting, and delivering energy from various sources. Despite hydrogen's carbon-free nature upon production, its diverse production pathways lead to varying environmental impacts, including greenhouse gas emissions. Hydrogen's unique properties, such as low ignition energy and wide flammability range, present significant safety challenges, particularly in industrial settings. Hydrogen holds potential as a versatile and clean energy carrier; however, its production methods and physical properties pose significant challenges related to safety. Understanding the risks associated with hydrogen</w:t>
      </w:r>
      <w:r w:rsidR="00207704" w:rsidRPr="00207704">
        <w:rPr>
          <w:lang w:val="en-US"/>
        </w:rPr>
        <w:t xml:space="preserve"> </w:t>
      </w:r>
      <w:r w:rsidRPr="00207704">
        <w:rPr>
          <w:lang w:val="en-US"/>
        </w:rPr>
        <w:t>is essential for developing comprehensive safety measures. Effective management of hydrogen in industrial settings requires careful consideration of its unique characteristics to prevent hazardous situations and ensure safe usage.</w:t>
      </w:r>
    </w:p>
    <w:p w14:paraId="61A9B77A" w14:textId="29C85F45" w:rsidR="00600535" w:rsidRPr="00207704" w:rsidRDefault="00D00D2A" w:rsidP="00FA5F5F">
      <w:pPr>
        <w:pStyle w:val="CETheadingx"/>
      </w:pPr>
      <w:r w:rsidRPr="00207704">
        <w:t>Ignition Energy and Flammability Range</w:t>
      </w:r>
    </w:p>
    <w:p w14:paraId="3B1A2B91" w14:textId="4560836D" w:rsidR="00D00D2A" w:rsidRPr="00D00D2A" w:rsidRDefault="00D00D2A" w:rsidP="00D00D2A">
      <w:pPr>
        <w:pStyle w:val="ListParagraph"/>
        <w:ind w:left="0"/>
        <w:rPr>
          <w:lang w:val="en-US"/>
        </w:rPr>
      </w:pPr>
      <w:r w:rsidRPr="00207704">
        <w:rPr>
          <w:lang w:val="en-US"/>
        </w:rPr>
        <w:t>Hydrogen, low ignition energy, typically ranging from 0.02 to 0.06 mJ (H2Tools.org, 2024), makes it highly sensitive to ignition sources, such as small sparks, heat, or static electricity. Such a low ignition threshold, combined with hydrogen's broad flammability range (from 4% to 75% in air), significantly increases</w:t>
      </w:r>
      <w:r w:rsidRPr="00D00D2A">
        <w:rPr>
          <w:lang w:val="en-US"/>
        </w:rPr>
        <w:t xml:space="preserve"> the risks of fire and explosion.</w:t>
      </w:r>
      <w:r w:rsidRPr="00455F8C">
        <w:t xml:space="preserve"> </w:t>
      </w:r>
      <w:r w:rsidRPr="00464DD3">
        <w:t>Hydrogen holds the highest rating of 4 on the NFPA 704 flammability scale (NFPA 704)</w:t>
      </w:r>
      <w:r w:rsidRPr="00D00D2A">
        <w:rPr>
          <w:lang w:val="en-US"/>
        </w:rPr>
        <w:t>. This sensitivity to ignition is further compounded in confined or poorly ventilated spaces, where the risk of ignition from minimal energy inputs is elevated.</w:t>
      </w:r>
    </w:p>
    <w:p w14:paraId="76063C81" w14:textId="10DC6673" w:rsidR="00D00D2A" w:rsidRPr="0035062E" w:rsidRDefault="00D00D2A" w:rsidP="00D00D2A">
      <w:pPr>
        <w:pStyle w:val="CETTabletitle"/>
        <w:jc w:val="both"/>
      </w:pPr>
      <w:bookmarkStart w:id="2" w:name="_Ref158734976"/>
      <w:r w:rsidRPr="0035062E">
        <w:lastRenderedPageBreak/>
        <w:t xml:space="preserve">Table </w:t>
      </w:r>
      <w:r w:rsidRPr="0035062E">
        <w:fldChar w:fldCharType="begin"/>
      </w:r>
      <w:r w:rsidRPr="0035062E">
        <w:instrText xml:space="preserve"> SEQ Table \* ARABIC </w:instrText>
      </w:r>
      <w:r w:rsidRPr="0035062E">
        <w:fldChar w:fldCharType="separate"/>
      </w:r>
      <w:r w:rsidR="00892940">
        <w:rPr>
          <w:noProof/>
        </w:rPr>
        <w:t>1</w:t>
      </w:r>
      <w:r w:rsidRPr="0035062E">
        <w:fldChar w:fldCharType="end"/>
      </w:r>
      <w:bookmarkEnd w:id="2"/>
      <w:r w:rsidRPr="0035062E">
        <w:t>: Ignition and combustion properties for air mixtures at 25 °C and 101</w:t>
      </w:r>
      <w:r>
        <w:t>.</w:t>
      </w:r>
      <w:r w:rsidRPr="0035062E">
        <w:t xml:space="preserve">3 kPa for Hydrogen </w:t>
      </w:r>
      <w:r>
        <w:t>compared to other common fuel</w:t>
      </w:r>
      <w:r w:rsidRPr="0035062E">
        <w:t xml:space="preserve"> </w:t>
      </w:r>
      <w:r>
        <w:t>(</w:t>
      </w:r>
      <w:r w:rsidRPr="0035062E">
        <w:t>ISO/TR 15916:2015</w:t>
      </w:r>
      <w: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126"/>
        <w:gridCol w:w="2125"/>
        <w:gridCol w:w="1561"/>
        <w:gridCol w:w="1415"/>
      </w:tblGrid>
      <w:tr w:rsidR="00D00D2A" w:rsidRPr="00455F8C" w14:paraId="6ED91168" w14:textId="77777777" w:rsidTr="00E255C9">
        <w:tc>
          <w:tcPr>
            <w:tcW w:w="888" w:type="pct"/>
            <w:tcBorders>
              <w:top w:val="single" w:sz="12" w:space="0" w:color="008000"/>
              <w:bottom w:val="single" w:sz="6" w:space="0" w:color="008000"/>
            </w:tcBorders>
            <w:shd w:val="clear" w:color="auto" w:fill="FFFFFF"/>
          </w:tcPr>
          <w:p w14:paraId="684C111B" w14:textId="77777777" w:rsidR="00D00D2A" w:rsidRPr="0035062E" w:rsidRDefault="00D00D2A" w:rsidP="00E255C9">
            <w:pPr>
              <w:pStyle w:val="CETBodytext"/>
              <w:jc w:val="left"/>
              <w:rPr>
                <w:lang w:val="en-GB"/>
              </w:rPr>
            </w:pPr>
            <w:r w:rsidRPr="0035062E">
              <w:rPr>
                <w:lang w:val="en-GB"/>
              </w:rPr>
              <w:t>Fuel</w:t>
            </w:r>
          </w:p>
        </w:tc>
        <w:tc>
          <w:tcPr>
            <w:tcW w:w="1210" w:type="pct"/>
            <w:tcBorders>
              <w:top w:val="single" w:sz="12" w:space="0" w:color="008000"/>
              <w:bottom w:val="single" w:sz="6" w:space="0" w:color="008000"/>
            </w:tcBorders>
            <w:shd w:val="clear" w:color="auto" w:fill="FFFFFF"/>
            <w:vAlign w:val="center"/>
          </w:tcPr>
          <w:p w14:paraId="4939168B" w14:textId="77777777" w:rsidR="00D00D2A" w:rsidRPr="0035062E" w:rsidRDefault="00D00D2A" w:rsidP="00E255C9">
            <w:pPr>
              <w:pStyle w:val="CETBodytext"/>
              <w:jc w:val="left"/>
              <w:rPr>
                <w:lang w:val="en-GB"/>
              </w:rPr>
            </w:pPr>
            <w:r w:rsidRPr="0035062E">
              <w:rPr>
                <w:lang w:val="en-GB"/>
              </w:rPr>
              <w:t>Lower flammability limit (% vol. fraction)</w:t>
            </w:r>
          </w:p>
        </w:tc>
        <w:tc>
          <w:tcPr>
            <w:tcW w:w="1209" w:type="pct"/>
            <w:tcBorders>
              <w:top w:val="single" w:sz="12" w:space="0" w:color="008000"/>
              <w:bottom w:val="single" w:sz="6" w:space="0" w:color="008000"/>
            </w:tcBorders>
            <w:shd w:val="clear" w:color="auto" w:fill="FFFFFF"/>
            <w:vAlign w:val="center"/>
          </w:tcPr>
          <w:p w14:paraId="2E22B541" w14:textId="77777777" w:rsidR="00D00D2A" w:rsidRPr="0035062E" w:rsidRDefault="00D00D2A" w:rsidP="00E255C9">
            <w:pPr>
              <w:pStyle w:val="CETBodytext"/>
              <w:jc w:val="left"/>
              <w:rPr>
                <w:lang w:val="en-GB"/>
              </w:rPr>
            </w:pPr>
            <w:r w:rsidRPr="0035062E">
              <w:rPr>
                <w:lang w:val="en-GB"/>
              </w:rPr>
              <w:t>Upper flammability limit</w:t>
            </w:r>
            <w:r w:rsidRPr="0035062E">
              <w:rPr>
                <w:lang w:val="en-GB"/>
              </w:rPr>
              <w:br/>
              <w:t>(% vol. fraction)</w:t>
            </w:r>
          </w:p>
        </w:tc>
        <w:tc>
          <w:tcPr>
            <w:tcW w:w="888" w:type="pct"/>
            <w:tcBorders>
              <w:top w:val="single" w:sz="12" w:space="0" w:color="008000"/>
              <w:bottom w:val="single" w:sz="6" w:space="0" w:color="008000"/>
            </w:tcBorders>
            <w:shd w:val="clear" w:color="auto" w:fill="FFFFFF"/>
            <w:vAlign w:val="center"/>
          </w:tcPr>
          <w:p w14:paraId="04904187" w14:textId="77777777" w:rsidR="00D00D2A" w:rsidRPr="0035062E" w:rsidRDefault="00D00D2A" w:rsidP="00E255C9">
            <w:pPr>
              <w:pStyle w:val="CETBodytext"/>
              <w:ind w:right="-1"/>
              <w:jc w:val="left"/>
              <w:rPr>
                <w:rFonts w:cs="Arial"/>
                <w:szCs w:val="18"/>
                <w:lang w:val="en-GB"/>
              </w:rPr>
            </w:pPr>
            <w:r w:rsidRPr="0035062E">
              <w:rPr>
                <w:lang w:val="en-GB"/>
              </w:rPr>
              <w:t>Minimum ignition energy (mJ)</w:t>
            </w:r>
          </w:p>
        </w:tc>
        <w:tc>
          <w:tcPr>
            <w:tcW w:w="805" w:type="pct"/>
            <w:tcBorders>
              <w:top w:val="single" w:sz="12" w:space="0" w:color="008000"/>
              <w:bottom w:val="single" w:sz="6" w:space="0" w:color="008000"/>
            </w:tcBorders>
            <w:shd w:val="clear" w:color="auto" w:fill="FFFFFF"/>
            <w:vAlign w:val="center"/>
          </w:tcPr>
          <w:p w14:paraId="2D2E9363" w14:textId="77777777" w:rsidR="00D00D2A" w:rsidRPr="0035062E" w:rsidRDefault="00D00D2A" w:rsidP="00E255C9">
            <w:pPr>
              <w:pStyle w:val="CETBodytext"/>
              <w:ind w:right="-1"/>
              <w:jc w:val="left"/>
              <w:rPr>
                <w:lang w:val="en-GB"/>
              </w:rPr>
            </w:pPr>
            <w:r w:rsidRPr="0035062E">
              <w:rPr>
                <w:lang w:val="en-GB"/>
              </w:rPr>
              <w:t>Laminar burning velocity (m/s)</w:t>
            </w:r>
          </w:p>
        </w:tc>
      </w:tr>
      <w:tr w:rsidR="00D00D2A" w:rsidRPr="0035062E" w14:paraId="51FF45FB" w14:textId="77777777" w:rsidTr="00E255C9">
        <w:tc>
          <w:tcPr>
            <w:tcW w:w="888" w:type="pct"/>
            <w:shd w:val="clear" w:color="auto" w:fill="FFFFFF"/>
          </w:tcPr>
          <w:p w14:paraId="187DB7D2" w14:textId="77777777" w:rsidR="00D00D2A" w:rsidRPr="0035062E" w:rsidRDefault="00D00D2A" w:rsidP="00E255C9">
            <w:pPr>
              <w:pStyle w:val="CETBodytext"/>
              <w:jc w:val="left"/>
              <w:rPr>
                <w:vertAlign w:val="subscript"/>
                <w:lang w:val="en-GB"/>
              </w:rPr>
            </w:pPr>
            <w:r w:rsidRPr="0035062E">
              <w:rPr>
                <w:lang w:val="en-GB"/>
              </w:rPr>
              <w:t>Hydrogen H</w:t>
            </w:r>
            <w:r w:rsidRPr="0035062E">
              <w:rPr>
                <w:vertAlign w:val="subscript"/>
                <w:lang w:val="en-GB"/>
              </w:rPr>
              <w:t>2</w:t>
            </w:r>
          </w:p>
        </w:tc>
        <w:tc>
          <w:tcPr>
            <w:tcW w:w="1210" w:type="pct"/>
            <w:shd w:val="clear" w:color="auto" w:fill="FFFFFF"/>
            <w:vAlign w:val="center"/>
          </w:tcPr>
          <w:p w14:paraId="2A01C2A4" w14:textId="77777777" w:rsidR="00D00D2A" w:rsidRPr="0035062E" w:rsidRDefault="00D00D2A" w:rsidP="00E255C9">
            <w:pPr>
              <w:pStyle w:val="CETBodytext"/>
              <w:jc w:val="left"/>
              <w:rPr>
                <w:lang w:val="en-GB"/>
              </w:rPr>
            </w:pPr>
            <w:r w:rsidRPr="0035062E">
              <w:rPr>
                <w:lang w:val="en-GB"/>
              </w:rPr>
              <w:t>4</w:t>
            </w:r>
          </w:p>
        </w:tc>
        <w:tc>
          <w:tcPr>
            <w:tcW w:w="1209" w:type="pct"/>
            <w:shd w:val="clear" w:color="auto" w:fill="FFFFFF"/>
            <w:vAlign w:val="center"/>
          </w:tcPr>
          <w:p w14:paraId="2094CEC5" w14:textId="77777777" w:rsidR="00D00D2A" w:rsidRPr="0035062E" w:rsidRDefault="00D00D2A" w:rsidP="00E255C9">
            <w:pPr>
              <w:pStyle w:val="CETBodytext"/>
              <w:jc w:val="left"/>
              <w:rPr>
                <w:lang w:val="en-GB"/>
              </w:rPr>
            </w:pPr>
            <w:r w:rsidRPr="0035062E">
              <w:rPr>
                <w:lang w:val="en-GB"/>
              </w:rPr>
              <w:t>77</w:t>
            </w:r>
          </w:p>
        </w:tc>
        <w:tc>
          <w:tcPr>
            <w:tcW w:w="888" w:type="pct"/>
            <w:shd w:val="clear" w:color="auto" w:fill="FFFFFF"/>
            <w:vAlign w:val="center"/>
          </w:tcPr>
          <w:p w14:paraId="07CD1018" w14:textId="77777777" w:rsidR="00D00D2A" w:rsidRPr="0035062E" w:rsidRDefault="00D00D2A" w:rsidP="00E255C9">
            <w:pPr>
              <w:pStyle w:val="CETBodytext"/>
              <w:ind w:right="-1"/>
              <w:jc w:val="left"/>
              <w:rPr>
                <w:rFonts w:cs="Arial"/>
                <w:szCs w:val="18"/>
                <w:lang w:val="en-GB"/>
              </w:rPr>
            </w:pPr>
            <w:r w:rsidRPr="0035062E">
              <w:rPr>
                <w:lang w:val="en-GB"/>
              </w:rPr>
              <w:t>0</w:t>
            </w:r>
            <w:r>
              <w:rPr>
                <w:lang w:val="en-GB"/>
              </w:rPr>
              <w:t>.</w:t>
            </w:r>
            <w:r w:rsidRPr="0035062E">
              <w:rPr>
                <w:lang w:val="en-GB"/>
              </w:rPr>
              <w:t>017</w:t>
            </w:r>
          </w:p>
        </w:tc>
        <w:tc>
          <w:tcPr>
            <w:tcW w:w="805" w:type="pct"/>
            <w:shd w:val="clear" w:color="auto" w:fill="FFFFFF"/>
            <w:vAlign w:val="center"/>
          </w:tcPr>
          <w:p w14:paraId="60EF28DB" w14:textId="77777777" w:rsidR="00D00D2A" w:rsidRPr="0035062E" w:rsidRDefault="00D00D2A" w:rsidP="00E255C9">
            <w:pPr>
              <w:pStyle w:val="CETBodytext"/>
              <w:ind w:right="-1"/>
              <w:jc w:val="left"/>
              <w:rPr>
                <w:lang w:val="en-GB"/>
              </w:rPr>
            </w:pPr>
            <w:r w:rsidRPr="0035062E">
              <w:rPr>
                <w:lang w:val="en-GB"/>
              </w:rPr>
              <w:t>2</w:t>
            </w:r>
            <w:r>
              <w:rPr>
                <w:lang w:val="en-GB"/>
              </w:rPr>
              <w:t>.</w:t>
            </w:r>
            <w:r w:rsidRPr="0035062E">
              <w:rPr>
                <w:lang w:val="en-GB"/>
              </w:rPr>
              <w:t>70</w:t>
            </w:r>
          </w:p>
        </w:tc>
      </w:tr>
      <w:tr w:rsidR="00D00D2A" w:rsidRPr="0035062E" w14:paraId="3F9A1383" w14:textId="77777777" w:rsidTr="00E255C9">
        <w:tc>
          <w:tcPr>
            <w:tcW w:w="888" w:type="pct"/>
            <w:shd w:val="clear" w:color="auto" w:fill="FFFFFF"/>
          </w:tcPr>
          <w:p w14:paraId="492C81A7" w14:textId="77777777" w:rsidR="00D00D2A" w:rsidRPr="0035062E" w:rsidRDefault="00D00D2A" w:rsidP="00E255C9">
            <w:pPr>
              <w:pStyle w:val="CETBodytext"/>
              <w:jc w:val="left"/>
              <w:rPr>
                <w:vertAlign w:val="subscript"/>
                <w:lang w:val="en-GB"/>
              </w:rPr>
            </w:pPr>
            <w:r w:rsidRPr="0035062E">
              <w:rPr>
                <w:lang w:val="en-GB"/>
              </w:rPr>
              <w:t>Methane CH</w:t>
            </w:r>
            <w:r w:rsidRPr="0035062E">
              <w:rPr>
                <w:vertAlign w:val="subscript"/>
                <w:lang w:val="en-GB"/>
              </w:rPr>
              <w:t>4</w:t>
            </w:r>
          </w:p>
        </w:tc>
        <w:tc>
          <w:tcPr>
            <w:tcW w:w="1210" w:type="pct"/>
            <w:shd w:val="clear" w:color="auto" w:fill="FFFFFF"/>
            <w:vAlign w:val="center"/>
          </w:tcPr>
          <w:p w14:paraId="4B76CAD8" w14:textId="77777777" w:rsidR="00D00D2A" w:rsidRPr="0035062E" w:rsidRDefault="00D00D2A" w:rsidP="00E255C9">
            <w:pPr>
              <w:pStyle w:val="CETBodytext"/>
              <w:jc w:val="left"/>
              <w:rPr>
                <w:lang w:val="en-GB"/>
              </w:rPr>
            </w:pPr>
            <w:r w:rsidRPr="0035062E">
              <w:rPr>
                <w:lang w:val="en-GB"/>
              </w:rPr>
              <w:t>5</w:t>
            </w:r>
            <w:r>
              <w:rPr>
                <w:lang w:val="en-GB"/>
              </w:rPr>
              <w:t>.</w:t>
            </w:r>
            <w:r w:rsidRPr="0035062E">
              <w:rPr>
                <w:lang w:val="en-GB"/>
              </w:rPr>
              <w:t>3</w:t>
            </w:r>
          </w:p>
        </w:tc>
        <w:tc>
          <w:tcPr>
            <w:tcW w:w="1209" w:type="pct"/>
            <w:shd w:val="clear" w:color="auto" w:fill="FFFFFF"/>
            <w:vAlign w:val="center"/>
          </w:tcPr>
          <w:p w14:paraId="27509EE1" w14:textId="77777777" w:rsidR="00D00D2A" w:rsidRPr="0035062E" w:rsidRDefault="00D00D2A" w:rsidP="00E255C9">
            <w:pPr>
              <w:pStyle w:val="CETBodytext"/>
              <w:jc w:val="left"/>
              <w:rPr>
                <w:lang w:val="en-GB"/>
              </w:rPr>
            </w:pPr>
            <w:r w:rsidRPr="0035062E">
              <w:rPr>
                <w:lang w:val="en-GB"/>
              </w:rPr>
              <w:t>17</w:t>
            </w:r>
          </w:p>
        </w:tc>
        <w:tc>
          <w:tcPr>
            <w:tcW w:w="888" w:type="pct"/>
            <w:shd w:val="clear" w:color="auto" w:fill="FFFFFF"/>
            <w:vAlign w:val="center"/>
          </w:tcPr>
          <w:p w14:paraId="5AEBF27B" w14:textId="77777777" w:rsidR="00D00D2A" w:rsidRPr="0035062E" w:rsidRDefault="00D00D2A" w:rsidP="00E255C9">
            <w:pPr>
              <w:pStyle w:val="CETBodytext"/>
              <w:ind w:right="-1"/>
              <w:jc w:val="left"/>
              <w:rPr>
                <w:rFonts w:cs="Arial"/>
                <w:szCs w:val="18"/>
                <w:lang w:val="en-GB"/>
              </w:rPr>
            </w:pPr>
            <w:r w:rsidRPr="0035062E">
              <w:rPr>
                <w:lang w:val="en-GB"/>
              </w:rPr>
              <w:t>0</w:t>
            </w:r>
            <w:r>
              <w:rPr>
                <w:lang w:val="en-GB"/>
              </w:rPr>
              <w:t>.</w:t>
            </w:r>
            <w:r w:rsidRPr="0035062E">
              <w:rPr>
                <w:lang w:val="en-GB"/>
              </w:rPr>
              <w:t>271</w:t>
            </w:r>
          </w:p>
        </w:tc>
        <w:tc>
          <w:tcPr>
            <w:tcW w:w="805" w:type="pct"/>
            <w:shd w:val="clear" w:color="auto" w:fill="FFFFFF"/>
            <w:vAlign w:val="center"/>
          </w:tcPr>
          <w:p w14:paraId="28C2433C" w14:textId="77777777" w:rsidR="00D00D2A" w:rsidRPr="0035062E" w:rsidRDefault="00D00D2A" w:rsidP="00E255C9">
            <w:pPr>
              <w:pStyle w:val="CETBodytext"/>
              <w:ind w:right="-1"/>
              <w:jc w:val="left"/>
              <w:rPr>
                <w:lang w:val="en-GB"/>
              </w:rPr>
            </w:pPr>
            <w:r w:rsidRPr="0035062E">
              <w:rPr>
                <w:lang w:val="en-GB"/>
              </w:rPr>
              <w:t>0</w:t>
            </w:r>
            <w:r>
              <w:rPr>
                <w:lang w:val="en-GB"/>
              </w:rPr>
              <w:t>.</w:t>
            </w:r>
            <w:r w:rsidRPr="0035062E">
              <w:rPr>
                <w:lang w:val="en-GB"/>
              </w:rPr>
              <w:t>37</w:t>
            </w:r>
          </w:p>
        </w:tc>
      </w:tr>
      <w:tr w:rsidR="00D00D2A" w:rsidRPr="0035062E" w14:paraId="3B202E1F" w14:textId="77777777" w:rsidTr="00E255C9">
        <w:tc>
          <w:tcPr>
            <w:tcW w:w="888" w:type="pct"/>
            <w:shd w:val="clear" w:color="auto" w:fill="FFFFFF"/>
          </w:tcPr>
          <w:p w14:paraId="14EB63B5" w14:textId="77777777" w:rsidR="00D00D2A" w:rsidRPr="0035062E" w:rsidRDefault="00D00D2A" w:rsidP="00E255C9">
            <w:pPr>
              <w:pStyle w:val="CETBodytext"/>
              <w:jc w:val="left"/>
              <w:rPr>
                <w:lang w:val="en-GB"/>
              </w:rPr>
            </w:pPr>
            <w:r>
              <w:rPr>
                <w:lang w:val="en-GB"/>
              </w:rPr>
              <w:t xml:space="preserve">Propane </w:t>
            </w:r>
            <w:r w:rsidRPr="0035062E">
              <w:rPr>
                <w:lang w:val="en-GB"/>
              </w:rPr>
              <w:t>C</w:t>
            </w:r>
            <w:r>
              <w:rPr>
                <w:vertAlign w:val="subscript"/>
                <w:lang w:val="en-GB"/>
              </w:rPr>
              <w:t>3</w:t>
            </w:r>
            <w:r w:rsidRPr="0035062E">
              <w:rPr>
                <w:lang w:val="en-GB"/>
              </w:rPr>
              <w:t>H</w:t>
            </w:r>
            <w:r>
              <w:rPr>
                <w:vertAlign w:val="subscript"/>
                <w:lang w:val="en-GB"/>
              </w:rPr>
              <w:t>8</w:t>
            </w:r>
          </w:p>
        </w:tc>
        <w:tc>
          <w:tcPr>
            <w:tcW w:w="1210" w:type="pct"/>
            <w:shd w:val="clear" w:color="auto" w:fill="FFFFFF"/>
            <w:vAlign w:val="center"/>
          </w:tcPr>
          <w:p w14:paraId="255CC570" w14:textId="77777777" w:rsidR="00D00D2A" w:rsidRPr="0035062E" w:rsidRDefault="00D00D2A" w:rsidP="00E255C9">
            <w:pPr>
              <w:pStyle w:val="CETBodytext"/>
              <w:jc w:val="left"/>
              <w:rPr>
                <w:lang w:val="en-GB"/>
              </w:rPr>
            </w:pPr>
            <w:r>
              <w:rPr>
                <w:lang w:val="en-GB"/>
              </w:rPr>
              <w:t>1,7</w:t>
            </w:r>
          </w:p>
        </w:tc>
        <w:tc>
          <w:tcPr>
            <w:tcW w:w="1209" w:type="pct"/>
            <w:shd w:val="clear" w:color="auto" w:fill="FFFFFF"/>
            <w:vAlign w:val="center"/>
          </w:tcPr>
          <w:p w14:paraId="730F1361" w14:textId="77777777" w:rsidR="00D00D2A" w:rsidRPr="0035062E" w:rsidRDefault="00D00D2A" w:rsidP="00E255C9">
            <w:pPr>
              <w:pStyle w:val="CETBodytext"/>
              <w:jc w:val="left"/>
              <w:rPr>
                <w:lang w:val="en-GB"/>
              </w:rPr>
            </w:pPr>
            <w:r>
              <w:rPr>
                <w:lang w:val="en-GB"/>
              </w:rPr>
              <w:t>10,9</w:t>
            </w:r>
          </w:p>
        </w:tc>
        <w:tc>
          <w:tcPr>
            <w:tcW w:w="888" w:type="pct"/>
            <w:shd w:val="clear" w:color="auto" w:fill="FFFFFF"/>
            <w:vAlign w:val="center"/>
          </w:tcPr>
          <w:p w14:paraId="24676B33" w14:textId="77777777" w:rsidR="00D00D2A" w:rsidRPr="0035062E" w:rsidRDefault="00D00D2A" w:rsidP="00E255C9">
            <w:pPr>
              <w:pStyle w:val="CETBodytext"/>
              <w:ind w:right="-1"/>
              <w:jc w:val="left"/>
              <w:rPr>
                <w:lang w:val="en-GB"/>
              </w:rPr>
            </w:pPr>
            <w:r>
              <w:rPr>
                <w:lang w:val="en-GB"/>
              </w:rPr>
              <w:t>0,240</w:t>
            </w:r>
          </w:p>
        </w:tc>
        <w:tc>
          <w:tcPr>
            <w:tcW w:w="805" w:type="pct"/>
            <w:shd w:val="clear" w:color="auto" w:fill="FFFFFF"/>
            <w:vAlign w:val="center"/>
          </w:tcPr>
          <w:p w14:paraId="2E8839DA" w14:textId="77777777" w:rsidR="00D00D2A" w:rsidRPr="0035062E" w:rsidRDefault="00D00D2A" w:rsidP="00E255C9">
            <w:pPr>
              <w:pStyle w:val="CETBodytext"/>
              <w:ind w:right="-1"/>
              <w:jc w:val="left"/>
              <w:rPr>
                <w:lang w:val="en-GB"/>
              </w:rPr>
            </w:pPr>
            <w:r>
              <w:rPr>
                <w:lang w:val="en-GB"/>
              </w:rPr>
              <w:t>0,47</w:t>
            </w:r>
          </w:p>
        </w:tc>
      </w:tr>
    </w:tbl>
    <w:p w14:paraId="08F5FE54" w14:textId="5DF7CEA8" w:rsidR="00D00D2A" w:rsidRPr="00D00D2A" w:rsidRDefault="00D00D2A" w:rsidP="00D00D2A">
      <w:pPr>
        <w:pStyle w:val="ListParagraph"/>
        <w:ind w:left="0"/>
        <w:rPr>
          <w:lang w:val="en-US"/>
        </w:rPr>
      </w:pPr>
      <w:r w:rsidRPr="00D00D2A">
        <w:rPr>
          <w:lang w:val="en-US"/>
        </w:rPr>
        <w:t xml:space="preserve">The ISO/TR 15916:2015 standard provides valuable guidance on the safe use and handling of hydrogen. This document emphasizes the importance of assessing hydrogen’s unique physical properties—such as its low ignition energy and high diffusivity—and stresses the need for robust safety systems to minimize risks, even in scenarios involving hydrogen </w:t>
      </w:r>
      <w:r w:rsidR="00E86711" w:rsidRPr="00D00D2A">
        <w:rPr>
          <w:lang w:val="en-US"/>
        </w:rPr>
        <w:t>in both open and confined spaces</w:t>
      </w:r>
      <w:r w:rsidRPr="00D00D2A">
        <w:rPr>
          <w:lang w:val="en-US"/>
        </w:rPr>
        <w:t xml:space="preserve">. A semiquantitative </w:t>
      </w:r>
      <w:r w:rsidR="00CF5203">
        <w:rPr>
          <w:lang w:val="en-US"/>
        </w:rPr>
        <w:t xml:space="preserve">AtEx risk assessment </w:t>
      </w:r>
      <w:r w:rsidRPr="00D00D2A">
        <w:rPr>
          <w:lang w:val="en-US"/>
        </w:rPr>
        <w:t>facilitates the identification of hydrogen-related risks and supports the development of effective safety measures for risk mitigation.</w:t>
      </w:r>
    </w:p>
    <w:p w14:paraId="6B4C63E5" w14:textId="71AB025A" w:rsidR="00600535" w:rsidRPr="00B57B36" w:rsidRDefault="00580D61" w:rsidP="00FA5F5F">
      <w:pPr>
        <w:pStyle w:val="CETheadingx"/>
      </w:pPr>
      <w:r>
        <w:t>Diffusivity</w:t>
      </w:r>
    </w:p>
    <w:p w14:paraId="1AED3853" w14:textId="3E3AD749" w:rsidR="00600535" w:rsidRDefault="00D00D2A" w:rsidP="00D00D2A">
      <w:pPr>
        <w:pStyle w:val="CETListbullets"/>
        <w:ind w:left="0" w:firstLine="0"/>
      </w:pPr>
      <w:r w:rsidRPr="00D00D2A">
        <w:t>Hydrogen has a high rate of diffusion, approximately 3.8 times faster than natural gas. This means that when hydrogen is released, it spreads quickly until its concentration drops below flammable levels</w:t>
      </w:r>
      <w:r w:rsidR="00580D61">
        <w:t xml:space="preserve"> due to </w:t>
      </w:r>
      <w:r w:rsidRPr="00D00D2A">
        <w:t>turbulent convection, drift, and buoyancy, which reduces the duration of the risk. However, it's crucial to note that this quick dispersion also allows hydrogen to form gas mixtures within its broad flammability and explosive limits. As the lightest element, hydrogen behaves according to basic physical principles, not lingering near leaks or people in open areas unless confined. Therefore, industries must account for this factor when designing hydrogen-related structures, ensuring the designs facilitate hydrogen’s upward and outward dispersal to minimize the chances of ignition.</w:t>
      </w:r>
    </w:p>
    <w:p w14:paraId="5741900F" w14:textId="1AF7538A" w:rsidR="00453E24" w:rsidRDefault="00A330BF" w:rsidP="00453E24">
      <w:pPr>
        <w:pStyle w:val="CETHeading1"/>
      </w:pPr>
      <w:r>
        <w:t>Methodology</w:t>
      </w:r>
    </w:p>
    <w:p w14:paraId="1A53101B" w14:textId="4A04ED10" w:rsidR="00A330BF" w:rsidRPr="00753CA0" w:rsidRDefault="00D80D7B" w:rsidP="00A330BF">
      <w:pPr>
        <w:pStyle w:val="CETBodytext"/>
        <w:rPr>
          <w:lang w:val="en-GB"/>
        </w:rPr>
      </w:pPr>
      <w:r>
        <w:rPr>
          <w:lang w:val="en-GB"/>
        </w:rPr>
        <w:t>Importan</w:t>
      </w:r>
      <w:r w:rsidR="00215327">
        <w:rPr>
          <w:lang w:val="en-GB"/>
        </w:rPr>
        <w:t>t</w:t>
      </w:r>
      <w:r w:rsidR="00A330BF" w:rsidRPr="00753CA0">
        <w:rPr>
          <w:lang w:val="en-GB"/>
        </w:rPr>
        <w:t xml:space="preserve"> information necessary in the development of the study is gathered during site visits and analysis of the </w:t>
      </w:r>
      <w:r w:rsidR="00A330BF">
        <w:rPr>
          <w:lang w:val="en-GB"/>
        </w:rPr>
        <w:t xml:space="preserve">plant and process </w:t>
      </w:r>
      <w:r w:rsidR="00A330BF" w:rsidRPr="00753CA0">
        <w:rPr>
          <w:lang w:val="en-GB"/>
        </w:rPr>
        <w:t>document</w:t>
      </w:r>
      <w:r w:rsidR="00A330BF">
        <w:rPr>
          <w:lang w:val="en-GB"/>
        </w:rPr>
        <w:t>ation</w:t>
      </w:r>
      <w:r w:rsidR="00A330BF" w:rsidRPr="00753CA0">
        <w:rPr>
          <w:lang w:val="en-GB"/>
        </w:rPr>
        <w:t>, and then collected into a</w:t>
      </w:r>
      <w:r w:rsidR="00A330BF">
        <w:rPr>
          <w:lang w:val="en-GB"/>
        </w:rPr>
        <w:t xml:space="preserve"> worksheet</w:t>
      </w:r>
      <w:r w:rsidR="00A330BF" w:rsidRPr="00753CA0">
        <w:rPr>
          <w:lang w:val="en-GB"/>
        </w:rPr>
        <w:t xml:space="preserve">, where the first four columns (i.e., Location, Hazardous Area Classification, Ignition Risk Assessment, Consequence Analysis respectively) represent the starting point for the development of the semi-quantitative </w:t>
      </w:r>
      <w:r w:rsidR="00A330BF">
        <w:rPr>
          <w:lang w:val="en-GB"/>
        </w:rPr>
        <w:t>AtEx</w:t>
      </w:r>
      <w:r w:rsidR="00CF5203">
        <w:rPr>
          <w:lang w:val="en-GB"/>
        </w:rPr>
        <w:t xml:space="preserve"> risk</w:t>
      </w:r>
      <w:r w:rsidR="00A330BF">
        <w:rPr>
          <w:lang w:val="en-GB"/>
        </w:rPr>
        <w:t xml:space="preserve"> assessment</w:t>
      </w:r>
      <w:r w:rsidR="00A330BF" w:rsidRPr="00753CA0">
        <w:rPr>
          <w:lang w:val="en-GB"/>
        </w:rPr>
        <w:t>. In the following table is reported an example of a typical worksheet used for the study.</w:t>
      </w:r>
    </w:p>
    <w:p w14:paraId="7F9DAB87" w14:textId="0BD38E4E" w:rsidR="00A330BF" w:rsidRPr="00753CA0" w:rsidRDefault="00A330BF" w:rsidP="00A330BF">
      <w:pPr>
        <w:pStyle w:val="CETTabletitle"/>
      </w:pPr>
      <w:r w:rsidRPr="00753CA0">
        <w:t xml:space="preserve">Table </w:t>
      </w:r>
      <w:r w:rsidRPr="00753CA0">
        <w:fldChar w:fldCharType="begin"/>
      </w:r>
      <w:r w:rsidRPr="00753CA0">
        <w:instrText xml:space="preserve"> SEQ Table \* ARABIC </w:instrText>
      </w:r>
      <w:r w:rsidRPr="00753CA0">
        <w:fldChar w:fldCharType="separate"/>
      </w:r>
      <w:r w:rsidR="00892940">
        <w:rPr>
          <w:noProof/>
        </w:rPr>
        <w:t>2</w:t>
      </w:r>
      <w:r w:rsidRPr="00753CA0">
        <w:fldChar w:fldCharType="end"/>
      </w:r>
      <w:r w:rsidRPr="00753CA0">
        <w:t xml:space="preserve">: Semi-quantitative </w:t>
      </w:r>
      <w:r w:rsidR="00CF5203">
        <w:t xml:space="preserve">AtEx risk assessment </w:t>
      </w:r>
      <w:r w:rsidRPr="00753CA0">
        <w:t>worksheet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48"/>
        <w:gridCol w:w="1032"/>
        <w:gridCol w:w="1002"/>
        <w:gridCol w:w="1407"/>
        <w:gridCol w:w="301"/>
        <w:gridCol w:w="360"/>
        <w:gridCol w:w="865"/>
        <w:gridCol w:w="301"/>
        <w:gridCol w:w="360"/>
        <w:gridCol w:w="1750"/>
        <w:gridCol w:w="301"/>
        <w:gridCol w:w="360"/>
      </w:tblGrid>
      <w:tr w:rsidR="00A330BF" w:rsidRPr="00753CA0" w14:paraId="589853E4" w14:textId="77777777" w:rsidTr="00E255C9">
        <w:tc>
          <w:tcPr>
            <w:tcW w:w="426" w:type="pct"/>
            <w:tcBorders>
              <w:top w:val="single" w:sz="12" w:space="0" w:color="008000"/>
              <w:bottom w:val="single" w:sz="6" w:space="0" w:color="008000"/>
            </w:tcBorders>
            <w:shd w:val="clear" w:color="auto" w:fill="FFFFFF"/>
            <w:vAlign w:val="center"/>
          </w:tcPr>
          <w:p w14:paraId="5ECA646F" w14:textId="77777777" w:rsidR="00A330BF" w:rsidRPr="00753CA0" w:rsidRDefault="00A330BF" w:rsidP="00E255C9">
            <w:pPr>
              <w:pStyle w:val="CETBodytext"/>
              <w:jc w:val="left"/>
              <w:rPr>
                <w:lang w:val="en-GB"/>
              </w:rPr>
            </w:pPr>
            <w:r w:rsidRPr="00753CA0">
              <w:rPr>
                <w:lang w:val="en-GB"/>
              </w:rPr>
              <w:t>Location</w:t>
            </w:r>
          </w:p>
        </w:tc>
        <w:tc>
          <w:tcPr>
            <w:tcW w:w="588" w:type="pct"/>
            <w:tcBorders>
              <w:top w:val="single" w:sz="12" w:space="0" w:color="008000"/>
              <w:bottom w:val="single" w:sz="6" w:space="0" w:color="008000"/>
            </w:tcBorders>
            <w:shd w:val="clear" w:color="auto" w:fill="FFFFFF"/>
            <w:vAlign w:val="center"/>
          </w:tcPr>
          <w:p w14:paraId="157BE30C" w14:textId="77777777" w:rsidR="00A330BF" w:rsidRPr="00753CA0" w:rsidRDefault="00A330BF" w:rsidP="00E255C9">
            <w:pPr>
              <w:pStyle w:val="CETBodytext"/>
              <w:jc w:val="left"/>
              <w:rPr>
                <w:lang w:val="en-GB"/>
              </w:rPr>
            </w:pPr>
            <w:r w:rsidRPr="00753CA0">
              <w:rPr>
                <w:lang w:val="en-GB"/>
              </w:rPr>
              <w:t>HAC</w:t>
            </w:r>
          </w:p>
        </w:tc>
        <w:tc>
          <w:tcPr>
            <w:tcW w:w="571" w:type="pct"/>
            <w:tcBorders>
              <w:top w:val="single" w:sz="12" w:space="0" w:color="008000"/>
              <w:bottom w:val="single" w:sz="6" w:space="0" w:color="008000"/>
            </w:tcBorders>
            <w:shd w:val="clear" w:color="auto" w:fill="FFFFFF"/>
            <w:vAlign w:val="center"/>
          </w:tcPr>
          <w:p w14:paraId="4CC20C57" w14:textId="77777777" w:rsidR="00A330BF" w:rsidRPr="00753CA0" w:rsidRDefault="00A330BF" w:rsidP="00E255C9">
            <w:pPr>
              <w:pStyle w:val="CETBodytext"/>
              <w:jc w:val="left"/>
              <w:rPr>
                <w:lang w:val="en-GB"/>
              </w:rPr>
            </w:pPr>
            <w:r w:rsidRPr="00753CA0">
              <w:rPr>
                <w:lang w:val="en-GB"/>
              </w:rPr>
              <w:t>IRA</w:t>
            </w:r>
          </w:p>
        </w:tc>
        <w:tc>
          <w:tcPr>
            <w:tcW w:w="801" w:type="pct"/>
            <w:tcBorders>
              <w:top w:val="single" w:sz="12" w:space="0" w:color="008000"/>
              <w:bottom w:val="single" w:sz="6" w:space="0" w:color="008000"/>
            </w:tcBorders>
            <w:shd w:val="clear" w:color="auto" w:fill="FFFFFF"/>
            <w:vAlign w:val="center"/>
          </w:tcPr>
          <w:p w14:paraId="4B603C4C"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Consequences</w:t>
            </w:r>
          </w:p>
        </w:tc>
        <w:tc>
          <w:tcPr>
            <w:tcW w:w="376" w:type="pct"/>
            <w:gridSpan w:val="2"/>
            <w:tcBorders>
              <w:top w:val="single" w:sz="12" w:space="0" w:color="008000"/>
              <w:bottom w:val="single" w:sz="6" w:space="0" w:color="008000"/>
            </w:tcBorders>
            <w:shd w:val="clear" w:color="auto" w:fill="FFFFFF"/>
            <w:vAlign w:val="center"/>
          </w:tcPr>
          <w:p w14:paraId="45F60F84"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 xml:space="preserve">Risk </w:t>
            </w:r>
            <w:r w:rsidRPr="00753CA0">
              <w:rPr>
                <w:rFonts w:cs="Arial"/>
                <w:szCs w:val="18"/>
                <w:lang w:val="en-GB"/>
              </w:rPr>
              <w:br/>
              <w:t>Ranking</w:t>
            </w:r>
          </w:p>
        </w:tc>
        <w:tc>
          <w:tcPr>
            <w:tcW w:w="492" w:type="pct"/>
            <w:tcBorders>
              <w:top w:val="single" w:sz="12" w:space="0" w:color="008000"/>
              <w:bottom w:val="single" w:sz="6" w:space="0" w:color="008000"/>
            </w:tcBorders>
            <w:shd w:val="clear" w:color="auto" w:fill="FFFFFF"/>
            <w:vAlign w:val="center"/>
          </w:tcPr>
          <w:p w14:paraId="0BBE27FA"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Existing Barriers</w:t>
            </w:r>
          </w:p>
        </w:tc>
        <w:tc>
          <w:tcPr>
            <w:tcW w:w="376" w:type="pct"/>
            <w:gridSpan w:val="2"/>
            <w:tcBorders>
              <w:top w:val="single" w:sz="12" w:space="0" w:color="008000"/>
              <w:bottom w:val="single" w:sz="6" w:space="0" w:color="008000"/>
            </w:tcBorders>
            <w:shd w:val="clear" w:color="auto" w:fill="FFFFFF"/>
            <w:vAlign w:val="center"/>
          </w:tcPr>
          <w:p w14:paraId="19106050"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 xml:space="preserve">Risk </w:t>
            </w:r>
            <w:r w:rsidRPr="00753CA0">
              <w:rPr>
                <w:rFonts w:cs="Arial"/>
                <w:szCs w:val="18"/>
                <w:lang w:val="en-GB"/>
              </w:rPr>
              <w:br/>
              <w:t>Ranking</w:t>
            </w:r>
          </w:p>
        </w:tc>
        <w:tc>
          <w:tcPr>
            <w:tcW w:w="996" w:type="pct"/>
            <w:tcBorders>
              <w:top w:val="single" w:sz="12" w:space="0" w:color="008000"/>
              <w:bottom w:val="single" w:sz="6" w:space="0" w:color="008000"/>
            </w:tcBorders>
            <w:shd w:val="clear" w:color="auto" w:fill="FFFFFF"/>
            <w:vAlign w:val="center"/>
          </w:tcPr>
          <w:p w14:paraId="244BA346"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Recommendations</w:t>
            </w:r>
          </w:p>
        </w:tc>
        <w:tc>
          <w:tcPr>
            <w:tcW w:w="376" w:type="pct"/>
            <w:gridSpan w:val="2"/>
            <w:tcBorders>
              <w:top w:val="single" w:sz="12" w:space="0" w:color="008000"/>
              <w:bottom w:val="single" w:sz="6" w:space="0" w:color="008000"/>
            </w:tcBorders>
            <w:shd w:val="clear" w:color="auto" w:fill="FFFFFF"/>
            <w:vAlign w:val="center"/>
          </w:tcPr>
          <w:p w14:paraId="04C36F7A"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 xml:space="preserve">Risk </w:t>
            </w:r>
            <w:r w:rsidRPr="00753CA0">
              <w:rPr>
                <w:rFonts w:cs="Arial"/>
                <w:szCs w:val="18"/>
                <w:lang w:val="en-GB"/>
              </w:rPr>
              <w:br/>
              <w:t>Ranking</w:t>
            </w:r>
          </w:p>
        </w:tc>
      </w:tr>
      <w:tr w:rsidR="00A330BF" w:rsidRPr="00753CA0" w14:paraId="671F7E80" w14:textId="77777777" w:rsidTr="00E255C9">
        <w:tc>
          <w:tcPr>
            <w:tcW w:w="426" w:type="pct"/>
            <w:tcBorders>
              <w:top w:val="single" w:sz="12" w:space="0" w:color="008000"/>
              <w:bottom w:val="single" w:sz="12" w:space="0" w:color="008000"/>
            </w:tcBorders>
            <w:shd w:val="clear" w:color="auto" w:fill="FFFFFF"/>
            <w:vAlign w:val="center"/>
          </w:tcPr>
          <w:p w14:paraId="66D730FC" w14:textId="77777777" w:rsidR="00A330BF" w:rsidRPr="00753CA0" w:rsidRDefault="00A330BF" w:rsidP="00E255C9">
            <w:pPr>
              <w:pStyle w:val="CETBodytext"/>
              <w:jc w:val="left"/>
              <w:rPr>
                <w:lang w:val="en-GB"/>
              </w:rPr>
            </w:pPr>
          </w:p>
        </w:tc>
        <w:tc>
          <w:tcPr>
            <w:tcW w:w="588" w:type="pct"/>
            <w:tcBorders>
              <w:top w:val="single" w:sz="12" w:space="0" w:color="008000"/>
              <w:bottom w:val="single" w:sz="12" w:space="0" w:color="008000"/>
            </w:tcBorders>
            <w:shd w:val="clear" w:color="auto" w:fill="FFFFFF"/>
            <w:vAlign w:val="center"/>
          </w:tcPr>
          <w:p w14:paraId="687F279C" w14:textId="77777777" w:rsidR="00A330BF" w:rsidRPr="00753CA0" w:rsidRDefault="00A330BF" w:rsidP="00E255C9">
            <w:pPr>
              <w:pStyle w:val="CETBodytext"/>
              <w:jc w:val="left"/>
              <w:rPr>
                <w:lang w:val="en-GB"/>
              </w:rPr>
            </w:pPr>
          </w:p>
        </w:tc>
        <w:tc>
          <w:tcPr>
            <w:tcW w:w="571" w:type="pct"/>
            <w:tcBorders>
              <w:top w:val="single" w:sz="12" w:space="0" w:color="008000"/>
              <w:bottom w:val="single" w:sz="12" w:space="0" w:color="008000"/>
            </w:tcBorders>
            <w:shd w:val="clear" w:color="auto" w:fill="FFFFFF"/>
            <w:vAlign w:val="center"/>
          </w:tcPr>
          <w:p w14:paraId="711F735F" w14:textId="77777777" w:rsidR="00A330BF" w:rsidRPr="00753CA0" w:rsidRDefault="00A330BF" w:rsidP="00E255C9">
            <w:pPr>
              <w:pStyle w:val="CETBodytext"/>
              <w:jc w:val="left"/>
              <w:rPr>
                <w:lang w:val="en-GB"/>
              </w:rPr>
            </w:pPr>
          </w:p>
        </w:tc>
        <w:tc>
          <w:tcPr>
            <w:tcW w:w="801" w:type="pct"/>
            <w:tcBorders>
              <w:top w:val="single" w:sz="12" w:space="0" w:color="008000"/>
              <w:bottom w:val="single" w:sz="12" w:space="0" w:color="008000"/>
            </w:tcBorders>
            <w:shd w:val="clear" w:color="auto" w:fill="FFFFFF"/>
            <w:vAlign w:val="center"/>
          </w:tcPr>
          <w:p w14:paraId="5E99EC56" w14:textId="77777777" w:rsidR="00A330BF" w:rsidRPr="00753CA0" w:rsidRDefault="00A330BF" w:rsidP="00E255C9">
            <w:pPr>
              <w:pStyle w:val="CETBodytext"/>
              <w:ind w:right="-1"/>
              <w:jc w:val="left"/>
              <w:rPr>
                <w:rFonts w:cs="Arial"/>
                <w:szCs w:val="18"/>
                <w:lang w:val="en-GB"/>
              </w:rPr>
            </w:pPr>
          </w:p>
        </w:tc>
        <w:tc>
          <w:tcPr>
            <w:tcW w:w="171" w:type="pct"/>
            <w:tcBorders>
              <w:top w:val="single" w:sz="12" w:space="0" w:color="008000"/>
              <w:bottom w:val="single" w:sz="12" w:space="0" w:color="008000"/>
            </w:tcBorders>
            <w:shd w:val="clear" w:color="auto" w:fill="FFFFFF"/>
            <w:vAlign w:val="center"/>
          </w:tcPr>
          <w:p w14:paraId="520C7D93"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L</w:t>
            </w:r>
          </w:p>
        </w:tc>
        <w:tc>
          <w:tcPr>
            <w:tcW w:w="205" w:type="pct"/>
            <w:tcBorders>
              <w:top w:val="single" w:sz="12" w:space="0" w:color="008000"/>
              <w:bottom w:val="single" w:sz="12" w:space="0" w:color="008000"/>
            </w:tcBorders>
            <w:shd w:val="clear" w:color="auto" w:fill="FFFFFF"/>
            <w:vAlign w:val="center"/>
          </w:tcPr>
          <w:p w14:paraId="443A648B"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S</w:t>
            </w:r>
          </w:p>
        </w:tc>
        <w:tc>
          <w:tcPr>
            <w:tcW w:w="492" w:type="pct"/>
            <w:tcBorders>
              <w:top w:val="single" w:sz="12" w:space="0" w:color="008000"/>
              <w:bottom w:val="single" w:sz="12" w:space="0" w:color="008000"/>
            </w:tcBorders>
            <w:shd w:val="clear" w:color="auto" w:fill="FFFFFF"/>
            <w:vAlign w:val="center"/>
          </w:tcPr>
          <w:p w14:paraId="0F2FF0CE" w14:textId="77777777" w:rsidR="00A330BF" w:rsidRPr="00753CA0" w:rsidRDefault="00A330BF" w:rsidP="00E255C9">
            <w:pPr>
              <w:pStyle w:val="CETBodytext"/>
              <w:ind w:right="-1"/>
              <w:jc w:val="left"/>
              <w:rPr>
                <w:rFonts w:cs="Arial"/>
                <w:szCs w:val="18"/>
                <w:lang w:val="en-GB"/>
              </w:rPr>
            </w:pPr>
          </w:p>
        </w:tc>
        <w:tc>
          <w:tcPr>
            <w:tcW w:w="171" w:type="pct"/>
            <w:tcBorders>
              <w:top w:val="single" w:sz="12" w:space="0" w:color="008000"/>
              <w:bottom w:val="single" w:sz="12" w:space="0" w:color="008000"/>
            </w:tcBorders>
            <w:shd w:val="clear" w:color="auto" w:fill="FFFFFF"/>
            <w:vAlign w:val="center"/>
          </w:tcPr>
          <w:p w14:paraId="3D35CD2D"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L</w:t>
            </w:r>
          </w:p>
        </w:tc>
        <w:tc>
          <w:tcPr>
            <w:tcW w:w="205" w:type="pct"/>
            <w:tcBorders>
              <w:top w:val="single" w:sz="12" w:space="0" w:color="008000"/>
              <w:bottom w:val="single" w:sz="12" w:space="0" w:color="008000"/>
            </w:tcBorders>
            <w:shd w:val="clear" w:color="auto" w:fill="FFFFFF"/>
            <w:vAlign w:val="center"/>
          </w:tcPr>
          <w:p w14:paraId="540D15FB"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S</w:t>
            </w:r>
          </w:p>
        </w:tc>
        <w:tc>
          <w:tcPr>
            <w:tcW w:w="996" w:type="pct"/>
            <w:tcBorders>
              <w:top w:val="single" w:sz="12" w:space="0" w:color="008000"/>
              <w:bottom w:val="single" w:sz="12" w:space="0" w:color="008000"/>
            </w:tcBorders>
            <w:shd w:val="clear" w:color="auto" w:fill="FFFFFF"/>
            <w:vAlign w:val="center"/>
          </w:tcPr>
          <w:p w14:paraId="151127D6" w14:textId="77777777" w:rsidR="00A330BF" w:rsidRPr="00753CA0" w:rsidRDefault="00A330BF" w:rsidP="00E255C9">
            <w:pPr>
              <w:pStyle w:val="CETBodytext"/>
              <w:ind w:right="-1"/>
              <w:jc w:val="left"/>
              <w:rPr>
                <w:rFonts w:cs="Arial"/>
                <w:szCs w:val="18"/>
                <w:lang w:val="en-GB"/>
              </w:rPr>
            </w:pPr>
          </w:p>
        </w:tc>
        <w:tc>
          <w:tcPr>
            <w:tcW w:w="171" w:type="pct"/>
            <w:tcBorders>
              <w:top w:val="single" w:sz="12" w:space="0" w:color="008000"/>
              <w:bottom w:val="single" w:sz="12" w:space="0" w:color="008000"/>
            </w:tcBorders>
            <w:shd w:val="clear" w:color="auto" w:fill="FFFFFF"/>
            <w:vAlign w:val="center"/>
          </w:tcPr>
          <w:p w14:paraId="4E31F490"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L</w:t>
            </w:r>
          </w:p>
        </w:tc>
        <w:tc>
          <w:tcPr>
            <w:tcW w:w="205" w:type="pct"/>
            <w:tcBorders>
              <w:top w:val="single" w:sz="12" w:space="0" w:color="008000"/>
              <w:bottom w:val="single" w:sz="12" w:space="0" w:color="008000"/>
            </w:tcBorders>
            <w:shd w:val="clear" w:color="auto" w:fill="FFFFFF"/>
            <w:vAlign w:val="center"/>
          </w:tcPr>
          <w:p w14:paraId="6D801E83"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S</w:t>
            </w:r>
          </w:p>
        </w:tc>
      </w:tr>
      <w:tr w:rsidR="00A330BF" w:rsidRPr="00753CA0" w14:paraId="4DD7DCDE" w14:textId="77777777" w:rsidTr="00E255C9">
        <w:tc>
          <w:tcPr>
            <w:tcW w:w="426" w:type="pct"/>
            <w:vMerge w:val="restart"/>
            <w:tcBorders>
              <w:top w:val="single" w:sz="12" w:space="0" w:color="008000"/>
              <w:left w:val="nil"/>
              <w:bottom w:val="single" w:sz="6" w:space="0" w:color="008000"/>
              <w:right w:val="single" w:sz="4" w:space="0" w:color="008000"/>
            </w:tcBorders>
            <w:shd w:val="clear" w:color="auto" w:fill="FFFFFF"/>
            <w:vAlign w:val="center"/>
          </w:tcPr>
          <w:p w14:paraId="3E44D888" w14:textId="77777777" w:rsidR="00A330BF" w:rsidRPr="00753CA0" w:rsidRDefault="00A330BF" w:rsidP="00E255C9">
            <w:pPr>
              <w:pStyle w:val="CETBodytext"/>
              <w:jc w:val="left"/>
              <w:rPr>
                <w:lang w:val="en-GB"/>
              </w:rPr>
            </w:pPr>
            <w:r>
              <w:rPr>
                <w:lang w:val="en-GB"/>
              </w:rPr>
              <w:t xml:space="preserve">Pumping station </w:t>
            </w:r>
          </w:p>
        </w:tc>
        <w:tc>
          <w:tcPr>
            <w:tcW w:w="588" w:type="pct"/>
            <w:vMerge w:val="restart"/>
            <w:tcBorders>
              <w:top w:val="single" w:sz="12" w:space="0" w:color="008000"/>
              <w:left w:val="single" w:sz="4" w:space="0" w:color="008000"/>
              <w:bottom w:val="single" w:sz="6" w:space="0" w:color="008000"/>
              <w:right w:val="single" w:sz="4" w:space="0" w:color="008000"/>
            </w:tcBorders>
            <w:shd w:val="clear" w:color="auto" w:fill="FFFFFF"/>
            <w:vAlign w:val="center"/>
          </w:tcPr>
          <w:p w14:paraId="72339FB0" w14:textId="77777777" w:rsidR="00A330BF" w:rsidRPr="00753CA0" w:rsidRDefault="00A330BF" w:rsidP="00E255C9">
            <w:pPr>
              <w:pStyle w:val="CETBodytext"/>
              <w:jc w:val="left"/>
              <w:rPr>
                <w:lang w:val="en-GB"/>
              </w:rPr>
            </w:pPr>
            <w:r w:rsidRPr="00753CA0">
              <w:rPr>
                <w:lang w:val="en-GB"/>
              </w:rPr>
              <w:t xml:space="preserve">Zone </w:t>
            </w:r>
            <w:r>
              <w:rPr>
                <w:lang w:val="en-GB"/>
              </w:rPr>
              <w:t>1</w:t>
            </w:r>
            <w:r w:rsidRPr="00753CA0">
              <w:rPr>
                <w:lang w:val="en-GB"/>
              </w:rPr>
              <w:t xml:space="preserve"> (</w:t>
            </w:r>
            <w:r>
              <w:rPr>
                <w:lang w:val="en-GB"/>
              </w:rPr>
              <w:t>External area</w:t>
            </w:r>
            <w:r w:rsidRPr="00753CA0">
              <w:rPr>
                <w:lang w:val="en-GB"/>
              </w:rPr>
              <w:t>)</w:t>
            </w:r>
          </w:p>
        </w:tc>
        <w:tc>
          <w:tcPr>
            <w:tcW w:w="571" w:type="pct"/>
            <w:tcBorders>
              <w:top w:val="single" w:sz="12" w:space="0" w:color="008000"/>
              <w:left w:val="single" w:sz="4" w:space="0" w:color="008000"/>
              <w:bottom w:val="single" w:sz="4" w:space="0" w:color="008000"/>
            </w:tcBorders>
            <w:shd w:val="clear" w:color="auto" w:fill="FFFFFF"/>
            <w:vAlign w:val="center"/>
          </w:tcPr>
          <w:p w14:paraId="41820B50" w14:textId="77777777" w:rsidR="00A330BF" w:rsidRPr="00753CA0" w:rsidRDefault="00A330BF" w:rsidP="00E255C9">
            <w:pPr>
              <w:pStyle w:val="CETBodytext"/>
              <w:jc w:val="left"/>
              <w:rPr>
                <w:lang w:val="en-GB"/>
              </w:rPr>
            </w:pPr>
            <w:r w:rsidRPr="00753CA0">
              <w:rPr>
                <w:lang w:val="en-GB"/>
              </w:rPr>
              <w:t>1. Static electricity</w:t>
            </w:r>
          </w:p>
        </w:tc>
        <w:tc>
          <w:tcPr>
            <w:tcW w:w="801" w:type="pct"/>
            <w:tcBorders>
              <w:top w:val="single" w:sz="12" w:space="0" w:color="008000"/>
              <w:bottom w:val="single" w:sz="4" w:space="0" w:color="008000"/>
            </w:tcBorders>
            <w:shd w:val="clear" w:color="auto" w:fill="FFFFFF"/>
            <w:vAlign w:val="center"/>
          </w:tcPr>
          <w:p w14:paraId="34F8D6F4" w14:textId="77777777" w:rsidR="00A330BF" w:rsidRPr="00753CA0" w:rsidRDefault="00A330BF" w:rsidP="00E255C9">
            <w:pPr>
              <w:pStyle w:val="CETBodytext"/>
              <w:ind w:right="-1"/>
              <w:jc w:val="left"/>
              <w:rPr>
                <w:rFonts w:cs="Arial"/>
                <w:szCs w:val="18"/>
                <w:lang w:val="en-GB"/>
              </w:rPr>
            </w:pPr>
            <w:r>
              <w:rPr>
                <w:rFonts w:cs="Arial"/>
                <w:szCs w:val="18"/>
                <w:lang w:val="en-GB"/>
              </w:rPr>
              <w:t>Flash fire</w:t>
            </w:r>
            <w:r w:rsidRPr="00753CA0">
              <w:rPr>
                <w:rFonts w:cs="Arial"/>
                <w:szCs w:val="18"/>
                <w:lang w:val="en-GB"/>
              </w:rPr>
              <w:t xml:space="preserve"> […]</w:t>
            </w:r>
          </w:p>
        </w:tc>
        <w:tc>
          <w:tcPr>
            <w:tcW w:w="171" w:type="pct"/>
            <w:tcBorders>
              <w:top w:val="single" w:sz="12" w:space="0" w:color="008000"/>
              <w:bottom w:val="single" w:sz="4" w:space="0" w:color="008000"/>
            </w:tcBorders>
            <w:shd w:val="clear" w:color="auto" w:fill="FFFFFF"/>
            <w:vAlign w:val="center"/>
          </w:tcPr>
          <w:p w14:paraId="495B0EC7" w14:textId="77777777" w:rsidR="00A330BF" w:rsidRPr="00753CA0" w:rsidRDefault="00A330BF" w:rsidP="00E255C9">
            <w:pPr>
              <w:pStyle w:val="CETBodytext"/>
              <w:ind w:right="-1"/>
              <w:jc w:val="left"/>
              <w:rPr>
                <w:rFonts w:cs="Arial"/>
                <w:szCs w:val="18"/>
                <w:lang w:val="en-GB"/>
              </w:rPr>
            </w:pPr>
          </w:p>
        </w:tc>
        <w:tc>
          <w:tcPr>
            <w:tcW w:w="205" w:type="pct"/>
            <w:tcBorders>
              <w:top w:val="single" w:sz="12" w:space="0" w:color="008000"/>
              <w:bottom w:val="single" w:sz="4" w:space="0" w:color="008000"/>
            </w:tcBorders>
            <w:shd w:val="clear" w:color="auto" w:fill="FFFFFF"/>
            <w:vAlign w:val="center"/>
          </w:tcPr>
          <w:p w14:paraId="4552D4B7" w14:textId="77777777" w:rsidR="00A330BF" w:rsidRPr="00753CA0" w:rsidRDefault="00A330BF" w:rsidP="00E255C9">
            <w:pPr>
              <w:pStyle w:val="CETBodytext"/>
              <w:ind w:right="-1"/>
              <w:jc w:val="left"/>
              <w:rPr>
                <w:rFonts w:cs="Arial"/>
                <w:szCs w:val="18"/>
                <w:lang w:val="en-GB"/>
              </w:rPr>
            </w:pPr>
          </w:p>
        </w:tc>
        <w:tc>
          <w:tcPr>
            <w:tcW w:w="492" w:type="pct"/>
            <w:tcBorders>
              <w:top w:val="single" w:sz="12" w:space="0" w:color="008000"/>
              <w:bottom w:val="single" w:sz="4" w:space="0" w:color="008000"/>
            </w:tcBorders>
            <w:shd w:val="clear" w:color="auto" w:fill="FFFFFF"/>
            <w:vAlign w:val="center"/>
          </w:tcPr>
          <w:p w14:paraId="15B743F4" w14:textId="6252C573" w:rsidR="00A330BF" w:rsidRPr="00753CA0" w:rsidRDefault="00A330BF" w:rsidP="00E255C9">
            <w:pPr>
              <w:pStyle w:val="CETBodytext"/>
              <w:ind w:right="-1"/>
              <w:jc w:val="left"/>
              <w:rPr>
                <w:rFonts w:cs="Arial"/>
                <w:szCs w:val="18"/>
                <w:lang w:val="en-GB"/>
              </w:rPr>
            </w:pPr>
          </w:p>
        </w:tc>
        <w:tc>
          <w:tcPr>
            <w:tcW w:w="171" w:type="pct"/>
            <w:tcBorders>
              <w:top w:val="single" w:sz="12" w:space="0" w:color="008000"/>
              <w:bottom w:val="single" w:sz="4" w:space="0" w:color="008000"/>
            </w:tcBorders>
            <w:shd w:val="clear" w:color="auto" w:fill="FFFFFF"/>
            <w:vAlign w:val="center"/>
          </w:tcPr>
          <w:p w14:paraId="32B6A874" w14:textId="77777777" w:rsidR="00A330BF" w:rsidRPr="00753CA0" w:rsidRDefault="00A330BF" w:rsidP="00E255C9">
            <w:pPr>
              <w:pStyle w:val="CETBodytext"/>
              <w:ind w:right="-1"/>
              <w:jc w:val="left"/>
              <w:rPr>
                <w:rFonts w:cs="Arial"/>
                <w:szCs w:val="18"/>
                <w:lang w:val="en-GB"/>
              </w:rPr>
            </w:pPr>
          </w:p>
        </w:tc>
        <w:tc>
          <w:tcPr>
            <w:tcW w:w="205" w:type="pct"/>
            <w:tcBorders>
              <w:top w:val="single" w:sz="12" w:space="0" w:color="008000"/>
              <w:bottom w:val="single" w:sz="4" w:space="0" w:color="008000"/>
            </w:tcBorders>
            <w:shd w:val="clear" w:color="auto" w:fill="FFFFFF"/>
            <w:vAlign w:val="center"/>
          </w:tcPr>
          <w:p w14:paraId="2469488D" w14:textId="77777777" w:rsidR="00A330BF" w:rsidRPr="00753CA0" w:rsidRDefault="00A330BF" w:rsidP="00E255C9">
            <w:pPr>
              <w:pStyle w:val="CETBodytext"/>
              <w:ind w:right="-1"/>
              <w:jc w:val="left"/>
              <w:rPr>
                <w:rFonts w:cs="Arial"/>
                <w:szCs w:val="18"/>
                <w:lang w:val="en-GB"/>
              </w:rPr>
            </w:pPr>
          </w:p>
        </w:tc>
        <w:tc>
          <w:tcPr>
            <w:tcW w:w="996" w:type="pct"/>
            <w:tcBorders>
              <w:top w:val="single" w:sz="12" w:space="0" w:color="008000"/>
              <w:bottom w:val="single" w:sz="4" w:space="0" w:color="008000"/>
            </w:tcBorders>
            <w:shd w:val="clear" w:color="auto" w:fill="FFFFFF"/>
            <w:vAlign w:val="center"/>
          </w:tcPr>
          <w:p w14:paraId="76111DF7"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Ensure equipment compliance</w:t>
            </w:r>
          </w:p>
        </w:tc>
        <w:tc>
          <w:tcPr>
            <w:tcW w:w="171" w:type="pct"/>
            <w:tcBorders>
              <w:top w:val="single" w:sz="12" w:space="0" w:color="008000"/>
              <w:bottom w:val="single" w:sz="4" w:space="0" w:color="008000"/>
            </w:tcBorders>
            <w:shd w:val="clear" w:color="auto" w:fill="FFFFFF"/>
            <w:vAlign w:val="center"/>
          </w:tcPr>
          <w:p w14:paraId="09B77748" w14:textId="77777777" w:rsidR="00A330BF" w:rsidRPr="00753CA0" w:rsidRDefault="00A330BF" w:rsidP="00E255C9">
            <w:pPr>
              <w:pStyle w:val="CETBodytext"/>
              <w:ind w:right="-1"/>
              <w:jc w:val="left"/>
              <w:rPr>
                <w:rFonts w:cs="Arial"/>
                <w:szCs w:val="18"/>
                <w:lang w:val="en-GB"/>
              </w:rPr>
            </w:pPr>
          </w:p>
        </w:tc>
        <w:tc>
          <w:tcPr>
            <w:tcW w:w="205" w:type="pct"/>
            <w:tcBorders>
              <w:top w:val="single" w:sz="12" w:space="0" w:color="008000"/>
              <w:bottom w:val="single" w:sz="4" w:space="0" w:color="008000"/>
            </w:tcBorders>
            <w:shd w:val="clear" w:color="auto" w:fill="FFFFFF"/>
            <w:vAlign w:val="center"/>
          </w:tcPr>
          <w:p w14:paraId="5E67C405" w14:textId="77777777" w:rsidR="00A330BF" w:rsidRPr="00753CA0" w:rsidRDefault="00A330BF" w:rsidP="00E255C9">
            <w:pPr>
              <w:pStyle w:val="CETBodytext"/>
              <w:ind w:right="-1"/>
              <w:jc w:val="left"/>
              <w:rPr>
                <w:rFonts w:cs="Arial"/>
                <w:szCs w:val="18"/>
                <w:lang w:val="en-GB"/>
              </w:rPr>
            </w:pPr>
          </w:p>
        </w:tc>
      </w:tr>
      <w:tr w:rsidR="00A330BF" w:rsidRPr="00753CA0" w14:paraId="2D70F6F8" w14:textId="77777777" w:rsidTr="00E255C9">
        <w:tc>
          <w:tcPr>
            <w:tcW w:w="426" w:type="pct"/>
            <w:vMerge/>
            <w:tcBorders>
              <w:top w:val="nil"/>
              <w:left w:val="nil"/>
              <w:bottom w:val="single" w:sz="6" w:space="0" w:color="008000"/>
              <w:right w:val="single" w:sz="4" w:space="0" w:color="008000"/>
            </w:tcBorders>
            <w:shd w:val="clear" w:color="auto" w:fill="FFFFFF"/>
            <w:vAlign w:val="center"/>
          </w:tcPr>
          <w:p w14:paraId="6D40FD73" w14:textId="77777777" w:rsidR="00A330BF" w:rsidRPr="00753CA0" w:rsidRDefault="00A330BF" w:rsidP="00E255C9">
            <w:pPr>
              <w:pStyle w:val="CETBodytext"/>
              <w:jc w:val="left"/>
              <w:rPr>
                <w:lang w:val="en-GB"/>
              </w:rPr>
            </w:pPr>
          </w:p>
        </w:tc>
        <w:tc>
          <w:tcPr>
            <w:tcW w:w="588" w:type="pct"/>
            <w:vMerge/>
            <w:tcBorders>
              <w:top w:val="nil"/>
              <w:left w:val="single" w:sz="4" w:space="0" w:color="008000"/>
              <w:bottom w:val="single" w:sz="6" w:space="0" w:color="008000"/>
              <w:right w:val="single" w:sz="4" w:space="0" w:color="008000"/>
            </w:tcBorders>
            <w:shd w:val="clear" w:color="auto" w:fill="FFFFFF"/>
            <w:vAlign w:val="center"/>
          </w:tcPr>
          <w:p w14:paraId="71480595" w14:textId="77777777" w:rsidR="00A330BF" w:rsidRPr="00753CA0" w:rsidRDefault="00A330BF" w:rsidP="00E255C9">
            <w:pPr>
              <w:pStyle w:val="CETBodytext"/>
              <w:jc w:val="left"/>
              <w:rPr>
                <w:lang w:val="en-GB"/>
              </w:rPr>
            </w:pPr>
          </w:p>
        </w:tc>
        <w:tc>
          <w:tcPr>
            <w:tcW w:w="571" w:type="pct"/>
            <w:tcBorders>
              <w:top w:val="single" w:sz="4" w:space="0" w:color="008000"/>
              <w:left w:val="single" w:sz="4" w:space="0" w:color="008000"/>
              <w:bottom w:val="single" w:sz="4" w:space="0" w:color="008000"/>
            </w:tcBorders>
            <w:shd w:val="clear" w:color="auto" w:fill="FFFFFF"/>
            <w:vAlign w:val="center"/>
          </w:tcPr>
          <w:p w14:paraId="730B190A" w14:textId="77777777" w:rsidR="00A330BF" w:rsidRPr="00753CA0" w:rsidRDefault="00A330BF" w:rsidP="00E255C9">
            <w:pPr>
              <w:pStyle w:val="CETBodytext"/>
              <w:jc w:val="left"/>
              <w:rPr>
                <w:lang w:val="en-GB"/>
              </w:rPr>
            </w:pPr>
            <w:r w:rsidRPr="00753CA0">
              <w:rPr>
                <w:lang w:val="en-GB"/>
              </w:rPr>
              <w:t>2. Electrical equipment</w:t>
            </w:r>
          </w:p>
        </w:tc>
        <w:tc>
          <w:tcPr>
            <w:tcW w:w="801" w:type="pct"/>
            <w:tcBorders>
              <w:top w:val="single" w:sz="4" w:space="0" w:color="008000"/>
              <w:bottom w:val="single" w:sz="4" w:space="0" w:color="008000"/>
            </w:tcBorders>
            <w:shd w:val="clear" w:color="auto" w:fill="FFFFFF"/>
            <w:vAlign w:val="center"/>
          </w:tcPr>
          <w:p w14:paraId="0BCC94D7" w14:textId="77777777" w:rsidR="00A330BF" w:rsidRPr="00753CA0" w:rsidRDefault="00A330BF" w:rsidP="00E255C9">
            <w:pPr>
              <w:pStyle w:val="CETBodytext"/>
              <w:ind w:right="-1"/>
              <w:jc w:val="left"/>
              <w:rPr>
                <w:rFonts w:cs="Arial"/>
                <w:szCs w:val="18"/>
                <w:lang w:val="en-GB"/>
              </w:rPr>
            </w:pPr>
            <w:r>
              <w:rPr>
                <w:rFonts w:cs="Arial"/>
                <w:szCs w:val="18"/>
                <w:lang w:val="en-GB"/>
              </w:rPr>
              <w:t>Flash fire</w:t>
            </w:r>
            <w:r w:rsidRPr="00753CA0">
              <w:rPr>
                <w:rFonts w:cs="Arial"/>
                <w:szCs w:val="18"/>
                <w:lang w:val="en-GB"/>
              </w:rPr>
              <w:t xml:space="preserve"> […]</w:t>
            </w:r>
          </w:p>
        </w:tc>
        <w:tc>
          <w:tcPr>
            <w:tcW w:w="171" w:type="pct"/>
            <w:tcBorders>
              <w:top w:val="single" w:sz="4" w:space="0" w:color="008000"/>
              <w:bottom w:val="single" w:sz="4" w:space="0" w:color="008000"/>
            </w:tcBorders>
            <w:shd w:val="clear" w:color="auto" w:fill="FFFFFF"/>
            <w:vAlign w:val="center"/>
          </w:tcPr>
          <w:p w14:paraId="4276A77D" w14:textId="77777777" w:rsidR="00A330BF" w:rsidRPr="00753CA0" w:rsidRDefault="00A330BF" w:rsidP="00E255C9">
            <w:pPr>
              <w:pStyle w:val="CETBodytext"/>
              <w:ind w:right="-1"/>
              <w:jc w:val="left"/>
              <w:rPr>
                <w:rFonts w:cs="Arial"/>
                <w:szCs w:val="18"/>
                <w:lang w:val="en-GB"/>
              </w:rPr>
            </w:pPr>
          </w:p>
        </w:tc>
        <w:tc>
          <w:tcPr>
            <w:tcW w:w="205" w:type="pct"/>
            <w:tcBorders>
              <w:top w:val="single" w:sz="4" w:space="0" w:color="008000"/>
              <w:bottom w:val="single" w:sz="4" w:space="0" w:color="008000"/>
            </w:tcBorders>
            <w:shd w:val="clear" w:color="auto" w:fill="FFFFFF"/>
            <w:vAlign w:val="center"/>
          </w:tcPr>
          <w:p w14:paraId="5D0446C4" w14:textId="77777777" w:rsidR="00A330BF" w:rsidRPr="00753CA0" w:rsidRDefault="00A330BF" w:rsidP="00E255C9">
            <w:pPr>
              <w:pStyle w:val="CETBodytext"/>
              <w:ind w:right="-1"/>
              <w:jc w:val="left"/>
              <w:rPr>
                <w:rFonts w:cs="Arial"/>
                <w:szCs w:val="18"/>
                <w:lang w:val="en-GB"/>
              </w:rPr>
            </w:pPr>
          </w:p>
        </w:tc>
        <w:tc>
          <w:tcPr>
            <w:tcW w:w="492" w:type="pct"/>
            <w:tcBorders>
              <w:top w:val="single" w:sz="4" w:space="0" w:color="008000"/>
              <w:bottom w:val="single" w:sz="4" w:space="0" w:color="008000"/>
            </w:tcBorders>
            <w:shd w:val="clear" w:color="auto" w:fill="FFFFFF"/>
            <w:vAlign w:val="center"/>
          </w:tcPr>
          <w:p w14:paraId="081BBDAD" w14:textId="7811EA34" w:rsidR="00A330BF" w:rsidRPr="00753CA0" w:rsidRDefault="00997D54" w:rsidP="00E255C9">
            <w:pPr>
              <w:pStyle w:val="CETBodytext"/>
              <w:ind w:right="-1"/>
              <w:jc w:val="left"/>
              <w:rPr>
                <w:rFonts w:cs="Arial"/>
                <w:szCs w:val="18"/>
                <w:lang w:val="en-GB"/>
              </w:rPr>
            </w:pPr>
            <w:r>
              <w:rPr>
                <w:rFonts w:cs="Arial"/>
                <w:szCs w:val="18"/>
                <w:lang w:val="en-GB"/>
              </w:rPr>
              <w:t>G</w:t>
            </w:r>
            <w:r w:rsidRPr="00753CA0">
              <w:rPr>
                <w:rFonts w:cs="Arial"/>
                <w:szCs w:val="18"/>
                <w:lang w:val="en-GB"/>
              </w:rPr>
              <w:t>rounding and bonding</w:t>
            </w:r>
          </w:p>
        </w:tc>
        <w:tc>
          <w:tcPr>
            <w:tcW w:w="171" w:type="pct"/>
            <w:tcBorders>
              <w:top w:val="single" w:sz="4" w:space="0" w:color="008000"/>
              <w:bottom w:val="single" w:sz="4" w:space="0" w:color="008000"/>
            </w:tcBorders>
            <w:shd w:val="clear" w:color="auto" w:fill="FFFFFF"/>
            <w:vAlign w:val="center"/>
          </w:tcPr>
          <w:p w14:paraId="2B483B9D" w14:textId="77777777" w:rsidR="00A330BF" w:rsidRPr="00753CA0" w:rsidRDefault="00A330BF" w:rsidP="00E255C9">
            <w:pPr>
              <w:pStyle w:val="CETBodytext"/>
              <w:ind w:right="-1"/>
              <w:jc w:val="left"/>
              <w:rPr>
                <w:rFonts w:cs="Arial"/>
                <w:szCs w:val="18"/>
                <w:lang w:val="en-GB"/>
              </w:rPr>
            </w:pPr>
          </w:p>
        </w:tc>
        <w:tc>
          <w:tcPr>
            <w:tcW w:w="205" w:type="pct"/>
            <w:tcBorders>
              <w:top w:val="single" w:sz="4" w:space="0" w:color="008000"/>
              <w:bottom w:val="single" w:sz="4" w:space="0" w:color="008000"/>
            </w:tcBorders>
            <w:shd w:val="clear" w:color="auto" w:fill="FFFFFF"/>
            <w:vAlign w:val="center"/>
          </w:tcPr>
          <w:p w14:paraId="0D23BE7F" w14:textId="77777777" w:rsidR="00A330BF" w:rsidRPr="00753CA0" w:rsidRDefault="00A330BF" w:rsidP="00E255C9">
            <w:pPr>
              <w:pStyle w:val="CETBodytext"/>
              <w:ind w:right="-1"/>
              <w:jc w:val="left"/>
              <w:rPr>
                <w:rFonts w:cs="Arial"/>
                <w:szCs w:val="18"/>
                <w:lang w:val="en-GB"/>
              </w:rPr>
            </w:pPr>
          </w:p>
        </w:tc>
        <w:tc>
          <w:tcPr>
            <w:tcW w:w="996" w:type="pct"/>
            <w:tcBorders>
              <w:top w:val="single" w:sz="4" w:space="0" w:color="008000"/>
              <w:bottom w:val="single" w:sz="4" w:space="0" w:color="008000"/>
            </w:tcBorders>
            <w:shd w:val="clear" w:color="auto" w:fill="FFFFFF"/>
            <w:vAlign w:val="center"/>
          </w:tcPr>
          <w:p w14:paraId="2F4FB40D" w14:textId="6DFE993E" w:rsidR="00A330BF" w:rsidRPr="00753CA0" w:rsidRDefault="00A330BF" w:rsidP="00E255C9">
            <w:pPr>
              <w:pStyle w:val="CETBodytext"/>
              <w:ind w:right="-1"/>
              <w:jc w:val="left"/>
              <w:rPr>
                <w:rFonts w:cs="Arial"/>
                <w:szCs w:val="18"/>
                <w:lang w:val="en-GB"/>
              </w:rPr>
            </w:pPr>
          </w:p>
        </w:tc>
        <w:tc>
          <w:tcPr>
            <w:tcW w:w="171" w:type="pct"/>
            <w:tcBorders>
              <w:top w:val="single" w:sz="4" w:space="0" w:color="008000"/>
              <w:bottom w:val="single" w:sz="4" w:space="0" w:color="008000"/>
            </w:tcBorders>
            <w:shd w:val="clear" w:color="auto" w:fill="FFFFFF"/>
            <w:vAlign w:val="center"/>
          </w:tcPr>
          <w:p w14:paraId="1FBB2D1E" w14:textId="77777777" w:rsidR="00A330BF" w:rsidRPr="00753CA0" w:rsidRDefault="00A330BF" w:rsidP="00E255C9">
            <w:pPr>
              <w:pStyle w:val="CETBodytext"/>
              <w:ind w:right="-1"/>
              <w:jc w:val="left"/>
              <w:rPr>
                <w:rFonts w:cs="Arial"/>
                <w:szCs w:val="18"/>
                <w:lang w:val="en-GB"/>
              </w:rPr>
            </w:pPr>
          </w:p>
        </w:tc>
        <w:tc>
          <w:tcPr>
            <w:tcW w:w="205" w:type="pct"/>
            <w:tcBorders>
              <w:top w:val="single" w:sz="4" w:space="0" w:color="008000"/>
              <w:bottom w:val="single" w:sz="4" w:space="0" w:color="008000"/>
            </w:tcBorders>
            <w:shd w:val="clear" w:color="auto" w:fill="FFFFFF"/>
            <w:vAlign w:val="center"/>
          </w:tcPr>
          <w:p w14:paraId="6ABE9BEE" w14:textId="77777777" w:rsidR="00A330BF" w:rsidRPr="00753CA0" w:rsidRDefault="00A330BF" w:rsidP="00E255C9">
            <w:pPr>
              <w:pStyle w:val="CETBodytext"/>
              <w:ind w:right="-1"/>
              <w:jc w:val="left"/>
              <w:rPr>
                <w:rFonts w:cs="Arial"/>
                <w:szCs w:val="18"/>
                <w:lang w:val="en-GB"/>
              </w:rPr>
            </w:pPr>
          </w:p>
        </w:tc>
      </w:tr>
      <w:tr w:rsidR="00A330BF" w:rsidRPr="00753CA0" w14:paraId="7DCED197" w14:textId="77777777" w:rsidTr="00E255C9">
        <w:tc>
          <w:tcPr>
            <w:tcW w:w="426" w:type="pct"/>
            <w:vMerge/>
            <w:tcBorders>
              <w:top w:val="nil"/>
              <w:left w:val="nil"/>
              <w:bottom w:val="single" w:sz="12" w:space="0" w:color="008000"/>
              <w:right w:val="single" w:sz="4" w:space="0" w:color="008000"/>
            </w:tcBorders>
            <w:shd w:val="clear" w:color="auto" w:fill="FFFFFF"/>
            <w:vAlign w:val="center"/>
          </w:tcPr>
          <w:p w14:paraId="61BF4515" w14:textId="77777777" w:rsidR="00A330BF" w:rsidRPr="00753CA0" w:rsidRDefault="00A330BF" w:rsidP="00E255C9">
            <w:pPr>
              <w:pStyle w:val="CETBodytext"/>
              <w:jc w:val="left"/>
              <w:rPr>
                <w:lang w:val="en-GB"/>
              </w:rPr>
            </w:pPr>
          </w:p>
        </w:tc>
        <w:tc>
          <w:tcPr>
            <w:tcW w:w="588" w:type="pct"/>
            <w:vMerge/>
            <w:tcBorders>
              <w:top w:val="nil"/>
              <w:left w:val="single" w:sz="4" w:space="0" w:color="008000"/>
              <w:bottom w:val="single" w:sz="12" w:space="0" w:color="008000"/>
              <w:right w:val="single" w:sz="4" w:space="0" w:color="008000"/>
            </w:tcBorders>
            <w:shd w:val="clear" w:color="auto" w:fill="FFFFFF"/>
            <w:vAlign w:val="center"/>
          </w:tcPr>
          <w:p w14:paraId="01CA314A" w14:textId="77777777" w:rsidR="00A330BF" w:rsidRPr="00753CA0" w:rsidRDefault="00A330BF" w:rsidP="00E255C9">
            <w:pPr>
              <w:pStyle w:val="CETBodytext"/>
              <w:jc w:val="left"/>
              <w:rPr>
                <w:lang w:val="en-GB"/>
              </w:rPr>
            </w:pPr>
          </w:p>
        </w:tc>
        <w:tc>
          <w:tcPr>
            <w:tcW w:w="571" w:type="pct"/>
            <w:tcBorders>
              <w:top w:val="single" w:sz="4" w:space="0" w:color="008000"/>
              <w:left w:val="single" w:sz="4" w:space="0" w:color="008000"/>
              <w:bottom w:val="single" w:sz="12" w:space="0" w:color="008000"/>
            </w:tcBorders>
            <w:shd w:val="clear" w:color="auto" w:fill="FFFFFF"/>
            <w:vAlign w:val="center"/>
          </w:tcPr>
          <w:p w14:paraId="44D1A49F" w14:textId="77777777" w:rsidR="00A330BF" w:rsidRPr="00753CA0" w:rsidRDefault="00A330BF" w:rsidP="00E255C9">
            <w:pPr>
              <w:pStyle w:val="CETBodytext"/>
              <w:jc w:val="left"/>
              <w:rPr>
                <w:lang w:val="en-GB"/>
              </w:rPr>
            </w:pPr>
            <w:r w:rsidRPr="00753CA0">
              <w:rPr>
                <w:lang w:val="en-GB"/>
              </w:rPr>
              <w:t>3. […]</w:t>
            </w:r>
          </w:p>
        </w:tc>
        <w:tc>
          <w:tcPr>
            <w:tcW w:w="801" w:type="pct"/>
            <w:tcBorders>
              <w:top w:val="single" w:sz="4" w:space="0" w:color="008000"/>
              <w:bottom w:val="single" w:sz="12" w:space="0" w:color="008000"/>
            </w:tcBorders>
            <w:shd w:val="clear" w:color="auto" w:fill="FFFFFF"/>
            <w:vAlign w:val="center"/>
          </w:tcPr>
          <w:p w14:paraId="39A53F35" w14:textId="77777777" w:rsidR="00A330BF" w:rsidRPr="00753CA0" w:rsidRDefault="00A330BF" w:rsidP="00E255C9">
            <w:pPr>
              <w:pStyle w:val="CETBodytext"/>
              <w:ind w:right="-1"/>
              <w:jc w:val="left"/>
              <w:rPr>
                <w:rFonts w:cs="Arial"/>
                <w:szCs w:val="18"/>
                <w:lang w:val="en-GB"/>
              </w:rPr>
            </w:pPr>
            <w:r w:rsidRPr="00753CA0">
              <w:rPr>
                <w:rFonts w:cs="Arial"/>
                <w:szCs w:val="18"/>
                <w:lang w:val="en-GB"/>
              </w:rPr>
              <w:t>[…]</w:t>
            </w:r>
          </w:p>
        </w:tc>
        <w:tc>
          <w:tcPr>
            <w:tcW w:w="171" w:type="pct"/>
            <w:tcBorders>
              <w:top w:val="single" w:sz="4" w:space="0" w:color="008000"/>
              <w:bottom w:val="single" w:sz="12" w:space="0" w:color="008000"/>
            </w:tcBorders>
            <w:shd w:val="clear" w:color="auto" w:fill="FFFFFF"/>
            <w:vAlign w:val="center"/>
          </w:tcPr>
          <w:p w14:paraId="13769DC3" w14:textId="77777777" w:rsidR="00A330BF" w:rsidRPr="00753CA0" w:rsidRDefault="00A330BF" w:rsidP="00E255C9">
            <w:pPr>
              <w:pStyle w:val="CETBodytext"/>
              <w:ind w:right="-1"/>
              <w:jc w:val="left"/>
              <w:rPr>
                <w:rFonts w:cs="Arial"/>
                <w:szCs w:val="18"/>
                <w:lang w:val="en-GB"/>
              </w:rPr>
            </w:pPr>
          </w:p>
        </w:tc>
        <w:tc>
          <w:tcPr>
            <w:tcW w:w="205" w:type="pct"/>
            <w:tcBorders>
              <w:top w:val="single" w:sz="4" w:space="0" w:color="008000"/>
              <w:bottom w:val="single" w:sz="12" w:space="0" w:color="008000"/>
            </w:tcBorders>
            <w:shd w:val="clear" w:color="auto" w:fill="FFFFFF"/>
            <w:vAlign w:val="center"/>
          </w:tcPr>
          <w:p w14:paraId="488EFC95" w14:textId="77777777" w:rsidR="00A330BF" w:rsidRPr="00753CA0" w:rsidRDefault="00A330BF" w:rsidP="00E255C9">
            <w:pPr>
              <w:pStyle w:val="CETBodytext"/>
              <w:ind w:right="-1"/>
              <w:jc w:val="left"/>
              <w:rPr>
                <w:rFonts w:cs="Arial"/>
                <w:szCs w:val="18"/>
                <w:lang w:val="en-GB"/>
              </w:rPr>
            </w:pPr>
          </w:p>
        </w:tc>
        <w:tc>
          <w:tcPr>
            <w:tcW w:w="492" w:type="pct"/>
            <w:tcBorders>
              <w:top w:val="single" w:sz="4" w:space="0" w:color="008000"/>
              <w:bottom w:val="single" w:sz="12" w:space="0" w:color="008000"/>
            </w:tcBorders>
            <w:shd w:val="clear" w:color="auto" w:fill="FFFFFF"/>
            <w:vAlign w:val="center"/>
          </w:tcPr>
          <w:p w14:paraId="307CC98E" w14:textId="77777777" w:rsidR="00A330BF" w:rsidRPr="00753CA0" w:rsidRDefault="00A330BF" w:rsidP="00E255C9">
            <w:pPr>
              <w:pStyle w:val="CETBodytext"/>
              <w:ind w:right="-1"/>
              <w:jc w:val="left"/>
              <w:rPr>
                <w:rFonts w:cs="Arial"/>
                <w:szCs w:val="18"/>
                <w:lang w:val="en-GB"/>
              </w:rPr>
            </w:pPr>
          </w:p>
        </w:tc>
        <w:tc>
          <w:tcPr>
            <w:tcW w:w="171" w:type="pct"/>
            <w:tcBorders>
              <w:top w:val="single" w:sz="4" w:space="0" w:color="008000"/>
              <w:bottom w:val="single" w:sz="12" w:space="0" w:color="008000"/>
            </w:tcBorders>
            <w:shd w:val="clear" w:color="auto" w:fill="FFFFFF"/>
            <w:vAlign w:val="center"/>
          </w:tcPr>
          <w:p w14:paraId="3E4D15DE" w14:textId="77777777" w:rsidR="00A330BF" w:rsidRPr="00753CA0" w:rsidRDefault="00A330BF" w:rsidP="00E255C9">
            <w:pPr>
              <w:pStyle w:val="CETBodytext"/>
              <w:ind w:right="-1"/>
              <w:jc w:val="left"/>
              <w:rPr>
                <w:rFonts w:cs="Arial"/>
                <w:szCs w:val="18"/>
                <w:lang w:val="en-GB"/>
              </w:rPr>
            </w:pPr>
          </w:p>
        </w:tc>
        <w:tc>
          <w:tcPr>
            <w:tcW w:w="205" w:type="pct"/>
            <w:tcBorders>
              <w:top w:val="single" w:sz="4" w:space="0" w:color="008000"/>
              <w:bottom w:val="single" w:sz="12" w:space="0" w:color="008000"/>
            </w:tcBorders>
            <w:shd w:val="clear" w:color="auto" w:fill="FFFFFF"/>
            <w:vAlign w:val="center"/>
          </w:tcPr>
          <w:p w14:paraId="2E4CB1DA" w14:textId="77777777" w:rsidR="00A330BF" w:rsidRPr="00753CA0" w:rsidRDefault="00A330BF" w:rsidP="00E255C9">
            <w:pPr>
              <w:pStyle w:val="CETBodytext"/>
              <w:ind w:right="-1"/>
              <w:jc w:val="left"/>
              <w:rPr>
                <w:rFonts w:cs="Arial"/>
                <w:szCs w:val="18"/>
                <w:lang w:val="en-GB"/>
              </w:rPr>
            </w:pPr>
          </w:p>
        </w:tc>
        <w:tc>
          <w:tcPr>
            <w:tcW w:w="996" w:type="pct"/>
            <w:tcBorders>
              <w:top w:val="single" w:sz="4" w:space="0" w:color="008000"/>
              <w:bottom w:val="single" w:sz="12" w:space="0" w:color="008000"/>
            </w:tcBorders>
            <w:shd w:val="clear" w:color="auto" w:fill="FFFFFF"/>
            <w:vAlign w:val="center"/>
          </w:tcPr>
          <w:p w14:paraId="4F4FC79E" w14:textId="77777777" w:rsidR="00A330BF" w:rsidRPr="00753CA0" w:rsidRDefault="00A330BF" w:rsidP="00E255C9">
            <w:pPr>
              <w:pStyle w:val="CETBodytext"/>
              <w:ind w:right="-1"/>
              <w:jc w:val="left"/>
              <w:rPr>
                <w:rFonts w:cs="Arial"/>
                <w:szCs w:val="18"/>
                <w:lang w:val="en-GB"/>
              </w:rPr>
            </w:pPr>
          </w:p>
        </w:tc>
        <w:tc>
          <w:tcPr>
            <w:tcW w:w="171" w:type="pct"/>
            <w:tcBorders>
              <w:top w:val="single" w:sz="4" w:space="0" w:color="008000"/>
              <w:bottom w:val="single" w:sz="12" w:space="0" w:color="008000"/>
            </w:tcBorders>
            <w:shd w:val="clear" w:color="auto" w:fill="FFFFFF"/>
            <w:vAlign w:val="center"/>
          </w:tcPr>
          <w:p w14:paraId="42A9E6EB" w14:textId="77777777" w:rsidR="00A330BF" w:rsidRPr="00753CA0" w:rsidRDefault="00A330BF" w:rsidP="00E255C9">
            <w:pPr>
              <w:pStyle w:val="CETBodytext"/>
              <w:ind w:right="-1"/>
              <w:jc w:val="left"/>
              <w:rPr>
                <w:rFonts w:cs="Arial"/>
                <w:szCs w:val="18"/>
                <w:lang w:val="en-GB"/>
              </w:rPr>
            </w:pPr>
          </w:p>
        </w:tc>
        <w:tc>
          <w:tcPr>
            <w:tcW w:w="205" w:type="pct"/>
            <w:tcBorders>
              <w:top w:val="single" w:sz="4" w:space="0" w:color="008000"/>
              <w:bottom w:val="single" w:sz="12" w:space="0" w:color="008000"/>
            </w:tcBorders>
            <w:shd w:val="clear" w:color="auto" w:fill="FFFFFF"/>
            <w:vAlign w:val="center"/>
          </w:tcPr>
          <w:p w14:paraId="0B0C9C24" w14:textId="77777777" w:rsidR="00A330BF" w:rsidRPr="00753CA0" w:rsidRDefault="00A330BF" w:rsidP="00E255C9">
            <w:pPr>
              <w:pStyle w:val="CETBodytext"/>
              <w:ind w:right="-1"/>
              <w:jc w:val="left"/>
              <w:rPr>
                <w:rFonts w:cs="Arial"/>
                <w:szCs w:val="18"/>
                <w:lang w:val="en-GB"/>
              </w:rPr>
            </w:pPr>
          </w:p>
        </w:tc>
      </w:tr>
    </w:tbl>
    <w:p w14:paraId="46CE50C9" w14:textId="75623E14" w:rsidR="00496D9A" w:rsidRPr="00C071B6" w:rsidRDefault="00496D9A" w:rsidP="00453E24">
      <w:pPr>
        <w:pStyle w:val="CETBodytext"/>
      </w:pPr>
      <w:r w:rsidRPr="00496D9A">
        <w:rPr>
          <w:lang w:val="en-GB"/>
        </w:rPr>
        <w:t>The current methodology was derived from analogous analyses known as Dust Hazard Analysis (DHA), focusing on explosive dusts, as documented in Gritti</w:t>
      </w:r>
      <w:r w:rsidR="00D77AD0" w:rsidRPr="00D77AD0">
        <w:t xml:space="preserve"> </w:t>
      </w:r>
      <w:r w:rsidR="00D77AD0" w:rsidRPr="00D77AD0">
        <w:rPr>
          <w:lang w:val="en-GB"/>
        </w:rPr>
        <w:t>et al.</w:t>
      </w:r>
      <w:r w:rsidRPr="00496D9A">
        <w:rPr>
          <w:lang w:val="en-GB"/>
        </w:rPr>
        <w:t>, 2023</w:t>
      </w:r>
      <w:r w:rsidR="00B716F6">
        <w:rPr>
          <w:lang w:val="en-GB"/>
        </w:rPr>
        <w:t>,</w:t>
      </w:r>
      <w:r w:rsidR="00C071B6" w:rsidRPr="00C071B6">
        <w:rPr>
          <w:rFonts w:ascii="Times New Roman" w:hAnsi="Times New Roman"/>
          <w:szCs w:val="24"/>
        </w:rPr>
        <w:t xml:space="preserve"> </w:t>
      </w:r>
      <w:r w:rsidR="00C071B6" w:rsidRPr="00C071B6">
        <w:t>which is based on the application of a risk matrix that incorporates levels of severity and likelihood</w:t>
      </w:r>
      <w:r w:rsidRPr="00496D9A">
        <w:rPr>
          <w:lang w:val="en-GB"/>
        </w:rPr>
        <w:t xml:space="preserve">. When transferring this assessment from dust to gases, differences emerge not in the structure of the analysis but primarily regarding the extent of the zones, </w:t>
      </w:r>
      <w:r>
        <w:rPr>
          <w:lang w:val="en-GB"/>
        </w:rPr>
        <w:t xml:space="preserve">the ignition risk assessment, </w:t>
      </w:r>
      <w:r w:rsidRPr="00496D9A">
        <w:rPr>
          <w:lang w:val="en-GB"/>
        </w:rPr>
        <w:t>the consequences, and the</w:t>
      </w:r>
      <w:r w:rsidR="00E86711">
        <w:rPr>
          <w:lang w:val="en-GB"/>
        </w:rPr>
        <w:t xml:space="preserve"> safeguard</w:t>
      </w:r>
      <w:r w:rsidRPr="00496D9A">
        <w:rPr>
          <w:lang w:val="en-GB"/>
        </w:rPr>
        <w:t>.</w:t>
      </w:r>
    </w:p>
    <w:p w14:paraId="0636B784" w14:textId="3BFF6606" w:rsidR="00453E24" w:rsidRDefault="00496D9A" w:rsidP="00453E24">
      <w:pPr>
        <w:pStyle w:val="CETheadingx"/>
      </w:pPr>
      <w:r>
        <w:t>Hazardous Area Classification (HAC) and Ignition Risk Assessment (IRA)</w:t>
      </w:r>
    </w:p>
    <w:p w14:paraId="37056743" w14:textId="6927E4BF" w:rsidR="00AA0FFD" w:rsidRDefault="00E86711" w:rsidP="00453E24">
      <w:pPr>
        <w:pStyle w:val="CETBodytext"/>
        <w:rPr>
          <w:lang w:val="en-GB"/>
        </w:rPr>
      </w:pPr>
      <w:r w:rsidRPr="00753CA0">
        <w:rPr>
          <w:lang w:val="en-GB"/>
        </w:rPr>
        <w:t>The Hazardous Area Classification follows the usual path described in IEC 60079-10-</w:t>
      </w:r>
      <w:r>
        <w:rPr>
          <w:lang w:val="en-GB"/>
        </w:rPr>
        <w:t>1</w:t>
      </w:r>
      <w:r w:rsidRPr="00753CA0">
        <w:rPr>
          <w:lang w:val="en-GB"/>
        </w:rPr>
        <w:t xml:space="preserve"> (20</w:t>
      </w:r>
      <w:r>
        <w:rPr>
          <w:lang w:val="en-GB"/>
        </w:rPr>
        <w:t>20</w:t>
      </w:r>
      <w:r w:rsidRPr="00753CA0">
        <w:rPr>
          <w:lang w:val="en-GB"/>
        </w:rPr>
        <w:t>), starting from the identification of the possible sources of emission and the characterization of the grade of emission</w:t>
      </w:r>
      <w:r>
        <w:rPr>
          <w:lang w:val="en-GB"/>
        </w:rPr>
        <w:t>.</w:t>
      </w:r>
      <w:r w:rsidR="00DD34C6" w:rsidRPr="00DD34C6">
        <w:t xml:space="preserve"> </w:t>
      </w:r>
      <w:r w:rsidR="00DD34C6" w:rsidRPr="00DD34C6">
        <w:rPr>
          <w:lang w:val="en-GB"/>
        </w:rPr>
        <w:t xml:space="preserve">The key difference in area classification between gases and dusts is that, while no explicit formulas exist for determining the extent of hazardous zones for dusts, </w:t>
      </w:r>
      <w:r w:rsidR="00B716F6">
        <w:rPr>
          <w:lang w:val="en-GB"/>
        </w:rPr>
        <w:t xml:space="preserve">standard </w:t>
      </w:r>
      <w:r w:rsidR="00DD34C6" w:rsidRPr="00DD34C6">
        <w:rPr>
          <w:lang w:val="en-GB"/>
        </w:rPr>
        <w:t>IEC 60079-10-1 (2020) provide</w:t>
      </w:r>
      <w:r w:rsidR="00B716F6">
        <w:rPr>
          <w:lang w:val="en-GB"/>
        </w:rPr>
        <w:t>s</w:t>
      </w:r>
      <w:r w:rsidR="00DD34C6" w:rsidRPr="00DD34C6">
        <w:rPr>
          <w:lang w:val="en-GB"/>
        </w:rPr>
        <w:t xml:space="preserve"> precise formulas for gases, considering the release grade and the ventilation </w:t>
      </w:r>
      <w:r w:rsidR="00AA0FFD" w:rsidRPr="00DD34C6">
        <w:rPr>
          <w:lang w:val="en-GB"/>
        </w:rPr>
        <w:t>type.</w:t>
      </w:r>
    </w:p>
    <w:p w14:paraId="47CF57E1" w14:textId="26FA815A" w:rsidR="00AA0FFD" w:rsidRDefault="00207704" w:rsidP="00453E24">
      <w:pPr>
        <w:pStyle w:val="CETBodytext"/>
        <w:rPr>
          <w:lang w:val="en-GB"/>
        </w:rPr>
      </w:pPr>
      <w:r w:rsidRPr="00207704">
        <w:rPr>
          <w:lang w:val="en-GB"/>
        </w:rPr>
        <w:t>The Ignition Risk Assessment for gases is primarily determined by the presence of an ignition source due to their extremely low minimum ignition energy</w:t>
      </w:r>
      <w:r w:rsidR="00AA0FFD" w:rsidRPr="00AA0FFD">
        <w:rPr>
          <w:lang w:val="en-GB"/>
        </w:rPr>
        <w:t>.</w:t>
      </w:r>
      <w:r w:rsidRPr="00207704">
        <w:rPr>
          <w:lang w:val="en-GB"/>
        </w:rPr>
        <w:t xml:space="preserve"> </w:t>
      </w:r>
      <w:r w:rsidRPr="00207704">
        <w:rPr>
          <w:lang w:val="en-GB"/>
        </w:rPr>
        <w:t xml:space="preserve">This consideration is particularly critical for electrostatic discharges and mechanical sparks, where even minimal energy input can induce ignition. Conversely, for hot surfaces, the </w:t>
      </w:r>
      <w:r w:rsidRPr="00207704">
        <w:rPr>
          <w:lang w:val="en-GB"/>
        </w:rPr>
        <w:lastRenderedPageBreak/>
        <w:t>assessment must incorporate a comparative analysis between the surface temperature and the gas autoignition temperature to ensure a precise risk evaluation. In contrast, dust ignition assessments also necessitate evaluating the effectiveness of the ignition source, given that dusts possess substantially higher ignition energy thresholds, often exceeding 1000 mJ.</w:t>
      </w:r>
    </w:p>
    <w:p w14:paraId="3CFD35AC" w14:textId="77777777" w:rsidR="00AA0FFD" w:rsidRPr="00753CA0" w:rsidRDefault="00AA0FFD" w:rsidP="00AA0FFD">
      <w:pPr>
        <w:pStyle w:val="CETheadingx"/>
        <w:rPr>
          <w:lang w:val="en-GB"/>
        </w:rPr>
      </w:pPr>
      <w:bookmarkStart w:id="3" w:name="_Ref158623736"/>
      <w:r w:rsidRPr="00753CA0">
        <w:rPr>
          <w:lang w:val="en-GB"/>
        </w:rPr>
        <w:t>Consequence Analysis</w:t>
      </w:r>
      <w:bookmarkEnd w:id="3"/>
    </w:p>
    <w:p w14:paraId="5900E093" w14:textId="77777777" w:rsidR="00AA0FFD" w:rsidRDefault="00AA0FFD" w:rsidP="00AA0FFD">
      <w:pPr>
        <w:pStyle w:val="CETBodytext"/>
        <w:rPr>
          <w:lang w:val="en-GB"/>
        </w:rPr>
      </w:pPr>
      <w:r w:rsidRPr="00753CA0">
        <w:rPr>
          <w:lang w:val="en-GB"/>
        </w:rPr>
        <w:t xml:space="preserve">For the analysis of the consequences, </w:t>
      </w:r>
      <w:r>
        <w:rPr>
          <w:lang w:val="en-GB"/>
        </w:rPr>
        <w:t xml:space="preserve">among all the aspects to be </w:t>
      </w:r>
      <w:proofErr w:type="gramStart"/>
      <w:r>
        <w:rPr>
          <w:lang w:val="en-GB"/>
        </w:rPr>
        <w:t>taken into account</w:t>
      </w:r>
      <w:proofErr w:type="gramEnd"/>
      <w:r>
        <w:rPr>
          <w:lang w:val="en-GB"/>
        </w:rPr>
        <w:t xml:space="preserve">, the starting point is the pentagon of the explosion, in order to understand the physical effect resulting after the ignition. </w:t>
      </w:r>
    </w:p>
    <w:p w14:paraId="11B4401F" w14:textId="53CF4AE2" w:rsidR="00AA0FFD" w:rsidRDefault="00FA039E" w:rsidP="006B6244">
      <w:pPr>
        <w:pStyle w:val="CETBodytext"/>
        <w:jc w:val="left"/>
        <w:rPr>
          <w:lang w:val="en-GB"/>
        </w:rPr>
      </w:pPr>
      <w:r w:rsidRPr="00FA039E">
        <w:rPr>
          <w:noProof/>
          <w:lang w:val="en-GB"/>
        </w:rPr>
        <w:drawing>
          <wp:inline distT="0" distB="0" distL="0" distR="0" wp14:anchorId="6AF5EFC6" wp14:editId="4127728D">
            <wp:extent cx="2610000" cy="799010"/>
            <wp:effectExtent l="0" t="0" r="0" b="1270"/>
            <wp:docPr id="87177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7970" name=""/>
                    <pic:cNvPicPr/>
                  </pic:nvPicPr>
                  <pic:blipFill>
                    <a:blip r:embed="rId13"/>
                    <a:stretch>
                      <a:fillRect/>
                    </a:stretch>
                  </pic:blipFill>
                  <pic:spPr>
                    <a:xfrm>
                      <a:off x="0" y="0"/>
                      <a:ext cx="2610000" cy="799010"/>
                    </a:xfrm>
                    <a:prstGeom prst="rect">
                      <a:avLst/>
                    </a:prstGeom>
                  </pic:spPr>
                </pic:pic>
              </a:graphicData>
            </a:graphic>
          </wp:inline>
        </w:drawing>
      </w:r>
    </w:p>
    <w:p w14:paraId="4B0C9B23" w14:textId="621CE2AD" w:rsidR="00AA0FFD" w:rsidRDefault="00AA0FFD" w:rsidP="00AA0FFD">
      <w:pPr>
        <w:pStyle w:val="Caption"/>
        <w:spacing w:before="240"/>
        <w:rPr>
          <w:rStyle w:val="CETCaptionCarattere"/>
          <w:b w:val="0"/>
          <w:bCs w:val="0"/>
          <w:color w:val="auto"/>
        </w:rPr>
      </w:pPr>
      <w:r w:rsidRPr="00753CA0">
        <w:rPr>
          <w:rStyle w:val="CETCaptionCarattere"/>
          <w:b w:val="0"/>
          <w:bCs w:val="0"/>
          <w:color w:val="auto"/>
        </w:rPr>
        <w:t xml:space="preserve">Figure </w:t>
      </w:r>
      <w:r w:rsidRPr="00753CA0">
        <w:rPr>
          <w:rStyle w:val="CETCaptionCarattere"/>
          <w:b w:val="0"/>
          <w:bCs w:val="0"/>
          <w:color w:val="auto"/>
        </w:rPr>
        <w:fldChar w:fldCharType="begin"/>
      </w:r>
      <w:r w:rsidRPr="00753CA0">
        <w:rPr>
          <w:rStyle w:val="CETCaptionCarattere"/>
          <w:b w:val="0"/>
          <w:bCs w:val="0"/>
          <w:color w:val="auto"/>
        </w:rPr>
        <w:instrText xml:space="preserve"> SEQ Figure \* ARABIC </w:instrText>
      </w:r>
      <w:r w:rsidRPr="00753CA0">
        <w:rPr>
          <w:rStyle w:val="CETCaptionCarattere"/>
          <w:b w:val="0"/>
          <w:bCs w:val="0"/>
          <w:color w:val="auto"/>
        </w:rPr>
        <w:fldChar w:fldCharType="separate"/>
      </w:r>
      <w:r w:rsidR="00892940">
        <w:rPr>
          <w:rStyle w:val="CETCaptionCarattere"/>
          <w:b w:val="0"/>
          <w:bCs w:val="0"/>
          <w:noProof/>
          <w:color w:val="auto"/>
        </w:rPr>
        <w:t>1</w:t>
      </w:r>
      <w:r w:rsidRPr="00753CA0">
        <w:rPr>
          <w:rStyle w:val="CETCaptionCarattere"/>
          <w:b w:val="0"/>
          <w:bCs w:val="0"/>
          <w:color w:val="auto"/>
        </w:rPr>
        <w:fldChar w:fldCharType="end"/>
      </w:r>
      <w:r w:rsidRPr="00753CA0">
        <w:rPr>
          <w:rStyle w:val="CETCaptionCarattere"/>
          <w:b w:val="0"/>
          <w:bCs w:val="0"/>
          <w:color w:val="auto"/>
        </w:rPr>
        <w:t xml:space="preserve">: </w:t>
      </w:r>
      <w:r>
        <w:rPr>
          <w:rStyle w:val="CETCaptionCarattere"/>
          <w:b w:val="0"/>
          <w:bCs w:val="0"/>
          <w:color w:val="auto"/>
        </w:rPr>
        <w:t>Consequences of ignition, based on the pentagon of fire</w:t>
      </w:r>
    </w:p>
    <w:p w14:paraId="3CC4D146" w14:textId="2CFA99DD" w:rsidR="00AA0FFD" w:rsidRPr="00AA0FFD" w:rsidRDefault="00AA0FFD" w:rsidP="00AA0FFD">
      <w:pPr>
        <w:pStyle w:val="CETBodytext"/>
      </w:pPr>
      <w:r w:rsidRPr="00AA0FFD">
        <w:t>As a preliminary consideration, ignition within the internal volume of equipment can be expected to result in an explosion, whereas ignition in an open area is more likely to cause a flash fire</w:t>
      </w:r>
      <w:r w:rsidR="00517B44" w:rsidRPr="00517B44">
        <w:t xml:space="preserve"> </w:t>
      </w:r>
      <w:r w:rsidR="00517B44">
        <w:t>or jet fire, in case of pressure release</w:t>
      </w:r>
      <w:r w:rsidRPr="00AA0FFD">
        <w:t>.</w:t>
      </w:r>
      <w:r w:rsidR="00517B44">
        <w:t xml:space="preserve"> </w:t>
      </w:r>
      <w:r w:rsidRPr="00AA0FFD">
        <w:t>For instance, during start-up, shutdown, or maintenance operations, the equipment may be nearly empty, and the quantity of flammable gas or liquid inside might be insufficient to trigger an explosion. In such cases, the resulting consequence would likely be an internal flash fire</w:t>
      </w:r>
      <w:r w:rsidR="00F66F5A">
        <w:t xml:space="preserve"> or jet fire, in case of pressure release,</w:t>
      </w:r>
      <w:r w:rsidRPr="00AA0FFD">
        <w:t xml:space="preserve"> rather than a full-scale explosion.</w:t>
      </w:r>
    </w:p>
    <w:p w14:paraId="659D4C82" w14:textId="77777777" w:rsidR="00AA0FFD" w:rsidRPr="00AA0FFD" w:rsidRDefault="00AA0FFD" w:rsidP="00AA0FFD">
      <w:pPr>
        <w:pStyle w:val="CETBodytext"/>
      </w:pPr>
      <w:r w:rsidRPr="00AA0FFD">
        <w:t>Additionally, in the event of an internal explosion, it is crucial to consider the potential propagation of the flame front to interconnected equipment, as well as the projection of fragments that could pose additional hazards.</w:t>
      </w:r>
    </w:p>
    <w:p w14:paraId="251E4F3C" w14:textId="31069257" w:rsidR="00AA0FFD" w:rsidRPr="00753CA0" w:rsidRDefault="00AA0FFD" w:rsidP="00AA0FFD">
      <w:pPr>
        <w:pStyle w:val="CETheadingx"/>
        <w:rPr>
          <w:lang w:val="en-GB"/>
        </w:rPr>
      </w:pPr>
      <w:r>
        <w:rPr>
          <w:lang w:val="en-GB"/>
        </w:rPr>
        <w:t>Safeguard</w:t>
      </w:r>
    </w:p>
    <w:p w14:paraId="3AF2D0BE" w14:textId="4C14B800" w:rsidR="008C1D96" w:rsidRDefault="008C1D96" w:rsidP="008C1D96">
      <w:pPr>
        <w:pStyle w:val="CETBodytext"/>
        <w:rPr>
          <w:lang w:val="en-GB"/>
        </w:rPr>
      </w:pPr>
      <w:r w:rsidRPr="008C1D96">
        <w:rPr>
          <w:lang w:val="en-GB"/>
        </w:rPr>
        <w:t xml:space="preserve">When referring to </w:t>
      </w:r>
      <w:r w:rsidR="00F67D26">
        <w:rPr>
          <w:lang w:val="en-GB"/>
        </w:rPr>
        <w:t>safeguards</w:t>
      </w:r>
      <w:r w:rsidRPr="008C1D96">
        <w:rPr>
          <w:lang w:val="en-GB"/>
        </w:rPr>
        <w:t xml:space="preserve">, it pertains to the mitigated risk, which is evaluated by considering the effectiveness and reliability of the existing safeguards (e.g., inerting, </w:t>
      </w:r>
      <w:r>
        <w:rPr>
          <w:lang w:val="en-GB"/>
        </w:rPr>
        <w:t>ventilation</w:t>
      </w:r>
      <w:r w:rsidRPr="008C1D96">
        <w:rPr>
          <w:lang w:val="en-GB"/>
        </w:rPr>
        <w:t>), resulting in a reduction of the scenario frequency.</w:t>
      </w:r>
    </w:p>
    <w:p w14:paraId="1B238ABE" w14:textId="2116C5FC" w:rsidR="008C1D96" w:rsidRDefault="008C1D96" w:rsidP="008C1D96">
      <w:pPr>
        <w:pStyle w:val="CETBodytext"/>
        <w:rPr>
          <w:lang w:val="en-GB"/>
        </w:rPr>
      </w:pPr>
      <w:r>
        <w:rPr>
          <w:lang w:val="en-GB"/>
        </w:rPr>
        <w:t xml:space="preserve">For </w:t>
      </w:r>
      <w:r w:rsidR="00F67D26">
        <w:rPr>
          <w:lang w:val="en-GB"/>
        </w:rPr>
        <w:t>instance</w:t>
      </w:r>
      <w:r>
        <w:rPr>
          <w:lang w:val="en-GB"/>
        </w:rPr>
        <w:t>, the following PFDs can be assigned, as reported in the Guidelines for Initiating Events and Independent Protection Layers in the Layer of Protection Analysis (CCPS, 2015):</w:t>
      </w:r>
    </w:p>
    <w:p w14:paraId="3D8E4C1A" w14:textId="77777777" w:rsidR="008C1D96" w:rsidRDefault="008C1D96" w:rsidP="008C1D96">
      <w:pPr>
        <w:pStyle w:val="CETBodytext"/>
        <w:numPr>
          <w:ilvl w:val="0"/>
          <w:numId w:val="28"/>
        </w:numPr>
        <w:rPr>
          <w:lang w:val="en-GB"/>
        </w:rPr>
      </w:pPr>
      <w:r>
        <w:rPr>
          <w:lang w:val="en-GB"/>
        </w:rPr>
        <w:t xml:space="preserve">Explosion panels on process equipment: PFD = </w:t>
      </w:r>
      <w:proofErr w:type="gramStart"/>
      <w:r>
        <w:rPr>
          <w:lang w:val="en-GB"/>
        </w:rPr>
        <w:t>10</w:t>
      </w:r>
      <w:r w:rsidRPr="00F45BC0">
        <w:rPr>
          <w:vertAlign w:val="superscript"/>
          <w:lang w:val="en-GB"/>
        </w:rPr>
        <w:t>-2</w:t>
      </w:r>
      <w:r>
        <w:rPr>
          <w:lang w:val="en-GB"/>
        </w:rPr>
        <w:t>;</w:t>
      </w:r>
      <w:proofErr w:type="gramEnd"/>
    </w:p>
    <w:p w14:paraId="033772E0" w14:textId="399F488A" w:rsidR="008C1D96" w:rsidRPr="00F67D26" w:rsidRDefault="00F67D26" w:rsidP="00F67D26">
      <w:pPr>
        <w:pStyle w:val="CETBodytext"/>
        <w:numPr>
          <w:ilvl w:val="0"/>
          <w:numId w:val="28"/>
        </w:numPr>
      </w:pPr>
      <w:r w:rsidRPr="00F67D26">
        <w:t xml:space="preserve">Continuous ventilation </w:t>
      </w:r>
      <w:r w:rsidRPr="00F67D26">
        <w:rPr>
          <w:i/>
          <w:iCs/>
        </w:rPr>
        <w:t xml:space="preserve">with </w:t>
      </w:r>
      <w:r w:rsidRPr="00F67D26">
        <w:t>automated performance</w:t>
      </w:r>
      <w:r>
        <w:t xml:space="preserve"> </w:t>
      </w:r>
      <w:r w:rsidRPr="00F67D26">
        <w:rPr>
          <w:lang w:val="en-GB"/>
        </w:rPr>
        <w:t>monitoring</w:t>
      </w:r>
      <w:r w:rsidR="008C1D96" w:rsidRPr="00F67D26">
        <w:rPr>
          <w:lang w:val="en-GB"/>
        </w:rPr>
        <w:t xml:space="preserve">: PFD = </w:t>
      </w:r>
      <w:proofErr w:type="gramStart"/>
      <w:r w:rsidR="008C1D96" w:rsidRPr="00F67D26">
        <w:rPr>
          <w:lang w:val="en-GB"/>
        </w:rPr>
        <w:t>10</w:t>
      </w:r>
      <w:r w:rsidR="008C1D96" w:rsidRPr="00F67D26">
        <w:rPr>
          <w:vertAlign w:val="superscript"/>
          <w:lang w:val="en-GB"/>
        </w:rPr>
        <w:t>-</w:t>
      </w:r>
      <w:r>
        <w:rPr>
          <w:vertAlign w:val="superscript"/>
          <w:lang w:val="en-GB"/>
        </w:rPr>
        <w:t>2</w:t>
      </w:r>
      <w:r w:rsidR="008C1D96" w:rsidRPr="00F67D26">
        <w:rPr>
          <w:lang w:val="en-GB"/>
        </w:rPr>
        <w:t>;</w:t>
      </w:r>
      <w:proofErr w:type="gramEnd"/>
    </w:p>
    <w:p w14:paraId="013EBD9E" w14:textId="5492243F" w:rsidR="008C1D96" w:rsidRPr="00F67D26" w:rsidRDefault="00F67D26" w:rsidP="00F67D26">
      <w:pPr>
        <w:pStyle w:val="CETBodytext"/>
        <w:numPr>
          <w:ilvl w:val="0"/>
          <w:numId w:val="28"/>
        </w:numPr>
      </w:pPr>
      <w:r w:rsidRPr="00F67D26">
        <w:t>Emergency ventilation initiated by safety controls, alarms, and</w:t>
      </w:r>
      <w:r>
        <w:t xml:space="preserve"> </w:t>
      </w:r>
      <w:r w:rsidRPr="00F67D26">
        <w:rPr>
          <w:lang w:val="en-GB"/>
        </w:rPr>
        <w:t>interlocks (SCAI)</w:t>
      </w:r>
      <w:r w:rsidR="008C1D96" w:rsidRPr="00F67D26">
        <w:rPr>
          <w:lang w:val="en-GB"/>
        </w:rPr>
        <w:t xml:space="preserve">: PFD = </w:t>
      </w:r>
      <w:proofErr w:type="gramStart"/>
      <w:r w:rsidR="008C1D96" w:rsidRPr="00F67D26">
        <w:rPr>
          <w:lang w:val="en-GB"/>
        </w:rPr>
        <w:t>10</w:t>
      </w:r>
      <w:r w:rsidR="008C1D96" w:rsidRPr="00F67D26">
        <w:rPr>
          <w:vertAlign w:val="superscript"/>
          <w:lang w:val="en-GB"/>
        </w:rPr>
        <w:t>-1</w:t>
      </w:r>
      <w:r w:rsidR="008C1D96" w:rsidRPr="00F67D26">
        <w:rPr>
          <w:lang w:val="en-GB"/>
        </w:rPr>
        <w:t>;</w:t>
      </w:r>
      <w:proofErr w:type="gramEnd"/>
    </w:p>
    <w:p w14:paraId="5EFCF964" w14:textId="13AEFB2E" w:rsidR="008C1D96" w:rsidRDefault="00F67D26" w:rsidP="008C1D96">
      <w:pPr>
        <w:pStyle w:val="CETBodytext"/>
        <w:rPr>
          <w:lang w:val="en-GB"/>
        </w:rPr>
      </w:pPr>
      <w:r w:rsidRPr="00F67D26">
        <w:rPr>
          <w:lang w:val="en-GB"/>
        </w:rPr>
        <w:t>Furthermore, when inerting is employed to eliminate the presence of oxygen within the equipment, it is possible to reduce the hazardous area classification based on the reliability of the inerting control system (Process Control Engineering – PCE). Specifically, the following table, as outlined in VDI/VDE 2180 Blatt 6 (2013), can be applied, utilizing Safety Integrity Levels (SIL) (IEC 61508, IEC 61511).</w:t>
      </w:r>
    </w:p>
    <w:p w14:paraId="29F85B7F" w14:textId="2464ADB7" w:rsidR="008C1D96" w:rsidRPr="00753CA0" w:rsidRDefault="008C1D96" w:rsidP="008C1D96">
      <w:pPr>
        <w:pStyle w:val="CETTabletitle"/>
      </w:pPr>
      <w:r w:rsidRPr="00753CA0">
        <w:t xml:space="preserve">Table </w:t>
      </w:r>
      <w:r w:rsidRPr="00753CA0">
        <w:fldChar w:fldCharType="begin"/>
      </w:r>
      <w:r w:rsidRPr="00753CA0">
        <w:instrText xml:space="preserve"> SEQ Table \* ARABIC </w:instrText>
      </w:r>
      <w:r w:rsidRPr="00753CA0">
        <w:fldChar w:fldCharType="separate"/>
      </w:r>
      <w:r w:rsidR="00892940">
        <w:rPr>
          <w:noProof/>
        </w:rPr>
        <w:t>3</w:t>
      </w:r>
      <w:r w:rsidRPr="00753CA0">
        <w:fldChar w:fldCharType="end"/>
      </w:r>
      <w:r w:rsidRPr="00753CA0">
        <w:t xml:space="preserve">: </w:t>
      </w:r>
      <w:r>
        <w:t xml:space="preserve">Necessary risk reduction as a function of the initial and the target zone with the use of PCE system </w:t>
      </w:r>
    </w:p>
    <w:tbl>
      <w:tblPr>
        <w:tblW w:w="2904"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134"/>
        <w:gridCol w:w="3118"/>
      </w:tblGrid>
      <w:tr w:rsidR="008C1D96" w:rsidRPr="00753CA0" w14:paraId="05365582" w14:textId="77777777" w:rsidTr="00E255C9">
        <w:trPr>
          <w:trHeight w:val="129"/>
        </w:trPr>
        <w:tc>
          <w:tcPr>
            <w:tcW w:w="1945" w:type="pct"/>
            <w:gridSpan w:val="2"/>
            <w:tcBorders>
              <w:top w:val="single" w:sz="12" w:space="0" w:color="008000"/>
              <w:bottom w:val="single" w:sz="4" w:space="0" w:color="008000"/>
            </w:tcBorders>
            <w:shd w:val="clear" w:color="auto" w:fill="FFFFFF"/>
            <w:vAlign w:val="center"/>
          </w:tcPr>
          <w:p w14:paraId="37DAECA1" w14:textId="77777777" w:rsidR="008C1D96" w:rsidRDefault="008C1D96" w:rsidP="00E255C9">
            <w:pPr>
              <w:pStyle w:val="CETBodytext"/>
              <w:jc w:val="center"/>
              <w:rPr>
                <w:lang w:val="en-GB"/>
              </w:rPr>
            </w:pPr>
            <w:r>
              <w:rPr>
                <w:lang w:val="en-GB"/>
              </w:rPr>
              <w:t>Zone</w:t>
            </w:r>
          </w:p>
        </w:tc>
        <w:tc>
          <w:tcPr>
            <w:tcW w:w="3055" w:type="pct"/>
            <w:vMerge w:val="restart"/>
            <w:tcBorders>
              <w:top w:val="single" w:sz="12" w:space="0" w:color="008000"/>
            </w:tcBorders>
            <w:shd w:val="clear" w:color="auto" w:fill="FFFFFF"/>
            <w:vAlign w:val="center"/>
          </w:tcPr>
          <w:p w14:paraId="64B4BFFE" w14:textId="77777777" w:rsidR="008C1D96" w:rsidRPr="00753CA0" w:rsidRDefault="008C1D96" w:rsidP="00E255C9">
            <w:pPr>
              <w:pStyle w:val="CETBodytext"/>
              <w:jc w:val="center"/>
              <w:rPr>
                <w:lang w:val="en-GB"/>
              </w:rPr>
            </w:pPr>
            <w:r>
              <w:rPr>
                <w:lang w:val="en-GB"/>
              </w:rPr>
              <w:t>Required reliability of the PCE system</w:t>
            </w:r>
          </w:p>
        </w:tc>
      </w:tr>
      <w:tr w:rsidR="008C1D96" w:rsidRPr="00753CA0" w14:paraId="0B2E27B4" w14:textId="77777777" w:rsidTr="00E255C9">
        <w:trPr>
          <w:trHeight w:val="129"/>
        </w:trPr>
        <w:tc>
          <w:tcPr>
            <w:tcW w:w="834" w:type="pct"/>
            <w:tcBorders>
              <w:top w:val="single" w:sz="4" w:space="0" w:color="008000"/>
              <w:bottom w:val="single" w:sz="6" w:space="0" w:color="008000"/>
            </w:tcBorders>
            <w:shd w:val="clear" w:color="auto" w:fill="FFFFFF"/>
            <w:vAlign w:val="center"/>
          </w:tcPr>
          <w:p w14:paraId="107B14BA" w14:textId="77777777" w:rsidR="008C1D96" w:rsidRDefault="008C1D96" w:rsidP="00E255C9">
            <w:pPr>
              <w:pStyle w:val="CETBodytext"/>
              <w:jc w:val="center"/>
              <w:rPr>
                <w:lang w:val="en-GB"/>
              </w:rPr>
            </w:pPr>
            <w:r>
              <w:rPr>
                <w:lang w:val="en-GB"/>
              </w:rPr>
              <w:t>Initial</w:t>
            </w:r>
          </w:p>
        </w:tc>
        <w:tc>
          <w:tcPr>
            <w:tcW w:w="1111" w:type="pct"/>
            <w:tcBorders>
              <w:top w:val="single" w:sz="4" w:space="0" w:color="008000"/>
              <w:bottom w:val="single" w:sz="6" w:space="0" w:color="008000"/>
            </w:tcBorders>
            <w:shd w:val="clear" w:color="auto" w:fill="FFFFFF"/>
            <w:vAlign w:val="center"/>
          </w:tcPr>
          <w:p w14:paraId="5CD6D565" w14:textId="77777777" w:rsidR="008C1D96" w:rsidRDefault="008C1D96" w:rsidP="00E255C9">
            <w:pPr>
              <w:pStyle w:val="CETBodytext"/>
              <w:jc w:val="center"/>
              <w:rPr>
                <w:lang w:val="en-GB"/>
              </w:rPr>
            </w:pPr>
            <w:r>
              <w:rPr>
                <w:lang w:val="en-GB"/>
              </w:rPr>
              <w:t>Target</w:t>
            </w:r>
          </w:p>
        </w:tc>
        <w:tc>
          <w:tcPr>
            <w:tcW w:w="3055" w:type="pct"/>
            <w:vMerge/>
            <w:tcBorders>
              <w:bottom w:val="single" w:sz="6" w:space="0" w:color="008000"/>
            </w:tcBorders>
            <w:shd w:val="clear" w:color="auto" w:fill="FFFFFF"/>
            <w:vAlign w:val="center"/>
          </w:tcPr>
          <w:p w14:paraId="38C57BE1" w14:textId="77777777" w:rsidR="008C1D96" w:rsidRDefault="008C1D96" w:rsidP="00E255C9">
            <w:pPr>
              <w:pStyle w:val="CETBodytext"/>
              <w:jc w:val="left"/>
              <w:rPr>
                <w:lang w:val="en-GB"/>
              </w:rPr>
            </w:pPr>
          </w:p>
        </w:tc>
      </w:tr>
      <w:tr w:rsidR="008C1D96" w:rsidRPr="00753CA0" w14:paraId="00FB4506" w14:textId="77777777" w:rsidTr="00E255C9">
        <w:trPr>
          <w:trHeight w:val="265"/>
        </w:trPr>
        <w:tc>
          <w:tcPr>
            <w:tcW w:w="834" w:type="pct"/>
            <w:shd w:val="clear" w:color="auto" w:fill="FFFFFF"/>
            <w:vAlign w:val="center"/>
          </w:tcPr>
          <w:p w14:paraId="04B5EA61" w14:textId="3AE6CA8F" w:rsidR="008C1D96" w:rsidRPr="00753CA0" w:rsidRDefault="008C1D96" w:rsidP="00E255C9">
            <w:pPr>
              <w:pStyle w:val="CETBodytext"/>
              <w:jc w:val="center"/>
              <w:rPr>
                <w:lang w:val="en-GB"/>
              </w:rPr>
            </w:pPr>
            <w:r>
              <w:rPr>
                <w:lang w:val="en-GB"/>
              </w:rPr>
              <w:t>0</w:t>
            </w:r>
          </w:p>
        </w:tc>
        <w:tc>
          <w:tcPr>
            <w:tcW w:w="1111" w:type="pct"/>
            <w:shd w:val="clear" w:color="auto" w:fill="FFFFFF"/>
            <w:vAlign w:val="center"/>
          </w:tcPr>
          <w:p w14:paraId="51ED3160" w14:textId="4946B8A9" w:rsidR="008C1D96" w:rsidRPr="00753CA0" w:rsidRDefault="008C1D96" w:rsidP="00E255C9">
            <w:pPr>
              <w:pStyle w:val="CETBodytext"/>
              <w:jc w:val="center"/>
              <w:rPr>
                <w:lang w:val="en-GB"/>
              </w:rPr>
            </w:pPr>
            <w:r>
              <w:rPr>
                <w:lang w:val="en-GB"/>
              </w:rPr>
              <w:t>1</w:t>
            </w:r>
          </w:p>
        </w:tc>
        <w:tc>
          <w:tcPr>
            <w:tcW w:w="3055" w:type="pct"/>
            <w:shd w:val="clear" w:color="auto" w:fill="FFFFFF"/>
            <w:vAlign w:val="center"/>
          </w:tcPr>
          <w:p w14:paraId="138C1B2D" w14:textId="77777777" w:rsidR="008C1D96" w:rsidRPr="00753CA0" w:rsidRDefault="008C1D96" w:rsidP="00E255C9">
            <w:pPr>
              <w:pStyle w:val="CETBodytext"/>
              <w:jc w:val="center"/>
              <w:rPr>
                <w:lang w:val="en-GB"/>
              </w:rPr>
            </w:pPr>
            <w:r>
              <w:rPr>
                <w:lang w:val="en-GB"/>
              </w:rPr>
              <w:t>SIL 1</w:t>
            </w:r>
          </w:p>
        </w:tc>
      </w:tr>
      <w:tr w:rsidR="008C1D96" w:rsidRPr="00753CA0" w14:paraId="455008D6" w14:textId="77777777" w:rsidTr="00E255C9">
        <w:trPr>
          <w:trHeight w:val="265"/>
        </w:trPr>
        <w:tc>
          <w:tcPr>
            <w:tcW w:w="834" w:type="pct"/>
            <w:tcBorders>
              <w:bottom w:val="nil"/>
            </w:tcBorders>
            <w:shd w:val="clear" w:color="auto" w:fill="FFFFFF"/>
            <w:vAlign w:val="center"/>
          </w:tcPr>
          <w:p w14:paraId="4293A915" w14:textId="42F5A84A" w:rsidR="008C1D96" w:rsidRPr="00753CA0" w:rsidRDefault="008C1D96" w:rsidP="00E255C9">
            <w:pPr>
              <w:pStyle w:val="CETBodytext"/>
              <w:jc w:val="center"/>
              <w:rPr>
                <w:lang w:val="en-GB"/>
              </w:rPr>
            </w:pPr>
            <w:r>
              <w:rPr>
                <w:lang w:val="en-GB"/>
              </w:rPr>
              <w:t>0</w:t>
            </w:r>
          </w:p>
        </w:tc>
        <w:tc>
          <w:tcPr>
            <w:tcW w:w="1111" w:type="pct"/>
            <w:tcBorders>
              <w:bottom w:val="nil"/>
            </w:tcBorders>
            <w:shd w:val="clear" w:color="auto" w:fill="FFFFFF"/>
            <w:vAlign w:val="center"/>
          </w:tcPr>
          <w:p w14:paraId="35CA636C" w14:textId="3927187E" w:rsidR="008C1D96" w:rsidRPr="00753CA0" w:rsidRDefault="008C1D96" w:rsidP="00E255C9">
            <w:pPr>
              <w:pStyle w:val="CETBodytext"/>
              <w:jc w:val="center"/>
              <w:rPr>
                <w:lang w:val="en-GB"/>
              </w:rPr>
            </w:pPr>
            <w:r>
              <w:rPr>
                <w:lang w:val="en-GB"/>
              </w:rPr>
              <w:t>2</w:t>
            </w:r>
          </w:p>
        </w:tc>
        <w:tc>
          <w:tcPr>
            <w:tcW w:w="3055" w:type="pct"/>
            <w:tcBorders>
              <w:bottom w:val="nil"/>
            </w:tcBorders>
            <w:shd w:val="clear" w:color="auto" w:fill="FFFFFF"/>
            <w:vAlign w:val="center"/>
          </w:tcPr>
          <w:p w14:paraId="3054EE8B" w14:textId="77777777" w:rsidR="008C1D96" w:rsidRPr="00753CA0" w:rsidRDefault="008C1D96" w:rsidP="00E255C9">
            <w:pPr>
              <w:pStyle w:val="CETBodytext"/>
              <w:jc w:val="center"/>
              <w:rPr>
                <w:lang w:val="en-GB"/>
              </w:rPr>
            </w:pPr>
            <w:r>
              <w:rPr>
                <w:lang w:val="en-GB"/>
              </w:rPr>
              <w:t>SIL 2</w:t>
            </w:r>
          </w:p>
        </w:tc>
      </w:tr>
      <w:tr w:rsidR="00F67D26" w:rsidRPr="00753CA0" w14:paraId="3A8BD27D" w14:textId="77777777" w:rsidTr="00F67D26">
        <w:trPr>
          <w:trHeight w:val="221"/>
        </w:trPr>
        <w:tc>
          <w:tcPr>
            <w:tcW w:w="834" w:type="pct"/>
            <w:shd w:val="clear" w:color="auto" w:fill="FFFFFF"/>
            <w:vAlign w:val="center"/>
          </w:tcPr>
          <w:p w14:paraId="2A6FD861" w14:textId="6545FEA4" w:rsidR="00F67D26" w:rsidRDefault="00F67D26" w:rsidP="00E255C9">
            <w:pPr>
              <w:pStyle w:val="CETBodytext"/>
              <w:jc w:val="center"/>
              <w:rPr>
                <w:lang w:val="en-GB"/>
              </w:rPr>
            </w:pPr>
            <w:r>
              <w:rPr>
                <w:lang w:val="en-GB"/>
              </w:rPr>
              <w:t>0</w:t>
            </w:r>
          </w:p>
        </w:tc>
        <w:tc>
          <w:tcPr>
            <w:tcW w:w="1111" w:type="pct"/>
            <w:shd w:val="clear" w:color="auto" w:fill="FFFFFF"/>
            <w:vAlign w:val="center"/>
          </w:tcPr>
          <w:p w14:paraId="1FCCC487" w14:textId="77777777" w:rsidR="00F67D26" w:rsidRDefault="00F67D26" w:rsidP="00E255C9">
            <w:pPr>
              <w:pStyle w:val="CETBodytext"/>
              <w:jc w:val="center"/>
              <w:rPr>
                <w:lang w:val="en-GB"/>
              </w:rPr>
            </w:pPr>
            <w:proofErr w:type="spellStart"/>
            <w:r>
              <w:rPr>
                <w:lang w:val="en-GB"/>
              </w:rPr>
              <w:t>nEx</w:t>
            </w:r>
            <w:proofErr w:type="spellEnd"/>
          </w:p>
        </w:tc>
        <w:tc>
          <w:tcPr>
            <w:tcW w:w="3055" w:type="pct"/>
            <w:shd w:val="clear" w:color="auto" w:fill="FFFFFF"/>
            <w:vAlign w:val="center"/>
          </w:tcPr>
          <w:p w14:paraId="0D9C26DE" w14:textId="77777777" w:rsidR="00F67D26" w:rsidRDefault="00F67D26" w:rsidP="00E255C9">
            <w:pPr>
              <w:pStyle w:val="CETBodytext"/>
              <w:jc w:val="center"/>
              <w:rPr>
                <w:lang w:val="en-GB"/>
              </w:rPr>
            </w:pPr>
            <w:r>
              <w:rPr>
                <w:lang w:val="en-GB"/>
              </w:rPr>
              <w:t>SIL 3</w:t>
            </w:r>
          </w:p>
        </w:tc>
      </w:tr>
    </w:tbl>
    <w:p w14:paraId="5450D6DF" w14:textId="4F63B363" w:rsidR="00251C2D" w:rsidRDefault="00251C2D" w:rsidP="008C1D96">
      <w:pPr>
        <w:pStyle w:val="CETBodytext"/>
        <w:rPr>
          <w:lang w:val="en-GB"/>
        </w:rPr>
      </w:pPr>
      <w:r w:rsidRPr="00251C2D">
        <w:rPr>
          <w:lang w:val="en-GB"/>
        </w:rPr>
        <w:t>Ventilation is a fundamental parameter in A</w:t>
      </w:r>
      <w:r w:rsidR="00D77AD0">
        <w:rPr>
          <w:lang w:val="en-GB"/>
        </w:rPr>
        <w:t>t</w:t>
      </w:r>
      <w:r w:rsidRPr="00251C2D">
        <w:rPr>
          <w:lang w:val="en-GB"/>
        </w:rPr>
        <w:t>E</w:t>
      </w:r>
      <w:r w:rsidR="00D77AD0">
        <w:rPr>
          <w:lang w:val="en-GB"/>
        </w:rPr>
        <w:t>x</w:t>
      </w:r>
      <w:r w:rsidRPr="00251C2D">
        <w:rPr>
          <w:lang w:val="en-GB"/>
        </w:rPr>
        <w:t xml:space="preserve"> </w:t>
      </w:r>
      <w:r w:rsidR="00CF5203">
        <w:rPr>
          <w:lang w:val="en-GB"/>
        </w:rPr>
        <w:t xml:space="preserve">risk </w:t>
      </w:r>
      <w:r w:rsidRPr="00251C2D">
        <w:rPr>
          <w:lang w:val="en-GB"/>
        </w:rPr>
        <w:t>assessments for gases, with its significance being particularly pronounced in the case of hydrogen. While previous studies (CCPS, 2015) have highlighted its role</w:t>
      </w:r>
      <w:r w:rsidR="00E73F93">
        <w:rPr>
          <w:lang w:val="en-GB"/>
        </w:rPr>
        <w:t xml:space="preserve"> as safeguard</w:t>
      </w:r>
      <w:r w:rsidRPr="00251C2D">
        <w:rPr>
          <w:lang w:val="en-GB"/>
        </w:rPr>
        <w:t xml:space="preserve">, the </w:t>
      </w:r>
      <w:r w:rsidRPr="00753CA0">
        <w:rPr>
          <w:lang w:val="en-GB"/>
        </w:rPr>
        <w:t>IEC 60079-10-</w:t>
      </w:r>
      <w:r>
        <w:rPr>
          <w:lang w:val="en-GB"/>
        </w:rPr>
        <w:t>1</w:t>
      </w:r>
      <w:r w:rsidRPr="00753CA0">
        <w:rPr>
          <w:lang w:val="en-GB"/>
        </w:rPr>
        <w:t xml:space="preserve"> (20</w:t>
      </w:r>
      <w:r>
        <w:rPr>
          <w:lang w:val="en-GB"/>
        </w:rPr>
        <w:t>20</w:t>
      </w:r>
      <w:r w:rsidRPr="00753CA0">
        <w:rPr>
          <w:lang w:val="en-GB"/>
        </w:rPr>
        <w:t>),</w:t>
      </w:r>
      <w:r w:rsidRPr="00251C2D">
        <w:rPr>
          <w:lang w:val="en-GB"/>
        </w:rPr>
        <w:t xml:space="preserve"> framework inherently integrates ventilation into hazardous area classification, applying a methodology analogous to that used for inerting. Both ventilation and inerting serve to </w:t>
      </w:r>
      <w:r w:rsidR="00E73F93">
        <w:rPr>
          <w:lang w:val="en-GB"/>
        </w:rPr>
        <w:t>prevent</w:t>
      </w:r>
      <w:r w:rsidRPr="00251C2D">
        <w:rPr>
          <w:lang w:val="en-GB"/>
        </w:rPr>
        <w:t xml:space="preserve"> or eliminate the presence of a flammable atmosphere; however, the extent of this risk reduction must be quantitatively justified based on the reliability and performance of the implemented safety systems.</w:t>
      </w:r>
    </w:p>
    <w:p w14:paraId="4D648064" w14:textId="70D7C9F7" w:rsidR="00251C2D" w:rsidRDefault="00EA3C6C" w:rsidP="008C1D96">
      <w:pPr>
        <w:pStyle w:val="CETBodytext"/>
        <w:rPr>
          <w:lang w:val="en-GB"/>
        </w:rPr>
      </w:pPr>
      <w:r w:rsidRPr="00EA3C6C">
        <w:rPr>
          <w:lang w:val="en-GB"/>
        </w:rPr>
        <w:t>In the context of barriers, it is essential to specify</w:t>
      </w:r>
      <w:r w:rsidR="00F91513">
        <w:rPr>
          <w:lang w:val="en-GB"/>
        </w:rPr>
        <w:t xml:space="preserve"> that</w:t>
      </w:r>
      <w:r w:rsidRPr="00EA3C6C">
        <w:rPr>
          <w:lang w:val="en-GB"/>
        </w:rPr>
        <w:t xml:space="preserve"> </w:t>
      </w:r>
      <w:r>
        <w:rPr>
          <w:lang w:val="en-GB"/>
        </w:rPr>
        <w:t>t</w:t>
      </w:r>
      <w:r w:rsidR="008C1D96">
        <w:rPr>
          <w:lang w:val="en-GB"/>
        </w:rPr>
        <w:t>he basic principles of explosion prevention and protection shall be applied in the following order (EN 1127-1, 2019):</w:t>
      </w:r>
    </w:p>
    <w:p w14:paraId="1C9B06A4" w14:textId="7C0B0201" w:rsidR="00D77AD0" w:rsidRDefault="00D77AD0" w:rsidP="00D77AD0">
      <w:pPr>
        <w:pStyle w:val="CETTabletitle"/>
      </w:pPr>
      <w:r w:rsidRPr="00753CA0">
        <w:t xml:space="preserve">Table </w:t>
      </w:r>
      <w:r w:rsidRPr="00753CA0">
        <w:fldChar w:fldCharType="begin"/>
      </w:r>
      <w:r w:rsidRPr="00753CA0">
        <w:instrText xml:space="preserve"> SEQ Table \* ARABIC </w:instrText>
      </w:r>
      <w:r w:rsidRPr="00753CA0">
        <w:fldChar w:fldCharType="separate"/>
      </w:r>
      <w:r w:rsidR="00892940">
        <w:rPr>
          <w:noProof/>
        </w:rPr>
        <w:t>4</w:t>
      </w:r>
      <w:r w:rsidRPr="00753CA0">
        <w:fldChar w:fldCharType="end"/>
      </w:r>
      <w:r w:rsidRPr="00753CA0">
        <w:t xml:space="preserve">: </w:t>
      </w:r>
      <w:r w:rsidRPr="00D77AD0">
        <w:t>Evaluation of existing Basis of Safety (BoS)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63"/>
        <w:gridCol w:w="3824"/>
      </w:tblGrid>
      <w:tr w:rsidR="00C071B6" w:rsidRPr="00753CA0" w14:paraId="6B561CB2" w14:textId="77777777" w:rsidTr="00C071B6">
        <w:trPr>
          <w:trHeight w:val="129"/>
        </w:trPr>
        <w:tc>
          <w:tcPr>
            <w:tcW w:w="2824" w:type="pct"/>
            <w:tcBorders>
              <w:top w:val="single" w:sz="12" w:space="0" w:color="008000"/>
              <w:bottom w:val="single" w:sz="4" w:space="0" w:color="00B050"/>
            </w:tcBorders>
            <w:shd w:val="clear" w:color="auto" w:fill="FFFFFF"/>
            <w:vAlign w:val="center"/>
          </w:tcPr>
          <w:p w14:paraId="4B17BF04" w14:textId="1ADEBF50" w:rsidR="00C071B6" w:rsidRDefault="00C071B6" w:rsidP="00E255C9">
            <w:pPr>
              <w:pStyle w:val="CETBodytext"/>
              <w:jc w:val="center"/>
              <w:rPr>
                <w:lang w:val="en-GB"/>
              </w:rPr>
            </w:pPr>
            <w:r>
              <w:rPr>
                <w:lang w:val="en-GB"/>
              </w:rPr>
              <w:t>Prevention</w:t>
            </w:r>
          </w:p>
        </w:tc>
        <w:tc>
          <w:tcPr>
            <w:tcW w:w="2176" w:type="pct"/>
            <w:tcBorders>
              <w:top w:val="single" w:sz="12" w:space="0" w:color="008000"/>
              <w:bottom w:val="single" w:sz="4" w:space="0" w:color="00B050"/>
            </w:tcBorders>
            <w:shd w:val="clear" w:color="auto" w:fill="FFFFFF"/>
            <w:vAlign w:val="center"/>
          </w:tcPr>
          <w:p w14:paraId="6907CD26" w14:textId="171DB3E1" w:rsidR="00C071B6" w:rsidRPr="00753CA0" w:rsidRDefault="00C071B6" w:rsidP="00E255C9">
            <w:pPr>
              <w:pStyle w:val="CETBodytext"/>
              <w:jc w:val="center"/>
              <w:rPr>
                <w:lang w:val="en-GB"/>
              </w:rPr>
            </w:pPr>
            <w:r>
              <w:rPr>
                <w:lang w:val="en-GB"/>
              </w:rPr>
              <w:t xml:space="preserve">Protection </w:t>
            </w:r>
          </w:p>
        </w:tc>
      </w:tr>
      <w:tr w:rsidR="00C071B6" w:rsidRPr="00753CA0" w14:paraId="22FCCD74" w14:textId="77777777" w:rsidTr="00C071B6">
        <w:trPr>
          <w:trHeight w:val="265"/>
        </w:trPr>
        <w:tc>
          <w:tcPr>
            <w:tcW w:w="2824" w:type="pct"/>
            <w:tcBorders>
              <w:top w:val="single" w:sz="4" w:space="0" w:color="00B050"/>
            </w:tcBorders>
            <w:shd w:val="clear" w:color="auto" w:fill="FFFFFF"/>
            <w:vAlign w:val="center"/>
          </w:tcPr>
          <w:p w14:paraId="3F478E43" w14:textId="7979EC56" w:rsidR="00C071B6" w:rsidRDefault="00C071B6" w:rsidP="00C071B6">
            <w:pPr>
              <w:pStyle w:val="CETBodytext"/>
              <w:jc w:val="left"/>
              <w:rPr>
                <w:lang w:val="en-GB"/>
              </w:rPr>
            </w:pPr>
            <w:r>
              <w:rPr>
                <w:lang w:val="en-GB"/>
              </w:rPr>
              <w:lastRenderedPageBreak/>
              <w:t>1- A</w:t>
            </w:r>
            <w:r w:rsidRPr="00EE030E">
              <w:rPr>
                <w:lang w:val="en-GB"/>
              </w:rPr>
              <w:t>void or reduce hazardous explosive atmospheres; this objective can mainly be achieved by modifying either the concentration of the flammable/combustible substance to a value outside the explosion range or the concentration of oxygen to a value below the limiting oxygen concentration (LOC</w:t>
            </w:r>
            <w:r>
              <w:rPr>
                <w:lang w:val="en-GB"/>
              </w:rPr>
              <w:t>)</w:t>
            </w:r>
            <w:r w:rsidR="00FA039E">
              <w:rPr>
                <w:lang w:val="en-GB"/>
              </w:rPr>
              <w:t>.</w:t>
            </w:r>
          </w:p>
          <w:p w14:paraId="4C5E554F" w14:textId="469E1C78" w:rsidR="00C071B6" w:rsidRPr="00753CA0" w:rsidRDefault="00C071B6" w:rsidP="00C071B6">
            <w:pPr>
              <w:pStyle w:val="CETBodytext"/>
              <w:rPr>
                <w:lang w:val="en-GB"/>
              </w:rPr>
            </w:pPr>
            <w:r>
              <w:rPr>
                <w:lang w:val="en-GB"/>
              </w:rPr>
              <w:t>2-Avoid any possible effective ignition source.</w:t>
            </w:r>
          </w:p>
        </w:tc>
        <w:tc>
          <w:tcPr>
            <w:tcW w:w="2176" w:type="pct"/>
            <w:tcBorders>
              <w:top w:val="single" w:sz="4" w:space="0" w:color="00B050"/>
            </w:tcBorders>
            <w:shd w:val="clear" w:color="auto" w:fill="FFFFFF"/>
            <w:vAlign w:val="center"/>
          </w:tcPr>
          <w:p w14:paraId="59FB912A" w14:textId="1EFE8D68" w:rsidR="00C071B6" w:rsidRPr="00753CA0" w:rsidRDefault="00C071B6" w:rsidP="00C071B6">
            <w:pPr>
              <w:pStyle w:val="CETBodytext"/>
              <w:rPr>
                <w:lang w:val="en-GB"/>
              </w:rPr>
            </w:pPr>
            <w:r>
              <w:rPr>
                <w:lang w:val="en-GB"/>
              </w:rPr>
              <w:t>1-H</w:t>
            </w:r>
            <w:r w:rsidRPr="00EE030E">
              <w:rPr>
                <w:lang w:val="en-GB"/>
              </w:rPr>
              <w:t xml:space="preserve">alting the explosion and/or limiting the range to a sufficient level by protection methods, </w:t>
            </w:r>
            <w:r>
              <w:rPr>
                <w:lang w:val="en-GB"/>
              </w:rPr>
              <w:t>(</w:t>
            </w:r>
            <w:r w:rsidRPr="00EE030E">
              <w:rPr>
                <w:lang w:val="en-GB"/>
              </w:rPr>
              <w:t>e.g</w:t>
            </w:r>
            <w:r>
              <w:rPr>
                <w:lang w:val="en-GB"/>
              </w:rPr>
              <w:t>.,</w:t>
            </w:r>
            <w:r w:rsidRPr="00EE030E">
              <w:rPr>
                <w:lang w:val="en-GB"/>
              </w:rPr>
              <w:t xml:space="preserve"> isolation, venting, suppression and containment</w:t>
            </w:r>
            <w:r>
              <w:rPr>
                <w:lang w:val="en-GB"/>
              </w:rPr>
              <w:t>)</w:t>
            </w:r>
            <w:r w:rsidRPr="00EE030E">
              <w:rPr>
                <w:lang w:val="en-GB"/>
              </w:rPr>
              <w:t>; in contrast to the two measures described above, here the occurrence of an explosion is accepted.</w:t>
            </w:r>
          </w:p>
        </w:tc>
      </w:tr>
    </w:tbl>
    <w:p w14:paraId="6576FA3F" w14:textId="31417FCA" w:rsidR="008C1D96" w:rsidRDefault="008C1D96" w:rsidP="008C1D96">
      <w:pPr>
        <w:pStyle w:val="CETBodytext"/>
        <w:rPr>
          <w:lang w:val="en-GB"/>
        </w:rPr>
      </w:pPr>
      <w:r>
        <w:rPr>
          <w:lang w:val="en-GB"/>
        </w:rPr>
        <w:t>It is worth pointing out that the first choice shall always be the avoidance of a hazardous explosive atmosphere</w:t>
      </w:r>
      <w:r w:rsidR="00207704">
        <w:rPr>
          <w:lang w:val="en-GB"/>
        </w:rPr>
        <w:t>.</w:t>
      </w:r>
    </w:p>
    <w:p w14:paraId="513D8114" w14:textId="7F294649" w:rsidR="000F706B" w:rsidRDefault="000F706B" w:rsidP="000F706B">
      <w:pPr>
        <w:pStyle w:val="CETHeading1"/>
      </w:pPr>
      <w:r>
        <w:t>Case Study</w:t>
      </w:r>
      <w:r w:rsidR="00043461">
        <w:t xml:space="preserve">: </w:t>
      </w:r>
      <w:r w:rsidR="00043461" w:rsidRPr="006B0763">
        <w:rPr>
          <w:lang w:val="en-GB"/>
        </w:rPr>
        <w:t>hydrogen gas generation during the charging of lead-acid batteries</w:t>
      </w:r>
    </w:p>
    <w:p w14:paraId="2F9F38B6" w14:textId="38DDAFAC" w:rsidR="00AA0FFD" w:rsidRPr="00043461" w:rsidRDefault="0044637E" w:rsidP="00AA0FFD">
      <w:pPr>
        <w:pStyle w:val="CETBodytext"/>
      </w:pPr>
      <w:r w:rsidRPr="0044637E">
        <w:t>The generation of hydrogen during the charging of lead-acid batteries, through electrolysis, introduces significant risks, including the potential for explosive gas accumulation and ignition, if proper ventilation and safety measures are not implemented.</w:t>
      </w:r>
      <w:r w:rsidR="00A03990" w:rsidRPr="00A03990">
        <w:rPr>
          <w:lang w:val="en-GB"/>
        </w:rPr>
        <w:t xml:space="preserve"> During charge processes, gases are emitted from all secondary cells and batteries using aqueous electrolyte. This is a result of the electrolysis of the water by the overcharging current. Gases produced are hydrogen and oxygen. When emitted into the surrounding atmosphere, an explosive mixture is created if the hydrogen concentration exceeds 4 % hydrogen in air</w:t>
      </w:r>
      <w:r w:rsidR="00A03990">
        <w:t xml:space="preserve">. </w:t>
      </w:r>
      <w:r w:rsidRPr="0044637E">
        <w:t>The case study outlined here investigates the requirements for ventilation and the classification of hazardous areas during the charging of traction batteries, as specified in IEC 62485-3. Two distinct charging scenarios are considered</w:t>
      </w:r>
      <w:r w:rsidR="00FF5817">
        <w:t xml:space="preserve"> (</w:t>
      </w:r>
      <w:r w:rsidRPr="0044637E">
        <w:t>one with load stabilization and one without</w:t>
      </w:r>
      <w:r w:rsidR="00FF5817">
        <w:t xml:space="preserve">) </w:t>
      </w:r>
      <w:r w:rsidRPr="0044637E">
        <w:t>providing an overview of how zone classifications should be determined based on ventilation criteria.</w:t>
      </w:r>
    </w:p>
    <w:p w14:paraId="0F524E1E" w14:textId="3758593D" w:rsidR="0044637E" w:rsidRPr="00B57B36" w:rsidRDefault="00A95FB0" w:rsidP="0044637E">
      <w:pPr>
        <w:pStyle w:val="CETheadingx"/>
      </w:pPr>
      <w:r>
        <w:t xml:space="preserve">Case study: </w:t>
      </w:r>
      <w:r w:rsidR="0044637E">
        <w:t>Hazardous Area Classification</w:t>
      </w:r>
    </w:p>
    <w:p w14:paraId="40BB8E38" w14:textId="63581932" w:rsidR="00AA0FFD" w:rsidRDefault="00E143B7" w:rsidP="004A5654">
      <w:pPr>
        <w:pStyle w:val="ListParagraph"/>
        <w:ind w:left="0"/>
      </w:pPr>
      <w:r w:rsidRPr="00E143B7">
        <w:rPr>
          <w:lang w:val="en-US"/>
        </w:rPr>
        <w:t>For an A</w:t>
      </w:r>
      <w:r>
        <w:rPr>
          <w:lang w:val="en-US"/>
        </w:rPr>
        <w:t>t</w:t>
      </w:r>
      <w:r w:rsidRPr="00E143B7">
        <w:rPr>
          <w:lang w:val="en-US"/>
        </w:rPr>
        <w:t>E</w:t>
      </w:r>
      <w:r>
        <w:rPr>
          <w:lang w:val="en-US"/>
        </w:rPr>
        <w:t xml:space="preserve">x </w:t>
      </w:r>
      <w:r w:rsidRPr="00E143B7">
        <w:rPr>
          <w:lang w:val="en-US"/>
        </w:rPr>
        <w:t>assessment, it is advisable to classify the battery charging area of the forklifts in accordance with the relevant regulations</w:t>
      </w:r>
      <w:r w:rsidR="00C071B6" w:rsidRPr="00C071B6">
        <w:t xml:space="preserve"> </w:t>
      </w:r>
      <w:r w:rsidR="00C071B6" w:rsidRPr="00753CA0">
        <w:t>IEC 60079-10-</w:t>
      </w:r>
      <w:r w:rsidR="00C071B6">
        <w:t>1</w:t>
      </w:r>
      <w:r w:rsidR="00C071B6" w:rsidRPr="00753CA0">
        <w:t xml:space="preserve"> (20</w:t>
      </w:r>
      <w:r w:rsidR="00C071B6">
        <w:t>20</w:t>
      </w:r>
      <w:r w:rsidR="00C071B6" w:rsidRPr="00753CA0">
        <w:t>)</w:t>
      </w:r>
      <w:r w:rsidR="00C071B6">
        <w:t>.</w:t>
      </w:r>
      <w:r w:rsidR="00D155BE" w:rsidRPr="00D155BE">
        <w:t xml:space="preserve"> The A</w:t>
      </w:r>
      <w:r w:rsidR="00CF5203">
        <w:t>t</w:t>
      </w:r>
      <w:r w:rsidR="00D155BE" w:rsidRPr="00D155BE">
        <w:t>E</w:t>
      </w:r>
      <w:r w:rsidR="00CF5203">
        <w:t>x</w:t>
      </w:r>
      <w:r w:rsidR="00D155BE" w:rsidRPr="00D155BE">
        <w:t xml:space="preserve"> classification zones for gases are applied to the various cases. </w:t>
      </w:r>
      <w:r w:rsidR="004A5654" w:rsidRPr="004A5654">
        <w:t xml:space="preserve">The </w:t>
      </w:r>
      <w:r w:rsidR="004A5654">
        <w:t>Hazardous Area</w:t>
      </w:r>
      <w:r w:rsidR="004A5654" w:rsidRPr="004A5654">
        <w:t xml:space="preserve"> classification derived from the case study is intrinsically linked to the ventilation dynamics</w:t>
      </w:r>
      <w:r w:rsidR="005C161B">
        <w:t xml:space="preserve"> together with essential data such as </w:t>
      </w:r>
      <w:r w:rsidR="005C161B" w:rsidRPr="005C161B">
        <w:tab/>
        <w:t>H</w:t>
      </w:r>
      <w:r w:rsidR="00997D54">
        <w:rPr>
          <w:vertAlign w:val="subscript"/>
        </w:rPr>
        <w:t>2</w:t>
      </w:r>
      <w:r w:rsidR="005C161B">
        <w:t xml:space="preserve"> </w:t>
      </w:r>
      <w:r w:rsidR="005C161B" w:rsidRPr="005C161B">
        <w:t>maximum</w:t>
      </w:r>
      <w:r w:rsidR="005C161B">
        <w:t xml:space="preserve"> production</w:t>
      </w:r>
      <w:r w:rsidR="005C161B" w:rsidRPr="005C161B">
        <w:t xml:space="preserve"> </w:t>
      </w:r>
      <w:r w:rsidR="003A33CE">
        <w:t>(</w:t>
      </w:r>
      <w:r w:rsidR="005C161B" w:rsidRPr="005C161B">
        <w:t>cm</w:t>
      </w:r>
      <w:r w:rsidR="005C161B" w:rsidRPr="00033DC5">
        <w:rPr>
          <w:vertAlign w:val="superscript"/>
        </w:rPr>
        <w:t>3</w:t>
      </w:r>
      <w:r w:rsidR="005C161B" w:rsidRPr="005C161B">
        <w:t>/min</w:t>
      </w:r>
      <w:r w:rsidR="003A33CE">
        <w:t>)</w:t>
      </w:r>
      <w:r w:rsidR="005C161B" w:rsidRPr="005C161B">
        <w:t>;</w:t>
      </w:r>
      <w:r w:rsidR="005C161B">
        <w:t xml:space="preserve"> numbers of cells</w:t>
      </w:r>
      <w:r w:rsidR="00033DC5">
        <w:t>;</w:t>
      </w:r>
      <w:r w:rsidR="005C161B">
        <w:t xml:space="preserve"> Ventilation rate </w:t>
      </w:r>
      <w:r w:rsidR="003A33CE">
        <w:t>(</w:t>
      </w:r>
      <w:r w:rsidR="005C161B">
        <w:t>vol/h</w:t>
      </w:r>
      <w:r w:rsidR="003A33CE">
        <w:t>)</w:t>
      </w:r>
      <w:r w:rsidR="005C161B">
        <w:t xml:space="preserve">, room volume </w:t>
      </w:r>
      <w:r w:rsidR="003A33CE">
        <w:t>(</w:t>
      </w:r>
      <w:r w:rsidR="005C161B">
        <w:t>m</w:t>
      </w:r>
      <w:r w:rsidR="005C161B">
        <w:rPr>
          <w:vertAlign w:val="superscript"/>
        </w:rPr>
        <w:t>3</w:t>
      </w:r>
      <w:r w:rsidR="003A33CE">
        <w:t xml:space="preserve">) </w:t>
      </w:r>
      <w:r w:rsidR="005C161B">
        <w:t>and ventilation characteristic (natural or forced)</w:t>
      </w:r>
      <w:r w:rsidR="004A5654" w:rsidRPr="004A5654">
        <w:t>. With insufficient extraction/</w:t>
      </w:r>
      <w:r w:rsidR="004A5654" w:rsidRPr="002050C8">
        <w:t>ventilation, the</w:t>
      </w:r>
      <w:r w:rsidR="002050C8" w:rsidRPr="002050C8">
        <w:t xml:space="preserve"> limited dispersion</w:t>
      </w:r>
      <w:r w:rsidR="004A5654" w:rsidRPr="002050C8">
        <w:t xml:space="preserve"> of hydrogen, combined with its wide</w:t>
      </w:r>
      <w:r w:rsidR="004A5654" w:rsidRPr="004A5654">
        <w:t xml:space="preserve"> flammability limits, results in the formation of a Zone 1 in the immediate vicinity of the charging point. This zone then progressively dilutes, forming a Zone 2 extending from Zone 1 and into the upper regions of the room, as hydrogen tends to accumulate in these areas. In contrast, with adequate extraction/ventilation, hydrogen, due to its high diffusivity, will not form a hazardous zone around the charging point, but will instead lead to the formation of only a Zone 2 in the upper portion of the room. Finally, with optimal extraction/ventilation and a detailed analysis of the airflow patterns or extraction points, hydrogen will not classify any hazardous zones within the charging </w:t>
      </w:r>
      <w:r w:rsidR="005C161B" w:rsidRPr="004A5654">
        <w:t>room</w:t>
      </w:r>
      <w:r w:rsidR="005C161B">
        <w:t>,</w:t>
      </w:r>
      <w:r w:rsidR="005C161B" w:rsidRPr="005C161B">
        <w:t xml:space="preserve"> or the identified sources will have a negligible extension.</w:t>
      </w:r>
    </w:p>
    <w:p w14:paraId="0CF826A3" w14:textId="0388DC3A" w:rsidR="004A5654" w:rsidRDefault="004A5654" w:rsidP="006B6244">
      <w:pPr>
        <w:pStyle w:val="CETBodytext"/>
        <w:jc w:val="left"/>
        <w:rPr>
          <w:lang w:val="en-GB"/>
        </w:rPr>
      </w:pPr>
      <w:r w:rsidRPr="004A5654">
        <w:rPr>
          <w:noProof/>
          <w:lang w:val="en-GB"/>
        </w:rPr>
        <w:drawing>
          <wp:inline distT="0" distB="0" distL="0" distR="0" wp14:anchorId="6630DEBC" wp14:editId="18ED7519">
            <wp:extent cx="5422790" cy="810007"/>
            <wp:effectExtent l="0" t="0" r="6985" b="9525"/>
            <wp:docPr id="1110153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53963" name=""/>
                    <pic:cNvPicPr/>
                  </pic:nvPicPr>
                  <pic:blipFill>
                    <a:blip r:embed="rId14"/>
                    <a:stretch>
                      <a:fillRect/>
                    </a:stretch>
                  </pic:blipFill>
                  <pic:spPr>
                    <a:xfrm>
                      <a:off x="0" y="0"/>
                      <a:ext cx="5699313" cy="851311"/>
                    </a:xfrm>
                    <a:prstGeom prst="rect">
                      <a:avLst/>
                    </a:prstGeom>
                  </pic:spPr>
                </pic:pic>
              </a:graphicData>
            </a:graphic>
          </wp:inline>
        </w:drawing>
      </w:r>
    </w:p>
    <w:p w14:paraId="26EEEA92" w14:textId="6EA405C7" w:rsidR="004A5654" w:rsidRPr="00753CA0" w:rsidRDefault="004A5654" w:rsidP="004A5654">
      <w:pPr>
        <w:pStyle w:val="Caption"/>
        <w:spacing w:before="240"/>
        <w:rPr>
          <w:rStyle w:val="CETCaptionCarattere"/>
          <w:b w:val="0"/>
          <w:bCs w:val="0"/>
          <w:color w:val="auto"/>
        </w:rPr>
      </w:pPr>
      <w:r w:rsidRPr="00753CA0">
        <w:rPr>
          <w:rStyle w:val="CETCaptionCarattere"/>
          <w:b w:val="0"/>
          <w:bCs w:val="0"/>
          <w:color w:val="auto"/>
        </w:rPr>
        <w:t xml:space="preserve">Figure </w:t>
      </w:r>
      <w:r w:rsidRPr="00753CA0">
        <w:rPr>
          <w:rStyle w:val="CETCaptionCarattere"/>
          <w:b w:val="0"/>
          <w:bCs w:val="0"/>
          <w:color w:val="auto"/>
        </w:rPr>
        <w:fldChar w:fldCharType="begin"/>
      </w:r>
      <w:r w:rsidRPr="00753CA0">
        <w:rPr>
          <w:rStyle w:val="CETCaptionCarattere"/>
          <w:b w:val="0"/>
          <w:bCs w:val="0"/>
          <w:color w:val="auto"/>
        </w:rPr>
        <w:instrText xml:space="preserve"> SEQ Figure \* ARABIC </w:instrText>
      </w:r>
      <w:r w:rsidRPr="00753CA0">
        <w:rPr>
          <w:rStyle w:val="CETCaptionCarattere"/>
          <w:b w:val="0"/>
          <w:bCs w:val="0"/>
          <w:color w:val="auto"/>
        </w:rPr>
        <w:fldChar w:fldCharType="separate"/>
      </w:r>
      <w:r w:rsidR="00892940">
        <w:rPr>
          <w:rStyle w:val="CETCaptionCarattere"/>
          <w:b w:val="0"/>
          <w:bCs w:val="0"/>
          <w:noProof/>
          <w:color w:val="auto"/>
        </w:rPr>
        <w:t>2</w:t>
      </w:r>
      <w:r w:rsidRPr="00753CA0">
        <w:rPr>
          <w:rStyle w:val="CETCaptionCarattere"/>
          <w:b w:val="0"/>
          <w:bCs w:val="0"/>
          <w:color w:val="auto"/>
        </w:rPr>
        <w:fldChar w:fldCharType="end"/>
      </w:r>
      <w:r w:rsidRPr="00753CA0">
        <w:rPr>
          <w:rStyle w:val="CETCaptionCarattere"/>
          <w:b w:val="0"/>
          <w:bCs w:val="0"/>
          <w:color w:val="auto"/>
        </w:rPr>
        <w:t xml:space="preserve">: </w:t>
      </w:r>
      <w:r w:rsidRPr="004A5654">
        <w:rPr>
          <w:rStyle w:val="CETCaptionCarattere"/>
          <w:b w:val="0"/>
          <w:bCs w:val="0"/>
          <w:color w:val="auto"/>
        </w:rPr>
        <w:t xml:space="preserve">Influence of Ventilation on </w:t>
      </w:r>
      <w:r>
        <w:rPr>
          <w:rStyle w:val="CETCaptionCarattere"/>
          <w:b w:val="0"/>
          <w:bCs w:val="0"/>
          <w:color w:val="auto"/>
        </w:rPr>
        <w:t xml:space="preserve">hydrogen </w:t>
      </w:r>
      <w:r w:rsidRPr="004A5654">
        <w:rPr>
          <w:rStyle w:val="CETCaptionCarattere"/>
          <w:b w:val="0"/>
          <w:bCs w:val="0"/>
          <w:color w:val="auto"/>
        </w:rPr>
        <w:t>Hazardous Area Classification</w:t>
      </w:r>
    </w:p>
    <w:p w14:paraId="7BF2365D" w14:textId="6CD69FDD" w:rsidR="005C161B" w:rsidRPr="005C161B" w:rsidRDefault="005C161B" w:rsidP="005C161B">
      <w:pPr>
        <w:pStyle w:val="CETBodytext"/>
      </w:pPr>
      <w:r w:rsidRPr="005C161B">
        <w:t>A relatively low concentration of hydrogen is sufficient to present a significant explosion risk, which is typically defined by the Lower Explosive Limit (LEL). Safety procedures are primarily focused on detecting flammable gases before they reach this explosive threshold, with gas detection systems designed to trigger alarms prior to the concentration of gases or vapors reaching the LEL.</w:t>
      </w:r>
    </w:p>
    <w:p w14:paraId="161C9196" w14:textId="77777777" w:rsidR="005C161B" w:rsidRPr="005C161B" w:rsidRDefault="005C161B" w:rsidP="005C161B">
      <w:pPr>
        <w:pStyle w:val="CETBodytext"/>
      </w:pPr>
      <w:proofErr w:type="gramStart"/>
      <w:r w:rsidRPr="005C161B">
        <w:t>In order to</w:t>
      </w:r>
      <w:proofErr w:type="gramEnd"/>
      <w:r w:rsidRPr="005C161B">
        <w:t xml:space="preserve"> effectively classify hazardous zones, the following LEL concentration ranges for hydrogen and their corresponding zone classifications are applied:</w:t>
      </w:r>
    </w:p>
    <w:p w14:paraId="6109EE73" w14:textId="77777777" w:rsidR="005C161B" w:rsidRPr="005C161B" w:rsidRDefault="005C161B" w:rsidP="005C161B">
      <w:pPr>
        <w:pStyle w:val="CETBodytext"/>
        <w:numPr>
          <w:ilvl w:val="0"/>
          <w:numId w:val="30"/>
        </w:numPr>
      </w:pPr>
      <w:r w:rsidRPr="005C161B">
        <w:t>100% LEL H2: Zone 1 or Zone 2 (indicating an immediate risk of explosive atmosphere formation</w:t>
      </w:r>
      <w:proofErr w:type="gramStart"/>
      <w:r w:rsidRPr="005C161B">
        <w:t>);</w:t>
      </w:r>
      <w:proofErr w:type="gramEnd"/>
    </w:p>
    <w:p w14:paraId="550D8C24" w14:textId="379498AD" w:rsidR="005C161B" w:rsidRPr="005C161B" w:rsidRDefault="005C161B" w:rsidP="005C161B">
      <w:pPr>
        <w:pStyle w:val="CETBodytext"/>
        <w:numPr>
          <w:ilvl w:val="0"/>
          <w:numId w:val="30"/>
        </w:numPr>
      </w:pPr>
      <w:r w:rsidRPr="005C161B">
        <w:t>50% &lt; LEL H2 &lt; 100%: Zone 2 (indicating a potential for hazardous atmosphere under specific conditions</w:t>
      </w:r>
      <w:proofErr w:type="gramStart"/>
      <w:r w:rsidRPr="005C161B">
        <w:t>);</w:t>
      </w:r>
      <w:proofErr w:type="gramEnd"/>
    </w:p>
    <w:p w14:paraId="03C61D2B" w14:textId="77777777" w:rsidR="005C161B" w:rsidRPr="005C161B" w:rsidRDefault="005C161B" w:rsidP="005C161B">
      <w:pPr>
        <w:pStyle w:val="CETBodytext"/>
        <w:numPr>
          <w:ilvl w:val="0"/>
          <w:numId w:val="30"/>
        </w:numPr>
      </w:pPr>
      <w:r w:rsidRPr="005C161B">
        <w:t>20% &lt; LEL H2 &lt; 50%: Zone 2 (indicating a moderate risk of explosion under certain operational conditions</w:t>
      </w:r>
      <w:proofErr w:type="gramStart"/>
      <w:r w:rsidRPr="005C161B">
        <w:t>);</w:t>
      </w:r>
      <w:proofErr w:type="gramEnd"/>
    </w:p>
    <w:p w14:paraId="6259B729" w14:textId="77777777" w:rsidR="005C161B" w:rsidRPr="005C161B" w:rsidRDefault="005C161B" w:rsidP="005C161B">
      <w:pPr>
        <w:pStyle w:val="CETBodytext"/>
        <w:numPr>
          <w:ilvl w:val="0"/>
          <w:numId w:val="30"/>
        </w:numPr>
      </w:pPr>
      <w:r w:rsidRPr="005C161B">
        <w:t>&lt;20% LEL H2: No hazardous zone (declassified, as the concentration is below the threshold for explosion risk).</w:t>
      </w:r>
    </w:p>
    <w:p w14:paraId="26D4971B" w14:textId="77777777" w:rsidR="005C161B" w:rsidRDefault="005C161B" w:rsidP="005C161B">
      <w:pPr>
        <w:pStyle w:val="CETBodytext"/>
      </w:pPr>
      <w:r w:rsidRPr="005C161B">
        <w:t>These classifications ensure that areas are adequately assessed and managed to mitigate the risks associated with hydrogen-related explosions.</w:t>
      </w:r>
    </w:p>
    <w:p w14:paraId="599940CD" w14:textId="03D1C9B9" w:rsidR="005C161B" w:rsidRPr="00B57B36" w:rsidRDefault="005C161B" w:rsidP="005C161B">
      <w:pPr>
        <w:pStyle w:val="CETheadingx"/>
      </w:pPr>
      <w:r>
        <w:lastRenderedPageBreak/>
        <w:t>Ventilation</w:t>
      </w:r>
    </w:p>
    <w:p w14:paraId="05DCF645" w14:textId="2780DD96" w:rsidR="005C161B" w:rsidRDefault="006B6244" w:rsidP="005C161B">
      <w:pPr>
        <w:pStyle w:val="CETBodytext"/>
      </w:pPr>
      <w:r w:rsidRPr="006B6244">
        <w:rPr>
          <w:lang w:val="en-GB"/>
        </w:rPr>
        <w:t>According to IEC 62485-3, ventilation requirements must be fulfilled regardless of whether the battery is charged on or off the vehicle. The minimum required ventilation airflow, Q, must be determined using the specified formula. This calculation applies to all properly matched battery chargers, whether regulated or unregulated, when charging vented or valve-regulated lead-acid batteries, as well as vented nickel-cadmium batteries.</w:t>
      </w:r>
    </w:p>
    <w:tbl>
      <w:tblPr>
        <w:tblW w:w="5000" w:type="pct"/>
        <w:tblLook w:val="04A0" w:firstRow="1" w:lastRow="0" w:firstColumn="1" w:lastColumn="0" w:noHBand="0" w:noVBand="1"/>
      </w:tblPr>
      <w:tblGrid>
        <w:gridCol w:w="7985"/>
        <w:gridCol w:w="802"/>
      </w:tblGrid>
      <w:tr w:rsidR="006B6244" w:rsidRPr="00B57B36" w14:paraId="089ED74D" w14:textId="77777777" w:rsidTr="006B6244">
        <w:tc>
          <w:tcPr>
            <w:tcW w:w="7985" w:type="dxa"/>
            <w:shd w:val="clear" w:color="auto" w:fill="auto"/>
            <w:vAlign w:val="center"/>
          </w:tcPr>
          <w:p w14:paraId="58CC5499" w14:textId="77777777" w:rsidR="006B6244" w:rsidRPr="00B57B36" w:rsidRDefault="006B6244" w:rsidP="00301096">
            <w:pPr>
              <w:pStyle w:val="CETEquation"/>
            </w:pPr>
            <w:r w:rsidRPr="006B6244">
              <w:rPr>
                <w:noProof/>
                <w:lang w:val="it-IT" w:eastAsia="it-IT"/>
              </w:rPr>
              <w:drawing>
                <wp:inline distT="0" distB="0" distL="0" distR="0" wp14:anchorId="50B66257" wp14:editId="7FE77460">
                  <wp:extent cx="1272837" cy="230587"/>
                  <wp:effectExtent l="0" t="0" r="3810" b="0"/>
                  <wp:docPr id="1354355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44910" name=""/>
                          <pic:cNvPicPr/>
                        </pic:nvPicPr>
                        <pic:blipFill>
                          <a:blip r:embed="rId15"/>
                          <a:stretch>
                            <a:fillRect/>
                          </a:stretch>
                        </pic:blipFill>
                        <pic:spPr>
                          <a:xfrm>
                            <a:off x="0" y="0"/>
                            <a:ext cx="1287310" cy="233209"/>
                          </a:xfrm>
                          <a:prstGeom prst="rect">
                            <a:avLst/>
                          </a:prstGeom>
                        </pic:spPr>
                      </pic:pic>
                    </a:graphicData>
                  </a:graphic>
                </wp:inline>
              </w:drawing>
            </w:r>
          </w:p>
        </w:tc>
        <w:tc>
          <w:tcPr>
            <w:tcW w:w="802" w:type="dxa"/>
            <w:shd w:val="clear" w:color="auto" w:fill="auto"/>
            <w:vAlign w:val="center"/>
          </w:tcPr>
          <w:p w14:paraId="31D662F3" w14:textId="77777777" w:rsidR="006B6244" w:rsidRPr="00B57B36" w:rsidRDefault="006B6244" w:rsidP="00301096">
            <w:pPr>
              <w:pStyle w:val="CETEquation"/>
              <w:jc w:val="right"/>
            </w:pPr>
            <w:r w:rsidRPr="00B57B36">
              <w:t>(1)</w:t>
            </w:r>
          </w:p>
        </w:tc>
      </w:tr>
    </w:tbl>
    <w:p w14:paraId="56650A47" w14:textId="77777777" w:rsidR="00A03990" w:rsidRPr="001E33F2" w:rsidRDefault="00A03990" w:rsidP="00A03990">
      <w:pPr>
        <w:pStyle w:val="CETListbullets"/>
        <w:ind w:left="0" w:firstLine="0"/>
        <w:rPr>
          <w:bCs/>
        </w:rPr>
      </w:pPr>
      <w:r w:rsidRPr="001E33F2">
        <w:rPr>
          <w:bCs/>
        </w:rPr>
        <w:t xml:space="preserve">Where: </w:t>
      </w:r>
    </w:p>
    <w:p w14:paraId="265C0279" w14:textId="47B67FF1" w:rsidR="00A03990" w:rsidRPr="00A03990" w:rsidRDefault="00A03990" w:rsidP="00A03990">
      <w:pPr>
        <w:pStyle w:val="ListParagraph"/>
        <w:numPr>
          <w:ilvl w:val="0"/>
          <w:numId w:val="33"/>
        </w:numPr>
        <w:rPr>
          <w:rFonts w:eastAsiaTheme="minorEastAsia"/>
          <w:lang w:val="en-US"/>
        </w:rPr>
      </w:pPr>
      <w:r w:rsidRPr="00A03990">
        <w:rPr>
          <w:rFonts w:eastAsiaTheme="minorEastAsia"/>
          <w:lang w:val="en-US"/>
        </w:rPr>
        <w:t>Q</w:t>
      </w:r>
      <w:r>
        <w:rPr>
          <w:rFonts w:eastAsiaTheme="minorEastAsia"/>
          <w:lang w:val="en-US"/>
        </w:rPr>
        <w:t xml:space="preserve"> =</w:t>
      </w:r>
      <w:r w:rsidRPr="00A03990">
        <w:rPr>
          <w:rFonts w:eastAsiaTheme="minorEastAsia"/>
          <w:lang w:val="en-US"/>
        </w:rPr>
        <w:t xml:space="preserve"> is the ventilation air flow m</w:t>
      </w:r>
      <w:r w:rsidRPr="00A03990">
        <w:rPr>
          <w:rFonts w:eastAsiaTheme="minorEastAsia"/>
          <w:vertAlign w:val="superscript"/>
          <w:lang w:val="en-US"/>
        </w:rPr>
        <w:t>3</w:t>
      </w:r>
      <w:r w:rsidRPr="00A03990">
        <w:rPr>
          <w:rFonts w:eastAsiaTheme="minorEastAsia"/>
          <w:lang w:val="en-US"/>
        </w:rPr>
        <w:t>/</w:t>
      </w:r>
      <w:proofErr w:type="gramStart"/>
      <w:r>
        <w:rPr>
          <w:rFonts w:eastAsiaTheme="minorEastAsia"/>
          <w:lang w:val="en-US"/>
        </w:rPr>
        <w:t>h</w:t>
      </w:r>
      <w:r w:rsidRPr="00A03990">
        <w:rPr>
          <w:rFonts w:eastAsiaTheme="minorEastAsia"/>
          <w:lang w:val="en-US"/>
        </w:rPr>
        <w:t>;</w:t>
      </w:r>
      <w:proofErr w:type="gramEnd"/>
    </w:p>
    <w:p w14:paraId="37C8D1DF" w14:textId="53C29A1D" w:rsidR="00A03990" w:rsidRPr="00A03990" w:rsidRDefault="007E2F8A" w:rsidP="00A03990">
      <w:pPr>
        <w:pStyle w:val="CETBodytext"/>
        <w:numPr>
          <w:ilvl w:val="0"/>
          <w:numId w:val="33"/>
        </w:numPr>
      </w:pPr>
      <w:r w:rsidRPr="009F1D4D">
        <w:rPr>
          <w:rFonts w:eastAsiaTheme="minorEastAsia"/>
        </w:rPr>
        <w:t>v</w:t>
      </w:r>
      <w:r w:rsidR="00A03990">
        <w:rPr>
          <w:rFonts w:eastAsiaTheme="minorEastAsia"/>
        </w:rPr>
        <w:t xml:space="preserve"> =</w:t>
      </w:r>
      <w:r w:rsidR="00A03990" w:rsidRPr="009F1D4D">
        <w:rPr>
          <w:rFonts w:eastAsiaTheme="minorEastAsia"/>
        </w:rPr>
        <w:t xml:space="preserve"> is the necessary dilution of hydrogen</w:t>
      </w:r>
      <w:r w:rsidR="00A03990">
        <w:rPr>
          <w:rFonts w:eastAsiaTheme="minorEastAsia"/>
        </w:rPr>
        <w:t xml:space="preserve"> (100</w:t>
      </w:r>
      <w:r w:rsidR="00A03990">
        <w:rPr>
          <w:bCs/>
        </w:rPr>
        <w:t>%-4%)/4%=24</w:t>
      </w:r>
    </w:p>
    <w:p w14:paraId="41245CFE" w14:textId="749F254D" w:rsidR="00A03990" w:rsidRPr="00A03990" w:rsidRDefault="00A03990" w:rsidP="00A03990">
      <w:pPr>
        <w:pStyle w:val="ListParagraph"/>
        <w:numPr>
          <w:ilvl w:val="0"/>
          <w:numId w:val="33"/>
        </w:numPr>
        <w:rPr>
          <w:rFonts w:eastAsiaTheme="minorEastAsia"/>
          <w:lang w:val="en-US"/>
        </w:rPr>
      </w:pPr>
      <w:r w:rsidRPr="00A03990">
        <w:rPr>
          <w:rFonts w:eastAsiaTheme="minorEastAsia"/>
          <w:lang w:val="en-US"/>
        </w:rPr>
        <w:t>q = 0,42*10</w:t>
      </w:r>
      <w:r w:rsidRPr="00A03990">
        <w:rPr>
          <w:rFonts w:eastAsiaTheme="minorEastAsia"/>
          <w:vertAlign w:val="superscript"/>
          <w:lang w:val="en-US"/>
        </w:rPr>
        <w:t xml:space="preserve">-3 </w:t>
      </w:r>
      <w:r w:rsidRPr="00A03990">
        <w:rPr>
          <w:rFonts w:eastAsiaTheme="minorEastAsia"/>
          <w:lang w:val="en-US"/>
        </w:rPr>
        <w:t>m</w:t>
      </w:r>
      <w:r w:rsidRPr="00A03990">
        <w:rPr>
          <w:rFonts w:eastAsiaTheme="minorEastAsia"/>
          <w:vertAlign w:val="superscript"/>
          <w:lang w:val="en-US"/>
        </w:rPr>
        <w:t>3</w:t>
      </w:r>
      <w:r w:rsidRPr="00A03990">
        <w:rPr>
          <w:rFonts w:eastAsiaTheme="minorEastAsia"/>
          <w:lang w:val="en-US"/>
        </w:rPr>
        <w:t>/Ah generated hydrogen at 0°C. For calculation at 25°C, the value shall be multiplied by factor 1,0915</w:t>
      </w:r>
    </w:p>
    <w:p w14:paraId="609C2778" w14:textId="57429A81" w:rsidR="00A03990" w:rsidRPr="00A03990" w:rsidRDefault="007E2F8A" w:rsidP="00A03990">
      <w:pPr>
        <w:pStyle w:val="ListParagraph"/>
        <w:numPr>
          <w:ilvl w:val="0"/>
          <w:numId w:val="33"/>
        </w:numPr>
        <w:rPr>
          <w:rFonts w:eastAsiaTheme="minorEastAsia"/>
        </w:rPr>
      </w:pPr>
      <w:r w:rsidRPr="16864F72">
        <w:rPr>
          <w:rFonts w:eastAsiaTheme="minorEastAsia"/>
        </w:rPr>
        <w:t>s</w:t>
      </w:r>
      <w:r w:rsidR="00A03990" w:rsidRPr="16864F72">
        <w:rPr>
          <w:rFonts w:eastAsiaTheme="minorEastAsia"/>
        </w:rPr>
        <w:t xml:space="preserve"> =5 (general safety factor</w:t>
      </w:r>
      <w:proofErr w:type="gramStart"/>
      <w:r w:rsidR="00A03990" w:rsidRPr="16864F72">
        <w:rPr>
          <w:rFonts w:eastAsiaTheme="minorEastAsia"/>
        </w:rPr>
        <w:t>);</w:t>
      </w:r>
      <w:proofErr w:type="gramEnd"/>
    </w:p>
    <w:p w14:paraId="4A13C973" w14:textId="61AABCE6" w:rsidR="00020C8C" w:rsidRPr="00020C8C" w:rsidRDefault="00020C8C" w:rsidP="00020C8C">
      <w:pPr>
        <w:pStyle w:val="ListParagraph"/>
        <w:numPr>
          <w:ilvl w:val="0"/>
          <w:numId w:val="33"/>
        </w:numPr>
        <w:rPr>
          <w:rFonts w:eastAsiaTheme="minorEastAsia"/>
          <w:lang w:val="en-US"/>
        </w:rPr>
      </w:pPr>
      <w:proofErr w:type="spellStart"/>
      <w:r w:rsidRPr="00020C8C">
        <w:rPr>
          <w:rFonts w:eastAsiaTheme="minorEastAsia"/>
          <w:lang w:val="en-US"/>
        </w:rPr>
        <w:t>I</w:t>
      </w:r>
      <w:r w:rsidRPr="00020C8C">
        <w:rPr>
          <w:rFonts w:eastAsiaTheme="minorEastAsia"/>
          <w:vertAlign w:val="subscript"/>
          <w:lang w:val="en-US"/>
        </w:rPr>
        <w:t>gas</w:t>
      </w:r>
      <w:proofErr w:type="spellEnd"/>
      <w:r w:rsidRPr="00020C8C">
        <w:rPr>
          <w:rFonts w:eastAsiaTheme="minorEastAsia"/>
          <w:lang w:val="en-US"/>
        </w:rPr>
        <w:t xml:space="preserve"> </w:t>
      </w:r>
      <w:r>
        <w:rPr>
          <w:rFonts w:eastAsiaTheme="minorEastAsia"/>
          <w:lang w:val="en-US"/>
        </w:rPr>
        <w:t xml:space="preserve">= </w:t>
      </w:r>
      <w:r w:rsidRPr="00020C8C">
        <w:rPr>
          <w:rFonts w:eastAsiaTheme="minorEastAsia"/>
          <w:lang w:val="en-US"/>
        </w:rPr>
        <w:t>gassing current value to be used for the calculation of ventilation air flow.</w:t>
      </w:r>
    </w:p>
    <w:p w14:paraId="4B9D88CA" w14:textId="55F93966" w:rsidR="00A03990" w:rsidRPr="00D77AD0" w:rsidRDefault="007E2F8A" w:rsidP="00A03990">
      <w:pPr>
        <w:pStyle w:val="CETBodytext"/>
        <w:numPr>
          <w:ilvl w:val="0"/>
          <w:numId w:val="33"/>
        </w:numPr>
      </w:pPr>
      <w:r>
        <w:rPr>
          <w:bCs/>
        </w:rPr>
        <w:t>n</w:t>
      </w:r>
      <w:r w:rsidR="00020C8C">
        <w:rPr>
          <w:bCs/>
        </w:rPr>
        <w:t xml:space="preserve"> = number of cells</w:t>
      </w:r>
    </w:p>
    <w:p w14:paraId="3AFA3288" w14:textId="2C8F774F" w:rsidR="00020C8C" w:rsidRDefault="00D77AD0" w:rsidP="005C161B">
      <w:pPr>
        <w:pStyle w:val="CETBodytext"/>
      </w:pPr>
      <w:r w:rsidRPr="00D77AD0">
        <w:rPr>
          <w:lang w:val="en-GB"/>
        </w:rPr>
        <w:t>Once the minimum required ventilation airflow has been calculated and compared with the actual ventilation conditions in the charging area, a precise and accurate hazardous area classification can be performed, as ventilation plays a fundamental role in the classification process</w:t>
      </w:r>
    </w:p>
    <w:p w14:paraId="677EBFF0" w14:textId="7D17AD51" w:rsidR="00600535" w:rsidRDefault="00BE4873" w:rsidP="00600535">
      <w:pPr>
        <w:pStyle w:val="CETHeading1"/>
        <w:tabs>
          <w:tab w:val="clear" w:pos="360"/>
          <w:tab w:val="right" w:pos="7100"/>
        </w:tabs>
        <w:jc w:val="both"/>
        <w:rPr>
          <w:lang w:val="en-GB"/>
        </w:rPr>
      </w:pPr>
      <w:bookmarkStart w:id="4" w:name="_Ref190446671"/>
      <w:r>
        <w:rPr>
          <w:lang w:val="en-GB"/>
        </w:rPr>
        <w:t xml:space="preserve">Application of </w:t>
      </w:r>
      <w:bookmarkStart w:id="5" w:name="_Hlk190338410"/>
      <w:r>
        <w:rPr>
          <w:lang w:val="en-GB"/>
        </w:rPr>
        <w:t xml:space="preserve">semi-quantitative </w:t>
      </w:r>
      <w:r w:rsidR="00CF5203">
        <w:rPr>
          <w:lang w:val="en-GB"/>
        </w:rPr>
        <w:t xml:space="preserve">AtEx risk assessment </w:t>
      </w:r>
      <w:bookmarkEnd w:id="5"/>
      <w:r>
        <w:rPr>
          <w:lang w:val="en-GB"/>
        </w:rPr>
        <w:t>to the case study</w:t>
      </w:r>
      <w:bookmarkEnd w:id="4"/>
    </w:p>
    <w:p w14:paraId="1F4C3C94" w14:textId="440A8001" w:rsidR="00BE4873" w:rsidRDefault="0089400C" w:rsidP="00D5530A">
      <w:pPr>
        <w:pStyle w:val="CETBodytext"/>
        <w:jc w:val="left"/>
        <w:rPr>
          <w:lang w:val="en-GB"/>
        </w:rPr>
      </w:pPr>
      <w:r w:rsidRPr="0089400C">
        <w:rPr>
          <w:noProof/>
          <w:lang w:val="en-GB"/>
        </w:rPr>
        <w:drawing>
          <wp:inline distT="0" distB="0" distL="0" distR="0" wp14:anchorId="61DD8393" wp14:editId="4A85D540">
            <wp:extent cx="5526714" cy="2681288"/>
            <wp:effectExtent l="0" t="0" r="0" b="5080"/>
            <wp:docPr id="113993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37542" name=""/>
                    <pic:cNvPicPr/>
                  </pic:nvPicPr>
                  <pic:blipFill>
                    <a:blip r:embed="rId16"/>
                    <a:stretch>
                      <a:fillRect/>
                    </a:stretch>
                  </pic:blipFill>
                  <pic:spPr>
                    <a:xfrm>
                      <a:off x="0" y="0"/>
                      <a:ext cx="5568283" cy="2701455"/>
                    </a:xfrm>
                    <a:prstGeom prst="rect">
                      <a:avLst/>
                    </a:prstGeom>
                  </pic:spPr>
                </pic:pic>
              </a:graphicData>
            </a:graphic>
          </wp:inline>
        </w:drawing>
      </w:r>
    </w:p>
    <w:p w14:paraId="1AD07A11" w14:textId="60E5B418" w:rsidR="00892940" w:rsidRPr="00753CA0" w:rsidRDefault="00892940" w:rsidP="00892940">
      <w:pPr>
        <w:pStyle w:val="Caption"/>
        <w:spacing w:before="240"/>
        <w:rPr>
          <w:rStyle w:val="CETCaptionCarattere"/>
          <w:b w:val="0"/>
          <w:bCs w:val="0"/>
          <w:color w:val="auto"/>
        </w:rPr>
      </w:pPr>
      <w:r w:rsidRPr="00753CA0">
        <w:rPr>
          <w:rStyle w:val="CETCaptionCarattere"/>
          <w:b w:val="0"/>
          <w:bCs w:val="0"/>
          <w:color w:val="auto"/>
        </w:rPr>
        <w:t xml:space="preserve">Figure </w:t>
      </w:r>
      <w:r w:rsidRPr="00753CA0">
        <w:rPr>
          <w:rStyle w:val="CETCaptionCarattere"/>
          <w:b w:val="0"/>
          <w:bCs w:val="0"/>
          <w:color w:val="auto"/>
        </w:rPr>
        <w:fldChar w:fldCharType="begin"/>
      </w:r>
      <w:r w:rsidRPr="00753CA0">
        <w:rPr>
          <w:rStyle w:val="CETCaptionCarattere"/>
          <w:b w:val="0"/>
          <w:bCs w:val="0"/>
          <w:color w:val="auto"/>
        </w:rPr>
        <w:instrText xml:space="preserve"> SEQ Figure \* ARABIC </w:instrText>
      </w:r>
      <w:r w:rsidRPr="00753CA0">
        <w:rPr>
          <w:rStyle w:val="CETCaptionCarattere"/>
          <w:b w:val="0"/>
          <w:bCs w:val="0"/>
          <w:color w:val="auto"/>
        </w:rPr>
        <w:fldChar w:fldCharType="separate"/>
      </w:r>
      <w:r>
        <w:rPr>
          <w:rStyle w:val="CETCaptionCarattere"/>
          <w:b w:val="0"/>
          <w:bCs w:val="0"/>
          <w:noProof/>
          <w:color w:val="auto"/>
        </w:rPr>
        <w:t>3</w:t>
      </w:r>
      <w:r w:rsidRPr="00753CA0">
        <w:rPr>
          <w:rStyle w:val="CETCaptionCarattere"/>
          <w:b w:val="0"/>
          <w:bCs w:val="0"/>
          <w:color w:val="auto"/>
        </w:rPr>
        <w:fldChar w:fldCharType="end"/>
      </w:r>
      <w:r w:rsidRPr="00753CA0">
        <w:rPr>
          <w:rStyle w:val="CETCaptionCarattere"/>
          <w:b w:val="0"/>
          <w:bCs w:val="0"/>
          <w:color w:val="auto"/>
        </w:rPr>
        <w:t xml:space="preserve">: </w:t>
      </w:r>
      <w:r>
        <w:rPr>
          <w:rStyle w:val="CETCaptionCarattere"/>
          <w:b w:val="0"/>
          <w:bCs w:val="0"/>
          <w:color w:val="auto"/>
        </w:rPr>
        <w:t xml:space="preserve">Example of </w:t>
      </w:r>
      <w:r w:rsidRPr="00892940">
        <w:rPr>
          <w:rStyle w:val="CETCaptionCarattere"/>
          <w:b w:val="0"/>
          <w:bCs w:val="0"/>
          <w:color w:val="auto"/>
        </w:rPr>
        <w:t xml:space="preserve">semi-quantitative </w:t>
      </w:r>
      <w:r w:rsidR="00CF5203">
        <w:rPr>
          <w:rStyle w:val="CETCaptionCarattere"/>
          <w:b w:val="0"/>
          <w:bCs w:val="0"/>
          <w:color w:val="auto"/>
        </w:rPr>
        <w:t xml:space="preserve">AtEx risk assessment </w:t>
      </w:r>
      <w:r>
        <w:rPr>
          <w:rStyle w:val="CETCaptionCarattere"/>
          <w:b w:val="0"/>
          <w:bCs w:val="0"/>
          <w:color w:val="auto"/>
        </w:rPr>
        <w:t>worksheet</w:t>
      </w:r>
    </w:p>
    <w:p w14:paraId="682315EF" w14:textId="5322DDCA" w:rsidR="00892940" w:rsidRDefault="00AC14C8" w:rsidP="00BE4873">
      <w:pPr>
        <w:pStyle w:val="CETBodytext"/>
        <w:rPr>
          <w:lang w:val="en-GB"/>
        </w:rPr>
      </w:pPr>
      <w:r w:rsidRPr="00AC14C8">
        <w:rPr>
          <w:lang w:val="en-GB"/>
        </w:rPr>
        <w:t>This worksheet exemplifies the output derived from a semi-quantitative ATEX risk assessment methodology</w:t>
      </w:r>
      <w:r w:rsidR="003F171A">
        <w:rPr>
          <w:lang w:val="en-GB"/>
        </w:rPr>
        <w:t>,</w:t>
      </w:r>
      <w:r w:rsidR="0085180C">
        <w:rPr>
          <w:lang w:val="en-GB"/>
        </w:rPr>
        <w:t xml:space="preserve"> b</w:t>
      </w:r>
      <w:r w:rsidR="0085180C" w:rsidRPr="0085180C">
        <w:rPr>
          <w:lang w:val="en-GB"/>
        </w:rPr>
        <w:t>ased on the risk matrix (</w:t>
      </w:r>
      <w:proofErr w:type="spellStart"/>
      <w:r w:rsidR="0085180C" w:rsidRPr="0085180C">
        <w:rPr>
          <w:lang w:val="en-GB"/>
        </w:rPr>
        <w:t>LxC</w:t>
      </w:r>
      <w:proofErr w:type="spellEnd"/>
      <w:r w:rsidR="0085180C" w:rsidRPr="0085180C">
        <w:rPr>
          <w:lang w:val="en-GB"/>
        </w:rPr>
        <w:t>), where L denotes the likelihood and C represents the consequence</w:t>
      </w:r>
      <w:r w:rsidR="009560CB">
        <w:rPr>
          <w:lang w:val="en-GB"/>
        </w:rPr>
        <w:t xml:space="preserve">, as reported in </w:t>
      </w:r>
      <w:r w:rsidR="009560CB" w:rsidRPr="00496D9A">
        <w:rPr>
          <w:lang w:val="en-GB"/>
        </w:rPr>
        <w:t>Gritti</w:t>
      </w:r>
      <w:r w:rsidR="009560CB" w:rsidRPr="00D77AD0">
        <w:t xml:space="preserve"> </w:t>
      </w:r>
      <w:r w:rsidR="009560CB" w:rsidRPr="00D77AD0">
        <w:rPr>
          <w:lang w:val="en-GB"/>
        </w:rPr>
        <w:t>et al.</w:t>
      </w:r>
      <w:r w:rsidR="009560CB" w:rsidRPr="00496D9A">
        <w:rPr>
          <w:lang w:val="en-GB"/>
        </w:rPr>
        <w:t>, 2023</w:t>
      </w:r>
      <w:r>
        <w:rPr>
          <w:lang w:val="en-GB"/>
        </w:rPr>
        <w:t>.</w:t>
      </w:r>
      <w:r w:rsidR="00DE73EA" w:rsidRPr="00DE73EA">
        <w:rPr>
          <w:lang w:val="en-GB"/>
        </w:rPr>
        <w:t xml:space="preserve"> </w:t>
      </w:r>
      <w:r w:rsidRPr="00AC14C8">
        <w:rPr>
          <w:lang w:val="en-GB"/>
        </w:rPr>
        <w:t>The analysis focuses on</w:t>
      </w:r>
      <w:r w:rsidR="00DE73EA" w:rsidRPr="00DE73EA">
        <w:rPr>
          <w:lang w:val="en-GB"/>
        </w:rPr>
        <w:t xml:space="preserve"> two scenarios</w:t>
      </w:r>
      <w:r w:rsidR="00C31F48">
        <w:rPr>
          <w:lang w:val="en-GB"/>
        </w:rPr>
        <w:t xml:space="preserve"> coming</w:t>
      </w:r>
      <w:r w:rsidR="00DE73EA" w:rsidRPr="00DE73EA">
        <w:rPr>
          <w:lang w:val="en-GB"/>
        </w:rPr>
        <w:t xml:space="preserve"> from the case study: battery charging in a poorly ventilated environment (Row 1) and in a moderately ventilated environment (Row 2). In the first case, a 1-meter zone is classified around the battery, while in the second case, a Zone 2 is identified in the accumulation area (ceiling). Alongside Hazardous Area Classification (HAC), ignition sources—such as electrical equipment, electrostatic discharge, and hot surfaces—are identified. Circumstantial factors, including personnel presence and ignition probability, are evaluated (typically</w:t>
      </w:r>
      <w:r w:rsidR="00AD6B4E">
        <w:rPr>
          <w:lang w:val="en-GB"/>
        </w:rPr>
        <w:t>, to maintain a cautionary approach)</w:t>
      </w:r>
      <w:r w:rsidR="00DE73EA" w:rsidRPr="00DE73EA">
        <w:rPr>
          <w:lang w:val="en-GB"/>
        </w:rPr>
        <w:t xml:space="preserve"> set at 1 for hydrogen, though assessed per specific ignition source. The identified zone probabilities serve as the basis for the analysis</w:t>
      </w:r>
      <w:r w:rsidR="00480C0D">
        <w:rPr>
          <w:lang w:val="en-GB"/>
        </w:rPr>
        <w:t xml:space="preserve"> (Zone 0 = L1, Zone 1 = L2 and Zone 2 = L3)</w:t>
      </w:r>
      <w:r w:rsidR="00DE73EA" w:rsidRPr="00DE73EA">
        <w:rPr>
          <w:lang w:val="en-GB"/>
        </w:rPr>
        <w:t>.</w:t>
      </w:r>
      <w:r w:rsidR="009F7E09">
        <w:rPr>
          <w:lang w:val="en-GB"/>
        </w:rPr>
        <w:t xml:space="preserve"> </w:t>
      </w:r>
      <w:r w:rsidR="009F7E09" w:rsidRPr="009F7E09">
        <w:rPr>
          <w:lang w:val="en-GB"/>
        </w:rPr>
        <w:t>Upon assessing the initial risk ranking, referred to as Raw Risk, the existing barriers are systematically identified.</w:t>
      </w:r>
      <w:r w:rsidR="00480C0D" w:rsidRPr="00480C0D">
        <w:rPr>
          <w:lang w:val="en-GB"/>
        </w:rPr>
        <w:t xml:space="preserve"> Each safeguard is assigned a risk reduction factor</w:t>
      </w:r>
      <w:r w:rsidR="00480C0D">
        <w:rPr>
          <w:lang w:val="en-GB"/>
        </w:rPr>
        <w:t xml:space="preserve"> (RRF)</w:t>
      </w:r>
      <w:r w:rsidR="00480C0D" w:rsidRPr="00480C0D">
        <w:rPr>
          <w:lang w:val="en-GB"/>
        </w:rPr>
        <w:t>, which corresponds to the inverse of the Probability of Failure on Demand (PFD). These values are obtained from reliable databases, established standards, and empirical testing performed on the equipment.</w:t>
      </w:r>
      <w:r w:rsidR="009F7E09" w:rsidRPr="009F7E09">
        <w:rPr>
          <w:lang w:val="en-GB"/>
        </w:rPr>
        <w:t xml:space="preserve"> </w:t>
      </w:r>
      <w:r w:rsidR="00480C0D">
        <w:rPr>
          <w:lang w:val="en-GB"/>
        </w:rPr>
        <w:t>W</w:t>
      </w:r>
      <w:r w:rsidR="009F7E09" w:rsidRPr="009F7E09">
        <w:rPr>
          <w:lang w:val="en-GB"/>
        </w:rPr>
        <w:t>here these barriers are deemed inadequate for effective risk mitigation, specific recommendations are proposed to reduce the risk to an acceptable level.</w:t>
      </w:r>
      <w:r w:rsidR="00480C0D" w:rsidRPr="00480C0D">
        <w:rPr>
          <w:lang w:val="en-GB"/>
        </w:rPr>
        <w:t xml:space="preserve"> The recommendations should be tailored to the specific ignition source under analysis and must be effective in reducing the identified risks to an acceptable level.</w:t>
      </w:r>
    </w:p>
    <w:p w14:paraId="2AA0BD2C" w14:textId="36F74AEF" w:rsidR="00CF5203" w:rsidRPr="00753CA0" w:rsidRDefault="00CF5203" w:rsidP="00CF5203">
      <w:pPr>
        <w:pStyle w:val="CETheadingx"/>
        <w:rPr>
          <w:lang w:val="en-GB"/>
        </w:rPr>
      </w:pPr>
      <w:r w:rsidRPr="00CF5203">
        <w:rPr>
          <w:lang w:val="en-GB"/>
        </w:rPr>
        <w:lastRenderedPageBreak/>
        <w:t>Mitigation and Action Plan Development</w:t>
      </w:r>
      <w:r w:rsidRPr="00105FFC">
        <w:rPr>
          <w:lang w:val="en-GB"/>
        </w:rPr>
        <w:t xml:space="preserve"> </w:t>
      </w:r>
    </w:p>
    <w:p w14:paraId="34CA7236" w14:textId="5BEC0814" w:rsidR="00CF5203" w:rsidRPr="00753CA0" w:rsidRDefault="00CF5203" w:rsidP="00CF5203">
      <w:pPr>
        <w:pStyle w:val="CETBodytext"/>
        <w:rPr>
          <w:lang w:val="en-GB"/>
        </w:rPr>
      </w:pPr>
      <w:r w:rsidRPr="00CF5203">
        <w:rPr>
          <w:lang w:val="en-GB"/>
        </w:rPr>
        <w:t xml:space="preserve">For each scenario where the mitigated risk remains unacceptable, specific corrective actions will be proposed to reduce the risk to an acceptable level. The resulting set of recommendations will serve as the basis for a structured action plan aimed at minimizing explosion hazards. The measures identified through the semi-quantitative </w:t>
      </w:r>
      <w:r>
        <w:rPr>
          <w:lang w:val="en-GB"/>
        </w:rPr>
        <w:t xml:space="preserve">AtEx risk assessment </w:t>
      </w:r>
      <w:r w:rsidRPr="00CF5203">
        <w:rPr>
          <w:lang w:val="en-GB"/>
        </w:rPr>
        <w:t>can be prioritized based on the mitigated risk level and a cost-benefit evaluation. Upon implementation of the recommended actions—or following significant modifications or incidents—the assessment should be revisited to reassess the updated risk level.</w:t>
      </w:r>
    </w:p>
    <w:p w14:paraId="7A3028CA" w14:textId="53F0494B" w:rsidR="00CF5203" w:rsidRPr="00753CA0" w:rsidRDefault="00CF5203" w:rsidP="00CF5203">
      <w:pPr>
        <w:pStyle w:val="CETHeading1"/>
        <w:rPr>
          <w:lang w:val="en-GB"/>
        </w:rPr>
      </w:pPr>
      <w:r w:rsidRPr="00753CA0">
        <w:rPr>
          <w:lang w:val="en-GB"/>
        </w:rPr>
        <w:t>Conclusions</w:t>
      </w:r>
    </w:p>
    <w:p w14:paraId="039108A3" w14:textId="6A82C580" w:rsidR="00CF5203" w:rsidRPr="00CF5203" w:rsidRDefault="00F52D03" w:rsidP="00CF5203">
      <w:pPr>
        <w:pStyle w:val="CETBodytext"/>
        <w:rPr>
          <w:lang w:val="en-GB"/>
        </w:rPr>
      </w:pPr>
      <w:r w:rsidRPr="00F52D03">
        <w:rPr>
          <w:lang w:val="en-GB"/>
        </w:rPr>
        <w:t>As outlined in the worksheet presented in Chapter</w:t>
      </w:r>
      <w:r>
        <w:rPr>
          <w:lang w:val="en-GB"/>
        </w:rPr>
        <w:t xml:space="preserve"> </w:t>
      </w:r>
      <w:r>
        <w:rPr>
          <w:lang w:val="en-GB"/>
        </w:rPr>
        <w:fldChar w:fldCharType="begin"/>
      </w:r>
      <w:r>
        <w:rPr>
          <w:lang w:val="en-GB"/>
        </w:rPr>
        <w:instrText xml:space="preserve"> REF _Ref190446671 \n \h </w:instrText>
      </w:r>
      <w:r>
        <w:rPr>
          <w:lang w:val="en-GB"/>
        </w:rPr>
      </w:r>
      <w:r>
        <w:rPr>
          <w:lang w:val="en-GB"/>
        </w:rPr>
        <w:fldChar w:fldCharType="separate"/>
      </w:r>
      <w:r>
        <w:rPr>
          <w:lang w:val="en-GB"/>
        </w:rPr>
        <w:t>4</w:t>
      </w:r>
      <w:r>
        <w:rPr>
          <w:lang w:val="en-GB"/>
        </w:rPr>
        <w:fldChar w:fldCharType="end"/>
      </w:r>
      <w:r w:rsidRPr="00F52D03">
        <w:rPr>
          <w:lang w:val="en-GB"/>
        </w:rPr>
        <w:t>, electrostatic discharges pose the most significant ignition hazard</w:t>
      </w:r>
      <w:r w:rsidR="001D47DC">
        <w:rPr>
          <w:lang w:val="en-GB"/>
        </w:rPr>
        <w:t xml:space="preserve"> in the case study</w:t>
      </w:r>
      <w:r w:rsidRPr="00F52D03">
        <w:rPr>
          <w:lang w:val="en-GB"/>
        </w:rPr>
        <w:t>, as any spark can ignite hydrogen, leading to an ignition probability of 1. This highlights the importance of implementing targeted recommendations to mitigate risks</w:t>
      </w:r>
      <w:r w:rsidR="001D47DC">
        <w:rPr>
          <w:lang w:val="en-GB"/>
        </w:rPr>
        <w:t xml:space="preserve"> such as</w:t>
      </w:r>
      <w:r w:rsidRPr="00F52D03">
        <w:rPr>
          <w:lang w:val="en-GB"/>
        </w:rPr>
        <w:t xml:space="preserve"> ventilation</w:t>
      </w:r>
      <w:r w:rsidR="001D47DC">
        <w:rPr>
          <w:lang w:val="en-GB"/>
        </w:rPr>
        <w:t>,</w:t>
      </w:r>
      <w:r w:rsidRPr="00F52D03">
        <w:rPr>
          <w:lang w:val="en-GB"/>
        </w:rPr>
        <w:t xml:space="preserve"> </w:t>
      </w:r>
      <w:r w:rsidR="001D47DC">
        <w:rPr>
          <w:lang w:val="en-GB"/>
        </w:rPr>
        <w:t xml:space="preserve">that </w:t>
      </w:r>
      <w:r w:rsidRPr="00F52D03">
        <w:rPr>
          <w:lang w:val="en-GB"/>
        </w:rPr>
        <w:t>plays a crucial role in both identifying hazardous areas and serving as a risk reduction measure. The primary goal is to establish a well-calibrated Risk Matrix to ensure consistency in risk evaluation. Achieving an accurate risk assessment requires on-site inspections and qualitative evaluations, as assigning precise numerical values is not practical. Instead, numerical values should indicate the order of magnitude of risk reduction.</w:t>
      </w:r>
    </w:p>
    <w:p w14:paraId="2CBA7F61" w14:textId="336873B1" w:rsidR="00CF5203" w:rsidRPr="00FB0AD2" w:rsidRDefault="00CF5203" w:rsidP="00CF5203">
      <w:pPr>
        <w:pStyle w:val="CETBodytext"/>
      </w:pPr>
      <w:r w:rsidRPr="00CF5203">
        <w:rPr>
          <w:lang w:val="en-GB"/>
        </w:rPr>
        <w:t>Ultimately, the semi-quantitative analysis provides a more structured framework for conducting A</w:t>
      </w:r>
      <w:r>
        <w:rPr>
          <w:lang w:val="en-GB"/>
        </w:rPr>
        <w:t>t</w:t>
      </w:r>
      <w:r w:rsidRPr="00CF5203">
        <w:rPr>
          <w:lang w:val="en-GB"/>
        </w:rPr>
        <w:t>E</w:t>
      </w:r>
      <w:r>
        <w:rPr>
          <w:lang w:val="en-GB"/>
        </w:rPr>
        <w:t>x</w:t>
      </w:r>
      <w:r w:rsidRPr="00CF5203">
        <w:rPr>
          <w:lang w:val="en-GB"/>
        </w:rPr>
        <w:t xml:space="preserve"> risk assessments. Utilizing the Risk Matrix to prioritize recommendations enables direct comparison between the outcomes of the semi-quantitative A</w:t>
      </w:r>
      <w:r>
        <w:rPr>
          <w:lang w:val="en-GB"/>
        </w:rPr>
        <w:t>t</w:t>
      </w:r>
      <w:r w:rsidRPr="00CF5203">
        <w:rPr>
          <w:lang w:val="en-GB"/>
        </w:rPr>
        <w:t>E</w:t>
      </w:r>
      <w:r>
        <w:rPr>
          <w:lang w:val="en-GB"/>
        </w:rPr>
        <w:t>x</w:t>
      </w:r>
      <w:r w:rsidRPr="00CF5203">
        <w:rPr>
          <w:lang w:val="en-GB"/>
        </w:rPr>
        <w:t xml:space="preserve"> assessment and those derived from other semi-quantitative methodologies (e.g., </w:t>
      </w:r>
      <w:r w:rsidR="00C66BF9">
        <w:rPr>
          <w:lang w:val="en-GB"/>
        </w:rPr>
        <w:t>HazOp</w:t>
      </w:r>
      <w:r w:rsidRPr="00CF5203">
        <w:rPr>
          <w:lang w:val="en-GB"/>
        </w:rPr>
        <w:t>, H</w:t>
      </w:r>
      <w:r w:rsidR="00C66BF9">
        <w:rPr>
          <w:lang w:val="en-GB"/>
        </w:rPr>
        <w:t>az</w:t>
      </w:r>
      <w:r w:rsidRPr="00CF5203">
        <w:rPr>
          <w:lang w:val="en-GB"/>
        </w:rPr>
        <w:t>I</w:t>
      </w:r>
      <w:r w:rsidR="00C66BF9">
        <w:rPr>
          <w:lang w:val="en-GB"/>
        </w:rPr>
        <w:t>d</w:t>
      </w:r>
      <w:r w:rsidRPr="00CF5203">
        <w:rPr>
          <w:lang w:val="en-GB"/>
        </w:rPr>
        <w:t xml:space="preserve">). </w:t>
      </w:r>
      <w:r w:rsidR="00C66BF9" w:rsidRPr="00C66BF9">
        <w:rPr>
          <w:lang w:val="en-GB"/>
        </w:rPr>
        <w:t xml:space="preserve">The method currently being employed is still in the developmental phase. In fact, the use of a matrix typically designed for </w:t>
      </w:r>
      <w:r w:rsidR="00C66BF9">
        <w:rPr>
          <w:lang w:val="en-GB"/>
        </w:rPr>
        <w:t>HazOp</w:t>
      </w:r>
      <w:r w:rsidR="00C66BF9" w:rsidRPr="00C66BF9">
        <w:rPr>
          <w:lang w:val="en-GB"/>
        </w:rPr>
        <w:t xml:space="preserve"> analyses can sometimes be challenging to apply in the A</w:t>
      </w:r>
      <w:r w:rsidR="00C66BF9">
        <w:rPr>
          <w:lang w:val="en-GB"/>
        </w:rPr>
        <w:t>t</w:t>
      </w:r>
      <w:r w:rsidR="00C66BF9" w:rsidRPr="00C66BF9">
        <w:rPr>
          <w:lang w:val="en-GB"/>
        </w:rPr>
        <w:t>E</w:t>
      </w:r>
      <w:r w:rsidR="00C66BF9">
        <w:rPr>
          <w:lang w:val="en-GB"/>
        </w:rPr>
        <w:t>x</w:t>
      </w:r>
      <w:r w:rsidR="00C66BF9" w:rsidRPr="00C66BF9">
        <w:rPr>
          <w:lang w:val="en-GB"/>
        </w:rPr>
        <w:t xml:space="preserve"> context. A </w:t>
      </w:r>
      <w:r w:rsidR="00C66BF9">
        <w:rPr>
          <w:lang w:val="en-GB"/>
        </w:rPr>
        <w:t>HazOp</w:t>
      </w:r>
      <w:r w:rsidR="00C66BF9" w:rsidRPr="00C66BF9">
        <w:rPr>
          <w:lang w:val="en-GB"/>
        </w:rPr>
        <w:t xml:space="preserve"> study generally involves a greater number of </w:t>
      </w:r>
      <w:r w:rsidR="00613449">
        <w:rPr>
          <w:lang w:val="en-GB"/>
        </w:rPr>
        <w:t>safeguards</w:t>
      </w:r>
      <w:r w:rsidR="00C66BF9" w:rsidRPr="00C66BF9">
        <w:rPr>
          <w:lang w:val="en-GB"/>
        </w:rPr>
        <w:t xml:space="preserve"> that can intervene compared to an A</w:t>
      </w:r>
      <w:r w:rsidR="00C66BF9">
        <w:rPr>
          <w:lang w:val="en-GB"/>
        </w:rPr>
        <w:t>t</w:t>
      </w:r>
      <w:r w:rsidR="00C66BF9" w:rsidRPr="00C66BF9">
        <w:rPr>
          <w:lang w:val="en-GB"/>
        </w:rPr>
        <w:t>E</w:t>
      </w:r>
      <w:r w:rsidR="00C66BF9">
        <w:rPr>
          <w:lang w:val="en-GB"/>
        </w:rPr>
        <w:t>x</w:t>
      </w:r>
      <w:r w:rsidR="00C66BF9" w:rsidRPr="00C66BF9">
        <w:rPr>
          <w:lang w:val="en-GB"/>
        </w:rPr>
        <w:t xml:space="preserve"> study. </w:t>
      </w:r>
      <w:r w:rsidR="00613449" w:rsidRPr="00613449">
        <w:rPr>
          <w:lang w:val="en-GB"/>
        </w:rPr>
        <w:t xml:space="preserve">However, by integrating contingency factors and utilizing </w:t>
      </w:r>
      <w:r w:rsidR="00613449" w:rsidRPr="00872294">
        <w:rPr>
          <w:lang w:val="en-GB"/>
        </w:rPr>
        <w:t>HAC zone probability, HazOp-based risk matrices can be systematically applied to semi-quantitative AtEx analysis</w:t>
      </w:r>
      <w:r w:rsidR="00C66BF9" w:rsidRPr="00872294">
        <w:rPr>
          <w:lang w:val="en-GB"/>
        </w:rPr>
        <w:t xml:space="preserve">. </w:t>
      </w:r>
      <w:r w:rsidRPr="00872294">
        <w:rPr>
          <w:lang w:val="en-GB"/>
        </w:rPr>
        <w:t>This approach facilitates the integration of various assessments into a unified Safety Management System. Consequently, all necessary risk reduction measures can be systematically addressed, fostering a synergistic safety</w:t>
      </w:r>
      <w:r w:rsidRPr="00CF5203">
        <w:rPr>
          <w:lang w:val="en-GB"/>
        </w:rPr>
        <w:t xml:space="preserve"> model.</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3A39F60D" w14:textId="15A607B4" w:rsidR="00C66BF9" w:rsidRPr="00753CA0" w:rsidRDefault="00C66BF9" w:rsidP="00C66BF9">
      <w:pPr>
        <w:pStyle w:val="CETBodytext"/>
        <w:jc w:val="left"/>
        <w:rPr>
          <w:rFonts w:eastAsia="SimSun"/>
          <w:lang w:val="en-GB"/>
        </w:rPr>
      </w:pPr>
      <w:r>
        <w:rPr>
          <w:rFonts w:eastAsia="SimSun"/>
          <w:lang w:val="en-GB"/>
        </w:rPr>
        <w:t>AtEx</w:t>
      </w:r>
      <w:r w:rsidRPr="00753CA0">
        <w:rPr>
          <w:rFonts w:eastAsia="SimSun"/>
          <w:lang w:val="en-GB"/>
        </w:rPr>
        <w:t xml:space="preserve"> – </w:t>
      </w:r>
      <w:proofErr w:type="spellStart"/>
      <w:r w:rsidRPr="00C66BF9">
        <w:rPr>
          <w:rFonts w:eastAsia="SimSun"/>
          <w:lang w:val="en-GB"/>
        </w:rPr>
        <w:t>ATmosphères</w:t>
      </w:r>
      <w:proofErr w:type="spellEnd"/>
      <w:r w:rsidRPr="00C66BF9">
        <w:rPr>
          <w:rFonts w:eastAsia="SimSun"/>
          <w:lang w:val="en-GB"/>
        </w:rPr>
        <w:t xml:space="preserve"> </w:t>
      </w:r>
      <w:proofErr w:type="spellStart"/>
      <w:r w:rsidRPr="00C66BF9">
        <w:rPr>
          <w:rFonts w:eastAsia="SimSun"/>
          <w:lang w:val="en-GB"/>
        </w:rPr>
        <w:t>EXplosibles</w:t>
      </w:r>
      <w:proofErr w:type="spellEnd"/>
    </w:p>
    <w:p w14:paraId="37D0BEF1" w14:textId="70926244" w:rsidR="00C66BF9" w:rsidRPr="00753CA0" w:rsidRDefault="00C66BF9" w:rsidP="00C66BF9">
      <w:pPr>
        <w:pStyle w:val="CETBodytext"/>
        <w:jc w:val="left"/>
        <w:rPr>
          <w:rFonts w:eastAsia="SimSun"/>
          <w:lang w:val="en-GB"/>
        </w:rPr>
      </w:pPr>
      <w:r w:rsidRPr="00753CA0">
        <w:rPr>
          <w:rFonts w:eastAsia="SimSun"/>
          <w:lang w:val="en-GB"/>
        </w:rPr>
        <w:t>HAC – Hazardous Area Classification</w:t>
      </w:r>
    </w:p>
    <w:p w14:paraId="5E3A05EE" w14:textId="0E49502A" w:rsidR="00C66BF9" w:rsidRPr="00753CA0" w:rsidRDefault="00C66BF9" w:rsidP="00C66BF9">
      <w:pPr>
        <w:pStyle w:val="CETBodytext"/>
        <w:jc w:val="left"/>
        <w:rPr>
          <w:rFonts w:eastAsia="SimSun"/>
          <w:lang w:val="en-GB"/>
        </w:rPr>
      </w:pPr>
      <w:r>
        <w:rPr>
          <w:rFonts w:eastAsia="SimSun"/>
          <w:lang w:val="en-GB"/>
        </w:rPr>
        <w:t>HazOp</w:t>
      </w:r>
      <w:r w:rsidRPr="00753CA0">
        <w:rPr>
          <w:rFonts w:eastAsia="SimSun"/>
          <w:lang w:val="en-GB"/>
        </w:rPr>
        <w:t xml:space="preserve"> – Hazard and Operability analysis</w:t>
      </w:r>
    </w:p>
    <w:p w14:paraId="73026841" w14:textId="77777777" w:rsidR="00C66BF9" w:rsidRPr="00753CA0" w:rsidRDefault="00C66BF9" w:rsidP="00C66BF9">
      <w:pPr>
        <w:pStyle w:val="CETBodytext"/>
        <w:jc w:val="left"/>
        <w:rPr>
          <w:rFonts w:eastAsia="SimSun"/>
          <w:lang w:val="en-GB"/>
        </w:rPr>
      </w:pPr>
      <w:r w:rsidRPr="00753CA0">
        <w:rPr>
          <w:lang w:val="en-GB"/>
        </w:rPr>
        <w:t>HazId – Hazard Identification analysis</w:t>
      </w:r>
    </w:p>
    <w:p w14:paraId="3E667BED" w14:textId="77777777" w:rsidR="00C66BF9" w:rsidRPr="00753CA0" w:rsidRDefault="00C66BF9" w:rsidP="00C66BF9">
      <w:pPr>
        <w:pStyle w:val="CETBodytext"/>
        <w:jc w:val="left"/>
        <w:rPr>
          <w:rFonts w:eastAsia="SimSun"/>
          <w:lang w:val="en-GB"/>
        </w:rPr>
      </w:pPr>
      <w:r w:rsidRPr="00753CA0">
        <w:rPr>
          <w:rFonts w:eastAsia="SimSun"/>
          <w:lang w:val="en-GB"/>
        </w:rPr>
        <w:t xml:space="preserve">IEC – </w:t>
      </w:r>
      <w:r w:rsidRPr="00753CA0">
        <w:rPr>
          <w:lang w:val="en-GB"/>
        </w:rPr>
        <w:t>International Electrotechnical Commission</w:t>
      </w:r>
    </w:p>
    <w:p w14:paraId="7CAD05BD" w14:textId="77777777" w:rsidR="00C66BF9" w:rsidRPr="00753CA0" w:rsidRDefault="00C66BF9" w:rsidP="00C66BF9">
      <w:pPr>
        <w:pStyle w:val="CETBodytext"/>
        <w:jc w:val="left"/>
        <w:rPr>
          <w:rFonts w:eastAsia="SimSun"/>
          <w:lang w:val="en-GB"/>
        </w:rPr>
      </w:pPr>
      <w:r w:rsidRPr="00753CA0">
        <w:rPr>
          <w:rFonts w:eastAsia="SimSun"/>
          <w:lang w:val="en-GB"/>
        </w:rPr>
        <w:t>IRA – Ignition Risk Assessment</w:t>
      </w:r>
    </w:p>
    <w:p w14:paraId="78E92FF4" w14:textId="77777777" w:rsidR="00C66BF9" w:rsidRPr="00753CA0" w:rsidRDefault="00C66BF9" w:rsidP="00C66BF9">
      <w:pPr>
        <w:pStyle w:val="CETBodytext"/>
        <w:jc w:val="left"/>
        <w:rPr>
          <w:rFonts w:eastAsia="SimSun"/>
          <w:lang w:val="en-GB"/>
        </w:rPr>
      </w:pPr>
      <w:proofErr w:type="spellStart"/>
      <w:r>
        <w:rPr>
          <w:rFonts w:eastAsia="SimSun"/>
          <w:lang w:val="en-GB"/>
        </w:rPr>
        <w:t>nEx</w:t>
      </w:r>
      <w:proofErr w:type="spellEnd"/>
      <w:r>
        <w:rPr>
          <w:rFonts w:eastAsia="SimSun"/>
          <w:lang w:val="en-GB"/>
        </w:rPr>
        <w:t xml:space="preserve"> – </w:t>
      </w:r>
      <w:proofErr w:type="gramStart"/>
      <w:r>
        <w:rPr>
          <w:rFonts w:eastAsia="SimSun"/>
          <w:lang w:val="en-GB"/>
        </w:rPr>
        <w:t>Non Explosion</w:t>
      </w:r>
      <w:proofErr w:type="gramEnd"/>
      <w:r>
        <w:rPr>
          <w:rFonts w:eastAsia="SimSun"/>
          <w:lang w:val="en-GB"/>
        </w:rPr>
        <w:t xml:space="preserve"> Risk</w:t>
      </w:r>
    </w:p>
    <w:p w14:paraId="24E1A891" w14:textId="77777777" w:rsidR="00C66BF9" w:rsidRDefault="00C66BF9" w:rsidP="00C66BF9">
      <w:pPr>
        <w:pStyle w:val="CETBodytext"/>
        <w:jc w:val="left"/>
        <w:rPr>
          <w:lang w:val="en-GB"/>
        </w:rPr>
      </w:pPr>
      <w:r w:rsidRPr="00753CA0">
        <w:rPr>
          <w:rFonts w:eastAsia="SimSun"/>
          <w:lang w:val="en-GB"/>
        </w:rPr>
        <w:t xml:space="preserve">NFPA – </w:t>
      </w:r>
      <w:r w:rsidRPr="00753CA0">
        <w:rPr>
          <w:lang w:val="en-GB"/>
        </w:rPr>
        <w:t>National Fire Protection Association</w:t>
      </w:r>
    </w:p>
    <w:p w14:paraId="000C7F26" w14:textId="77777777" w:rsidR="00C66BF9" w:rsidRDefault="00C66BF9" w:rsidP="00C66BF9">
      <w:pPr>
        <w:pStyle w:val="CETBodytext"/>
        <w:jc w:val="left"/>
        <w:rPr>
          <w:lang w:val="en-GB"/>
        </w:rPr>
      </w:pPr>
      <w:r>
        <w:rPr>
          <w:lang w:val="en-GB"/>
        </w:rPr>
        <w:t>PCE – Process Control Engineering</w:t>
      </w:r>
    </w:p>
    <w:p w14:paraId="7A767851" w14:textId="77777777" w:rsidR="00C66BF9" w:rsidRPr="00753CA0" w:rsidRDefault="00C66BF9" w:rsidP="00C66BF9">
      <w:pPr>
        <w:pStyle w:val="CETBodytext"/>
        <w:jc w:val="left"/>
        <w:rPr>
          <w:rFonts w:eastAsia="SimSun"/>
          <w:lang w:val="en-GB"/>
        </w:rPr>
      </w:pPr>
      <w:r>
        <w:rPr>
          <w:lang w:val="en-GB"/>
        </w:rPr>
        <w:t>PFD – Probability of Failure on Demand</w:t>
      </w:r>
    </w:p>
    <w:p w14:paraId="34B7F16B" w14:textId="77777777" w:rsidR="00480C0D" w:rsidRDefault="00C66BF9" w:rsidP="00C66BF9">
      <w:pPr>
        <w:pStyle w:val="CETBodytext"/>
        <w:jc w:val="left"/>
        <w:rPr>
          <w:lang w:val="en-GB"/>
        </w:rPr>
      </w:pPr>
      <w:r>
        <w:rPr>
          <w:rFonts w:eastAsia="SimSun"/>
          <w:lang w:val="en-GB"/>
        </w:rPr>
        <w:t>SIL –</w:t>
      </w:r>
      <w:r w:rsidRPr="00834ECD">
        <w:rPr>
          <w:lang w:val="en-GB"/>
        </w:rPr>
        <w:t xml:space="preserve"> </w:t>
      </w:r>
      <w:r>
        <w:rPr>
          <w:lang w:val="en-GB"/>
        </w:rPr>
        <w:t>Safety Integrity Levels</w:t>
      </w:r>
    </w:p>
    <w:p w14:paraId="5E49670D" w14:textId="77777777" w:rsidR="00812BE6" w:rsidRDefault="00480C0D" w:rsidP="00C66BF9">
      <w:pPr>
        <w:pStyle w:val="CETBodytext"/>
        <w:jc w:val="left"/>
        <w:rPr>
          <w:lang w:val="en-GB"/>
        </w:rPr>
      </w:pPr>
      <w:r>
        <w:rPr>
          <w:lang w:val="en-GB"/>
        </w:rPr>
        <w:t>RRF – Risk reduction factor</w:t>
      </w:r>
    </w:p>
    <w:p w14:paraId="385F8878" w14:textId="373CAF48" w:rsidR="00812BE6" w:rsidRDefault="00812BE6" w:rsidP="00C66BF9">
      <w:pPr>
        <w:pStyle w:val="CETBodytext"/>
        <w:jc w:val="left"/>
        <w:rPr>
          <w:lang w:val="en-GB"/>
        </w:rPr>
      </w:pPr>
      <w:r>
        <w:rPr>
          <w:lang w:val="en-GB"/>
        </w:rPr>
        <w:t xml:space="preserve">L </w:t>
      </w:r>
      <w:r w:rsidR="009560CB">
        <w:rPr>
          <w:rFonts w:eastAsia="SimSun"/>
          <w:lang w:val="en-GB"/>
        </w:rPr>
        <w:t>–</w:t>
      </w:r>
      <w:r w:rsidR="009560CB" w:rsidRPr="00834ECD">
        <w:rPr>
          <w:lang w:val="en-GB"/>
        </w:rPr>
        <w:t xml:space="preserve"> </w:t>
      </w:r>
      <w:r>
        <w:rPr>
          <w:lang w:val="en-GB"/>
        </w:rPr>
        <w:t>Likelihood</w:t>
      </w:r>
    </w:p>
    <w:p w14:paraId="27F3F767" w14:textId="250E78CA" w:rsidR="009560CB" w:rsidRDefault="00812BE6" w:rsidP="00C66BF9">
      <w:pPr>
        <w:pStyle w:val="CETBodytext"/>
        <w:jc w:val="left"/>
        <w:rPr>
          <w:rFonts w:eastAsia="SimSun"/>
          <w:lang w:val="en-GB"/>
        </w:rPr>
      </w:pPr>
      <w:r>
        <w:rPr>
          <w:lang w:val="en-GB"/>
        </w:rPr>
        <w:t xml:space="preserve">C </w:t>
      </w:r>
      <w:r w:rsidR="009560CB">
        <w:rPr>
          <w:rFonts w:eastAsia="SimSun"/>
          <w:lang w:val="en-GB"/>
        </w:rPr>
        <w:t>–</w:t>
      </w:r>
      <w:r w:rsidR="009560CB" w:rsidRPr="00834ECD">
        <w:rPr>
          <w:lang w:val="en-GB"/>
        </w:rPr>
        <w:t xml:space="preserve"> </w:t>
      </w:r>
      <w:r>
        <w:rPr>
          <w:lang w:val="en-GB"/>
        </w:rPr>
        <w:t>Consequence</w:t>
      </w:r>
      <w:r w:rsidR="00C66BF9">
        <w:rPr>
          <w:rFonts w:eastAsia="SimSun"/>
          <w:lang w:val="en-GB"/>
        </w:rPr>
        <w:t xml:space="preserve"> </w:t>
      </w:r>
    </w:p>
    <w:p w14:paraId="38BFE636" w14:textId="069D74FC" w:rsidR="00280FAF" w:rsidRPr="00E377D0" w:rsidRDefault="009560CB"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r>
        <w:rPr>
          <w:rFonts w:eastAsia="SimSun"/>
          <w:lang w:val="en-GB"/>
        </w:rPr>
        <w:t>DHA – Dust Hazard Analys</w:t>
      </w:r>
      <w:r w:rsidR="00F52D03">
        <w:rPr>
          <w:rFonts w:eastAsia="SimSun"/>
          <w:lang w:val="en-GB"/>
        </w:rPr>
        <w:t>is</w:t>
      </w:r>
    </w:p>
    <w:p w14:paraId="4F1327F8" w14:textId="77777777" w:rsidR="00600535" w:rsidRPr="00B57B36" w:rsidRDefault="00600535" w:rsidP="00600535">
      <w:pPr>
        <w:pStyle w:val="CETReference"/>
      </w:pPr>
      <w:r w:rsidRPr="00B57B36">
        <w:t>References</w:t>
      </w:r>
    </w:p>
    <w:p w14:paraId="08F2D457" w14:textId="032DD60B" w:rsidR="009F7E09" w:rsidRDefault="009F7E09" w:rsidP="009F7E09">
      <w:pPr>
        <w:pStyle w:val="CETReferencetext"/>
      </w:pPr>
      <w:r w:rsidRPr="00F45BC0">
        <w:t>Center for Chemical Process Safety of the American</w:t>
      </w:r>
      <w:r>
        <w:t xml:space="preserve"> </w:t>
      </w:r>
      <w:r w:rsidRPr="00F45BC0">
        <w:t>Institute of Chemical Engineers</w:t>
      </w:r>
      <w:r>
        <w:t>, 2015, CCPS – Guidelines for initiating events and independent protection layers in layer of protection analysis</w:t>
      </w:r>
    </w:p>
    <w:p w14:paraId="0E1C4A71" w14:textId="5E938963" w:rsidR="00FA039E" w:rsidRDefault="00FA039E" w:rsidP="00FA039E">
      <w:pPr>
        <w:pStyle w:val="CETReferencetext"/>
      </w:pPr>
      <w:r w:rsidRPr="00D05BD9">
        <w:t>Gritti A., Carluccio L.M., Pellegrini L., 2024, Semi-quantitative Dust Hazard Analysis: Advantages and Limitations of Using a Risk Matrix in DHA, Chemical Engineering Transactions, 111, 265-270.</w:t>
      </w:r>
    </w:p>
    <w:p w14:paraId="09B6E73E" w14:textId="77777777" w:rsidR="009F7E09" w:rsidRPr="0035062E" w:rsidRDefault="009F7E09" w:rsidP="009F7E09">
      <w:pPr>
        <w:pStyle w:val="CETReferencetext"/>
      </w:pPr>
      <w:r w:rsidRPr="0035062E">
        <w:t>Hydrogen Tools, 2022, www.h2tools.org (last access 12.02.2024).</w:t>
      </w:r>
    </w:p>
    <w:p w14:paraId="3F702B1E" w14:textId="33FCA3AD" w:rsidR="009F7E09" w:rsidRDefault="009F7E09" w:rsidP="009F7E09">
      <w:pPr>
        <w:pStyle w:val="CETReferencetext"/>
      </w:pPr>
      <w:r w:rsidRPr="00753CA0">
        <w:t>International Electrotechnical Commission</w:t>
      </w:r>
      <w:r>
        <w:t xml:space="preserve">, </w:t>
      </w:r>
      <w:r w:rsidRPr="00753CA0">
        <w:t>20</w:t>
      </w:r>
      <w:r>
        <w:t>20,</w:t>
      </w:r>
      <w:r w:rsidRPr="00753CA0">
        <w:t xml:space="preserve"> IEC 60079-10-</w:t>
      </w:r>
      <w:r>
        <w:t>1</w:t>
      </w:r>
      <w:r w:rsidRPr="00753CA0">
        <w:t xml:space="preserve"> Explosive atmospheres - Part 10-</w:t>
      </w:r>
      <w:r>
        <w:t>1</w:t>
      </w:r>
      <w:r w:rsidRPr="00753CA0">
        <w:t xml:space="preserve">: Classification of areas - Explosive </w:t>
      </w:r>
      <w:r>
        <w:t>gas</w:t>
      </w:r>
      <w:r w:rsidRPr="00753CA0">
        <w:t xml:space="preserve"> atmospheres, Geneva, Switzerland.</w:t>
      </w:r>
    </w:p>
    <w:p w14:paraId="4D330599" w14:textId="77777777" w:rsidR="009F7E09" w:rsidRDefault="009F7E09" w:rsidP="009F7E09">
      <w:pPr>
        <w:pStyle w:val="CETReferencetext"/>
        <w:jc w:val="left"/>
      </w:pPr>
      <w:r>
        <w:t xml:space="preserve">International Electrotechnical Commission, IEC 61508, </w:t>
      </w:r>
      <w:r w:rsidRPr="00E166AC">
        <w:t>Functional safety of electrical/electronic/programmable electronic safety-related systems</w:t>
      </w:r>
      <w:r>
        <w:t>, Geneva, Switzerland</w:t>
      </w:r>
    </w:p>
    <w:p w14:paraId="396AA768" w14:textId="77777777" w:rsidR="009F7E09" w:rsidRDefault="009F7E09" w:rsidP="009F7E09">
      <w:pPr>
        <w:pStyle w:val="CETReferencetext"/>
        <w:jc w:val="left"/>
      </w:pPr>
      <w:r>
        <w:t xml:space="preserve">International Electrotechnical Commission, IEC 61511, </w:t>
      </w:r>
      <w:r w:rsidRPr="00E166AC">
        <w:t>Functional safety – Safety instrumented systems for the process industry sector</w:t>
      </w:r>
      <w:r>
        <w:t>, Geneva, Switzerland</w:t>
      </w:r>
    </w:p>
    <w:p w14:paraId="3F889398" w14:textId="605FD2F7" w:rsidR="00480C0D" w:rsidRDefault="00480C0D" w:rsidP="00D5530A">
      <w:pPr>
        <w:pStyle w:val="CETReferencetext"/>
        <w:jc w:val="left"/>
      </w:pPr>
      <w:r>
        <w:t>International Electrotechnical Commission, IEC 62485-3, Safety requirements for secondary batteries and</w:t>
      </w:r>
      <w:r w:rsidR="00D5530A">
        <w:t xml:space="preserve"> </w:t>
      </w:r>
      <w:r>
        <w:t>battery installations - Part 3: Traction batteries, Geneva, Switzerland</w:t>
      </w:r>
    </w:p>
    <w:p w14:paraId="3B4BB1D7" w14:textId="062B3410" w:rsidR="009F7E09" w:rsidRDefault="009F7E09" w:rsidP="009F7E09">
      <w:pPr>
        <w:pStyle w:val="CETReferencetext"/>
      </w:pPr>
      <w:r w:rsidRPr="0035062E">
        <w:t>ISO/TR 15916</w:t>
      </w:r>
      <w:r>
        <w:t xml:space="preserve">, </w:t>
      </w:r>
      <w:r w:rsidRPr="0035062E">
        <w:t>2015</w:t>
      </w:r>
      <w:r>
        <w:t>, Basic considerations for the safety of hydrogen system.</w:t>
      </w:r>
    </w:p>
    <w:p w14:paraId="18A4AFCE" w14:textId="77777777" w:rsidR="009F7E09" w:rsidRPr="00753CA0" w:rsidRDefault="009F7E09" w:rsidP="009F7E09">
      <w:pPr>
        <w:pStyle w:val="CETReferencetext"/>
      </w:pPr>
      <w:r w:rsidRPr="00753CA0">
        <w:t>European Committee for Standardization / European Committee for Electrotechnical Standardization, CEN / CENELEC</w:t>
      </w:r>
      <w:r>
        <w:t xml:space="preserve">, </w:t>
      </w:r>
      <w:r w:rsidRPr="00753CA0">
        <w:t>2019</w:t>
      </w:r>
      <w:r>
        <w:t xml:space="preserve">, </w:t>
      </w:r>
      <w:r w:rsidRPr="00753CA0">
        <w:t>EN 1127-1 Explosive atmospheres - Explosion prevention and protection - Part 1: Basic concepts and methodology.</w:t>
      </w:r>
    </w:p>
    <w:p w14:paraId="1046D425" w14:textId="32639419" w:rsidR="008167E4" w:rsidRDefault="009F7E09" w:rsidP="008167E4">
      <w:pPr>
        <w:pStyle w:val="CETReferencetext"/>
      </w:pPr>
      <w:r>
        <w:t xml:space="preserve">VDI/VDE 2180 Blatt 6, 2013-06, </w:t>
      </w:r>
      <w:r w:rsidRPr="00D93A4B">
        <w:t>Safeguarding of industrial process plants by means</w:t>
      </w:r>
      <w:r>
        <w:t xml:space="preserve"> </w:t>
      </w:r>
      <w:r w:rsidRPr="00D93A4B">
        <w:t>of process control engineering (PCE)</w:t>
      </w:r>
      <w:r>
        <w:t xml:space="preserve">. </w:t>
      </w:r>
      <w:r w:rsidRPr="00D93A4B">
        <w:t>Application of functional safety in the context of</w:t>
      </w:r>
      <w:r>
        <w:t xml:space="preserve"> </w:t>
      </w:r>
      <w:r w:rsidRPr="00D93A4B">
        <w:t>explosion protection</w:t>
      </w:r>
      <w:r>
        <w:t xml:space="preserve"> Berlin: </w:t>
      </w:r>
      <w:proofErr w:type="spellStart"/>
      <w:r w:rsidRPr="00D93A4B">
        <w:t>Beuth</w:t>
      </w:r>
      <w:proofErr w:type="spellEnd"/>
      <w:r>
        <w:t xml:space="preserve"> </w:t>
      </w:r>
      <w:r w:rsidRPr="00D93A4B">
        <w:t>Verlag</w:t>
      </w:r>
    </w:p>
    <w:sectPr w:rsidR="008167E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DE67" w14:textId="77777777" w:rsidR="005849C0" w:rsidRDefault="005849C0" w:rsidP="004F5E36">
      <w:r>
        <w:separator/>
      </w:r>
    </w:p>
  </w:endnote>
  <w:endnote w:type="continuationSeparator" w:id="0">
    <w:p w14:paraId="7501D246" w14:textId="77777777" w:rsidR="005849C0" w:rsidRDefault="005849C0" w:rsidP="004F5E36">
      <w:r>
        <w:continuationSeparator/>
      </w:r>
    </w:p>
  </w:endnote>
  <w:endnote w:type="continuationNotice" w:id="1">
    <w:p w14:paraId="5046AB1E" w14:textId="77777777" w:rsidR="00BA687C" w:rsidRDefault="00BA68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289E" w14:textId="77777777" w:rsidR="005849C0" w:rsidRDefault="005849C0" w:rsidP="004F5E36">
      <w:r>
        <w:separator/>
      </w:r>
    </w:p>
  </w:footnote>
  <w:footnote w:type="continuationSeparator" w:id="0">
    <w:p w14:paraId="4D01C739" w14:textId="77777777" w:rsidR="005849C0" w:rsidRDefault="005849C0" w:rsidP="004F5E36">
      <w:r>
        <w:continuationSeparator/>
      </w:r>
    </w:p>
  </w:footnote>
  <w:footnote w:type="continuationNotice" w:id="1">
    <w:p w14:paraId="5E573C4C" w14:textId="77777777" w:rsidR="00BA687C" w:rsidRDefault="00BA687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0052BB"/>
    <w:multiLevelType w:val="multilevel"/>
    <w:tmpl w:val="1CF4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B0549"/>
    <w:multiLevelType w:val="hybridMultilevel"/>
    <w:tmpl w:val="41C2128A"/>
    <w:lvl w:ilvl="0" w:tplc="F7C4E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7E51A7"/>
    <w:multiLevelType w:val="hybridMultilevel"/>
    <w:tmpl w:val="643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2FC19FB"/>
    <w:multiLevelType w:val="hybridMultilevel"/>
    <w:tmpl w:val="DC7E719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0ED736A"/>
    <w:multiLevelType w:val="hybridMultilevel"/>
    <w:tmpl w:val="E746E408"/>
    <w:lvl w:ilvl="0" w:tplc="0410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136A32"/>
    <w:multiLevelType w:val="hybridMultilevel"/>
    <w:tmpl w:val="6E44B870"/>
    <w:lvl w:ilvl="0" w:tplc="FFFFFFFF">
      <w:start w:val="1"/>
      <w:numFmt w:val="lowerLetter"/>
      <w:lvlText w:val="%1)"/>
      <w:lvlJc w:val="left"/>
      <w:pPr>
        <w:ind w:left="720" w:hanging="360"/>
      </w:pPr>
      <w:rPr>
        <w:rFonts w:hint="default"/>
      </w:rPr>
    </w:lvl>
    <w:lvl w:ilvl="1" w:tplc="A4B8D4F0">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1D7CE7"/>
    <w:multiLevelType w:val="hybridMultilevel"/>
    <w:tmpl w:val="DFDE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0377BA"/>
    <w:multiLevelType w:val="hybridMultilevel"/>
    <w:tmpl w:val="AFDA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531C5"/>
    <w:multiLevelType w:val="hybridMultilevel"/>
    <w:tmpl w:val="34D07178"/>
    <w:lvl w:ilvl="0" w:tplc="0410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2F5958"/>
    <w:multiLevelType w:val="hybridMultilevel"/>
    <w:tmpl w:val="867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882765">
    <w:abstractNumId w:val="14"/>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4"/>
  </w:num>
  <w:num w:numId="13" w16cid:durableId="695733619">
    <w:abstractNumId w:val="17"/>
  </w:num>
  <w:num w:numId="14" w16cid:durableId="145903400">
    <w:abstractNumId w:val="25"/>
  </w:num>
  <w:num w:numId="15" w16cid:durableId="19162326">
    <w:abstractNumId w:val="28"/>
  </w:num>
  <w:num w:numId="16" w16cid:durableId="1977102699">
    <w:abstractNumId w:val="27"/>
  </w:num>
  <w:num w:numId="17" w16cid:durableId="860774865">
    <w:abstractNumId w:val="16"/>
  </w:num>
  <w:num w:numId="18" w16cid:durableId="313221457">
    <w:abstractNumId w:val="17"/>
    <w:lvlOverride w:ilvl="0">
      <w:startOverride w:val="1"/>
    </w:lvlOverride>
  </w:num>
  <w:num w:numId="19" w16cid:durableId="534971577">
    <w:abstractNumId w:val="23"/>
  </w:num>
  <w:num w:numId="20" w16cid:durableId="1150947773">
    <w:abstractNumId w:val="22"/>
  </w:num>
  <w:num w:numId="21" w16cid:durableId="124660497">
    <w:abstractNumId w:val="19"/>
  </w:num>
  <w:num w:numId="22" w16cid:durableId="2099861471">
    <w:abstractNumId w:val="18"/>
  </w:num>
  <w:num w:numId="23" w16cid:durableId="84351335">
    <w:abstractNumId w:val="12"/>
  </w:num>
  <w:num w:numId="24" w16cid:durableId="1042749437">
    <w:abstractNumId w:val="15"/>
  </w:num>
  <w:num w:numId="25" w16cid:durableId="1630815102">
    <w:abstractNumId w:val="21"/>
  </w:num>
  <w:num w:numId="26" w16cid:durableId="2105878179">
    <w:abstractNumId w:val="29"/>
  </w:num>
  <w:num w:numId="27" w16cid:durableId="824246540">
    <w:abstractNumId w:val="26"/>
  </w:num>
  <w:num w:numId="28" w16cid:durableId="1104151978">
    <w:abstractNumId w:val="31"/>
  </w:num>
  <w:num w:numId="29" w16cid:durableId="1379159655">
    <w:abstractNumId w:val="11"/>
  </w:num>
  <w:num w:numId="30" w16cid:durableId="845903440">
    <w:abstractNumId w:val="10"/>
  </w:num>
  <w:num w:numId="31" w16cid:durableId="305010156">
    <w:abstractNumId w:val="13"/>
  </w:num>
  <w:num w:numId="32" w16cid:durableId="708451714">
    <w:abstractNumId w:val="20"/>
  </w:num>
  <w:num w:numId="33" w16cid:durableId="554241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AA"/>
    <w:rsid w:val="000027C0"/>
    <w:rsid w:val="000052FB"/>
    <w:rsid w:val="00005A19"/>
    <w:rsid w:val="000117CB"/>
    <w:rsid w:val="00012B47"/>
    <w:rsid w:val="00020C8C"/>
    <w:rsid w:val="0003148D"/>
    <w:rsid w:val="00031EEC"/>
    <w:rsid w:val="00033DC5"/>
    <w:rsid w:val="00043461"/>
    <w:rsid w:val="00051566"/>
    <w:rsid w:val="000562A9"/>
    <w:rsid w:val="00062A9A"/>
    <w:rsid w:val="00065058"/>
    <w:rsid w:val="00086C39"/>
    <w:rsid w:val="000A03B2"/>
    <w:rsid w:val="000D0268"/>
    <w:rsid w:val="000D34BE"/>
    <w:rsid w:val="000E0B3C"/>
    <w:rsid w:val="000E102F"/>
    <w:rsid w:val="000E323F"/>
    <w:rsid w:val="000E36F1"/>
    <w:rsid w:val="000E3A73"/>
    <w:rsid w:val="000E414A"/>
    <w:rsid w:val="000E75FD"/>
    <w:rsid w:val="000F093C"/>
    <w:rsid w:val="000F706B"/>
    <w:rsid w:val="000F787B"/>
    <w:rsid w:val="0012091F"/>
    <w:rsid w:val="00126BC2"/>
    <w:rsid w:val="001308B6"/>
    <w:rsid w:val="0013121F"/>
    <w:rsid w:val="00131FE6"/>
    <w:rsid w:val="0013263F"/>
    <w:rsid w:val="001331DF"/>
    <w:rsid w:val="00134DE4"/>
    <w:rsid w:val="0013790B"/>
    <w:rsid w:val="0014034D"/>
    <w:rsid w:val="00140FE3"/>
    <w:rsid w:val="00144D16"/>
    <w:rsid w:val="00150E59"/>
    <w:rsid w:val="00152DE3"/>
    <w:rsid w:val="001545A3"/>
    <w:rsid w:val="0016251A"/>
    <w:rsid w:val="00164CF9"/>
    <w:rsid w:val="001667A6"/>
    <w:rsid w:val="0018171E"/>
    <w:rsid w:val="00184AD6"/>
    <w:rsid w:val="001A4AF7"/>
    <w:rsid w:val="001A5E5D"/>
    <w:rsid w:val="001B0349"/>
    <w:rsid w:val="001B1AB7"/>
    <w:rsid w:val="001B1E93"/>
    <w:rsid w:val="001B65C1"/>
    <w:rsid w:val="001C260F"/>
    <w:rsid w:val="001C5C3A"/>
    <w:rsid w:val="001C684B"/>
    <w:rsid w:val="001D0CFB"/>
    <w:rsid w:val="001D21AF"/>
    <w:rsid w:val="001D47DC"/>
    <w:rsid w:val="001D53FC"/>
    <w:rsid w:val="001F42A5"/>
    <w:rsid w:val="001F7B9D"/>
    <w:rsid w:val="00201C93"/>
    <w:rsid w:val="002050C8"/>
    <w:rsid w:val="00207704"/>
    <w:rsid w:val="00215327"/>
    <w:rsid w:val="002224B4"/>
    <w:rsid w:val="00236946"/>
    <w:rsid w:val="00241B2C"/>
    <w:rsid w:val="002447EF"/>
    <w:rsid w:val="0024695D"/>
    <w:rsid w:val="00251550"/>
    <w:rsid w:val="00251C2D"/>
    <w:rsid w:val="00263B05"/>
    <w:rsid w:val="0027221A"/>
    <w:rsid w:val="00275B61"/>
    <w:rsid w:val="00280FAF"/>
    <w:rsid w:val="00282656"/>
    <w:rsid w:val="00296B83"/>
    <w:rsid w:val="002B4015"/>
    <w:rsid w:val="002B78CE"/>
    <w:rsid w:val="002C2696"/>
    <w:rsid w:val="002C2FB6"/>
    <w:rsid w:val="002E282D"/>
    <w:rsid w:val="002E5FA7"/>
    <w:rsid w:val="002F3309"/>
    <w:rsid w:val="003008CE"/>
    <w:rsid w:val="003009B7"/>
    <w:rsid w:val="00300E56"/>
    <w:rsid w:val="0030152C"/>
    <w:rsid w:val="0030469C"/>
    <w:rsid w:val="00321CA6"/>
    <w:rsid w:val="00323763"/>
    <w:rsid w:val="00323C5F"/>
    <w:rsid w:val="00325CF3"/>
    <w:rsid w:val="00334C09"/>
    <w:rsid w:val="00356AED"/>
    <w:rsid w:val="003723D4"/>
    <w:rsid w:val="00372B63"/>
    <w:rsid w:val="00381638"/>
    <w:rsid w:val="00381905"/>
    <w:rsid w:val="00384CC8"/>
    <w:rsid w:val="003871FD"/>
    <w:rsid w:val="003904D3"/>
    <w:rsid w:val="003A1E30"/>
    <w:rsid w:val="003A2829"/>
    <w:rsid w:val="003A33CE"/>
    <w:rsid w:val="003A7D1C"/>
    <w:rsid w:val="003B304B"/>
    <w:rsid w:val="003B3146"/>
    <w:rsid w:val="003B49CD"/>
    <w:rsid w:val="003D1E02"/>
    <w:rsid w:val="003D2685"/>
    <w:rsid w:val="003F015E"/>
    <w:rsid w:val="003F171A"/>
    <w:rsid w:val="00400414"/>
    <w:rsid w:val="0041446B"/>
    <w:rsid w:val="00414E20"/>
    <w:rsid w:val="0044071E"/>
    <w:rsid w:val="0044329C"/>
    <w:rsid w:val="0044637E"/>
    <w:rsid w:val="00453E24"/>
    <w:rsid w:val="00457456"/>
    <w:rsid w:val="004577FE"/>
    <w:rsid w:val="00457B9C"/>
    <w:rsid w:val="0046164A"/>
    <w:rsid w:val="004628D2"/>
    <w:rsid w:val="00462DCD"/>
    <w:rsid w:val="004648AD"/>
    <w:rsid w:val="004703A9"/>
    <w:rsid w:val="00475909"/>
    <w:rsid w:val="004760DE"/>
    <w:rsid w:val="004763D7"/>
    <w:rsid w:val="00480C0D"/>
    <w:rsid w:val="00496D9A"/>
    <w:rsid w:val="004A004E"/>
    <w:rsid w:val="004A24CF"/>
    <w:rsid w:val="004A299E"/>
    <w:rsid w:val="004A5654"/>
    <w:rsid w:val="004C3D1D"/>
    <w:rsid w:val="004C3D84"/>
    <w:rsid w:val="004C7913"/>
    <w:rsid w:val="004E2B84"/>
    <w:rsid w:val="004E4DD6"/>
    <w:rsid w:val="004F5E36"/>
    <w:rsid w:val="00505DB4"/>
    <w:rsid w:val="00507B47"/>
    <w:rsid w:val="00507BEF"/>
    <w:rsid w:val="00507CC9"/>
    <w:rsid w:val="005119A5"/>
    <w:rsid w:val="00517B44"/>
    <w:rsid w:val="005278B7"/>
    <w:rsid w:val="00532016"/>
    <w:rsid w:val="005346C8"/>
    <w:rsid w:val="00543E7D"/>
    <w:rsid w:val="00547A68"/>
    <w:rsid w:val="005531C9"/>
    <w:rsid w:val="00554879"/>
    <w:rsid w:val="00570C43"/>
    <w:rsid w:val="00580D61"/>
    <w:rsid w:val="005849C0"/>
    <w:rsid w:val="00592274"/>
    <w:rsid w:val="005B2110"/>
    <w:rsid w:val="005B350B"/>
    <w:rsid w:val="005B61E6"/>
    <w:rsid w:val="005C161B"/>
    <w:rsid w:val="005C77E1"/>
    <w:rsid w:val="005D668A"/>
    <w:rsid w:val="005D6A2F"/>
    <w:rsid w:val="005E0592"/>
    <w:rsid w:val="005E1A82"/>
    <w:rsid w:val="005E2981"/>
    <w:rsid w:val="005E794C"/>
    <w:rsid w:val="005F0A28"/>
    <w:rsid w:val="005F0E5E"/>
    <w:rsid w:val="00600535"/>
    <w:rsid w:val="00601CB3"/>
    <w:rsid w:val="00610CD6"/>
    <w:rsid w:val="006115D7"/>
    <w:rsid w:val="00613449"/>
    <w:rsid w:val="00620DEE"/>
    <w:rsid w:val="00621F92"/>
    <w:rsid w:val="0062280A"/>
    <w:rsid w:val="006231E1"/>
    <w:rsid w:val="00625639"/>
    <w:rsid w:val="00631B33"/>
    <w:rsid w:val="0064184D"/>
    <w:rsid w:val="006422CC"/>
    <w:rsid w:val="00651D18"/>
    <w:rsid w:val="006556E1"/>
    <w:rsid w:val="00660E3E"/>
    <w:rsid w:val="00662E74"/>
    <w:rsid w:val="00680C23"/>
    <w:rsid w:val="00683E23"/>
    <w:rsid w:val="00693766"/>
    <w:rsid w:val="006A3281"/>
    <w:rsid w:val="006A6DE5"/>
    <w:rsid w:val="006B0763"/>
    <w:rsid w:val="006B4888"/>
    <w:rsid w:val="006B6244"/>
    <w:rsid w:val="006C2E45"/>
    <w:rsid w:val="006C359C"/>
    <w:rsid w:val="006C5579"/>
    <w:rsid w:val="006D6E8B"/>
    <w:rsid w:val="006D7209"/>
    <w:rsid w:val="006E737D"/>
    <w:rsid w:val="00707DD1"/>
    <w:rsid w:val="00713973"/>
    <w:rsid w:val="00720A24"/>
    <w:rsid w:val="00732386"/>
    <w:rsid w:val="0073514D"/>
    <w:rsid w:val="007447F3"/>
    <w:rsid w:val="0075499F"/>
    <w:rsid w:val="007661C8"/>
    <w:rsid w:val="0077098D"/>
    <w:rsid w:val="00785BF9"/>
    <w:rsid w:val="007931FA"/>
    <w:rsid w:val="007A4861"/>
    <w:rsid w:val="007A7BBA"/>
    <w:rsid w:val="007B0C50"/>
    <w:rsid w:val="007B48F9"/>
    <w:rsid w:val="007C1A43"/>
    <w:rsid w:val="007D0951"/>
    <w:rsid w:val="007D610D"/>
    <w:rsid w:val="007E2F8A"/>
    <w:rsid w:val="0080013E"/>
    <w:rsid w:val="00801759"/>
    <w:rsid w:val="00812BE6"/>
    <w:rsid w:val="008131AB"/>
    <w:rsid w:val="00813288"/>
    <w:rsid w:val="008167E4"/>
    <w:rsid w:val="008168FC"/>
    <w:rsid w:val="00830996"/>
    <w:rsid w:val="008345F1"/>
    <w:rsid w:val="0085180C"/>
    <w:rsid w:val="00865B07"/>
    <w:rsid w:val="008667EA"/>
    <w:rsid w:val="00872294"/>
    <w:rsid w:val="0087637F"/>
    <w:rsid w:val="008832AA"/>
    <w:rsid w:val="00892940"/>
    <w:rsid w:val="00892AD5"/>
    <w:rsid w:val="0089400C"/>
    <w:rsid w:val="008A1512"/>
    <w:rsid w:val="008B2C83"/>
    <w:rsid w:val="008C1D96"/>
    <w:rsid w:val="008D32B9"/>
    <w:rsid w:val="008D433B"/>
    <w:rsid w:val="008D4A16"/>
    <w:rsid w:val="008E5401"/>
    <w:rsid w:val="008E566E"/>
    <w:rsid w:val="0090161A"/>
    <w:rsid w:val="00901EB6"/>
    <w:rsid w:val="009041F8"/>
    <w:rsid w:val="00904C62"/>
    <w:rsid w:val="00922BA8"/>
    <w:rsid w:val="00924DAC"/>
    <w:rsid w:val="00927058"/>
    <w:rsid w:val="00942750"/>
    <w:rsid w:val="009450CE"/>
    <w:rsid w:val="009459BB"/>
    <w:rsid w:val="00947179"/>
    <w:rsid w:val="0095164B"/>
    <w:rsid w:val="00954090"/>
    <w:rsid w:val="009560CB"/>
    <w:rsid w:val="009573E7"/>
    <w:rsid w:val="00963E05"/>
    <w:rsid w:val="00964A45"/>
    <w:rsid w:val="00967843"/>
    <w:rsid w:val="00967D54"/>
    <w:rsid w:val="00971028"/>
    <w:rsid w:val="00980531"/>
    <w:rsid w:val="00993B84"/>
    <w:rsid w:val="00994C6A"/>
    <w:rsid w:val="00996483"/>
    <w:rsid w:val="00996F5A"/>
    <w:rsid w:val="00997D54"/>
    <w:rsid w:val="009B041A"/>
    <w:rsid w:val="009B6060"/>
    <w:rsid w:val="009C37C3"/>
    <w:rsid w:val="009C7C86"/>
    <w:rsid w:val="009D2FF7"/>
    <w:rsid w:val="009E3D49"/>
    <w:rsid w:val="009E7884"/>
    <w:rsid w:val="009E788A"/>
    <w:rsid w:val="009F0E08"/>
    <w:rsid w:val="009F7E09"/>
    <w:rsid w:val="00A03990"/>
    <w:rsid w:val="00A079AE"/>
    <w:rsid w:val="00A1763D"/>
    <w:rsid w:val="00A17CEC"/>
    <w:rsid w:val="00A27EF0"/>
    <w:rsid w:val="00A330BF"/>
    <w:rsid w:val="00A34905"/>
    <w:rsid w:val="00A3624F"/>
    <w:rsid w:val="00A42361"/>
    <w:rsid w:val="00A50B20"/>
    <w:rsid w:val="00A51390"/>
    <w:rsid w:val="00A60D13"/>
    <w:rsid w:val="00A7223D"/>
    <w:rsid w:val="00A72745"/>
    <w:rsid w:val="00A76EFC"/>
    <w:rsid w:val="00A87D50"/>
    <w:rsid w:val="00A91010"/>
    <w:rsid w:val="00A95FB0"/>
    <w:rsid w:val="00A97F29"/>
    <w:rsid w:val="00AA0FFD"/>
    <w:rsid w:val="00AA35AC"/>
    <w:rsid w:val="00AA702E"/>
    <w:rsid w:val="00AA7D26"/>
    <w:rsid w:val="00AB0964"/>
    <w:rsid w:val="00AB5011"/>
    <w:rsid w:val="00AC14C8"/>
    <w:rsid w:val="00AC6651"/>
    <w:rsid w:val="00AC7368"/>
    <w:rsid w:val="00AD16B9"/>
    <w:rsid w:val="00AD6B4E"/>
    <w:rsid w:val="00AE377D"/>
    <w:rsid w:val="00AF0EBA"/>
    <w:rsid w:val="00AF2463"/>
    <w:rsid w:val="00B00F88"/>
    <w:rsid w:val="00B02C8A"/>
    <w:rsid w:val="00B13285"/>
    <w:rsid w:val="00B17FBD"/>
    <w:rsid w:val="00B315A6"/>
    <w:rsid w:val="00B31813"/>
    <w:rsid w:val="00B33365"/>
    <w:rsid w:val="00B57B36"/>
    <w:rsid w:val="00B57E6F"/>
    <w:rsid w:val="00B716F6"/>
    <w:rsid w:val="00B8686D"/>
    <w:rsid w:val="00B93F69"/>
    <w:rsid w:val="00BA687C"/>
    <w:rsid w:val="00BB1DDC"/>
    <w:rsid w:val="00BC30C9"/>
    <w:rsid w:val="00BD077D"/>
    <w:rsid w:val="00BE3E58"/>
    <w:rsid w:val="00BE44E0"/>
    <w:rsid w:val="00BE4873"/>
    <w:rsid w:val="00BF13CE"/>
    <w:rsid w:val="00C00237"/>
    <w:rsid w:val="00C01616"/>
    <w:rsid w:val="00C0162B"/>
    <w:rsid w:val="00C068ED"/>
    <w:rsid w:val="00C071B6"/>
    <w:rsid w:val="00C07E4A"/>
    <w:rsid w:val="00C22E0C"/>
    <w:rsid w:val="00C31F48"/>
    <w:rsid w:val="00C32C7D"/>
    <w:rsid w:val="00C345B1"/>
    <w:rsid w:val="00C40142"/>
    <w:rsid w:val="00C52C3C"/>
    <w:rsid w:val="00C57182"/>
    <w:rsid w:val="00C57863"/>
    <w:rsid w:val="00C640AF"/>
    <w:rsid w:val="00C655FD"/>
    <w:rsid w:val="00C66BF9"/>
    <w:rsid w:val="00C75407"/>
    <w:rsid w:val="00C81E7D"/>
    <w:rsid w:val="00C841C6"/>
    <w:rsid w:val="00C870A8"/>
    <w:rsid w:val="00C94434"/>
    <w:rsid w:val="00CA0D75"/>
    <w:rsid w:val="00CA1C95"/>
    <w:rsid w:val="00CA5A9C"/>
    <w:rsid w:val="00CC3D8D"/>
    <w:rsid w:val="00CC4C20"/>
    <w:rsid w:val="00CD3517"/>
    <w:rsid w:val="00CD5FE2"/>
    <w:rsid w:val="00CE7C68"/>
    <w:rsid w:val="00CF5203"/>
    <w:rsid w:val="00D00D2A"/>
    <w:rsid w:val="00D019FE"/>
    <w:rsid w:val="00D02B4C"/>
    <w:rsid w:val="00D040C4"/>
    <w:rsid w:val="00D05BD9"/>
    <w:rsid w:val="00D155BE"/>
    <w:rsid w:val="00D20AD1"/>
    <w:rsid w:val="00D2582C"/>
    <w:rsid w:val="00D4192E"/>
    <w:rsid w:val="00D46B7E"/>
    <w:rsid w:val="00D47A0C"/>
    <w:rsid w:val="00D5530A"/>
    <w:rsid w:val="00D57C84"/>
    <w:rsid w:val="00D6057D"/>
    <w:rsid w:val="00D71640"/>
    <w:rsid w:val="00D73B2A"/>
    <w:rsid w:val="00D73FD9"/>
    <w:rsid w:val="00D77AD0"/>
    <w:rsid w:val="00D80D7B"/>
    <w:rsid w:val="00D836C5"/>
    <w:rsid w:val="00D84576"/>
    <w:rsid w:val="00DA1399"/>
    <w:rsid w:val="00DA1CF8"/>
    <w:rsid w:val="00DA24C6"/>
    <w:rsid w:val="00DA4D7B"/>
    <w:rsid w:val="00DC2840"/>
    <w:rsid w:val="00DC73EE"/>
    <w:rsid w:val="00DD271C"/>
    <w:rsid w:val="00DD34C6"/>
    <w:rsid w:val="00DE264A"/>
    <w:rsid w:val="00DE73EA"/>
    <w:rsid w:val="00DF5072"/>
    <w:rsid w:val="00E02D18"/>
    <w:rsid w:val="00E041E7"/>
    <w:rsid w:val="00E143B7"/>
    <w:rsid w:val="00E15AE1"/>
    <w:rsid w:val="00E23CA1"/>
    <w:rsid w:val="00E409A8"/>
    <w:rsid w:val="00E50C12"/>
    <w:rsid w:val="00E65B91"/>
    <w:rsid w:val="00E7209D"/>
    <w:rsid w:val="00E72EAD"/>
    <w:rsid w:val="00E73F93"/>
    <w:rsid w:val="00E77223"/>
    <w:rsid w:val="00E837E4"/>
    <w:rsid w:val="00E8528B"/>
    <w:rsid w:val="00E85B94"/>
    <w:rsid w:val="00E86711"/>
    <w:rsid w:val="00E978D0"/>
    <w:rsid w:val="00EA3C6C"/>
    <w:rsid w:val="00EA4613"/>
    <w:rsid w:val="00EA7F91"/>
    <w:rsid w:val="00EB1523"/>
    <w:rsid w:val="00EC0E49"/>
    <w:rsid w:val="00EC101F"/>
    <w:rsid w:val="00EC1D9F"/>
    <w:rsid w:val="00EE0131"/>
    <w:rsid w:val="00EE17B0"/>
    <w:rsid w:val="00EF06D9"/>
    <w:rsid w:val="00F3049E"/>
    <w:rsid w:val="00F30C64"/>
    <w:rsid w:val="00F32BA2"/>
    <w:rsid w:val="00F32BF9"/>
    <w:rsid w:val="00F32CDB"/>
    <w:rsid w:val="00F33BBD"/>
    <w:rsid w:val="00F41EE4"/>
    <w:rsid w:val="00F52D03"/>
    <w:rsid w:val="00F565FE"/>
    <w:rsid w:val="00F63A70"/>
    <w:rsid w:val="00F63D8C"/>
    <w:rsid w:val="00F66F5A"/>
    <w:rsid w:val="00F67870"/>
    <w:rsid w:val="00F67D26"/>
    <w:rsid w:val="00F7534E"/>
    <w:rsid w:val="00F91513"/>
    <w:rsid w:val="00F93EDF"/>
    <w:rsid w:val="00FA039E"/>
    <w:rsid w:val="00FA1802"/>
    <w:rsid w:val="00FA21D0"/>
    <w:rsid w:val="00FA5F5F"/>
    <w:rsid w:val="00FB730C"/>
    <w:rsid w:val="00FC2695"/>
    <w:rsid w:val="00FC3E03"/>
    <w:rsid w:val="00FC3FC1"/>
    <w:rsid w:val="00FF5817"/>
    <w:rsid w:val="16864F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056">
      <w:bodyDiv w:val="1"/>
      <w:marLeft w:val="0"/>
      <w:marRight w:val="0"/>
      <w:marTop w:val="0"/>
      <w:marBottom w:val="0"/>
      <w:divBdr>
        <w:top w:val="none" w:sz="0" w:space="0" w:color="auto"/>
        <w:left w:val="none" w:sz="0" w:space="0" w:color="auto"/>
        <w:bottom w:val="none" w:sz="0" w:space="0" w:color="auto"/>
        <w:right w:val="none" w:sz="0" w:space="0" w:color="auto"/>
      </w:divBdr>
      <w:divsChild>
        <w:div w:id="116140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962958">
      <w:bodyDiv w:val="1"/>
      <w:marLeft w:val="0"/>
      <w:marRight w:val="0"/>
      <w:marTop w:val="0"/>
      <w:marBottom w:val="0"/>
      <w:divBdr>
        <w:top w:val="none" w:sz="0" w:space="0" w:color="auto"/>
        <w:left w:val="none" w:sz="0" w:space="0" w:color="auto"/>
        <w:bottom w:val="none" w:sz="0" w:space="0" w:color="auto"/>
        <w:right w:val="none" w:sz="0" w:space="0" w:color="auto"/>
      </w:divBdr>
      <w:divsChild>
        <w:div w:id="1672878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6568">
      <w:bodyDiv w:val="1"/>
      <w:marLeft w:val="0"/>
      <w:marRight w:val="0"/>
      <w:marTop w:val="0"/>
      <w:marBottom w:val="0"/>
      <w:divBdr>
        <w:top w:val="none" w:sz="0" w:space="0" w:color="auto"/>
        <w:left w:val="none" w:sz="0" w:space="0" w:color="auto"/>
        <w:bottom w:val="none" w:sz="0" w:space="0" w:color="auto"/>
        <w:right w:val="none" w:sz="0" w:space="0" w:color="auto"/>
      </w:divBdr>
    </w:div>
    <w:div w:id="131387302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765469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4985218">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0"/>
          <w:divBdr>
            <w:top w:val="none" w:sz="0" w:space="0" w:color="auto"/>
            <w:left w:val="none" w:sz="0" w:space="0" w:color="auto"/>
            <w:bottom w:val="none" w:sz="0" w:space="0" w:color="auto"/>
            <w:right w:val="none" w:sz="0" w:space="0" w:color="auto"/>
          </w:divBdr>
          <w:divsChild>
            <w:div w:id="1944876627">
              <w:marLeft w:val="0"/>
              <w:marRight w:val="0"/>
              <w:marTop w:val="0"/>
              <w:marBottom w:val="0"/>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80088">
          <w:marLeft w:val="0"/>
          <w:marRight w:val="0"/>
          <w:marTop w:val="0"/>
          <w:marBottom w:val="0"/>
          <w:divBdr>
            <w:top w:val="none" w:sz="0" w:space="0" w:color="auto"/>
            <w:left w:val="none" w:sz="0" w:space="0" w:color="auto"/>
            <w:bottom w:val="none" w:sz="0" w:space="0" w:color="auto"/>
            <w:right w:val="none" w:sz="0" w:space="0" w:color="auto"/>
          </w:divBdr>
          <w:divsChild>
            <w:div w:id="619800973">
              <w:marLeft w:val="0"/>
              <w:marRight w:val="0"/>
              <w:marTop w:val="0"/>
              <w:marBottom w:val="0"/>
              <w:divBdr>
                <w:top w:val="none" w:sz="0" w:space="0" w:color="auto"/>
                <w:left w:val="none" w:sz="0" w:space="0" w:color="auto"/>
                <w:bottom w:val="none" w:sz="0" w:space="0" w:color="auto"/>
                <w:right w:val="none" w:sz="0" w:space="0" w:color="auto"/>
              </w:divBdr>
              <w:divsChild>
                <w:div w:id="1405100339">
                  <w:marLeft w:val="0"/>
                  <w:marRight w:val="0"/>
                  <w:marTop w:val="0"/>
                  <w:marBottom w:val="0"/>
                  <w:divBdr>
                    <w:top w:val="none" w:sz="0" w:space="0" w:color="auto"/>
                    <w:left w:val="none" w:sz="0" w:space="0" w:color="auto"/>
                    <w:bottom w:val="none" w:sz="0" w:space="0" w:color="auto"/>
                    <w:right w:val="none" w:sz="0" w:space="0" w:color="auto"/>
                  </w:divBdr>
                  <w:divsChild>
                    <w:div w:id="8313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53429609">
      <w:bodyDiv w:val="1"/>
      <w:marLeft w:val="0"/>
      <w:marRight w:val="0"/>
      <w:marTop w:val="0"/>
      <w:marBottom w:val="0"/>
      <w:divBdr>
        <w:top w:val="none" w:sz="0" w:space="0" w:color="auto"/>
        <w:left w:val="none" w:sz="0" w:space="0" w:color="auto"/>
        <w:bottom w:val="none" w:sz="0" w:space="0" w:color="auto"/>
        <w:right w:val="none" w:sz="0" w:space="0" w:color="auto"/>
      </w:divBdr>
      <w:divsChild>
        <w:div w:id="1015107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1925723909">
      <w:bodyDiv w:val="1"/>
      <w:marLeft w:val="0"/>
      <w:marRight w:val="0"/>
      <w:marTop w:val="0"/>
      <w:marBottom w:val="0"/>
      <w:divBdr>
        <w:top w:val="none" w:sz="0" w:space="0" w:color="auto"/>
        <w:left w:val="none" w:sz="0" w:space="0" w:color="auto"/>
        <w:bottom w:val="none" w:sz="0" w:space="0" w:color="auto"/>
        <w:right w:val="none" w:sz="0" w:space="0" w:color="auto"/>
      </w:divBdr>
      <w:divsChild>
        <w:div w:id="1061900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353718">
      <w:bodyDiv w:val="1"/>
      <w:marLeft w:val="0"/>
      <w:marRight w:val="0"/>
      <w:marTop w:val="0"/>
      <w:marBottom w:val="0"/>
      <w:divBdr>
        <w:top w:val="none" w:sz="0" w:space="0" w:color="auto"/>
        <w:left w:val="none" w:sz="0" w:space="0" w:color="auto"/>
        <w:bottom w:val="none" w:sz="0" w:space="0" w:color="auto"/>
        <w:right w:val="none" w:sz="0" w:space="0" w:color="auto"/>
      </w:divBdr>
      <w:divsChild>
        <w:div w:id="150023520">
          <w:marLeft w:val="0"/>
          <w:marRight w:val="0"/>
          <w:marTop w:val="0"/>
          <w:marBottom w:val="0"/>
          <w:divBdr>
            <w:top w:val="none" w:sz="0" w:space="0" w:color="auto"/>
            <w:left w:val="none" w:sz="0" w:space="0" w:color="auto"/>
            <w:bottom w:val="none" w:sz="0" w:space="0" w:color="auto"/>
            <w:right w:val="none" w:sz="0" w:space="0" w:color="auto"/>
          </w:divBdr>
          <w:divsChild>
            <w:div w:id="323362294">
              <w:marLeft w:val="0"/>
              <w:marRight w:val="0"/>
              <w:marTop w:val="0"/>
              <w:marBottom w:val="0"/>
              <w:divBdr>
                <w:top w:val="none" w:sz="0" w:space="0" w:color="auto"/>
                <w:left w:val="none" w:sz="0" w:space="0" w:color="auto"/>
                <w:bottom w:val="none" w:sz="0" w:space="0" w:color="auto"/>
                <w:right w:val="none" w:sz="0" w:space="0" w:color="auto"/>
              </w:divBdr>
              <w:divsChild>
                <w:div w:id="1164278056">
                  <w:marLeft w:val="0"/>
                  <w:marRight w:val="0"/>
                  <w:marTop w:val="0"/>
                  <w:marBottom w:val="0"/>
                  <w:divBdr>
                    <w:top w:val="none" w:sz="0" w:space="0" w:color="auto"/>
                    <w:left w:val="none" w:sz="0" w:space="0" w:color="auto"/>
                    <w:bottom w:val="none" w:sz="0" w:space="0" w:color="auto"/>
                    <w:right w:val="none" w:sz="0" w:space="0" w:color="auto"/>
                  </w:divBdr>
                  <w:divsChild>
                    <w:div w:id="227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3048">
          <w:marLeft w:val="0"/>
          <w:marRight w:val="0"/>
          <w:marTop w:val="0"/>
          <w:marBottom w:val="0"/>
          <w:divBdr>
            <w:top w:val="none" w:sz="0" w:space="0" w:color="auto"/>
            <w:left w:val="none" w:sz="0" w:space="0" w:color="auto"/>
            <w:bottom w:val="none" w:sz="0" w:space="0" w:color="auto"/>
            <w:right w:val="none" w:sz="0" w:space="0" w:color="auto"/>
          </w:divBdr>
          <w:divsChild>
            <w:div w:id="553279859">
              <w:marLeft w:val="0"/>
              <w:marRight w:val="0"/>
              <w:marTop w:val="0"/>
              <w:marBottom w:val="0"/>
              <w:divBdr>
                <w:top w:val="none" w:sz="0" w:space="0" w:color="auto"/>
                <w:left w:val="none" w:sz="0" w:space="0" w:color="auto"/>
                <w:bottom w:val="none" w:sz="0" w:space="0" w:color="auto"/>
                <w:right w:val="none" w:sz="0" w:space="0" w:color="auto"/>
              </w:divBdr>
              <w:divsChild>
                <w:div w:id="113254206">
                  <w:marLeft w:val="0"/>
                  <w:marRight w:val="0"/>
                  <w:marTop w:val="0"/>
                  <w:marBottom w:val="0"/>
                  <w:divBdr>
                    <w:top w:val="none" w:sz="0" w:space="0" w:color="auto"/>
                    <w:left w:val="none" w:sz="0" w:space="0" w:color="auto"/>
                    <w:bottom w:val="none" w:sz="0" w:space="0" w:color="auto"/>
                    <w:right w:val="none" w:sz="0" w:space="0" w:color="auto"/>
                  </w:divBdr>
                  <w:divsChild>
                    <w:div w:id="10697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61464b-37cf-44ea-8d18-14153ca159e9">
      <Terms xmlns="http://schemas.microsoft.com/office/infopath/2007/PartnerControls"/>
    </lcf76f155ced4ddcb4097134ff3c332f>
    <TaxCatchAll xmlns="7344bc78-a3c5-48e7-879b-23dae01f99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3AF8F0278B2354D871DAEF0B807ECB9" ma:contentTypeVersion="14" ma:contentTypeDescription="Creare un nuovo documento." ma:contentTypeScope="" ma:versionID="cec15971d7a913d2c71aae069ccda9d2">
  <xsd:schema xmlns:xsd="http://www.w3.org/2001/XMLSchema" xmlns:xs="http://www.w3.org/2001/XMLSchema" xmlns:p="http://schemas.microsoft.com/office/2006/metadata/properties" xmlns:ns2="a861464b-37cf-44ea-8d18-14153ca159e9" xmlns:ns3="7344bc78-a3c5-48e7-879b-23dae01f9991" targetNamespace="http://schemas.microsoft.com/office/2006/metadata/properties" ma:root="true" ma:fieldsID="6a9ebd30ca96b501cf57137967606522" ns2:_="" ns3:_="">
    <xsd:import namespace="a861464b-37cf-44ea-8d18-14153ca159e9"/>
    <xsd:import namespace="7344bc78-a3c5-48e7-879b-23dae01f99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464b-37cf-44ea-8d18-14153ca1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bc78-a3c5-48e7-879b-23dae01f999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1ddccec-1ca0-4f23-9ea9-f01a15cea4a1}" ma:internalName="TaxCatchAll" ma:showField="CatchAllData" ma:web="7344bc78-a3c5-48e7-879b-23dae01f9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DA293B30-2EBF-4831-94C4-2475F58AC84C}">
  <ds:schemaRefs>
    <ds:schemaRef ds:uri="http://schemas.microsoft.com/office/2006/metadata/properties"/>
    <ds:schemaRef ds:uri="http://schemas.microsoft.com/office/2006/documentManagement/types"/>
    <ds:schemaRef ds:uri="7344bc78-a3c5-48e7-879b-23dae01f9991"/>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a861464b-37cf-44ea-8d18-14153ca159e9"/>
    <ds:schemaRef ds:uri="http://www.w3.org/XML/1998/namespace"/>
  </ds:schemaRefs>
</ds:datastoreItem>
</file>

<file path=customXml/itemProps3.xml><?xml version="1.0" encoding="utf-8"?>
<ds:datastoreItem xmlns:ds="http://schemas.openxmlformats.org/officeDocument/2006/customXml" ds:itemID="{C199FE4A-E9A2-45F1-9A15-BBAB81481CB3}"/>
</file>

<file path=customXml/itemProps4.xml><?xml version="1.0" encoding="utf-8"?>
<ds:datastoreItem xmlns:ds="http://schemas.openxmlformats.org/officeDocument/2006/customXml" ds:itemID="{CD547741-7955-4286-8E93-E3C0406CC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3568</Words>
  <Characters>20343</Characters>
  <Application>Microsoft Office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ANDREA GRITTI</cp:lastModifiedBy>
  <cp:revision>24</cp:revision>
  <cp:lastPrinted>2015-05-12T18:31:00Z</cp:lastPrinted>
  <dcterms:created xsi:type="dcterms:W3CDTF">2025-02-13T13:52:00Z</dcterms:created>
  <dcterms:modified xsi:type="dcterms:W3CDTF">2025-02-14T16:51:00Z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0x01010023AF8F0278B2354D871DAEF0B807ECB9</vt:lpwstr>
  </property>
  <property fmtid="{D5CDD505-2E9C-101B-9397-08002B2CF9AE}" pid="5" name="Order">
    <vt:r8>77705000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