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4175CC01" w:rsidR="00E978D0" w:rsidRPr="00B57B36" w:rsidRDefault="009256C1" w:rsidP="009256C1">
      <w:pPr>
        <w:pStyle w:val="CETTitle"/>
        <w:outlineLvl w:val="1"/>
      </w:pPr>
      <w:r>
        <w:t xml:space="preserve">From Reactive </w:t>
      </w:r>
      <w:r w:rsidR="00882647">
        <w:t>to</w:t>
      </w:r>
      <w:r>
        <w:t xml:space="preserve"> Proactive: a data-Driven Approach to Vehicle Maintenance</w:t>
      </w:r>
    </w:p>
    <w:p w14:paraId="0488FED2" w14:textId="54B3D101" w:rsidR="00B57E6F" w:rsidRPr="00951380" w:rsidRDefault="00951380" w:rsidP="00B57E6F">
      <w:pPr>
        <w:pStyle w:val="CETAuthors"/>
        <w:rPr>
          <w:lang w:val="it-IT"/>
        </w:rPr>
      </w:pPr>
      <w:r w:rsidRPr="00951380">
        <w:rPr>
          <w:lang w:val="it-IT"/>
        </w:rPr>
        <w:t>G. Scionti</w:t>
      </w:r>
      <w:r>
        <w:rPr>
          <w:vertAlign w:val="superscript"/>
          <w:lang w:val="it-IT"/>
        </w:rPr>
        <w:t>a,*</w:t>
      </w:r>
      <w:r w:rsidRPr="00951380">
        <w:rPr>
          <w:lang w:val="it-IT"/>
        </w:rPr>
        <w:t>, P. Di Pietro</w:t>
      </w:r>
      <w:r>
        <w:rPr>
          <w:vertAlign w:val="superscript"/>
          <w:lang w:val="it-IT"/>
        </w:rPr>
        <w:t>b</w:t>
      </w:r>
      <w:r w:rsidRPr="00951380">
        <w:rPr>
          <w:lang w:val="it-IT"/>
        </w:rPr>
        <w:t>, M. Miduri</w:t>
      </w:r>
      <w:r>
        <w:rPr>
          <w:vertAlign w:val="superscript"/>
          <w:lang w:val="it-IT"/>
        </w:rPr>
        <w:t>b</w:t>
      </w:r>
      <w:r w:rsidRPr="00951380">
        <w:rPr>
          <w:lang w:val="it-IT"/>
        </w:rPr>
        <w:t>, I. Blandina</w:t>
      </w:r>
      <w:r>
        <w:rPr>
          <w:vertAlign w:val="superscript"/>
          <w:lang w:val="it-IT"/>
        </w:rPr>
        <w:t>b</w:t>
      </w:r>
      <w:r w:rsidRPr="00951380">
        <w:rPr>
          <w:lang w:val="it-IT"/>
        </w:rPr>
        <w:t>, M.F. Milazzo</w:t>
      </w:r>
      <w:r>
        <w:rPr>
          <w:vertAlign w:val="superscript"/>
          <w:lang w:val="it-IT"/>
        </w:rPr>
        <w:t>a</w:t>
      </w:r>
    </w:p>
    <w:p w14:paraId="6B2D21B3" w14:textId="332DE844" w:rsidR="00B57E6F" w:rsidRPr="00B57B36" w:rsidRDefault="00B57E6F" w:rsidP="00B57E6F">
      <w:pPr>
        <w:pStyle w:val="CETAddress"/>
      </w:pPr>
      <w:r w:rsidRPr="00B57B36">
        <w:rPr>
          <w:vertAlign w:val="superscript"/>
        </w:rPr>
        <w:t>a</w:t>
      </w:r>
      <w:r w:rsidR="00951380" w:rsidRPr="00951380">
        <w:t>Department of Engineering, University of Messina, Contrada di Dio, 98166 Messina, Italy</w:t>
      </w:r>
      <w:r w:rsidRPr="00B57B36">
        <w:t xml:space="preserve"> </w:t>
      </w:r>
    </w:p>
    <w:p w14:paraId="3D72B0B0" w14:textId="791E8CB3" w:rsidR="00B57E6F" w:rsidRPr="00951380" w:rsidRDefault="00B57E6F" w:rsidP="00B57E6F">
      <w:pPr>
        <w:pStyle w:val="CETAddress"/>
        <w:rPr>
          <w:lang w:val="it-IT"/>
        </w:rPr>
      </w:pPr>
      <w:r w:rsidRPr="00951380">
        <w:rPr>
          <w:vertAlign w:val="superscript"/>
          <w:lang w:val="it-IT"/>
        </w:rPr>
        <w:t>b</w:t>
      </w:r>
      <w:r w:rsidR="00951380" w:rsidRPr="00951380">
        <w:rPr>
          <w:lang w:val="it-IT"/>
        </w:rPr>
        <w:t>Comet S.r.l., Via Garibaldi, 98121 Messina, Italy</w:t>
      </w:r>
      <w:r w:rsidRPr="00951380">
        <w:rPr>
          <w:lang w:val="it-IT"/>
        </w:rPr>
        <w:t xml:space="preserve"> </w:t>
      </w:r>
    </w:p>
    <w:p w14:paraId="73F1267A" w14:textId="77252445" w:rsidR="00B57E6F" w:rsidRDefault="00B57E6F" w:rsidP="00B57E6F">
      <w:pPr>
        <w:pStyle w:val="CETemail"/>
      </w:pPr>
      <w:r w:rsidRPr="00951380">
        <w:rPr>
          <w:lang w:val="it-IT"/>
        </w:rPr>
        <w:t xml:space="preserve"> </w:t>
      </w:r>
      <w:r w:rsidR="00951380">
        <w:t>giuseppe.scionti@studenti.unime.it</w:t>
      </w:r>
    </w:p>
    <w:p w14:paraId="2E5CF0AA" w14:textId="77777777" w:rsidR="009256C1" w:rsidRPr="00300B78" w:rsidRDefault="009256C1" w:rsidP="009256C1">
      <w:pPr>
        <w:pStyle w:val="CETBodytext"/>
      </w:pPr>
      <w:r w:rsidRPr="00300B78">
        <w:t xml:space="preserve">The digital transition and big data analysis </w:t>
      </w:r>
      <w:proofErr w:type="gramStart"/>
      <w:r w:rsidRPr="00300B78">
        <w:t>provide</w:t>
      </w:r>
      <w:proofErr w:type="gramEnd"/>
      <w:r w:rsidRPr="00300B78">
        <w:t xml:space="preserve"> a novel approach to predictive maintenance, enhancing efficiency and safety in the automotive industry.</w:t>
      </w:r>
    </w:p>
    <w:p w14:paraId="3E896FD1" w14:textId="77777777" w:rsidR="009256C1" w:rsidRPr="00300B78" w:rsidRDefault="009256C1" w:rsidP="009256C1">
      <w:pPr>
        <w:pStyle w:val="CETBodytext"/>
      </w:pPr>
      <w:r w:rsidRPr="00300B78">
        <w:t>This research aims to develop a groundbreaking methodology capable of forecasting malfunctions in heavy vehicles before breakdowns occur, thereby optimizing maintenance interventions and minimizing downtime. By implementing an IoT architecture, real-time telemetric data from the vehicle's electronic control unit is collected. This data, encompassing engine operating conditions and performance, is subsequently processed using machine learning algorithms. Specifically, various machine learning models are explored to identify correlations between historical data and the emergence of anomalies, which may signal an impending failure.</w:t>
      </w:r>
    </w:p>
    <w:p w14:paraId="19C95CCE" w14:textId="55B8A988" w:rsidR="009256C1" w:rsidRDefault="009256C1" w:rsidP="009256C1">
      <w:pPr>
        <w:pStyle w:val="CETBodytext"/>
      </w:pPr>
      <w:r w:rsidRPr="00300B78">
        <w:t xml:space="preserve">The system has been successfully applied to a real-world case study at Comet </w:t>
      </w:r>
      <w:proofErr w:type="spellStart"/>
      <w:r w:rsidRPr="00300B78">
        <w:t>S.r.l</w:t>
      </w:r>
      <w:proofErr w:type="spellEnd"/>
      <w:r w:rsidRPr="00300B78">
        <w:t xml:space="preserve">., a logistics and goods handling company in Messina. The results of the tests </w:t>
      </w:r>
      <w:r w:rsidR="005F0454" w:rsidRPr="00300B78">
        <w:t>demonstrate</w:t>
      </w:r>
      <w:r w:rsidRPr="00300B78">
        <w:t xml:space="preserve"> the effectiveness of the system, which can be adopted in more complex sites to manage the risk in the intermodal transport of hazardous materials</w:t>
      </w:r>
      <w:proofErr w:type="gramStart"/>
      <w:r w:rsidRPr="00300B78">
        <w:t>, in particular, to</w:t>
      </w:r>
      <w:proofErr w:type="gramEnd"/>
      <w:r w:rsidRPr="00300B78">
        <w:t xml:space="preserve"> support the prevention of highly dangerous releases of substances.</w:t>
      </w:r>
    </w:p>
    <w:p w14:paraId="60D82659" w14:textId="1FD8B61F" w:rsidR="009256C1" w:rsidRDefault="009256C1" w:rsidP="009256C1">
      <w:pPr>
        <w:pStyle w:val="CETHeading1"/>
        <w:numPr>
          <w:ilvl w:val="1"/>
          <w:numId w:val="24"/>
        </w:numPr>
        <w:tabs>
          <w:tab w:val="left" w:pos="360"/>
        </w:tabs>
        <w:rPr>
          <w:lang w:val="en-GB"/>
        </w:rPr>
      </w:pPr>
      <w:r w:rsidRPr="004727A8">
        <w:rPr>
          <w:lang w:val="en-GB"/>
        </w:rPr>
        <w:t>Introduction</w:t>
      </w:r>
    </w:p>
    <w:p w14:paraId="03C8E85D" w14:textId="5B18497F" w:rsidR="002C7E97" w:rsidRDefault="00534C0C" w:rsidP="00534C0C">
      <w:pPr>
        <w:pStyle w:val="CETBodytext"/>
        <w:rPr>
          <w:lang w:val="en-GB"/>
        </w:rPr>
      </w:pPr>
      <w:r w:rsidRPr="00534C0C">
        <w:rPr>
          <w:lang w:val="en-GB"/>
        </w:rPr>
        <w:t xml:space="preserve">The safe and efficient operation of industrial vehicles, particularly those handling hazardous materials, is </w:t>
      </w:r>
      <w:r w:rsidR="002C7E97">
        <w:rPr>
          <w:lang w:val="en-GB"/>
        </w:rPr>
        <w:t>fundamental</w:t>
      </w:r>
      <w:r w:rsidRPr="00534C0C">
        <w:rPr>
          <w:lang w:val="en-GB"/>
        </w:rPr>
        <w:t>.</w:t>
      </w:r>
      <w:r w:rsidR="00FD3EB9">
        <w:rPr>
          <w:lang w:val="en-GB"/>
        </w:rPr>
        <w:t xml:space="preserve"> </w:t>
      </w:r>
      <w:r w:rsidRPr="00534C0C">
        <w:rPr>
          <w:lang w:val="en-GB"/>
        </w:rPr>
        <w:t>Unplanned downtime due to mechanical failures can lead to significant production losses, increased costs, and, most critically, pose severe risks to personnel and the environment, especially when dealing with potentially dangerous substance releases.</w:t>
      </w:r>
      <w:r w:rsidR="002D0081">
        <w:rPr>
          <w:lang w:val="en-GB"/>
        </w:rPr>
        <w:t xml:space="preserve"> </w:t>
      </w:r>
      <w:r w:rsidRPr="00534C0C">
        <w:rPr>
          <w:lang w:val="en-GB"/>
        </w:rPr>
        <w:t xml:space="preserve">Traditional maintenance strategies, often reactive or based on fixed schedules, are proving inadequate in today's complex industrial landscape. This necessitates a shift towards predictive maintenance, leveraging the power of machine learning and the Internet of Things (IoT).  By integrating IoT architectures for real-time data acquisition from vehicle sensors and employing machine learning algorithms to analyse this data, we can move beyond reactive repairs and proactively predict potential failures.  This approach allows for timely interventions, preventing catastrophic events, minimizing downtime, optimizing maintenance schedules, and ultimately enhancing the safety and reliability of industrial vehicle operations, particularly in scenarios where the consequences of failure could be disastrous. </w:t>
      </w:r>
    </w:p>
    <w:p w14:paraId="4CC571F5" w14:textId="67C55F4F" w:rsidR="002C7E97" w:rsidRPr="00FD3EB9" w:rsidRDefault="00972F67" w:rsidP="0096147D">
      <w:pPr>
        <w:pStyle w:val="CETBodytext"/>
        <w:rPr>
          <w:lang w:val="en-GB"/>
        </w:rPr>
      </w:pPr>
      <w:r w:rsidRPr="00FD3EB9">
        <w:rPr>
          <w:lang w:val="en-GB"/>
        </w:rPr>
        <w:t>While the field of predictive maintenance (</w:t>
      </w:r>
      <w:proofErr w:type="spellStart"/>
      <w:r w:rsidRPr="00FD3EB9">
        <w:rPr>
          <w:lang w:val="en-GB"/>
        </w:rPr>
        <w:t>PdM</w:t>
      </w:r>
      <w:proofErr w:type="spellEnd"/>
      <w:r w:rsidRPr="00FD3EB9">
        <w:rPr>
          <w:lang w:val="en-GB"/>
        </w:rPr>
        <w:t xml:space="preserve">) has seen extensive review, our specific focus on leveraging IoT and machine learning for the real-time monitoring of industrial vehicles, particularly those handling hazardous materials, necessitates a refined approach. Existing literature provides a strong </w:t>
      </w:r>
      <w:proofErr w:type="gramStart"/>
      <w:r w:rsidRPr="00FD3EB9">
        <w:rPr>
          <w:lang w:val="en-GB"/>
        </w:rPr>
        <w:t>foundation, but</w:t>
      </w:r>
      <w:proofErr w:type="gramEnd"/>
      <w:r w:rsidRPr="00FD3EB9">
        <w:rPr>
          <w:lang w:val="en-GB"/>
        </w:rPr>
        <w:t xml:space="preserve"> often lacks the required integrated perspective. </w:t>
      </w:r>
      <w:r w:rsidR="00FB14B7" w:rsidRPr="00FD3EB9">
        <w:rPr>
          <w:lang w:val="en-GB"/>
        </w:rPr>
        <w:t xml:space="preserve">Recently </w:t>
      </w:r>
      <w:proofErr w:type="spellStart"/>
      <w:r w:rsidR="00FB14B7" w:rsidRPr="00FD3EB9">
        <w:rPr>
          <w:lang w:val="en-GB"/>
        </w:rPr>
        <w:t>Elkateb</w:t>
      </w:r>
      <w:proofErr w:type="spellEnd"/>
      <w:r w:rsidR="00FB14B7" w:rsidRPr="00FD3EB9">
        <w:rPr>
          <w:lang w:val="en-GB"/>
        </w:rPr>
        <w:t xml:space="preserve"> et al. (2024) demonstrated the potential of the combination of machine learning algorithms and IoT obtaining appreciable results in the field of </w:t>
      </w:r>
      <w:proofErr w:type="spellStart"/>
      <w:r w:rsidR="00FB14B7" w:rsidRPr="00FD3EB9">
        <w:rPr>
          <w:lang w:val="en-GB"/>
        </w:rPr>
        <w:t>PdM</w:t>
      </w:r>
      <w:proofErr w:type="spellEnd"/>
      <w:r w:rsidR="00FB14B7" w:rsidRPr="00FD3EB9">
        <w:rPr>
          <w:lang w:val="en-GB"/>
        </w:rPr>
        <w:t xml:space="preserve"> of the textile industry. </w:t>
      </w:r>
      <w:r w:rsidR="00C763BA" w:rsidRPr="00FD3EB9">
        <w:rPr>
          <w:lang w:val="en-GB"/>
        </w:rPr>
        <w:t>Wu</w:t>
      </w:r>
      <w:r w:rsidR="00C2342F" w:rsidRPr="00FD3EB9">
        <w:rPr>
          <w:lang w:val="en-GB"/>
        </w:rPr>
        <w:t xml:space="preserve"> et al. (2011</w:t>
      </w:r>
      <w:r w:rsidR="00C763BA" w:rsidRPr="00FD3EB9">
        <w:rPr>
          <w:lang w:val="en-GB"/>
        </w:rPr>
        <w:t xml:space="preserve">) and </w:t>
      </w:r>
      <w:proofErr w:type="spellStart"/>
      <w:r w:rsidR="00C763BA" w:rsidRPr="00FD3EB9">
        <w:rPr>
          <w:lang w:val="en-GB"/>
        </w:rPr>
        <w:t>Werbińska</w:t>
      </w:r>
      <w:proofErr w:type="spellEnd"/>
      <w:r w:rsidR="00C763BA" w:rsidRPr="00FD3EB9">
        <w:rPr>
          <w:lang w:val="en-GB"/>
        </w:rPr>
        <w:t>-Wojciechowska (</w:t>
      </w:r>
      <w:r w:rsidR="00C2342F" w:rsidRPr="00FD3EB9">
        <w:rPr>
          <w:lang w:val="en-GB"/>
        </w:rPr>
        <w:t>2019</w:t>
      </w:r>
      <w:r w:rsidR="00C763BA" w:rsidRPr="00FD3EB9">
        <w:rPr>
          <w:lang w:val="en-GB"/>
        </w:rPr>
        <w:t>) provided overviews of preventive maintenance models</w:t>
      </w:r>
      <w:r w:rsidR="00C763BA" w:rsidRPr="00C763BA">
        <w:rPr>
          <w:lang w:val="en-GB"/>
        </w:rPr>
        <w:t>, with the latter specifically addressing technical systems</w:t>
      </w:r>
      <w:r w:rsidR="00244F4F">
        <w:rPr>
          <w:lang w:val="en-GB"/>
        </w:rPr>
        <w:t xml:space="preserve">, </w:t>
      </w:r>
      <w:r w:rsidR="00244F4F" w:rsidRPr="00244F4F">
        <w:rPr>
          <w:lang w:val="en-GB"/>
        </w:rPr>
        <w:t>establishing the groundwork for the exploration into industrial vehicle maintenance</w:t>
      </w:r>
      <w:r w:rsidR="00C763BA" w:rsidRPr="00C763BA">
        <w:rPr>
          <w:lang w:val="en-GB"/>
        </w:rPr>
        <w:t xml:space="preserve">.  </w:t>
      </w:r>
      <w:proofErr w:type="spellStart"/>
      <w:r w:rsidR="00C763BA" w:rsidRPr="00C763BA">
        <w:rPr>
          <w:lang w:val="en-GB"/>
        </w:rPr>
        <w:t>Sutharssan</w:t>
      </w:r>
      <w:proofErr w:type="spellEnd"/>
      <w:r w:rsidR="00C763BA" w:rsidRPr="00C763BA">
        <w:rPr>
          <w:lang w:val="en-GB"/>
        </w:rPr>
        <w:t xml:space="preserve"> et al. </w:t>
      </w:r>
      <w:r w:rsidR="00C2342F">
        <w:rPr>
          <w:lang w:val="en-GB"/>
        </w:rPr>
        <w:t>(2015)</w:t>
      </w:r>
      <w:r w:rsidR="00C763BA" w:rsidRPr="00C763BA">
        <w:rPr>
          <w:lang w:val="en-GB"/>
        </w:rPr>
        <w:t xml:space="preserve"> and Peng et al. </w:t>
      </w:r>
      <w:r w:rsidR="00C2342F">
        <w:rPr>
          <w:lang w:val="en-GB"/>
        </w:rPr>
        <w:t xml:space="preserve">(2010) </w:t>
      </w:r>
      <w:r w:rsidR="00C763BA" w:rsidRPr="00C763BA">
        <w:rPr>
          <w:lang w:val="en-GB"/>
        </w:rPr>
        <w:t xml:space="preserve">categorized prognostics and health monitoring (PHM) methods, </w:t>
      </w:r>
      <w:r w:rsidR="00244F4F" w:rsidRPr="00244F4F">
        <w:rPr>
          <w:lang w:val="en-GB"/>
        </w:rPr>
        <w:t>highlighting the relevance of data-driven methods, including machine learning (ML</w:t>
      </w:r>
      <w:r w:rsidR="00244F4F" w:rsidRPr="00FD3EB9">
        <w:rPr>
          <w:lang w:val="en-GB"/>
        </w:rPr>
        <w:t xml:space="preserve">), which is central to the proposed system of this work. </w:t>
      </w:r>
      <w:r w:rsidR="00FB14B7" w:rsidRPr="00FD3EB9">
        <w:t>The</w:t>
      </w:r>
      <w:r w:rsidR="00C763BA" w:rsidRPr="00FD3EB9">
        <w:t xml:space="preserve"> automotive domain</w:t>
      </w:r>
      <w:r w:rsidR="00FB14B7" w:rsidRPr="00FD3EB9">
        <w:t xml:space="preserve"> presents a distinct set of challenges</w:t>
      </w:r>
      <w:r w:rsidR="00C763BA" w:rsidRPr="00FD3EB9">
        <w:t xml:space="preserve">, </w:t>
      </w:r>
      <w:r w:rsidR="00C763BA" w:rsidRPr="00FB14B7">
        <w:t xml:space="preserve">Li et al. </w:t>
      </w:r>
      <w:r w:rsidR="00C2342F">
        <w:rPr>
          <w:lang w:val="en-GB"/>
        </w:rPr>
        <w:t>(2018)</w:t>
      </w:r>
      <w:r w:rsidR="00C763BA" w:rsidRPr="00C763BA">
        <w:rPr>
          <w:lang w:val="en-GB"/>
        </w:rPr>
        <w:t xml:space="preserve"> surveyed </w:t>
      </w:r>
      <w:r w:rsidR="00451365">
        <w:rPr>
          <w:lang w:val="en-GB"/>
        </w:rPr>
        <w:t>Artificial Intelligence (</w:t>
      </w:r>
      <w:r w:rsidR="00C763BA" w:rsidRPr="00C763BA">
        <w:rPr>
          <w:lang w:val="en-GB"/>
        </w:rPr>
        <w:t>AI</w:t>
      </w:r>
      <w:r w:rsidR="00451365">
        <w:rPr>
          <w:lang w:val="en-GB"/>
        </w:rPr>
        <w:t>)</w:t>
      </w:r>
      <w:r w:rsidR="00C763BA" w:rsidRPr="00C763BA">
        <w:rPr>
          <w:lang w:val="en-GB"/>
        </w:rPr>
        <w:t xml:space="preserve"> applications, primarily in autonomous driving, and Nowakowski et al. </w:t>
      </w:r>
      <w:r w:rsidR="00C2342F">
        <w:rPr>
          <w:lang w:val="en-GB"/>
        </w:rPr>
        <w:t>(2018)</w:t>
      </w:r>
      <w:r w:rsidR="00C763BA" w:rsidRPr="00C763BA">
        <w:rPr>
          <w:lang w:val="en-GB"/>
        </w:rPr>
        <w:t xml:space="preserve"> briefly surveyed technical system maintenance, with only one automotive case study.  </w:t>
      </w:r>
      <w:proofErr w:type="spellStart"/>
      <w:r w:rsidR="00C763BA" w:rsidRPr="00C763BA">
        <w:rPr>
          <w:lang w:val="en-GB"/>
        </w:rPr>
        <w:t>Falcini</w:t>
      </w:r>
      <w:proofErr w:type="spellEnd"/>
      <w:r w:rsidR="00C763BA" w:rsidRPr="00C763BA">
        <w:rPr>
          <w:lang w:val="en-GB"/>
        </w:rPr>
        <w:t xml:space="preserve"> et al. </w:t>
      </w:r>
      <w:r w:rsidR="00C2342F">
        <w:rPr>
          <w:lang w:val="en-GB"/>
        </w:rPr>
        <w:t>(2017)</w:t>
      </w:r>
      <w:r w:rsidR="00C763BA" w:rsidRPr="00C763BA">
        <w:rPr>
          <w:lang w:val="en-GB"/>
        </w:rPr>
        <w:t xml:space="preserve"> and Singh and Arat </w:t>
      </w:r>
      <w:r w:rsidR="00C2342F">
        <w:rPr>
          <w:lang w:val="en-GB"/>
        </w:rPr>
        <w:t>(2019)</w:t>
      </w:r>
      <w:r w:rsidR="00C763BA" w:rsidRPr="00C763BA">
        <w:rPr>
          <w:lang w:val="en-GB"/>
        </w:rPr>
        <w:t xml:space="preserve"> discussed </w:t>
      </w:r>
      <w:r w:rsidR="00451365">
        <w:rPr>
          <w:lang w:val="en-GB"/>
        </w:rPr>
        <w:t>Deep Learning (</w:t>
      </w:r>
      <w:r w:rsidR="00C763BA" w:rsidRPr="00C763BA">
        <w:rPr>
          <w:lang w:val="en-GB"/>
        </w:rPr>
        <w:t>DL</w:t>
      </w:r>
      <w:r w:rsidR="00451365">
        <w:rPr>
          <w:lang w:val="en-GB"/>
        </w:rPr>
        <w:t>)</w:t>
      </w:r>
      <w:r w:rsidR="00C763BA" w:rsidRPr="00C763BA">
        <w:rPr>
          <w:lang w:val="en-GB"/>
        </w:rPr>
        <w:t xml:space="preserve"> for automotive </w:t>
      </w:r>
      <w:r w:rsidR="00C763BA" w:rsidRPr="00FD3EB9">
        <w:rPr>
          <w:lang w:val="en-GB"/>
        </w:rPr>
        <w:lastRenderedPageBreak/>
        <w:t>systems, but not specifically for predictive maintenance</w:t>
      </w:r>
      <w:r w:rsidR="00FB14B7" w:rsidRPr="00FD3EB9">
        <w:rPr>
          <w:lang w:val="en-GB"/>
        </w:rPr>
        <w:t>, highlighting a gap in the literature regarding the application of these techniques for proactive maintenance in this sector</w:t>
      </w:r>
      <w:r w:rsidR="00C763BA" w:rsidRPr="00FD3EB9">
        <w:rPr>
          <w:lang w:val="en-GB"/>
        </w:rPr>
        <w:t>. Ahsan et al.</w:t>
      </w:r>
      <w:r w:rsidR="00C2342F" w:rsidRPr="00FD3EB9">
        <w:rPr>
          <w:lang w:val="en-GB"/>
        </w:rPr>
        <w:t xml:space="preserve"> (2016)</w:t>
      </w:r>
      <w:r w:rsidR="00C763BA" w:rsidRPr="00FD3EB9">
        <w:rPr>
          <w:lang w:val="en-GB"/>
        </w:rPr>
        <w:t xml:space="preserve"> and </w:t>
      </w:r>
      <w:proofErr w:type="spellStart"/>
      <w:r w:rsidR="00C763BA" w:rsidRPr="00FD3EB9">
        <w:rPr>
          <w:lang w:val="en-GB"/>
        </w:rPr>
        <w:t>Sankavaram</w:t>
      </w:r>
      <w:proofErr w:type="spellEnd"/>
      <w:r w:rsidR="00C763BA" w:rsidRPr="00FD3EB9">
        <w:rPr>
          <w:lang w:val="en-GB"/>
        </w:rPr>
        <w:t xml:space="preserve"> et al. </w:t>
      </w:r>
      <w:r w:rsidR="00C2342F" w:rsidRPr="00FD3EB9">
        <w:rPr>
          <w:lang w:val="en-GB"/>
        </w:rPr>
        <w:t>(2009)</w:t>
      </w:r>
      <w:r w:rsidR="00C763BA" w:rsidRPr="00FD3EB9">
        <w:rPr>
          <w:lang w:val="en-GB"/>
        </w:rPr>
        <w:t xml:space="preserve">, combined </w:t>
      </w:r>
      <w:proofErr w:type="spellStart"/>
      <w:r w:rsidR="00C763BA" w:rsidRPr="00FD3EB9">
        <w:rPr>
          <w:lang w:val="en-GB"/>
        </w:rPr>
        <w:t>PdM</w:t>
      </w:r>
      <w:proofErr w:type="spellEnd"/>
      <w:r w:rsidR="00C763BA" w:rsidRPr="00FD3EB9">
        <w:rPr>
          <w:lang w:val="en-GB"/>
        </w:rPr>
        <w:t xml:space="preserve">, data-driven methods, and automotive applications. </w:t>
      </w:r>
      <w:proofErr w:type="spellStart"/>
      <w:r w:rsidR="00C763BA" w:rsidRPr="00FD3EB9">
        <w:rPr>
          <w:lang w:val="en-GB"/>
        </w:rPr>
        <w:t>Byttner</w:t>
      </w:r>
      <w:proofErr w:type="spellEnd"/>
      <w:r w:rsidR="00C763BA" w:rsidRPr="00FD3EB9">
        <w:rPr>
          <w:lang w:val="en-GB"/>
        </w:rPr>
        <w:t xml:space="preserve"> et al. (2011) proposed a novel approach that progressively learns system </w:t>
      </w:r>
      <w:proofErr w:type="spellStart"/>
      <w:r w:rsidR="00C763BA" w:rsidRPr="00FD3EB9">
        <w:rPr>
          <w:lang w:val="en-GB"/>
        </w:rPr>
        <w:t>behavior</w:t>
      </w:r>
      <w:proofErr w:type="spellEnd"/>
      <w:r w:rsidR="00C763BA" w:rsidRPr="00FD3EB9">
        <w:rPr>
          <w:lang w:val="en-GB"/>
        </w:rPr>
        <w:t xml:space="preserve"> through exploratory analysis of signals available on the vehicle's internal communication network</w:t>
      </w:r>
      <w:r w:rsidR="00120542" w:rsidRPr="00FD3EB9">
        <w:rPr>
          <w:lang w:val="en-GB"/>
        </w:rPr>
        <w:t xml:space="preserve">, by using consensus self-organized </w:t>
      </w:r>
      <w:r w:rsidR="00FD3EB9" w:rsidRPr="00FD3EB9">
        <w:rPr>
          <w:lang w:val="en-GB"/>
        </w:rPr>
        <w:t>models’</w:t>
      </w:r>
      <w:r w:rsidR="00120542" w:rsidRPr="00FD3EB9">
        <w:rPr>
          <w:lang w:val="en-GB"/>
        </w:rPr>
        <w:t xml:space="preserve"> approach (COSMO)</w:t>
      </w:r>
      <w:r w:rsidR="00C763BA" w:rsidRPr="00FD3EB9">
        <w:rPr>
          <w:lang w:val="en-GB"/>
        </w:rPr>
        <w:t xml:space="preserve">. </w:t>
      </w:r>
      <w:r w:rsidR="00FB14B7" w:rsidRPr="00FD3EB9">
        <w:rPr>
          <w:lang w:val="en-GB"/>
        </w:rPr>
        <w:t xml:space="preserve">This approach, further refined by </w:t>
      </w:r>
      <w:r w:rsidR="00120542" w:rsidRPr="00FD3EB9">
        <w:rPr>
          <w:lang w:val="en-GB"/>
        </w:rPr>
        <w:t xml:space="preserve">Killeen et al. (2019) </w:t>
      </w:r>
      <w:r w:rsidR="00FB14B7" w:rsidRPr="00FD3EB9">
        <w:rPr>
          <w:lang w:val="en-GB"/>
        </w:rPr>
        <w:t>with improved sensor selection, aligns closely with our objective of leveraging real-time data from the vehicle's Electronic Control Unit (ECU)</w:t>
      </w:r>
      <w:r w:rsidR="00120542" w:rsidRPr="00FD3EB9">
        <w:rPr>
          <w:lang w:val="en-GB"/>
        </w:rPr>
        <w:t>.</w:t>
      </w:r>
      <w:r w:rsidR="0096147D" w:rsidRPr="00FD3EB9">
        <w:rPr>
          <w:lang w:val="en-GB"/>
        </w:rPr>
        <w:t xml:space="preserve"> More recently, </w:t>
      </w:r>
      <w:proofErr w:type="spellStart"/>
      <w:r w:rsidR="0096147D" w:rsidRPr="00FD3EB9">
        <w:rPr>
          <w:lang w:val="en-GB"/>
        </w:rPr>
        <w:t>Kuftinova</w:t>
      </w:r>
      <w:proofErr w:type="spellEnd"/>
      <w:r w:rsidR="0096147D" w:rsidRPr="00FD3EB9">
        <w:rPr>
          <w:lang w:val="en-GB"/>
        </w:rPr>
        <w:t xml:space="preserve"> et al. (2024) have developed a methodology based on clustering with K-means algorithm </w:t>
      </w:r>
      <w:proofErr w:type="gramStart"/>
      <w:r w:rsidR="0096147D" w:rsidRPr="00FD3EB9">
        <w:rPr>
          <w:lang w:val="en-GB"/>
        </w:rPr>
        <w:t>in order to</w:t>
      </w:r>
      <w:proofErr w:type="gramEnd"/>
      <w:r w:rsidR="0096147D" w:rsidRPr="00FD3EB9">
        <w:rPr>
          <w:lang w:val="en-GB"/>
        </w:rPr>
        <w:t xml:space="preserve"> optimize transportation network performance and indirectly reducing operational costs through enhanced predictive maintenance capabilities.</w:t>
      </w:r>
    </w:p>
    <w:p w14:paraId="37E7EBD8" w14:textId="40346FB8" w:rsidR="00534C0C" w:rsidRPr="00FD3EB9" w:rsidRDefault="00534C0C" w:rsidP="00534C0C">
      <w:pPr>
        <w:pStyle w:val="CETBodytext"/>
        <w:rPr>
          <w:lang w:val="en-GB"/>
        </w:rPr>
      </w:pPr>
      <w:r w:rsidRPr="00FD3EB9">
        <w:rPr>
          <w:lang w:val="en-GB"/>
        </w:rPr>
        <w:t>This document will explore the crucial role of predictive maintenance, supported by machine learning and IoT, in mitigating the risks associated with hazardous substance releases from industrial vehicles.</w:t>
      </w:r>
    </w:p>
    <w:p w14:paraId="36AEAAA1" w14:textId="4B2B754F" w:rsidR="002E5BCA" w:rsidRPr="00534C0C" w:rsidRDefault="002E5BCA" w:rsidP="00534C0C">
      <w:pPr>
        <w:pStyle w:val="CETBodytext"/>
        <w:rPr>
          <w:lang w:val="en-GB"/>
        </w:rPr>
      </w:pPr>
      <w:r w:rsidRPr="00FD3EB9">
        <w:rPr>
          <w:lang w:val="en-GB"/>
        </w:rPr>
        <w:t xml:space="preserve">In this work Section 2 introduces the methodology used for the study; Section 3 illustrates the case study </w:t>
      </w:r>
      <w:r w:rsidR="00EB3C5E" w:rsidRPr="00FD3EB9">
        <w:rPr>
          <w:lang w:val="en-GB"/>
        </w:rPr>
        <w:t>and Section</w:t>
      </w:r>
      <w:r w:rsidRPr="00FD3EB9">
        <w:rPr>
          <w:lang w:val="en-GB"/>
        </w:rPr>
        <w:t xml:space="preserve"> 4 presents and discusses the results; </w:t>
      </w:r>
      <w:r w:rsidR="00FD3EB9" w:rsidRPr="00FD3EB9">
        <w:rPr>
          <w:lang w:val="en-GB"/>
        </w:rPr>
        <w:t>finally,</w:t>
      </w:r>
      <w:r w:rsidRPr="00FD3EB9">
        <w:rPr>
          <w:lang w:val="en-GB"/>
        </w:rPr>
        <w:t xml:space="preserve"> Section 5 reports the main conclusions</w:t>
      </w:r>
      <w:r>
        <w:rPr>
          <w:lang w:val="en-GB"/>
        </w:rPr>
        <w:t>.</w:t>
      </w:r>
    </w:p>
    <w:p w14:paraId="49BB8DE3" w14:textId="77777777" w:rsidR="009256C1" w:rsidRDefault="009256C1" w:rsidP="009256C1">
      <w:pPr>
        <w:pStyle w:val="CETHeading1"/>
        <w:numPr>
          <w:ilvl w:val="1"/>
          <w:numId w:val="24"/>
        </w:numPr>
        <w:tabs>
          <w:tab w:val="left" w:pos="360"/>
        </w:tabs>
      </w:pPr>
      <w:r>
        <w:t>Methodology</w:t>
      </w:r>
    </w:p>
    <w:p w14:paraId="52D39338" w14:textId="77777777" w:rsidR="009256C1" w:rsidRDefault="009256C1" w:rsidP="009256C1">
      <w:pPr>
        <w:pStyle w:val="CETheadingx"/>
        <w:numPr>
          <w:ilvl w:val="2"/>
          <w:numId w:val="24"/>
        </w:numPr>
        <w:ind w:left="0"/>
      </w:pPr>
      <w:r>
        <w:t>Monitoring System</w:t>
      </w:r>
    </w:p>
    <w:p w14:paraId="43D06200" w14:textId="109A0963" w:rsidR="004533AE" w:rsidRDefault="0011629F" w:rsidP="00593C97">
      <w:pPr>
        <w:pStyle w:val="CETBodytext"/>
      </w:pPr>
      <w:r>
        <w:t xml:space="preserve">The Monitoring System (MS) is a low-cost hardware solution designed to extract telemetric data from the </w:t>
      </w:r>
      <w:bookmarkStart w:id="1" w:name="_Hlk193472235"/>
      <w:r>
        <w:t xml:space="preserve">Electronic Control Units </w:t>
      </w:r>
      <w:bookmarkEnd w:id="1"/>
      <w:r>
        <w:t xml:space="preserve">(ECUs) of industrial vehicles. Its modular architecture ensures ease of maintenance and high functional scalability, enabling integration with </w:t>
      </w:r>
      <w:r w:rsidR="00A85E31">
        <w:t xml:space="preserve">compatible </w:t>
      </w:r>
      <w:r>
        <w:t>ECUs with various communication protocols. This approach significantly reduces costs and implementation time.</w:t>
      </w:r>
    </w:p>
    <w:p w14:paraId="6C9E2532" w14:textId="77777777" w:rsidR="00593C97" w:rsidRDefault="00593C97" w:rsidP="00593C97">
      <w:pPr>
        <w:pStyle w:val="CETBodytext"/>
      </w:pPr>
    </w:p>
    <w:p w14:paraId="2004C32D" w14:textId="77777777" w:rsidR="00593C97" w:rsidRDefault="00EC3AAC" w:rsidP="00EC3AAC">
      <w:pPr>
        <w:pStyle w:val="CETBodytext"/>
        <w:jc w:val="left"/>
      </w:pPr>
      <w:r w:rsidRPr="00A978D1">
        <w:rPr>
          <w:noProof/>
          <w:u w:val="single"/>
          <w:lang w:val="it-IT" w:eastAsia="it-IT"/>
        </w:rPr>
        <w:drawing>
          <wp:inline distT="0" distB="0" distL="0" distR="0" wp14:anchorId="2EEDB901" wp14:editId="7CF5DDCC">
            <wp:extent cx="4651565" cy="2268000"/>
            <wp:effectExtent l="0" t="0" r="0" b="0"/>
            <wp:docPr id="137800723" name="Immagine 1" descr="Immagine che contiene testo, schermata, diagramma, cartone anima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0723" name="Immagine 1" descr="Immagine che contiene testo, schermata, diagramma, cartone animato&#10;&#10;Il contenuto generato dall'IA potrebbe non essere corretto."/>
                    <pic:cNvPicPr/>
                  </pic:nvPicPr>
                  <pic:blipFill rotWithShape="1">
                    <a:blip r:embed="rId10"/>
                    <a:srcRect t="8822" b="3182"/>
                    <a:stretch/>
                  </pic:blipFill>
                  <pic:spPr bwMode="auto">
                    <a:xfrm>
                      <a:off x="0" y="0"/>
                      <a:ext cx="4658400" cy="2271332"/>
                    </a:xfrm>
                    <a:prstGeom prst="rect">
                      <a:avLst/>
                    </a:prstGeom>
                    <a:ln>
                      <a:noFill/>
                    </a:ln>
                    <a:extLst>
                      <a:ext uri="{53640926-AAD7-44D8-BBD7-CCE9431645EC}">
                        <a14:shadowObscured xmlns:a14="http://schemas.microsoft.com/office/drawing/2010/main"/>
                      </a:ext>
                    </a:extLst>
                  </pic:spPr>
                </pic:pic>
              </a:graphicData>
            </a:graphic>
          </wp:inline>
        </w:drawing>
      </w:r>
    </w:p>
    <w:p w14:paraId="210D6440" w14:textId="6BBEC3E5" w:rsidR="00E0780D" w:rsidRDefault="00120542" w:rsidP="009256C1">
      <w:pPr>
        <w:pStyle w:val="CETBodytext"/>
      </w:pPr>
      <w:r w:rsidRPr="00BD077D">
        <w:rPr>
          <w:rStyle w:val="CETCaptionCarattere"/>
        </w:rPr>
        <w:t xml:space="preserve">Figure 1: </w:t>
      </w:r>
      <w:r>
        <w:rPr>
          <w:rStyle w:val="CETCaptionCarattere"/>
        </w:rPr>
        <w:t>Monitoring system architecture</w:t>
      </w:r>
    </w:p>
    <w:p w14:paraId="30FE80C4" w14:textId="77777777" w:rsidR="00120542" w:rsidRDefault="00120542" w:rsidP="00EC3AAC">
      <w:pPr>
        <w:pStyle w:val="CETBodytext"/>
        <w:rPr>
          <w:lang w:val="en-GB"/>
        </w:rPr>
      </w:pPr>
    </w:p>
    <w:p w14:paraId="0AAF8253" w14:textId="683F9742" w:rsidR="00E0780D" w:rsidRDefault="00E0780D" w:rsidP="00EC3AAC">
      <w:pPr>
        <w:pStyle w:val="CETBodytext"/>
        <w:rPr>
          <w:lang w:val="en-GB"/>
        </w:rPr>
      </w:pPr>
      <w:r w:rsidRPr="00E0780D">
        <w:rPr>
          <w:lang w:val="en-GB"/>
        </w:rPr>
        <w:t>As shown in Figure 1, the MS comprises three main hardware modules: the CanBus Adapter Module (CBA-M), the GPS Module (GPS-M), and the NFC Module (NFC-M). Each module operates independently, performing specific functions. The CBA-M interfaces directly with the industrial vehicle, acquiring engine status data. The GPS-M collects geolocation data (latitude and longitude) and calculates dynamic metrics such as average speed and vehicle heading. Finally, the NFC-M provides the hardware for identifying resources by reading NFC tags, enabling unique driver identification and asset association, such as the type of cargo being transported.</w:t>
      </w:r>
    </w:p>
    <w:p w14:paraId="4C3529F0" w14:textId="77777777" w:rsidR="002E5BCA" w:rsidRDefault="002E5BCA" w:rsidP="002E5BCA">
      <w:pPr>
        <w:pStyle w:val="CETBodytext"/>
      </w:pPr>
      <w:r>
        <w:t xml:space="preserve">The MS modules adopt </w:t>
      </w:r>
      <w:proofErr w:type="gramStart"/>
      <w:r>
        <w:t>a master</w:t>
      </w:r>
      <w:proofErr w:type="gramEnd"/>
      <w:r>
        <w:t>-slave architecture, as depicted in Figure 2a. This approach separates data acquisition and pre-processing operations from transmission operations, optimizing system efficiency.</w:t>
      </w:r>
    </w:p>
    <w:p w14:paraId="2E96ABFD" w14:textId="77777777" w:rsidR="002E5BCA" w:rsidRDefault="002E5BCA" w:rsidP="002E5BCA">
      <w:pPr>
        <w:pStyle w:val="CETBodytext"/>
      </w:pPr>
      <w:proofErr w:type="gramStart"/>
      <w:r>
        <w:t>In particular, as</w:t>
      </w:r>
      <w:proofErr w:type="gramEnd"/>
      <w:r>
        <w:t xml:space="preserve"> highlighted in Figure 2b, the slave node of the CBA_M consists of an Arduino Uno microcontroller and an MCP2515 board, which enables low-level communication with the vehicle's ECU. The node's firmware is designed to support the SAE J1939 communication standard and includes filtering functions</w:t>
      </w:r>
    </w:p>
    <w:p w14:paraId="6550CD8B" w14:textId="77777777" w:rsidR="002E5BCA" w:rsidRDefault="002E5BCA" w:rsidP="002E5BCA">
      <w:pPr>
        <w:pStyle w:val="CETBodytext"/>
      </w:pPr>
      <w:r>
        <w:t xml:space="preserve">to select and process only specific groups of CANBus messages, reducing the computational load and optimizing information processing. The master node is based on an ESP32 microcontroller with integrated </w:t>
      </w:r>
      <w:proofErr w:type="spellStart"/>
      <w:r>
        <w:t>WiFi</w:t>
      </w:r>
      <w:proofErr w:type="spellEnd"/>
      <w:r>
        <w:t xml:space="preserve"> capabilities. Its primary functions include real-time buffering of CANBus messages and subsequent transmission of this data. The master and slave nodes within each hardware module communicate via an I2C bus, as depicted in Figure 2a. This design choice ensures low-latency information exchange and reliable synchronization of operations.</w:t>
      </w:r>
    </w:p>
    <w:p w14:paraId="1DD49294" w14:textId="3CCB3B8C" w:rsidR="00EC3AAC" w:rsidRDefault="009F3B4C" w:rsidP="00EC3AAC">
      <w:pPr>
        <w:pStyle w:val="CETBodytext"/>
        <w:rPr>
          <w:lang w:val="en-GB"/>
        </w:rPr>
      </w:pPr>
      <w:r>
        <w:rPr>
          <w:noProof/>
          <w:lang w:val="it-IT" w:eastAsia="it-IT"/>
        </w:rPr>
        <w:lastRenderedPageBreak/>
        <w:drawing>
          <wp:inline distT="0" distB="0" distL="0" distR="0" wp14:anchorId="5BB85083" wp14:editId="0ED9029C">
            <wp:extent cx="4608000" cy="2338705"/>
            <wp:effectExtent l="0" t="0" r="2540" b="4445"/>
            <wp:docPr id="1819642541" name="Immagine 6" descr="Immagine che contiene testo, schermata, Ingegneria elettronica, elettron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42541" name="Immagine 6" descr="Immagine che contiene testo, schermata, Ingegneria elettronica, elettronica&#10;&#10;Il contenuto generato dall'IA potrebbe non essere corretto."/>
                    <pic:cNvPicPr/>
                  </pic:nvPicPr>
                  <pic:blipFill rotWithShape="1">
                    <a:blip r:embed="rId11"/>
                    <a:srcRect l="356" t="1075" r="356" b="7998"/>
                    <a:stretch/>
                  </pic:blipFill>
                  <pic:spPr bwMode="auto">
                    <a:xfrm>
                      <a:off x="0" y="0"/>
                      <a:ext cx="4618064" cy="2343813"/>
                    </a:xfrm>
                    <a:prstGeom prst="rect">
                      <a:avLst/>
                    </a:prstGeom>
                    <a:ln>
                      <a:noFill/>
                    </a:ln>
                    <a:extLst>
                      <a:ext uri="{53640926-AAD7-44D8-BBD7-CCE9431645EC}">
                        <a14:shadowObscured xmlns:a14="http://schemas.microsoft.com/office/drawing/2010/main"/>
                      </a:ext>
                    </a:extLst>
                  </pic:spPr>
                </pic:pic>
              </a:graphicData>
            </a:graphic>
          </wp:inline>
        </w:drawing>
      </w:r>
    </w:p>
    <w:p w14:paraId="46CA9806" w14:textId="25FD332A" w:rsidR="002E5BCA" w:rsidRDefault="00120542" w:rsidP="002E5BCA">
      <w:pPr>
        <w:pStyle w:val="CETBodytext"/>
        <w:rPr>
          <w:rStyle w:val="CETCaptionCarattere"/>
        </w:rPr>
      </w:pPr>
      <w:r w:rsidRPr="00BD077D">
        <w:rPr>
          <w:rStyle w:val="CETCaptionCarattere"/>
        </w:rPr>
        <w:t xml:space="preserve">Figure </w:t>
      </w:r>
      <w:r>
        <w:rPr>
          <w:rStyle w:val="CETCaptionCarattere"/>
        </w:rPr>
        <w:t>2</w:t>
      </w:r>
      <w:r w:rsidRPr="00BD077D">
        <w:rPr>
          <w:rStyle w:val="CETCaptionCarattere"/>
        </w:rPr>
        <w:t xml:space="preserve">: </w:t>
      </w:r>
      <w:r w:rsidR="006C6BF0">
        <w:rPr>
          <w:rStyle w:val="CETCaptionCarattere"/>
        </w:rPr>
        <w:t>CANBus Adapter m</w:t>
      </w:r>
      <w:r>
        <w:rPr>
          <w:rStyle w:val="CETCaptionCarattere"/>
        </w:rPr>
        <w:t>aster-slave architecture</w:t>
      </w:r>
      <w:r w:rsidR="006C6BF0">
        <w:rPr>
          <w:rStyle w:val="CETCaptionCarattere"/>
        </w:rPr>
        <w:t xml:space="preserve"> </w:t>
      </w:r>
      <w:r>
        <w:rPr>
          <w:rStyle w:val="CETCaptionCarattere"/>
        </w:rPr>
        <w:t>(a)</w:t>
      </w:r>
      <w:r w:rsidR="006C6BF0">
        <w:rPr>
          <w:rStyle w:val="CETCaptionCarattere"/>
        </w:rPr>
        <w:t xml:space="preserve"> architecture scheme (b) hardware solution</w:t>
      </w:r>
    </w:p>
    <w:p w14:paraId="347D1235" w14:textId="77777777" w:rsidR="006C6BF0" w:rsidRDefault="006C6BF0" w:rsidP="002E5BCA">
      <w:pPr>
        <w:pStyle w:val="CETBodytext"/>
      </w:pPr>
    </w:p>
    <w:p w14:paraId="375FCECF" w14:textId="510FB203" w:rsidR="001F7AE2" w:rsidRDefault="002E5BCA" w:rsidP="00E0780D">
      <w:pPr>
        <w:pStyle w:val="CETBodytext"/>
      </w:pPr>
      <w:r>
        <w:t xml:space="preserve">Figure 3 illustrates </w:t>
      </w:r>
      <w:r w:rsidR="00E4271E">
        <w:t>IoT</w:t>
      </w:r>
      <w:r>
        <w:t xml:space="preserve"> architecture integrating the MS. This architecture is structured across three abstraction layers: Edge, Cloud, and Application Layer, enabling a direct virtual connection between the analysis station and the vehicle being monitored. The Edge Layer comprises hardware in direct contact with the vehicle. In addition to the previously described MS, it includes a Control Unit (CU), implemented on a Raspberry Pi, which manages data acquisition and transmission. The CU is equipped with a 4G-LTE card for remote communication and a local storage unit for data archiving in case of connectivity loss. The CU implements two primary services: an MQTT server for managing communication with the MS modules, and a REST API server for interfacing with the analysis station. The Cloud Layer encompasses devices dedicated to networking, data storage, and processing. Finally, the Application Layer provides a set of machine learning strategies for telemetric data analysis, with the goal of implementing a monitoring service for industrial vehicles.</w:t>
      </w:r>
    </w:p>
    <w:p w14:paraId="613996E7" w14:textId="795F04BD" w:rsidR="001F7AE2" w:rsidRDefault="001F7AE2" w:rsidP="006A5CEE">
      <w:pPr>
        <w:pStyle w:val="CETBodytext"/>
      </w:pPr>
    </w:p>
    <w:p w14:paraId="4D45CB48" w14:textId="76353F67" w:rsidR="001F7AE2" w:rsidRDefault="00A963FC" w:rsidP="00EC3AAC">
      <w:pPr>
        <w:pStyle w:val="CETBodytext"/>
        <w:jc w:val="left"/>
      </w:pPr>
      <w:r>
        <w:rPr>
          <w:noProof/>
          <w:lang w:val="it-IT" w:eastAsia="it-IT"/>
        </w:rPr>
        <w:drawing>
          <wp:inline distT="0" distB="0" distL="0" distR="0" wp14:anchorId="73CE425C" wp14:editId="1979CCD2">
            <wp:extent cx="4458544" cy="24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ot_schema_fig3.png"/>
                    <pic:cNvPicPr/>
                  </pic:nvPicPr>
                  <pic:blipFill rotWithShape="1">
                    <a:blip r:embed="rId12">
                      <a:extLst>
                        <a:ext uri="{28A0092B-C50C-407E-A947-70E740481C1C}">
                          <a14:useLocalDpi xmlns:a14="http://schemas.microsoft.com/office/drawing/2010/main" val="0"/>
                        </a:ext>
                      </a:extLst>
                    </a:blip>
                    <a:srcRect l="1" t="1715" r="3920" b="3095"/>
                    <a:stretch/>
                  </pic:blipFill>
                  <pic:spPr bwMode="auto">
                    <a:xfrm>
                      <a:off x="0" y="0"/>
                      <a:ext cx="4468784" cy="2453622"/>
                    </a:xfrm>
                    <a:prstGeom prst="rect">
                      <a:avLst/>
                    </a:prstGeom>
                    <a:ln>
                      <a:noFill/>
                    </a:ln>
                    <a:extLst>
                      <a:ext uri="{53640926-AAD7-44D8-BBD7-CCE9431645EC}">
                        <a14:shadowObscured xmlns:a14="http://schemas.microsoft.com/office/drawing/2010/main"/>
                      </a:ext>
                    </a:extLst>
                  </pic:spPr>
                </pic:pic>
              </a:graphicData>
            </a:graphic>
          </wp:inline>
        </w:drawing>
      </w:r>
    </w:p>
    <w:p w14:paraId="06C4C14A" w14:textId="68948D4A" w:rsidR="002E5BCA" w:rsidRDefault="002E5BCA" w:rsidP="002E5BCA">
      <w:pPr>
        <w:pStyle w:val="CETBodytext"/>
      </w:pPr>
      <w:r w:rsidRPr="00BD077D">
        <w:rPr>
          <w:rStyle w:val="CETCaptionCarattere"/>
        </w:rPr>
        <w:t xml:space="preserve">Figure </w:t>
      </w:r>
      <w:r w:rsidR="00E4271E">
        <w:rPr>
          <w:rStyle w:val="CETCaptionCarattere"/>
        </w:rPr>
        <w:t>3</w:t>
      </w:r>
      <w:r w:rsidRPr="00BD077D">
        <w:rPr>
          <w:rStyle w:val="CETCaptionCarattere"/>
        </w:rPr>
        <w:t xml:space="preserve">: </w:t>
      </w:r>
      <w:r w:rsidR="006C6BF0">
        <w:rPr>
          <w:rStyle w:val="CETCaptionCarattere"/>
        </w:rPr>
        <w:t xml:space="preserve">Monitoring system </w:t>
      </w:r>
      <w:r w:rsidR="00E4271E">
        <w:rPr>
          <w:rStyle w:val="CETCaptionCarattere"/>
        </w:rPr>
        <w:t>IoT</w:t>
      </w:r>
      <w:r>
        <w:rPr>
          <w:rStyle w:val="CETCaptionCarattere"/>
        </w:rPr>
        <w:t xml:space="preserve"> architecture </w:t>
      </w:r>
    </w:p>
    <w:p w14:paraId="20EE0FC1" w14:textId="7718CBB7" w:rsidR="006A5CEE" w:rsidRDefault="006A5CEE" w:rsidP="006A5CEE">
      <w:pPr>
        <w:pStyle w:val="CETheadingx"/>
        <w:numPr>
          <w:ilvl w:val="2"/>
          <w:numId w:val="24"/>
        </w:numPr>
        <w:ind w:left="0"/>
      </w:pPr>
      <w:r>
        <w:t xml:space="preserve">Data Mining </w:t>
      </w:r>
    </w:p>
    <w:p w14:paraId="311D4E27" w14:textId="2EEB3E4F" w:rsidR="00BB25D1" w:rsidRPr="00A668DA" w:rsidRDefault="00792CB7" w:rsidP="006A5CEE">
      <w:pPr>
        <w:pStyle w:val="CETBodytext"/>
        <w:rPr>
          <w:lang w:val="en-GB"/>
        </w:rPr>
      </w:pPr>
      <w:r>
        <w:t>This section outlines a data mining methodology for identifying anomalies within a telemetry signal dataset, leveraging machine learning techniques. Anomaly detection involves discerning anomalous conditions or instances within the dataset. "Anomaly" refers to any event or value that deviates significantly from the expected behavior or established norm.</w:t>
      </w:r>
      <w:r w:rsidR="00A668DA">
        <w:t xml:space="preserve"> </w:t>
      </w:r>
      <w:r w:rsidR="00A668DA" w:rsidRPr="00A42E3C">
        <w:rPr>
          <w:lang w:val="en-GB"/>
        </w:rPr>
        <w:t xml:space="preserve">Figure 4 illustrates the methodology proposed in this work. Three main phases can be identified: signal pre-processing, model </w:t>
      </w:r>
      <w:r w:rsidR="00A668DA">
        <w:rPr>
          <w:lang w:val="en-GB"/>
        </w:rPr>
        <w:t>building</w:t>
      </w:r>
      <w:r w:rsidR="00A668DA" w:rsidRPr="00A42E3C">
        <w:rPr>
          <w:lang w:val="en-GB"/>
        </w:rPr>
        <w:t>, and anomaly detection.</w:t>
      </w:r>
      <w:r w:rsidR="00A668DA" w:rsidRPr="00A668DA">
        <w:rPr>
          <w:lang w:val="en-GB"/>
        </w:rPr>
        <w:t xml:space="preserve"> </w:t>
      </w:r>
      <w:r w:rsidR="00A668DA" w:rsidRPr="00A42E3C">
        <w:rPr>
          <w:lang w:val="en-GB"/>
        </w:rPr>
        <w:t>Data pre-processing is essential to enhance the quality of the input signals, reduce noise, and convert them into a suitable format for analysis.</w:t>
      </w:r>
      <w:r w:rsidR="00793156" w:rsidRPr="00793156">
        <w:rPr>
          <w:lang w:val="en-GB"/>
        </w:rPr>
        <w:t xml:space="preserve"> </w:t>
      </w:r>
      <w:r w:rsidR="00793156" w:rsidRPr="00A42E3C">
        <w:rPr>
          <w:lang w:val="en-GB"/>
        </w:rPr>
        <w:t>As shown in Figure 4, pre-processing starts with a filtering operation, implemented using a smoothing window.</w:t>
      </w:r>
    </w:p>
    <w:p w14:paraId="2EF14033" w14:textId="60624514" w:rsidR="00BB25D1" w:rsidRDefault="00EC3AAC" w:rsidP="006A5CEE">
      <w:pPr>
        <w:pStyle w:val="CETBodytext"/>
      </w:pPr>
      <w:r>
        <w:rPr>
          <w:noProof/>
          <w:lang w:val="it-IT" w:eastAsia="it-IT"/>
        </w:rPr>
        <w:lastRenderedPageBreak/>
        <w:drawing>
          <wp:inline distT="0" distB="0" distL="0" distR="0" wp14:anchorId="35010814" wp14:editId="5A11EB17">
            <wp:extent cx="3405600" cy="2538000"/>
            <wp:effectExtent l="0" t="0" r="4445" b="0"/>
            <wp:docPr id="1486578838" name="Immagine 3" descr="Immagine che contiene testo, diagramm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78838" name="Immagine 3" descr="Immagine che contiene testo, diagramma, linea, Carattere&#10;&#10;Il contenuto generato dall'IA potrebbe non essere corretto."/>
                    <pic:cNvPicPr/>
                  </pic:nvPicPr>
                  <pic:blipFill rotWithShape="1">
                    <a:blip r:embed="rId13"/>
                    <a:srcRect l="15013" t="2481" r="14914" b="2413"/>
                    <a:stretch/>
                  </pic:blipFill>
                  <pic:spPr bwMode="auto">
                    <a:xfrm>
                      <a:off x="0" y="0"/>
                      <a:ext cx="3405600" cy="2538000"/>
                    </a:xfrm>
                    <a:prstGeom prst="rect">
                      <a:avLst/>
                    </a:prstGeom>
                    <a:ln>
                      <a:noFill/>
                    </a:ln>
                    <a:extLst>
                      <a:ext uri="{53640926-AAD7-44D8-BBD7-CCE9431645EC}">
                        <a14:shadowObscured xmlns:a14="http://schemas.microsoft.com/office/drawing/2010/main"/>
                      </a:ext>
                    </a:extLst>
                  </pic:spPr>
                </pic:pic>
              </a:graphicData>
            </a:graphic>
          </wp:inline>
        </w:drawing>
      </w:r>
    </w:p>
    <w:p w14:paraId="178401E3" w14:textId="1A955E8F" w:rsidR="002E5BCA" w:rsidRDefault="002E5BCA" w:rsidP="002E5BCA">
      <w:pPr>
        <w:pStyle w:val="CETBodytext"/>
      </w:pPr>
      <w:r w:rsidRPr="00BD077D">
        <w:rPr>
          <w:rStyle w:val="CETCaptionCarattere"/>
        </w:rPr>
        <w:t xml:space="preserve">Figure </w:t>
      </w:r>
      <w:r w:rsidR="006C6BF0">
        <w:rPr>
          <w:rStyle w:val="CETCaptionCarattere"/>
        </w:rPr>
        <w:t>4</w:t>
      </w:r>
      <w:r w:rsidRPr="00BD077D">
        <w:rPr>
          <w:rStyle w:val="CETCaptionCarattere"/>
        </w:rPr>
        <w:t xml:space="preserve">: </w:t>
      </w:r>
      <w:r w:rsidR="006C6BF0">
        <w:rPr>
          <w:rStyle w:val="CETCaptionCarattere"/>
        </w:rPr>
        <w:t>Data mining methodology</w:t>
      </w:r>
    </w:p>
    <w:p w14:paraId="48D8CCC5" w14:textId="77777777" w:rsidR="002E5BCA" w:rsidRDefault="002E5BCA" w:rsidP="006A5CEE">
      <w:pPr>
        <w:pStyle w:val="CETBodytext"/>
        <w:rPr>
          <w:lang w:val="en-GB"/>
        </w:rPr>
      </w:pPr>
    </w:p>
    <w:p w14:paraId="2C15DC3A" w14:textId="5DAE6CCB" w:rsidR="00480319" w:rsidRDefault="00A42E3C" w:rsidP="006A5CEE">
      <w:pPr>
        <w:pStyle w:val="CETBodytext"/>
        <w:rPr>
          <w:lang w:val="en-GB"/>
        </w:rPr>
      </w:pPr>
      <w:r w:rsidRPr="00A42E3C">
        <w:rPr>
          <w:lang w:val="en-GB"/>
        </w:rPr>
        <w:t xml:space="preserve">This involves replacing each signal sample with the average value of the points within a defined </w:t>
      </w:r>
      <w:r w:rsidR="002124A6" w:rsidRPr="00A42E3C">
        <w:rPr>
          <w:lang w:val="en-GB"/>
        </w:rPr>
        <w:t>neighbourhood</w:t>
      </w:r>
      <w:r w:rsidRPr="00A42E3C">
        <w:rPr>
          <w:lang w:val="en-GB"/>
        </w:rPr>
        <w:t>. The next step is parameterization, which involves extracting representative statistical features from the signal. These parameters enable the signal behaviour to be described quantitatively and its dimensionality to be reduced. Finally, feature selection identifies a subset of relevant parameters for the clustering phase.</w:t>
      </w:r>
      <w:r w:rsidR="00C510BE">
        <w:rPr>
          <w:lang w:val="en-GB"/>
        </w:rPr>
        <w:t xml:space="preserve"> </w:t>
      </w:r>
      <w:r w:rsidRPr="00A42E3C">
        <w:rPr>
          <w:lang w:val="en-GB"/>
        </w:rPr>
        <w:t xml:space="preserve">Model </w:t>
      </w:r>
      <w:r>
        <w:rPr>
          <w:lang w:val="en-GB"/>
        </w:rPr>
        <w:t>building</w:t>
      </w:r>
      <w:r w:rsidRPr="00A42E3C">
        <w:rPr>
          <w:lang w:val="en-GB"/>
        </w:rPr>
        <w:t xml:space="preserve"> is based on a training dataset of anomaly-free telemetry signals, representing the average behaviour to be modelled. The dataset is partitioned into clusters using the K-Means algorithm, with the optimal number of clusters determined through an iterative process. </w:t>
      </w:r>
      <w:r w:rsidRPr="00C310EF">
        <w:rPr>
          <w:lang w:val="en-GB"/>
        </w:rPr>
        <w:t>In each iteration, the silhouette score is computed, a metric that evaluates both the internal cohesion and separation of the clusters.</w:t>
      </w:r>
      <w:r>
        <w:rPr>
          <w:lang w:val="en-GB"/>
        </w:rPr>
        <w:t xml:space="preserve"> </w:t>
      </w:r>
    </w:p>
    <w:p w14:paraId="5C36AA0C" w14:textId="4BA691AB" w:rsidR="00480319" w:rsidRPr="00FD3EB9" w:rsidRDefault="00480319" w:rsidP="006A5CEE">
      <w:pPr>
        <w:pStyle w:val="CETBodytext"/>
        <w:rPr>
          <w:lang w:val="en-GB"/>
        </w:rPr>
      </w:pPr>
      <w:r w:rsidRPr="00FD3EB9">
        <w:rPr>
          <w:lang w:val="en-GB"/>
        </w:rPr>
        <w:t xml:space="preserve">To finalize the process, the anomaly identification threshold, denoted as </w:t>
      </w:r>
      <w:r w:rsidRPr="00FD3EB9">
        <w:rPr>
          <w:b/>
          <w:bCs/>
          <w:lang w:val="en-GB"/>
        </w:rPr>
        <w:t>Z</w:t>
      </w:r>
      <w:r w:rsidRPr="00FD3EB9">
        <w:rPr>
          <w:lang w:val="en-GB"/>
        </w:rPr>
        <w:t xml:space="preserve">, is determined by analysing the maximum inter-cluster distance. Given </w:t>
      </w:r>
      <w:r w:rsidRPr="00FD3EB9">
        <w:rPr>
          <w:b/>
          <w:bCs/>
          <w:lang w:val="en-GB"/>
        </w:rPr>
        <w:t>K</w:t>
      </w:r>
      <w:r w:rsidRPr="00FD3EB9">
        <w:rPr>
          <w:lang w:val="en-GB"/>
        </w:rPr>
        <w:t xml:space="preserve"> = </w:t>
      </w:r>
      <w:r w:rsidRPr="00FD3EB9">
        <w:rPr>
          <w:b/>
          <w:bCs/>
          <w:lang w:val="en-GB"/>
        </w:rPr>
        <w:t>{</w:t>
      </w:r>
      <w:r w:rsidRPr="00FD3EB9">
        <w:rPr>
          <w:b/>
          <w:bCs/>
          <w:i/>
          <w:iCs/>
          <w:lang w:val="en-GB"/>
        </w:rPr>
        <w:t>K</w:t>
      </w:r>
      <w:r w:rsidRPr="00FD3EB9">
        <w:rPr>
          <w:b/>
          <w:bCs/>
          <w:i/>
          <w:iCs/>
          <w:vertAlign w:val="subscript"/>
          <w:lang w:val="en-GB"/>
        </w:rPr>
        <w:t>1</w:t>
      </w:r>
      <w:r w:rsidRPr="00FD3EB9">
        <w:rPr>
          <w:b/>
          <w:bCs/>
          <w:lang w:val="en-GB"/>
        </w:rPr>
        <w:t>,</w:t>
      </w:r>
      <w:r w:rsidRPr="00FD3EB9">
        <w:rPr>
          <w:b/>
          <w:bCs/>
          <w:i/>
          <w:iCs/>
          <w:lang w:val="en-GB"/>
        </w:rPr>
        <w:t xml:space="preserve"> K</w:t>
      </w:r>
      <w:r w:rsidRPr="00FD3EB9">
        <w:rPr>
          <w:b/>
          <w:bCs/>
          <w:i/>
          <w:iCs/>
          <w:vertAlign w:val="subscript"/>
          <w:lang w:val="en-GB"/>
        </w:rPr>
        <w:t>2</w:t>
      </w:r>
      <w:r w:rsidRPr="00FD3EB9">
        <w:rPr>
          <w:b/>
          <w:bCs/>
          <w:lang w:val="en-GB"/>
        </w:rPr>
        <w:t xml:space="preserve">, …, </w:t>
      </w:r>
      <w:r w:rsidRPr="00FD3EB9">
        <w:rPr>
          <w:b/>
          <w:bCs/>
          <w:i/>
          <w:iCs/>
          <w:lang w:val="en-GB"/>
        </w:rPr>
        <w:t>K</w:t>
      </w:r>
      <w:r w:rsidRPr="00FD3EB9">
        <w:rPr>
          <w:b/>
          <w:bCs/>
          <w:i/>
          <w:iCs/>
          <w:vertAlign w:val="subscript"/>
          <w:lang w:val="en-GB"/>
        </w:rPr>
        <w:t>m</w:t>
      </w:r>
      <w:r w:rsidRPr="00FD3EB9">
        <w:rPr>
          <w:b/>
          <w:bCs/>
          <w:lang w:val="en-GB"/>
        </w:rPr>
        <w:t>}</w:t>
      </w:r>
      <w:r w:rsidRPr="00FD3EB9">
        <w:rPr>
          <w:lang w:val="en-GB"/>
        </w:rPr>
        <w:t xml:space="preserve"> as the set of </w:t>
      </w:r>
      <w:r w:rsidRPr="00FD3EB9">
        <w:rPr>
          <w:i/>
          <w:iCs/>
          <w:lang w:val="en-GB"/>
        </w:rPr>
        <w:t>m</w:t>
      </w:r>
      <w:r w:rsidRPr="00FD3EB9">
        <w:rPr>
          <w:lang w:val="en-GB"/>
        </w:rPr>
        <w:t xml:space="preserve"> clusters resulting from the K-Means algorithm, and </w:t>
      </w:r>
      <w:r w:rsidRPr="00FD3EB9">
        <w:rPr>
          <w:b/>
          <w:bCs/>
          <w:lang w:val="en-GB"/>
        </w:rPr>
        <w:t>C = {</w:t>
      </w:r>
      <w:r w:rsidRPr="00FD3EB9">
        <w:rPr>
          <w:b/>
          <w:bCs/>
          <w:i/>
          <w:iCs/>
          <w:lang w:val="en-GB"/>
        </w:rPr>
        <w:t>c</w:t>
      </w:r>
      <w:r w:rsidRPr="00FD3EB9">
        <w:rPr>
          <w:b/>
          <w:bCs/>
          <w:i/>
          <w:iCs/>
          <w:vertAlign w:val="subscript"/>
          <w:lang w:val="en-GB"/>
        </w:rPr>
        <w:t>1</w:t>
      </w:r>
      <w:r w:rsidRPr="00FD3EB9">
        <w:rPr>
          <w:b/>
          <w:bCs/>
          <w:lang w:val="en-GB"/>
        </w:rPr>
        <w:t xml:space="preserve">, </w:t>
      </w:r>
      <w:r w:rsidRPr="00FD3EB9">
        <w:rPr>
          <w:b/>
          <w:bCs/>
          <w:i/>
          <w:iCs/>
          <w:lang w:val="en-GB"/>
        </w:rPr>
        <w:t>c</w:t>
      </w:r>
      <w:r w:rsidRPr="00FD3EB9">
        <w:rPr>
          <w:b/>
          <w:bCs/>
          <w:i/>
          <w:iCs/>
          <w:vertAlign w:val="subscript"/>
          <w:lang w:val="en-GB"/>
        </w:rPr>
        <w:t>2</w:t>
      </w:r>
      <w:r w:rsidRPr="00FD3EB9">
        <w:rPr>
          <w:b/>
          <w:bCs/>
          <w:lang w:val="en-GB"/>
        </w:rPr>
        <w:t xml:space="preserve">, …, </w:t>
      </w:r>
      <w:r w:rsidRPr="00FD3EB9">
        <w:rPr>
          <w:b/>
          <w:bCs/>
          <w:i/>
          <w:iCs/>
          <w:lang w:val="en-GB"/>
        </w:rPr>
        <w:t>c</w:t>
      </w:r>
      <w:r w:rsidRPr="00FD3EB9">
        <w:rPr>
          <w:b/>
          <w:bCs/>
          <w:i/>
          <w:iCs/>
          <w:vertAlign w:val="subscript"/>
          <w:lang w:val="en-GB"/>
        </w:rPr>
        <w:t>m</w:t>
      </w:r>
      <w:r w:rsidRPr="00FD3EB9">
        <w:rPr>
          <w:b/>
          <w:bCs/>
          <w:lang w:val="en-GB"/>
        </w:rPr>
        <w:t>}</w:t>
      </w:r>
      <w:r w:rsidRPr="00FD3EB9">
        <w:rPr>
          <w:lang w:val="en-GB"/>
        </w:rPr>
        <w:t xml:space="preserve"> as the set of their respective centroids. The inter-cluster distance is defined as the</w:t>
      </w:r>
      <w:r w:rsidR="00533880" w:rsidRPr="00FD3EB9">
        <w:rPr>
          <w:lang w:val="en-GB"/>
        </w:rPr>
        <w:t xml:space="preserve"> mean</w:t>
      </w:r>
      <w:r w:rsidRPr="00FD3EB9">
        <w:rPr>
          <w:lang w:val="en-GB"/>
        </w:rPr>
        <w:t xml:space="preserve"> Euclidean distance between the points </w:t>
      </w:r>
      <w:proofErr w:type="spellStart"/>
      <w:r w:rsidR="00AB483A" w:rsidRPr="00FD3EB9">
        <w:rPr>
          <w:i/>
          <w:iCs/>
          <w:lang w:val="en-GB"/>
        </w:rPr>
        <w:t>p</w:t>
      </w:r>
      <w:r w:rsidR="00AB483A" w:rsidRPr="00FD3EB9">
        <w:rPr>
          <w:i/>
          <w:iCs/>
          <w:vertAlign w:val="subscript"/>
          <w:lang w:val="en-GB"/>
        </w:rPr>
        <w:t>h</w:t>
      </w:r>
      <w:proofErr w:type="spellEnd"/>
      <w:r w:rsidR="00AB483A" w:rsidRPr="00FD3EB9">
        <w:rPr>
          <w:lang w:val="en-GB"/>
        </w:rPr>
        <w:t xml:space="preserve"> of </w:t>
      </w:r>
      <w:r w:rsidR="00AB483A" w:rsidRPr="00FD3EB9">
        <w:rPr>
          <w:b/>
          <w:bCs/>
          <w:i/>
          <w:iCs/>
          <w:lang w:val="en-GB"/>
        </w:rPr>
        <w:t>K</w:t>
      </w:r>
      <w:r w:rsidR="00AB483A" w:rsidRPr="00FD3EB9">
        <w:rPr>
          <w:b/>
          <w:bCs/>
          <w:i/>
          <w:iCs/>
          <w:vertAlign w:val="subscript"/>
          <w:lang w:val="en-GB"/>
        </w:rPr>
        <w:t>i</w:t>
      </w:r>
      <w:r w:rsidR="00AB483A" w:rsidRPr="00FD3EB9">
        <w:rPr>
          <w:lang w:val="en-GB"/>
        </w:rPr>
        <w:t>,</w:t>
      </w:r>
      <w:r w:rsidRPr="00FD3EB9">
        <w:rPr>
          <w:lang w:val="en-GB"/>
        </w:rPr>
        <w:t xml:space="preserve"> </w:t>
      </w:r>
      <w:r w:rsidR="00AB483A" w:rsidRPr="00FD3EB9">
        <w:rPr>
          <w:lang w:val="en-GB"/>
        </w:rPr>
        <w:t xml:space="preserve">where </w:t>
      </w:r>
      <w:r w:rsidR="00AB483A" w:rsidRPr="00FD3EB9">
        <w:rPr>
          <w:i/>
          <w:iCs/>
          <w:lang w:val="en-GB"/>
        </w:rPr>
        <w:t>h</w:t>
      </w:r>
      <w:r w:rsidR="00AB483A" w:rsidRPr="00FD3EB9">
        <w:rPr>
          <w:lang w:val="en-GB"/>
        </w:rPr>
        <w:t xml:space="preserve"> ranges from 1 to the dimensionality of </w:t>
      </w:r>
      <w:r w:rsidR="00AB483A" w:rsidRPr="00FD3EB9">
        <w:rPr>
          <w:b/>
          <w:bCs/>
          <w:i/>
          <w:iCs/>
          <w:lang w:val="en-GB"/>
        </w:rPr>
        <w:t>K</w:t>
      </w:r>
      <w:r w:rsidR="00AB483A" w:rsidRPr="00FD3EB9">
        <w:rPr>
          <w:b/>
          <w:bCs/>
          <w:i/>
          <w:iCs/>
          <w:vertAlign w:val="subscript"/>
          <w:lang w:val="en-GB"/>
        </w:rPr>
        <w:t>i</w:t>
      </w:r>
      <w:r w:rsidR="00AB483A" w:rsidRPr="00FD3EB9">
        <w:rPr>
          <w:lang w:val="en-GB"/>
        </w:rPr>
        <w:t xml:space="preserve"> (h=1 … </w:t>
      </w:r>
      <w:proofErr w:type="gramStart"/>
      <w:r w:rsidR="00AB483A" w:rsidRPr="00FD3EB9">
        <w:rPr>
          <w:i/>
          <w:iCs/>
          <w:lang w:val="en-GB"/>
        </w:rPr>
        <w:t>dim</w:t>
      </w:r>
      <w:r w:rsidR="00AB483A" w:rsidRPr="00FD3EB9">
        <w:rPr>
          <w:lang w:val="en-GB"/>
        </w:rPr>
        <w:t>(</w:t>
      </w:r>
      <w:proofErr w:type="gramEnd"/>
      <w:r w:rsidR="00AB483A" w:rsidRPr="00FD3EB9">
        <w:rPr>
          <w:b/>
          <w:bCs/>
          <w:i/>
          <w:iCs/>
          <w:lang w:val="en-GB"/>
        </w:rPr>
        <w:t>K</w:t>
      </w:r>
      <w:r w:rsidR="00AB483A" w:rsidRPr="00FD3EB9">
        <w:rPr>
          <w:b/>
          <w:bCs/>
          <w:i/>
          <w:iCs/>
          <w:vertAlign w:val="subscript"/>
          <w:lang w:val="en-GB"/>
        </w:rPr>
        <w:t>i</w:t>
      </w:r>
      <w:r w:rsidR="00AB483A" w:rsidRPr="00FD3EB9">
        <w:rPr>
          <w:lang w:val="en-GB"/>
        </w:rPr>
        <w:t>))</w:t>
      </w:r>
      <w:r w:rsidRPr="00FD3EB9">
        <w:rPr>
          <w:lang w:val="en-GB"/>
        </w:rPr>
        <w:t xml:space="preserve"> and the centroids of all other cluster</w:t>
      </w:r>
      <w:r w:rsidR="00AB483A" w:rsidRPr="00FD3EB9">
        <w:rPr>
          <w:lang w:val="en-GB"/>
        </w:rPr>
        <w:t>s</w:t>
      </w:r>
      <w:r w:rsidRPr="00FD3EB9">
        <w:rPr>
          <w:lang w:val="en-GB"/>
        </w:rPr>
        <w:t xml:space="preserve">. The threshold </w:t>
      </w:r>
      <w:r w:rsidRPr="00FD3EB9">
        <w:rPr>
          <w:b/>
          <w:bCs/>
          <w:lang w:val="en-GB"/>
        </w:rPr>
        <w:t>Z</w:t>
      </w:r>
      <w:r w:rsidRPr="00FD3EB9">
        <w:rPr>
          <w:lang w:val="en-GB"/>
        </w:rPr>
        <w:t xml:space="preserve"> is then determined according to the following formula:</w:t>
      </w:r>
    </w:p>
    <w:tbl>
      <w:tblPr>
        <w:tblW w:w="5000" w:type="pct"/>
        <w:tblLook w:val="04A0" w:firstRow="1" w:lastRow="0" w:firstColumn="1" w:lastColumn="0" w:noHBand="0" w:noVBand="1"/>
      </w:tblPr>
      <w:tblGrid>
        <w:gridCol w:w="7984"/>
        <w:gridCol w:w="803"/>
      </w:tblGrid>
      <w:tr w:rsidR="00FD3EB9" w:rsidRPr="00FD3EB9" w14:paraId="394C248F" w14:textId="77777777" w:rsidTr="0025347D">
        <w:tc>
          <w:tcPr>
            <w:tcW w:w="8188" w:type="dxa"/>
            <w:shd w:val="clear" w:color="auto" w:fill="auto"/>
            <w:vAlign w:val="center"/>
          </w:tcPr>
          <w:p w14:paraId="16DA7675" w14:textId="5BD2055D" w:rsidR="00CC1E0E" w:rsidRPr="00FD3EB9" w:rsidRDefault="00000000" w:rsidP="0025347D">
            <w:pPr>
              <w:pStyle w:val="CETEquation"/>
            </w:pPr>
            <m:oMath>
              <m:func>
                <m:funcPr>
                  <m:ctrlPr>
                    <w:rPr>
                      <w:rFonts w:ascii="Cambria Math" w:hAnsi="Cambria Math" w:cs="Arial"/>
                      <w:b/>
                      <w:bCs/>
                      <w:i/>
                    </w:rPr>
                  </m:ctrlPr>
                </m:funcPr>
                <m:fName>
                  <m:limLow>
                    <m:limLowPr>
                      <m:ctrlPr>
                        <w:rPr>
                          <w:rFonts w:ascii="Cambria Math" w:hAnsi="Cambria Math" w:cs="Arial"/>
                          <w:b/>
                          <w:bCs/>
                          <w:i/>
                        </w:rPr>
                      </m:ctrlPr>
                    </m:limLowPr>
                    <m:e>
                      <m:r>
                        <m:rPr>
                          <m:sty m:val="b"/>
                        </m:rPr>
                        <w:rPr>
                          <w:rFonts w:ascii="Cambria Math" w:hAnsi="Cambria Math" w:cs="Arial"/>
                        </w:rPr>
                        <m:t>Z=max</m:t>
                      </m:r>
                    </m:e>
                    <m:lim/>
                  </m:limLow>
                </m:fName>
                <m:e>
                  <m:d>
                    <m:dPr>
                      <m:begChr m:val="{"/>
                      <m:endChr m:val="}"/>
                      <m:ctrlPr>
                        <w:rPr>
                          <w:rFonts w:ascii="Cambria Math" w:hAnsi="Cambria Math" w:cs="Arial"/>
                          <w:b/>
                          <w:bCs/>
                          <w:i/>
                        </w:rPr>
                      </m:ctrlPr>
                    </m:dPr>
                    <m:e>
                      <m:f>
                        <m:fPr>
                          <m:ctrlPr>
                            <w:rPr>
                              <w:rFonts w:ascii="Cambria Math" w:hAnsi="Cambria Math" w:cs="Arial"/>
                              <w:b/>
                              <w:bCs/>
                              <w:i/>
                            </w:rPr>
                          </m:ctrlPr>
                        </m:fPr>
                        <m:num>
                          <m:r>
                            <m:rPr>
                              <m:sty m:val="bi"/>
                            </m:rPr>
                            <w:rPr>
                              <w:rFonts w:ascii="Cambria Math" w:hAnsi="Cambria Math" w:cs="Arial"/>
                            </w:rPr>
                            <m:t>1</m:t>
                          </m:r>
                        </m:num>
                        <m:den>
                          <m:r>
                            <m:rPr>
                              <m:sty m:val="bi"/>
                            </m:rPr>
                            <w:rPr>
                              <w:rFonts w:ascii="Cambria Math" w:hAnsi="Cambria Math" w:cs="Arial"/>
                            </w:rPr>
                            <m:t>dim</m:t>
                          </m:r>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K</m:t>
                                  </m:r>
                                </m:e>
                                <m:sub>
                                  <m:r>
                                    <m:rPr>
                                      <m:sty m:val="bi"/>
                                    </m:rPr>
                                    <w:rPr>
                                      <w:rFonts w:ascii="Cambria Math" w:hAnsi="Cambria Math" w:cs="Arial"/>
                                    </w:rPr>
                                    <m:t>i</m:t>
                                  </m:r>
                                </m:sub>
                              </m:sSub>
                            </m:e>
                          </m:d>
                        </m:den>
                      </m:f>
                      <m:r>
                        <m:rPr>
                          <m:sty m:val="bi"/>
                        </m:rPr>
                        <w:rPr>
                          <w:rFonts w:ascii="Cambria Math" w:hAnsi="Cambria Math" w:cs="Arial"/>
                        </w:rPr>
                        <m:t>×</m:t>
                      </m:r>
                      <m:nary>
                        <m:naryPr>
                          <m:chr m:val="∑"/>
                          <m:limLoc m:val="undOvr"/>
                          <m:ctrlPr>
                            <w:rPr>
                              <w:rFonts w:ascii="Cambria Math" w:hAnsi="Cambria Math" w:cs="Arial"/>
                              <w:b/>
                              <w:bCs/>
                              <w:i/>
                            </w:rPr>
                          </m:ctrlPr>
                        </m:naryPr>
                        <m:sub>
                          <m:r>
                            <m:rPr>
                              <m:sty m:val="bi"/>
                            </m:rPr>
                            <w:rPr>
                              <w:rFonts w:ascii="Cambria Math" w:hAnsi="Cambria Math" w:cs="Arial"/>
                            </w:rPr>
                            <m:t>h=1</m:t>
                          </m:r>
                        </m:sub>
                        <m:sup>
                          <m:r>
                            <m:rPr>
                              <m:sty m:val="bi"/>
                            </m:rPr>
                            <w:rPr>
                              <w:rFonts w:ascii="Cambria Math" w:hAnsi="Cambria Math" w:cs="Arial"/>
                            </w:rPr>
                            <m:t>dim</m:t>
                          </m:r>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K</m:t>
                                  </m:r>
                                </m:e>
                                <m:sub>
                                  <m:r>
                                    <m:rPr>
                                      <m:sty m:val="bi"/>
                                    </m:rPr>
                                    <w:rPr>
                                      <w:rFonts w:ascii="Cambria Math" w:hAnsi="Cambria Math" w:cs="Arial"/>
                                    </w:rPr>
                                    <m:t>i</m:t>
                                  </m:r>
                                </m:sub>
                              </m:sSub>
                            </m:e>
                          </m:d>
                        </m:sup>
                        <m:e>
                          <m:d>
                            <m:dPr>
                              <m:begChr m:val="|"/>
                              <m:endChr m:val="|"/>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p</m:t>
                                  </m:r>
                                </m:e>
                                <m:sub>
                                  <m:r>
                                    <m:rPr>
                                      <m:sty m:val="bi"/>
                                    </m:rPr>
                                    <w:rPr>
                                      <w:rFonts w:ascii="Cambria Math" w:hAnsi="Cambria Math" w:cs="Arial"/>
                                    </w:rPr>
                                    <m:t>h</m:t>
                                  </m:r>
                                </m:sub>
                              </m:sSub>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j</m:t>
                                  </m:r>
                                </m:sub>
                              </m:sSub>
                            </m:e>
                          </m:d>
                          <m:r>
                            <m:rPr>
                              <m:sty m:val="bi"/>
                            </m:rP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 xml:space="preserve"> p</m:t>
                              </m:r>
                            </m:e>
                            <m:sub>
                              <m:r>
                                <m:rPr>
                                  <m:sty m:val="bi"/>
                                </m:rPr>
                                <w:rPr>
                                  <w:rFonts w:ascii="Cambria Math" w:hAnsi="Cambria Math" w:cs="Arial"/>
                                </w:rPr>
                                <m:t>h</m:t>
                              </m:r>
                            </m:sub>
                          </m:sSub>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K</m:t>
                              </m:r>
                            </m:e>
                            <m:sub>
                              <m:r>
                                <m:rPr>
                                  <m:sty m:val="bi"/>
                                </m:rPr>
                                <w:rPr>
                                  <w:rFonts w:ascii="Cambria Math" w:hAnsi="Cambria Math" w:cs="Arial"/>
                                </w:rPr>
                                <m:t>i</m:t>
                              </m:r>
                            </m:sub>
                          </m:sSub>
                          <m:r>
                            <m:rPr>
                              <m:sty m:val="bi"/>
                            </m:rPr>
                            <w:rPr>
                              <w:rFonts w:ascii="Cambria Math" w:hAnsi="Cambria Math" w:cs="Arial"/>
                            </w:rPr>
                            <m:t xml:space="preserve"> ; </m:t>
                          </m:r>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j</m:t>
                              </m:r>
                            </m:sub>
                          </m:sSub>
                          <m:r>
                            <m:rPr>
                              <m:sty m:val="bi"/>
                            </m:rPr>
                            <w:rPr>
                              <w:rFonts w:ascii="Cambria Math" w:hAnsi="Cambria Math" w:cs="Arial"/>
                            </w:rPr>
                            <m:t>∈C ;  i≠j</m:t>
                          </m:r>
                        </m:e>
                      </m:nary>
                    </m:e>
                  </m:d>
                </m:e>
              </m:func>
            </m:oMath>
            <w:r w:rsidR="00CC1E0E" w:rsidRPr="00FD3EB9">
              <w:t xml:space="preserve"> </w:t>
            </w:r>
          </w:p>
        </w:tc>
        <w:tc>
          <w:tcPr>
            <w:tcW w:w="815" w:type="dxa"/>
            <w:shd w:val="clear" w:color="auto" w:fill="auto"/>
            <w:vAlign w:val="center"/>
          </w:tcPr>
          <w:p w14:paraId="55FF2C1C" w14:textId="77777777" w:rsidR="00CC1E0E" w:rsidRPr="00FD3EB9" w:rsidRDefault="00CC1E0E" w:rsidP="0025347D">
            <w:pPr>
              <w:pStyle w:val="CETEquation"/>
              <w:jc w:val="right"/>
            </w:pPr>
            <w:r w:rsidRPr="00FD3EB9">
              <w:t>(1)</w:t>
            </w:r>
          </w:p>
        </w:tc>
      </w:tr>
    </w:tbl>
    <w:p w14:paraId="4556C712" w14:textId="38676B28" w:rsidR="00080D3B" w:rsidRPr="00FD3EB9" w:rsidRDefault="005C72BE" w:rsidP="006A5CEE">
      <w:pPr>
        <w:pStyle w:val="CETBodytext"/>
        <w:rPr>
          <w:lang w:val="en-GB"/>
        </w:rPr>
      </w:pPr>
      <w:r w:rsidRPr="00FD3EB9">
        <w:rPr>
          <w:lang w:val="en-GB"/>
        </w:rPr>
        <w:t>The</w:t>
      </w:r>
      <w:r w:rsidR="00036875" w:rsidRPr="00FD3EB9">
        <w:rPr>
          <w:lang w:val="en-GB"/>
        </w:rPr>
        <w:t xml:space="preserve"> </w:t>
      </w:r>
      <w:r w:rsidR="00036875" w:rsidRPr="00FD3EB9">
        <w:rPr>
          <w:b/>
          <w:bCs/>
          <w:lang w:val="en-GB"/>
        </w:rPr>
        <w:t>M</w:t>
      </w:r>
      <w:r w:rsidR="00036875" w:rsidRPr="00FD3EB9">
        <w:rPr>
          <w:lang w:val="en-GB"/>
        </w:rPr>
        <w:t xml:space="preserve"> = {</w:t>
      </w:r>
      <w:r w:rsidR="00036875" w:rsidRPr="00FD3EB9">
        <w:rPr>
          <w:b/>
          <w:bCs/>
          <w:lang w:val="en-GB"/>
        </w:rPr>
        <w:t>K</w:t>
      </w:r>
      <w:r w:rsidR="00036875" w:rsidRPr="00FD3EB9">
        <w:rPr>
          <w:lang w:val="en-GB"/>
        </w:rPr>
        <w:t xml:space="preserve">, </w:t>
      </w:r>
      <w:r w:rsidR="00036875" w:rsidRPr="00FD3EB9">
        <w:rPr>
          <w:b/>
          <w:bCs/>
          <w:lang w:val="en-GB"/>
        </w:rPr>
        <w:t>C</w:t>
      </w:r>
      <w:r w:rsidR="00036875" w:rsidRPr="00FD3EB9">
        <w:rPr>
          <w:lang w:val="en-GB"/>
        </w:rPr>
        <w:t xml:space="preserve">, </w:t>
      </w:r>
      <w:r w:rsidR="00036875" w:rsidRPr="00FD3EB9">
        <w:rPr>
          <w:b/>
          <w:bCs/>
          <w:lang w:val="en-GB"/>
        </w:rPr>
        <w:t>Z</w:t>
      </w:r>
      <w:r w:rsidR="00036875" w:rsidRPr="00FD3EB9">
        <w:rPr>
          <w:lang w:val="en-GB"/>
        </w:rPr>
        <w:t>}</w:t>
      </w:r>
      <w:r w:rsidRPr="00FD3EB9">
        <w:rPr>
          <w:lang w:val="en-GB"/>
        </w:rPr>
        <w:t xml:space="preserve"> model, comprising the set of clusters</w:t>
      </w:r>
      <w:r w:rsidR="00036875" w:rsidRPr="00FD3EB9">
        <w:rPr>
          <w:lang w:val="en-GB"/>
        </w:rPr>
        <w:t xml:space="preserve"> </w:t>
      </w:r>
      <w:r w:rsidR="00036875" w:rsidRPr="00FD3EB9">
        <w:rPr>
          <w:b/>
          <w:bCs/>
          <w:lang w:val="en-GB"/>
        </w:rPr>
        <w:t>K</w:t>
      </w:r>
      <w:r w:rsidRPr="00FD3EB9">
        <w:rPr>
          <w:lang w:val="en-GB"/>
        </w:rPr>
        <w:t>, centroids</w:t>
      </w:r>
      <w:r w:rsidR="00036875" w:rsidRPr="00FD3EB9">
        <w:rPr>
          <w:lang w:val="en-GB"/>
        </w:rPr>
        <w:t xml:space="preserve"> </w:t>
      </w:r>
      <w:r w:rsidR="00036875" w:rsidRPr="00FD3EB9">
        <w:rPr>
          <w:b/>
          <w:bCs/>
          <w:lang w:val="en-GB"/>
        </w:rPr>
        <w:t>C</w:t>
      </w:r>
      <w:r w:rsidRPr="00FD3EB9">
        <w:rPr>
          <w:lang w:val="en-GB"/>
        </w:rPr>
        <w:t>, and threshold</w:t>
      </w:r>
      <w:r w:rsidR="00036875" w:rsidRPr="00FD3EB9">
        <w:rPr>
          <w:lang w:val="en-GB"/>
        </w:rPr>
        <w:t xml:space="preserve"> </w:t>
      </w:r>
      <w:r w:rsidR="00036875" w:rsidRPr="00FD3EB9">
        <w:rPr>
          <w:b/>
          <w:bCs/>
          <w:lang w:val="en-GB"/>
        </w:rPr>
        <w:t>Z</w:t>
      </w:r>
      <w:r w:rsidRPr="00FD3EB9">
        <w:rPr>
          <w:lang w:val="en-GB"/>
        </w:rPr>
        <w:t>, is employed during the anomaly detection phase to identify atypical patterns within the testing dataset. In this phase, data points are assigned to the clusters of the</w:t>
      </w:r>
      <w:r w:rsidR="00EB3C5E" w:rsidRPr="00FD3EB9">
        <w:rPr>
          <w:lang w:val="en-GB"/>
        </w:rPr>
        <w:t xml:space="preserve"> </w:t>
      </w:r>
      <w:r w:rsidR="00EB3C5E" w:rsidRPr="00FD3EB9">
        <w:rPr>
          <w:b/>
          <w:bCs/>
          <w:lang w:val="en-GB"/>
        </w:rPr>
        <w:t>M</w:t>
      </w:r>
      <w:r w:rsidRPr="00FD3EB9">
        <w:rPr>
          <w:lang w:val="en-GB"/>
        </w:rPr>
        <w:t xml:space="preserve"> model through a classification process leveraging the k-Nearest </w:t>
      </w:r>
      <w:proofErr w:type="spellStart"/>
      <w:r w:rsidRPr="00FD3EB9">
        <w:rPr>
          <w:lang w:val="en-GB"/>
        </w:rPr>
        <w:t>Neighbors</w:t>
      </w:r>
      <w:proofErr w:type="spellEnd"/>
      <w:r w:rsidRPr="00FD3EB9">
        <w:rPr>
          <w:lang w:val="en-GB"/>
        </w:rPr>
        <w:t xml:space="preserve"> (k-NN) algorithm. </w:t>
      </w:r>
      <w:r w:rsidR="00080D3B" w:rsidRPr="00FD3EB9">
        <w:rPr>
          <w:lang w:val="en-GB"/>
        </w:rPr>
        <w:t>Let</w:t>
      </w:r>
      <w:r w:rsidR="00EB3C5E" w:rsidRPr="00FD3EB9">
        <w:rPr>
          <w:b/>
          <w:bCs/>
          <w:lang w:val="en-GB"/>
        </w:rPr>
        <w:t xml:space="preserve"> A = {</w:t>
      </w:r>
      <w:r w:rsidR="00EB3C5E" w:rsidRPr="00FD3EB9">
        <w:rPr>
          <w:b/>
          <w:bCs/>
          <w:i/>
          <w:iCs/>
          <w:lang w:val="en-GB"/>
        </w:rPr>
        <w:t>A</w:t>
      </w:r>
      <w:r w:rsidR="00EB3C5E" w:rsidRPr="00FD3EB9">
        <w:rPr>
          <w:b/>
          <w:bCs/>
          <w:i/>
          <w:iCs/>
          <w:vertAlign w:val="subscript"/>
          <w:lang w:val="en-GB"/>
        </w:rPr>
        <w:t>1</w:t>
      </w:r>
      <w:r w:rsidR="00EB3C5E" w:rsidRPr="00FD3EB9">
        <w:rPr>
          <w:b/>
          <w:bCs/>
          <w:i/>
          <w:iCs/>
          <w:lang w:val="en-GB"/>
        </w:rPr>
        <w:t>, A</w:t>
      </w:r>
      <w:r w:rsidR="00EB3C5E" w:rsidRPr="00FD3EB9">
        <w:rPr>
          <w:b/>
          <w:bCs/>
          <w:i/>
          <w:iCs/>
          <w:vertAlign w:val="subscript"/>
          <w:lang w:val="en-GB"/>
        </w:rPr>
        <w:t>2</w:t>
      </w:r>
      <w:r w:rsidR="00EB3C5E" w:rsidRPr="00FD3EB9">
        <w:rPr>
          <w:b/>
          <w:bCs/>
          <w:i/>
          <w:iCs/>
          <w:lang w:val="en-GB"/>
        </w:rPr>
        <w:t>, …, A</w:t>
      </w:r>
      <w:r w:rsidR="00EB3C5E" w:rsidRPr="00FD3EB9">
        <w:rPr>
          <w:b/>
          <w:bCs/>
          <w:i/>
          <w:iCs/>
          <w:vertAlign w:val="subscript"/>
          <w:lang w:val="en-GB"/>
        </w:rPr>
        <w:t>n</w:t>
      </w:r>
      <w:r w:rsidR="00EB3C5E" w:rsidRPr="00FD3EB9">
        <w:rPr>
          <w:b/>
          <w:bCs/>
          <w:lang w:val="en-GB"/>
        </w:rPr>
        <w:t>}</w:t>
      </w:r>
      <w:r w:rsidR="00080D3B" w:rsidRPr="00FD3EB9">
        <w:rPr>
          <w:iCs/>
          <w:lang w:val="en-GB"/>
        </w:rPr>
        <w:t xml:space="preserve"> </w:t>
      </w:r>
      <w:r w:rsidR="00080D3B" w:rsidRPr="00FD3EB9">
        <w:rPr>
          <w:lang w:val="en-GB"/>
        </w:rPr>
        <w:t>be the set of</w:t>
      </w:r>
      <w:r w:rsidR="00A978D1" w:rsidRPr="00FD3EB9">
        <w:rPr>
          <w:lang w:val="en-GB"/>
        </w:rPr>
        <w:t xml:space="preserve"> </w:t>
      </w:r>
      <w:r w:rsidR="00A978D1" w:rsidRPr="00FD3EB9">
        <w:rPr>
          <w:i/>
          <w:iCs/>
          <w:lang w:val="en-GB"/>
        </w:rPr>
        <w:t>n</w:t>
      </w:r>
      <w:r w:rsidR="00080D3B" w:rsidRPr="00FD3EB9">
        <w:rPr>
          <w:lang w:val="en-GB"/>
        </w:rPr>
        <w:t xml:space="preserve"> clusters obtained through the k-NN algorithm</w:t>
      </w:r>
      <w:r w:rsidR="00A978D1" w:rsidRPr="00FD3EB9">
        <w:rPr>
          <w:lang w:val="en-GB"/>
        </w:rPr>
        <w:t>, a</w:t>
      </w:r>
      <w:r w:rsidR="00ED5117" w:rsidRPr="00FD3EB9">
        <w:rPr>
          <w:lang w:val="en-GB"/>
        </w:rPr>
        <w:t xml:space="preserve">nomalies are identified by comparing the minimum of the average Euclidean distances between </w:t>
      </w:r>
      <w:r w:rsidR="00A978D1" w:rsidRPr="00FD3EB9">
        <w:rPr>
          <w:lang w:val="en-GB"/>
        </w:rPr>
        <w:t xml:space="preserve">the </w:t>
      </w:r>
      <w:r w:rsidR="00ED5117" w:rsidRPr="00FD3EB9">
        <w:rPr>
          <w:lang w:val="en-GB"/>
        </w:rPr>
        <w:t xml:space="preserve">points </w:t>
      </w:r>
      <w:r w:rsidR="00A978D1" w:rsidRPr="00FD3EB9">
        <w:rPr>
          <w:lang w:val="en-GB"/>
        </w:rPr>
        <w:t>of</w:t>
      </w:r>
      <w:r w:rsidR="00ED5117" w:rsidRPr="00FD3EB9">
        <w:rPr>
          <w:lang w:val="en-GB"/>
        </w:rPr>
        <w:t xml:space="preserve"> </w:t>
      </w:r>
      <w:r w:rsidR="00ED5117" w:rsidRPr="00FD3EB9">
        <w:rPr>
          <w:b/>
          <w:bCs/>
          <w:i/>
          <w:iCs/>
          <w:lang w:val="en-GB"/>
        </w:rPr>
        <w:t>A</w:t>
      </w:r>
      <w:r w:rsidR="00A978D1" w:rsidRPr="00FD3EB9">
        <w:rPr>
          <w:b/>
          <w:bCs/>
          <w:i/>
          <w:iCs/>
          <w:vertAlign w:val="subscript"/>
          <w:lang w:val="en-GB"/>
        </w:rPr>
        <w:t>x</w:t>
      </w:r>
      <w:r w:rsidR="00ED5117" w:rsidRPr="00FD3EB9">
        <w:rPr>
          <w:lang w:val="en-GB"/>
        </w:rPr>
        <w:t xml:space="preserve"> </w:t>
      </w:r>
      <w:r w:rsidR="00A978D1" w:rsidRPr="00FD3EB9">
        <w:rPr>
          <w:lang w:val="en-GB"/>
        </w:rPr>
        <w:t>(</w:t>
      </w:r>
      <w:r w:rsidR="00ED5117" w:rsidRPr="00FD3EB9">
        <w:rPr>
          <w:lang w:val="en-GB"/>
        </w:rPr>
        <w:t xml:space="preserve">where </w:t>
      </w:r>
      <w:r w:rsidR="00A978D1" w:rsidRPr="00FD3EB9">
        <w:rPr>
          <w:i/>
          <w:iCs/>
          <w:lang w:val="en-GB"/>
        </w:rPr>
        <w:t>x</w:t>
      </w:r>
      <w:r w:rsidR="00ED5117" w:rsidRPr="00FD3EB9">
        <w:rPr>
          <w:lang w:val="en-GB"/>
        </w:rPr>
        <w:t xml:space="preserve"> ranges from 1 to </w:t>
      </w:r>
      <w:r w:rsidR="00ED5117" w:rsidRPr="00FD3EB9">
        <w:rPr>
          <w:i/>
          <w:iCs/>
          <w:lang w:val="en-GB"/>
        </w:rPr>
        <w:t>n</w:t>
      </w:r>
      <w:r w:rsidR="00A978D1" w:rsidRPr="00FD3EB9">
        <w:rPr>
          <w:lang w:val="en-GB"/>
        </w:rPr>
        <w:t>)</w:t>
      </w:r>
      <w:r w:rsidR="00ED5117" w:rsidRPr="00FD3EB9">
        <w:rPr>
          <w:lang w:val="en-GB"/>
        </w:rPr>
        <w:t xml:space="preserve"> and the centroids </w:t>
      </w:r>
      <w:r w:rsidR="00ED5117" w:rsidRPr="00FD3EB9">
        <w:rPr>
          <w:b/>
          <w:bCs/>
          <w:lang w:val="en-GB"/>
        </w:rPr>
        <w:t>C</w:t>
      </w:r>
      <w:r w:rsidR="00ED5117" w:rsidRPr="00FD3EB9">
        <w:rPr>
          <w:lang w:val="en-GB"/>
        </w:rPr>
        <w:t xml:space="preserve">, with the threshold </w:t>
      </w:r>
      <w:r w:rsidR="00ED5117" w:rsidRPr="00FD3EB9">
        <w:rPr>
          <w:b/>
          <w:bCs/>
          <w:lang w:val="en-GB"/>
        </w:rPr>
        <w:t>Z</w:t>
      </w:r>
      <w:r w:rsidR="00ED5117" w:rsidRPr="00FD3EB9">
        <w:rPr>
          <w:lang w:val="en-GB"/>
        </w:rPr>
        <w:t xml:space="preserve">. Consequently, </w:t>
      </w:r>
      <w:r w:rsidR="00A978D1" w:rsidRPr="00FD3EB9">
        <w:rPr>
          <w:lang w:val="en-GB"/>
        </w:rPr>
        <w:t>the</w:t>
      </w:r>
      <w:r w:rsidR="00ED5117" w:rsidRPr="00FD3EB9">
        <w:rPr>
          <w:lang w:val="en-GB"/>
        </w:rPr>
        <w:t xml:space="preserve"> set </w:t>
      </w:r>
      <w:r w:rsidR="00ED5117" w:rsidRPr="00FD3EB9">
        <w:rPr>
          <w:b/>
          <w:bCs/>
          <w:i/>
          <w:iCs/>
          <w:lang w:val="en-GB"/>
        </w:rPr>
        <w:t>A</w:t>
      </w:r>
      <w:r w:rsidR="00A978D1" w:rsidRPr="00FD3EB9">
        <w:rPr>
          <w:b/>
          <w:bCs/>
          <w:i/>
          <w:iCs/>
          <w:vertAlign w:val="subscript"/>
          <w:lang w:val="en-GB"/>
        </w:rPr>
        <w:t>x</w:t>
      </w:r>
      <w:r w:rsidR="00ED5117" w:rsidRPr="00FD3EB9">
        <w:rPr>
          <w:lang w:val="en-GB"/>
        </w:rPr>
        <w:t xml:space="preserve"> is considered anomalous if the following condition is met:</w:t>
      </w:r>
    </w:p>
    <w:tbl>
      <w:tblPr>
        <w:tblW w:w="5000" w:type="pct"/>
        <w:tblLook w:val="04A0" w:firstRow="1" w:lastRow="0" w:firstColumn="1" w:lastColumn="0" w:noHBand="0" w:noVBand="1"/>
      </w:tblPr>
      <w:tblGrid>
        <w:gridCol w:w="8000"/>
        <w:gridCol w:w="787"/>
      </w:tblGrid>
      <w:tr w:rsidR="00FD3EB9" w:rsidRPr="00FD3EB9" w14:paraId="4171443C" w14:textId="77777777" w:rsidTr="00036875">
        <w:tc>
          <w:tcPr>
            <w:tcW w:w="8188" w:type="dxa"/>
            <w:shd w:val="clear" w:color="auto" w:fill="auto"/>
            <w:vAlign w:val="center"/>
          </w:tcPr>
          <w:p w14:paraId="4881C4DC" w14:textId="5A9BA160" w:rsidR="00036875" w:rsidRPr="00FD3EB9" w:rsidRDefault="00000000" w:rsidP="00036875">
            <w:pPr>
              <w:pStyle w:val="CETBodytext"/>
            </w:pPr>
            <m:oMath>
              <m:d>
                <m:dPr>
                  <m:begChr m:val="|"/>
                  <m:endChr m:val="|"/>
                  <m:ctrlPr>
                    <w:rPr>
                      <w:rFonts w:ascii="Cambria Math" w:hAnsi="Cambria Math"/>
                      <w:b/>
                      <w:bCs/>
                      <w:i/>
                      <w:lang w:val="en-GB"/>
                    </w:rPr>
                  </m:ctrlPr>
                </m:dPr>
                <m:e>
                  <m:r>
                    <m:rPr>
                      <m:sty m:val="bi"/>
                    </m:rPr>
                    <w:rPr>
                      <w:rFonts w:ascii="Cambria Math" w:hAnsi="Cambria Math"/>
                      <w:lang w:val="en-GB"/>
                    </w:rPr>
                    <m:t xml:space="preserve"> </m:t>
                  </m:r>
                  <m:func>
                    <m:funcPr>
                      <m:ctrlPr>
                        <w:rPr>
                          <w:rFonts w:ascii="Cambria Math" w:hAnsi="Cambria Math"/>
                          <w:b/>
                          <w:bCs/>
                          <w:i/>
                          <w:lang w:val="en-GB"/>
                        </w:rPr>
                      </m:ctrlPr>
                    </m:funcPr>
                    <m:fName>
                      <m:limLow>
                        <m:limLowPr>
                          <m:ctrlPr>
                            <w:rPr>
                              <w:rFonts w:ascii="Cambria Math" w:hAnsi="Cambria Math"/>
                              <w:b/>
                              <w:bCs/>
                              <w:i/>
                              <w:lang w:val="en-GB"/>
                            </w:rPr>
                          </m:ctrlPr>
                        </m:limLowPr>
                        <m:e>
                          <m:r>
                            <m:rPr>
                              <m:sty m:val="b"/>
                            </m:rPr>
                            <w:rPr>
                              <w:rFonts w:ascii="Cambria Math" w:hAnsi="Cambria Math"/>
                              <w:lang w:val="en-GB"/>
                            </w:rPr>
                            <m:t>min</m:t>
                          </m:r>
                          <m:d>
                            <m:dPr>
                              <m:begChr m:val="{"/>
                              <m:endChr m:val="}"/>
                              <m:ctrlPr>
                                <w:rPr>
                                  <w:rFonts w:ascii="Cambria Math" w:hAnsi="Cambria Math"/>
                                  <w:b/>
                                  <w:lang w:val="en-GB"/>
                                </w:rPr>
                              </m:ctrlPr>
                            </m:dPr>
                            <m:e>
                              <m:f>
                                <m:fPr>
                                  <m:ctrlPr>
                                    <w:rPr>
                                      <w:rFonts w:ascii="Cambria Math" w:hAnsi="Cambria Math"/>
                                      <w:b/>
                                      <w:bCs/>
                                      <w:i/>
                                      <w:lang w:val="en-GB"/>
                                    </w:rPr>
                                  </m:ctrlPr>
                                </m:fPr>
                                <m:num>
                                  <m:r>
                                    <m:rPr>
                                      <m:sty m:val="bi"/>
                                    </m:rPr>
                                    <w:rPr>
                                      <w:rFonts w:ascii="Cambria Math" w:hAnsi="Cambria Math"/>
                                      <w:lang w:val="en-GB"/>
                                    </w:rPr>
                                    <m:t>1</m:t>
                                  </m:r>
                                </m:num>
                                <m:den>
                                  <m:r>
                                    <m:rPr>
                                      <m:sty m:val="bi"/>
                                    </m:rPr>
                                    <w:rPr>
                                      <w:rFonts w:ascii="Cambria Math" w:hAnsi="Cambria Math"/>
                                      <w:lang w:val="en-GB"/>
                                    </w:rPr>
                                    <m:t>dim</m:t>
                                  </m:r>
                                  <m:d>
                                    <m:dPr>
                                      <m:ctrlPr>
                                        <w:rPr>
                                          <w:rFonts w:ascii="Cambria Math" w:hAnsi="Cambria Math"/>
                                          <w:b/>
                                          <w:bCs/>
                                          <w:i/>
                                          <w:lang w:val="en-GB"/>
                                        </w:rPr>
                                      </m:ctrlPr>
                                    </m:dPr>
                                    <m:e>
                                      <m:sSub>
                                        <m:sSubPr>
                                          <m:ctrlPr>
                                            <w:rPr>
                                              <w:rFonts w:ascii="Cambria Math" w:hAnsi="Cambria Math"/>
                                              <w:b/>
                                              <w:bCs/>
                                              <w:i/>
                                              <w:lang w:val="en-GB"/>
                                            </w:rPr>
                                          </m:ctrlPr>
                                        </m:sSubPr>
                                        <m:e>
                                          <m:r>
                                            <m:rPr>
                                              <m:sty m:val="bi"/>
                                            </m:rPr>
                                            <w:rPr>
                                              <w:rFonts w:ascii="Cambria Math" w:hAnsi="Cambria Math"/>
                                              <w:lang w:val="en-GB"/>
                                            </w:rPr>
                                            <m:t>A</m:t>
                                          </m:r>
                                        </m:e>
                                        <m:sub>
                                          <m:r>
                                            <m:rPr>
                                              <m:sty m:val="bi"/>
                                            </m:rPr>
                                            <w:rPr>
                                              <w:rFonts w:ascii="Cambria Math" w:hAnsi="Cambria Math"/>
                                              <w:lang w:val="en-GB"/>
                                            </w:rPr>
                                            <m:t>x</m:t>
                                          </m:r>
                                        </m:sub>
                                      </m:sSub>
                                    </m:e>
                                  </m:d>
                                </m:den>
                              </m:f>
                              <m:r>
                                <m:rPr>
                                  <m:sty m:val="bi"/>
                                </m:rPr>
                                <w:rPr>
                                  <w:rFonts w:ascii="Cambria Math" w:hAnsi="Cambria Math"/>
                                  <w:lang w:val="en-GB"/>
                                </w:rPr>
                                <m:t>×</m:t>
                              </m:r>
                              <m:nary>
                                <m:naryPr>
                                  <m:chr m:val="∑"/>
                                  <m:limLoc m:val="undOvr"/>
                                  <m:ctrlPr>
                                    <w:rPr>
                                      <w:rFonts w:ascii="Cambria Math" w:hAnsi="Cambria Math"/>
                                      <w:b/>
                                      <w:bCs/>
                                      <w:i/>
                                      <w:lang w:val="en-GB"/>
                                    </w:rPr>
                                  </m:ctrlPr>
                                </m:naryPr>
                                <m:sub>
                                  <m:r>
                                    <m:rPr>
                                      <m:sty m:val="bi"/>
                                    </m:rPr>
                                    <w:rPr>
                                      <w:rFonts w:ascii="Cambria Math" w:hAnsi="Cambria Math"/>
                                      <w:lang w:val="en-GB"/>
                                    </w:rPr>
                                    <m:t>h=1</m:t>
                                  </m:r>
                                </m:sub>
                                <m:sup>
                                  <m:r>
                                    <m:rPr>
                                      <m:sty m:val="bi"/>
                                    </m:rPr>
                                    <w:rPr>
                                      <w:rFonts w:ascii="Cambria Math" w:hAnsi="Cambria Math"/>
                                      <w:lang w:val="en-GB"/>
                                    </w:rPr>
                                    <m:t>dim(</m:t>
                                  </m:r>
                                  <m:sSub>
                                    <m:sSubPr>
                                      <m:ctrlPr>
                                        <w:rPr>
                                          <w:rFonts w:ascii="Cambria Math" w:hAnsi="Cambria Math"/>
                                          <w:b/>
                                          <w:bCs/>
                                          <w:i/>
                                          <w:lang w:val="en-GB"/>
                                        </w:rPr>
                                      </m:ctrlPr>
                                    </m:sSubPr>
                                    <m:e>
                                      <m:r>
                                        <m:rPr>
                                          <m:sty m:val="bi"/>
                                        </m:rPr>
                                        <w:rPr>
                                          <w:rFonts w:ascii="Cambria Math" w:hAnsi="Cambria Math"/>
                                          <w:lang w:val="en-GB"/>
                                        </w:rPr>
                                        <m:t>A</m:t>
                                      </m:r>
                                    </m:e>
                                    <m:sub>
                                      <m:r>
                                        <m:rPr>
                                          <m:sty m:val="bi"/>
                                        </m:rPr>
                                        <w:rPr>
                                          <w:rFonts w:ascii="Cambria Math" w:hAnsi="Cambria Math"/>
                                          <w:lang w:val="en-GB"/>
                                        </w:rPr>
                                        <m:t>x</m:t>
                                      </m:r>
                                    </m:sub>
                                  </m:sSub>
                                  <m:r>
                                    <m:rPr>
                                      <m:sty m:val="bi"/>
                                    </m:rPr>
                                    <w:rPr>
                                      <w:rFonts w:ascii="Cambria Math" w:hAnsi="Cambria Math"/>
                                      <w:lang w:val="en-GB"/>
                                    </w:rPr>
                                    <m:t>)</m:t>
                                  </m:r>
                                </m:sup>
                                <m:e>
                                  <m:d>
                                    <m:dPr>
                                      <m:begChr m:val="|"/>
                                      <m:endChr m:val="|"/>
                                      <m:ctrlPr>
                                        <w:rPr>
                                          <w:rFonts w:ascii="Cambria Math" w:hAnsi="Cambria Math"/>
                                          <w:b/>
                                          <w:bCs/>
                                          <w:i/>
                                          <w:lang w:val="en-GB"/>
                                        </w:rPr>
                                      </m:ctrlPr>
                                    </m:dPr>
                                    <m:e>
                                      <m:sSub>
                                        <m:sSubPr>
                                          <m:ctrlPr>
                                            <w:rPr>
                                              <w:rFonts w:ascii="Cambria Math" w:hAnsi="Cambria Math"/>
                                              <w:b/>
                                              <w:bCs/>
                                              <w:i/>
                                              <w:lang w:val="en-GB"/>
                                            </w:rPr>
                                          </m:ctrlPr>
                                        </m:sSubPr>
                                        <m:e>
                                          <m:r>
                                            <m:rPr>
                                              <m:sty m:val="bi"/>
                                            </m:rPr>
                                            <w:rPr>
                                              <w:rFonts w:ascii="Cambria Math" w:hAnsi="Cambria Math"/>
                                              <w:lang w:val="en-GB"/>
                                            </w:rPr>
                                            <m:t>s</m:t>
                                          </m:r>
                                        </m:e>
                                        <m:sub>
                                          <m:r>
                                            <m:rPr>
                                              <m:sty m:val="bi"/>
                                            </m:rPr>
                                            <w:rPr>
                                              <w:rFonts w:ascii="Cambria Math" w:hAnsi="Cambria Math"/>
                                              <w:lang w:val="en-GB"/>
                                            </w:rPr>
                                            <m:t>h</m:t>
                                          </m:r>
                                        </m:sub>
                                      </m:sSub>
                                      <m:r>
                                        <m:rPr>
                                          <m:sty m:val="bi"/>
                                        </m:rPr>
                                        <w:rPr>
                                          <w:rFonts w:ascii="Cambria Math" w:hAnsi="Cambria Math"/>
                                          <w:lang w:val="en-GB"/>
                                        </w:rPr>
                                        <m:t>-</m:t>
                                      </m:r>
                                      <m:sSub>
                                        <m:sSubPr>
                                          <m:ctrlPr>
                                            <w:rPr>
                                              <w:rFonts w:ascii="Cambria Math" w:hAnsi="Cambria Math"/>
                                              <w:b/>
                                              <w:bCs/>
                                              <w:i/>
                                              <w:lang w:val="en-GB"/>
                                            </w:rPr>
                                          </m:ctrlPr>
                                        </m:sSubPr>
                                        <m:e>
                                          <m:r>
                                            <m:rPr>
                                              <m:sty m:val="bi"/>
                                            </m:rPr>
                                            <w:rPr>
                                              <w:rFonts w:ascii="Cambria Math" w:hAnsi="Cambria Math"/>
                                              <w:lang w:val="en-GB"/>
                                            </w:rPr>
                                            <m:t>c</m:t>
                                          </m:r>
                                        </m:e>
                                        <m:sub>
                                          <m:r>
                                            <m:rPr>
                                              <m:sty m:val="bi"/>
                                            </m:rPr>
                                            <w:rPr>
                                              <w:rFonts w:ascii="Cambria Math" w:hAnsi="Cambria Math"/>
                                              <w:lang w:val="en-GB"/>
                                            </w:rPr>
                                            <m:t>j</m:t>
                                          </m:r>
                                        </m:sub>
                                      </m:sSub>
                                    </m:e>
                                  </m:d>
                                  <m:r>
                                    <m:rPr>
                                      <m:sty m:val="bi"/>
                                    </m:rPr>
                                    <w:rPr>
                                      <w:rFonts w:ascii="Cambria Math" w:hAnsi="Cambria Math"/>
                                      <w:lang w:val="en-GB"/>
                                    </w:rPr>
                                    <m:t xml:space="preserve"> : </m:t>
                                  </m:r>
                                  <m:sSub>
                                    <m:sSubPr>
                                      <m:ctrlPr>
                                        <w:rPr>
                                          <w:rFonts w:ascii="Cambria Math" w:hAnsi="Cambria Math"/>
                                          <w:b/>
                                          <w:bCs/>
                                          <w:i/>
                                          <w:lang w:val="en-GB"/>
                                        </w:rPr>
                                      </m:ctrlPr>
                                    </m:sSubPr>
                                    <m:e>
                                      <m:r>
                                        <m:rPr>
                                          <m:sty m:val="bi"/>
                                        </m:rPr>
                                        <w:rPr>
                                          <w:rFonts w:ascii="Cambria Math" w:hAnsi="Cambria Math"/>
                                          <w:lang w:val="en-GB"/>
                                        </w:rPr>
                                        <m:t>s</m:t>
                                      </m:r>
                                    </m:e>
                                    <m:sub>
                                      <m:r>
                                        <m:rPr>
                                          <m:sty m:val="bi"/>
                                        </m:rPr>
                                        <w:rPr>
                                          <w:rFonts w:ascii="Cambria Math" w:hAnsi="Cambria Math"/>
                                          <w:lang w:val="en-GB"/>
                                        </w:rPr>
                                        <m:t>h</m:t>
                                      </m:r>
                                    </m:sub>
                                  </m:sSub>
                                  <m:r>
                                    <m:rPr>
                                      <m:sty m:val="bi"/>
                                    </m:rPr>
                                    <w:rPr>
                                      <w:rFonts w:ascii="Cambria Math" w:hAnsi="Cambria Math"/>
                                      <w:lang w:val="en-GB"/>
                                    </w:rPr>
                                    <m:t>∈</m:t>
                                  </m:r>
                                  <m:sSub>
                                    <m:sSubPr>
                                      <m:ctrlPr>
                                        <w:rPr>
                                          <w:rFonts w:ascii="Cambria Math" w:hAnsi="Cambria Math"/>
                                          <w:b/>
                                          <w:bCs/>
                                          <w:i/>
                                          <w:lang w:val="en-GB"/>
                                        </w:rPr>
                                      </m:ctrlPr>
                                    </m:sSubPr>
                                    <m:e>
                                      <m:r>
                                        <m:rPr>
                                          <m:sty m:val="bi"/>
                                        </m:rPr>
                                        <w:rPr>
                                          <w:rFonts w:ascii="Cambria Math" w:hAnsi="Cambria Math"/>
                                          <w:lang w:val="en-GB"/>
                                        </w:rPr>
                                        <m:t>A</m:t>
                                      </m:r>
                                    </m:e>
                                    <m:sub>
                                      <m:r>
                                        <m:rPr>
                                          <m:sty m:val="bi"/>
                                        </m:rPr>
                                        <w:rPr>
                                          <w:rFonts w:ascii="Cambria Math" w:hAnsi="Cambria Math"/>
                                          <w:lang w:val="en-GB"/>
                                        </w:rPr>
                                        <m:t>x</m:t>
                                      </m:r>
                                    </m:sub>
                                  </m:sSub>
                                  <m:r>
                                    <m:rPr>
                                      <m:sty m:val="bi"/>
                                    </m:rPr>
                                    <w:rPr>
                                      <w:rFonts w:ascii="Cambria Math" w:hAnsi="Cambria Math"/>
                                      <w:lang w:val="en-GB"/>
                                    </w:rPr>
                                    <m:t xml:space="preserve"> ; </m:t>
                                  </m:r>
                                  <m:sSub>
                                    <m:sSubPr>
                                      <m:ctrlPr>
                                        <w:rPr>
                                          <w:rFonts w:ascii="Cambria Math" w:hAnsi="Cambria Math"/>
                                          <w:b/>
                                          <w:bCs/>
                                          <w:i/>
                                          <w:lang w:val="en-GB"/>
                                        </w:rPr>
                                      </m:ctrlPr>
                                    </m:sSubPr>
                                    <m:e>
                                      <m:r>
                                        <m:rPr>
                                          <m:sty m:val="bi"/>
                                        </m:rPr>
                                        <w:rPr>
                                          <w:rFonts w:ascii="Cambria Math" w:hAnsi="Cambria Math"/>
                                          <w:lang w:val="en-GB"/>
                                        </w:rPr>
                                        <m:t>c</m:t>
                                      </m:r>
                                    </m:e>
                                    <m:sub>
                                      <m:r>
                                        <m:rPr>
                                          <m:sty m:val="bi"/>
                                        </m:rPr>
                                        <w:rPr>
                                          <w:rFonts w:ascii="Cambria Math" w:hAnsi="Cambria Math"/>
                                          <w:lang w:val="en-GB"/>
                                        </w:rPr>
                                        <m:t>j</m:t>
                                      </m:r>
                                    </m:sub>
                                  </m:sSub>
                                  <m:r>
                                    <m:rPr>
                                      <m:sty m:val="bi"/>
                                    </m:rPr>
                                    <w:rPr>
                                      <w:rFonts w:ascii="Cambria Math" w:hAnsi="Cambria Math"/>
                                      <w:lang w:val="en-GB"/>
                                    </w:rPr>
                                    <m:t>∈C</m:t>
                                  </m:r>
                                </m:e>
                              </m:nary>
                              <m:r>
                                <m:rPr>
                                  <m:sty m:val="bi"/>
                                </m:rPr>
                                <w:rPr>
                                  <w:rFonts w:ascii="Cambria Math" w:hAnsi="Cambria Math"/>
                                  <w:lang w:val="en-GB"/>
                                </w:rPr>
                                <m:t xml:space="preserve"> ; j=1⋯m  </m:t>
                              </m:r>
                            </m:e>
                          </m:d>
                        </m:e>
                        <m:lim/>
                      </m:limLow>
                    </m:fName>
                    <m:e>
                      <m:r>
                        <m:rPr>
                          <m:sty m:val="bi"/>
                        </m:rPr>
                        <w:rPr>
                          <w:rFonts w:ascii="Cambria Math" w:hAnsi="Cambria Math"/>
                          <w:lang w:val="en-GB"/>
                        </w:rPr>
                        <m:t xml:space="preserve"> </m:t>
                      </m:r>
                    </m:e>
                  </m:func>
                </m:e>
              </m:d>
              <m:r>
                <m:rPr>
                  <m:sty m:val="bi"/>
                </m:rPr>
                <w:rPr>
                  <w:rFonts w:ascii="Cambria Math" w:hAnsi="Cambria Math"/>
                  <w:lang w:val="en-GB"/>
                </w:rPr>
                <m:t>&gt;Z</m:t>
              </m:r>
            </m:oMath>
            <w:r w:rsidR="00036875" w:rsidRPr="00FD3EB9">
              <w:rPr>
                <w:lang w:val="en-GB"/>
              </w:rPr>
              <w:t xml:space="preserve"> </w:t>
            </w:r>
          </w:p>
        </w:tc>
        <w:tc>
          <w:tcPr>
            <w:tcW w:w="815" w:type="dxa"/>
            <w:shd w:val="clear" w:color="auto" w:fill="auto"/>
            <w:vAlign w:val="center"/>
          </w:tcPr>
          <w:p w14:paraId="356A1340" w14:textId="4480CA05" w:rsidR="00036875" w:rsidRPr="00FD3EB9" w:rsidRDefault="00036875" w:rsidP="009B7825">
            <w:pPr>
              <w:pStyle w:val="CETEquation"/>
              <w:jc w:val="right"/>
            </w:pPr>
            <w:r w:rsidRPr="00FD3EB9">
              <w:t>(</w:t>
            </w:r>
            <w:r w:rsidR="002402ED" w:rsidRPr="00FD3EB9">
              <w:t>2</w:t>
            </w:r>
            <w:r w:rsidRPr="00FD3EB9">
              <w:t>)</w:t>
            </w:r>
          </w:p>
        </w:tc>
      </w:tr>
    </w:tbl>
    <w:p w14:paraId="0EEB6111" w14:textId="215C2F70" w:rsidR="00080D3B" w:rsidRPr="00FD3EB9" w:rsidRDefault="00080D3B" w:rsidP="006A5CEE">
      <w:pPr>
        <w:pStyle w:val="CETBodytext"/>
        <w:rPr>
          <w:lang w:val="en-GB"/>
        </w:rPr>
      </w:pPr>
      <w:r w:rsidRPr="00FD3EB9">
        <w:rPr>
          <w:lang w:val="en-GB"/>
        </w:rPr>
        <w:t>Subsequently, the set of</w:t>
      </w:r>
      <w:r w:rsidR="00EB3C5E" w:rsidRPr="00FD3EB9">
        <w:rPr>
          <w:lang w:val="en-GB"/>
        </w:rPr>
        <w:t xml:space="preserve"> </w:t>
      </w:r>
      <w:r w:rsidR="00EB3C5E" w:rsidRPr="00FD3EB9">
        <w:rPr>
          <w:b/>
          <w:bCs/>
          <w:lang w:val="en-GB"/>
        </w:rPr>
        <w:t>A</w:t>
      </w:r>
      <w:r w:rsidRPr="00FD3EB9">
        <w:rPr>
          <w:lang w:val="en-GB"/>
        </w:rPr>
        <w:t xml:space="preserve"> </w:t>
      </w:r>
      <w:r w:rsidR="002124A6" w:rsidRPr="00FD3EB9">
        <w:rPr>
          <w:lang w:val="en-GB"/>
        </w:rPr>
        <w:t>elements</w:t>
      </w:r>
      <w:r w:rsidRPr="00FD3EB9">
        <w:rPr>
          <w:lang w:val="en-GB"/>
        </w:rPr>
        <w:t>, excluding those identified as anomalous, is employed to update the model</w:t>
      </w:r>
      <w:r w:rsidR="00570015" w:rsidRPr="00FD3EB9">
        <w:rPr>
          <w:lang w:val="en-GB"/>
        </w:rPr>
        <w:t xml:space="preserve"> </w:t>
      </w:r>
      <w:r w:rsidR="00EB3C5E" w:rsidRPr="00FD3EB9">
        <w:rPr>
          <w:b/>
          <w:bCs/>
          <w:lang w:val="en-GB"/>
        </w:rPr>
        <w:t>M</w:t>
      </w:r>
      <w:r w:rsidRPr="00FD3EB9">
        <w:rPr>
          <w:lang w:val="en-GB"/>
        </w:rPr>
        <w:t>.</w:t>
      </w:r>
    </w:p>
    <w:p w14:paraId="24FB222B" w14:textId="2C5F7EE6" w:rsidR="002124A6" w:rsidRPr="002124A6" w:rsidRDefault="002E5BCA" w:rsidP="002E5BCA">
      <w:pPr>
        <w:pStyle w:val="CETHeading1"/>
        <w:numPr>
          <w:ilvl w:val="1"/>
          <w:numId w:val="24"/>
        </w:numPr>
        <w:tabs>
          <w:tab w:val="left" w:pos="360"/>
        </w:tabs>
      </w:pPr>
      <w:r>
        <w:t>Case Study</w:t>
      </w:r>
    </w:p>
    <w:p w14:paraId="4AA77460" w14:textId="3F9AA662" w:rsidR="00A668DA" w:rsidRDefault="00BB25D1" w:rsidP="00A668DA">
      <w:pPr>
        <w:pStyle w:val="CETBodytext"/>
        <w:rPr>
          <w:lang w:val="en-GB"/>
        </w:rPr>
      </w:pPr>
      <w:r w:rsidRPr="00BB25D1">
        <w:rPr>
          <w:lang w:val="en-GB"/>
        </w:rPr>
        <w:t>To validating the data mining methodology outlined in Section 2.2, this study examines the case of engine telemetry monitoring fro</w:t>
      </w:r>
      <w:r w:rsidR="00C74C10">
        <w:rPr>
          <w:lang w:val="en-GB"/>
        </w:rPr>
        <w:t xml:space="preserve">m a Comet </w:t>
      </w:r>
      <w:proofErr w:type="spellStart"/>
      <w:r w:rsidR="00C74C10">
        <w:rPr>
          <w:lang w:val="en-GB"/>
        </w:rPr>
        <w:t>S.r.l</w:t>
      </w:r>
      <w:proofErr w:type="spellEnd"/>
      <w:r w:rsidR="00C74C10">
        <w:rPr>
          <w:lang w:val="en-GB"/>
        </w:rPr>
        <w:t>. terminal truck,</w:t>
      </w:r>
      <w:r w:rsidRPr="00BB25D1">
        <w:rPr>
          <w:lang w:val="en-GB"/>
        </w:rPr>
        <w:t xml:space="preserve"> </w:t>
      </w:r>
      <w:r w:rsidR="00C74C10">
        <w:rPr>
          <w:lang w:val="en-GB"/>
        </w:rPr>
        <w:t>by a</w:t>
      </w:r>
      <w:r w:rsidRPr="00BB25D1">
        <w:rPr>
          <w:lang w:val="en-GB"/>
        </w:rPr>
        <w:t xml:space="preserve"> prototype of </w:t>
      </w:r>
      <w:r w:rsidR="006E3739">
        <w:rPr>
          <w:lang w:val="en-GB"/>
        </w:rPr>
        <w:t>MS</w:t>
      </w:r>
      <w:r w:rsidRPr="00BB25D1">
        <w:rPr>
          <w:lang w:val="en-GB"/>
        </w:rPr>
        <w:t xml:space="preserve"> deployed on the vehicle.</w:t>
      </w:r>
      <w:r w:rsidR="00C74C10">
        <w:rPr>
          <w:lang w:val="en-GB"/>
        </w:rPr>
        <w:t xml:space="preserve"> </w:t>
      </w:r>
      <w:r w:rsidRPr="00BB25D1">
        <w:rPr>
          <w:lang w:val="en-GB"/>
        </w:rPr>
        <w:t xml:space="preserve">During normal vehicle operation, the MS was configured to collect data from the Intake Air Temperature (IAT) sensor. The IAT measures the temperature of the air entering the intake system of an internal combustion engine, a critical parameter for controlling combustion and optimizing engine efficiency. In a turbocharged engine equipped with an intercooler, such as the one in the monitored vehicle, the intake air temperature typically ranges from 20°C to </w:t>
      </w:r>
      <w:r>
        <w:rPr>
          <w:lang w:val="en-GB"/>
        </w:rPr>
        <w:t>6</w:t>
      </w:r>
      <w:r w:rsidRPr="00BB25D1">
        <w:rPr>
          <w:lang w:val="en-GB"/>
        </w:rPr>
        <w:t>0°C</w:t>
      </w:r>
      <w:r>
        <w:rPr>
          <w:lang w:val="en-GB"/>
        </w:rPr>
        <w:t>.</w:t>
      </w:r>
      <w:r w:rsidR="00C74C10">
        <w:rPr>
          <w:lang w:val="en-GB"/>
        </w:rPr>
        <w:t xml:space="preserve"> </w:t>
      </w:r>
      <w:r w:rsidRPr="00BB25D1">
        <w:rPr>
          <w:lang w:val="en-GB"/>
        </w:rPr>
        <w:t xml:space="preserve">The acquired dataset was partitioned into two subsets: one for model training and the other </w:t>
      </w:r>
      <w:r w:rsidR="002124A6">
        <w:rPr>
          <w:lang w:val="en-GB"/>
        </w:rPr>
        <w:t xml:space="preserve">one </w:t>
      </w:r>
      <w:r w:rsidRPr="00BB25D1">
        <w:rPr>
          <w:lang w:val="en-GB"/>
        </w:rPr>
        <w:t>for validation</w:t>
      </w:r>
      <w:r w:rsidR="00ED0945">
        <w:rPr>
          <w:lang w:val="en-GB"/>
        </w:rPr>
        <w:t xml:space="preserve">. </w:t>
      </w:r>
      <w:r w:rsidR="004818E2" w:rsidRPr="004818E2">
        <w:rPr>
          <w:lang w:val="en-GB"/>
        </w:rPr>
        <w:t xml:space="preserve">For each signal in the dataset, the parameters listed in Table 1 were calculated. </w:t>
      </w:r>
      <w:r w:rsidR="004818E2" w:rsidRPr="004818E2">
        <w:rPr>
          <w:lang w:val="en-GB"/>
        </w:rPr>
        <w:lastRenderedPageBreak/>
        <w:t>Subsequently, a subset of independent features was selected for the clustering phase, using the correlation matri</w:t>
      </w:r>
      <w:r w:rsidR="00BF4744">
        <w:rPr>
          <w:lang w:val="en-GB"/>
        </w:rPr>
        <w:t>x of all calculated parameters.</w:t>
      </w:r>
    </w:p>
    <w:p w14:paraId="4694AB10" w14:textId="77777777" w:rsidR="00931EE1" w:rsidRDefault="00931EE1" w:rsidP="00A668DA">
      <w:pPr>
        <w:pStyle w:val="CETBodytext"/>
        <w:rPr>
          <w:lang w:val="en-GB"/>
        </w:rPr>
      </w:pPr>
    </w:p>
    <w:p w14:paraId="1F751E3F" w14:textId="0DFB7449" w:rsidR="002C64C5" w:rsidRPr="000B26A5" w:rsidRDefault="002C64C5" w:rsidP="00A668DA">
      <w:pPr>
        <w:pStyle w:val="CETBodytext"/>
        <w:rPr>
          <w:i/>
          <w:iCs/>
        </w:rPr>
      </w:pPr>
      <w:r w:rsidRPr="000B26A5">
        <w:rPr>
          <w:i/>
          <w:iCs/>
        </w:rPr>
        <w:t xml:space="preserve">Table 1: </w:t>
      </w:r>
      <w:r w:rsidR="00793156" w:rsidRPr="000B26A5">
        <w:rPr>
          <w:i/>
          <w:iCs/>
        </w:rPr>
        <w:t>Features</w:t>
      </w:r>
      <w:r w:rsidR="00C30ADC" w:rsidRPr="000B26A5">
        <w:rPr>
          <w:i/>
          <w:iCs/>
        </w:rPr>
        <w:t xml:space="preserve"> and formulas for dataset signals</w:t>
      </w:r>
    </w:p>
    <w:tbl>
      <w:tblPr>
        <w:tblW w:w="0" w:type="auto"/>
        <w:tblBorders>
          <w:top w:val="single" w:sz="12" w:space="0" w:color="008000"/>
          <w:bottom w:val="single" w:sz="4" w:space="0" w:color="auto"/>
        </w:tblBorders>
        <w:shd w:val="clear" w:color="auto" w:fill="FFFFFF"/>
        <w:tblCellMar>
          <w:left w:w="0" w:type="dxa"/>
          <w:right w:w="0" w:type="dxa"/>
        </w:tblCellMar>
        <w:tblLook w:val="00A0" w:firstRow="1" w:lastRow="0" w:firstColumn="1" w:lastColumn="0" w:noHBand="0" w:noVBand="0"/>
      </w:tblPr>
      <w:tblGrid>
        <w:gridCol w:w="1134"/>
        <w:gridCol w:w="1276"/>
        <w:gridCol w:w="1559"/>
        <w:gridCol w:w="1843"/>
        <w:gridCol w:w="1276"/>
        <w:gridCol w:w="1699"/>
      </w:tblGrid>
      <w:tr w:rsidR="001F621E" w:rsidRPr="00B57B36" w14:paraId="0F4B5FA8" w14:textId="5C3273A9" w:rsidTr="00B0574B">
        <w:trPr>
          <w:trHeight w:val="260"/>
        </w:trPr>
        <w:tc>
          <w:tcPr>
            <w:tcW w:w="1134" w:type="dxa"/>
            <w:tcBorders>
              <w:top w:val="single" w:sz="12" w:space="0" w:color="008000"/>
              <w:bottom w:val="single" w:sz="4" w:space="0" w:color="auto"/>
            </w:tcBorders>
            <w:shd w:val="clear" w:color="auto" w:fill="FFFFFF"/>
          </w:tcPr>
          <w:p w14:paraId="6B162483" w14:textId="78E5E0DA" w:rsidR="001F621E" w:rsidRPr="00B57B36" w:rsidRDefault="001F621E" w:rsidP="009C0464">
            <w:pPr>
              <w:pStyle w:val="CETBodytext"/>
              <w:rPr>
                <w:lang w:val="en-GB"/>
              </w:rPr>
            </w:pPr>
            <w:r>
              <w:rPr>
                <w:lang w:val="en-GB"/>
              </w:rPr>
              <w:t>Feature</w:t>
            </w:r>
            <w:r w:rsidRPr="00B57B36">
              <w:rPr>
                <w:lang w:val="en-GB"/>
              </w:rPr>
              <w:t xml:space="preserve"> </w:t>
            </w:r>
          </w:p>
        </w:tc>
        <w:tc>
          <w:tcPr>
            <w:tcW w:w="1276" w:type="dxa"/>
            <w:tcBorders>
              <w:top w:val="single" w:sz="12" w:space="0" w:color="008000"/>
              <w:bottom w:val="single" w:sz="4" w:space="0" w:color="auto"/>
            </w:tcBorders>
            <w:shd w:val="clear" w:color="auto" w:fill="FFFFFF"/>
          </w:tcPr>
          <w:p w14:paraId="4B839652" w14:textId="61654EB9" w:rsidR="001F621E" w:rsidRPr="00B57B36" w:rsidRDefault="001F621E" w:rsidP="009C0464">
            <w:pPr>
              <w:pStyle w:val="CETBodytext"/>
              <w:rPr>
                <w:lang w:val="en-GB"/>
              </w:rPr>
            </w:pPr>
            <w:r>
              <w:rPr>
                <w:lang w:val="en-GB"/>
              </w:rPr>
              <w:t>Formula</w:t>
            </w:r>
          </w:p>
        </w:tc>
        <w:tc>
          <w:tcPr>
            <w:tcW w:w="1559" w:type="dxa"/>
            <w:tcBorders>
              <w:top w:val="single" w:sz="12" w:space="0" w:color="008000"/>
              <w:bottom w:val="single" w:sz="4" w:space="0" w:color="auto"/>
            </w:tcBorders>
            <w:shd w:val="clear" w:color="auto" w:fill="FFFFFF"/>
          </w:tcPr>
          <w:p w14:paraId="122AB4D0" w14:textId="00E651DB" w:rsidR="001F621E" w:rsidRPr="00B57B36" w:rsidRDefault="001F621E" w:rsidP="002C64C5">
            <w:pPr>
              <w:pStyle w:val="CETBodytext"/>
              <w:rPr>
                <w:lang w:val="en-GB"/>
              </w:rPr>
            </w:pPr>
            <w:r>
              <w:rPr>
                <w:lang w:val="en-GB"/>
              </w:rPr>
              <w:t>Feature</w:t>
            </w:r>
            <w:r w:rsidRPr="00B57B36">
              <w:rPr>
                <w:lang w:val="en-GB"/>
              </w:rPr>
              <w:t xml:space="preserve"> </w:t>
            </w:r>
          </w:p>
        </w:tc>
        <w:tc>
          <w:tcPr>
            <w:tcW w:w="1843" w:type="dxa"/>
            <w:tcBorders>
              <w:top w:val="single" w:sz="12" w:space="0" w:color="008000"/>
              <w:bottom w:val="single" w:sz="4" w:space="0" w:color="auto"/>
            </w:tcBorders>
            <w:shd w:val="clear" w:color="auto" w:fill="FFFFFF"/>
          </w:tcPr>
          <w:p w14:paraId="0B674E0E" w14:textId="5E469BDC" w:rsidR="001F621E" w:rsidRPr="00B57B36" w:rsidRDefault="001F621E" w:rsidP="009C0464">
            <w:pPr>
              <w:pStyle w:val="CETBodytext"/>
              <w:ind w:right="-1"/>
              <w:rPr>
                <w:rFonts w:cs="Arial"/>
                <w:szCs w:val="18"/>
                <w:lang w:val="en-GB"/>
              </w:rPr>
            </w:pPr>
            <w:r>
              <w:rPr>
                <w:rFonts w:cs="Arial"/>
                <w:szCs w:val="18"/>
                <w:lang w:val="en-GB"/>
              </w:rPr>
              <w:t>Formula</w:t>
            </w:r>
          </w:p>
        </w:tc>
        <w:tc>
          <w:tcPr>
            <w:tcW w:w="1276" w:type="dxa"/>
            <w:tcBorders>
              <w:top w:val="single" w:sz="12" w:space="0" w:color="008000"/>
              <w:bottom w:val="single" w:sz="4" w:space="0" w:color="auto"/>
            </w:tcBorders>
            <w:shd w:val="clear" w:color="auto" w:fill="FFFFFF"/>
          </w:tcPr>
          <w:p w14:paraId="1C038E17" w14:textId="42681481" w:rsidR="001F621E" w:rsidRDefault="001F621E" w:rsidP="009C0464">
            <w:pPr>
              <w:pStyle w:val="CETBodytext"/>
              <w:ind w:right="-1"/>
              <w:rPr>
                <w:rFonts w:cs="Arial"/>
                <w:szCs w:val="18"/>
                <w:lang w:val="en-GB"/>
              </w:rPr>
            </w:pPr>
            <w:r>
              <w:rPr>
                <w:rFonts w:cs="Arial"/>
                <w:szCs w:val="18"/>
                <w:lang w:val="en-GB"/>
              </w:rPr>
              <w:t>Feature</w:t>
            </w:r>
          </w:p>
        </w:tc>
        <w:tc>
          <w:tcPr>
            <w:tcW w:w="1699" w:type="dxa"/>
            <w:tcBorders>
              <w:top w:val="single" w:sz="12" w:space="0" w:color="008000"/>
              <w:bottom w:val="single" w:sz="4" w:space="0" w:color="auto"/>
            </w:tcBorders>
            <w:shd w:val="clear" w:color="auto" w:fill="FFFFFF"/>
          </w:tcPr>
          <w:p w14:paraId="168C08EB" w14:textId="06E3DDBB" w:rsidR="001F621E" w:rsidRDefault="001F621E" w:rsidP="009C0464">
            <w:pPr>
              <w:pStyle w:val="CETBodytext"/>
              <w:ind w:right="-1"/>
              <w:rPr>
                <w:rFonts w:cs="Arial"/>
                <w:szCs w:val="18"/>
                <w:lang w:val="en-GB"/>
              </w:rPr>
            </w:pPr>
            <w:r>
              <w:rPr>
                <w:rFonts w:cs="Arial"/>
                <w:szCs w:val="18"/>
                <w:lang w:val="en-GB"/>
              </w:rPr>
              <w:t>Formula</w:t>
            </w:r>
          </w:p>
        </w:tc>
      </w:tr>
      <w:tr w:rsidR="001F621E" w:rsidRPr="00B57B36" w14:paraId="3C5E51FF" w14:textId="153ECFC7" w:rsidTr="00B0574B">
        <w:trPr>
          <w:trHeight w:val="778"/>
        </w:trPr>
        <w:tc>
          <w:tcPr>
            <w:tcW w:w="1134" w:type="dxa"/>
            <w:tcBorders>
              <w:top w:val="single" w:sz="4" w:space="0" w:color="auto"/>
            </w:tcBorders>
            <w:shd w:val="clear" w:color="auto" w:fill="FFFFFF"/>
          </w:tcPr>
          <w:p w14:paraId="59A1689A" w14:textId="52C8AB7D" w:rsidR="001F621E" w:rsidRPr="00B0574B" w:rsidRDefault="001F621E" w:rsidP="002C64C5">
            <w:pPr>
              <w:pStyle w:val="CETBodytext"/>
              <w:rPr>
                <w:i/>
                <w:iCs/>
                <w:lang w:val="en-GB"/>
              </w:rPr>
            </w:pPr>
            <w:r w:rsidRPr="00B0574B">
              <w:rPr>
                <w:i/>
                <w:iCs/>
                <w:lang w:val="en-GB"/>
              </w:rPr>
              <w:t>Mean</w:t>
            </w:r>
          </w:p>
        </w:tc>
        <w:tc>
          <w:tcPr>
            <w:tcW w:w="1276" w:type="dxa"/>
            <w:tcBorders>
              <w:top w:val="single" w:sz="4" w:space="0" w:color="auto"/>
            </w:tcBorders>
            <w:shd w:val="clear" w:color="auto" w:fill="FFFFFF"/>
          </w:tcPr>
          <w:p w14:paraId="2036BB1B" w14:textId="48A490D0" w:rsidR="001F621E" w:rsidRPr="00B57B36" w:rsidRDefault="00000000" w:rsidP="002C64C5">
            <w:pPr>
              <w:pStyle w:val="CETBodytext"/>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e>
                </m:nary>
              </m:oMath>
            </m:oMathPara>
          </w:p>
        </w:tc>
        <w:tc>
          <w:tcPr>
            <w:tcW w:w="1559" w:type="dxa"/>
            <w:tcBorders>
              <w:top w:val="single" w:sz="4" w:space="0" w:color="auto"/>
            </w:tcBorders>
            <w:shd w:val="clear" w:color="auto" w:fill="FFFFFF"/>
          </w:tcPr>
          <w:p w14:paraId="6EB4C882" w14:textId="40655D97" w:rsidR="001F621E" w:rsidRPr="00B0574B" w:rsidRDefault="001F621E" w:rsidP="002C64C5">
            <w:pPr>
              <w:pStyle w:val="CETBodytext"/>
              <w:rPr>
                <w:i/>
                <w:iCs/>
                <w:lang w:val="en-GB"/>
              </w:rPr>
            </w:pPr>
            <w:r w:rsidRPr="00B0574B">
              <w:rPr>
                <w:i/>
                <w:iCs/>
                <w:lang w:val="en-GB"/>
              </w:rPr>
              <w:t>RMS</w:t>
            </w:r>
          </w:p>
        </w:tc>
        <w:tc>
          <w:tcPr>
            <w:tcW w:w="1843" w:type="dxa"/>
            <w:tcBorders>
              <w:top w:val="single" w:sz="4" w:space="0" w:color="auto"/>
            </w:tcBorders>
            <w:shd w:val="clear" w:color="auto" w:fill="FFFFFF"/>
          </w:tcPr>
          <w:p w14:paraId="287D0AEE" w14:textId="496FFAA3" w:rsidR="001F621E" w:rsidRPr="00B57B36" w:rsidRDefault="00000000" w:rsidP="002C64C5">
            <w:pPr>
              <w:pStyle w:val="CETBodytext"/>
              <w:ind w:right="-1"/>
              <w:rPr>
                <w:rFonts w:cs="Arial"/>
                <w:szCs w:val="18"/>
                <w:lang w:val="en-GB"/>
              </w:rPr>
            </w:pPr>
            <m:oMathPara>
              <m:oMath>
                <m:rad>
                  <m:radPr>
                    <m:degHide m:val="1"/>
                    <m:ctrlPr>
                      <w:rPr>
                        <w:rFonts w:ascii="Cambria Math" w:hAnsi="Cambria Math" w:cs="Arial"/>
                        <w:i/>
                        <w:szCs w:val="18"/>
                        <w:lang w:val="en-GB"/>
                      </w:rPr>
                    </m:ctrlPr>
                  </m:radPr>
                  <m:deg/>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e>
                    </m:nary>
                  </m:e>
                </m:rad>
              </m:oMath>
            </m:oMathPara>
          </w:p>
        </w:tc>
        <w:tc>
          <w:tcPr>
            <w:tcW w:w="1276" w:type="dxa"/>
            <w:tcBorders>
              <w:top w:val="single" w:sz="4" w:space="0" w:color="auto"/>
            </w:tcBorders>
            <w:shd w:val="clear" w:color="auto" w:fill="FFFFFF"/>
          </w:tcPr>
          <w:p w14:paraId="6AA95830" w14:textId="62872891" w:rsidR="001F621E" w:rsidRPr="00B0574B" w:rsidRDefault="001F621E" w:rsidP="002C64C5">
            <w:pPr>
              <w:pStyle w:val="CETBodytext"/>
              <w:ind w:right="-1"/>
              <w:rPr>
                <w:i/>
                <w:iCs/>
                <w:szCs w:val="18"/>
                <w:lang w:val="en-GB"/>
              </w:rPr>
            </w:pPr>
            <w:r w:rsidRPr="00B0574B">
              <w:rPr>
                <w:rFonts w:cs="Arial"/>
                <w:i/>
                <w:iCs/>
                <w:szCs w:val="18"/>
                <w:lang w:val="en-GB"/>
              </w:rPr>
              <w:t>Peak to Peak</w:t>
            </w:r>
          </w:p>
        </w:tc>
        <w:tc>
          <w:tcPr>
            <w:tcW w:w="1699" w:type="dxa"/>
            <w:tcBorders>
              <w:top w:val="single" w:sz="4" w:space="0" w:color="auto"/>
            </w:tcBorders>
            <w:shd w:val="clear" w:color="auto" w:fill="FFFFFF"/>
          </w:tcPr>
          <w:p w14:paraId="25B5C5CF" w14:textId="5DC47B0E" w:rsidR="001F621E" w:rsidRDefault="00000000" w:rsidP="002C64C5">
            <w:pPr>
              <w:pStyle w:val="CETBodytext"/>
              <w:ind w:right="-1"/>
              <w:rPr>
                <w:szCs w:val="18"/>
                <w:lang w:val="en-GB"/>
              </w:rPr>
            </w:pPr>
            <m:oMathPara>
              <m:oMath>
                <m:func>
                  <m:funcPr>
                    <m:ctrlPr>
                      <w:rPr>
                        <w:rFonts w:ascii="Cambria Math" w:hAnsi="Cambria Math" w:cs="Arial"/>
                        <w:i/>
                        <w:szCs w:val="18"/>
                        <w:lang w:val="en-GB"/>
                      </w:rPr>
                    </m:ctrlPr>
                  </m:funcPr>
                  <m:fName>
                    <m:limLow>
                      <m:limLowPr>
                        <m:ctrlPr>
                          <w:rPr>
                            <w:rFonts w:ascii="Cambria Math" w:hAnsi="Cambria Math" w:cs="Arial"/>
                            <w:i/>
                            <w:szCs w:val="18"/>
                            <w:lang w:val="en-GB"/>
                          </w:rPr>
                        </m:ctrlPr>
                      </m:limLowPr>
                      <m:e>
                        <m:r>
                          <m:rPr>
                            <m:sty m:val="p"/>
                          </m:rPr>
                          <w:rPr>
                            <w:rFonts w:ascii="Cambria Math" w:hAnsi="Cambria Math" w:cs="Arial"/>
                            <w:szCs w:val="18"/>
                            <w:lang w:val="en-GB"/>
                          </w:rPr>
                          <m:t>max</m:t>
                        </m:r>
                      </m:e>
                      <m:lim/>
                    </m:limLow>
                  </m:fName>
                  <m:e>
                    <m:d>
                      <m:dPr>
                        <m:ctrlPr>
                          <w:rPr>
                            <w:rFonts w:ascii="Cambria Math" w:hAnsi="Cambria Math" w:cs="Arial"/>
                            <w:i/>
                            <w:szCs w:val="18"/>
                            <w:lang w:val="en-GB"/>
                          </w:rPr>
                        </m:ctrlPr>
                      </m:dPr>
                      <m:e>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i</m:t>
                            </m:r>
                          </m:sub>
                        </m:sSub>
                      </m:e>
                    </m:d>
                    <m:r>
                      <w:rPr>
                        <w:rFonts w:ascii="Cambria Math" w:hAnsi="Cambria Math" w:cs="Arial"/>
                        <w:szCs w:val="18"/>
                        <w:lang w:val="en-GB"/>
                      </w:rPr>
                      <m:t>-</m:t>
                    </m:r>
                    <m:func>
                      <m:funcPr>
                        <m:ctrlPr>
                          <w:rPr>
                            <w:rFonts w:ascii="Cambria Math" w:hAnsi="Cambria Math" w:cs="Arial"/>
                            <w:i/>
                            <w:szCs w:val="18"/>
                            <w:lang w:val="en-GB"/>
                          </w:rPr>
                        </m:ctrlPr>
                      </m:funcPr>
                      <m:fName>
                        <m:limLow>
                          <m:limLowPr>
                            <m:ctrlPr>
                              <w:rPr>
                                <w:rFonts w:ascii="Cambria Math" w:hAnsi="Cambria Math" w:cs="Arial"/>
                                <w:i/>
                                <w:szCs w:val="18"/>
                                <w:lang w:val="en-GB"/>
                              </w:rPr>
                            </m:ctrlPr>
                          </m:limLowPr>
                          <m:e>
                            <m:r>
                              <m:rPr>
                                <m:sty m:val="p"/>
                              </m:rPr>
                              <w:rPr>
                                <w:rFonts w:ascii="Cambria Math" w:hAnsi="Cambria Math" w:cs="Arial"/>
                                <w:szCs w:val="18"/>
                                <w:lang w:val="en-GB"/>
                              </w:rPr>
                              <m:t>min</m:t>
                            </m:r>
                          </m:e>
                          <m:lim/>
                        </m:limLow>
                      </m:fName>
                      <m:e>
                        <m:r>
                          <w:rPr>
                            <w:rFonts w:ascii="Cambria Math" w:hAnsi="Cambria Math" w:cs="Arial"/>
                            <w:szCs w:val="18"/>
                            <w:lang w:val="en-GB"/>
                          </w:rPr>
                          <m:t>(</m:t>
                        </m:r>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i</m:t>
                            </m:r>
                          </m:sub>
                        </m:sSub>
                        <m:r>
                          <w:rPr>
                            <w:rFonts w:ascii="Cambria Math" w:hAnsi="Cambria Math" w:cs="Arial"/>
                            <w:szCs w:val="18"/>
                            <w:lang w:val="en-GB"/>
                          </w:rPr>
                          <m:t>)</m:t>
                        </m:r>
                      </m:e>
                    </m:func>
                  </m:e>
                </m:func>
              </m:oMath>
            </m:oMathPara>
          </w:p>
        </w:tc>
      </w:tr>
      <w:tr w:rsidR="001F621E" w:rsidRPr="00B57B36" w14:paraId="7F3754B6" w14:textId="497258BC" w:rsidTr="00B0574B">
        <w:trPr>
          <w:trHeight w:val="260"/>
        </w:trPr>
        <w:tc>
          <w:tcPr>
            <w:tcW w:w="1134" w:type="dxa"/>
            <w:shd w:val="clear" w:color="auto" w:fill="FFFFFF"/>
          </w:tcPr>
          <w:p w14:paraId="097C6A73" w14:textId="7F5F7823" w:rsidR="001F621E" w:rsidRPr="00B0574B" w:rsidRDefault="001F621E" w:rsidP="002C64C5">
            <w:pPr>
              <w:pStyle w:val="CETBodytext"/>
              <w:ind w:right="-1"/>
              <w:rPr>
                <w:rFonts w:cs="Arial"/>
                <w:i/>
                <w:iCs/>
                <w:szCs w:val="18"/>
                <w:lang w:val="en-GB"/>
              </w:rPr>
            </w:pPr>
            <w:r w:rsidRPr="00B0574B">
              <w:rPr>
                <w:rFonts w:cs="Arial"/>
                <w:i/>
                <w:iCs/>
                <w:szCs w:val="18"/>
                <w:lang w:val="en-GB"/>
              </w:rPr>
              <w:t>Variance</w:t>
            </w:r>
          </w:p>
        </w:tc>
        <w:tc>
          <w:tcPr>
            <w:tcW w:w="1276" w:type="dxa"/>
            <w:shd w:val="clear" w:color="auto" w:fill="FFFFFF"/>
          </w:tcPr>
          <w:p w14:paraId="050C63D8" w14:textId="4D1A3208" w:rsidR="001F621E" w:rsidRPr="00B57B36" w:rsidRDefault="00000000" w:rsidP="002C64C5">
            <w:pPr>
              <w:pStyle w:val="CETBodytext"/>
              <w:ind w:right="-1"/>
              <w:rPr>
                <w:rFonts w:cs="Arial"/>
                <w:szCs w:val="18"/>
                <w:lang w:val="en-GB"/>
              </w:rPr>
            </w:pPr>
            <m:oMathPara>
              <m:oMath>
                <m:f>
                  <m:fPr>
                    <m:ctrlPr>
                      <w:rPr>
                        <w:rFonts w:ascii="Cambria Math" w:hAnsi="Cambria Math" w:cs="Arial"/>
                        <w:i/>
                        <w:szCs w:val="18"/>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x</m:t>
                                    </m:r>
                                  </m:e>
                                </m:acc>
                              </m:e>
                            </m:d>
                          </m:e>
                          <m:sup>
                            <m:r>
                              <w:rPr>
                                <w:rFonts w:ascii="Cambria Math" w:hAnsi="Cambria Math"/>
                                <w:lang w:val="en-GB"/>
                              </w:rPr>
                              <m:t>2</m:t>
                            </m:r>
                          </m:sup>
                        </m:sSup>
                      </m:e>
                    </m:nary>
                  </m:num>
                  <m:den>
                    <m:r>
                      <w:rPr>
                        <w:rFonts w:ascii="Cambria Math" w:hAnsi="Cambria Math" w:cs="Arial"/>
                        <w:szCs w:val="18"/>
                        <w:lang w:val="en-GB"/>
                      </w:rPr>
                      <m:t>N-1</m:t>
                    </m:r>
                  </m:den>
                </m:f>
              </m:oMath>
            </m:oMathPara>
          </w:p>
        </w:tc>
        <w:tc>
          <w:tcPr>
            <w:tcW w:w="1559" w:type="dxa"/>
            <w:shd w:val="clear" w:color="auto" w:fill="FFFFFF"/>
          </w:tcPr>
          <w:p w14:paraId="475F136F" w14:textId="5DD64649" w:rsidR="001F621E" w:rsidRPr="00B0574B" w:rsidRDefault="001F621E" w:rsidP="002C64C5">
            <w:pPr>
              <w:pStyle w:val="CETBodytext"/>
              <w:ind w:right="-1"/>
              <w:rPr>
                <w:rFonts w:cs="Arial"/>
                <w:i/>
                <w:iCs/>
                <w:szCs w:val="18"/>
                <w:lang w:val="en-GB"/>
              </w:rPr>
            </w:pPr>
            <w:r w:rsidRPr="00B0574B">
              <w:rPr>
                <w:rFonts w:cs="Arial"/>
                <w:i/>
                <w:iCs/>
                <w:szCs w:val="18"/>
                <w:lang w:val="en-GB"/>
              </w:rPr>
              <w:t>Standard Deviation</w:t>
            </w:r>
          </w:p>
        </w:tc>
        <w:tc>
          <w:tcPr>
            <w:tcW w:w="1843" w:type="dxa"/>
            <w:shd w:val="clear" w:color="auto" w:fill="FFFFFF"/>
          </w:tcPr>
          <w:p w14:paraId="25796B7B" w14:textId="6ED17F75" w:rsidR="001F621E" w:rsidRPr="00B57B36" w:rsidRDefault="00000000" w:rsidP="002C64C5">
            <w:pPr>
              <w:pStyle w:val="CETBodytext"/>
              <w:ind w:right="-1"/>
              <w:rPr>
                <w:rFonts w:cs="Arial"/>
                <w:szCs w:val="18"/>
                <w:lang w:val="en-GB"/>
              </w:rPr>
            </w:pPr>
            <m:oMathPara>
              <m:oMath>
                <m:rad>
                  <m:radPr>
                    <m:degHide m:val="1"/>
                    <m:ctrlPr>
                      <w:rPr>
                        <w:rFonts w:ascii="Cambria Math" w:hAnsi="Cambria Math" w:cs="Arial"/>
                        <w:i/>
                        <w:szCs w:val="18"/>
                        <w:lang w:val="en-GB"/>
                      </w:rPr>
                    </m:ctrlPr>
                  </m:radPr>
                  <m:deg/>
                  <m:e>
                    <m:f>
                      <m:fPr>
                        <m:ctrlPr>
                          <w:rPr>
                            <w:rFonts w:ascii="Cambria Math" w:hAnsi="Cambria Math" w:cs="Arial"/>
                            <w:i/>
                            <w:szCs w:val="18"/>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p>
                              <m:sSupPr>
                                <m:ctrlPr>
                                  <w:rPr>
                                    <w:rFonts w:ascii="Cambria Math" w:hAnsi="Cambria Math"/>
                                    <w:i/>
                                    <w:lang w:val="en-GB"/>
                                  </w:rPr>
                                </m:ctrlPr>
                              </m:sSupPr>
                              <m:e>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x</m:t>
                                    </m:r>
                                  </m:e>
                                </m:acc>
                                <m:r>
                                  <w:rPr>
                                    <w:rFonts w:ascii="Cambria Math" w:hAnsi="Cambria Math"/>
                                    <w:lang w:val="en-GB"/>
                                  </w:rPr>
                                  <m:t>)</m:t>
                                </m:r>
                              </m:e>
                              <m:sup>
                                <m:r>
                                  <w:rPr>
                                    <w:rFonts w:ascii="Cambria Math" w:hAnsi="Cambria Math"/>
                                    <w:lang w:val="en-GB"/>
                                  </w:rPr>
                                  <m:t>2</m:t>
                                </m:r>
                              </m:sup>
                            </m:sSup>
                          </m:e>
                        </m:nary>
                      </m:num>
                      <m:den>
                        <m:r>
                          <w:rPr>
                            <w:rFonts w:ascii="Cambria Math" w:hAnsi="Cambria Math" w:cs="Arial"/>
                            <w:szCs w:val="18"/>
                            <w:lang w:val="en-GB"/>
                          </w:rPr>
                          <m:t>N-1</m:t>
                        </m:r>
                      </m:den>
                    </m:f>
                  </m:e>
                </m:rad>
              </m:oMath>
            </m:oMathPara>
          </w:p>
        </w:tc>
        <w:tc>
          <w:tcPr>
            <w:tcW w:w="1276" w:type="dxa"/>
            <w:shd w:val="clear" w:color="auto" w:fill="FFFFFF"/>
          </w:tcPr>
          <w:p w14:paraId="5D2DF011" w14:textId="4FDC7EE6" w:rsidR="001F621E" w:rsidRPr="00B0574B" w:rsidRDefault="001F621E" w:rsidP="002C64C5">
            <w:pPr>
              <w:pStyle w:val="CETBodytext"/>
              <w:ind w:right="-1"/>
              <w:rPr>
                <w:rFonts w:ascii="Tahoma" w:hAnsi="Tahoma" w:cs="Tahoma"/>
                <w:i/>
                <w:iCs/>
                <w:szCs w:val="18"/>
                <w:lang w:val="en-GB"/>
              </w:rPr>
            </w:pPr>
            <w:r w:rsidRPr="00B0574B">
              <w:rPr>
                <w:rFonts w:cs="Arial"/>
                <w:i/>
                <w:iCs/>
                <w:szCs w:val="18"/>
                <w:lang w:val="en-GB"/>
              </w:rPr>
              <w:t>Power</w:t>
            </w:r>
          </w:p>
        </w:tc>
        <w:tc>
          <w:tcPr>
            <w:tcW w:w="1699" w:type="dxa"/>
            <w:shd w:val="clear" w:color="auto" w:fill="FFFFFF"/>
          </w:tcPr>
          <w:p w14:paraId="42C30986" w14:textId="2879F500" w:rsidR="001F621E" w:rsidRDefault="00000000" w:rsidP="002C64C5">
            <w:pPr>
              <w:pStyle w:val="CETBodytext"/>
              <w:ind w:right="-1"/>
              <w:rPr>
                <w:rFonts w:ascii="Tahoma" w:hAnsi="Tahoma" w:cs="Tahoma"/>
                <w:szCs w:val="18"/>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2</m:t>
                        </m:r>
                      </m:sup>
                    </m:sSubSup>
                  </m:e>
                </m:nary>
              </m:oMath>
            </m:oMathPara>
          </w:p>
        </w:tc>
      </w:tr>
      <w:tr w:rsidR="001F621E" w:rsidRPr="00B57B36" w14:paraId="07CCD1B7" w14:textId="4F5142BB" w:rsidTr="00B0574B">
        <w:trPr>
          <w:trHeight w:val="100"/>
        </w:trPr>
        <w:tc>
          <w:tcPr>
            <w:tcW w:w="1134" w:type="dxa"/>
            <w:shd w:val="clear" w:color="auto" w:fill="FFFFFF"/>
          </w:tcPr>
          <w:p w14:paraId="2BE7C1CD" w14:textId="790C0986" w:rsidR="001F621E" w:rsidRDefault="001F621E" w:rsidP="002C64C5">
            <w:pPr>
              <w:pStyle w:val="CETBodytext"/>
              <w:ind w:right="-1"/>
              <w:rPr>
                <w:rFonts w:cs="Arial"/>
                <w:szCs w:val="18"/>
                <w:lang w:val="en-GB"/>
              </w:rPr>
            </w:pPr>
          </w:p>
        </w:tc>
        <w:tc>
          <w:tcPr>
            <w:tcW w:w="1276" w:type="dxa"/>
            <w:shd w:val="clear" w:color="auto" w:fill="FFFFFF"/>
          </w:tcPr>
          <w:p w14:paraId="7502A126" w14:textId="6EA298EC" w:rsidR="001F621E" w:rsidRPr="00662028" w:rsidRDefault="001F621E" w:rsidP="002C64C5">
            <w:pPr>
              <w:pStyle w:val="CETBodytext"/>
              <w:ind w:right="-1"/>
              <w:rPr>
                <w:rFonts w:cs="Arial"/>
                <w:szCs w:val="18"/>
                <w:lang w:val="en-GB"/>
              </w:rPr>
            </w:pPr>
          </w:p>
        </w:tc>
        <w:tc>
          <w:tcPr>
            <w:tcW w:w="1559" w:type="dxa"/>
            <w:shd w:val="clear" w:color="auto" w:fill="FFFFFF"/>
          </w:tcPr>
          <w:p w14:paraId="00ED1A2E" w14:textId="2313F64C" w:rsidR="001F621E" w:rsidRDefault="001F621E" w:rsidP="002C64C5">
            <w:pPr>
              <w:pStyle w:val="CETBodytext"/>
              <w:ind w:right="-1"/>
              <w:rPr>
                <w:rFonts w:cs="Arial"/>
                <w:szCs w:val="18"/>
                <w:lang w:val="en-GB"/>
              </w:rPr>
            </w:pPr>
          </w:p>
        </w:tc>
        <w:tc>
          <w:tcPr>
            <w:tcW w:w="1843" w:type="dxa"/>
            <w:shd w:val="clear" w:color="auto" w:fill="FFFFFF"/>
          </w:tcPr>
          <w:p w14:paraId="2312156E" w14:textId="5A23BF97" w:rsidR="001F621E" w:rsidRPr="00DD06D1" w:rsidRDefault="001F621E" w:rsidP="002C64C5">
            <w:pPr>
              <w:pStyle w:val="CETBodytext"/>
              <w:ind w:right="-1"/>
              <w:rPr>
                <w:rFonts w:cs="Arial"/>
                <w:szCs w:val="18"/>
                <w:lang w:val="en-GB"/>
              </w:rPr>
            </w:pPr>
          </w:p>
        </w:tc>
        <w:tc>
          <w:tcPr>
            <w:tcW w:w="1276" w:type="dxa"/>
            <w:shd w:val="clear" w:color="auto" w:fill="FFFFFF"/>
          </w:tcPr>
          <w:p w14:paraId="60C7F28C" w14:textId="77777777" w:rsidR="001F621E" w:rsidRDefault="001F621E" w:rsidP="002C64C5">
            <w:pPr>
              <w:pStyle w:val="CETBodytext"/>
              <w:ind w:right="-1"/>
              <w:rPr>
                <w:rFonts w:ascii="Tahoma" w:hAnsi="Tahoma" w:cs="Tahoma"/>
                <w:lang w:val="en-GB"/>
              </w:rPr>
            </w:pPr>
          </w:p>
        </w:tc>
        <w:tc>
          <w:tcPr>
            <w:tcW w:w="1699" w:type="dxa"/>
            <w:shd w:val="clear" w:color="auto" w:fill="FFFFFF"/>
          </w:tcPr>
          <w:p w14:paraId="7B79CCBB" w14:textId="77777777" w:rsidR="001F621E" w:rsidRDefault="001F621E" w:rsidP="002C64C5">
            <w:pPr>
              <w:pStyle w:val="CETBodytext"/>
              <w:ind w:right="-1"/>
              <w:rPr>
                <w:rFonts w:ascii="Tahoma" w:hAnsi="Tahoma" w:cs="Tahoma"/>
                <w:lang w:val="en-GB"/>
              </w:rPr>
            </w:pPr>
          </w:p>
        </w:tc>
      </w:tr>
      <w:tr w:rsidR="001F621E" w:rsidRPr="00B57B36" w14:paraId="2DDB6B5F" w14:textId="0AB0291C" w:rsidTr="00B0574B">
        <w:trPr>
          <w:trHeight w:val="260"/>
        </w:trPr>
        <w:tc>
          <w:tcPr>
            <w:tcW w:w="1134" w:type="dxa"/>
            <w:shd w:val="clear" w:color="auto" w:fill="FFFFFF"/>
          </w:tcPr>
          <w:p w14:paraId="66B00DFD" w14:textId="49EC185D" w:rsidR="001F621E" w:rsidRPr="00B0574B" w:rsidRDefault="001F621E" w:rsidP="002C64C5">
            <w:pPr>
              <w:pStyle w:val="CETBodytext"/>
              <w:ind w:right="-1"/>
              <w:rPr>
                <w:rFonts w:cs="Arial"/>
                <w:i/>
                <w:iCs/>
                <w:szCs w:val="18"/>
                <w:lang w:val="en-GB"/>
              </w:rPr>
            </w:pPr>
            <w:r w:rsidRPr="00B0574B">
              <w:rPr>
                <w:rFonts w:cs="Arial"/>
                <w:i/>
                <w:iCs/>
                <w:szCs w:val="18"/>
                <w:lang w:val="en-GB"/>
              </w:rPr>
              <w:t>Crest Factor</w:t>
            </w:r>
          </w:p>
        </w:tc>
        <w:tc>
          <w:tcPr>
            <w:tcW w:w="1276" w:type="dxa"/>
            <w:shd w:val="clear" w:color="auto" w:fill="FFFFFF"/>
          </w:tcPr>
          <w:p w14:paraId="0B1582AC" w14:textId="16C2637D" w:rsidR="001F621E" w:rsidRPr="008D64A0" w:rsidRDefault="00000000" w:rsidP="002C64C5">
            <w:pPr>
              <w:pStyle w:val="CETBodytext"/>
              <w:ind w:right="-1"/>
              <w:rPr>
                <w:rFonts w:cs="Arial"/>
                <w:szCs w:val="18"/>
                <w:lang w:val="en-GB"/>
              </w:rPr>
            </w:pPr>
            <m:oMathPara>
              <m:oMath>
                <m:f>
                  <m:fPr>
                    <m:ctrlPr>
                      <w:rPr>
                        <w:rFonts w:ascii="Cambria Math" w:hAnsi="Cambria Math" w:cs="Arial"/>
                        <w:i/>
                        <w:szCs w:val="18"/>
                        <w:lang w:val="en-GB"/>
                      </w:rPr>
                    </m:ctrlPr>
                  </m:fPr>
                  <m:num>
                    <m:func>
                      <m:funcPr>
                        <m:ctrlPr>
                          <w:rPr>
                            <w:rFonts w:ascii="Cambria Math" w:hAnsi="Cambria Math" w:cs="Arial"/>
                            <w:i/>
                            <w:szCs w:val="18"/>
                            <w:lang w:val="en-GB"/>
                          </w:rPr>
                        </m:ctrlPr>
                      </m:funcPr>
                      <m:fName>
                        <m:limLow>
                          <m:limLowPr>
                            <m:ctrlPr>
                              <w:rPr>
                                <w:rFonts w:ascii="Cambria Math" w:hAnsi="Cambria Math" w:cs="Arial"/>
                                <w:i/>
                                <w:szCs w:val="18"/>
                                <w:lang w:val="en-GB"/>
                              </w:rPr>
                            </m:ctrlPr>
                          </m:limLowPr>
                          <m:e>
                            <m:r>
                              <m:rPr>
                                <m:sty m:val="p"/>
                              </m:rPr>
                              <w:rPr>
                                <w:rFonts w:ascii="Cambria Math" w:hAnsi="Cambria Math" w:cs="Arial"/>
                                <w:szCs w:val="18"/>
                                <w:lang w:val="en-GB"/>
                              </w:rPr>
                              <m:t>max</m:t>
                            </m:r>
                          </m:e>
                          <m:lim/>
                        </m:limLow>
                      </m:fName>
                      <m:e>
                        <m:r>
                          <w:rPr>
                            <w:rFonts w:ascii="Cambria Math" w:hAnsi="Cambria Math" w:cs="Arial"/>
                            <w:szCs w:val="18"/>
                            <w:lang w:val="en-GB"/>
                          </w:rPr>
                          <m:t>(</m:t>
                        </m:r>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i</m:t>
                            </m:r>
                          </m:sub>
                        </m:sSub>
                        <m:r>
                          <w:rPr>
                            <w:rFonts w:ascii="Cambria Math" w:hAnsi="Cambria Math" w:cs="Arial"/>
                            <w:szCs w:val="18"/>
                            <w:lang w:val="en-GB"/>
                          </w:rPr>
                          <m:t>)</m:t>
                        </m:r>
                      </m:e>
                    </m:func>
                  </m:num>
                  <m:den>
                    <m:r>
                      <w:rPr>
                        <w:rFonts w:ascii="Cambria Math" w:hAnsi="Cambria Math" w:cs="Arial"/>
                        <w:szCs w:val="18"/>
                        <w:lang w:val="en-GB"/>
                      </w:rPr>
                      <m:t>RMS</m:t>
                    </m:r>
                  </m:den>
                </m:f>
              </m:oMath>
            </m:oMathPara>
          </w:p>
        </w:tc>
        <w:tc>
          <w:tcPr>
            <w:tcW w:w="1559" w:type="dxa"/>
            <w:shd w:val="clear" w:color="auto" w:fill="FFFFFF"/>
          </w:tcPr>
          <w:p w14:paraId="5342B934" w14:textId="141E8B47" w:rsidR="001F621E" w:rsidRPr="00B0574B" w:rsidRDefault="001F621E" w:rsidP="002C64C5">
            <w:pPr>
              <w:pStyle w:val="CETBodytext"/>
              <w:ind w:right="-1"/>
              <w:rPr>
                <w:rFonts w:cs="Arial"/>
                <w:i/>
                <w:iCs/>
                <w:szCs w:val="18"/>
                <w:lang w:val="en-GB"/>
              </w:rPr>
            </w:pPr>
            <w:r w:rsidRPr="00B0574B">
              <w:rPr>
                <w:rFonts w:cs="Arial"/>
                <w:i/>
                <w:iCs/>
                <w:szCs w:val="18"/>
                <w:lang w:val="en-GB"/>
              </w:rPr>
              <w:t>Form Factor</w:t>
            </w:r>
          </w:p>
        </w:tc>
        <w:tc>
          <w:tcPr>
            <w:tcW w:w="1843" w:type="dxa"/>
            <w:shd w:val="clear" w:color="auto" w:fill="FFFFFF"/>
          </w:tcPr>
          <w:p w14:paraId="41C7ECFD" w14:textId="1ED73E0C" w:rsidR="001F621E" w:rsidRPr="00BA5DCC" w:rsidRDefault="00000000" w:rsidP="002C64C5">
            <w:pPr>
              <w:pStyle w:val="CETBodytext"/>
              <w:ind w:right="-1"/>
              <w:rPr>
                <w:rFonts w:cs="Arial"/>
                <w:lang w:val="en-GB"/>
              </w:rPr>
            </w:pPr>
            <m:oMathPara>
              <m:oMath>
                <m:f>
                  <m:fPr>
                    <m:ctrlPr>
                      <w:rPr>
                        <w:rFonts w:ascii="Cambria Math" w:hAnsi="Cambria Math" w:cs="Arial"/>
                        <w:i/>
                        <w:szCs w:val="18"/>
                        <w:lang w:val="en-GB"/>
                      </w:rPr>
                    </m:ctrlPr>
                  </m:fPr>
                  <m:num>
                    <m:r>
                      <w:rPr>
                        <w:rFonts w:ascii="Cambria Math" w:hAnsi="Cambria Math" w:cs="Arial"/>
                        <w:szCs w:val="18"/>
                        <w:lang w:val="en-GB"/>
                      </w:rPr>
                      <m:t>RMS</m:t>
                    </m:r>
                  </m:num>
                  <m:den>
                    <m:acc>
                      <m:accPr>
                        <m:chr m:val="̃"/>
                        <m:ctrlPr>
                          <w:rPr>
                            <w:rFonts w:ascii="Cambria Math" w:hAnsi="Cambria Math" w:cs="Arial"/>
                            <w:i/>
                            <w:szCs w:val="18"/>
                            <w:lang w:val="en-GB"/>
                          </w:rPr>
                        </m:ctrlPr>
                      </m:accPr>
                      <m:e>
                        <m:r>
                          <w:rPr>
                            <w:rFonts w:ascii="Cambria Math" w:hAnsi="Cambria Math" w:cs="Arial"/>
                            <w:szCs w:val="18"/>
                            <w:lang w:val="en-GB"/>
                          </w:rPr>
                          <m:t>x</m:t>
                        </m:r>
                      </m:e>
                    </m:acc>
                  </m:den>
                </m:f>
              </m:oMath>
            </m:oMathPara>
          </w:p>
        </w:tc>
        <w:tc>
          <w:tcPr>
            <w:tcW w:w="1276" w:type="dxa"/>
            <w:shd w:val="clear" w:color="auto" w:fill="FFFFFF"/>
          </w:tcPr>
          <w:p w14:paraId="28567F3F" w14:textId="587896F8" w:rsidR="001F621E" w:rsidRPr="00B0574B" w:rsidRDefault="001F621E" w:rsidP="002C64C5">
            <w:pPr>
              <w:pStyle w:val="CETBodytext"/>
              <w:ind w:right="-1"/>
              <w:rPr>
                <w:i/>
                <w:iCs/>
                <w:szCs w:val="18"/>
                <w:lang w:val="en-GB"/>
              </w:rPr>
            </w:pPr>
            <w:r w:rsidRPr="00B0574B">
              <w:rPr>
                <w:rFonts w:cs="Arial"/>
                <w:i/>
                <w:iCs/>
                <w:szCs w:val="18"/>
                <w:lang w:val="en-GB"/>
              </w:rPr>
              <w:t>Pulse Indicator</w:t>
            </w:r>
          </w:p>
        </w:tc>
        <w:tc>
          <w:tcPr>
            <w:tcW w:w="1699" w:type="dxa"/>
            <w:shd w:val="clear" w:color="auto" w:fill="FFFFFF"/>
          </w:tcPr>
          <w:p w14:paraId="2325BE5D" w14:textId="064AEF81" w:rsidR="001F621E" w:rsidRDefault="00000000" w:rsidP="002C64C5">
            <w:pPr>
              <w:pStyle w:val="CETBodytext"/>
              <w:ind w:right="-1"/>
              <w:rPr>
                <w:szCs w:val="18"/>
                <w:lang w:val="en-GB"/>
              </w:rPr>
            </w:pPr>
            <m:oMathPara>
              <m:oMath>
                <m:f>
                  <m:fPr>
                    <m:ctrlPr>
                      <w:rPr>
                        <w:rFonts w:ascii="Cambria Math" w:hAnsi="Cambria Math" w:cs="Arial"/>
                        <w:i/>
                        <w:szCs w:val="18"/>
                        <w:lang w:val="en-GB"/>
                      </w:rPr>
                    </m:ctrlPr>
                  </m:fPr>
                  <m:num>
                    <m:func>
                      <m:funcPr>
                        <m:ctrlPr>
                          <w:rPr>
                            <w:rFonts w:ascii="Cambria Math" w:hAnsi="Cambria Math" w:cs="Arial"/>
                            <w:i/>
                            <w:szCs w:val="18"/>
                            <w:lang w:val="en-GB"/>
                          </w:rPr>
                        </m:ctrlPr>
                      </m:funcPr>
                      <m:fName>
                        <m:limLow>
                          <m:limLowPr>
                            <m:ctrlPr>
                              <w:rPr>
                                <w:rFonts w:ascii="Cambria Math" w:hAnsi="Cambria Math" w:cs="Arial"/>
                                <w:i/>
                                <w:szCs w:val="18"/>
                                <w:lang w:val="en-GB"/>
                              </w:rPr>
                            </m:ctrlPr>
                          </m:limLowPr>
                          <m:e>
                            <m:r>
                              <m:rPr>
                                <m:sty m:val="p"/>
                              </m:rPr>
                              <w:rPr>
                                <w:rFonts w:ascii="Cambria Math" w:hAnsi="Cambria Math" w:cs="Arial"/>
                                <w:szCs w:val="18"/>
                                <w:lang w:val="en-GB"/>
                              </w:rPr>
                              <m:t>max</m:t>
                            </m:r>
                          </m:e>
                          <m:lim/>
                        </m:limLow>
                      </m:fName>
                      <m:e>
                        <m:r>
                          <w:rPr>
                            <w:rFonts w:ascii="Cambria Math" w:hAnsi="Cambria Math" w:cs="Arial"/>
                            <w:szCs w:val="18"/>
                            <w:lang w:val="en-GB"/>
                          </w:rPr>
                          <m:t>(</m:t>
                        </m:r>
                        <m:sSub>
                          <m:sSubPr>
                            <m:ctrlPr>
                              <w:rPr>
                                <w:rFonts w:ascii="Cambria Math" w:hAnsi="Cambria Math" w:cs="Arial"/>
                                <w:i/>
                                <w:szCs w:val="18"/>
                                <w:lang w:val="en-GB"/>
                              </w:rPr>
                            </m:ctrlPr>
                          </m:sSubPr>
                          <m:e>
                            <m:r>
                              <w:rPr>
                                <w:rFonts w:ascii="Cambria Math" w:hAnsi="Cambria Math" w:cs="Arial"/>
                                <w:szCs w:val="18"/>
                                <w:lang w:val="en-GB"/>
                              </w:rPr>
                              <m:t>x</m:t>
                            </m:r>
                          </m:e>
                          <m:sub>
                            <m:r>
                              <w:rPr>
                                <w:rFonts w:ascii="Cambria Math" w:hAnsi="Cambria Math" w:cs="Arial"/>
                                <w:szCs w:val="18"/>
                                <w:lang w:val="en-GB"/>
                              </w:rPr>
                              <m:t>i</m:t>
                            </m:r>
                          </m:sub>
                        </m:sSub>
                        <m:r>
                          <w:rPr>
                            <w:rFonts w:ascii="Cambria Math" w:hAnsi="Cambria Math" w:cs="Arial"/>
                            <w:szCs w:val="18"/>
                            <w:lang w:val="en-GB"/>
                          </w:rPr>
                          <m:t>)</m:t>
                        </m:r>
                      </m:e>
                    </m:func>
                  </m:num>
                  <m:den>
                    <m:acc>
                      <m:accPr>
                        <m:chr m:val="̃"/>
                        <m:ctrlPr>
                          <w:rPr>
                            <w:rFonts w:ascii="Cambria Math" w:hAnsi="Cambria Math" w:cs="Arial"/>
                            <w:i/>
                            <w:szCs w:val="18"/>
                            <w:lang w:val="en-GB"/>
                          </w:rPr>
                        </m:ctrlPr>
                      </m:accPr>
                      <m:e>
                        <m:r>
                          <w:rPr>
                            <w:rFonts w:ascii="Cambria Math" w:hAnsi="Cambria Math" w:cs="Arial"/>
                            <w:szCs w:val="18"/>
                            <w:lang w:val="en-GB"/>
                          </w:rPr>
                          <m:t>x</m:t>
                        </m:r>
                      </m:e>
                    </m:acc>
                  </m:den>
                </m:f>
              </m:oMath>
            </m:oMathPara>
          </w:p>
        </w:tc>
      </w:tr>
      <w:tr w:rsidR="001F621E" w:rsidRPr="00B57B36" w14:paraId="6176C7A7" w14:textId="7A04A92F" w:rsidTr="00B0574B">
        <w:trPr>
          <w:trHeight w:val="82"/>
        </w:trPr>
        <w:tc>
          <w:tcPr>
            <w:tcW w:w="1134" w:type="dxa"/>
            <w:shd w:val="clear" w:color="auto" w:fill="FFFFFF"/>
          </w:tcPr>
          <w:p w14:paraId="21A22EB6" w14:textId="330B6D9B" w:rsidR="001F621E" w:rsidRDefault="001F621E" w:rsidP="002C64C5">
            <w:pPr>
              <w:pStyle w:val="CETBodytext"/>
              <w:ind w:right="-1"/>
              <w:rPr>
                <w:rFonts w:cs="Arial"/>
                <w:szCs w:val="18"/>
                <w:lang w:val="en-GB"/>
              </w:rPr>
            </w:pPr>
          </w:p>
        </w:tc>
        <w:tc>
          <w:tcPr>
            <w:tcW w:w="1276" w:type="dxa"/>
            <w:shd w:val="clear" w:color="auto" w:fill="FFFFFF"/>
          </w:tcPr>
          <w:p w14:paraId="65E6D25C" w14:textId="05E39154" w:rsidR="001F621E" w:rsidRPr="00E419E2" w:rsidRDefault="001F621E" w:rsidP="002C64C5">
            <w:pPr>
              <w:pStyle w:val="CETBodytext"/>
              <w:ind w:right="-1"/>
              <w:rPr>
                <w:rFonts w:cs="Arial"/>
                <w:szCs w:val="18"/>
                <w:lang w:val="en-GB"/>
              </w:rPr>
            </w:pPr>
          </w:p>
        </w:tc>
        <w:tc>
          <w:tcPr>
            <w:tcW w:w="1559" w:type="dxa"/>
            <w:shd w:val="clear" w:color="auto" w:fill="FFFFFF"/>
          </w:tcPr>
          <w:p w14:paraId="6320EFE2" w14:textId="5B2F45EE" w:rsidR="001F621E" w:rsidRDefault="001F621E" w:rsidP="002C64C5">
            <w:pPr>
              <w:pStyle w:val="CETBodytext"/>
              <w:ind w:right="-1"/>
              <w:rPr>
                <w:rFonts w:cs="Arial"/>
                <w:szCs w:val="18"/>
                <w:lang w:val="en-GB"/>
              </w:rPr>
            </w:pPr>
          </w:p>
        </w:tc>
        <w:tc>
          <w:tcPr>
            <w:tcW w:w="1843" w:type="dxa"/>
            <w:shd w:val="clear" w:color="auto" w:fill="FFFFFF"/>
          </w:tcPr>
          <w:p w14:paraId="019F907D" w14:textId="57AE779A" w:rsidR="001F621E" w:rsidRPr="00C937CA" w:rsidRDefault="001F621E" w:rsidP="002C64C5">
            <w:pPr>
              <w:pStyle w:val="CETBodytext"/>
              <w:ind w:right="-1"/>
              <w:rPr>
                <w:rFonts w:cs="Arial"/>
                <w:szCs w:val="18"/>
                <w:lang w:val="en-GB"/>
              </w:rPr>
            </w:pPr>
          </w:p>
        </w:tc>
        <w:tc>
          <w:tcPr>
            <w:tcW w:w="1276" w:type="dxa"/>
            <w:shd w:val="clear" w:color="auto" w:fill="FFFFFF"/>
          </w:tcPr>
          <w:p w14:paraId="0954D0F9" w14:textId="77777777" w:rsidR="001F621E" w:rsidRDefault="001F621E" w:rsidP="002C64C5">
            <w:pPr>
              <w:pStyle w:val="CETBodytext"/>
              <w:ind w:right="-1"/>
              <w:rPr>
                <w:szCs w:val="18"/>
                <w:lang w:val="en-GB"/>
              </w:rPr>
            </w:pPr>
          </w:p>
        </w:tc>
        <w:tc>
          <w:tcPr>
            <w:tcW w:w="1699" w:type="dxa"/>
            <w:shd w:val="clear" w:color="auto" w:fill="FFFFFF"/>
          </w:tcPr>
          <w:p w14:paraId="1FDB6125" w14:textId="77777777" w:rsidR="001F621E" w:rsidRDefault="001F621E" w:rsidP="002C64C5">
            <w:pPr>
              <w:pStyle w:val="CETBodytext"/>
              <w:ind w:right="-1"/>
              <w:rPr>
                <w:szCs w:val="18"/>
                <w:lang w:val="en-GB"/>
              </w:rPr>
            </w:pPr>
          </w:p>
        </w:tc>
      </w:tr>
    </w:tbl>
    <w:p w14:paraId="75FA3337" w14:textId="77777777" w:rsidR="00931EE1" w:rsidRDefault="00931EE1" w:rsidP="00753016">
      <w:pPr>
        <w:pStyle w:val="CETBodytext"/>
        <w:rPr>
          <w:lang w:val="en-GB"/>
        </w:rPr>
      </w:pPr>
    </w:p>
    <w:p w14:paraId="339B9945" w14:textId="50736518" w:rsidR="004818E2" w:rsidRDefault="004818E2" w:rsidP="00753016">
      <w:pPr>
        <w:pStyle w:val="CETBodytext"/>
        <w:rPr>
          <w:lang w:val="en-GB"/>
        </w:rPr>
      </w:pPr>
      <w:r w:rsidRPr="004818E2">
        <w:rPr>
          <w:lang w:val="en-GB"/>
        </w:rPr>
        <w:t xml:space="preserve">The identified subset of features </w:t>
      </w:r>
      <w:proofErr w:type="gramStart"/>
      <w:r w:rsidRPr="004818E2">
        <w:rPr>
          <w:lang w:val="en-GB"/>
        </w:rPr>
        <w:t>includes</w:t>
      </w:r>
      <w:r>
        <w:rPr>
          <w:lang w:val="en-GB"/>
        </w:rPr>
        <w:t>:</w:t>
      </w:r>
      <w:proofErr w:type="gramEnd"/>
      <w:r w:rsidRPr="004818E2">
        <w:rPr>
          <w:lang w:val="en-GB"/>
        </w:rPr>
        <w:t xml:space="preserve"> mean value, Crest Factor, Form Factor, and Pulse Indicator. During the training phase, the M model, described in Section 2.2, was generated, consisting of m=4 clusters and with a threshold for anomaly detection set at Z=6.80.</w:t>
      </w:r>
      <w:r w:rsidR="00C74C10">
        <w:rPr>
          <w:lang w:val="en-GB"/>
        </w:rPr>
        <w:t xml:space="preserve"> </w:t>
      </w:r>
    </w:p>
    <w:p w14:paraId="0F27F266" w14:textId="66941751" w:rsidR="00ED0945" w:rsidRDefault="00ED0945" w:rsidP="00753016">
      <w:pPr>
        <w:pStyle w:val="CETBodytext"/>
        <w:rPr>
          <w:lang w:val="en-GB"/>
        </w:rPr>
      </w:pPr>
      <w:r w:rsidRPr="00ED0945">
        <w:rPr>
          <w:lang w:val="en-GB"/>
        </w:rPr>
        <w:t xml:space="preserve">To assess the effectiveness of anomaly detection, three signals indicating malfunctions within the air intake system were incorporated into the testing dataset. These signals were derived from a telemetric dataset of a terminal truck, which was the same model as the one under </w:t>
      </w:r>
      <w:r>
        <w:rPr>
          <w:lang w:val="en-GB"/>
        </w:rPr>
        <w:t>monitoring</w:t>
      </w:r>
      <w:r w:rsidRPr="00ED0945">
        <w:rPr>
          <w:lang w:val="en-GB"/>
        </w:rPr>
        <w:t>. Specifically, the signals designated as Trip7 and Trip2 correspond to anomalies detected by the IAT sensor, while the Trip10 signal pertains to an unidentified mechanical failure.</w:t>
      </w:r>
    </w:p>
    <w:p w14:paraId="715A6941" w14:textId="357C7085" w:rsidR="002E5BCA" w:rsidRPr="002124A6" w:rsidRDefault="002E5BCA" w:rsidP="002E5BCA">
      <w:pPr>
        <w:pStyle w:val="CETHeading1"/>
        <w:numPr>
          <w:ilvl w:val="1"/>
          <w:numId w:val="24"/>
        </w:numPr>
        <w:tabs>
          <w:tab w:val="left" w:pos="360"/>
        </w:tabs>
      </w:pPr>
      <w:r>
        <w:t>Results</w:t>
      </w:r>
    </w:p>
    <w:p w14:paraId="5E882807" w14:textId="61A274FC" w:rsidR="00BF4744" w:rsidRDefault="001637EB" w:rsidP="006A5CEE">
      <w:pPr>
        <w:pStyle w:val="CETBodytext"/>
      </w:pPr>
      <w:r w:rsidRPr="001637EB">
        <w:rPr>
          <w:lang w:val="en-GB"/>
        </w:rPr>
        <w:t xml:space="preserve">Figure </w:t>
      </w:r>
      <w:r w:rsidR="006C6BF0">
        <w:rPr>
          <w:lang w:val="en-GB"/>
        </w:rPr>
        <w:t>5</w:t>
      </w:r>
      <w:r w:rsidRPr="001637EB">
        <w:rPr>
          <w:lang w:val="en-GB"/>
        </w:rPr>
        <w:t xml:space="preserve"> shows the anomaly detection results. To visualize the data in a 2D space while preserving as much variance information as possible, we applied Principal Component Analysis (PCA) to the dataset, retaining the first two principal components. Specifically, Figure </w:t>
      </w:r>
      <w:r w:rsidR="00BF4744">
        <w:rPr>
          <w:lang w:val="en-GB"/>
        </w:rPr>
        <w:t>5</w:t>
      </w:r>
      <w:r w:rsidRPr="001637EB">
        <w:rPr>
          <w:lang w:val="en-GB"/>
        </w:rPr>
        <w:t>a displays the classification output obtained using the K-NN algorithm and formula 1. It's clear how the points corresponding to the three anomalous signals are isolated from the other clusters, as they deviate significantly from the dataset representing normal IAT operation</w:t>
      </w:r>
      <w:r w:rsidR="00C30ADC">
        <w:rPr>
          <w:lang w:val="en-GB"/>
        </w:rPr>
        <w:t>, as reported in detail in Tabl</w:t>
      </w:r>
      <w:r w:rsidR="002402ED">
        <w:rPr>
          <w:lang w:val="en-GB"/>
        </w:rPr>
        <w:t>e</w:t>
      </w:r>
      <w:r w:rsidR="00C30ADC">
        <w:rPr>
          <w:lang w:val="en-GB"/>
        </w:rPr>
        <w:t xml:space="preserve"> 2</w:t>
      </w:r>
      <w:r w:rsidR="002402ED">
        <w:rPr>
          <w:lang w:val="en-GB"/>
        </w:rPr>
        <w:t xml:space="preserve">, </w:t>
      </w:r>
      <w:r w:rsidR="002402ED" w:rsidRPr="002402ED">
        <w:rPr>
          <w:lang w:val="en-GB"/>
        </w:rPr>
        <w:t xml:space="preserve">according to </w:t>
      </w:r>
      <w:proofErr w:type="spellStart"/>
      <w:proofErr w:type="gramStart"/>
      <w:r w:rsidR="002402ED">
        <w:rPr>
          <w:lang w:val="en-GB"/>
        </w:rPr>
        <w:t>Eq</w:t>
      </w:r>
      <w:proofErr w:type="spellEnd"/>
      <w:r w:rsidR="002402ED">
        <w:rPr>
          <w:lang w:val="en-GB"/>
        </w:rPr>
        <w:t>(</w:t>
      </w:r>
      <w:proofErr w:type="gramEnd"/>
      <w:r w:rsidR="002402ED" w:rsidRPr="002402ED">
        <w:rPr>
          <w:lang w:val="en-GB"/>
        </w:rPr>
        <w:t>2</w:t>
      </w:r>
      <w:r w:rsidR="002402ED">
        <w:rPr>
          <w:lang w:val="en-GB"/>
        </w:rPr>
        <w:t>)</w:t>
      </w:r>
      <w:r w:rsidRPr="001637EB">
        <w:rPr>
          <w:lang w:val="en-GB"/>
        </w:rPr>
        <w:t xml:space="preserve">. A similar analysis can be performed by examining Figure </w:t>
      </w:r>
      <w:r w:rsidR="006C6BF0" w:rsidRPr="00BF4744">
        <w:rPr>
          <w:lang w:val="en-GB"/>
        </w:rPr>
        <w:t>5</w:t>
      </w:r>
      <w:r w:rsidRPr="00BF4744">
        <w:rPr>
          <w:lang w:val="en-GB"/>
        </w:rPr>
        <w:t>b</w:t>
      </w:r>
      <w:r w:rsidRPr="001637EB">
        <w:rPr>
          <w:lang w:val="en-GB"/>
        </w:rPr>
        <w:t xml:space="preserve">, which shows the raw and filtered IAT signals. Notably, the signals </w:t>
      </w:r>
      <w:r w:rsidR="00C447D9" w:rsidRPr="001637EB">
        <w:rPr>
          <w:lang w:val="en-GB"/>
        </w:rPr>
        <w:t>labelled</w:t>
      </w:r>
      <w:r w:rsidRPr="001637EB">
        <w:rPr>
          <w:lang w:val="en-GB"/>
        </w:rPr>
        <w:t xml:space="preserve"> Trip7 and Trip2 exhibit anomalous </w:t>
      </w:r>
      <w:r w:rsidR="00C447D9" w:rsidRPr="001637EB">
        <w:rPr>
          <w:lang w:val="en-GB"/>
        </w:rPr>
        <w:t>behaviour</w:t>
      </w:r>
      <w:r w:rsidRPr="001637EB">
        <w:rPr>
          <w:lang w:val="en-GB"/>
        </w:rPr>
        <w:t xml:space="preserve">, falling outside the IAT's nominal operating range of 20 to </w:t>
      </w:r>
      <w:r>
        <w:rPr>
          <w:lang w:val="en-GB"/>
        </w:rPr>
        <w:t>60</w:t>
      </w:r>
      <w:r w:rsidRPr="001637EB">
        <w:rPr>
          <w:lang w:val="en-GB"/>
        </w:rPr>
        <w:t xml:space="preserve"> </w:t>
      </w:r>
      <w:r>
        <w:rPr>
          <w:lang w:val="en-GB"/>
        </w:rPr>
        <w:t>°C</w:t>
      </w:r>
      <w:r w:rsidRPr="001637EB">
        <w:rPr>
          <w:lang w:val="en-GB"/>
        </w:rPr>
        <w:t xml:space="preserve">. Additionally, the Trip10 signal, while generally within the expected operating range, displays an atypical </w:t>
      </w:r>
      <w:r w:rsidR="00C447D9">
        <w:rPr>
          <w:lang w:val="en-GB"/>
        </w:rPr>
        <w:t>trend</w:t>
      </w:r>
      <w:r w:rsidRPr="001637EB">
        <w:rPr>
          <w:lang w:val="en-GB"/>
        </w:rPr>
        <w:t xml:space="preserve"> compared to the signals classified as normal.</w:t>
      </w:r>
    </w:p>
    <w:p w14:paraId="14798A76" w14:textId="28748CF4" w:rsidR="00672A26" w:rsidRDefault="00BE49CA" w:rsidP="006A5CEE">
      <w:pPr>
        <w:pStyle w:val="CETBodytext"/>
      </w:pPr>
      <w:r>
        <w:rPr>
          <w:noProof/>
          <w:lang w:val="it-IT" w:eastAsia="it-IT"/>
        </w:rPr>
        <w:drawing>
          <wp:inline distT="0" distB="0" distL="0" distR="0" wp14:anchorId="2810274C" wp14:editId="2C42B88E">
            <wp:extent cx="5565014" cy="2412000"/>
            <wp:effectExtent l="0" t="0" r="0" b="7620"/>
            <wp:docPr id="769000271" name="Immagine 5" descr="Immagine che contiene testo, diagramma, linea,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00271" name="Immagine 5" descr="Immagine che contiene testo, diagramma, linea, Piano&#10;&#10;Il contenuto generato dall'IA potrebbe non essere corretto."/>
                    <pic:cNvPicPr/>
                  </pic:nvPicPr>
                  <pic:blipFill rotWithShape="1">
                    <a:blip r:embed="rId14"/>
                    <a:srcRect t="1" b="21764"/>
                    <a:stretch/>
                  </pic:blipFill>
                  <pic:spPr bwMode="auto">
                    <a:xfrm>
                      <a:off x="0" y="0"/>
                      <a:ext cx="5579745" cy="2418385"/>
                    </a:xfrm>
                    <a:prstGeom prst="rect">
                      <a:avLst/>
                    </a:prstGeom>
                    <a:ln>
                      <a:noFill/>
                    </a:ln>
                    <a:extLst>
                      <a:ext uri="{53640926-AAD7-44D8-BBD7-CCE9431645EC}">
                        <a14:shadowObscured xmlns:a14="http://schemas.microsoft.com/office/drawing/2010/main"/>
                      </a:ext>
                    </a:extLst>
                  </pic:spPr>
                </pic:pic>
              </a:graphicData>
            </a:graphic>
          </wp:inline>
        </w:drawing>
      </w:r>
    </w:p>
    <w:p w14:paraId="1A504283" w14:textId="77A4C017" w:rsidR="00BF4744" w:rsidRDefault="00BF4744" w:rsidP="006A5CEE">
      <w:pPr>
        <w:pStyle w:val="CETBodytext"/>
        <w:rPr>
          <w:rStyle w:val="CETCaptionCarattere"/>
        </w:rPr>
      </w:pPr>
      <w:r w:rsidRPr="00C30ADC">
        <w:rPr>
          <w:rStyle w:val="CETCaptionCarattere"/>
        </w:rPr>
        <w:t>Figure 5: Anomaly detection results (a)clustering (b)signals</w:t>
      </w:r>
    </w:p>
    <w:p w14:paraId="639A38D4" w14:textId="5798A01C" w:rsidR="002402ED" w:rsidRPr="00B57B36" w:rsidRDefault="002402ED" w:rsidP="002402ED">
      <w:pPr>
        <w:pStyle w:val="CETTabletitle"/>
      </w:pPr>
      <w:r w:rsidRPr="00B57B36">
        <w:lastRenderedPageBreak/>
        <w:t xml:space="preserve">Table </w:t>
      </w:r>
      <w:r>
        <w:t>2</w:t>
      </w:r>
      <w:r w:rsidRPr="00B57B36">
        <w:t xml:space="preserve">: </w:t>
      </w:r>
      <w:r>
        <w:t>Distances from centroid for all investigated items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93"/>
        <w:gridCol w:w="1134"/>
        <w:gridCol w:w="425"/>
        <w:gridCol w:w="2124"/>
      </w:tblGrid>
      <w:tr w:rsidR="002402ED" w:rsidRPr="00B57B36" w14:paraId="4581268E" w14:textId="42B8091B" w:rsidTr="002402ED">
        <w:tc>
          <w:tcPr>
            <w:tcW w:w="993" w:type="dxa"/>
            <w:tcBorders>
              <w:top w:val="single" w:sz="12" w:space="0" w:color="008000"/>
              <w:bottom w:val="single" w:sz="6" w:space="0" w:color="008000"/>
            </w:tcBorders>
            <w:shd w:val="clear" w:color="auto" w:fill="FFFFFF"/>
          </w:tcPr>
          <w:p w14:paraId="2E8307A4" w14:textId="0D1AF4AF" w:rsidR="002402ED" w:rsidRPr="00B57B36" w:rsidRDefault="002402ED" w:rsidP="009B7825">
            <w:pPr>
              <w:pStyle w:val="CETBodytext"/>
              <w:rPr>
                <w:lang w:val="en-GB"/>
              </w:rPr>
            </w:pPr>
            <w:r>
              <w:rPr>
                <w:lang w:val="en-GB"/>
              </w:rPr>
              <w:t>Item</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73C8E442" w14:textId="5CC3638C" w:rsidR="002402ED" w:rsidRPr="00B57B36" w:rsidRDefault="002402ED" w:rsidP="009B7825">
            <w:pPr>
              <w:pStyle w:val="CETBodytext"/>
              <w:rPr>
                <w:lang w:val="en-GB"/>
              </w:rPr>
            </w:pPr>
            <w:r>
              <w:rPr>
                <w:lang w:val="en-GB"/>
              </w:rPr>
              <w:t>Distance from centroid</w:t>
            </w:r>
          </w:p>
        </w:tc>
        <w:tc>
          <w:tcPr>
            <w:tcW w:w="425" w:type="dxa"/>
            <w:tcBorders>
              <w:top w:val="single" w:sz="12" w:space="0" w:color="008000"/>
              <w:bottom w:val="single" w:sz="6" w:space="0" w:color="008000"/>
            </w:tcBorders>
            <w:shd w:val="clear" w:color="auto" w:fill="FFFFFF"/>
          </w:tcPr>
          <w:p w14:paraId="5723B0F5" w14:textId="77777777" w:rsidR="002402ED" w:rsidRDefault="002402ED" w:rsidP="009B7825">
            <w:pPr>
              <w:pStyle w:val="CETBodytext"/>
              <w:rPr>
                <w:lang w:val="en-GB"/>
              </w:rPr>
            </w:pPr>
          </w:p>
        </w:tc>
        <w:tc>
          <w:tcPr>
            <w:tcW w:w="2124" w:type="dxa"/>
            <w:tcBorders>
              <w:top w:val="single" w:sz="12" w:space="0" w:color="008000"/>
              <w:bottom w:val="single" w:sz="6" w:space="0" w:color="008000"/>
            </w:tcBorders>
            <w:shd w:val="clear" w:color="auto" w:fill="FFFFFF"/>
          </w:tcPr>
          <w:p w14:paraId="29422195" w14:textId="23643A77" w:rsidR="002402ED" w:rsidRPr="00B57B36" w:rsidRDefault="002402ED" w:rsidP="009B7825">
            <w:pPr>
              <w:pStyle w:val="CETBodytext"/>
              <w:rPr>
                <w:lang w:val="en-GB"/>
              </w:rPr>
            </w:pPr>
            <w:r>
              <w:rPr>
                <w:lang w:val="en-GB"/>
              </w:rPr>
              <w:t>Thresholding (6.80)</w:t>
            </w:r>
          </w:p>
        </w:tc>
      </w:tr>
      <w:tr w:rsidR="002402ED" w:rsidRPr="00B57B36" w14:paraId="4CDECBCB" w14:textId="690F239F" w:rsidTr="002402ED">
        <w:tc>
          <w:tcPr>
            <w:tcW w:w="993" w:type="dxa"/>
            <w:shd w:val="clear" w:color="auto" w:fill="FFFFFF"/>
          </w:tcPr>
          <w:p w14:paraId="06B0F054" w14:textId="1104EBB4" w:rsidR="002402ED" w:rsidRPr="00B57B36" w:rsidRDefault="002402ED" w:rsidP="009B7825">
            <w:pPr>
              <w:pStyle w:val="CETBodytext"/>
              <w:rPr>
                <w:lang w:val="en-GB"/>
              </w:rPr>
            </w:pPr>
            <w:r>
              <w:rPr>
                <w:lang w:val="en-GB"/>
              </w:rPr>
              <w:t>Trip1</w:t>
            </w:r>
          </w:p>
        </w:tc>
        <w:tc>
          <w:tcPr>
            <w:tcW w:w="1134" w:type="dxa"/>
            <w:shd w:val="clear" w:color="auto" w:fill="FFFFFF"/>
          </w:tcPr>
          <w:p w14:paraId="4D0078B8" w14:textId="405287B1" w:rsidR="002402ED" w:rsidRPr="00B57B36" w:rsidRDefault="002402ED" w:rsidP="009B7825">
            <w:pPr>
              <w:pStyle w:val="CETBodytext"/>
              <w:rPr>
                <w:lang w:val="en-GB"/>
              </w:rPr>
            </w:pPr>
            <w:r>
              <w:rPr>
                <w:lang w:val="en-GB"/>
              </w:rPr>
              <w:t>2.29</w:t>
            </w:r>
          </w:p>
        </w:tc>
        <w:tc>
          <w:tcPr>
            <w:tcW w:w="425" w:type="dxa"/>
            <w:shd w:val="clear" w:color="auto" w:fill="FFFFFF"/>
          </w:tcPr>
          <w:p w14:paraId="6FBC7F83" w14:textId="77777777" w:rsidR="002402ED" w:rsidRDefault="002402ED" w:rsidP="009B7825">
            <w:pPr>
              <w:pStyle w:val="CETBodytext"/>
              <w:rPr>
                <w:lang w:val="en-GB"/>
              </w:rPr>
            </w:pPr>
          </w:p>
        </w:tc>
        <w:tc>
          <w:tcPr>
            <w:tcW w:w="2124" w:type="dxa"/>
            <w:shd w:val="clear" w:color="auto" w:fill="FFFFFF"/>
          </w:tcPr>
          <w:p w14:paraId="04D68A72" w14:textId="0F489D05" w:rsidR="002402ED" w:rsidRDefault="002402ED" w:rsidP="009B7825">
            <w:pPr>
              <w:pStyle w:val="CETBodytext"/>
              <w:rPr>
                <w:lang w:val="en-GB"/>
              </w:rPr>
            </w:pPr>
            <w:r>
              <w:rPr>
                <w:lang w:val="en-GB"/>
              </w:rPr>
              <w:t>&lt;</w:t>
            </w:r>
          </w:p>
        </w:tc>
      </w:tr>
      <w:tr w:rsidR="002402ED" w:rsidRPr="00B57B36" w14:paraId="43E7E74D" w14:textId="3589D84F" w:rsidTr="002402ED">
        <w:tc>
          <w:tcPr>
            <w:tcW w:w="993" w:type="dxa"/>
            <w:shd w:val="clear" w:color="auto" w:fill="FFFFFF"/>
          </w:tcPr>
          <w:p w14:paraId="1E7285D4" w14:textId="0A30A5E5" w:rsidR="002402ED" w:rsidRPr="00B57B36" w:rsidRDefault="002402ED" w:rsidP="009B7825">
            <w:pPr>
              <w:pStyle w:val="CETBodytext"/>
              <w:rPr>
                <w:lang w:val="en-GB"/>
              </w:rPr>
            </w:pPr>
            <w:r>
              <w:rPr>
                <w:lang w:val="en-GB"/>
              </w:rPr>
              <w:t>Trip2</w:t>
            </w:r>
          </w:p>
        </w:tc>
        <w:tc>
          <w:tcPr>
            <w:tcW w:w="1134" w:type="dxa"/>
            <w:shd w:val="clear" w:color="auto" w:fill="FFFFFF"/>
          </w:tcPr>
          <w:p w14:paraId="2A84CE37" w14:textId="39951C9D" w:rsidR="002402ED" w:rsidRPr="00B57B36" w:rsidRDefault="002402ED" w:rsidP="009B7825">
            <w:pPr>
              <w:pStyle w:val="CETBodytext"/>
              <w:rPr>
                <w:lang w:val="en-GB"/>
              </w:rPr>
            </w:pPr>
            <w:r>
              <w:rPr>
                <w:lang w:val="en-GB"/>
              </w:rPr>
              <w:t>9.32</w:t>
            </w:r>
          </w:p>
        </w:tc>
        <w:tc>
          <w:tcPr>
            <w:tcW w:w="425" w:type="dxa"/>
            <w:shd w:val="clear" w:color="auto" w:fill="FFFFFF"/>
          </w:tcPr>
          <w:p w14:paraId="715E4C22" w14:textId="77777777" w:rsidR="002402ED" w:rsidRDefault="002402ED" w:rsidP="009B7825">
            <w:pPr>
              <w:pStyle w:val="CETBodytext"/>
              <w:rPr>
                <w:lang w:val="en-GB"/>
              </w:rPr>
            </w:pPr>
          </w:p>
        </w:tc>
        <w:tc>
          <w:tcPr>
            <w:tcW w:w="2124" w:type="dxa"/>
            <w:shd w:val="clear" w:color="auto" w:fill="FFFFFF"/>
          </w:tcPr>
          <w:p w14:paraId="043C1E94" w14:textId="2D74B55C" w:rsidR="002402ED" w:rsidRDefault="002402ED" w:rsidP="009B7825">
            <w:pPr>
              <w:pStyle w:val="CETBodytext"/>
              <w:rPr>
                <w:lang w:val="en-GB"/>
              </w:rPr>
            </w:pPr>
            <w:r>
              <w:rPr>
                <w:lang w:val="en-GB"/>
              </w:rPr>
              <w:t>&gt;</w:t>
            </w:r>
          </w:p>
        </w:tc>
      </w:tr>
      <w:tr w:rsidR="002402ED" w:rsidRPr="00B57B36" w14:paraId="3943519F" w14:textId="116DB902" w:rsidTr="002402ED">
        <w:tc>
          <w:tcPr>
            <w:tcW w:w="993" w:type="dxa"/>
            <w:shd w:val="clear" w:color="auto" w:fill="FFFFFF"/>
          </w:tcPr>
          <w:p w14:paraId="3E2E664C" w14:textId="6AE6EA53" w:rsidR="002402ED" w:rsidRPr="00B57B36" w:rsidRDefault="002402ED" w:rsidP="009B7825">
            <w:pPr>
              <w:pStyle w:val="CETBodytext"/>
              <w:rPr>
                <w:lang w:val="en-GB"/>
              </w:rPr>
            </w:pPr>
            <w:r>
              <w:rPr>
                <w:lang w:val="en-GB"/>
              </w:rPr>
              <w:t>Trip6</w:t>
            </w:r>
          </w:p>
        </w:tc>
        <w:tc>
          <w:tcPr>
            <w:tcW w:w="1134" w:type="dxa"/>
            <w:shd w:val="clear" w:color="auto" w:fill="FFFFFF"/>
          </w:tcPr>
          <w:p w14:paraId="15174874" w14:textId="6BEC1919" w:rsidR="002402ED" w:rsidRPr="00B57B36" w:rsidRDefault="002402ED" w:rsidP="009B7825">
            <w:pPr>
              <w:pStyle w:val="CETBodytext"/>
              <w:rPr>
                <w:lang w:val="en-GB"/>
              </w:rPr>
            </w:pPr>
            <w:r>
              <w:rPr>
                <w:lang w:val="en-GB"/>
              </w:rPr>
              <w:t>1.41</w:t>
            </w:r>
          </w:p>
        </w:tc>
        <w:tc>
          <w:tcPr>
            <w:tcW w:w="425" w:type="dxa"/>
            <w:shd w:val="clear" w:color="auto" w:fill="FFFFFF"/>
          </w:tcPr>
          <w:p w14:paraId="71628BAF" w14:textId="77777777" w:rsidR="002402ED" w:rsidRDefault="002402ED" w:rsidP="009B7825">
            <w:pPr>
              <w:pStyle w:val="CETBodytext"/>
              <w:rPr>
                <w:lang w:val="en-GB"/>
              </w:rPr>
            </w:pPr>
          </w:p>
        </w:tc>
        <w:tc>
          <w:tcPr>
            <w:tcW w:w="2124" w:type="dxa"/>
            <w:shd w:val="clear" w:color="auto" w:fill="FFFFFF"/>
          </w:tcPr>
          <w:p w14:paraId="395F3FC5" w14:textId="499B99A8" w:rsidR="002402ED" w:rsidRDefault="002402ED" w:rsidP="009B7825">
            <w:pPr>
              <w:pStyle w:val="CETBodytext"/>
              <w:rPr>
                <w:lang w:val="en-GB"/>
              </w:rPr>
            </w:pPr>
            <w:r>
              <w:rPr>
                <w:lang w:val="en-GB"/>
              </w:rPr>
              <w:t>&lt;</w:t>
            </w:r>
          </w:p>
        </w:tc>
      </w:tr>
      <w:tr w:rsidR="002402ED" w:rsidRPr="00B57B36" w14:paraId="58D3AC97" w14:textId="161E2B55" w:rsidTr="002402ED">
        <w:tc>
          <w:tcPr>
            <w:tcW w:w="993" w:type="dxa"/>
            <w:shd w:val="clear" w:color="auto" w:fill="FFFFFF"/>
          </w:tcPr>
          <w:p w14:paraId="2EA14474" w14:textId="1CBDDC42" w:rsidR="002402ED" w:rsidRPr="00B57B36" w:rsidRDefault="002402ED" w:rsidP="009B7825">
            <w:pPr>
              <w:pStyle w:val="CETBodytext"/>
              <w:rPr>
                <w:lang w:val="en-GB"/>
              </w:rPr>
            </w:pPr>
            <w:r>
              <w:rPr>
                <w:lang w:val="en-GB"/>
              </w:rPr>
              <w:t>Trip7</w:t>
            </w:r>
          </w:p>
        </w:tc>
        <w:tc>
          <w:tcPr>
            <w:tcW w:w="1134" w:type="dxa"/>
            <w:shd w:val="clear" w:color="auto" w:fill="FFFFFF"/>
          </w:tcPr>
          <w:p w14:paraId="7BCBE9C2" w14:textId="7ED94846" w:rsidR="002402ED" w:rsidRPr="00B57B36" w:rsidRDefault="002402ED" w:rsidP="009B7825">
            <w:pPr>
              <w:pStyle w:val="CETBodytext"/>
              <w:rPr>
                <w:lang w:val="en-GB"/>
              </w:rPr>
            </w:pPr>
            <w:r>
              <w:rPr>
                <w:lang w:val="en-GB"/>
              </w:rPr>
              <w:t>13.65</w:t>
            </w:r>
          </w:p>
        </w:tc>
        <w:tc>
          <w:tcPr>
            <w:tcW w:w="425" w:type="dxa"/>
            <w:shd w:val="clear" w:color="auto" w:fill="FFFFFF"/>
          </w:tcPr>
          <w:p w14:paraId="444C39BB" w14:textId="77777777" w:rsidR="002402ED" w:rsidRDefault="002402ED" w:rsidP="009B7825">
            <w:pPr>
              <w:pStyle w:val="CETBodytext"/>
              <w:rPr>
                <w:lang w:val="en-GB"/>
              </w:rPr>
            </w:pPr>
          </w:p>
        </w:tc>
        <w:tc>
          <w:tcPr>
            <w:tcW w:w="2124" w:type="dxa"/>
            <w:shd w:val="clear" w:color="auto" w:fill="FFFFFF"/>
          </w:tcPr>
          <w:p w14:paraId="1E71094A" w14:textId="6C95A79E" w:rsidR="002402ED" w:rsidRDefault="002402ED" w:rsidP="009B7825">
            <w:pPr>
              <w:pStyle w:val="CETBodytext"/>
              <w:rPr>
                <w:lang w:val="en-GB"/>
              </w:rPr>
            </w:pPr>
            <w:r>
              <w:rPr>
                <w:lang w:val="en-GB"/>
              </w:rPr>
              <w:t>&gt;</w:t>
            </w:r>
          </w:p>
        </w:tc>
      </w:tr>
      <w:tr w:rsidR="002402ED" w:rsidRPr="00B57B36" w14:paraId="69B77B6D" w14:textId="717E1234" w:rsidTr="002402ED">
        <w:tc>
          <w:tcPr>
            <w:tcW w:w="993" w:type="dxa"/>
            <w:shd w:val="clear" w:color="auto" w:fill="FFFFFF"/>
          </w:tcPr>
          <w:p w14:paraId="18A7AF10" w14:textId="1293FA1E" w:rsidR="002402ED" w:rsidRPr="00B57B36" w:rsidRDefault="002402ED" w:rsidP="009B7825">
            <w:pPr>
              <w:pStyle w:val="CETBodytext"/>
              <w:rPr>
                <w:lang w:val="en-GB"/>
              </w:rPr>
            </w:pPr>
            <w:r>
              <w:rPr>
                <w:lang w:val="en-GB"/>
              </w:rPr>
              <w:t>Trip10</w:t>
            </w:r>
          </w:p>
        </w:tc>
        <w:tc>
          <w:tcPr>
            <w:tcW w:w="1134" w:type="dxa"/>
            <w:shd w:val="clear" w:color="auto" w:fill="FFFFFF"/>
          </w:tcPr>
          <w:p w14:paraId="73F3C41D" w14:textId="121E877E" w:rsidR="002402ED" w:rsidRPr="00B57B36" w:rsidRDefault="002402ED" w:rsidP="009B7825">
            <w:pPr>
              <w:pStyle w:val="CETBodytext"/>
              <w:rPr>
                <w:lang w:val="en-GB"/>
              </w:rPr>
            </w:pPr>
            <w:r>
              <w:rPr>
                <w:lang w:val="en-GB"/>
              </w:rPr>
              <w:t>22.78</w:t>
            </w:r>
          </w:p>
        </w:tc>
        <w:tc>
          <w:tcPr>
            <w:tcW w:w="425" w:type="dxa"/>
            <w:shd w:val="clear" w:color="auto" w:fill="FFFFFF"/>
          </w:tcPr>
          <w:p w14:paraId="76C644B4" w14:textId="77777777" w:rsidR="002402ED" w:rsidRDefault="002402ED" w:rsidP="009B7825">
            <w:pPr>
              <w:pStyle w:val="CETBodytext"/>
              <w:rPr>
                <w:lang w:val="en-GB"/>
              </w:rPr>
            </w:pPr>
          </w:p>
        </w:tc>
        <w:tc>
          <w:tcPr>
            <w:tcW w:w="2124" w:type="dxa"/>
            <w:shd w:val="clear" w:color="auto" w:fill="FFFFFF"/>
          </w:tcPr>
          <w:p w14:paraId="0C8D492F" w14:textId="3B4F92FA" w:rsidR="002402ED" w:rsidRDefault="002402ED" w:rsidP="009B7825">
            <w:pPr>
              <w:pStyle w:val="CETBodytext"/>
              <w:rPr>
                <w:lang w:val="en-GB"/>
              </w:rPr>
            </w:pPr>
            <w:r>
              <w:rPr>
                <w:lang w:val="en-GB"/>
              </w:rPr>
              <w:t>&gt;</w:t>
            </w:r>
          </w:p>
        </w:tc>
      </w:tr>
      <w:tr w:rsidR="002402ED" w:rsidRPr="00B57B36" w14:paraId="5CD50AB9" w14:textId="233D3FF5" w:rsidTr="002402ED">
        <w:tc>
          <w:tcPr>
            <w:tcW w:w="993" w:type="dxa"/>
            <w:shd w:val="clear" w:color="auto" w:fill="FFFFFF"/>
          </w:tcPr>
          <w:p w14:paraId="1A3CFBE5" w14:textId="02D792DF" w:rsidR="002402ED" w:rsidRPr="00B57B36" w:rsidRDefault="002402ED" w:rsidP="009B7825">
            <w:pPr>
              <w:pStyle w:val="CETBodytext"/>
              <w:ind w:right="-1"/>
              <w:rPr>
                <w:rFonts w:cs="Arial"/>
                <w:szCs w:val="18"/>
                <w:lang w:val="en-GB"/>
              </w:rPr>
            </w:pPr>
            <w:r>
              <w:rPr>
                <w:rFonts w:cs="Arial"/>
                <w:szCs w:val="18"/>
                <w:lang w:val="en-GB"/>
              </w:rPr>
              <w:t>Trip15</w:t>
            </w:r>
          </w:p>
        </w:tc>
        <w:tc>
          <w:tcPr>
            <w:tcW w:w="1134" w:type="dxa"/>
            <w:shd w:val="clear" w:color="auto" w:fill="FFFFFF"/>
          </w:tcPr>
          <w:p w14:paraId="30984F2B" w14:textId="0F089CE9" w:rsidR="002402ED" w:rsidRPr="00B57B36" w:rsidRDefault="002402ED" w:rsidP="009B7825">
            <w:pPr>
              <w:pStyle w:val="CETBodytext"/>
              <w:ind w:right="-1"/>
              <w:rPr>
                <w:rFonts w:cs="Arial"/>
                <w:szCs w:val="18"/>
                <w:lang w:val="en-GB"/>
              </w:rPr>
            </w:pPr>
            <w:r>
              <w:rPr>
                <w:rFonts w:cs="Arial"/>
                <w:szCs w:val="18"/>
                <w:lang w:val="en-GB"/>
              </w:rPr>
              <w:t>3.78</w:t>
            </w:r>
          </w:p>
        </w:tc>
        <w:tc>
          <w:tcPr>
            <w:tcW w:w="425" w:type="dxa"/>
            <w:shd w:val="clear" w:color="auto" w:fill="FFFFFF"/>
          </w:tcPr>
          <w:p w14:paraId="43004EAD" w14:textId="77777777" w:rsidR="002402ED" w:rsidRDefault="002402ED" w:rsidP="009B7825">
            <w:pPr>
              <w:pStyle w:val="CETBodytext"/>
              <w:ind w:right="-1"/>
              <w:rPr>
                <w:rFonts w:cs="Arial"/>
                <w:szCs w:val="18"/>
                <w:lang w:val="en-GB"/>
              </w:rPr>
            </w:pPr>
          </w:p>
        </w:tc>
        <w:tc>
          <w:tcPr>
            <w:tcW w:w="2124" w:type="dxa"/>
            <w:shd w:val="clear" w:color="auto" w:fill="FFFFFF"/>
          </w:tcPr>
          <w:p w14:paraId="7FCB5019" w14:textId="2F469CF6" w:rsidR="002402ED" w:rsidRDefault="002402ED" w:rsidP="009B7825">
            <w:pPr>
              <w:pStyle w:val="CETBodytext"/>
              <w:ind w:right="-1"/>
              <w:rPr>
                <w:rFonts w:cs="Arial"/>
                <w:szCs w:val="18"/>
                <w:lang w:val="en-GB"/>
              </w:rPr>
            </w:pPr>
            <w:r>
              <w:rPr>
                <w:rFonts w:cs="Arial"/>
                <w:szCs w:val="18"/>
                <w:lang w:val="en-GB"/>
              </w:rPr>
              <w:t>&lt;</w:t>
            </w:r>
          </w:p>
        </w:tc>
      </w:tr>
    </w:tbl>
    <w:p w14:paraId="164FBF2E" w14:textId="6EA646C4" w:rsidR="00F9572D" w:rsidRPr="00FD3EB9" w:rsidRDefault="0000783F" w:rsidP="0000783F">
      <w:pPr>
        <w:pStyle w:val="CETHeading1"/>
        <w:numPr>
          <w:ilvl w:val="0"/>
          <w:numId w:val="0"/>
        </w:numPr>
        <w:tabs>
          <w:tab w:val="left" w:pos="360"/>
        </w:tabs>
        <w:jc w:val="both"/>
        <w:rPr>
          <w:b w:val="0"/>
          <w:sz w:val="18"/>
        </w:rPr>
      </w:pPr>
      <w:r w:rsidRPr="00FD3EB9">
        <w:rPr>
          <w:b w:val="0"/>
          <w:sz w:val="18"/>
        </w:rPr>
        <w:t>The model's adaptability to diverse industrial vehicles and operating conditions allows for comprehensive engine diagnosis through multi-sensor signal analysis, with AI-driven signal selection for enhanced efficiency.</w:t>
      </w:r>
    </w:p>
    <w:p w14:paraId="64C55CD8" w14:textId="7034D321" w:rsidR="0000783F" w:rsidRPr="002124A6" w:rsidRDefault="0000783F" w:rsidP="0000783F">
      <w:pPr>
        <w:pStyle w:val="CETHeading1"/>
        <w:numPr>
          <w:ilvl w:val="1"/>
          <w:numId w:val="24"/>
        </w:numPr>
        <w:tabs>
          <w:tab w:val="left" w:pos="360"/>
        </w:tabs>
      </w:pPr>
      <w:r>
        <w:t>Conclusions</w:t>
      </w:r>
    </w:p>
    <w:p w14:paraId="7AF14C1B" w14:textId="402B82B9" w:rsidR="00BF4744" w:rsidRPr="00BF4744" w:rsidRDefault="00840F27" w:rsidP="00C232A7">
      <w:pPr>
        <w:pStyle w:val="CETBodytext"/>
      </w:pPr>
      <w:r w:rsidRPr="00840F27">
        <w:t>This article demonstrates the effectiveness of a predictive maintenance system for industrial vehicles, particularly those handling hazardous materials. By combining a modular IoT-based Monitoring System (MS) for real-time data acquisition (engine status, location, driver/asset info) with a machine learning-driven anomaly detection methodology, the system successfully identified simulated malfunctions in a case study.  Analysis of both clustered and raw/filtered IAT signals clearly demonstrates the system's ability to isolate anomalous signals, including those outside the normal operating range (Trip7 and Trip2) and those exhibiting atypical trends within it (Trip10), showcasing its effectiveness in detecting malfunctions.</w:t>
      </w:r>
      <w:r>
        <w:t xml:space="preserve"> </w:t>
      </w:r>
      <w:r w:rsidRPr="00840F27">
        <w:t>The results showcase the potential for proactive anomaly detection, enabling timely interventions, minimizing downtime, and improving safety and reliability, thus mitigating the risks of catastrophic failures and environmental damage.  This research provides a practical example of how IoT and machine learning can be applied to advance predictive maintenance in complex industrial environments.</w:t>
      </w:r>
    </w:p>
    <w:p w14:paraId="3B9BD5F8" w14:textId="77777777" w:rsidR="00E47A21" w:rsidRPr="00B57B36" w:rsidRDefault="00E47A21" w:rsidP="00E47A21">
      <w:pPr>
        <w:pStyle w:val="CETReference"/>
      </w:pPr>
      <w:r w:rsidRPr="00B57B36">
        <w:t>References</w:t>
      </w:r>
    </w:p>
    <w:p w14:paraId="4D5C9316" w14:textId="77777777" w:rsidR="00E47A21" w:rsidRPr="00FD3EB9" w:rsidRDefault="00E47A21" w:rsidP="00E47A21">
      <w:pPr>
        <w:pStyle w:val="paragraph"/>
        <w:spacing w:before="0" w:beforeAutospacing="0" w:after="0" w:afterAutospacing="0" w:line="264" w:lineRule="auto"/>
        <w:ind w:left="284" w:hanging="284"/>
        <w:jc w:val="both"/>
        <w:textAlignment w:val="baseline"/>
        <w:rPr>
          <w:rFonts w:ascii="Arial" w:hAnsi="Arial" w:cs="Arial"/>
          <w:sz w:val="18"/>
          <w:szCs w:val="18"/>
          <w:lang w:val="en-US"/>
        </w:rPr>
      </w:pPr>
      <w:r w:rsidRPr="00FD3EB9">
        <w:rPr>
          <w:rStyle w:val="normaltextrun"/>
          <w:rFonts w:ascii="Arial" w:hAnsi="Arial" w:cs="Arial"/>
          <w:sz w:val="18"/>
          <w:szCs w:val="18"/>
          <w:lang w:val="en-US"/>
        </w:rPr>
        <w:t>Ahsan M., Stoyanov S., Bailey C., 2016, Prognostics of automotive electronics with data driven approach: A review. In: 39th international spring seminar on electronics technology, 279–284.</w:t>
      </w:r>
      <w:r w:rsidRPr="00FD3EB9">
        <w:rPr>
          <w:rStyle w:val="eop"/>
          <w:rFonts w:ascii="Arial" w:hAnsi="Arial" w:cs="Arial"/>
          <w:sz w:val="18"/>
          <w:szCs w:val="18"/>
          <w:lang w:val="en-US"/>
        </w:rPr>
        <w:t> </w:t>
      </w:r>
    </w:p>
    <w:p w14:paraId="5E9B51A7" w14:textId="06C98376" w:rsidR="00C30ADC" w:rsidRPr="00FD3EB9" w:rsidRDefault="00C30ADC" w:rsidP="00E47A21">
      <w:pPr>
        <w:pStyle w:val="paragraph"/>
        <w:spacing w:before="0" w:beforeAutospacing="0" w:after="0" w:afterAutospacing="0" w:line="264" w:lineRule="auto"/>
        <w:ind w:left="284" w:hanging="284"/>
        <w:jc w:val="both"/>
        <w:textAlignment w:val="baseline"/>
        <w:rPr>
          <w:rStyle w:val="normaltextrun"/>
          <w:rFonts w:ascii="Arial" w:hAnsi="Arial" w:cs="Arial"/>
          <w:sz w:val="18"/>
          <w:szCs w:val="18"/>
          <w:lang w:val="en-US"/>
        </w:rPr>
      </w:pPr>
      <w:proofErr w:type="spellStart"/>
      <w:r w:rsidRPr="00FD3EB9">
        <w:rPr>
          <w:rStyle w:val="normaltextrun"/>
          <w:rFonts w:ascii="Arial" w:hAnsi="Arial" w:cs="Arial"/>
          <w:sz w:val="18"/>
          <w:szCs w:val="18"/>
          <w:lang w:val="en-US"/>
        </w:rPr>
        <w:t>Byttner</w:t>
      </w:r>
      <w:proofErr w:type="spellEnd"/>
      <w:r w:rsidRPr="00FD3EB9">
        <w:rPr>
          <w:rStyle w:val="normaltextrun"/>
          <w:rFonts w:ascii="Arial" w:hAnsi="Arial" w:cs="Arial"/>
          <w:sz w:val="18"/>
          <w:szCs w:val="18"/>
          <w:lang w:val="en-US"/>
        </w:rPr>
        <w:t xml:space="preserve"> S., Rognvaldsson T., Svensson M., 2011, Consensus self-organized models for fault detection (COSMO). Engineering Applications of Artificial Intelligence, 24, 833-839.</w:t>
      </w:r>
    </w:p>
    <w:p w14:paraId="72489E80" w14:textId="575E6E3D" w:rsidR="00047AE9" w:rsidRPr="00FD3EB9" w:rsidRDefault="00047AE9" w:rsidP="00047AE9">
      <w:pPr>
        <w:pStyle w:val="paragraph"/>
        <w:spacing w:before="0" w:beforeAutospacing="0" w:after="0" w:afterAutospacing="0" w:line="264" w:lineRule="auto"/>
        <w:ind w:left="284" w:hanging="284"/>
        <w:jc w:val="both"/>
        <w:textAlignment w:val="baseline"/>
        <w:rPr>
          <w:rFonts w:ascii="Arial" w:hAnsi="Arial" w:cs="Arial"/>
          <w:sz w:val="18"/>
          <w:szCs w:val="18"/>
          <w:lang w:val="en-US"/>
        </w:rPr>
      </w:pPr>
      <w:proofErr w:type="spellStart"/>
      <w:r w:rsidRPr="00FD3EB9">
        <w:rPr>
          <w:rStyle w:val="eop"/>
          <w:rFonts w:ascii="Arial" w:hAnsi="Arial" w:cs="Arial"/>
          <w:sz w:val="18"/>
          <w:szCs w:val="18"/>
          <w:lang w:val="en-US"/>
        </w:rPr>
        <w:t>Elkateb</w:t>
      </w:r>
      <w:proofErr w:type="spellEnd"/>
      <w:r w:rsidRPr="00FD3EB9">
        <w:rPr>
          <w:rStyle w:val="eop"/>
          <w:rFonts w:ascii="Arial" w:hAnsi="Arial" w:cs="Arial"/>
          <w:sz w:val="18"/>
          <w:szCs w:val="18"/>
          <w:lang w:val="en-US"/>
        </w:rPr>
        <w:t xml:space="preserve"> S., </w:t>
      </w:r>
      <w:proofErr w:type="spellStart"/>
      <w:r w:rsidRPr="00FD3EB9">
        <w:rPr>
          <w:rStyle w:val="eop"/>
          <w:rFonts w:ascii="Arial" w:hAnsi="Arial" w:cs="Arial"/>
          <w:sz w:val="18"/>
          <w:szCs w:val="18"/>
          <w:lang w:val="en-US"/>
        </w:rPr>
        <w:t>Métwalli</w:t>
      </w:r>
      <w:proofErr w:type="spellEnd"/>
      <w:r w:rsidRPr="00FD3EB9">
        <w:rPr>
          <w:rStyle w:val="eop"/>
          <w:rFonts w:ascii="Arial" w:hAnsi="Arial" w:cs="Arial"/>
          <w:sz w:val="18"/>
          <w:szCs w:val="18"/>
          <w:lang w:val="en-US"/>
        </w:rPr>
        <w:t xml:space="preserve"> A., </w:t>
      </w:r>
      <w:proofErr w:type="spellStart"/>
      <w:r w:rsidRPr="00FD3EB9">
        <w:rPr>
          <w:rStyle w:val="eop"/>
          <w:rFonts w:ascii="Arial" w:hAnsi="Arial" w:cs="Arial"/>
          <w:sz w:val="18"/>
          <w:szCs w:val="18"/>
          <w:lang w:val="en-US"/>
        </w:rPr>
        <w:t>Shendy</w:t>
      </w:r>
      <w:proofErr w:type="spellEnd"/>
      <w:r w:rsidRPr="00FD3EB9">
        <w:rPr>
          <w:rStyle w:val="eop"/>
          <w:rFonts w:ascii="Arial" w:hAnsi="Arial" w:cs="Arial"/>
          <w:sz w:val="18"/>
          <w:szCs w:val="18"/>
          <w:lang w:val="en-US"/>
        </w:rPr>
        <w:t xml:space="preserve"> A., Abu-</w:t>
      </w:r>
      <w:proofErr w:type="spellStart"/>
      <w:r w:rsidRPr="00FD3EB9">
        <w:rPr>
          <w:rStyle w:val="eop"/>
          <w:rFonts w:ascii="Arial" w:hAnsi="Arial" w:cs="Arial"/>
          <w:sz w:val="18"/>
          <w:szCs w:val="18"/>
          <w:lang w:val="en-US"/>
        </w:rPr>
        <w:t>Elanien</w:t>
      </w:r>
      <w:proofErr w:type="spellEnd"/>
      <w:r w:rsidRPr="00FD3EB9">
        <w:rPr>
          <w:rStyle w:val="eop"/>
          <w:rFonts w:ascii="Arial" w:hAnsi="Arial" w:cs="Arial"/>
          <w:sz w:val="18"/>
          <w:szCs w:val="18"/>
          <w:lang w:val="en-US"/>
        </w:rPr>
        <w:t xml:space="preserve"> A.E.B., 2024, Machine learning and IoT – Based predictive maintenance approach for industrial applications. Alexandria Engineering Journal, 88, 298-309.</w:t>
      </w:r>
    </w:p>
    <w:p w14:paraId="188ADB62" w14:textId="77777777" w:rsidR="00E47A21" w:rsidRPr="00FD3EB9" w:rsidRDefault="00E47A21" w:rsidP="00E47A21">
      <w:pPr>
        <w:pStyle w:val="paragraph"/>
        <w:spacing w:before="0" w:beforeAutospacing="0" w:after="0" w:afterAutospacing="0" w:line="264" w:lineRule="auto"/>
        <w:ind w:left="284" w:hanging="284"/>
        <w:jc w:val="both"/>
        <w:textAlignment w:val="baseline"/>
        <w:rPr>
          <w:rFonts w:ascii="Arial" w:hAnsi="Arial" w:cs="Arial"/>
          <w:sz w:val="18"/>
          <w:szCs w:val="18"/>
          <w:lang w:val="en-US"/>
        </w:rPr>
      </w:pPr>
      <w:proofErr w:type="spellStart"/>
      <w:r w:rsidRPr="00FD3EB9">
        <w:rPr>
          <w:rStyle w:val="normaltextrun"/>
          <w:rFonts w:ascii="Arial" w:hAnsi="Arial" w:cs="Arial"/>
          <w:sz w:val="18"/>
          <w:szCs w:val="18"/>
          <w:lang w:val="en-US"/>
        </w:rPr>
        <w:t>Falcini</w:t>
      </w:r>
      <w:proofErr w:type="spellEnd"/>
      <w:r w:rsidRPr="00FD3EB9">
        <w:rPr>
          <w:rStyle w:val="normaltextrun"/>
          <w:rFonts w:ascii="Arial" w:hAnsi="Arial" w:cs="Arial"/>
          <w:sz w:val="18"/>
          <w:szCs w:val="18"/>
          <w:lang w:val="en-US"/>
        </w:rPr>
        <w:t xml:space="preserve"> F., Lami G., Costanza A., 2017, Deep learning in automotive software. IEEE Software, 34, 56–63.</w:t>
      </w:r>
      <w:r w:rsidRPr="00FD3EB9">
        <w:rPr>
          <w:rStyle w:val="eop"/>
          <w:rFonts w:ascii="Arial" w:hAnsi="Arial" w:cs="Arial"/>
          <w:sz w:val="18"/>
          <w:szCs w:val="18"/>
          <w:lang w:val="en-US"/>
        </w:rPr>
        <w:t> </w:t>
      </w:r>
    </w:p>
    <w:p w14:paraId="220EEF15" w14:textId="6C0FFB67" w:rsidR="00E47A21" w:rsidRPr="00FD3EB9" w:rsidRDefault="00E47A21" w:rsidP="002A3C9F">
      <w:pPr>
        <w:pStyle w:val="paragraph"/>
        <w:spacing w:before="0" w:beforeAutospacing="0" w:after="0" w:afterAutospacing="0" w:line="264" w:lineRule="auto"/>
        <w:ind w:left="284" w:hanging="284"/>
        <w:jc w:val="both"/>
        <w:textAlignment w:val="baseline"/>
        <w:rPr>
          <w:rStyle w:val="eop"/>
          <w:rFonts w:ascii="Arial" w:hAnsi="Arial" w:cs="Arial"/>
          <w:sz w:val="18"/>
          <w:szCs w:val="18"/>
          <w:lang w:val="en-US"/>
        </w:rPr>
      </w:pPr>
      <w:r w:rsidRPr="00FD3EB9">
        <w:rPr>
          <w:rStyle w:val="normaltextrun"/>
          <w:rFonts w:ascii="Arial" w:hAnsi="Arial" w:cs="Arial"/>
          <w:sz w:val="18"/>
          <w:szCs w:val="18"/>
          <w:lang w:val="en-US"/>
        </w:rPr>
        <w:t>Li J., Cheng H., Guo H., Qiu S., 2018, Survey on artificial intelligence for vehicles. Automotive Inn</w:t>
      </w:r>
      <w:r w:rsidR="006A537F" w:rsidRPr="00FD3EB9">
        <w:rPr>
          <w:rStyle w:val="normaltextrun"/>
          <w:rFonts w:ascii="Arial" w:hAnsi="Arial" w:cs="Arial"/>
          <w:sz w:val="18"/>
          <w:szCs w:val="18"/>
          <w:lang w:val="en-US"/>
        </w:rPr>
        <w:t>ovation, 1, 2-</w:t>
      </w:r>
      <w:r w:rsidRPr="00FD3EB9">
        <w:rPr>
          <w:rStyle w:val="normaltextrun"/>
          <w:rFonts w:ascii="Arial" w:hAnsi="Arial" w:cs="Arial"/>
          <w:sz w:val="18"/>
          <w:szCs w:val="18"/>
          <w:lang w:val="en-US"/>
        </w:rPr>
        <w:t xml:space="preserve">14. </w:t>
      </w:r>
      <w:r w:rsidRPr="00FD3EB9">
        <w:rPr>
          <w:rStyle w:val="eop"/>
          <w:rFonts w:ascii="Arial" w:hAnsi="Arial" w:cs="Arial"/>
          <w:sz w:val="18"/>
          <w:szCs w:val="18"/>
          <w:lang w:val="en-US"/>
        </w:rPr>
        <w:t> </w:t>
      </w:r>
    </w:p>
    <w:p w14:paraId="4CCCD9F8" w14:textId="76E5AB17" w:rsidR="00C30ADC" w:rsidRPr="00FD3EB9" w:rsidRDefault="00C30ADC" w:rsidP="002A3C9F">
      <w:pPr>
        <w:pStyle w:val="paragraph"/>
        <w:spacing w:before="0" w:beforeAutospacing="0" w:after="0" w:afterAutospacing="0" w:line="264" w:lineRule="auto"/>
        <w:ind w:left="284" w:hanging="284"/>
        <w:jc w:val="both"/>
        <w:textAlignment w:val="baseline"/>
        <w:rPr>
          <w:rFonts w:ascii="Arial" w:hAnsi="Arial" w:cs="Arial"/>
          <w:sz w:val="18"/>
          <w:szCs w:val="18"/>
          <w:lang w:val="en-US"/>
        </w:rPr>
      </w:pPr>
      <w:r w:rsidRPr="00FD3EB9">
        <w:rPr>
          <w:rFonts w:ascii="Arial" w:hAnsi="Arial" w:cs="Arial"/>
          <w:sz w:val="18"/>
          <w:szCs w:val="18"/>
          <w:lang w:val="en-US"/>
        </w:rPr>
        <w:t xml:space="preserve">Killeen P., Ding B., </w:t>
      </w:r>
      <w:proofErr w:type="spellStart"/>
      <w:r w:rsidR="00047AE9" w:rsidRPr="00FD3EB9">
        <w:rPr>
          <w:rFonts w:ascii="Arial" w:hAnsi="Arial" w:cs="Arial"/>
          <w:sz w:val="18"/>
          <w:szCs w:val="18"/>
          <w:lang w:val="en-US"/>
        </w:rPr>
        <w:t>K</w:t>
      </w:r>
      <w:r w:rsidRPr="00FD3EB9">
        <w:rPr>
          <w:rFonts w:ascii="Arial" w:hAnsi="Arial" w:cs="Arial"/>
          <w:sz w:val="18"/>
          <w:szCs w:val="18"/>
          <w:lang w:val="en-US"/>
        </w:rPr>
        <w:t>iringa</w:t>
      </w:r>
      <w:proofErr w:type="spellEnd"/>
      <w:r w:rsidRPr="00FD3EB9">
        <w:rPr>
          <w:rFonts w:ascii="Arial" w:hAnsi="Arial" w:cs="Arial"/>
          <w:sz w:val="18"/>
          <w:szCs w:val="18"/>
          <w:lang w:val="en-US"/>
        </w:rPr>
        <w:t xml:space="preserve"> I., Yeap T., 2019, IoT-based predictive maintenance for fleet management, Procedia Computer Science, 151, 607-613.</w:t>
      </w:r>
    </w:p>
    <w:p w14:paraId="2AA4C307" w14:textId="535918A0" w:rsidR="00047AE9" w:rsidRPr="00FD3EB9" w:rsidRDefault="00047AE9" w:rsidP="002A3C9F">
      <w:pPr>
        <w:pStyle w:val="paragraph"/>
        <w:spacing w:before="0" w:beforeAutospacing="0" w:after="0" w:afterAutospacing="0" w:line="264" w:lineRule="auto"/>
        <w:ind w:left="284" w:hanging="284"/>
        <w:textAlignment w:val="baseline"/>
        <w:rPr>
          <w:rFonts w:ascii="Arial" w:hAnsi="Arial" w:cs="Arial"/>
          <w:sz w:val="18"/>
          <w:szCs w:val="18"/>
          <w:lang w:val="en-US"/>
        </w:rPr>
      </w:pPr>
      <w:proofErr w:type="spellStart"/>
      <w:r w:rsidRPr="00FD3EB9">
        <w:rPr>
          <w:rFonts w:ascii="Arial" w:hAnsi="Arial" w:cs="Arial"/>
          <w:sz w:val="18"/>
          <w:szCs w:val="18"/>
          <w:lang w:val="en-US"/>
        </w:rPr>
        <w:t>Kuftinova</w:t>
      </w:r>
      <w:proofErr w:type="spellEnd"/>
      <w:r w:rsidRPr="00FD3EB9">
        <w:rPr>
          <w:rFonts w:ascii="Arial" w:hAnsi="Arial" w:cs="Arial"/>
          <w:sz w:val="18"/>
          <w:szCs w:val="18"/>
          <w:lang w:val="en-US"/>
        </w:rPr>
        <w:t xml:space="preserve"> N.G., </w:t>
      </w:r>
      <w:proofErr w:type="spellStart"/>
      <w:r w:rsidRPr="00FD3EB9">
        <w:rPr>
          <w:rFonts w:ascii="Arial" w:hAnsi="Arial" w:cs="Arial"/>
          <w:sz w:val="18"/>
          <w:szCs w:val="18"/>
          <w:lang w:val="en-US"/>
        </w:rPr>
        <w:t>Ostroukh</w:t>
      </w:r>
      <w:proofErr w:type="spellEnd"/>
      <w:r w:rsidRPr="00FD3EB9">
        <w:rPr>
          <w:rFonts w:ascii="Arial" w:hAnsi="Arial" w:cs="Arial"/>
          <w:sz w:val="18"/>
          <w:szCs w:val="18"/>
          <w:lang w:val="en-US"/>
        </w:rPr>
        <w:t xml:space="preserve"> A.V., </w:t>
      </w:r>
      <w:proofErr w:type="spellStart"/>
      <w:r w:rsidRPr="00FD3EB9">
        <w:rPr>
          <w:rFonts w:ascii="Arial" w:hAnsi="Arial" w:cs="Arial"/>
          <w:sz w:val="18"/>
          <w:szCs w:val="18"/>
          <w:lang w:val="en-US"/>
        </w:rPr>
        <w:t>Maksimychev</w:t>
      </w:r>
      <w:proofErr w:type="spellEnd"/>
      <w:r w:rsidRPr="00FD3EB9">
        <w:rPr>
          <w:rFonts w:ascii="Arial" w:hAnsi="Arial" w:cs="Arial"/>
          <w:sz w:val="18"/>
          <w:szCs w:val="18"/>
          <w:lang w:val="en-US"/>
        </w:rPr>
        <w:t xml:space="preserve"> O.I., Pronin C.B., 2024, Efficient Machine Learning Methods for Real-Time Transport System Optimization and Predictive Maintenance</w:t>
      </w:r>
      <w:r w:rsidR="002A3C9F" w:rsidRPr="00FD3EB9">
        <w:rPr>
          <w:rFonts w:ascii="Arial" w:hAnsi="Arial" w:cs="Arial"/>
          <w:sz w:val="18"/>
          <w:szCs w:val="18"/>
          <w:lang w:val="en-US"/>
        </w:rPr>
        <w:t>. 2024 Intelligent Technologies and Electronic Devices in Vehicle and Road Transport Complex.</w:t>
      </w:r>
    </w:p>
    <w:p w14:paraId="31F6C01D" w14:textId="797C2502" w:rsidR="00E47A21" w:rsidRPr="00E47A21" w:rsidRDefault="00E47A21" w:rsidP="002A3C9F">
      <w:pPr>
        <w:pStyle w:val="paragraph"/>
        <w:spacing w:before="0" w:beforeAutospacing="0" w:after="0" w:afterAutospacing="0" w:line="264" w:lineRule="auto"/>
        <w:ind w:left="284" w:hanging="284"/>
        <w:textAlignment w:val="baseline"/>
        <w:rPr>
          <w:rFonts w:ascii="Arial" w:hAnsi="Arial" w:cs="Arial"/>
          <w:sz w:val="18"/>
          <w:szCs w:val="18"/>
          <w:lang w:val="en-US"/>
        </w:rPr>
      </w:pPr>
      <w:r w:rsidRPr="00FD3EB9">
        <w:rPr>
          <w:rStyle w:val="normaltextrun"/>
          <w:rFonts w:ascii="Arial" w:hAnsi="Arial" w:cs="Arial"/>
          <w:sz w:val="18"/>
          <w:szCs w:val="18"/>
          <w:lang w:val="en-US"/>
        </w:rPr>
        <w:t xml:space="preserve">Nowakowski T., Tubis A., </w:t>
      </w:r>
      <w:proofErr w:type="spellStart"/>
      <w:r w:rsidRPr="00FD3EB9">
        <w:rPr>
          <w:rStyle w:val="normaltextrun"/>
          <w:rFonts w:ascii="Arial" w:hAnsi="Arial" w:cs="Arial"/>
          <w:sz w:val="18"/>
          <w:szCs w:val="18"/>
          <w:lang w:val="en-US"/>
        </w:rPr>
        <w:t>Werbińska</w:t>
      </w:r>
      <w:proofErr w:type="spellEnd"/>
      <w:r w:rsidRPr="00FD3EB9">
        <w:rPr>
          <w:rStyle w:val="normaltextrun"/>
          <w:rFonts w:ascii="Arial" w:hAnsi="Arial" w:cs="Arial"/>
          <w:sz w:val="18"/>
          <w:szCs w:val="18"/>
          <w:lang w:val="en-US"/>
        </w:rPr>
        <w:t>-Wojciechowska S., 2018, Evolution of technical systems maintenance approaches–review and a case study. In: International conference on intelligent systems in production engineering and maintenance. Springer, 161–74</w:t>
      </w:r>
      <w:r w:rsidRPr="00E47A21">
        <w:rPr>
          <w:rStyle w:val="normaltextrun"/>
          <w:rFonts w:ascii="Arial" w:hAnsi="Arial" w:cs="Arial"/>
          <w:sz w:val="18"/>
          <w:szCs w:val="18"/>
          <w:lang w:val="en-US"/>
        </w:rPr>
        <w:t>.</w:t>
      </w:r>
      <w:r w:rsidRPr="00E47A21">
        <w:rPr>
          <w:rStyle w:val="eop"/>
          <w:rFonts w:ascii="Arial" w:hAnsi="Arial" w:cs="Arial"/>
          <w:sz w:val="18"/>
          <w:szCs w:val="18"/>
          <w:lang w:val="en-US"/>
        </w:rPr>
        <w:t> </w:t>
      </w:r>
    </w:p>
    <w:p w14:paraId="6234D6F3" w14:textId="77777777" w:rsidR="00E47A21" w:rsidRPr="00E47A21" w:rsidRDefault="00E47A21" w:rsidP="002A3C9F">
      <w:pPr>
        <w:pStyle w:val="paragraph"/>
        <w:spacing w:before="0" w:beforeAutospacing="0" w:after="0" w:afterAutospacing="0" w:line="264" w:lineRule="auto"/>
        <w:ind w:left="284" w:hanging="284"/>
        <w:jc w:val="both"/>
        <w:textAlignment w:val="baseline"/>
        <w:rPr>
          <w:rFonts w:ascii="Arial" w:hAnsi="Arial" w:cs="Arial"/>
          <w:sz w:val="18"/>
          <w:szCs w:val="18"/>
          <w:lang w:val="en-US"/>
        </w:rPr>
      </w:pPr>
      <w:r w:rsidRPr="00E47A21">
        <w:rPr>
          <w:rStyle w:val="normaltextrun"/>
          <w:rFonts w:ascii="Arial" w:hAnsi="Arial" w:cs="Arial"/>
          <w:sz w:val="18"/>
          <w:szCs w:val="18"/>
          <w:lang w:val="en-US"/>
        </w:rPr>
        <w:t xml:space="preserve">Peng Y., Dong M., Zuo M., 2010, </w:t>
      </w:r>
      <w:proofErr w:type="gramStart"/>
      <w:r w:rsidRPr="00E47A21">
        <w:rPr>
          <w:rStyle w:val="normaltextrun"/>
          <w:rFonts w:ascii="Arial" w:hAnsi="Arial" w:cs="Arial"/>
          <w:sz w:val="18"/>
          <w:szCs w:val="18"/>
          <w:lang w:val="en-US"/>
        </w:rPr>
        <w:t>Current status</w:t>
      </w:r>
      <w:proofErr w:type="gramEnd"/>
      <w:r w:rsidRPr="00E47A21">
        <w:rPr>
          <w:rStyle w:val="normaltextrun"/>
          <w:rFonts w:ascii="Arial" w:hAnsi="Arial" w:cs="Arial"/>
          <w:sz w:val="18"/>
          <w:szCs w:val="18"/>
          <w:lang w:val="en-US"/>
        </w:rPr>
        <w:t xml:space="preserve"> of machine prognostics in condition-based maintenance: A review. International Journal of Advanced Manufacturing Technology, 50, 297–313.</w:t>
      </w:r>
      <w:r w:rsidRPr="00E47A21">
        <w:rPr>
          <w:rStyle w:val="eop"/>
          <w:rFonts w:ascii="Arial" w:hAnsi="Arial" w:cs="Arial"/>
          <w:sz w:val="18"/>
          <w:szCs w:val="18"/>
          <w:lang w:val="en-US"/>
        </w:rPr>
        <w:t> </w:t>
      </w:r>
    </w:p>
    <w:p w14:paraId="154C5645" w14:textId="477898B6" w:rsidR="00E47A21" w:rsidRPr="00E47A21" w:rsidRDefault="00E47A21" w:rsidP="002A3C9F">
      <w:pPr>
        <w:pStyle w:val="paragraph"/>
        <w:spacing w:before="0" w:beforeAutospacing="0" w:after="0" w:afterAutospacing="0" w:line="264" w:lineRule="auto"/>
        <w:ind w:left="284" w:hanging="284"/>
        <w:jc w:val="both"/>
        <w:textAlignment w:val="baseline"/>
        <w:rPr>
          <w:rFonts w:ascii="Arial" w:hAnsi="Arial" w:cs="Arial"/>
          <w:sz w:val="18"/>
          <w:szCs w:val="18"/>
          <w:lang w:val="en-US"/>
        </w:rPr>
      </w:pPr>
      <w:proofErr w:type="spellStart"/>
      <w:r w:rsidRPr="00E47A21">
        <w:rPr>
          <w:rStyle w:val="normaltextrun"/>
          <w:rFonts w:ascii="Arial" w:hAnsi="Arial" w:cs="Arial"/>
          <w:sz w:val="18"/>
          <w:szCs w:val="18"/>
          <w:lang w:val="en-US"/>
        </w:rPr>
        <w:t>Sankavaram</w:t>
      </w:r>
      <w:proofErr w:type="spellEnd"/>
      <w:r w:rsidRPr="00E47A21">
        <w:rPr>
          <w:rStyle w:val="normaltextrun"/>
          <w:rFonts w:ascii="Arial" w:hAnsi="Arial" w:cs="Arial"/>
          <w:sz w:val="18"/>
          <w:szCs w:val="18"/>
          <w:lang w:val="en-US"/>
        </w:rPr>
        <w:t xml:space="preserve"> C., </w:t>
      </w:r>
      <w:proofErr w:type="spellStart"/>
      <w:r w:rsidRPr="00E47A21">
        <w:rPr>
          <w:rStyle w:val="normaltextrun"/>
          <w:rFonts w:ascii="Arial" w:hAnsi="Arial" w:cs="Arial"/>
          <w:sz w:val="18"/>
          <w:szCs w:val="18"/>
          <w:lang w:val="en-US"/>
        </w:rPr>
        <w:t>Pattipati</w:t>
      </w:r>
      <w:proofErr w:type="spellEnd"/>
      <w:r w:rsidRPr="00E47A21">
        <w:rPr>
          <w:rStyle w:val="normaltextrun"/>
          <w:rFonts w:ascii="Arial" w:hAnsi="Arial" w:cs="Arial"/>
          <w:sz w:val="18"/>
          <w:szCs w:val="18"/>
          <w:lang w:val="en-US"/>
        </w:rPr>
        <w:t xml:space="preserve"> B., Kodali A., </w:t>
      </w:r>
      <w:proofErr w:type="spellStart"/>
      <w:r w:rsidRPr="00E47A21">
        <w:rPr>
          <w:rStyle w:val="normaltextrun"/>
          <w:rFonts w:ascii="Arial" w:hAnsi="Arial" w:cs="Arial"/>
          <w:sz w:val="18"/>
          <w:szCs w:val="18"/>
          <w:lang w:val="en-US"/>
        </w:rPr>
        <w:t>Pattipati</w:t>
      </w:r>
      <w:proofErr w:type="spellEnd"/>
      <w:r w:rsidRPr="00E47A21">
        <w:rPr>
          <w:rStyle w:val="normaltextrun"/>
          <w:rFonts w:ascii="Arial" w:hAnsi="Arial" w:cs="Arial"/>
          <w:sz w:val="18"/>
          <w:szCs w:val="18"/>
          <w:lang w:val="en-US"/>
        </w:rPr>
        <w:t xml:space="preserve"> K., Azam M., Kumar S., </w:t>
      </w:r>
      <w:r w:rsidR="00047AE9" w:rsidRPr="00047AE9">
        <w:rPr>
          <w:rStyle w:val="normaltextrun"/>
          <w:rFonts w:ascii="Arial" w:hAnsi="Arial" w:cs="Arial"/>
          <w:sz w:val="18"/>
          <w:szCs w:val="18"/>
          <w:lang w:val="en-US"/>
        </w:rPr>
        <w:t>Pecht M.,</w:t>
      </w:r>
      <w:r w:rsidRPr="00047AE9">
        <w:rPr>
          <w:rStyle w:val="normaltextrun"/>
          <w:rFonts w:ascii="Arial" w:hAnsi="Arial" w:cs="Arial"/>
          <w:sz w:val="18"/>
          <w:szCs w:val="18"/>
          <w:lang w:val="en-US"/>
        </w:rPr>
        <w:t xml:space="preserve"> </w:t>
      </w:r>
      <w:r w:rsidRPr="00E47A21">
        <w:rPr>
          <w:rStyle w:val="normaltextrun"/>
          <w:rFonts w:ascii="Arial" w:hAnsi="Arial" w:cs="Arial"/>
          <w:sz w:val="18"/>
          <w:szCs w:val="18"/>
          <w:lang w:val="en-US"/>
        </w:rPr>
        <w:t xml:space="preserve">2009, Model-based and data-driven prognosis of automotive and electronic systems. In: </w:t>
      </w:r>
      <w:r w:rsidR="00047AE9">
        <w:rPr>
          <w:rStyle w:val="normaltextrun"/>
          <w:rFonts w:ascii="Arial" w:hAnsi="Arial" w:cs="Arial"/>
          <w:sz w:val="18"/>
          <w:szCs w:val="18"/>
          <w:lang w:val="en-US"/>
        </w:rPr>
        <w:t>5</w:t>
      </w:r>
      <w:r w:rsidR="00047AE9" w:rsidRPr="00047AE9">
        <w:rPr>
          <w:rStyle w:val="normaltextrun"/>
          <w:rFonts w:ascii="Arial" w:hAnsi="Arial" w:cs="Arial"/>
          <w:sz w:val="18"/>
          <w:szCs w:val="18"/>
          <w:vertAlign w:val="superscript"/>
          <w:lang w:val="en-US"/>
        </w:rPr>
        <w:t>th</w:t>
      </w:r>
      <w:r w:rsidR="00047AE9">
        <w:rPr>
          <w:rStyle w:val="normaltextrun"/>
          <w:rFonts w:ascii="Arial" w:hAnsi="Arial" w:cs="Arial"/>
          <w:sz w:val="18"/>
          <w:szCs w:val="18"/>
          <w:lang w:val="en-US"/>
        </w:rPr>
        <w:t xml:space="preserve"> Annual </w:t>
      </w:r>
      <w:r w:rsidRPr="00E47A21">
        <w:rPr>
          <w:rStyle w:val="normaltextrun"/>
          <w:rFonts w:ascii="Arial" w:hAnsi="Arial" w:cs="Arial"/>
          <w:sz w:val="18"/>
          <w:szCs w:val="18"/>
          <w:lang w:val="en-US"/>
        </w:rPr>
        <w:t xml:space="preserve">IEEE international conference on automation science and engineering, 96–101. </w:t>
      </w:r>
      <w:hyperlink r:id="rId15" w:tgtFrame="_blank" w:history="1">
        <w:r w:rsidRPr="00E47A21">
          <w:rPr>
            <w:rStyle w:val="normaltextrun"/>
            <w:rFonts w:ascii="Arial" w:hAnsi="Arial" w:cs="Arial"/>
            <w:color w:val="FFFFFF"/>
            <w:sz w:val="18"/>
            <w:szCs w:val="18"/>
            <w:u w:val="single"/>
            <w:lang w:val="en-US"/>
          </w:rPr>
          <w:t>h</w:t>
        </w:r>
      </w:hyperlink>
      <w:r w:rsidRPr="00E47A21">
        <w:rPr>
          <w:rStyle w:val="eop"/>
          <w:rFonts w:ascii="Arial" w:hAnsi="Arial" w:cs="Arial"/>
          <w:sz w:val="18"/>
          <w:szCs w:val="18"/>
          <w:lang w:val="en-US"/>
        </w:rPr>
        <w:t> </w:t>
      </w:r>
    </w:p>
    <w:p w14:paraId="2C964D44" w14:textId="77777777" w:rsidR="00E47A21" w:rsidRPr="00E47A21" w:rsidRDefault="00E47A21" w:rsidP="00E47A21">
      <w:pPr>
        <w:pStyle w:val="paragraph"/>
        <w:spacing w:before="0" w:beforeAutospacing="0" w:after="0" w:afterAutospacing="0" w:line="264" w:lineRule="auto"/>
        <w:ind w:left="284" w:hanging="284"/>
        <w:jc w:val="both"/>
        <w:textAlignment w:val="baseline"/>
        <w:rPr>
          <w:rFonts w:ascii="Arial" w:hAnsi="Arial" w:cs="Arial"/>
          <w:sz w:val="18"/>
          <w:szCs w:val="18"/>
          <w:lang w:val="en-US"/>
        </w:rPr>
      </w:pPr>
      <w:r w:rsidRPr="00E47A21">
        <w:rPr>
          <w:rStyle w:val="normaltextrun"/>
          <w:rFonts w:ascii="Arial" w:hAnsi="Arial" w:cs="Arial"/>
          <w:sz w:val="18"/>
          <w:szCs w:val="18"/>
          <w:lang w:val="en-US"/>
        </w:rPr>
        <w:t xml:space="preserve">Singh K. B. and Arat M.A., 2019, Deep learning in the automotive industry: Recent advances and application examples. Engineering, Computer Science, </w:t>
      </w:r>
      <w:proofErr w:type="spellStart"/>
      <w:r w:rsidRPr="00E47A21">
        <w:rPr>
          <w:rStyle w:val="normaltextrun"/>
          <w:rFonts w:ascii="Arial" w:hAnsi="Arial" w:cs="Arial"/>
          <w:sz w:val="18"/>
          <w:szCs w:val="18"/>
          <w:lang w:val="en-US"/>
        </w:rPr>
        <w:t>arXiv</w:t>
      </w:r>
      <w:proofErr w:type="spellEnd"/>
      <w:r w:rsidRPr="00E47A21">
        <w:rPr>
          <w:rStyle w:val="normaltextrun"/>
          <w:rFonts w:ascii="Arial" w:hAnsi="Arial" w:cs="Arial"/>
          <w:sz w:val="18"/>
          <w:szCs w:val="18"/>
          <w:lang w:val="en-US"/>
        </w:rPr>
        <w:t xml:space="preserve"> preprint.</w:t>
      </w:r>
      <w:r w:rsidRPr="00E47A21">
        <w:rPr>
          <w:rStyle w:val="eop"/>
          <w:rFonts w:ascii="Arial" w:hAnsi="Arial" w:cs="Arial"/>
          <w:sz w:val="18"/>
          <w:szCs w:val="18"/>
          <w:lang w:val="en-US"/>
        </w:rPr>
        <w:t> </w:t>
      </w:r>
    </w:p>
    <w:p w14:paraId="1D1EE606" w14:textId="77777777" w:rsidR="00E47A21" w:rsidRPr="00E47A21" w:rsidRDefault="00E47A21" w:rsidP="00E47A21">
      <w:pPr>
        <w:pStyle w:val="paragraph"/>
        <w:spacing w:before="0" w:beforeAutospacing="0" w:after="0" w:afterAutospacing="0" w:line="264" w:lineRule="auto"/>
        <w:ind w:left="284" w:hanging="284"/>
        <w:jc w:val="both"/>
        <w:textAlignment w:val="baseline"/>
        <w:rPr>
          <w:rFonts w:ascii="Arial" w:hAnsi="Arial" w:cs="Arial"/>
          <w:sz w:val="18"/>
          <w:szCs w:val="18"/>
          <w:lang w:val="en-US"/>
        </w:rPr>
      </w:pPr>
      <w:proofErr w:type="spellStart"/>
      <w:r w:rsidRPr="00E47A21">
        <w:rPr>
          <w:rStyle w:val="normaltextrun"/>
          <w:rFonts w:ascii="Arial" w:hAnsi="Arial" w:cs="Arial"/>
          <w:sz w:val="18"/>
          <w:szCs w:val="18"/>
          <w:lang w:val="en-US"/>
        </w:rPr>
        <w:t>Sutharssan</w:t>
      </w:r>
      <w:proofErr w:type="spellEnd"/>
      <w:r w:rsidRPr="00E47A21">
        <w:rPr>
          <w:rStyle w:val="normaltextrun"/>
          <w:rFonts w:ascii="Arial" w:hAnsi="Arial" w:cs="Arial"/>
          <w:sz w:val="18"/>
          <w:szCs w:val="18"/>
          <w:lang w:val="en-US"/>
        </w:rPr>
        <w:t xml:space="preserve"> T., Stoyanov S., Bailey C., Yin C., 2015, Prognostic and health management for engineering systems: a review of the data-driven approach and algorithms. The Journal of Engineering, 7, 215–222.</w:t>
      </w:r>
      <w:r w:rsidRPr="00E47A21">
        <w:rPr>
          <w:rStyle w:val="eop"/>
          <w:rFonts w:ascii="Arial" w:hAnsi="Arial" w:cs="Arial"/>
          <w:sz w:val="18"/>
          <w:szCs w:val="18"/>
          <w:lang w:val="en-US"/>
        </w:rPr>
        <w:t> </w:t>
      </w:r>
    </w:p>
    <w:p w14:paraId="3C21FB17" w14:textId="77777777" w:rsidR="00E47A21" w:rsidRPr="00E47A21" w:rsidRDefault="00E47A21" w:rsidP="00E47A21">
      <w:pPr>
        <w:pStyle w:val="paragraph"/>
        <w:spacing w:before="0" w:beforeAutospacing="0" w:after="0" w:afterAutospacing="0" w:line="264" w:lineRule="auto"/>
        <w:ind w:left="284" w:hanging="284"/>
        <w:jc w:val="both"/>
        <w:textAlignment w:val="baseline"/>
        <w:rPr>
          <w:rFonts w:ascii="Arial" w:hAnsi="Arial" w:cs="Arial"/>
          <w:sz w:val="18"/>
          <w:szCs w:val="18"/>
          <w:lang w:val="en-US"/>
        </w:rPr>
      </w:pPr>
      <w:proofErr w:type="spellStart"/>
      <w:r w:rsidRPr="00E47A21">
        <w:rPr>
          <w:rStyle w:val="normaltextrun"/>
          <w:rFonts w:ascii="Arial" w:hAnsi="Arial" w:cs="Arial"/>
          <w:sz w:val="18"/>
          <w:szCs w:val="18"/>
          <w:lang w:val="en-US"/>
        </w:rPr>
        <w:t>Werbińska</w:t>
      </w:r>
      <w:proofErr w:type="spellEnd"/>
      <w:r w:rsidRPr="00E47A21">
        <w:rPr>
          <w:rStyle w:val="normaltextrun"/>
          <w:rFonts w:ascii="Arial" w:hAnsi="Arial" w:cs="Arial"/>
          <w:sz w:val="18"/>
          <w:szCs w:val="18"/>
          <w:lang w:val="en-US"/>
        </w:rPr>
        <w:t>-Wojciechowska S., 2019, Preventive maintenance models for technical systems. In: Technical system maintenance: delay-time-based modelling. Cham: Springer International Publishing, 21–100.</w:t>
      </w:r>
      <w:r w:rsidRPr="00E47A21">
        <w:rPr>
          <w:rStyle w:val="eop"/>
          <w:rFonts w:ascii="Arial" w:hAnsi="Arial" w:cs="Arial"/>
          <w:sz w:val="18"/>
          <w:szCs w:val="18"/>
          <w:lang w:val="en-US"/>
        </w:rPr>
        <w:t> </w:t>
      </w:r>
    </w:p>
    <w:p w14:paraId="7EAA756C" w14:textId="0268A249" w:rsidR="00E47A21" w:rsidRPr="00E47A21" w:rsidRDefault="00E47A21" w:rsidP="00E47A21">
      <w:pPr>
        <w:pStyle w:val="paragraph"/>
        <w:spacing w:before="0" w:beforeAutospacing="0" w:after="0" w:afterAutospacing="0" w:line="264" w:lineRule="auto"/>
        <w:ind w:left="284" w:hanging="284"/>
        <w:jc w:val="both"/>
        <w:textAlignment w:val="baseline"/>
        <w:rPr>
          <w:rFonts w:ascii="Arial" w:hAnsi="Arial" w:cs="Arial"/>
          <w:sz w:val="18"/>
          <w:szCs w:val="18"/>
          <w:lang w:val="en-US"/>
        </w:rPr>
      </w:pPr>
      <w:r w:rsidRPr="00E47A21">
        <w:rPr>
          <w:rStyle w:val="normaltextrun"/>
          <w:rFonts w:ascii="Arial" w:hAnsi="Arial" w:cs="Arial"/>
          <w:sz w:val="18"/>
          <w:szCs w:val="18"/>
          <w:lang w:val="en-US"/>
        </w:rPr>
        <w:t xml:space="preserve">Wu S., </w:t>
      </w:r>
      <w:r w:rsidR="00047AE9">
        <w:rPr>
          <w:rStyle w:val="normaltextrun"/>
          <w:rFonts w:ascii="Arial" w:hAnsi="Arial" w:cs="Arial"/>
          <w:sz w:val="18"/>
          <w:szCs w:val="18"/>
          <w:lang w:val="en-US"/>
        </w:rPr>
        <w:t xml:space="preserve">2011, </w:t>
      </w:r>
      <w:r w:rsidRPr="00E47A21">
        <w:rPr>
          <w:rStyle w:val="normaltextrun"/>
          <w:rFonts w:ascii="Arial" w:hAnsi="Arial" w:cs="Arial"/>
          <w:sz w:val="18"/>
          <w:szCs w:val="18"/>
          <w:lang w:val="en-US"/>
        </w:rPr>
        <w:t xml:space="preserve">Preventive maintenance models: A review. In: Tadj Lotfi, Ouali </w:t>
      </w:r>
      <w:proofErr w:type="spellStart"/>
      <w:r w:rsidRPr="00E47A21">
        <w:rPr>
          <w:rStyle w:val="normaltextrun"/>
          <w:rFonts w:ascii="Arial" w:hAnsi="Arial" w:cs="Arial"/>
          <w:sz w:val="18"/>
          <w:szCs w:val="18"/>
          <w:lang w:val="en-US"/>
        </w:rPr>
        <w:t>MSalah</w:t>
      </w:r>
      <w:proofErr w:type="spellEnd"/>
      <w:r w:rsidRPr="00E47A21">
        <w:rPr>
          <w:rStyle w:val="normaltextrun"/>
          <w:rFonts w:ascii="Arial" w:hAnsi="Arial" w:cs="Arial"/>
          <w:sz w:val="18"/>
          <w:szCs w:val="18"/>
          <w:lang w:val="en-US"/>
        </w:rPr>
        <w:t xml:space="preserve">, </w:t>
      </w:r>
      <w:proofErr w:type="spellStart"/>
      <w:r w:rsidRPr="00E47A21">
        <w:rPr>
          <w:rStyle w:val="normaltextrun"/>
          <w:rFonts w:ascii="Arial" w:hAnsi="Arial" w:cs="Arial"/>
          <w:sz w:val="18"/>
          <w:szCs w:val="18"/>
          <w:lang w:val="en-US"/>
        </w:rPr>
        <w:t>Yacout</w:t>
      </w:r>
      <w:proofErr w:type="spellEnd"/>
      <w:r w:rsidRPr="00E47A21">
        <w:rPr>
          <w:rStyle w:val="normaltextrun"/>
          <w:rFonts w:ascii="Arial" w:hAnsi="Arial" w:cs="Arial"/>
          <w:sz w:val="18"/>
          <w:szCs w:val="18"/>
          <w:lang w:val="en-US"/>
        </w:rPr>
        <w:t xml:space="preserve"> Soumaya, </w:t>
      </w:r>
      <w:proofErr w:type="spellStart"/>
      <w:r w:rsidRPr="00E47A21">
        <w:rPr>
          <w:rStyle w:val="normaltextrun"/>
          <w:rFonts w:ascii="Arial" w:hAnsi="Arial" w:cs="Arial"/>
          <w:sz w:val="18"/>
          <w:szCs w:val="18"/>
          <w:lang w:val="en-US"/>
        </w:rPr>
        <w:t>Ait</w:t>
      </w:r>
      <w:proofErr w:type="spellEnd"/>
      <w:r w:rsidRPr="00E47A21">
        <w:rPr>
          <w:rStyle w:val="normaltextrun"/>
          <w:rFonts w:ascii="Arial" w:hAnsi="Arial" w:cs="Arial"/>
          <w:sz w:val="18"/>
          <w:szCs w:val="18"/>
          <w:lang w:val="en-US"/>
        </w:rPr>
        <w:t>-Kadi Daoud, editors. Replacement models with minimal repair. London: Springer London, 129–40.</w:t>
      </w:r>
      <w:r w:rsidRPr="00E47A21">
        <w:rPr>
          <w:rStyle w:val="eop"/>
          <w:rFonts w:ascii="Arial" w:hAnsi="Arial" w:cs="Arial"/>
          <w:sz w:val="18"/>
          <w:szCs w:val="18"/>
          <w:lang w:val="en-US"/>
        </w:rPr>
        <w:t> </w:t>
      </w:r>
    </w:p>
    <w:sectPr w:rsidR="00E47A21" w:rsidRPr="00E47A21"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56332" w14:textId="77777777" w:rsidR="001C27FF" w:rsidRDefault="001C27FF" w:rsidP="004F5E36">
      <w:r>
        <w:separator/>
      </w:r>
    </w:p>
  </w:endnote>
  <w:endnote w:type="continuationSeparator" w:id="0">
    <w:p w14:paraId="640A2AB4" w14:textId="77777777" w:rsidR="001C27FF" w:rsidRDefault="001C27F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8081E" w14:textId="77777777" w:rsidR="001C27FF" w:rsidRDefault="001C27FF" w:rsidP="004F5E36">
      <w:r>
        <w:separator/>
      </w:r>
    </w:p>
  </w:footnote>
  <w:footnote w:type="continuationSeparator" w:id="0">
    <w:p w14:paraId="398CBB5A" w14:textId="77777777" w:rsidR="001C27FF" w:rsidRDefault="001C27F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1BD63F3"/>
    <w:multiLevelType w:val="multilevel"/>
    <w:tmpl w:val="6ED67CBE"/>
    <w:lvl w:ilvl="0">
      <w:start w:val="1"/>
      <w:numFmt w:val="decimal"/>
      <w:suff w:val="space"/>
      <w:lvlText w:val="Chapter %1"/>
      <w:lvlJc w:val="left"/>
      <w:pPr>
        <w:tabs>
          <w:tab w:val="num" w:pos="0"/>
        </w:tabs>
        <w:ind w:left="0" w:firstLine="0"/>
      </w:pPr>
    </w:lvl>
    <w:lvl w:ilvl="1">
      <w:start w:val="1"/>
      <w:numFmt w:val="decimal"/>
      <w:suff w:val="space"/>
      <w:lvlText w:val="%2."/>
      <w:lvlJc w:val="left"/>
      <w:pPr>
        <w:tabs>
          <w:tab w:val="num" w:pos="0"/>
        </w:tabs>
        <w:ind w:left="0" w:firstLine="0"/>
      </w:pPr>
    </w:lvl>
    <w:lvl w:ilvl="2">
      <w:start w:val="1"/>
      <w:numFmt w:val="decimal"/>
      <w:suff w:val="space"/>
      <w:lvlText w:val="%2.%3"/>
      <w:lvlJc w:val="left"/>
      <w:pPr>
        <w:tabs>
          <w:tab w:val="num" w:pos="0"/>
        </w:tabs>
        <w:ind w:left="426" w:firstLine="0"/>
      </w:pPr>
    </w:lvl>
    <w:lvl w:ilvl="3">
      <w:start w:val="1"/>
      <w:numFmt w:val="decimal"/>
      <w:suff w:val="space"/>
      <w:lvlText w:val="%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3.%4.%5.%6.%7.%8.%9."/>
      <w:lvlJc w:val="left"/>
      <w:pPr>
        <w:tabs>
          <w:tab w:val="num" w:pos="0"/>
        </w:tabs>
        <w:ind w:left="0" w:firstLine="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27118052">
    <w:abstractNumId w:val="11"/>
  </w:num>
  <w:num w:numId="2" w16cid:durableId="849878655">
    <w:abstractNumId w:val="8"/>
  </w:num>
  <w:num w:numId="3" w16cid:durableId="72702904">
    <w:abstractNumId w:val="3"/>
  </w:num>
  <w:num w:numId="4" w16cid:durableId="1500074838">
    <w:abstractNumId w:val="2"/>
  </w:num>
  <w:num w:numId="5" w16cid:durableId="31350347">
    <w:abstractNumId w:val="1"/>
  </w:num>
  <w:num w:numId="6" w16cid:durableId="1664777930">
    <w:abstractNumId w:val="0"/>
  </w:num>
  <w:num w:numId="7" w16cid:durableId="1799911128">
    <w:abstractNumId w:val="9"/>
  </w:num>
  <w:num w:numId="8" w16cid:durableId="361977262">
    <w:abstractNumId w:val="7"/>
  </w:num>
  <w:num w:numId="9" w16cid:durableId="2136755224">
    <w:abstractNumId w:val="6"/>
  </w:num>
  <w:num w:numId="10" w16cid:durableId="516306786">
    <w:abstractNumId w:val="5"/>
  </w:num>
  <w:num w:numId="11" w16cid:durableId="1503163716">
    <w:abstractNumId w:val="4"/>
  </w:num>
  <w:num w:numId="12" w16cid:durableId="1672296034">
    <w:abstractNumId w:val="18"/>
  </w:num>
  <w:num w:numId="13" w16cid:durableId="699933782">
    <w:abstractNumId w:val="13"/>
  </w:num>
  <w:num w:numId="14" w16cid:durableId="1538346911">
    <w:abstractNumId w:val="19"/>
  </w:num>
  <w:num w:numId="15" w16cid:durableId="2062318148">
    <w:abstractNumId w:val="22"/>
  </w:num>
  <w:num w:numId="16" w16cid:durableId="952828609">
    <w:abstractNumId w:val="21"/>
  </w:num>
  <w:num w:numId="17" w16cid:durableId="1680111428">
    <w:abstractNumId w:val="12"/>
  </w:num>
  <w:num w:numId="18" w16cid:durableId="568804583">
    <w:abstractNumId w:val="13"/>
    <w:lvlOverride w:ilvl="0">
      <w:startOverride w:val="1"/>
    </w:lvlOverride>
  </w:num>
  <w:num w:numId="19" w16cid:durableId="85999868">
    <w:abstractNumId w:val="17"/>
  </w:num>
  <w:num w:numId="20" w16cid:durableId="1840732854">
    <w:abstractNumId w:val="16"/>
  </w:num>
  <w:num w:numId="21" w16cid:durableId="544216903">
    <w:abstractNumId w:val="15"/>
  </w:num>
  <w:num w:numId="22" w16cid:durableId="846020451">
    <w:abstractNumId w:val="14"/>
  </w:num>
  <w:num w:numId="23" w16cid:durableId="1534033846">
    <w:abstractNumId w:val="10"/>
  </w:num>
  <w:num w:numId="24" w16cid:durableId="7037471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6816"/>
    <w:rsid w:val="0000783F"/>
    <w:rsid w:val="000117CB"/>
    <w:rsid w:val="0003148D"/>
    <w:rsid w:val="00031EEC"/>
    <w:rsid w:val="00036875"/>
    <w:rsid w:val="000448F9"/>
    <w:rsid w:val="00047AE9"/>
    <w:rsid w:val="00051566"/>
    <w:rsid w:val="000562A9"/>
    <w:rsid w:val="00062A9A"/>
    <w:rsid w:val="00065058"/>
    <w:rsid w:val="00080D3B"/>
    <w:rsid w:val="00085FF6"/>
    <w:rsid w:val="00086C39"/>
    <w:rsid w:val="000A03B2"/>
    <w:rsid w:val="000B26A5"/>
    <w:rsid w:val="000D0268"/>
    <w:rsid w:val="000D34BE"/>
    <w:rsid w:val="000E0B3C"/>
    <w:rsid w:val="000E102F"/>
    <w:rsid w:val="000E323F"/>
    <w:rsid w:val="000E36F1"/>
    <w:rsid w:val="000E3A73"/>
    <w:rsid w:val="000E414A"/>
    <w:rsid w:val="000E75FD"/>
    <w:rsid w:val="000F093C"/>
    <w:rsid w:val="000F787B"/>
    <w:rsid w:val="0011629F"/>
    <w:rsid w:val="00120542"/>
    <w:rsid w:val="0012091F"/>
    <w:rsid w:val="0012422C"/>
    <w:rsid w:val="00126BC2"/>
    <w:rsid w:val="001308B6"/>
    <w:rsid w:val="0013121F"/>
    <w:rsid w:val="00131FE6"/>
    <w:rsid w:val="0013263F"/>
    <w:rsid w:val="001331DF"/>
    <w:rsid w:val="00134DE4"/>
    <w:rsid w:val="0014034D"/>
    <w:rsid w:val="00140AB3"/>
    <w:rsid w:val="00140FE3"/>
    <w:rsid w:val="00144D16"/>
    <w:rsid w:val="00150E59"/>
    <w:rsid w:val="00152DE3"/>
    <w:rsid w:val="00153B1E"/>
    <w:rsid w:val="001545A3"/>
    <w:rsid w:val="001637EB"/>
    <w:rsid w:val="00164CF9"/>
    <w:rsid w:val="001667A6"/>
    <w:rsid w:val="0018171E"/>
    <w:rsid w:val="00184AD6"/>
    <w:rsid w:val="001A4AF7"/>
    <w:rsid w:val="001B0349"/>
    <w:rsid w:val="001B1E93"/>
    <w:rsid w:val="001B65C1"/>
    <w:rsid w:val="001C260F"/>
    <w:rsid w:val="001C27FF"/>
    <w:rsid w:val="001C5C3A"/>
    <w:rsid w:val="001C684B"/>
    <w:rsid w:val="001D0CFB"/>
    <w:rsid w:val="001D21AF"/>
    <w:rsid w:val="001D53FC"/>
    <w:rsid w:val="001E3311"/>
    <w:rsid w:val="001F42A5"/>
    <w:rsid w:val="001F621E"/>
    <w:rsid w:val="001F7AE2"/>
    <w:rsid w:val="001F7B9D"/>
    <w:rsid w:val="00201C93"/>
    <w:rsid w:val="00205494"/>
    <w:rsid w:val="002124A6"/>
    <w:rsid w:val="002224B4"/>
    <w:rsid w:val="002402ED"/>
    <w:rsid w:val="002447EF"/>
    <w:rsid w:val="00244F4F"/>
    <w:rsid w:val="00251550"/>
    <w:rsid w:val="00263B05"/>
    <w:rsid w:val="0027221A"/>
    <w:rsid w:val="00275B61"/>
    <w:rsid w:val="00280FAF"/>
    <w:rsid w:val="00282656"/>
    <w:rsid w:val="00296B83"/>
    <w:rsid w:val="002A3C9F"/>
    <w:rsid w:val="002B303A"/>
    <w:rsid w:val="002B4015"/>
    <w:rsid w:val="002B78CE"/>
    <w:rsid w:val="002C2FB6"/>
    <w:rsid w:val="002C64C5"/>
    <w:rsid w:val="002C7E97"/>
    <w:rsid w:val="002D0081"/>
    <w:rsid w:val="002E5BCA"/>
    <w:rsid w:val="002E5FA7"/>
    <w:rsid w:val="002F2000"/>
    <w:rsid w:val="002F3309"/>
    <w:rsid w:val="003008CE"/>
    <w:rsid w:val="003009B7"/>
    <w:rsid w:val="00300E56"/>
    <w:rsid w:val="0030152C"/>
    <w:rsid w:val="0030469C"/>
    <w:rsid w:val="00321CA6"/>
    <w:rsid w:val="00323763"/>
    <w:rsid w:val="00323C5F"/>
    <w:rsid w:val="00323CCE"/>
    <w:rsid w:val="00334C09"/>
    <w:rsid w:val="00347368"/>
    <w:rsid w:val="003723D4"/>
    <w:rsid w:val="00381905"/>
    <w:rsid w:val="00384CC8"/>
    <w:rsid w:val="003853C2"/>
    <w:rsid w:val="003871FD"/>
    <w:rsid w:val="003904D3"/>
    <w:rsid w:val="00395472"/>
    <w:rsid w:val="003A1E30"/>
    <w:rsid w:val="003A2829"/>
    <w:rsid w:val="003A7D1C"/>
    <w:rsid w:val="003B304B"/>
    <w:rsid w:val="003B3146"/>
    <w:rsid w:val="003B49CD"/>
    <w:rsid w:val="003C5F52"/>
    <w:rsid w:val="003D1E02"/>
    <w:rsid w:val="003F015E"/>
    <w:rsid w:val="00400414"/>
    <w:rsid w:val="0041446B"/>
    <w:rsid w:val="00417F3E"/>
    <w:rsid w:val="00427934"/>
    <w:rsid w:val="0044071E"/>
    <w:rsid w:val="0044329C"/>
    <w:rsid w:val="00451365"/>
    <w:rsid w:val="004533AE"/>
    <w:rsid w:val="00453E24"/>
    <w:rsid w:val="00457456"/>
    <w:rsid w:val="004577FE"/>
    <w:rsid w:val="00457B9C"/>
    <w:rsid w:val="0046164A"/>
    <w:rsid w:val="00461CE6"/>
    <w:rsid w:val="004628D2"/>
    <w:rsid w:val="00462DCD"/>
    <w:rsid w:val="004648AD"/>
    <w:rsid w:val="004703A9"/>
    <w:rsid w:val="004760DE"/>
    <w:rsid w:val="004763D7"/>
    <w:rsid w:val="00480319"/>
    <w:rsid w:val="004818E2"/>
    <w:rsid w:val="004A004E"/>
    <w:rsid w:val="004A24CF"/>
    <w:rsid w:val="004C3D1D"/>
    <w:rsid w:val="004C3D84"/>
    <w:rsid w:val="004C7913"/>
    <w:rsid w:val="004E2B84"/>
    <w:rsid w:val="004E4DD6"/>
    <w:rsid w:val="004F5E36"/>
    <w:rsid w:val="00502A81"/>
    <w:rsid w:val="00507B47"/>
    <w:rsid w:val="00507BEF"/>
    <w:rsid w:val="00507CC9"/>
    <w:rsid w:val="005119A5"/>
    <w:rsid w:val="005278B7"/>
    <w:rsid w:val="00532016"/>
    <w:rsid w:val="005337D3"/>
    <w:rsid w:val="00533880"/>
    <w:rsid w:val="005346C8"/>
    <w:rsid w:val="00534C0C"/>
    <w:rsid w:val="00543E7D"/>
    <w:rsid w:val="00547A68"/>
    <w:rsid w:val="00547A83"/>
    <w:rsid w:val="005531C9"/>
    <w:rsid w:val="00554879"/>
    <w:rsid w:val="00570015"/>
    <w:rsid w:val="00570C43"/>
    <w:rsid w:val="005849C0"/>
    <w:rsid w:val="00592274"/>
    <w:rsid w:val="00593C97"/>
    <w:rsid w:val="005B2110"/>
    <w:rsid w:val="005B350B"/>
    <w:rsid w:val="005B3F29"/>
    <w:rsid w:val="005B61E6"/>
    <w:rsid w:val="005B6659"/>
    <w:rsid w:val="005C72BE"/>
    <w:rsid w:val="005C77E1"/>
    <w:rsid w:val="005D668A"/>
    <w:rsid w:val="005D6A2F"/>
    <w:rsid w:val="005E0592"/>
    <w:rsid w:val="005E1A82"/>
    <w:rsid w:val="005E794C"/>
    <w:rsid w:val="005F0454"/>
    <w:rsid w:val="005F0A28"/>
    <w:rsid w:val="005F0E5E"/>
    <w:rsid w:val="00600535"/>
    <w:rsid w:val="00610CD6"/>
    <w:rsid w:val="00620DEE"/>
    <w:rsid w:val="00621F92"/>
    <w:rsid w:val="0062280A"/>
    <w:rsid w:val="006231E1"/>
    <w:rsid w:val="00625639"/>
    <w:rsid w:val="00625A3D"/>
    <w:rsid w:val="00631B33"/>
    <w:rsid w:val="0064184D"/>
    <w:rsid w:val="006422CC"/>
    <w:rsid w:val="00651D18"/>
    <w:rsid w:val="00660E3E"/>
    <w:rsid w:val="00662E74"/>
    <w:rsid w:val="0066665E"/>
    <w:rsid w:val="00672A26"/>
    <w:rsid w:val="00680C23"/>
    <w:rsid w:val="00683E23"/>
    <w:rsid w:val="00690BED"/>
    <w:rsid w:val="00693766"/>
    <w:rsid w:val="006970B7"/>
    <w:rsid w:val="006A309A"/>
    <w:rsid w:val="006A3281"/>
    <w:rsid w:val="006A33DC"/>
    <w:rsid w:val="006A537F"/>
    <w:rsid w:val="006A5560"/>
    <w:rsid w:val="006A5CEE"/>
    <w:rsid w:val="006A6DE5"/>
    <w:rsid w:val="006B4888"/>
    <w:rsid w:val="006C2E45"/>
    <w:rsid w:val="006C359C"/>
    <w:rsid w:val="006C5579"/>
    <w:rsid w:val="006C6BF0"/>
    <w:rsid w:val="006D190F"/>
    <w:rsid w:val="006D6E8B"/>
    <w:rsid w:val="006D7209"/>
    <w:rsid w:val="006E3739"/>
    <w:rsid w:val="006E737D"/>
    <w:rsid w:val="00707DD1"/>
    <w:rsid w:val="00707E6A"/>
    <w:rsid w:val="00713973"/>
    <w:rsid w:val="00720A24"/>
    <w:rsid w:val="00723391"/>
    <w:rsid w:val="00732386"/>
    <w:rsid w:val="0073514D"/>
    <w:rsid w:val="007447F3"/>
    <w:rsid w:val="00753016"/>
    <w:rsid w:val="0075499F"/>
    <w:rsid w:val="007637BC"/>
    <w:rsid w:val="007661C8"/>
    <w:rsid w:val="0077098D"/>
    <w:rsid w:val="00780385"/>
    <w:rsid w:val="00785BF9"/>
    <w:rsid w:val="00792CB7"/>
    <w:rsid w:val="00793156"/>
    <w:rsid w:val="007931FA"/>
    <w:rsid w:val="007A4861"/>
    <w:rsid w:val="007A7BBA"/>
    <w:rsid w:val="007B0C50"/>
    <w:rsid w:val="007B102E"/>
    <w:rsid w:val="007B48F9"/>
    <w:rsid w:val="007C0BC3"/>
    <w:rsid w:val="007C1A43"/>
    <w:rsid w:val="007D0951"/>
    <w:rsid w:val="007D57AD"/>
    <w:rsid w:val="007D610D"/>
    <w:rsid w:val="0080013E"/>
    <w:rsid w:val="00801759"/>
    <w:rsid w:val="00813288"/>
    <w:rsid w:val="008168FC"/>
    <w:rsid w:val="00830996"/>
    <w:rsid w:val="008345F1"/>
    <w:rsid w:val="00840F27"/>
    <w:rsid w:val="00865B07"/>
    <w:rsid w:val="008667EA"/>
    <w:rsid w:val="0087637F"/>
    <w:rsid w:val="008765D2"/>
    <w:rsid w:val="00882647"/>
    <w:rsid w:val="008832AA"/>
    <w:rsid w:val="00892AD5"/>
    <w:rsid w:val="008A1512"/>
    <w:rsid w:val="008D32B9"/>
    <w:rsid w:val="008D433B"/>
    <w:rsid w:val="008D4A16"/>
    <w:rsid w:val="008E5401"/>
    <w:rsid w:val="008E566E"/>
    <w:rsid w:val="0090161A"/>
    <w:rsid w:val="00901EB6"/>
    <w:rsid w:val="009041F8"/>
    <w:rsid w:val="00904C62"/>
    <w:rsid w:val="00922BA8"/>
    <w:rsid w:val="00924DAC"/>
    <w:rsid w:val="009256C1"/>
    <w:rsid w:val="00927058"/>
    <w:rsid w:val="00931EE1"/>
    <w:rsid w:val="00942750"/>
    <w:rsid w:val="009450CE"/>
    <w:rsid w:val="009459BB"/>
    <w:rsid w:val="00947179"/>
    <w:rsid w:val="00951380"/>
    <w:rsid w:val="0095164B"/>
    <w:rsid w:val="0095310F"/>
    <w:rsid w:val="00954090"/>
    <w:rsid w:val="009573E7"/>
    <w:rsid w:val="00961180"/>
    <w:rsid w:val="0096147D"/>
    <w:rsid w:val="00963E05"/>
    <w:rsid w:val="00964314"/>
    <w:rsid w:val="00964A45"/>
    <w:rsid w:val="00967843"/>
    <w:rsid w:val="00967D54"/>
    <w:rsid w:val="00971028"/>
    <w:rsid w:val="00972F67"/>
    <w:rsid w:val="00993B84"/>
    <w:rsid w:val="00994C6A"/>
    <w:rsid w:val="00996483"/>
    <w:rsid w:val="00996F5A"/>
    <w:rsid w:val="009B041A"/>
    <w:rsid w:val="009C37C3"/>
    <w:rsid w:val="009C7C86"/>
    <w:rsid w:val="009D2795"/>
    <w:rsid w:val="009D2FF7"/>
    <w:rsid w:val="009E7884"/>
    <w:rsid w:val="009E788A"/>
    <w:rsid w:val="009F0E08"/>
    <w:rsid w:val="009F3B4C"/>
    <w:rsid w:val="00A079AE"/>
    <w:rsid w:val="00A1763D"/>
    <w:rsid w:val="00A17CEC"/>
    <w:rsid w:val="00A27EF0"/>
    <w:rsid w:val="00A30A15"/>
    <w:rsid w:val="00A42361"/>
    <w:rsid w:val="00A42E3C"/>
    <w:rsid w:val="00A50B20"/>
    <w:rsid w:val="00A51390"/>
    <w:rsid w:val="00A60D13"/>
    <w:rsid w:val="00A668DA"/>
    <w:rsid w:val="00A7223D"/>
    <w:rsid w:val="00A72745"/>
    <w:rsid w:val="00A76EFC"/>
    <w:rsid w:val="00A85294"/>
    <w:rsid w:val="00A85E31"/>
    <w:rsid w:val="00A87D50"/>
    <w:rsid w:val="00A91010"/>
    <w:rsid w:val="00A963FC"/>
    <w:rsid w:val="00A978D1"/>
    <w:rsid w:val="00A97F29"/>
    <w:rsid w:val="00AA702E"/>
    <w:rsid w:val="00AA7D26"/>
    <w:rsid w:val="00AB0964"/>
    <w:rsid w:val="00AB483A"/>
    <w:rsid w:val="00AB5011"/>
    <w:rsid w:val="00AC7368"/>
    <w:rsid w:val="00AD16B9"/>
    <w:rsid w:val="00AE377D"/>
    <w:rsid w:val="00AF0EBA"/>
    <w:rsid w:val="00AF2463"/>
    <w:rsid w:val="00B02C8A"/>
    <w:rsid w:val="00B0574B"/>
    <w:rsid w:val="00B17FBD"/>
    <w:rsid w:val="00B315A6"/>
    <w:rsid w:val="00B31813"/>
    <w:rsid w:val="00B33365"/>
    <w:rsid w:val="00B57B36"/>
    <w:rsid w:val="00B57E6F"/>
    <w:rsid w:val="00B81345"/>
    <w:rsid w:val="00B8686D"/>
    <w:rsid w:val="00B93F69"/>
    <w:rsid w:val="00BB1DDC"/>
    <w:rsid w:val="00BB25D1"/>
    <w:rsid w:val="00BC30C9"/>
    <w:rsid w:val="00BD077D"/>
    <w:rsid w:val="00BE3E58"/>
    <w:rsid w:val="00BE44E0"/>
    <w:rsid w:val="00BE49CA"/>
    <w:rsid w:val="00BF13CE"/>
    <w:rsid w:val="00BF4744"/>
    <w:rsid w:val="00C01616"/>
    <w:rsid w:val="00C0162B"/>
    <w:rsid w:val="00C068ED"/>
    <w:rsid w:val="00C22E0C"/>
    <w:rsid w:val="00C232A7"/>
    <w:rsid w:val="00C2342F"/>
    <w:rsid w:val="00C30ADC"/>
    <w:rsid w:val="00C310EF"/>
    <w:rsid w:val="00C32C7D"/>
    <w:rsid w:val="00C345B1"/>
    <w:rsid w:val="00C40142"/>
    <w:rsid w:val="00C447D9"/>
    <w:rsid w:val="00C4534D"/>
    <w:rsid w:val="00C510BE"/>
    <w:rsid w:val="00C52C3C"/>
    <w:rsid w:val="00C57182"/>
    <w:rsid w:val="00C57863"/>
    <w:rsid w:val="00C640AF"/>
    <w:rsid w:val="00C64446"/>
    <w:rsid w:val="00C655FD"/>
    <w:rsid w:val="00C74C10"/>
    <w:rsid w:val="00C75407"/>
    <w:rsid w:val="00C763BA"/>
    <w:rsid w:val="00C81E7D"/>
    <w:rsid w:val="00C841C6"/>
    <w:rsid w:val="00C870A8"/>
    <w:rsid w:val="00C94434"/>
    <w:rsid w:val="00CA0D75"/>
    <w:rsid w:val="00CA1C95"/>
    <w:rsid w:val="00CA5A9C"/>
    <w:rsid w:val="00CC1E0E"/>
    <w:rsid w:val="00CC4C20"/>
    <w:rsid w:val="00CD110D"/>
    <w:rsid w:val="00CD3517"/>
    <w:rsid w:val="00CD5FE2"/>
    <w:rsid w:val="00CE7C68"/>
    <w:rsid w:val="00CF7E92"/>
    <w:rsid w:val="00D0074F"/>
    <w:rsid w:val="00D02B4C"/>
    <w:rsid w:val="00D040C4"/>
    <w:rsid w:val="00D20AD1"/>
    <w:rsid w:val="00D2582C"/>
    <w:rsid w:val="00D46B7E"/>
    <w:rsid w:val="00D47A0C"/>
    <w:rsid w:val="00D54D9C"/>
    <w:rsid w:val="00D57C84"/>
    <w:rsid w:val="00D6057D"/>
    <w:rsid w:val="00D61B58"/>
    <w:rsid w:val="00D64323"/>
    <w:rsid w:val="00D71640"/>
    <w:rsid w:val="00D73FD9"/>
    <w:rsid w:val="00D82D9B"/>
    <w:rsid w:val="00D836C5"/>
    <w:rsid w:val="00D84576"/>
    <w:rsid w:val="00DA0F28"/>
    <w:rsid w:val="00DA1399"/>
    <w:rsid w:val="00DA1CF8"/>
    <w:rsid w:val="00DA24C6"/>
    <w:rsid w:val="00DA4D7B"/>
    <w:rsid w:val="00DC2840"/>
    <w:rsid w:val="00DC73EE"/>
    <w:rsid w:val="00DD271C"/>
    <w:rsid w:val="00DE264A"/>
    <w:rsid w:val="00DE61C6"/>
    <w:rsid w:val="00DF5072"/>
    <w:rsid w:val="00DF53EA"/>
    <w:rsid w:val="00E02D18"/>
    <w:rsid w:val="00E041E7"/>
    <w:rsid w:val="00E0780D"/>
    <w:rsid w:val="00E23CA1"/>
    <w:rsid w:val="00E40751"/>
    <w:rsid w:val="00E409A8"/>
    <w:rsid w:val="00E4271E"/>
    <w:rsid w:val="00E47A21"/>
    <w:rsid w:val="00E50403"/>
    <w:rsid w:val="00E50C12"/>
    <w:rsid w:val="00E63A47"/>
    <w:rsid w:val="00E65B91"/>
    <w:rsid w:val="00E7209D"/>
    <w:rsid w:val="00E72EAD"/>
    <w:rsid w:val="00E77223"/>
    <w:rsid w:val="00E8528B"/>
    <w:rsid w:val="00E85B94"/>
    <w:rsid w:val="00E978D0"/>
    <w:rsid w:val="00EA4613"/>
    <w:rsid w:val="00EA7F91"/>
    <w:rsid w:val="00EB1523"/>
    <w:rsid w:val="00EB3C5E"/>
    <w:rsid w:val="00EC0E49"/>
    <w:rsid w:val="00EC101F"/>
    <w:rsid w:val="00EC1D9F"/>
    <w:rsid w:val="00EC3AAC"/>
    <w:rsid w:val="00ED0945"/>
    <w:rsid w:val="00ED5117"/>
    <w:rsid w:val="00EE0131"/>
    <w:rsid w:val="00EE17B0"/>
    <w:rsid w:val="00EF06D9"/>
    <w:rsid w:val="00EF2E6A"/>
    <w:rsid w:val="00F3049E"/>
    <w:rsid w:val="00F30C64"/>
    <w:rsid w:val="00F32BA2"/>
    <w:rsid w:val="00F32CDB"/>
    <w:rsid w:val="00F335F3"/>
    <w:rsid w:val="00F41EE4"/>
    <w:rsid w:val="00F501B2"/>
    <w:rsid w:val="00F565FE"/>
    <w:rsid w:val="00F63A70"/>
    <w:rsid w:val="00F63D8C"/>
    <w:rsid w:val="00F7534E"/>
    <w:rsid w:val="00F93EDF"/>
    <w:rsid w:val="00F9572D"/>
    <w:rsid w:val="00FA1802"/>
    <w:rsid w:val="00FA21D0"/>
    <w:rsid w:val="00FA5F5F"/>
    <w:rsid w:val="00FB14B7"/>
    <w:rsid w:val="00FB730C"/>
    <w:rsid w:val="00FC2695"/>
    <w:rsid w:val="00FC3E03"/>
    <w:rsid w:val="00FC3FC1"/>
    <w:rsid w:val="00FD3EB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qForma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qFormat/>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5B3F29"/>
    <w:rPr>
      <w:color w:val="666666"/>
    </w:rPr>
  </w:style>
  <w:style w:type="paragraph" w:customStyle="1" w:styleId="paragraph">
    <w:name w:val="paragraph"/>
    <w:basedOn w:val="Normale"/>
    <w:rsid w:val="00E47A21"/>
    <w:pPr>
      <w:tabs>
        <w:tab w:val="clear" w:pos="7100"/>
      </w:tabs>
      <w:spacing w:before="100" w:beforeAutospacing="1" w:after="100" w:afterAutospacing="1" w:line="240" w:lineRule="auto"/>
      <w:jc w:val="left"/>
    </w:pPr>
    <w:rPr>
      <w:rFonts w:ascii="Times New Roman" w:hAnsi="Times New Roman"/>
      <w:sz w:val="24"/>
      <w:szCs w:val="24"/>
      <w:lang w:val="it-IT" w:eastAsia="it-IT"/>
    </w:rPr>
  </w:style>
  <w:style w:type="character" w:customStyle="1" w:styleId="normaltextrun">
    <w:name w:val="normaltextrun"/>
    <w:basedOn w:val="Carpredefinitoparagrafo"/>
    <w:rsid w:val="00E47A21"/>
  </w:style>
  <w:style w:type="character" w:customStyle="1" w:styleId="eop">
    <w:name w:val="eop"/>
    <w:basedOn w:val="Carpredefinitoparagrafo"/>
    <w:rsid w:val="00E47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515918">
      <w:bodyDiv w:val="1"/>
      <w:marLeft w:val="0"/>
      <w:marRight w:val="0"/>
      <w:marTop w:val="0"/>
      <w:marBottom w:val="0"/>
      <w:divBdr>
        <w:top w:val="none" w:sz="0" w:space="0" w:color="auto"/>
        <w:left w:val="none" w:sz="0" w:space="0" w:color="auto"/>
        <w:bottom w:val="none" w:sz="0" w:space="0" w:color="auto"/>
        <w:right w:val="none" w:sz="0" w:space="0" w:color="auto"/>
      </w:divBdr>
      <w:divsChild>
        <w:div w:id="1814986223">
          <w:marLeft w:val="0"/>
          <w:marRight w:val="0"/>
          <w:marTop w:val="0"/>
          <w:marBottom w:val="0"/>
          <w:divBdr>
            <w:top w:val="none" w:sz="0" w:space="0" w:color="auto"/>
            <w:left w:val="none" w:sz="0" w:space="0" w:color="auto"/>
            <w:bottom w:val="none" w:sz="0" w:space="0" w:color="auto"/>
            <w:right w:val="none" w:sz="0" w:space="0" w:color="auto"/>
          </w:divBdr>
        </w:div>
        <w:div w:id="1733894471">
          <w:marLeft w:val="0"/>
          <w:marRight w:val="0"/>
          <w:marTop w:val="0"/>
          <w:marBottom w:val="0"/>
          <w:divBdr>
            <w:top w:val="none" w:sz="0" w:space="0" w:color="auto"/>
            <w:left w:val="none" w:sz="0" w:space="0" w:color="auto"/>
            <w:bottom w:val="none" w:sz="0" w:space="0" w:color="auto"/>
            <w:right w:val="none" w:sz="0" w:space="0" w:color="auto"/>
          </w:divBdr>
        </w:div>
      </w:divsChild>
    </w:div>
    <w:div w:id="894781399">
      <w:bodyDiv w:val="1"/>
      <w:marLeft w:val="0"/>
      <w:marRight w:val="0"/>
      <w:marTop w:val="0"/>
      <w:marBottom w:val="0"/>
      <w:divBdr>
        <w:top w:val="none" w:sz="0" w:space="0" w:color="auto"/>
        <w:left w:val="none" w:sz="0" w:space="0" w:color="auto"/>
        <w:bottom w:val="none" w:sz="0" w:space="0" w:color="auto"/>
        <w:right w:val="none" w:sz="0" w:space="0" w:color="auto"/>
      </w:divBdr>
      <w:divsChild>
        <w:div w:id="1020205312">
          <w:marLeft w:val="0"/>
          <w:marRight w:val="0"/>
          <w:marTop w:val="0"/>
          <w:marBottom w:val="0"/>
          <w:divBdr>
            <w:top w:val="none" w:sz="0" w:space="0" w:color="auto"/>
            <w:left w:val="none" w:sz="0" w:space="0" w:color="auto"/>
            <w:bottom w:val="none" w:sz="0" w:space="0" w:color="auto"/>
            <w:right w:val="none" w:sz="0" w:space="0" w:color="auto"/>
          </w:divBdr>
        </w:div>
        <w:div w:id="605696551">
          <w:marLeft w:val="0"/>
          <w:marRight w:val="0"/>
          <w:marTop w:val="0"/>
          <w:marBottom w:val="0"/>
          <w:divBdr>
            <w:top w:val="none" w:sz="0" w:space="0" w:color="auto"/>
            <w:left w:val="none" w:sz="0" w:space="0" w:color="auto"/>
            <w:bottom w:val="none" w:sz="0" w:space="0" w:color="auto"/>
            <w:right w:val="none" w:sz="0" w:space="0" w:color="auto"/>
          </w:divBdr>
        </w:div>
        <w:div w:id="392581639">
          <w:marLeft w:val="0"/>
          <w:marRight w:val="0"/>
          <w:marTop w:val="0"/>
          <w:marBottom w:val="0"/>
          <w:divBdr>
            <w:top w:val="none" w:sz="0" w:space="0" w:color="auto"/>
            <w:left w:val="none" w:sz="0" w:space="0" w:color="auto"/>
            <w:bottom w:val="none" w:sz="0" w:space="0" w:color="auto"/>
            <w:right w:val="none" w:sz="0" w:space="0" w:color="auto"/>
          </w:divBdr>
        </w:div>
        <w:div w:id="1902280450">
          <w:marLeft w:val="0"/>
          <w:marRight w:val="0"/>
          <w:marTop w:val="0"/>
          <w:marBottom w:val="0"/>
          <w:divBdr>
            <w:top w:val="none" w:sz="0" w:space="0" w:color="auto"/>
            <w:left w:val="none" w:sz="0" w:space="0" w:color="auto"/>
            <w:bottom w:val="none" w:sz="0" w:space="0" w:color="auto"/>
            <w:right w:val="none" w:sz="0" w:space="0" w:color="auto"/>
          </w:divBdr>
        </w:div>
        <w:div w:id="371269906">
          <w:marLeft w:val="0"/>
          <w:marRight w:val="0"/>
          <w:marTop w:val="0"/>
          <w:marBottom w:val="0"/>
          <w:divBdr>
            <w:top w:val="none" w:sz="0" w:space="0" w:color="auto"/>
            <w:left w:val="none" w:sz="0" w:space="0" w:color="auto"/>
            <w:bottom w:val="none" w:sz="0" w:space="0" w:color="auto"/>
            <w:right w:val="none" w:sz="0" w:space="0" w:color="auto"/>
          </w:divBdr>
        </w:div>
        <w:div w:id="1173909829">
          <w:marLeft w:val="0"/>
          <w:marRight w:val="0"/>
          <w:marTop w:val="0"/>
          <w:marBottom w:val="0"/>
          <w:divBdr>
            <w:top w:val="none" w:sz="0" w:space="0" w:color="auto"/>
            <w:left w:val="none" w:sz="0" w:space="0" w:color="auto"/>
            <w:bottom w:val="none" w:sz="0" w:space="0" w:color="auto"/>
            <w:right w:val="none" w:sz="0" w:space="0" w:color="auto"/>
          </w:divBdr>
        </w:div>
        <w:div w:id="223225705">
          <w:marLeft w:val="0"/>
          <w:marRight w:val="0"/>
          <w:marTop w:val="0"/>
          <w:marBottom w:val="0"/>
          <w:divBdr>
            <w:top w:val="none" w:sz="0" w:space="0" w:color="auto"/>
            <w:left w:val="none" w:sz="0" w:space="0" w:color="auto"/>
            <w:bottom w:val="none" w:sz="0" w:space="0" w:color="auto"/>
            <w:right w:val="none" w:sz="0" w:space="0" w:color="auto"/>
          </w:divBdr>
        </w:div>
        <w:div w:id="99373146">
          <w:marLeft w:val="0"/>
          <w:marRight w:val="0"/>
          <w:marTop w:val="0"/>
          <w:marBottom w:val="0"/>
          <w:divBdr>
            <w:top w:val="none" w:sz="0" w:space="0" w:color="auto"/>
            <w:left w:val="none" w:sz="0" w:space="0" w:color="auto"/>
            <w:bottom w:val="none" w:sz="0" w:space="0" w:color="auto"/>
            <w:right w:val="none" w:sz="0" w:space="0" w:color="auto"/>
          </w:divBdr>
        </w:div>
        <w:div w:id="887424234">
          <w:marLeft w:val="0"/>
          <w:marRight w:val="0"/>
          <w:marTop w:val="0"/>
          <w:marBottom w:val="0"/>
          <w:divBdr>
            <w:top w:val="none" w:sz="0" w:space="0" w:color="auto"/>
            <w:left w:val="none" w:sz="0" w:space="0" w:color="auto"/>
            <w:bottom w:val="none" w:sz="0" w:space="0" w:color="auto"/>
            <w:right w:val="none" w:sz="0" w:space="0" w:color="auto"/>
          </w:divBdr>
        </w:div>
        <w:div w:id="484978471">
          <w:marLeft w:val="0"/>
          <w:marRight w:val="0"/>
          <w:marTop w:val="0"/>
          <w:marBottom w:val="0"/>
          <w:divBdr>
            <w:top w:val="none" w:sz="0" w:space="0" w:color="auto"/>
            <w:left w:val="none" w:sz="0" w:space="0" w:color="auto"/>
            <w:bottom w:val="none" w:sz="0" w:space="0" w:color="auto"/>
            <w:right w:val="none" w:sz="0" w:space="0" w:color="auto"/>
          </w:divBdr>
        </w:div>
        <w:div w:id="107239352">
          <w:marLeft w:val="0"/>
          <w:marRight w:val="0"/>
          <w:marTop w:val="0"/>
          <w:marBottom w:val="0"/>
          <w:divBdr>
            <w:top w:val="none" w:sz="0" w:space="0" w:color="auto"/>
            <w:left w:val="none" w:sz="0" w:space="0" w:color="auto"/>
            <w:bottom w:val="none" w:sz="0" w:space="0" w:color="auto"/>
            <w:right w:val="none" w:sz="0" w:space="0" w:color="auto"/>
          </w:divBdr>
        </w:div>
        <w:div w:id="1042091694">
          <w:marLeft w:val="0"/>
          <w:marRight w:val="0"/>
          <w:marTop w:val="0"/>
          <w:marBottom w:val="0"/>
          <w:divBdr>
            <w:top w:val="none" w:sz="0" w:space="0" w:color="auto"/>
            <w:left w:val="none" w:sz="0" w:space="0" w:color="auto"/>
            <w:bottom w:val="none" w:sz="0" w:space="0" w:color="auto"/>
            <w:right w:val="none" w:sz="0" w:space="0" w:color="auto"/>
          </w:divBdr>
        </w:div>
        <w:div w:id="1168325836">
          <w:marLeft w:val="0"/>
          <w:marRight w:val="0"/>
          <w:marTop w:val="0"/>
          <w:marBottom w:val="0"/>
          <w:divBdr>
            <w:top w:val="none" w:sz="0" w:space="0" w:color="auto"/>
            <w:left w:val="none" w:sz="0" w:space="0" w:color="auto"/>
            <w:bottom w:val="none" w:sz="0" w:space="0" w:color="auto"/>
            <w:right w:val="none" w:sz="0" w:space="0" w:color="auto"/>
          </w:divBdr>
        </w:div>
        <w:div w:id="1929002630">
          <w:marLeft w:val="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9641848">
      <w:bodyDiv w:val="1"/>
      <w:marLeft w:val="0"/>
      <w:marRight w:val="0"/>
      <w:marTop w:val="0"/>
      <w:marBottom w:val="0"/>
      <w:divBdr>
        <w:top w:val="none" w:sz="0" w:space="0" w:color="auto"/>
        <w:left w:val="none" w:sz="0" w:space="0" w:color="auto"/>
        <w:bottom w:val="none" w:sz="0" w:space="0" w:color="auto"/>
        <w:right w:val="none" w:sz="0" w:space="0" w:color="auto"/>
      </w:divBdr>
      <w:divsChild>
        <w:div w:id="1838644625">
          <w:marLeft w:val="0"/>
          <w:marRight w:val="0"/>
          <w:marTop w:val="0"/>
          <w:marBottom w:val="0"/>
          <w:divBdr>
            <w:top w:val="none" w:sz="0" w:space="0" w:color="auto"/>
            <w:left w:val="none" w:sz="0" w:space="0" w:color="auto"/>
            <w:bottom w:val="none" w:sz="0" w:space="0" w:color="auto"/>
            <w:right w:val="none" w:sz="0" w:space="0" w:color="auto"/>
          </w:divBdr>
        </w:div>
        <w:div w:id="1109736274">
          <w:marLeft w:val="0"/>
          <w:marRight w:val="0"/>
          <w:marTop w:val="0"/>
          <w:marBottom w:val="0"/>
          <w:divBdr>
            <w:top w:val="none" w:sz="0" w:space="0" w:color="auto"/>
            <w:left w:val="none" w:sz="0" w:space="0" w:color="auto"/>
            <w:bottom w:val="none" w:sz="0" w:space="0" w:color="auto"/>
            <w:right w:val="none" w:sz="0" w:space="0" w:color="auto"/>
          </w:divBdr>
        </w:div>
      </w:divsChild>
    </w:div>
    <w:div w:id="167176153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6012">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91974029">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1902935590">
      <w:bodyDiv w:val="1"/>
      <w:marLeft w:val="0"/>
      <w:marRight w:val="0"/>
      <w:marTop w:val="0"/>
      <w:marBottom w:val="0"/>
      <w:divBdr>
        <w:top w:val="none" w:sz="0" w:space="0" w:color="auto"/>
        <w:left w:val="none" w:sz="0" w:space="0" w:color="auto"/>
        <w:bottom w:val="none" w:sz="0" w:space="0" w:color="auto"/>
        <w:right w:val="none" w:sz="0" w:space="0" w:color="auto"/>
      </w:divBdr>
    </w:div>
    <w:div w:id="210187475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x.doi.org/10.1109/COASE.2009.5234108"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13640-D651-4FB9-B20A-5E83F076B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6</Pages>
  <Words>3014</Words>
  <Characters>17183</Characters>
  <Application>Microsoft Office Word</Application>
  <DocSecurity>0</DocSecurity>
  <Lines>143</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Elpida Piperopoulos</cp:lastModifiedBy>
  <cp:revision>21</cp:revision>
  <cp:lastPrinted>2015-05-12T18:31:00Z</cp:lastPrinted>
  <dcterms:created xsi:type="dcterms:W3CDTF">2025-02-16T18:50:00Z</dcterms:created>
  <dcterms:modified xsi:type="dcterms:W3CDTF">2025-04-15T18:14:00Z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