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478A5" w14:paraId="2A131A54" w14:textId="77777777" w:rsidTr="00DE264A">
        <w:trPr>
          <w:trHeight w:val="852"/>
          <w:jc w:val="center"/>
        </w:trPr>
        <w:tc>
          <w:tcPr>
            <w:tcW w:w="6946" w:type="dxa"/>
            <w:vMerge w:val="restart"/>
            <w:tcBorders>
              <w:right w:val="single" w:sz="4" w:space="0" w:color="auto"/>
            </w:tcBorders>
          </w:tcPr>
          <w:p w14:paraId="38C3D2BA" w14:textId="7412EB3C" w:rsidR="000A03B2" w:rsidRPr="005478A5" w:rsidRDefault="000A03B2" w:rsidP="00DE264A">
            <w:pPr>
              <w:tabs>
                <w:tab w:val="left" w:pos="-108"/>
              </w:tabs>
              <w:ind w:left="-108"/>
              <w:jc w:val="left"/>
              <w:rPr>
                <w:rFonts w:cs="Arial"/>
                <w:b/>
                <w:bCs/>
                <w:i/>
                <w:iCs/>
                <w:color w:val="000066"/>
                <w:sz w:val="12"/>
                <w:szCs w:val="12"/>
                <w:lang w:val="en-US" w:eastAsia="it-IT"/>
              </w:rPr>
            </w:pPr>
            <w:bookmarkStart w:id="0" w:name="_Hlk145068772"/>
            <w:r w:rsidRPr="005478A5">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478A5">
              <w:rPr>
                <w:rFonts w:ascii="AdvP6960" w:hAnsi="AdvP6960" w:cs="AdvP6960"/>
                <w:color w:val="241F20"/>
                <w:szCs w:val="18"/>
                <w:lang w:val="en-US" w:eastAsia="it-IT"/>
              </w:rPr>
              <w:t xml:space="preserve"> </w:t>
            </w:r>
            <w:r w:rsidRPr="005478A5">
              <w:rPr>
                <w:rFonts w:cs="Arial"/>
                <w:b/>
                <w:bCs/>
                <w:i/>
                <w:iCs/>
                <w:color w:val="000066"/>
                <w:sz w:val="24"/>
                <w:szCs w:val="24"/>
                <w:lang w:val="en-US" w:eastAsia="it-IT"/>
              </w:rPr>
              <w:t>CHEMICAL ENGINEERING</w:t>
            </w:r>
            <w:r w:rsidRPr="005478A5">
              <w:rPr>
                <w:rFonts w:cs="Arial"/>
                <w:b/>
                <w:bCs/>
                <w:i/>
                <w:iCs/>
                <w:color w:val="0033FF"/>
                <w:sz w:val="24"/>
                <w:szCs w:val="24"/>
                <w:lang w:val="en-US" w:eastAsia="it-IT"/>
              </w:rPr>
              <w:t xml:space="preserve"> </w:t>
            </w:r>
            <w:r w:rsidRPr="005478A5">
              <w:rPr>
                <w:rFonts w:cs="Arial"/>
                <w:b/>
                <w:bCs/>
                <w:i/>
                <w:iCs/>
                <w:color w:val="666666"/>
                <w:sz w:val="24"/>
                <w:szCs w:val="24"/>
                <w:lang w:val="en-US" w:eastAsia="it-IT"/>
              </w:rPr>
              <w:t>TRANSACTIONS</w:t>
            </w:r>
            <w:r w:rsidRPr="005478A5">
              <w:rPr>
                <w:color w:val="333333"/>
                <w:sz w:val="24"/>
                <w:szCs w:val="24"/>
                <w:lang w:val="en-US" w:eastAsia="it-IT"/>
              </w:rPr>
              <w:t xml:space="preserve"> </w:t>
            </w:r>
            <w:r w:rsidRPr="005478A5">
              <w:rPr>
                <w:rFonts w:cs="Arial"/>
                <w:b/>
                <w:bCs/>
                <w:i/>
                <w:iCs/>
                <w:color w:val="000066"/>
                <w:sz w:val="27"/>
                <w:szCs w:val="27"/>
                <w:lang w:val="en-US" w:eastAsia="it-IT"/>
              </w:rPr>
              <w:br/>
            </w:r>
          </w:p>
          <w:p w14:paraId="4B780582" w14:textId="47EF826C" w:rsidR="000A03B2" w:rsidRPr="005478A5" w:rsidRDefault="00A76EFC" w:rsidP="001D21AF">
            <w:pPr>
              <w:tabs>
                <w:tab w:val="left" w:pos="-108"/>
              </w:tabs>
              <w:ind w:left="-108"/>
              <w:rPr>
                <w:rFonts w:cs="Arial"/>
                <w:b/>
                <w:bCs/>
                <w:i/>
                <w:iCs/>
                <w:color w:val="000066"/>
                <w:sz w:val="22"/>
                <w:szCs w:val="22"/>
                <w:lang w:val="en-US" w:eastAsia="it-IT"/>
              </w:rPr>
            </w:pPr>
            <w:r w:rsidRPr="005478A5">
              <w:rPr>
                <w:rFonts w:cs="Arial"/>
                <w:b/>
                <w:bCs/>
                <w:i/>
                <w:iCs/>
                <w:color w:val="000066"/>
                <w:sz w:val="22"/>
                <w:szCs w:val="22"/>
                <w:lang w:val="en-US" w:eastAsia="it-IT"/>
              </w:rPr>
              <w:t>VOL.</w:t>
            </w:r>
            <w:r w:rsidR="00785BF9" w:rsidRPr="005478A5">
              <w:rPr>
                <w:rFonts w:cs="Arial"/>
                <w:b/>
                <w:bCs/>
                <w:i/>
                <w:iCs/>
                <w:color w:val="000066"/>
                <w:sz w:val="22"/>
                <w:szCs w:val="22"/>
                <w:lang w:val="en-US" w:eastAsia="it-IT"/>
              </w:rPr>
              <w:t xml:space="preserve"> </w:t>
            </w:r>
            <w:r w:rsidR="00994C6A" w:rsidRPr="005478A5">
              <w:rPr>
                <w:rFonts w:cs="Arial"/>
                <w:b/>
                <w:bCs/>
                <w:i/>
                <w:iCs/>
                <w:color w:val="000066"/>
                <w:sz w:val="22"/>
                <w:szCs w:val="22"/>
                <w:lang w:val="en-US" w:eastAsia="it-IT"/>
              </w:rPr>
              <w:t>xxx</w:t>
            </w:r>
            <w:r w:rsidR="007B48F9" w:rsidRPr="005478A5">
              <w:rPr>
                <w:rFonts w:cs="Arial"/>
                <w:b/>
                <w:bCs/>
                <w:i/>
                <w:iCs/>
                <w:color w:val="000066"/>
                <w:sz w:val="22"/>
                <w:szCs w:val="22"/>
                <w:lang w:val="en-US" w:eastAsia="it-IT"/>
              </w:rPr>
              <w:t>,</w:t>
            </w:r>
            <w:r w:rsidR="00FA5F5F" w:rsidRPr="005478A5">
              <w:rPr>
                <w:rFonts w:cs="Arial"/>
                <w:b/>
                <w:bCs/>
                <w:i/>
                <w:iCs/>
                <w:color w:val="000066"/>
                <w:sz w:val="22"/>
                <w:szCs w:val="22"/>
                <w:lang w:val="en-US" w:eastAsia="it-IT"/>
              </w:rPr>
              <w:t xml:space="preserve"> </w:t>
            </w:r>
            <w:r w:rsidR="0030152C" w:rsidRPr="005478A5">
              <w:rPr>
                <w:rFonts w:cs="Arial"/>
                <w:b/>
                <w:bCs/>
                <w:i/>
                <w:iCs/>
                <w:color w:val="000066"/>
                <w:sz w:val="22"/>
                <w:szCs w:val="22"/>
                <w:lang w:val="en-US" w:eastAsia="it-IT"/>
              </w:rPr>
              <w:t>202</w:t>
            </w:r>
            <w:r w:rsidR="00994C6A" w:rsidRPr="005478A5">
              <w:rPr>
                <w:rFonts w:cs="Arial"/>
                <w:b/>
                <w:bCs/>
                <w:i/>
                <w:iCs/>
                <w:color w:val="000066"/>
                <w:sz w:val="22"/>
                <w:szCs w:val="22"/>
                <w:lang w:val="en-US" w:eastAsia="it-IT"/>
              </w:rPr>
              <w:t>5</w:t>
            </w:r>
          </w:p>
        </w:tc>
        <w:tc>
          <w:tcPr>
            <w:tcW w:w="1843" w:type="dxa"/>
            <w:tcBorders>
              <w:left w:val="single" w:sz="4" w:space="0" w:color="auto"/>
              <w:bottom w:val="nil"/>
              <w:right w:val="single" w:sz="4" w:space="0" w:color="auto"/>
            </w:tcBorders>
          </w:tcPr>
          <w:p w14:paraId="56782132" w14:textId="77777777" w:rsidR="000A03B2" w:rsidRPr="005478A5" w:rsidRDefault="000A03B2" w:rsidP="00CD5FE2">
            <w:pPr>
              <w:spacing w:line="140" w:lineRule="atLeast"/>
              <w:jc w:val="right"/>
              <w:rPr>
                <w:rFonts w:cs="Arial"/>
                <w:sz w:val="14"/>
                <w:szCs w:val="14"/>
                <w:lang w:val="en-US"/>
              </w:rPr>
            </w:pPr>
            <w:r w:rsidRPr="005478A5">
              <w:rPr>
                <w:rFonts w:cs="Arial"/>
                <w:sz w:val="14"/>
                <w:szCs w:val="14"/>
                <w:lang w:val="en-US"/>
              </w:rPr>
              <w:t>A publication of</w:t>
            </w:r>
          </w:p>
          <w:p w14:paraId="599E5441" w14:textId="77777777" w:rsidR="000A03B2" w:rsidRPr="005478A5" w:rsidRDefault="000A03B2" w:rsidP="00CD5FE2">
            <w:pPr>
              <w:jc w:val="right"/>
              <w:rPr>
                <w:lang w:val="en-US"/>
              </w:rPr>
            </w:pPr>
            <w:r w:rsidRPr="005478A5">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478A5" w14:paraId="380FA3CD" w14:textId="77777777" w:rsidTr="00DE264A">
        <w:trPr>
          <w:trHeight w:val="567"/>
          <w:jc w:val="center"/>
        </w:trPr>
        <w:tc>
          <w:tcPr>
            <w:tcW w:w="6946" w:type="dxa"/>
            <w:vMerge/>
            <w:tcBorders>
              <w:right w:val="single" w:sz="4" w:space="0" w:color="auto"/>
            </w:tcBorders>
          </w:tcPr>
          <w:p w14:paraId="39E5E4C1" w14:textId="77777777" w:rsidR="000A03B2" w:rsidRPr="005478A5"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5478A5" w:rsidRDefault="000A03B2" w:rsidP="00CD5FE2">
            <w:pPr>
              <w:spacing w:line="140" w:lineRule="atLeast"/>
              <w:jc w:val="right"/>
              <w:rPr>
                <w:rFonts w:cs="Arial"/>
                <w:sz w:val="14"/>
                <w:szCs w:val="14"/>
                <w:lang w:val="en-US"/>
              </w:rPr>
            </w:pPr>
            <w:r w:rsidRPr="005478A5">
              <w:rPr>
                <w:rFonts w:cs="Arial"/>
                <w:sz w:val="14"/>
                <w:szCs w:val="14"/>
                <w:lang w:val="en-US"/>
              </w:rPr>
              <w:t>The Italian Association</w:t>
            </w:r>
          </w:p>
          <w:p w14:paraId="7522B1D2" w14:textId="77777777" w:rsidR="000A03B2" w:rsidRPr="005478A5" w:rsidRDefault="000A03B2" w:rsidP="00CD5FE2">
            <w:pPr>
              <w:spacing w:line="140" w:lineRule="atLeast"/>
              <w:jc w:val="right"/>
              <w:rPr>
                <w:rFonts w:cs="Arial"/>
                <w:sz w:val="14"/>
                <w:szCs w:val="14"/>
                <w:lang w:val="en-US"/>
              </w:rPr>
            </w:pPr>
            <w:r w:rsidRPr="005478A5">
              <w:rPr>
                <w:rFonts w:cs="Arial"/>
                <w:sz w:val="14"/>
                <w:szCs w:val="14"/>
                <w:lang w:val="en-US"/>
              </w:rPr>
              <w:t>of Chemical Engineering</w:t>
            </w:r>
          </w:p>
          <w:p w14:paraId="4F0CC5DE" w14:textId="47FDB2FC" w:rsidR="000A03B2" w:rsidRPr="005478A5" w:rsidRDefault="000D0268" w:rsidP="00CD5FE2">
            <w:pPr>
              <w:spacing w:line="140" w:lineRule="atLeast"/>
              <w:jc w:val="right"/>
              <w:rPr>
                <w:rFonts w:cs="Arial"/>
                <w:sz w:val="13"/>
                <w:szCs w:val="13"/>
                <w:lang w:val="en-US"/>
              </w:rPr>
            </w:pPr>
            <w:r w:rsidRPr="005478A5">
              <w:rPr>
                <w:rFonts w:cs="Arial"/>
                <w:sz w:val="13"/>
                <w:szCs w:val="13"/>
                <w:lang w:val="en-US"/>
              </w:rPr>
              <w:t>Online at www.cetjournal.it</w:t>
            </w:r>
          </w:p>
        </w:tc>
      </w:tr>
      <w:tr w:rsidR="000A03B2" w:rsidRPr="005478A5" w14:paraId="2D1B7169" w14:textId="77777777" w:rsidTr="00DE264A">
        <w:trPr>
          <w:trHeight w:val="68"/>
          <w:jc w:val="center"/>
        </w:trPr>
        <w:tc>
          <w:tcPr>
            <w:tcW w:w="8789" w:type="dxa"/>
            <w:gridSpan w:val="2"/>
          </w:tcPr>
          <w:p w14:paraId="1D8DD3C9" w14:textId="0F721BB9" w:rsidR="00AA7D26" w:rsidRPr="005478A5" w:rsidRDefault="00AA7D26" w:rsidP="008832AA">
            <w:pPr>
              <w:ind w:left="-107"/>
              <w:outlineLvl w:val="2"/>
              <w:rPr>
                <w:rFonts w:ascii="Aptos" w:eastAsiaTheme="minorHAnsi" w:hAnsi="Aptos" w:cs="Aptos"/>
                <w:sz w:val="22"/>
                <w:szCs w:val="22"/>
                <w:lang w:val="en-US"/>
                <w14:ligatures w14:val="standardContextual"/>
              </w:rPr>
            </w:pPr>
            <w:r w:rsidRPr="005478A5">
              <w:rPr>
                <w:rFonts w:ascii="Tahoma" w:hAnsi="Tahoma" w:cs="Tahoma"/>
                <w:iCs/>
                <w:color w:val="333333"/>
                <w:sz w:val="14"/>
                <w:szCs w:val="14"/>
                <w:lang w:val="en-US" w:eastAsia="it-IT"/>
              </w:rPr>
              <w:t>Guest Editors:</w:t>
            </w:r>
            <w:r w:rsidR="008832AA" w:rsidRPr="005478A5">
              <w:rPr>
                <w:rFonts w:ascii="Aptos" w:eastAsiaTheme="minorHAnsi" w:hAnsi="Aptos" w:cs="Aptos"/>
                <w:sz w:val="22"/>
                <w:szCs w:val="22"/>
                <w:lang w:val="en-US"/>
              </w:rPr>
              <w:t xml:space="preserve"> </w:t>
            </w:r>
            <w:r w:rsidR="008832AA" w:rsidRPr="005478A5">
              <w:rPr>
                <w:rFonts w:ascii="Tahoma" w:eastAsiaTheme="minorHAnsi" w:hAnsi="Tahoma" w:cs="Tahoma"/>
                <w:sz w:val="14"/>
                <w:szCs w:val="14"/>
                <w:lang w:val="en-US"/>
                <w14:ligatures w14:val="standardContextual"/>
              </w:rPr>
              <w:t>David Bogle, Flavio Manenti, Piero Salatino</w:t>
            </w:r>
          </w:p>
          <w:p w14:paraId="1B0F1814" w14:textId="39433521" w:rsidR="000A03B2" w:rsidRPr="005478A5" w:rsidRDefault="00AA7D26" w:rsidP="00AA7D26">
            <w:pPr>
              <w:tabs>
                <w:tab w:val="left" w:pos="-108"/>
              </w:tabs>
              <w:spacing w:line="140" w:lineRule="atLeast"/>
              <w:ind w:left="-107"/>
              <w:jc w:val="left"/>
              <w:rPr>
                <w:lang w:val="en-US"/>
              </w:rPr>
            </w:pPr>
            <w:r w:rsidRPr="005478A5">
              <w:rPr>
                <w:rFonts w:ascii="Tahoma" w:hAnsi="Tahoma" w:cs="Tahoma"/>
                <w:iCs/>
                <w:color w:val="333333"/>
                <w:sz w:val="14"/>
                <w:szCs w:val="14"/>
                <w:lang w:val="en-US" w:eastAsia="it-IT"/>
              </w:rPr>
              <w:t>Copyright © 202</w:t>
            </w:r>
            <w:r w:rsidR="00994C6A" w:rsidRPr="005478A5">
              <w:rPr>
                <w:rFonts w:ascii="Tahoma" w:hAnsi="Tahoma" w:cs="Tahoma"/>
                <w:iCs/>
                <w:color w:val="333333"/>
                <w:sz w:val="14"/>
                <w:szCs w:val="14"/>
                <w:lang w:val="en-US" w:eastAsia="it-IT"/>
              </w:rPr>
              <w:t>5</w:t>
            </w:r>
            <w:r w:rsidRPr="005478A5">
              <w:rPr>
                <w:rFonts w:ascii="Tahoma" w:hAnsi="Tahoma" w:cs="Tahoma"/>
                <w:iCs/>
                <w:color w:val="333333"/>
                <w:sz w:val="14"/>
                <w:szCs w:val="14"/>
                <w:lang w:val="en-US" w:eastAsia="it-IT"/>
              </w:rPr>
              <w:t xml:space="preserve">, AIDIC </w:t>
            </w:r>
            <w:proofErr w:type="spellStart"/>
            <w:r w:rsidRPr="005478A5">
              <w:rPr>
                <w:rFonts w:ascii="Tahoma" w:hAnsi="Tahoma" w:cs="Tahoma"/>
                <w:iCs/>
                <w:color w:val="333333"/>
                <w:sz w:val="14"/>
                <w:szCs w:val="14"/>
                <w:lang w:val="en-US" w:eastAsia="it-IT"/>
              </w:rPr>
              <w:t>Servizi</w:t>
            </w:r>
            <w:proofErr w:type="spellEnd"/>
            <w:r w:rsidRPr="005478A5">
              <w:rPr>
                <w:rFonts w:ascii="Tahoma" w:hAnsi="Tahoma" w:cs="Tahoma"/>
                <w:iCs/>
                <w:color w:val="333333"/>
                <w:sz w:val="14"/>
                <w:szCs w:val="14"/>
                <w:lang w:val="en-US" w:eastAsia="it-IT"/>
              </w:rPr>
              <w:t xml:space="preserve"> </w:t>
            </w:r>
            <w:proofErr w:type="spellStart"/>
            <w:r w:rsidRPr="005478A5">
              <w:rPr>
                <w:rFonts w:ascii="Tahoma" w:hAnsi="Tahoma" w:cs="Tahoma"/>
                <w:iCs/>
                <w:color w:val="333333"/>
                <w:sz w:val="14"/>
                <w:szCs w:val="14"/>
                <w:lang w:val="en-US" w:eastAsia="it-IT"/>
              </w:rPr>
              <w:t>S.r.l</w:t>
            </w:r>
            <w:proofErr w:type="spellEnd"/>
            <w:r w:rsidRPr="005478A5">
              <w:rPr>
                <w:rFonts w:ascii="Tahoma" w:hAnsi="Tahoma" w:cs="Tahoma"/>
                <w:iCs/>
                <w:color w:val="333333"/>
                <w:sz w:val="14"/>
                <w:szCs w:val="14"/>
                <w:lang w:val="en-US" w:eastAsia="it-IT"/>
              </w:rPr>
              <w:t>.</w:t>
            </w:r>
            <w:r w:rsidRPr="005478A5">
              <w:rPr>
                <w:rFonts w:ascii="Tahoma" w:hAnsi="Tahoma" w:cs="Tahoma"/>
                <w:iCs/>
                <w:color w:val="333333"/>
                <w:sz w:val="14"/>
                <w:szCs w:val="14"/>
                <w:lang w:val="en-US" w:eastAsia="it-IT"/>
              </w:rPr>
              <w:br/>
            </w:r>
            <w:r w:rsidRPr="005478A5">
              <w:rPr>
                <w:rFonts w:ascii="Tahoma" w:hAnsi="Tahoma" w:cs="Tahoma"/>
                <w:b/>
                <w:iCs/>
                <w:color w:val="000000"/>
                <w:sz w:val="14"/>
                <w:szCs w:val="14"/>
                <w:lang w:val="en-US" w:eastAsia="it-IT"/>
              </w:rPr>
              <w:t>ISBN</w:t>
            </w:r>
            <w:r w:rsidRPr="005478A5">
              <w:rPr>
                <w:rFonts w:ascii="Tahoma" w:hAnsi="Tahoma" w:cs="Tahoma"/>
                <w:iCs/>
                <w:color w:val="000000"/>
                <w:sz w:val="14"/>
                <w:szCs w:val="14"/>
                <w:lang w:val="en-US" w:eastAsia="it-IT"/>
              </w:rPr>
              <w:t xml:space="preserve"> </w:t>
            </w:r>
            <w:r w:rsidR="003B49CD" w:rsidRPr="005478A5">
              <w:rPr>
                <w:rFonts w:ascii="Tahoma" w:hAnsi="Tahoma" w:cs="Tahoma"/>
                <w:sz w:val="14"/>
                <w:szCs w:val="14"/>
                <w:lang w:val="en-US"/>
              </w:rPr>
              <w:t>979-12-81206-</w:t>
            </w:r>
            <w:r w:rsidR="003904D3" w:rsidRPr="005478A5">
              <w:rPr>
                <w:rFonts w:ascii="Tahoma" w:hAnsi="Tahoma" w:cs="Tahoma"/>
                <w:sz w:val="14"/>
                <w:szCs w:val="14"/>
                <w:lang w:val="en-US"/>
              </w:rPr>
              <w:t>21</w:t>
            </w:r>
            <w:r w:rsidR="003B49CD" w:rsidRPr="005478A5">
              <w:rPr>
                <w:rFonts w:ascii="Tahoma" w:hAnsi="Tahoma" w:cs="Tahoma"/>
                <w:sz w:val="14"/>
                <w:szCs w:val="14"/>
                <w:lang w:val="en-US"/>
              </w:rPr>
              <w:t>-</w:t>
            </w:r>
            <w:r w:rsidR="003904D3" w:rsidRPr="005478A5">
              <w:rPr>
                <w:rFonts w:ascii="Tahoma" w:hAnsi="Tahoma" w:cs="Tahoma"/>
                <w:sz w:val="14"/>
                <w:szCs w:val="14"/>
                <w:lang w:val="en-US"/>
              </w:rPr>
              <w:t>2</w:t>
            </w:r>
            <w:r w:rsidRPr="005478A5">
              <w:rPr>
                <w:rFonts w:ascii="Tahoma" w:hAnsi="Tahoma" w:cs="Tahoma"/>
                <w:iCs/>
                <w:color w:val="333333"/>
                <w:sz w:val="14"/>
                <w:szCs w:val="14"/>
                <w:lang w:val="en-US" w:eastAsia="it-IT"/>
              </w:rPr>
              <w:t xml:space="preserve">; </w:t>
            </w:r>
            <w:r w:rsidRPr="005478A5">
              <w:rPr>
                <w:rFonts w:ascii="Tahoma" w:hAnsi="Tahoma" w:cs="Tahoma"/>
                <w:b/>
                <w:iCs/>
                <w:color w:val="333333"/>
                <w:sz w:val="14"/>
                <w:szCs w:val="14"/>
                <w:lang w:val="en-US" w:eastAsia="it-IT"/>
              </w:rPr>
              <w:t>ISSN</w:t>
            </w:r>
            <w:r w:rsidRPr="005478A5">
              <w:rPr>
                <w:rFonts w:ascii="Tahoma" w:hAnsi="Tahoma" w:cs="Tahoma"/>
                <w:iCs/>
                <w:color w:val="333333"/>
                <w:sz w:val="14"/>
                <w:szCs w:val="14"/>
                <w:lang w:val="en-US" w:eastAsia="it-IT"/>
              </w:rPr>
              <w:t xml:space="preserve"> 2283-9216</w:t>
            </w:r>
          </w:p>
        </w:tc>
      </w:tr>
    </w:tbl>
    <w:bookmarkEnd w:id="0"/>
    <w:p w14:paraId="2E667253" w14:textId="6090B9EA" w:rsidR="00E978D0" w:rsidRPr="005478A5" w:rsidRDefault="00E70072" w:rsidP="00E978D0">
      <w:pPr>
        <w:pStyle w:val="CETTitle"/>
        <w:rPr>
          <w:lang w:val="en-US"/>
        </w:rPr>
      </w:pPr>
      <w:r w:rsidRPr="005478A5">
        <w:rPr>
          <w:lang w:val="en-US"/>
        </w:rPr>
        <w:t xml:space="preserve">Dynamic Hybrid Model for biopesticides production using </w:t>
      </w:r>
      <w:r w:rsidR="00380275" w:rsidRPr="005478A5">
        <w:rPr>
          <w:lang w:val="en-US"/>
        </w:rPr>
        <w:t>industrial substrate</w:t>
      </w:r>
    </w:p>
    <w:p w14:paraId="0488FED2" w14:textId="237431C7" w:rsidR="00B57E6F" w:rsidRPr="00BE24C5" w:rsidRDefault="00856CD4" w:rsidP="00B57E6F">
      <w:pPr>
        <w:pStyle w:val="CETAuthors"/>
        <w:rPr>
          <w:lang w:val="es-CO"/>
        </w:rPr>
      </w:pPr>
      <w:r w:rsidRPr="00BE24C5">
        <w:rPr>
          <w:lang w:val="es-CO"/>
        </w:rPr>
        <w:t>Sergio Figueroa-Cardona</w:t>
      </w:r>
      <w:r w:rsidR="00B57E6F" w:rsidRPr="00BE24C5">
        <w:rPr>
          <w:lang w:val="es-CO"/>
        </w:rPr>
        <w:t>,</w:t>
      </w:r>
      <w:r w:rsidRPr="00BE24C5">
        <w:rPr>
          <w:lang w:val="es-CO"/>
        </w:rPr>
        <w:t xml:space="preserve"> Carlos E. Ro</w:t>
      </w:r>
      <w:r w:rsidR="000E06DD">
        <w:rPr>
          <w:lang w:val="es-CO"/>
        </w:rPr>
        <w:t>bles</w:t>
      </w:r>
      <w:r w:rsidRPr="00BE24C5">
        <w:rPr>
          <w:lang w:val="es-CO"/>
        </w:rPr>
        <w:t>-Ro</w:t>
      </w:r>
      <w:r w:rsidR="000E06DD">
        <w:rPr>
          <w:lang w:val="es-CO"/>
        </w:rPr>
        <w:t>driguez</w:t>
      </w:r>
      <w:r w:rsidR="00B57E6F" w:rsidRPr="00BE24C5">
        <w:rPr>
          <w:lang w:val="es-CO"/>
        </w:rPr>
        <w:t>,</w:t>
      </w:r>
      <w:r w:rsidRPr="00BE24C5">
        <w:rPr>
          <w:lang w:val="es-CO"/>
        </w:rPr>
        <w:t xml:space="preserve"> Luc Fillaudeau, Rim El-Jeni, Cesar A. Aceves-Lara*. </w:t>
      </w:r>
      <w:r w:rsidR="00B57E6F" w:rsidRPr="00BE24C5">
        <w:rPr>
          <w:lang w:val="es-CO"/>
        </w:rPr>
        <w:t xml:space="preserve"> </w:t>
      </w:r>
    </w:p>
    <w:p w14:paraId="6B2D21B3" w14:textId="1E9FD7D2" w:rsidR="00B57E6F" w:rsidRPr="00BE24C5" w:rsidRDefault="00B57E6F" w:rsidP="00B57E6F">
      <w:pPr>
        <w:pStyle w:val="CETAddress"/>
        <w:rPr>
          <w:lang w:val="fr-FR"/>
        </w:rPr>
      </w:pPr>
      <w:r w:rsidRPr="00BE24C5">
        <w:rPr>
          <w:vertAlign w:val="superscript"/>
          <w:lang w:val="fr-FR"/>
        </w:rPr>
        <w:t>a</w:t>
      </w:r>
      <w:r w:rsidR="00380275" w:rsidRPr="00BE24C5">
        <w:rPr>
          <w:lang w:val="fr-FR"/>
        </w:rPr>
        <w:t>TBI, Université de Toulouse, CNRS, INRAE, INSA,</w:t>
      </w:r>
      <w:r w:rsidR="001E05BC" w:rsidRPr="00BE24C5">
        <w:rPr>
          <w:lang w:val="fr-FR"/>
        </w:rPr>
        <w:t xml:space="preserve"> 135 avenue de Rangueil,</w:t>
      </w:r>
      <w:r w:rsidR="00380275" w:rsidRPr="00BE24C5">
        <w:rPr>
          <w:lang w:val="fr-FR"/>
        </w:rPr>
        <w:t xml:space="preserve"> Toulouse, France. </w:t>
      </w:r>
    </w:p>
    <w:p w14:paraId="1152458F" w14:textId="6FA5022F" w:rsidR="001E05BC" w:rsidRPr="005478A5" w:rsidRDefault="00856CD4" w:rsidP="00CA2914">
      <w:pPr>
        <w:pStyle w:val="CETemail"/>
        <w:rPr>
          <w:lang w:val="en-US"/>
        </w:rPr>
      </w:pPr>
      <w:r w:rsidRPr="005478A5">
        <w:rPr>
          <w:lang w:val="en-US"/>
        </w:rPr>
        <w:t>aceves</w:t>
      </w:r>
      <w:r w:rsidR="00B57E6F" w:rsidRPr="005478A5">
        <w:rPr>
          <w:lang w:val="en-US"/>
        </w:rPr>
        <w:t>@</w:t>
      </w:r>
      <w:r w:rsidRPr="005478A5">
        <w:rPr>
          <w:lang w:val="en-US"/>
        </w:rPr>
        <w:t>insa-toulouse.fr</w:t>
      </w:r>
      <w:r w:rsidR="00B57E6F" w:rsidRPr="005478A5">
        <w:rPr>
          <w:lang w:val="en-US"/>
        </w:rPr>
        <w:t xml:space="preserve"> </w:t>
      </w:r>
      <w:bookmarkStart w:id="1" w:name="_Hlk495475023"/>
    </w:p>
    <w:p w14:paraId="67737035" w14:textId="26EA346D" w:rsidR="006A002C" w:rsidRDefault="00471685" w:rsidP="00471685">
      <w:pPr>
        <w:pStyle w:val="CETBodytext"/>
        <w:rPr>
          <w:rStyle w:val="normaltextrun"/>
        </w:rPr>
      </w:pPr>
      <w:r w:rsidRPr="42E13AF0">
        <w:rPr>
          <w:rStyle w:val="normaltextrun"/>
          <w:i/>
          <w:iCs/>
        </w:rPr>
        <w:t>Bacillus thuringiensis</w:t>
      </w:r>
      <w:r w:rsidRPr="42E13AF0">
        <w:rPr>
          <w:rStyle w:val="normaltextrun"/>
        </w:rPr>
        <w:t xml:space="preserve"> (</w:t>
      </w:r>
      <w:proofErr w:type="spellStart"/>
      <w:r w:rsidRPr="42E13AF0">
        <w:rPr>
          <w:rStyle w:val="normaltextrun"/>
          <w:i/>
          <w:iCs/>
        </w:rPr>
        <w:t>Bt</w:t>
      </w:r>
      <w:proofErr w:type="spellEnd"/>
      <w:r w:rsidRPr="42E13AF0">
        <w:rPr>
          <w:rStyle w:val="normaltextrun"/>
        </w:rPr>
        <w:t xml:space="preserve">) is the most used microorganism in biopesticides around the world. </w:t>
      </w:r>
      <w:proofErr w:type="spellStart"/>
      <w:r w:rsidRPr="42E13AF0">
        <w:rPr>
          <w:rStyle w:val="normaltextrun"/>
          <w:i/>
          <w:iCs/>
        </w:rPr>
        <w:t>Bt</w:t>
      </w:r>
      <w:proofErr w:type="spellEnd"/>
      <w:r w:rsidRPr="42E13AF0">
        <w:rPr>
          <w:rStyle w:val="normaltextrun"/>
        </w:rPr>
        <w:t xml:space="preserve"> insecticidal activity is primarily due to the release of a protein called δ-endotoxin during sporulation. Industrial production of this biopesticide is challenging to control. A modelling framework could be used to enhance industrial production of these proteins. Several mechanistic models have been developed based on laboratory experiments with synthetic media, and previous works introduced a Dynamic Hybrid Model (DHM) to simulate </w:t>
      </w:r>
      <w:proofErr w:type="spellStart"/>
      <w:r w:rsidR="005F7E00" w:rsidRPr="42E13AF0">
        <w:rPr>
          <w:rStyle w:val="normaltextrun"/>
          <w:i/>
          <w:iCs/>
        </w:rPr>
        <w:t>Bt</w:t>
      </w:r>
      <w:proofErr w:type="spellEnd"/>
      <w:r w:rsidRPr="42E13AF0">
        <w:rPr>
          <w:rStyle w:val="normaltextrun"/>
        </w:rPr>
        <w:t xml:space="preserve"> fermentation using Support Vector Machine (SVM) regression in MATLAB®. The goals of this study are to extend the DHM to </w:t>
      </w:r>
      <w:proofErr w:type="spellStart"/>
      <w:r w:rsidR="00EC7F5E" w:rsidRPr="42E13AF0">
        <w:rPr>
          <w:rStyle w:val="normaltextrun"/>
          <w:i/>
          <w:iCs/>
        </w:rPr>
        <w:t>Bt</w:t>
      </w:r>
      <w:proofErr w:type="spellEnd"/>
      <w:r w:rsidRPr="42E13AF0">
        <w:rPr>
          <w:rStyle w:val="normaltextrun"/>
        </w:rPr>
        <w:t xml:space="preserve"> fermentations using industrial substrate and to test other data-driven algorithms. In this context, Decision Tree (DT) regression and </w:t>
      </w:r>
      <w:r w:rsidR="00C44FF7" w:rsidRPr="42E13AF0">
        <w:rPr>
          <w:rStyle w:val="normaltextrun"/>
        </w:rPr>
        <w:t>S</w:t>
      </w:r>
      <w:r w:rsidRPr="42E13AF0">
        <w:rPr>
          <w:rStyle w:val="normaltextrun"/>
        </w:rPr>
        <w:t xml:space="preserve">VM are compared. Data from two experiments using one strain of </w:t>
      </w:r>
      <w:proofErr w:type="spellStart"/>
      <w:r w:rsidRPr="42E13AF0">
        <w:rPr>
          <w:rStyle w:val="normaltextrun"/>
          <w:i/>
          <w:iCs/>
        </w:rPr>
        <w:t>Bt</w:t>
      </w:r>
      <w:proofErr w:type="spellEnd"/>
      <w:r w:rsidRPr="42E13AF0">
        <w:rPr>
          <w:rStyle w:val="normaltextrun"/>
        </w:rPr>
        <w:t xml:space="preserve"> </w:t>
      </w:r>
      <w:r w:rsidR="1B52E9A9" w:rsidRPr="42E13AF0">
        <w:rPr>
          <w:rStyle w:val="normaltextrun"/>
        </w:rPr>
        <w:t>was</w:t>
      </w:r>
      <w:r w:rsidRPr="42E13AF0">
        <w:rPr>
          <w:rStyle w:val="normaltextrun"/>
        </w:rPr>
        <w:t xml:space="preserve"> used to train and validate the model. </w:t>
      </w:r>
      <w:r w:rsidR="00510302" w:rsidRPr="42E13AF0">
        <w:rPr>
          <w:rStyle w:val="normaltextrun"/>
        </w:rPr>
        <w:t>T</w:t>
      </w:r>
      <w:r w:rsidRPr="42E13AF0">
        <w:rPr>
          <w:rStyle w:val="normaltextrun"/>
        </w:rPr>
        <w:t xml:space="preserve">he best </w:t>
      </w:r>
      <w:r w:rsidR="00510302" w:rsidRPr="42E13AF0">
        <w:rPr>
          <w:rStyle w:val="normaltextrun"/>
        </w:rPr>
        <w:t>DHMs</w:t>
      </w:r>
      <w:r w:rsidRPr="42E13AF0">
        <w:rPr>
          <w:rStyle w:val="normaltextrun"/>
        </w:rPr>
        <w:t xml:space="preserve"> </w:t>
      </w:r>
      <w:r w:rsidR="00510302" w:rsidRPr="42E13AF0">
        <w:rPr>
          <w:rStyle w:val="normaltextrun"/>
        </w:rPr>
        <w:t>corresponded to SVM</w:t>
      </w:r>
      <w:r w:rsidRPr="42E13AF0">
        <w:rPr>
          <w:rStyle w:val="normaltextrun"/>
        </w:rPr>
        <w:t xml:space="preserve"> </w:t>
      </w:r>
      <w:r w:rsidR="00510302" w:rsidRPr="42E13AF0">
        <w:rPr>
          <w:rStyle w:val="normaltextrun"/>
        </w:rPr>
        <w:t>with normalized errors (NRMSE) of 0.00</w:t>
      </w:r>
      <w:r w:rsidR="00087FB1">
        <w:rPr>
          <w:rStyle w:val="normaltextrun"/>
        </w:rPr>
        <w:t>5</w:t>
      </w:r>
      <w:r w:rsidR="00510302" w:rsidRPr="42E13AF0">
        <w:rPr>
          <w:rStyle w:val="normaltextrun"/>
        </w:rPr>
        <w:t xml:space="preserve"> and 0.0</w:t>
      </w:r>
      <w:r w:rsidR="00087FB1">
        <w:rPr>
          <w:rStyle w:val="normaltextrun"/>
        </w:rPr>
        <w:t>55</w:t>
      </w:r>
      <w:r w:rsidR="00510302" w:rsidRPr="42E13AF0">
        <w:rPr>
          <w:rStyle w:val="normaltextrun"/>
        </w:rPr>
        <w:t xml:space="preserve"> for proteins and spores, respectively.</w:t>
      </w:r>
      <w:r w:rsidRPr="42E13AF0">
        <w:rPr>
          <w:rStyle w:val="normaltextrun"/>
        </w:rPr>
        <w:t xml:space="preserve"> Future research will focus on incorporating additional experimental data to enhance model accuracy. The DHM will be further integrated into a scaled-up process to optimize industrial biopesticide production.</w:t>
      </w:r>
    </w:p>
    <w:p w14:paraId="7007D460" w14:textId="77777777" w:rsidR="00471685" w:rsidRPr="00471685" w:rsidRDefault="00471685" w:rsidP="00471685">
      <w:pPr>
        <w:pStyle w:val="CETBodytext"/>
      </w:pPr>
    </w:p>
    <w:p w14:paraId="5FECC4FB" w14:textId="392A58F5" w:rsidR="001E05BC" w:rsidRPr="005478A5" w:rsidRDefault="006A002C" w:rsidP="00600535">
      <w:pPr>
        <w:pStyle w:val="CETBodytext"/>
      </w:pPr>
      <w:r w:rsidRPr="005478A5">
        <w:t xml:space="preserve">Keywords: </w:t>
      </w:r>
      <w:r w:rsidR="00B941C0" w:rsidRPr="005478A5">
        <w:t>hybrid modelling</w:t>
      </w:r>
      <w:r w:rsidR="00B941C0">
        <w:t xml:space="preserve">, </w:t>
      </w:r>
      <w:r w:rsidR="00DD2211">
        <w:t xml:space="preserve">dynamic modelling, </w:t>
      </w:r>
      <w:r w:rsidR="00B941C0">
        <w:t xml:space="preserve">bioprocess, </w:t>
      </w:r>
      <w:r w:rsidRPr="005478A5">
        <w:t>Support Vector Machine</w:t>
      </w:r>
      <w:r w:rsidR="004E05CF">
        <w:t xml:space="preserve">, Decision </w:t>
      </w:r>
      <w:r w:rsidR="00B941C0">
        <w:t>T</w:t>
      </w:r>
      <w:r w:rsidR="004E05CF">
        <w:t>ree</w:t>
      </w:r>
      <w:r w:rsidR="00852DA0" w:rsidRPr="005478A5">
        <w:t xml:space="preserve">. </w:t>
      </w:r>
    </w:p>
    <w:bookmarkEnd w:id="1"/>
    <w:p w14:paraId="4398B199" w14:textId="5D2C1545" w:rsidR="00606944" w:rsidRPr="005478A5" w:rsidRDefault="00600535" w:rsidP="00606944">
      <w:pPr>
        <w:pStyle w:val="CETHeading1"/>
      </w:pPr>
      <w:r w:rsidRPr="005478A5">
        <w:t>Introduction</w:t>
      </w:r>
    </w:p>
    <w:p w14:paraId="073DB0A0" w14:textId="7ABB96FA" w:rsidR="00247A4A" w:rsidRPr="004B5F84" w:rsidRDefault="00C73D12" w:rsidP="00256F24">
      <w:pPr>
        <w:pStyle w:val="CETBodytext"/>
        <w:rPr>
          <w:lang w:val="en-GB"/>
        </w:rPr>
      </w:pPr>
      <w:r w:rsidRPr="42E13AF0">
        <w:rPr>
          <w:rStyle w:val="normaltextrun"/>
        </w:rPr>
        <w:t>Biopesticides are a strong alternative to reduce the cost and environmental impact of synthetic pesticides</w:t>
      </w:r>
      <w:r w:rsidR="00DC79D6" w:rsidRPr="42E13AF0">
        <w:rPr>
          <w:rStyle w:val="normaltextrun"/>
        </w:rPr>
        <w:t xml:space="preserve"> </w:t>
      </w:r>
      <w:r w:rsidRPr="42E13AF0">
        <w:rPr>
          <w:rStyle w:val="normaltextrun"/>
        </w:rPr>
        <w:fldChar w:fldCharType="begin"/>
      </w:r>
      <w:r w:rsidR="00774821">
        <w:rPr>
          <w:rStyle w:val="normaltextrun"/>
        </w:rPr>
        <w:instrText xml:space="preserve"> ADDIN ZOTERO_ITEM CSL_CITATION {"citationID":"yezCHRc5","properties":{"formattedCitation":"(Tadesse Mawcha et al., 2024)","plainCitation":"(Tadesse Mawcha et al., 2024)","noteIndex":0},"citationItems":[{"id":"dUQzBhaE/f3h5FxVQ","uris":["http://zotero.org/groups/5181348/items/SFD32ARK"],"itemData":{"id":450,"type":"article-journal","abstract":"Biopesticides are pest control products derived from natural sources such as microbes, macro-organisms (insects and pathogens), plant extracts, and certain minerals. Many biopesticides are considered environmentally safe and can complement or substitute conventional chemical pesticides. They can also be highly specific or broad spectrum with a unique mode of action controlling a wide range of pest species. Due to their target-specificity and low to no environmental residuality, biopesticides conform to the 3 pillars of Climate-Smart Agriculture, the Sustainable Development Goals, and, ultimately, the Paris Agreement. This review focuses largely on microbial biopesticides derived from fungi, bacteria, viruses, and nematodes. It discusses (i) the various microbial biopesticide formulations, (ii) the mode of microbial biopesticide action, (iii) the factors that affect the potential efficacy of biopesticides, (iv) challenges to the adoption of microbial biopesticides, and (v) the role of microbial biopesticides in Integrated Pest Management programs. Finally, advancements in application techniques, as well as future research directions and gaps, are highlighted.","container-title":"F1000Research","DOI":"10.12688/f1000research.154392.3","ISSN":"2046-1402","journalAbbreviation":"F1000Res","note":"PMID: 39512238\nPMCID: PMC11541078","page":"1071","source":"PubMed Central","title":"Recent Advances in Biopesticide Research and Development with a Focus on Microbials","volume":"13","author":[{"family":"Tadesse Mawcha","given":"Kahsay"},{"family":"Malinga","given":"Lawrence"},{"family":"Muir","given":"Debbie"},{"family":"Ge","given":"Jing"},{"family":"Ndolo","given":"Dennis"}],"issued":{"date-parts":[["2024",12,6]]}}}],"schema":"https://github.com/citation-style-language/schema/raw/master/csl-citation.json"} </w:instrText>
      </w:r>
      <w:r w:rsidRPr="42E13AF0">
        <w:rPr>
          <w:rStyle w:val="normaltextrun"/>
        </w:rPr>
        <w:fldChar w:fldCharType="separate"/>
      </w:r>
      <w:r w:rsidR="00DC79D6" w:rsidRPr="42E13AF0">
        <w:rPr>
          <w:rFonts w:cs="Arial"/>
        </w:rPr>
        <w:t xml:space="preserve">(Tadesse Mawcha </w:t>
      </w:r>
      <w:r w:rsidR="00DC79D6" w:rsidRPr="42E13AF0">
        <w:rPr>
          <w:rFonts w:cs="Arial"/>
          <w:i/>
          <w:iCs/>
        </w:rPr>
        <w:t>et al.</w:t>
      </w:r>
      <w:r w:rsidR="00DC79D6" w:rsidRPr="42E13AF0">
        <w:rPr>
          <w:rFonts w:cs="Arial"/>
        </w:rPr>
        <w:t>, 2024)</w:t>
      </w:r>
      <w:r w:rsidRPr="42E13AF0">
        <w:rPr>
          <w:rStyle w:val="normaltextrun"/>
        </w:rPr>
        <w:fldChar w:fldCharType="end"/>
      </w:r>
      <w:r w:rsidRPr="42E13AF0">
        <w:rPr>
          <w:rStyle w:val="normaltextrun"/>
        </w:rPr>
        <w:t>.</w:t>
      </w:r>
      <w:r w:rsidR="0083793A" w:rsidRPr="42E13AF0">
        <w:rPr>
          <w:rStyle w:val="normaltextrun"/>
        </w:rPr>
        <w:t xml:space="preserve"> Most commercial biopesticides of microbial origin are based on </w:t>
      </w:r>
      <w:r w:rsidR="0083793A" w:rsidRPr="42E13AF0">
        <w:rPr>
          <w:rStyle w:val="normaltextrun"/>
          <w:i/>
          <w:iCs/>
        </w:rPr>
        <w:t xml:space="preserve">Bacillus </w:t>
      </w:r>
      <w:r w:rsidR="00A96341" w:rsidRPr="42E13AF0">
        <w:rPr>
          <w:rStyle w:val="normaltextrun"/>
          <w:i/>
          <w:iCs/>
        </w:rPr>
        <w:t>t</w:t>
      </w:r>
      <w:r w:rsidR="0083793A" w:rsidRPr="42E13AF0">
        <w:rPr>
          <w:rStyle w:val="normaltextrun"/>
          <w:i/>
          <w:iCs/>
        </w:rPr>
        <w:t>huringiensis</w:t>
      </w:r>
      <w:r w:rsidR="006F74A8" w:rsidRPr="42E13AF0">
        <w:rPr>
          <w:rStyle w:val="normaltextrun"/>
          <w:i/>
          <w:iCs/>
        </w:rPr>
        <w:t xml:space="preserve"> (</w:t>
      </w:r>
      <w:proofErr w:type="spellStart"/>
      <w:r w:rsidR="006F74A8" w:rsidRPr="42E13AF0">
        <w:rPr>
          <w:rStyle w:val="normaltextrun"/>
          <w:i/>
          <w:iCs/>
        </w:rPr>
        <w:t>Bt</w:t>
      </w:r>
      <w:proofErr w:type="spellEnd"/>
      <w:r w:rsidR="006F74A8" w:rsidRPr="42E13AF0">
        <w:rPr>
          <w:rStyle w:val="normaltextrun"/>
          <w:i/>
          <w:iCs/>
        </w:rPr>
        <w:t>)</w:t>
      </w:r>
      <w:r w:rsidR="0083793A" w:rsidRPr="42E13AF0">
        <w:rPr>
          <w:rStyle w:val="normaltextrun"/>
        </w:rPr>
        <w:t>, a Gram-positive sporulating bacteri</w:t>
      </w:r>
      <w:r w:rsidR="0048324F" w:rsidRPr="42E13AF0">
        <w:rPr>
          <w:rStyle w:val="normaltextrun"/>
        </w:rPr>
        <w:t xml:space="preserve">a, that produces </w:t>
      </w:r>
      <w:r w:rsidR="00992078">
        <w:t>δ</w:t>
      </w:r>
      <w:r w:rsidR="00992078" w:rsidRPr="42E13AF0">
        <w:rPr>
          <w:rStyle w:val="normaltextrun"/>
        </w:rPr>
        <w:t>-</w:t>
      </w:r>
      <w:r w:rsidR="0048324F" w:rsidRPr="42E13AF0">
        <w:rPr>
          <w:rStyle w:val="normaltextrun"/>
        </w:rPr>
        <w:t>endotoxins that are toxic against a wide spectrum of insects, such as lepidopterans, coleopterans and dipterans</w:t>
      </w:r>
      <w:r w:rsidR="00D517F1" w:rsidRPr="42E13AF0">
        <w:rPr>
          <w:rStyle w:val="normaltextrun"/>
        </w:rPr>
        <w:t xml:space="preserve"> </w:t>
      </w:r>
      <w:r w:rsidRPr="42E13AF0">
        <w:rPr>
          <w:rStyle w:val="normaltextrun"/>
        </w:rPr>
        <w:fldChar w:fldCharType="begin"/>
      </w:r>
      <w:r w:rsidR="00774821">
        <w:rPr>
          <w:rStyle w:val="normaltextrun"/>
        </w:rPr>
        <w:instrText xml:space="preserve"> ADDIN ZOTERO_ITEM CSL_CITATION {"citationID":"xRHc4Ek3","properties":{"formattedCitation":"(Rowe &amp; Margaritis, 2004)","plainCitation":"(Rowe &amp; Margaritis, 2004)","noteIndex":0},"citationItems":[{"id":"dUQzBhaE/fvLJPTm3","uris":["http://zotero.org/groups/5181348/items/4GHRSX9G"],"itemData":{"id":253,"type":"article-journal","abstract":"A production process for B. thuringiensis (Bt) bioinsecticides was designed in detail, including alternative batch, low-density fed-batch (LDFB), and high-density fed-batch (HDFB) fermentation configurations. Capital and operating costs, as well as profitability based on simple rate of return, were performed using a purpose-written FORTRAN program, explicitly analyzing production of a water-based flowable product used in forestry applications. The total capital cost was 18 million dollars (Canadian dollars) for a stand-alone plant with base-scale capacity of 3 x 10(7) billion international units (BIU)/year. Raw material costs amounted to 1.5 million dollars yearly, of which approximately half was for formulation ingredients. Per-unit production cost rose sharply for scales of less than 1 x 10(7) BIU/year, but was little affected by scale above 3 x 10(7) BIU/year. Product cost was much lower at all scales for a LDFB as opposed to batch fermentation process, but HDFB gave relatively little additional cost benefit. Profitability analysis performed by co-varying scale and selling price showed that break-even occurred at a price of 0.45 dollars/BIU for a batch process at base scale, while with LDFB fermentation the same production volume sold at 0.35 dollars/BIU gave a 12% rate of return. Since the assumed base scale would represent 8-15% of current world Bt bioinsecticide production, based on value or volume, it was concluded that profitability would require some or all of the following elements: targeting higher-value markets such as disease vector control, in addition to forestry; a potentially lower plant capacity (although at least 1 x 10(7) BIU/year;) and coproduction of other large-volume microbial products to absorb capacity and match bioinsecticide output to market demand.","container-title":"Biotechnology and Bioengineering","DOI":"10.1002/bit.20146","ISSN":"0006-3592","issue":"4","journalAbbreviation":"Biotechnol Bioeng","language":"eng","note":"PMID: 15112290","page":"377-388","source":"PubMed","title":"Bioprocess design and economic analysis for the commercial production of environmentally friendly bioinsecticides from Bacillus thuringiensis HD-1 kurstaki","volume":"86","author":[{"family":"Rowe","given":"Gerald E."},{"family":"Margaritis","given":"Argyrios"}],"issued":{"date-parts":[["2004",5,20]]}}}],"schema":"https://github.com/citation-style-language/schema/raw/master/csl-citation.json"} </w:instrText>
      </w:r>
      <w:r w:rsidRPr="42E13AF0">
        <w:rPr>
          <w:rStyle w:val="normaltextrun"/>
        </w:rPr>
        <w:fldChar w:fldCharType="separate"/>
      </w:r>
      <w:r w:rsidR="00D517F1" w:rsidRPr="42E13AF0">
        <w:rPr>
          <w:rFonts w:cs="Arial"/>
        </w:rPr>
        <w:t>(Rowe &amp; Margaritis, 2004)</w:t>
      </w:r>
      <w:r w:rsidRPr="42E13AF0">
        <w:rPr>
          <w:rStyle w:val="normaltextrun"/>
        </w:rPr>
        <w:fldChar w:fldCharType="end"/>
      </w:r>
      <w:r w:rsidR="0048324F" w:rsidRPr="42E13AF0">
        <w:rPr>
          <w:rStyle w:val="normaltextrun"/>
        </w:rPr>
        <w:t xml:space="preserve">. </w:t>
      </w:r>
      <w:r w:rsidR="00A4223B" w:rsidRPr="42E13AF0">
        <w:rPr>
          <w:rStyle w:val="normaltextrun"/>
        </w:rPr>
        <w:t xml:space="preserve">These </w:t>
      </w:r>
      <w:r w:rsidR="00992078">
        <w:t>δ</w:t>
      </w:r>
      <w:r w:rsidR="00992078" w:rsidRPr="42E13AF0">
        <w:rPr>
          <w:rStyle w:val="normaltextrun"/>
        </w:rPr>
        <w:t>-</w:t>
      </w:r>
      <w:r w:rsidR="00A4223B" w:rsidRPr="42E13AF0">
        <w:rPr>
          <w:rStyle w:val="normaltextrun"/>
        </w:rPr>
        <w:t>endotoxins</w:t>
      </w:r>
      <w:r w:rsidR="004D15EF" w:rsidRPr="42E13AF0">
        <w:rPr>
          <w:rStyle w:val="normaltextrun"/>
        </w:rPr>
        <w:t xml:space="preserve"> are produced in the form of crystalline inclusions, also called Cry-proteins</w:t>
      </w:r>
      <w:r w:rsidR="00247A4A" w:rsidRPr="42E13AF0">
        <w:rPr>
          <w:rStyle w:val="normaltextrun"/>
        </w:rPr>
        <w:t xml:space="preserve">. </w:t>
      </w:r>
      <w:r w:rsidR="00247A4A" w:rsidRPr="42E13AF0">
        <w:rPr>
          <w:i/>
          <w:iCs/>
        </w:rPr>
        <w:t>B. thuringiensis</w:t>
      </w:r>
      <w:r w:rsidR="00247A4A">
        <w:t xml:space="preserve"> must experience certain modifications of its physiology to produce these </w:t>
      </w:r>
      <w:r w:rsidR="00083300">
        <w:t>proteins</w:t>
      </w:r>
      <w:r w:rsidR="00247A4A">
        <w:t xml:space="preserve"> which makes its culture</w:t>
      </w:r>
      <w:r w:rsidR="00083300">
        <w:t xml:space="preserve"> and </w:t>
      </w:r>
      <w:r w:rsidR="0075434A">
        <w:t xml:space="preserve">monitoring </w:t>
      </w:r>
      <w:r w:rsidR="00083300">
        <w:t>difficult</w:t>
      </w:r>
      <w:r w:rsidR="00247A4A">
        <w:t xml:space="preserve">. One </w:t>
      </w:r>
      <w:r w:rsidR="00A96341">
        <w:t>alternative</w:t>
      </w:r>
      <w:r w:rsidR="00247A4A">
        <w:t xml:space="preserve"> to optimize the production of these δ-endotoxins is to use a model-based approach in which </w:t>
      </w:r>
      <w:r w:rsidR="00A96341">
        <w:t xml:space="preserve">multiple </w:t>
      </w:r>
      <w:r w:rsidR="00247A4A">
        <w:t xml:space="preserve">simulations of mathematical models are assessed. </w:t>
      </w:r>
      <w:r w:rsidR="007F4BB5">
        <w:t>T</w:t>
      </w:r>
      <w:r w:rsidR="00A96341">
        <w:t xml:space="preserve">here are </w:t>
      </w:r>
      <w:r w:rsidR="00247A4A">
        <w:t>only a few models available that can correctly e</w:t>
      </w:r>
      <w:r w:rsidR="00A96341">
        <w:t>stimate</w:t>
      </w:r>
      <w:r w:rsidR="00247A4A">
        <w:t xml:space="preserve"> the dynamics</w:t>
      </w:r>
      <w:r w:rsidR="00E4419E">
        <w:t xml:space="preserve"> of</w:t>
      </w:r>
      <w:r w:rsidR="00083300" w:rsidRPr="42E13AF0">
        <w:rPr>
          <w:i/>
          <w:iCs/>
        </w:rPr>
        <w:t xml:space="preserve"> B. </w:t>
      </w:r>
      <w:r w:rsidR="566255B1" w:rsidRPr="42E13AF0">
        <w:rPr>
          <w:i/>
          <w:iCs/>
        </w:rPr>
        <w:t>thuringiensis growth</w:t>
      </w:r>
      <w:r w:rsidR="004B5F84">
        <w:t xml:space="preserve"> and sporulation phases </w:t>
      </w:r>
      <w:r>
        <w:fldChar w:fldCharType="begin"/>
      </w:r>
      <w:r w:rsidR="00774821">
        <w:instrText xml:space="preserve"> ADDIN ZOTERO_ITEM CSL_CITATION {"citationID":"LPjcLOaq","properties":{"formattedCitation":"(Navarro-Mtz &amp; P\\uc0\\u233{}rez-Guevara, 2014)","plainCitation":"(Navarro-Mtz &amp; Pérez-Guevara, 2014)","noteIndex":0},"citationItems":[{"id":"dUQzBhaE/ywfOKQpP","uris":["http://zotero.org/groups/5181348/items/UDXDUYFQ"],"itemData":{"id":260,"type":"article-journal","abstract":"Mathematical models have been used from growth kinetic simulation to gen regulatory networks prediction for B. thuringiensis culture. However, this culture is a time dependent dynamic process where cells physiology suffers several changes depending on the changes in the cell environment. Therefore, through its culture, B. thuringiensis presents three phases related with the predominance of three major metabolic pathways: vegetative growth (Embded-Meyerhof-Parnas pathway), transition (γ-aminobutiric cycle) and sporulation (tricarboxylic acid cycle). There is not available a mathematical model that relates the different stages of cultivation with the metabolic pathway active on each one of them. Therefore, in the present study, and based on published data, a biodynamic model was generated to describe the dynamic of the three different phases based on their major metabolic pathways. The biodynamic model is used to study the interrelation between the different culture phases and their relationship with the Cry protein production. The model consists of three interconnected modules where each module represents one culture phase and its principal metabolic pathway. For model validation four new fermentations were done showing that the model constructed describes reasonably well the dynamic of the three phases. The main results of this model imply that poly-β-hydroxybutyrate is crucial for endospore and Cry protein production. According to the yields of dipicolinic acid and Cry from poly-β-hydroxybutyrate, calculated with the model, the endospore and Cry protein production are not just simultaneous and parallel processes they are also competitive processes.","container-title":"AMB Express","DOI":"10.1186/s13568-014-0079-y","ISSN":"2191-0855","issue":"1","journalAbbreviation":"AMB Express","page":"79","source":"BioMed Central","title":"Construction of a biodynamic model for Cry protein production studies","volume":"4","author":[{"family":"Navarro-Mtz","given":"Ana Karin"},{"family":"Pérez-Guevara","given":"Fermín"}],"issued":{"date-parts":[["2014",11,14]]}}}],"schema":"https://github.com/citation-style-language/schema/raw/master/csl-citation.json"} </w:instrText>
      </w:r>
      <w:r>
        <w:fldChar w:fldCharType="separate"/>
      </w:r>
      <w:r w:rsidR="00D517F1" w:rsidRPr="42E13AF0">
        <w:rPr>
          <w:rFonts w:cs="Arial"/>
        </w:rPr>
        <w:t>(Navarro-Mtz &amp; Pérez-Guevara, 2014)</w:t>
      </w:r>
      <w:r>
        <w:fldChar w:fldCharType="end"/>
      </w:r>
      <w:r w:rsidR="00247A4A">
        <w:t>.</w:t>
      </w:r>
      <w:r w:rsidR="007F4BB5">
        <w:t xml:space="preserve"> </w:t>
      </w:r>
      <w:r w:rsidR="004B5F84">
        <w:t>However, this model was built for ad</w:t>
      </w:r>
      <w:r w:rsidR="00E50C86">
        <w:t>-</w:t>
      </w:r>
      <w:r w:rsidR="004B5F84">
        <w:t xml:space="preserve">hoc </w:t>
      </w:r>
      <w:r w:rsidR="128B4D5D">
        <w:t>experiments</w:t>
      </w:r>
      <w:r w:rsidR="004B5F84">
        <w:t xml:space="preserve"> and thus its extrapolation to other data is not suitable</w:t>
      </w:r>
      <w:r w:rsidR="00E35A8C">
        <w:t xml:space="preserve"> as </w:t>
      </w:r>
      <w:r w:rsidR="00E50C86">
        <w:t>it</w:t>
      </w:r>
      <w:r w:rsidR="00E35A8C">
        <w:t xml:space="preserve"> depend</w:t>
      </w:r>
      <w:r w:rsidR="00E50C86">
        <w:t>s</w:t>
      </w:r>
      <w:r w:rsidR="00E35A8C">
        <w:t xml:space="preserve"> on a large number of parameters </w:t>
      </w:r>
      <w:r w:rsidR="007A2615">
        <w:t>for specific conditions</w:t>
      </w:r>
      <w:r w:rsidR="006262D2">
        <w:t xml:space="preserve">. </w:t>
      </w:r>
    </w:p>
    <w:p w14:paraId="041FC31C" w14:textId="7F814231" w:rsidR="00247A4A" w:rsidRDefault="00247A4A" w:rsidP="00256F24">
      <w:pPr>
        <w:pStyle w:val="CETBodytext"/>
      </w:pPr>
      <w:r>
        <w:t xml:space="preserve">Dynamic </w:t>
      </w:r>
      <w:r w:rsidR="006F74A8">
        <w:t>H</w:t>
      </w:r>
      <w:r>
        <w:t xml:space="preserve">ybrid </w:t>
      </w:r>
      <w:r w:rsidR="006F74A8">
        <w:t>M</w:t>
      </w:r>
      <w:r>
        <w:t>odelling</w:t>
      </w:r>
      <w:r w:rsidR="00110433">
        <w:t xml:space="preserve"> (DHM)</w:t>
      </w:r>
      <w:r>
        <w:t xml:space="preserve"> integrates mechanistic and data-driven models, proposing cost-effective solutions to model biochemical processes that are complex and whose underlying mechanisms are not well known</w:t>
      </w:r>
      <w:r w:rsidR="00C96D87">
        <w:t xml:space="preserve"> </w:t>
      </w:r>
      <w:r w:rsidR="00C96D87">
        <w:fldChar w:fldCharType="begin"/>
      </w:r>
      <w:r w:rsidR="00774821">
        <w:instrText xml:space="preserve"> ADDIN ZOTERO_ITEM CSL_CITATION {"citationID":"BPuUB0mP","properties":{"formattedCitation":"(Shah et al., 2025)","plainCitation":"(Shah et al., 2025)","noteIndex":0},"citationItems":[{"id":"dUQzBhaE/a8COuuTT","uris":["http://zotero.org/groups/5181348/items/4CU5GYIQ"],"itemData":{"id":461,"type":"article-journal","abstract":"In recent years, the integration of mechanistic process models with advanced machine learning techniques has led to the development of hybrid models, which have shown remarkable potential across various domains. However, despite numerous applications and reviews, there is a significant gap in practical resources that guide new researchers through the process of building these models from the ground up. This work addresses this gap by offering a comprehensive tutorial designed to demystify the development of hybrid models. We focus on the practical implementation, beginning with fundamental concepts and advancing to detailed mathematical formulations, providing a step-by-step walkthrough for constructing hybrid models. The tutorial includes detailed case studies illustrating the application of hybrid models in solving complex problems in process systems engineering. By following this guide, researchers will acquire the necessary tools and knowledge to apply hybrid modeling techniques effectively for real-world implementations, paving the way for further innovation and adoption in the field.","container-title":"Computers &amp; Chemical Engineering","DOI":"10.1016/j.compchemeng.2024.108926","ISSN":"0098-1354","journalAbbreviation":"Computers &amp; Chemical Engineering","page":"108926","source":"ScienceDirect","title":"Hybrid modeling of first-principles and machine learning: A step-by-step tutorial review for practical implementation","title-short":"Hybrid modeling of first-principles and machine learning","volume":"194","author":[{"family":"Shah","given":"Parth"},{"family":"Pahari","given":"Silabrata"},{"family":"Bhavsar","given":"Raj"},{"family":"Kwon","given":"Joseph Sang-Il"}],"issued":{"date-parts":[["2025",3,1]]}}}],"schema":"https://github.com/citation-style-language/schema/raw/master/csl-citation.json"} </w:instrText>
      </w:r>
      <w:r w:rsidR="00C96D87">
        <w:fldChar w:fldCharType="separate"/>
      </w:r>
      <w:r w:rsidR="00C96D87" w:rsidRPr="00C96D87">
        <w:rPr>
          <w:rFonts w:cs="Arial"/>
        </w:rPr>
        <w:t xml:space="preserve">(Shah </w:t>
      </w:r>
      <w:r w:rsidR="00C96D87" w:rsidRPr="002A15F2">
        <w:rPr>
          <w:rFonts w:cs="Arial"/>
          <w:i/>
        </w:rPr>
        <w:t>et al</w:t>
      </w:r>
      <w:r w:rsidR="00C96D87" w:rsidRPr="00C96D87">
        <w:rPr>
          <w:rFonts w:cs="Arial"/>
        </w:rPr>
        <w:t>., 2025)</w:t>
      </w:r>
      <w:r w:rsidR="00C96D87">
        <w:fldChar w:fldCharType="end"/>
      </w:r>
      <w:r>
        <w:t>. Even though the construction of a dynamic hybrid model</w:t>
      </w:r>
      <w:r w:rsidR="00110433">
        <w:t xml:space="preserve"> </w:t>
      </w:r>
      <w:r>
        <w:t xml:space="preserve">still requires a large collection of data through traditional experiments for recently developed processes, it has proven to be more efficient </w:t>
      </w:r>
      <w:r w:rsidR="00992078">
        <w:t>using data than purely data-driven methods</w:t>
      </w:r>
      <w:r w:rsidR="002A15F2">
        <w:t xml:space="preserve"> </w:t>
      </w:r>
      <w:r w:rsidR="002A15F2">
        <w:fldChar w:fldCharType="begin"/>
      </w:r>
      <w:r w:rsidR="00774821">
        <w:instrText xml:space="preserve"> ADDIN ZOTERO_ITEM CSL_CITATION {"citationID":"LQUrCoIK","properties":{"formattedCitation":"(Kay et al., 2023)","plainCitation":"(Kay et al., 2023)","noteIndex":0},"citationItems":[{"id":"dUQzBhaE/EcDEmWq8","uris":["http://zotero.org/groups/5181348/items/2DX4XQZM"],"itemData":{"id":249,"type":"chapter","abstract":"Hybrid modelling combines data-driven and mechanistic modelling, providing a cost-effective solution to modelling complex (bio)chemical processes when the underlying mechanisms are not fully understood. While more data-efficient than pure data-driven methods, sufficient experimental data must still be collected through time-consuming experiments for hybrid model construction when applied to simulate a newly investigated process. To address this challenge and accelerate design of new systems, transfer learning has been recently implemented to transfer knowledge from a well-understood source domain to a less-studied target domain. Therefore, in this study, hybrid modelling and transfer learning are integrated for the first time to predict a novel dynamic process for microalgal lutein synthesis through photo-production. Specifically, a hybrid model was built to extract primary knowledge about a well-known lutein production strain, Desmodesmus sp., for which considerable process data and a high-fidelity kinetic model are available from the literature. Then transfer learning was used to update the hybrid model using limited process data for a recently isolated microalgal strain, Chlorella sorokiniana. Once built, the hybrid transfer model was tested by predicting biomass growth and lutein production of the new strain under various operating conditions. Furthermore, bootstrapping was adopted to estimate and propagate the uncertainty of the hybrid transfer models when predicting each batch process. The performance and efficiency of the hybrid transfer learning model were thoroughly demonstrated through experimental verification. It was found that hybrid transfer learning more efficiently modularised primary knowledge than previous pure data-driven transfer learning techniques, enabling more selective updates of source-specific knowledge to preserve generalisable knowledge. This study, therefore, provides a novel contribution to the predictive modelling and knowledge transfer of complex bioprocesses.","collection-title":"33 European Symposium on Computer Aided Process Engineering","container-title":"Computer Aided Chemical Engineering","note":"DOI: 10.1016/B978-0-443-15274-0.50412-1","page":"2595-2600","publisher":"Elsevier","source":"ScienceDirect","title":"Integrating hybrid modelling and transfer learning for new bioprocess predictive modelling","URL":"https://www.sciencedirect.com/science/article/pii/B9780443152740504121","volume":"52","author":[{"family":"Kay","given":"Sam"},{"family":"Kay","given":"Harry"},{"family":"Rogers","given":"Alexander W."},{"family":"Zhang","given":"Dongda"}],"editor":[{"family":"Kokossis","given":"Antonios C."},{"family":"Georgiadis","given":"Michael C."},{"family":"Pistikopoulos","given":"Efstratios"}],"accessed":{"date-parts":[["2023",12,15]]},"issued":{"date-parts":[["2023",1,1]]}}}],"schema":"https://github.com/citation-style-language/schema/raw/master/csl-citation.json"} </w:instrText>
      </w:r>
      <w:r w:rsidR="002A15F2">
        <w:fldChar w:fldCharType="separate"/>
      </w:r>
      <w:r w:rsidR="002A15F2" w:rsidRPr="002A15F2">
        <w:rPr>
          <w:rFonts w:cs="Arial"/>
        </w:rPr>
        <w:t xml:space="preserve">(Kay </w:t>
      </w:r>
      <w:r w:rsidR="002A15F2" w:rsidRPr="002A15F2">
        <w:rPr>
          <w:rFonts w:cs="Arial"/>
          <w:i/>
        </w:rPr>
        <w:t>et al</w:t>
      </w:r>
      <w:r w:rsidR="002A15F2" w:rsidRPr="002A15F2">
        <w:rPr>
          <w:rFonts w:cs="Arial"/>
        </w:rPr>
        <w:t>., 2023)</w:t>
      </w:r>
      <w:r w:rsidR="002A15F2">
        <w:fldChar w:fldCharType="end"/>
      </w:r>
      <w:r>
        <w:t xml:space="preserve">. </w:t>
      </w:r>
    </w:p>
    <w:p w14:paraId="34446D14" w14:textId="33B59380" w:rsidR="00E4419E" w:rsidRDefault="00A96341" w:rsidP="00C73D12">
      <w:pPr>
        <w:pStyle w:val="CETBodytext"/>
      </w:pPr>
      <w:r>
        <w:t xml:space="preserve">Hybrid modelling has been applied in fermentation-related bioprocesses to compare the performance of kinetic models and </w:t>
      </w:r>
      <w:r w:rsidR="00584DE7">
        <w:t xml:space="preserve">their </w:t>
      </w:r>
      <w:r>
        <w:t>hybrid counterpart</w:t>
      </w:r>
      <w:r w:rsidR="00CB0D90">
        <w:t xml:space="preserve"> when describing</w:t>
      </w:r>
      <w:r>
        <w:t xml:space="preserve"> the production of a compound of interest</w:t>
      </w:r>
      <w:r w:rsidR="002A15F2">
        <w:t xml:space="preserve"> </w:t>
      </w:r>
      <w:r>
        <w:fldChar w:fldCharType="begin"/>
      </w:r>
      <w:r w:rsidR="00774821">
        <w:instrText xml:space="preserve"> ADDIN ZOTERO_ITEM CSL_CITATION {"citationID":"1sU3ic0d","properties":{"formattedCitation":"(Vega-Ramon et al., 2021)","plainCitation":"(Vega-Ramon et al., 2021)","noteIndex":0},"citationItems":[{"id":"dUQzBhaE/xLy5NIiP","uris":["http://zotero.org/groups/5181348/items/TD26VH3C"],"itemData":{"id":268,"type":"article-journal","abstract":"Astaxanthin is a high-value compound commercially synthesized through Xanthophyllomyces dendrorhous fermentation. Using mixed sugars decomposed from biowastes for yeast fermentation provides a promising option to improve process sustainability. However, little effort has been made to investigate the effects of multiple sugars on X. dendrorhous biomass growth and astaxanthin production. Furthermore, the construction of a high-fidelity model is challenging due to the system's variability, also known as batch-to-batch variation. Two innovations are proposed in this study to address these challenges. First, a kinetic model was developed to compare process kinetics between the single sugar (glucose) based and the mixed sugar (glucose and sucrose) based fermentation methods. Then, the kinetic model parameters were modeled themselves as Gaussian processes, a probabilistic machine learning technique, to improve the accuracy and robustness of model predictions. We conclude that although the presence of sucrose does not affect the biomass growth kinetics, it introduces a competitive inhibitory mechanism that enhances astaxanthin accumulation by inducing adverse environmental conditions such as osmotic gradients. Moreover, the hybrid model was able to greatly reduce model simulation error and was particularly robust to uncertainty propagation. This study suggests the advantage of mixed sugar-based fermentation and provides a novel approach for bioprocess dynamic modeling.","container-title":"Biotechnology and Bioengineering","DOI":"10.1002/bit.27950","ISSN":"1097-0290","issue":"12","language":"en","note":"_eprint: https://onlinelibrary.wiley.com/doi/pdf/10.1002/bit.27950","page":"4854-4866","source":"Wiley Online Library","title":"Kinetic and hybrid modeling for yeast astaxanthin production under uncertainty","volume":"118","author":[{"family":"Vega-Ramon","given":"Fernando"},{"family":"Zhu","given":"Xianfeng"},{"family":"Savage","given":"Thomas R."},{"family":"Petsagkourakis","given":"Panagiotis"},{"family":"Jing","given":"Keju"},{"family":"Zhang","given":"Dongda"}],"issued":{"date-parts":[["2021"]]}}}],"schema":"https://github.com/citation-style-language/schema/raw/master/csl-citation.json"} </w:instrText>
      </w:r>
      <w:r>
        <w:fldChar w:fldCharType="separate"/>
      </w:r>
      <w:r w:rsidR="002A15F2" w:rsidRPr="42E13AF0">
        <w:rPr>
          <w:rFonts w:cs="Arial"/>
        </w:rPr>
        <w:t xml:space="preserve">(Vega-Ramon </w:t>
      </w:r>
      <w:r w:rsidR="002A15F2" w:rsidRPr="42E13AF0">
        <w:rPr>
          <w:rFonts w:cs="Arial"/>
          <w:i/>
          <w:iCs/>
        </w:rPr>
        <w:t>et al</w:t>
      </w:r>
      <w:r w:rsidR="002A15F2" w:rsidRPr="42E13AF0">
        <w:rPr>
          <w:rFonts w:cs="Arial"/>
        </w:rPr>
        <w:t>., 2021)</w:t>
      </w:r>
      <w:r>
        <w:fldChar w:fldCharType="end"/>
      </w:r>
      <w:r>
        <w:t xml:space="preserve">. In the case of </w:t>
      </w:r>
      <w:r w:rsidRPr="42E13AF0">
        <w:rPr>
          <w:i/>
          <w:iCs/>
        </w:rPr>
        <w:t>B. thuringiensis</w:t>
      </w:r>
      <w:r w:rsidR="00256F24">
        <w:t xml:space="preserve">, a dynamic hybrid model was proposed </w:t>
      </w:r>
      <w:r w:rsidR="00B7530E">
        <w:t>for</w:t>
      </w:r>
      <w:r w:rsidR="00256F24">
        <w:t xml:space="preserve"> culture</w:t>
      </w:r>
      <w:r w:rsidR="00B7530E">
        <w:t>s</w:t>
      </w:r>
      <w:r w:rsidR="00256F24">
        <w:t xml:space="preserve"> carried </w:t>
      </w:r>
      <w:r w:rsidR="00B7530E">
        <w:t xml:space="preserve">out </w:t>
      </w:r>
      <w:r w:rsidR="00256F24">
        <w:t>under Semi-synthetic Media (SSM) conditions</w:t>
      </w:r>
      <w:r w:rsidR="007E5552">
        <w:t xml:space="preserve"> </w:t>
      </w:r>
      <w:r>
        <w:fldChar w:fldCharType="begin"/>
      </w:r>
      <w:r w:rsidR="00774821">
        <w:instrText xml:space="preserve"> ADDIN ZOTERO_ITEM CSL_CITATION {"citationID":"CdD67nT1","properties":{"formattedCitation":"(Figueroa-Cardona et al., 2024)","plainCitation":"(Figueroa-Cardona et al., 2024)","noteIndex":0},"citationItems":[{"id":"dUQzBhaE/YXAyVFkP","uris":["http://zotero.org/groups/5181348/items/FKNKP4XL"],"itemData":{"id":359,"type":"article-journal","container-title":"Lecture Notes in Networks and Systems","DOI":"https://doi.org/10.1007/978-3-031-82073-1_24","language":"English","title":"Dynamic hybrid modelling for biopesticides production using Bacillus Thuringiensis strains","author":[{"family":"Figueroa-Cardona","given":"Sergio"},{"family":"Robles-Rodriguez","given":"Carlos E."},{"family":"El-Jeni","given":"Rim"},{"family":"Fillaudeau","given":"Luc"},{"family":"Aceves Lara","given":"Cesar A."}],"issued":{"date-parts":[["2024"]]}}}],"schema":"https://github.com/citation-style-language/schema/raw/master/csl-citation.json"} </w:instrText>
      </w:r>
      <w:r>
        <w:fldChar w:fldCharType="separate"/>
      </w:r>
      <w:r w:rsidR="007E5552" w:rsidRPr="42E13AF0">
        <w:rPr>
          <w:rFonts w:cs="Arial"/>
        </w:rPr>
        <w:t xml:space="preserve">(Figueroa-Cardona </w:t>
      </w:r>
      <w:r w:rsidR="007E5552" w:rsidRPr="42E13AF0">
        <w:rPr>
          <w:rFonts w:cs="Arial"/>
          <w:i/>
          <w:iCs/>
        </w:rPr>
        <w:t>et al</w:t>
      </w:r>
      <w:r w:rsidR="007E5552" w:rsidRPr="42E13AF0">
        <w:rPr>
          <w:rFonts w:cs="Arial"/>
        </w:rPr>
        <w:t>., 2024)</w:t>
      </w:r>
      <w:r>
        <w:fldChar w:fldCharType="end"/>
      </w:r>
      <w:r w:rsidR="009751F2">
        <w:t>.</w:t>
      </w:r>
      <w:r w:rsidR="00256F24">
        <w:t xml:space="preserve"> </w:t>
      </w:r>
      <w:r w:rsidR="007E5552">
        <w:t xml:space="preserve">This approach consisted in a </w:t>
      </w:r>
      <w:r w:rsidR="00796A84">
        <w:t xml:space="preserve">mass balance </w:t>
      </w:r>
      <w:r w:rsidR="007E5552">
        <w:t xml:space="preserve">model for the most important variables of the process (i.e., biomass, substrate, protein, spores) with </w:t>
      </w:r>
      <w:r w:rsidR="007E5552">
        <w:lastRenderedPageBreak/>
        <w:t xml:space="preserve">the kinetics rates of protein and spores defined by a data-driven model. Support Vector Machine (SVM) was the data-driven method chosen to integrate the hybrid model, based on its versatility when working with small data sets </w:t>
      </w:r>
      <w:r>
        <w:fldChar w:fldCharType="begin"/>
      </w:r>
      <w:r w:rsidR="00774821">
        <w:instrText xml:space="preserve"> ADDIN ZOTERO_ITEM CSL_CITATION {"citationID":"T4fGtlWm","properties":{"formattedCitation":"(Vapnik et al., 1996)","plainCitation":"(Vapnik et al., 1996)","noteIndex":0},"citationItems":[{"id":"dUQzBhaE/R9Mk0MmL","uris":["http://zotero.org/groups/5181348/items/559GFEYX"],"itemData":{"id":273,"type":"paper-conference","abstract":"The  Support  Vector  (SV)  method  was  recently  proposed  for  es(cid:173) timating  regressions,  constructing  multidimensional  splines,  and  solving linear operator equations  [Vapnik,  1995].  In  this  presenta(cid:173) tion we report results of applying the SV method to these problems.","container-title":"Advances in Neural Information Processing Systems","publisher":"MIT Press","source":"Neural Information Processing Systems","title":"Support Vector Method for Function Approximation, Regression Estimation and Signal Processing","URL":"https://proceedings.neurips.cc/paper_files/paper/1996/hash/4f284803bd0966cc24fa8683a34afc6e-Abstract.html","volume":"9","author":[{"family":"Vapnik","given":"Vladimir"},{"family":"Golowich","given":"Steven"},{"family":"Smola","given":"Alex"}],"accessed":{"date-parts":[["2024",5,21]]},"issued":{"date-parts":[["1996"]]}}}],"schema":"https://github.com/citation-style-language/schema/raw/master/csl-citation.json"} </w:instrText>
      </w:r>
      <w:r>
        <w:fldChar w:fldCharType="separate"/>
      </w:r>
      <w:r w:rsidR="007E5552" w:rsidRPr="42E13AF0">
        <w:rPr>
          <w:rFonts w:cs="Arial"/>
        </w:rPr>
        <w:t xml:space="preserve">(Vapnik </w:t>
      </w:r>
      <w:r w:rsidR="007E5552" w:rsidRPr="42E13AF0">
        <w:rPr>
          <w:rFonts w:cs="Arial"/>
          <w:i/>
          <w:iCs/>
        </w:rPr>
        <w:t>et al</w:t>
      </w:r>
      <w:r w:rsidR="007E5552" w:rsidRPr="42E13AF0">
        <w:rPr>
          <w:rFonts w:cs="Arial"/>
        </w:rPr>
        <w:t>., 1996)</w:t>
      </w:r>
      <w:r>
        <w:fldChar w:fldCharType="end"/>
      </w:r>
      <w:r w:rsidR="007E5552">
        <w:t xml:space="preserve">. </w:t>
      </w:r>
      <w:r w:rsidR="7B5ED067">
        <w:t>Previous</w:t>
      </w:r>
      <w:r w:rsidR="007E5552">
        <w:t xml:space="preserve"> work </w:t>
      </w:r>
      <w:r w:rsidR="00256F24">
        <w:t>show</w:t>
      </w:r>
      <w:r w:rsidR="009751F2">
        <w:t>ed</w:t>
      </w:r>
      <w:r w:rsidR="00256F24">
        <w:t xml:space="preserve"> that the implementation of this </w:t>
      </w:r>
      <w:r w:rsidR="001F719D">
        <w:t xml:space="preserve">approach </w:t>
      </w:r>
      <w:r w:rsidR="00256F24">
        <w:t xml:space="preserve">could lead to an improvement in </w:t>
      </w:r>
      <w:r w:rsidR="2F274D18">
        <w:t>protein</w:t>
      </w:r>
      <w:r w:rsidR="00256F24">
        <w:t xml:space="preserve"> and spore prediction.</w:t>
      </w:r>
      <w:r w:rsidR="00E4419E">
        <w:t xml:space="preserve"> In this work, </w:t>
      </w:r>
      <w:r w:rsidR="007E5552">
        <w:t xml:space="preserve">the dynamic model is first extended and a test on different data-driven algorithms is performed for the prediction of protein and spore production. </w:t>
      </w:r>
      <w:r w:rsidR="008B7899">
        <w:t xml:space="preserve">Additionally, </w:t>
      </w:r>
      <w:r w:rsidR="0060371F">
        <w:t>SVM</w:t>
      </w:r>
      <w:r w:rsidR="002048B5">
        <w:t xml:space="preserve"> is compared against</w:t>
      </w:r>
      <w:r w:rsidR="0060371F">
        <w:t xml:space="preserve"> </w:t>
      </w:r>
      <w:r w:rsidR="00E4419E">
        <w:t>Decision Tree (DT) regression</w:t>
      </w:r>
      <w:r w:rsidR="00796A84">
        <w:t xml:space="preserve">, </w:t>
      </w:r>
      <w:r w:rsidR="000449BB">
        <w:t>as it presents a clear and large structure that branches out on a set of rules based on the predictors</w:t>
      </w:r>
      <w:r w:rsidR="00DC79D6">
        <w:t xml:space="preserve"> </w:t>
      </w:r>
      <w:r>
        <w:fldChar w:fldCharType="begin"/>
      </w:r>
      <w:r w:rsidR="00774821">
        <w:instrText xml:space="preserve"> ADDIN ZOTERO_ITEM CSL_CITATION {"citationID":"oWUc9k0d","properties":{"formattedCitation":"(Kharait et al., 2007)","plainCitation":"(Kharait et al., 2007)","noteIndex":0},"citationItems":[{"id":"dUQzBhaE/KsPM9Hdb","uris":["http://zotero.org/groups/5181348/items/VEEHJ5CH"],"itemData":{"id":465,"type":"article-journal","abstract":"Computational models of cell signaling networks typically are aimed at capturing dynamics of molecular components to derive quantitative insights from prior experimental data, and to make predictions concerning altered dynamics under different conditions. However, signaling network models have rarely been used to predict how cell phenotypic behaviors result from the integrated operation of these networks. We recently developed a decision tree model for how EGF-induced fibroblast cell motility across two-dimensional fibronectin-coated surfaces depends on the integrated activation status of five key signaling nodes, including a proximal regulator of transcellular contractile force generation, MLC (myosin light chain) [Hautaniemi et al, Bioinformatics 21: 2027 {2005}], but we have not previously attempted predictions of new experimental effects from this model.","container-title":"BMC Systems Biology","DOI":"10.1186/1752-0509-1-9","ISSN":"1752-0509","issue":"1","journalAbbreviation":"BMC Syst Biol","language":"en","page":"9","source":"Springer Link","title":"Decision tree modeling predicts effects of inhibiting contractility signaling on cell motility","volume":"1","author":[{"family":"Kharait","given":"Sourabh"},{"family":"Hautaniemi","given":"Sampsa"},{"family":"Wu","given":"Shan"},{"family":"Iwabu","given":"Akihiro"},{"family":"Lauffenburger","given":"Douglas A."},{"family":"Wells","given":"Alan"}],"issued":{"date-parts":[["2007",1,29]]}}}],"schema":"https://github.com/citation-style-language/schema/raw/master/csl-citation.json"} </w:instrText>
      </w:r>
      <w:r>
        <w:fldChar w:fldCharType="separate"/>
      </w:r>
      <w:r w:rsidR="00DC79D6" w:rsidRPr="42E13AF0">
        <w:rPr>
          <w:rFonts w:cs="Arial"/>
        </w:rPr>
        <w:t xml:space="preserve">(Kharait </w:t>
      </w:r>
      <w:r w:rsidR="00DC79D6" w:rsidRPr="42E13AF0">
        <w:rPr>
          <w:rFonts w:cs="Arial"/>
          <w:i/>
          <w:iCs/>
        </w:rPr>
        <w:t>et al</w:t>
      </w:r>
      <w:r w:rsidR="00DC79D6" w:rsidRPr="42E13AF0">
        <w:rPr>
          <w:rFonts w:cs="Arial"/>
        </w:rPr>
        <w:t>., 2007)</w:t>
      </w:r>
      <w:r>
        <w:fldChar w:fldCharType="end"/>
      </w:r>
      <w:r w:rsidR="00E4419E">
        <w:t xml:space="preserve">. </w:t>
      </w:r>
    </w:p>
    <w:p w14:paraId="629F2762" w14:textId="77777777" w:rsidR="00824B0F" w:rsidRDefault="00824B0F" w:rsidP="00C73D12">
      <w:pPr>
        <w:pStyle w:val="CETBodytext"/>
      </w:pPr>
    </w:p>
    <w:p w14:paraId="55F1F1EF" w14:textId="0329FCDD" w:rsidR="00A96341" w:rsidRPr="00083300" w:rsidRDefault="00110433" w:rsidP="00C73D12">
      <w:pPr>
        <w:pStyle w:val="CETBodytext"/>
        <w:rPr>
          <w:lang w:val="en-GB"/>
        </w:rPr>
      </w:pPr>
      <w:r>
        <w:t xml:space="preserve">The main goal of this paper is to </w:t>
      </w:r>
      <w:r w:rsidR="00976ACF">
        <w:t>illustrate and apply</w:t>
      </w:r>
      <w:r w:rsidR="002C1DCC">
        <w:t xml:space="preserve"> a</w:t>
      </w:r>
      <w:r w:rsidR="00976ACF">
        <w:t>n improved</w:t>
      </w:r>
      <w:r w:rsidR="002C1DCC">
        <w:t xml:space="preserve"> dynamic hybrid model framework to predict protein and spore </w:t>
      </w:r>
      <w:r>
        <w:t xml:space="preserve">production </w:t>
      </w:r>
      <w:r w:rsidR="002421A2">
        <w:t>in</w:t>
      </w:r>
      <w:r>
        <w:t xml:space="preserve"> </w:t>
      </w:r>
      <w:r w:rsidRPr="42E13AF0">
        <w:rPr>
          <w:i/>
          <w:iCs/>
        </w:rPr>
        <w:t>B. thuringiensis</w:t>
      </w:r>
      <w:r>
        <w:t xml:space="preserve"> fermentation using an industrial substrate.</w:t>
      </w:r>
      <w:r w:rsidR="002C1DCC">
        <w:t xml:space="preserve"> The remainder of this paper is as follows:</w:t>
      </w:r>
      <w:r w:rsidR="00073F7D">
        <w:t xml:space="preserve"> </w:t>
      </w:r>
      <w:r w:rsidR="002C1DCC">
        <w:t>t</w:t>
      </w:r>
      <w:r w:rsidR="00083300">
        <w:t xml:space="preserve">he dynamic hybrid </w:t>
      </w:r>
      <w:r w:rsidR="04ABD8A3">
        <w:t>model</w:t>
      </w:r>
      <w:r w:rsidR="00E4419E">
        <w:t xml:space="preserve"> is</w:t>
      </w:r>
      <w:r w:rsidR="00083300">
        <w:t xml:space="preserve"> detailed in section 2</w:t>
      </w:r>
      <w:r w:rsidR="00E4419E">
        <w:t>,</w:t>
      </w:r>
      <w:r w:rsidR="00083300">
        <w:t xml:space="preserve"> results are presented in section 3</w:t>
      </w:r>
      <w:r w:rsidR="00C12F51">
        <w:t>, and conclusions are drawn in section 4</w:t>
      </w:r>
      <w:r w:rsidR="00083300">
        <w:t xml:space="preserve">. </w:t>
      </w:r>
    </w:p>
    <w:p w14:paraId="0BE99AAB" w14:textId="4062B8ED" w:rsidR="005478A5" w:rsidRPr="005478A5" w:rsidRDefault="000166C7" w:rsidP="005478A5">
      <w:pPr>
        <w:pStyle w:val="CETHeading1"/>
      </w:pPr>
      <w:r w:rsidRPr="005478A5">
        <w:t>Methods</w:t>
      </w:r>
    </w:p>
    <w:p w14:paraId="265D3FD4" w14:textId="3B1641DF" w:rsidR="005478A5" w:rsidRPr="005478A5" w:rsidRDefault="005478A5" w:rsidP="005478A5">
      <w:pPr>
        <w:pStyle w:val="CETBodytext"/>
      </w:pPr>
      <w:r>
        <w:t xml:space="preserve">This section describes the </w:t>
      </w:r>
      <w:r w:rsidR="005F7E00">
        <w:t>recovery</w:t>
      </w:r>
      <w:r>
        <w:t xml:space="preserve"> of experimental </w:t>
      </w:r>
      <w:r w:rsidR="6269C410">
        <w:t>data;</w:t>
      </w:r>
      <w:r>
        <w:t xml:space="preserve"> the literature models and the </w:t>
      </w:r>
      <w:r w:rsidR="007D248B">
        <w:t xml:space="preserve">dynamic </w:t>
      </w:r>
      <w:r>
        <w:t>hybrid model propos</w:t>
      </w:r>
      <w:r w:rsidR="007D248B">
        <w:t>ed in this work</w:t>
      </w:r>
      <w:r>
        <w:t xml:space="preserve">.  </w:t>
      </w:r>
    </w:p>
    <w:p w14:paraId="6D6C2742" w14:textId="7A128EF6" w:rsidR="006476FC" w:rsidRPr="005478A5" w:rsidRDefault="006476FC" w:rsidP="005478A5">
      <w:pPr>
        <w:pStyle w:val="CETheadingx"/>
      </w:pPr>
      <w:r w:rsidRPr="005478A5">
        <w:t xml:space="preserve">Organism and culture </w:t>
      </w:r>
      <w:r w:rsidR="00FB3643">
        <w:t>conditions</w:t>
      </w:r>
    </w:p>
    <w:p w14:paraId="3A33EFC8" w14:textId="4D3E42B0" w:rsidR="00D47BA3" w:rsidRPr="009F3C8A" w:rsidRDefault="00F63A05" w:rsidP="00F63A05">
      <w:pPr>
        <w:pStyle w:val="CETBodytext"/>
      </w:pPr>
      <w:r>
        <w:t>Experiments</w:t>
      </w:r>
      <w:r w:rsidR="00714210">
        <w:t xml:space="preserve"> were</w:t>
      </w:r>
      <w:r>
        <w:t xml:space="preserve"> carried out on a 2 L batch reactor at 30°C with the strain </w:t>
      </w:r>
      <w:r w:rsidRPr="42E13AF0">
        <w:rPr>
          <w:i/>
          <w:iCs/>
        </w:rPr>
        <w:t xml:space="preserve">B. thuringiensis </w:t>
      </w:r>
      <w:proofErr w:type="spellStart"/>
      <w:r w:rsidRPr="42E13AF0">
        <w:rPr>
          <w:i/>
          <w:iCs/>
        </w:rPr>
        <w:t>subsp</w:t>
      </w:r>
      <w:proofErr w:type="spellEnd"/>
      <w:r w:rsidRPr="42E13AF0">
        <w:rPr>
          <w:i/>
          <w:iCs/>
        </w:rPr>
        <w:t xml:space="preserve"> </w:t>
      </w:r>
      <w:proofErr w:type="spellStart"/>
      <w:r w:rsidRPr="42E13AF0">
        <w:rPr>
          <w:i/>
          <w:iCs/>
        </w:rPr>
        <w:t>kurstaki</w:t>
      </w:r>
      <w:proofErr w:type="spellEnd"/>
      <w:r>
        <w:t xml:space="preserve"> </w:t>
      </w:r>
      <w:r w:rsidRPr="42E13AF0">
        <w:rPr>
          <w:i/>
          <w:iCs/>
        </w:rPr>
        <w:t>BLB</w:t>
      </w:r>
      <w:r>
        <w:t>1 and wheat bran (WB) as</w:t>
      </w:r>
      <w:r w:rsidR="00796A84">
        <w:t xml:space="preserve"> used</w:t>
      </w:r>
      <w:r>
        <w:t xml:space="preserve"> </w:t>
      </w:r>
      <w:r w:rsidR="00796A84">
        <w:t>as substrate</w:t>
      </w:r>
      <w:r w:rsidR="00073F7D">
        <w:t>.</w:t>
      </w:r>
      <w:r w:rsidR="00582096">
        <w:t xml:space="preserve"> </w:t>
      </w:r>
      <w:r w:rsidR="006476FC">
        <w:t>Samples were collected every 2</w:t>
      </w:r>
      <w:r w:rsidR="009F3C8A">
        <w:t xml:space="preserve"> </w:t>
      </w:r>
      <w:r w:rsidR="7F680835">
        <w:t>hours for</w:t>
      </w:r>
      <w:r w:rsidR="006476FC">
        <w:t xml:space="preserve"> the first 24</w:t>
      </w:r>
      <w:r w:rsidR="009F3C8A">
        <w:t xml:space="preserve"> </w:t>
      </w:r>
      <w:r w:rsidR="536CE6C0">
        <w:t>hours and</w:t>
      </w:r>
      <w:r w:rsidR="006476FC">
        <w:t xml:space="preserve"> then </w:t>
      </w:r>
      <w:r w:rsidR="0BC064AC">
        <w:t>every</w:t>
      </w:r>
      <w:r w:rsidR="006476FC">
        <w:t xml:space="preserve"> 3h for the rest of the culture.</w:t>
      </w:r>
      <w:r w:rsidR="00E70B10">
        <w:t xml:space="preserve"> </w:t>
      </w:r>
      <w:r w:rsidR="00BF329C">
        <w:t xml:space="preserve">Aeration </w:t>
      </w:r>
      <w:r w:rsidR="0048324F">
        <w:t>was set to 0</w:t>
      </w:r>
      <w:r w:rsidR="00881849">
        <w:t>.</w:t>
      </w:r>
      <w:r w:rsidR="0048324F">
        <w:t>36 L</w:t>
      </w:r>
      <w:r w:rsidR="009F3C8A">
        <w:t>.</w:t>
      </w:r>
      <w:r w:rsidR="0048324F">
        <w:t>min</w:t>
      </w:r>
      <w:r w:rsidR="009F3C8A" w:rsidRPr="42E13AF0">
        <w:rPr>
          <w:vertAlign w:val="superscript"/>
        </w:rPr>
        <w:t>-1</w:t>
      </w:r>
      <w:r w:rsidR="0048324F">
        <w:t>.</w:t>
      </w:r>
    </w:p>
    <w:p w14:paraId="4EA4940A" w14:textId="1AF8BCEF" w:rsidR="000F71C7" w:rsidRDefault="005478A5" w:rsidP="005478A5">
      <w:pPr>
        <w:pStyle w:val="CETheadingx"/>
      </w:pPr>
      <w:r w:rsidRPr="005478A5">
        <w:t xml:space="preserve">Experimental </w:t>
      </w:r>
      <w:r w:rsidR="000F71C7">
        <w:t>data</w:t>
      </w:r>
      <w:r w:rsidR="00881849">
        <w:t xml:space="preserve"> and data </w:t>
      </w:r>
      <w:r w:rsidR="00073F7D">
        <w:t>treatment</w:t>
      </w:r>
    </w:p>
    <w:p w14:paraId="6C893FFB" w14:textId="4822F609" w:rsidR="000F71C7" w:rsidRDefault="00796A84" w:rsidP="000F71C7">
      <w:pPr>
        <w:pStyle w:val="CETBodytext"/>
      </w:pPr>
      <w:r>
        <w:t xml:space="preserve">Experimental data for protein and spore were obtained from two batches, each one with 17 instances (12 samples up to 24h and 5 up to 48h). These data are filtered to improve the quality of the predictors and used to train the data-driven model (machine learning model). A moving median filter was used to understand the data trend and identify outliers. </w:t>
      </w:r>
      <w:r w:rsidR="000F71C7">
        <w:t xml:space="preserve">As the experiments </w:t>
      </w:r>
      <w:r w:rsidR="00E979CD">
        <w:t>have been</w:t>
      </w:r>
      <w:r w:rsidR="00CF49DC">
        <w:t xml:space="preserve"> </w:t>
      </w:r>
      <w:r w:rsidR="000F71C7">
        <w:t xml:space="preserve">conducted under batch conditions, </w:t>
      </w:r>
      <w:r w:rsidR="00CF49DC">
        <w:t xml:space="preserve">it </w:t>
      </w:r>
      <w:r w:rsidR="004C6973">
        <w:t>is</w:t>
      </w:r>
      <w:r w:rsidR="00CF49DC">
        <w:t xml:space="preserve"> assumed that </w:t>
      </w:r>
      <w:r w:rsidR="000F71C7">
        <w:t xml:space="preserve">the concentration of the products </w:t>
      </w:r>
      <w:r w:rsidR="6D50C59E">
        <w:t>must</w:t>
      </w:r>
      <w:r w:rsidR="00C53F10">
        <w:t xml:space="preserve"> increase or remain stable, hence it </w:t>
      </w:r>
      <w:r w:rsidR="00CF49DC">
        <w:t>cannot decrease</w:t>
      </w:r>
      <w:r w:rsidR="000F71C7">
        <w:t xml:space="preserve"> </w:t>
      </w:r>
      <w:r w:rsidR="6FCD3D54">
        <w:t>over</w:t>
      </w:r>
      <w:r w:rsidR="000F71C7">
        <w:t xml:space="preserve"> time</w:t>
      </w:r>
      <w:r w:rsidR="00C53F10">
        <w:t>.</w:t>
      </w:r>
      <w:r w:rsidR="000F71C7">
        <w:t xml:space="preserve"> Once the data ha</w:t>
      </w:r>
      <w:r w:rsidR="004B5F84">
        <w:t>ve</w:t>
      </w:r>
      <w:r w:rsidR="000F71C7">
        <w:t xml:space="preserve"> gone through </w:t>
      </w:r>
      <w:r w:rsidR="005F7E00">
        <w:t>the moving median</w:t>
      </w:r>
      <w:r w:rsidR="000F71C7">
        <w:t xml:space="preserve"> filter, the data </w:t>
      </w:r>
      <w:r w:rsidR="00A41032">
        <w:t xml:space="preserve">have been verified to confirm </w:t>
      </w:r>
      <w:r w:rsidR="000C28E5">
        <w:t>that</w:t>
      </w:r>
      <w:r w:rsidR="00A41032">
        <w:t xml:space="preserve"> </w:t>
      </w:r>
      <w:r w:rsidR="000F71C7">
        <w:t xml:space="preserve">every concentration point in a certain time </w:t>
      </w:r>
      <w:proofErr w:type="spellStart"/>
      <w:r w:rsidR="000F71C7" w:rsidRPr="42E13AF0">
        <w:rPr>
          <w:i/>
          <w:iCs/>
        </w:rPr>
        <w:t>t</w:t>
      </w:r>
      <w:proofErr w:type="spellEnd"/>
      <w:r w:rsidR="000F71C7">
        <w:t xml:space="preserve"> </w:t>
      </w:r>
      <w:r w:rsidR="00073F7D">
        <w:t>was</w:t>
      </w:r>
      <w:r w:rsidR="000F71C7">
        <w:t xml:space="preserve"> greater than all the precedent points.</w:t>
      </w:r>
    </w:p>
    <w:p w14:paraId="4082948A" w14:textId="6FA7DBBE" w:rsidR="000F71C7" w:rsidRPr="005478A5" w:rsidRDefault="00E13BC3" w:rsidP="005478A5">
      <w:pPr>
        <w:pStyle w:val="CETBodytext"/>
      </w:pPr>
      <w:r>
        <w:t>A</w:t>
      </w:r>
      <w:r w:rsidR="00700EEC">
        <w:t xml:space="preserve"> polynomial function </w:t>
      </w:r>
      <w:r>
        <w:t xml:space="preserve">was then fitted to the filtered data </w:t>
      </w:r>
      <w:r w:rsidR="00700EEC">
        <w:t xml:space="preserve">through </w:t>
      </w:r>
      <w:r w:rsidR="00700EEC" w:rsidRPr="00700EEC">
        <w:t>Piecewise Cubic Hermite Interpolating Polynomial</w:t>
      </w:r>
      <w:r w:rsidR="00700EEC">
        <w:t xml:space="preserve"> (PCHIP)</w:t>
      </w:r>
      <w:r w:rsidR="00DB05AA">
        <w:t xml:space="preserve"> </w:t>
      </w:r>
      <w:r w:rsidR="00DB05AA">
        <w:fldChar w:fldCharType="begin"/>
      </w:r>
      <w:r w:rsidR="00774821">
        <w:instrText xml:space="preserve"> ADDIN ZOTERO_ITEM CSL_CITATION {"citationID":"UVZfm3Iw","properties":{"formattedCitation":"(Fritsch &amp; Carlson, 1980)","plainCitation":"(Fritsch &amp; Carlson, 1980)","noteIndex":0},"citationItems":[{"id":"dUQzBhaE/tAJQL0SC","uris":["http://zotero.org/groups/5181348/items/A4Z6MDG8"],"itemData":{"id":460,"type":"article-journal","container-title":"SIAM Journal on Numerical Analysis","DOI":"10.1137/0717021","ISSN":"0036-1429, 1095-7170","issue":"2","journalAbbreviation":"SIAM J. Numer. Anal.","language":"en","page":"238-246","source":"DOI.org (Crossref)","title":"Monotone Piecewise Cubic Interpolation","volume":"17","author":[{"family":"Fritsch","given":"F. N."},{"family":"Carlson","given":"R. E."}],"issued":{"date-parts":[["1980",4]]}}}],"schema":"https://github.com/citation-style-language/schema/raw/master/csl-citation.json"} </w:instrText>
      </w:r>
      <w:r w:rsidR="00DB05AA">
        <w:fldChar w:fldCharType="separate"/>
      </w:r>
      <w:r w:rsidR="00DB05AA" w:rsidRPr="00DB05AA">
        <w:rPr>
          <w:rFonts w:cs="Arial"/>
        </w:rPr>
        <w:t>(Fritsch &amp; Carlson, 1980)</w:t>
      </w:r>
      <w:r w:rsidR="00DB05AA">
        <w:fldChar w:fldCharType="end"/>
      </w:r>
      <w:r>
        <w:t xml:space="preserve">. </w:t>
      </w:r>
      <w:r w:rsidR="00163332">
        <w:t>Additional</w:t>
      </w:r>
      <w:r w:rsidR="0083793A">
        <w:t xml:space="preserve"> instances </w:t>
      </w:r>
      <w:r>
        <w:t>we</w:t>
      </w:r>
      <w:r w:rsidR="0083793A">
        <w:t>re generated</w:t>
      </w:r>
      <w:r w:rsidR="00163332">
        <w:t xml:space="preserve"> using this function</w:t>
      </w:r>
      <w:r w:rsidR="0083793A">
        <w:t xml:space="preserve"> </w:t>
      </w:r>
      <w:r w:rsidR="00163332">
        <w:t>as</w:t>
      </w:r>
      <w:r>
        <w:t xml:space="preserve"> the</w:t>
      </w:r>
      <w:r w:rsidR="0083793A">
        <w:t xml:space="preserve"> target variable </w:t>
      </w:r>
      <w:r>
        <w:t xml:space="preserve">of </w:t>
      </w:r>
      <w:r w:rsidR="0083793A">
        <w:t>the data</w:t>
      </w:r>
      <w:r>
        <w:t>-</w:t>
      </w:r>
      <w:r w:rsidR="0083793A">
        <w:t>driven model</w:t>
      </w:r>
      <w:r>
        <w:t>s</w:t>
      </w:r>
      <w:r w:rsidR="0083793A">
        <w:t>. For</w:t>
      </w:r>
      <w:r w:rsidR="00163332">
        <w:t xml:space="preserve"> model </w:t>
      </w:r>
      <w:r w:rsidR="0083793A">
        <w:t>training, 501 instances were generated per variable</w:t>
      </w:r>
      <w:r>
        <w:t>. However, for spores, only</w:t>
      </w:r>
      <w:r w:rsidR="0083793A">
        <w:t xml:space="preserve"> 42</w:t>
      </w:r>
      <w:r w:rsidR="00163332">
        <w:t>4</w:t>
      </w:r>
      <w:r w:rsidR="0083793A">
        <w:t xml:space="preserve"> were used </w:t>
      </w:r>
      <w:r>
        <w:t>due to the deletion of null values (spore concentration is zero at the beginning of the culture).</w:t>
      </w:r>
      <w:r w:rsidR="0083793A">
        <w:t xml:space="preserve"> </w:t>
      </w:r>
    </w:p>
    <w:p w14:paraId="197D5091" w14:textId="7F6F6EBF" w:rsidR="008B184C" w:rsidRPr="005478A5" w:rsidRDefault="008B184C" w:rsidP="008B184C">
      <w:pPr>
        <w:pStyle w:val="CETheadingx"/>
      </w:pPr>
      <w:r w:rsidRPr="005478A5">
        <w:t xml:space="preserve">Dynamic </w:t>
      </w:r>
      <w:r w:rsidR="00DC0CB0">
        <w:t>M</w:t>
      </w:r>
      <w:r w:rsidRPr="005478A5">
        <w:t>odel</w:t>
      </w:r>
      <w:r w:rsidR="00DC0CB0">
        <w:t xml:space="preserve"> </w:t>
      </w:r>
      <w:r w:rsidR="00C50B3C">
        <w:t>for industrial substrate</w:t>
      </w:r>
    </w:p>
    <w:p w14:paraId="3492B7CC" w14:textId="20BF2CB9" w:rsidR="00073F7D" w:rsidRPr="00073F7D" w:rsidRDefault="00E50C86" w:rsidP="00073F7D">
      <w:pPr>
        <w:pStyle w:val="Lgende"/>
      </w:pPr>
      <w:r>
        <w:t>An</w:t>
      </w:r>
      <w:r w:rsidRPr="005478A5">
        <w:t xml:space="preserve"> </w:t>
      </w:r>
      <w:r w:rsidR="00C50B3C">
        <w:t>extended dynamic model</w:t>
      </w:r>
      <w:r w:rsidR="00F06186">
        <w:t xml:space="preserve"> (DM)</w:t>
      </w:r>
      <w:r w:rsidR="00C50B3C">
        <w:t xml:space="preserve"> was </w:t>
      </w:r>
      <w:r>
        <w:t xml:space="preserve">proposed </w:t>
      </w:r>
      <w:r w:rsidR="00C50B3C">
        <w:t>based on the model</w:t>
      </w:r>
      <w:r w:rsidR="00C50B3C" w:rsidRPr="005478A5">
        <w:t xml:space="preserve"> </w:t>
      </w:r>
      <w:r>
        <w:t xml:space="preserve">of </w:t>
      </w:r>
      <w:r w:rsidR="006E37C2">
        <w:fldChar w:fldCharType="begin"/>
      </w:r>
      <w:r w:rsidR="00774821">
        <w:instrText xml:space="preserve"> ADDIN ZOTERO_ITEM CSL_CITATION {"citationID":"2AzzFJAx","properties":{"formattedCitation":"(Monroy et al., 2021)","plainCitation":"(Monroy et al., 2021)","dontUpdate":true,"noteIndex":0},"citationItems":[{"id":"dUQzBhaE/Jl9BmMAn","uris":["http://zotero.org/groups/5181348/items/T2HTRJ38"],"itemData":{"id":233,"type":"article-journal","abstract":"Bacillus thuringiensis is a microorganism used for the production of biopesticides worldwide. In the present paper, different kinetic models were analyzed to study and compare three different strains of Bt ssp kurstaki (LIP, BLB1, and HD1). Bioperformances (vegetative cell, spore, substrate, and protein) and successive culture phases (oxidative growth, limitation and sporulation, and protein release) were depicted with an overarching aim to estimate total protein productivity, yield, and titer. In the end, two models were calibrated using experimental dataset (11 batches culture in 3 L bioreactor with semisynthetic medium), subsequently validated, and statistically compared. Both models satisfactorily followed the dynamics of the experimental data. Finally, a dynamic model was selected following the Akaike information criterion (AIC).","container-title":"Processes","DOI":"10.3390/pr9122147","issue":"12","language":"en","page":"2147","source":"hal.inrae.fr","title":"Dynamic Model for Biomass and Proteins Production by Three Bacillus Thuringiensis ssp Kurstaki Strains","volume":"9","author":[{"family":"Monroy","given":"Tatiana Segura"},{"family":"Abdelmalek","given":"Nouha"},{"family":"Rouis","given":"Souad"},{"family":"Kallassy","given":"Mireille"},{"family":"Saad","given":"Jihane"},{"family":"Abboud","given":"Joanna"},{"family":"Cescut","given":"Julien"},{"family":"Bensaid","given":"Nadia"},{"family":"Fillaudeau","given":"Luc"},{"family":"Aceves-Lara","given":"César Arturo"}],"issued":{"date-parts":[["2021"]]}}}],"schema":"https://github.com/citation-style-language/schema/raw/master/csl-citation.json"} </w:instrText>
      </w:r>
      <w:r w:rsidR="006E37C2">
        <w:fldChar w:fldCharType="separate"/>
      </w:r>
      <w:r w:rsidR="006E37C2" w:rsidRPr="006E37C2">
        <w:rPr>
          <w:rFonts w:cs="Arial"/>
        </w:rPr>
        <w:t xml:space="preserve">Monroy </w:t>
      </w:r>
      <w:r w:rsidR="006E37C2" w:rsidRPr="006E37C2">
        <w:rPr>
          <w:rFonts w:cs="Arial"/>
          <w:i/>
        </w:rPr>
        <w:t>et al.</w:t>
      </w:r>
      <w:r w:rsidR="006E37C2">
        <w:rPr>
          <w:rFonts w:cs="Arial"/>
        </w:rPr>
        <w:t xml:space="preserve"> in</w:t>
      </w:r>
      <w:r w:rsidR="006E37C2" w:rsidRPr="006E37C2">
        <w:rPr>
          <w:rFonts w:cs="Arial"/>
        </w:rPr>
        <w:t xml:space="preserve"> 2021</w:t>
      </w:r>
      <w:r w:rsidR="006E37C2">
        <w:fldChar w:fldCharType="end"/>
      </w:r>
      <w:r w:rsidR="00C50B3C">
        <w:t xml:space="preserve">. </w:t>
      </w:r>
      <w:r w:rsidR="004A6EBA">
        <w:t>T</w:t>
      </w:r>
      <w:r w:rsidR="008B184C" w:rsidRPr="005478A5">
        <w:t xml:space="preserve">he mass balances for </w:t>
      </w:r>
      <w:r w:rsidR="008B184C" w:rsidRPr="005478A5">
        <w:rPr>
          <w:i/>
        </w:rPr>
        <w:t xml:space="preserve">B. </w:t>
      </w:r>
      <w:r w:rsidR="00A330A6">
        <w:rPr>
          <w:i/>
        </w:rPr>
        <w:t>t</w:t>
      </w:r>
      <w:r w:rsidR="008B184C" w:rsidRPr="005478A5">
        <w:rPr>
          <w:i/>
        </w:rPr>
        <w:t>huringiensis</w:t>
      </w:r>
      <w:r w:rsidR="008B184C" w:rsidRPr="005478A5">
        <w:t xml:space="preserve"> in a batch reactor</w:t>
      </w:r>
      <w:r w:rsidR="00CE134B" w:rsidRPr="005478A5">
        <w:t xml:space="preserve"> </w:t>
      </w:r>
      <w:r w:rsidR="00C50B3C">
        <w:t xml:space="preserve">for industrial substrate </w:t>
      </w:r>
      <w:r w:rsidR="00B53F8E" w:rsidRPr="005478A5">
        <w:t xml:space="preserve">as </w:t>
      </w:r>
      <w:r w:rsidR="008B184C" w:rsidRPr="005478A5">
        <w:t xml:space="preserve">described in Eq. </w:t>
      </w:r>
      <w:r w:rsidR="00C5455F" w:rsidRPr="005478A5">
        <w:fldChar w:fldCharType="begin"/>
      </w:r>
      <w:r w:rsidR="00C5455F" w:rsidRPr="005478A5">
        <w:instrText xml:space="preserve"> REF _Ref189128381 \h  \* MERGEFORMAT </w:instrText>
      </w:r>
      <w:r w:rsidR="00C5455F" w:rsidRPr="005478A5">
        <w:fldChar w:fldCharType="separate"/>
      </w:r>
      <w:r w:rsidR="00356AB4" w:rsidRPr="005478A5">
        <w:t>(1</w:t>
      </w:r>
      <w:r w:rsidR="00356AB4">
        <w:t xml:space="preserve"> - 6</w:t>
      </w:r>
      <w:r w:rsidR="00356AB4" w:rsidRPr="005478A5">
        <w:t>)</w:t>
      </w:r>
      <w:r w:rsidR="00C5455F" w:rsidRPr="005478A5">
        <w:fldChar w:fldCharType="end"/>
      </w:r>
      <w:r w:rsidR="00C5455F" w:rsidRPr="005478A5">
        <w:t>.</w:t>
      </w:r>
    </w:p>
    <w:tbl>
      <w:tblPr>
        <w:tblW w:w="5000" w:type="pct"/>
        <w:tblLook w:val="04A0" w:firstRow="1" w:lastRow="0" w:firstColumn="1" w:lastColumn="0" w:noHBand="0" w:noVBand="1"/>
      </w:tblPr>
      <w:tblGrid>
        <w:gridCol w:w="7983"/>
        <w:gridCol w:w="804"/>
      </w:tblGrid>
      <w:tr w:rsidR="008B184C" w:rsidRPr="005478A5" w14:paraId="6BA0EDF4" w14:textId="77777777" w:rsidTr="008B184C">
        <w:tc>
          <w:tcPr>
            <w:tcW w:w="7983" w:type="dxa"/>
            <w:shd w:val="clear" w:color="auto" w:fill="auto"/>
            <w:vAlign w:val="center"/>
          </w:tcPr>
          <w:p w14:paraId="7F9FACE5" w14:textId="1471E937" w:rsidR="008B184C" w:rsidRPr="00DC5208" w:rsidRDefault="00D55007" w:rsidP="00701173">
            <w:pPr>
              <w:pStyle w:val="CETEquation"/>
              <w:rPr>
                <w:rFonts w:cs="Arial"/>
                <w:lang w:val="en-US"/>
              </w:rPr>
            </w:pPr>
            <m:oMathPara>
              <m:oMathParaPr>
                <m:jc m:val="left"/>
              </m:oMathParaPr>
              <m:oMath>
                <m:f>
                  <m:fPr>
                    <m:ctrlPr>
                      <w:rPr>
                        <w:rFonts w:ascii="Cambria Math" w:hAnsi="Cambria Math" w:cs="Arial"/>
                        <w:i/>
                        <w:lang w:val="en-US"/>
                      </w:rPr>
                    </m:ctrlPr>
                  </m:fPr>
                  <m:num>
                    <m:r>
                      <m:rPr>
                        <m:nor/>
                      </m:rPr>
                      <w:rPr>
                        <w:rFonts w:cs="Arial"/>
                        <w:lang w:val="en-US"/>
                      </w:rPr>
                      <m:t>dX</m:t>
                    </m:r>
                  </m:num>
                  <m:den>
                    <m:r>
                      <m:rPr>
                        <m:nor/>
                      </m:rPr>
                      <w:rPr>
                        <w:rFonts w:cs="Arial"/>
                        <w:lang w:val="en-US"/>
                      </w:rPr>
                      <m:t>dt</m:t>
                    </m:r>
                  </m:den>
                </m:f>
                <m:r>
                  <m:rPr>
                    <m:nor/>
                  </m:rPr>
                  <w:rPr>
                    <w:rFonts w:cs="Arial"/>
                    <w:lang w:val="en-US"/>
                  </w:rPr>
                  <m:t xml:space="preserve"> </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d>
                  <m:dPr>
                    <m:ctrlPr>
                      <w:rPr>
                        <w:rFonts w:ascii="Cambria Math" w:hAnsi="Cambria Math" w:cs="Arial"/>
                        <w:i/>
                        <w:lang w:val="en-US"/>
                      </w:rPr>
                    </m:ctrlPr>
                  </m:dPr>
                  <m:e>
                    <m:r>
                      <m:rPr>
                        <m:nor/>
                      </m:rPr>
                      <w:rPr>
                        <w:rFonts w:cs="Arial"/>
                        <w:lang w:val="en-US"/>
                      </w:rPr>
                      <m:t xml:space="preserve">µ - </m:t>
                    </m:r>
                    <m:sSub>
                      <m:sSubPr>
                        <m:ctrlPr>
                          <w:rPr>
                            <w:rFonts w:ascii="Cambria Math" w:hAnsi="Cambria Math" w:cs="Arial"/>
                            <w:i/>
                            <w:lang w:val="en-US"/>
                          </w:rPr>
                        </m:ctrlPr>
                      </m:sSubPr>
                      <m:e>
                        <m:r>
                          <m:rPr>
                            <m:nor/>
                          </m:rPr>
                          <w:rPr>
                            <w:rFonts w:cs="Arial"/>
                            <w:lang w:val="en-US"/>
                          </w:rPr>
                          <m:t>k</m:t>
                        </m:r>
                      </m:e>
                      <m:sub>
                        <m:r>
                          <m:rPr>
                            <m:nor/>
                          </m:rPr>
                          <w:rPr>
                            <w:rFonts w:cs="Arial"/>
                            <w:lang w:val="en-US"/>
                          </w:rPr>
                          <m:t>d</m:t>
                        </m:r>
                      </m:sub>
                    </m:sSub>
                  </m:e>
                </m:d>
                <m:r>
                  <m:rPr>
                    <m:nor/>
                  </m:rPr>
                  <w:rPr>
                    <w:rFonts w:cs="Arial"/>
                    <w:lang w:val="en-US"/>
                  </w:rPr>
                  <m:t xml:space="preserve"> X</m:t>
                </m:r>
              </m:oMath>
            </m:oMathPara>
          </w:p>
        </w:tc>
        <w:tc>
          <w:tcPr>
            <w:tcW w:w="804" w:type="dxa"/>
            <w:shd w:val="clear" w:color="auto" w:fill="auto"/>
            <w:vAlign w:val="center"/>
          </w:tcPr>
          <w:p w14:paraId="2BB8CD18" w14:textId="312B2629" w:rsidR="008B184C" w:rsidRPr="005478A5" w:rsidRDefault="008B184C" w:rsidP="00C5455F">
            <w:pPr>
              <w:pStyle w:val="Lgende"/>
              <w:jc w:val="right"/>
            </w:pPr>
            <w:bookmarkStart w:id="2" w:name="_Ref189128381"/>
            <w:r w:rsidRPr="005478A5">
              <w:t>(</w:t>
            </w:r>
            <w:r w:rsidR="00C5455F" w:rsidRPr="005478A5">
              <w:fldChar w:fldCharType="begin"/>
            </w:r>
            <w:r w:rsidR="00C5455F" w:rsidRPr="005478A5">
              <w:instrText xml:space="preserve"> SEQ Equation \* ARABIC </w:instrText>
            </w:r>
            <w:r w:rsidR="00C5455F" w:rsidRPr="005478A5">
              <w:fldChar w:fldCharType="separate"/>
            </w:r>
            <w:r w:rsidR="00172D07" w:rsidRPr="005478A5">
              <w:rPr>
                <w:noProof/>
              </w:rPr>
              <w:t>1</w:t>
            </w:r>
            <w:r w:rsidR="00C5455F" w:rsidRPr="005478A5">
              <w:fldChar w:fldCharType="end"/>
            </w:r>
            <w:r w:rsidRPr="005478A5">
              <w:t>)</w:t>
            </w:r>
            <w:bookmarkEnd w:id="2"/>
          </w:p>
        </w:tc>
      </w:tr>
      <w:tr w:rsidR="00C50B3C" w:rsidRPr="005478A5" w14:paraId="56420E38" w14:textId="77777777" w:rsidTr="00391187">
        <w:tc>
          <w:tcPr>
            <w:tcW w:w="7983" w:type="dxa"/>
            <w:shd w:val="clear" w:color="auto" w:fill="auto"/>
            <w:vAlign w:val="center"/>
          </w:tcPr>
          <w:p w14:paraId="3AA72A78" w14:textId="34D9F654" w:rsidR="00C50B3C" w:rsidRPr="005478A5" w:rsidRDefault="00D55007" w:rsidP="00391187">
            <w:pPr>
              <w:pStyle w:val="CETEquation"/>
              <w:rPr>
                <w:rFonts w:cs="Arial"/>
                <w:lang w:val="en-US"/>
              </w:rPr>
            </w:pPr>
            <m:oMathPara>
              <m:oMathParaPr>
                <m:jc m:val="left"/>
              </m:oMathParaPr>
              <m:oMath>
                <m:f>
                  <m:fPr>
                    <m:ctrlPr>
                      <w:rPr>
                        <w:rFonts w:ascii="Cambria Math" w:hAnsi="Cambria Math" w:cs="Arial"/>
                        <w:i/>
                        <w:lang w:val="en-US"/>
                      </w:rPr>
                    </m:ctrlPr>
                  </m:fPr>
                  <m:num>
                    <m:r>
                      <m:rPr>
                        <m:nor/>
                      </m:rPr>
                      <w:rPr>
                        <w:rFonts w:cs="Arial"/>
                        <w:lang w:val="en-US"/>
                      </w:rPr>
                      <m:t>dW</m:t>
                    </m:r>
                  </m:num>
                  <m:den>
                    <m:r>
                      <m:rPr>
                        <m:nor/>
                      </m:rPr>
                      <w:rPr>
                        <w:rFonts w:cs="Arial"/>
                        <w:lang w:val="en-US"/>
                      </w:rPr>
                      <m:t>dt</m:t>
                    </m:r>
                  </m:den>
                </m:f>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sSub>
                  <m:sSubPr>
                    <m:ctrlPr>
                      <w:rPr>
                        <w:rFonts w:ascii="Cambria Math" w:hAnsi="Cambria Math" w:cs="Arial"/>
                        <w:i/>
                        <w:lang w:val="en-US"/>
                      </w:rPr>
                    </m:ctrlPr>
                  </m:sSubPr>
                  <m:e>
                    <m:r>
                      <m:rPr>
                        <m:nor/>
                      </m:rPr>
                      <w:rPr>
                        <w:rFonts w:cs="Arial"/>
                        <w:lang w:val="en-US"/>
                      </w:rPr>
                      <m:t>q</m:t>
                    </m:r>
                  </m:e>
                  <m:sub>
                    <m:r>
                      <m:rPr>
                        <m:nor/>
                      </m:rPr>
                      <w:rPr>
                        <w:rFonts w:cs="Arial"/>
                        <w:lang w:val="en-US"/>
                      </w:rPr>
                      <m:t>W</m:t>
                    </m:r>
                  </m:sub>
                </m:sSub>
                <m:r>
                  <m:rPr>
                    <m:nor/>
                  </m:rPr>
                  <w:rPr>
                    <w:rFonts w:cs="Arial"/>
                    <w:lang w:val="en-US"/>
                  </w:rPr>
                  <m:t>∙</m:t>
                </m:r>
                <m:r>
                  <m:rPr>
                    <m:nor/>
                  </m:rPr>
                  <w:rPr>
                    <w:rFonts w:ascii="Cambria Math" w:cs="Arial"/>
                    <w:lang w:val="en-US"/>
                  </w:rPr>
                  <m:t xml:space="preserve"> </m:t>
                </m:r>
                <m:r>
                  <m:rPr>
                    <m:nor/>
                  </m:rPr>
                  <w:rPr>
                    <w:rFonts w:cs="Arial"/>
                    <w:lang w:val="en-US"/>
                  </w:rPr>
                  <m:t>X</m:t>
                </m:r>
                <m:r>
                  <m:rPr>
                    <m:nor/>
                  </m:rPr>
                  <w:rPr>
                    <w:rFonts w:ascii="Cambria Math" w:cs="Arial"/>
                    <w:lang w:val="en-US"/>
                  </w:rPr>
                  <m:t xml:space="preserve">  </m:t>
                </m:r>
              </m:oMath>
            </m:oMathPara>
          </w:p>
        </w:tc>
        <w:tc>
          <w:tcPr>
            <w:tcW w:w="804" w:type="dxa"/>
            <w:shd w:val="clear" w:color="auto" w:fill="auto"/>
            <w:vAlign w:val="center"/>
          </w:tcPr>
          <w:p w14:paraId="3A1517E2" w14:textId="065D430F" w:rsidR="00C50B3C" w:rsidRPr="005478A5" w:rsidRDefault="00C50B3C" w:rsidP="00391187">
            <w:pPr>
              <w:pStyle w:val="Lgende"/>
              <w:jc w:val="right"/>
            </w:pPr>
            <w:r w:rsidRPr="005478A5">
              <w:t>(</w:t>
            </w:r>
            <w:r w:rsidRPr="005478A5">
              <w:fldChar w:fldCharType="begin"/>
            </w:r>
            <w:r w:rsidRPr="005478A5">
              <w:instrText xml:space="preserve"> SEQ Equation \* ARABIC </w:instrText>
            </w:r>
            <w:r w:rsidRPr="005478A5">
              <w:fldChar w:fldCharType="separate"/>
            </w:r>
            <w:r w:rsidR="00073F7D">
              <w:rPr>
                <w:noProof/>
              </w:rPr>
              <w:t>2</w:t>
            </w:r>
            <w:r w:rsidRPr="005478A5">
              <w:fldChar w:fldCharType="end"/>
            </w:r>
            <w:r w:rsidRPr="005478A5">
              <w:t>)</w:t>
            </w:r>
          </w:p>
        </w:tc>
      </w:tr>
      <w:tr w:rsidR="007668AE" w:rsidRPr="005478A5" w14:paraId="72C92E20" w14:textId="77777777" w:rsidTr="00391187">
        <w:tc>
          <w:tcPr>
            <w:tcW w:w="7983" w:type="dxa"/>
            <w:shd w:val="clear" w:color="auto" w:fill="auto"/>
            <w:vAlign w:val="center"/>
          </w:tcPr>
          <w:p w14:paraId="6B46E3D0" w14:textId="06A64CB9" w:rsidR="007668AE" w:rsidRPr="00A330A6" w:rsidRDefault="00D55007" w:rsidP="00391187">
            <w:pPr>
              <w:pStyle w:val="CETEquation"/>
              <w:rPr>
                <w:rFonts w:cs="Arial"/>
                <w:lang w:val="es-CO"/>
              </w:rPr>
            </w:pPr>
            <m:oMathPara>
              <m:oMathParaPr>
                <m:jc m:val="left"/>
              </m:oMathParaPr>
              <m:oMath>
                <m:f>
                  <m:fPr>
                    <m:ctrlPr>
                      <w:rPr>
                        <w:rFonts w:ascii="Cambria Math" w:hAnsi="Cambria Math" w:cs="Arial"/>
                        <w:i/>
                        <w:lang w:val="en-US"/>
                      </w:rPr>
                    </m:ctrlPr>
                  </m:fPr>
                  <m:num>
                    <w:proofErr w:type="spellStart"/>
                    <m:r>
                      <m:rPr>
                        <m:nor/>
                      </m:rPr>
                      <w:rPr>
                        <w:rFonts w:cs="Arial"/>
                        <w:lang w:val="es-CO"/>
                      </w:rPr>
                      <m:t>dM</m:t>
                    </m:r>
                    <w:proofErr w:type="spellEnd"/>
                  </m:num>
                  <m:den>
                    <w:proofErr w:type="spellStart"/>
                    <m:r>
                      <m:rPr>
                        <m:nor/>
                      </m:rPr>
                      <w:rPr>
                        <w:rFonts w:cs="Arial"/>
                        <w:lang w:val="es-CO"/>
                      </w:rPr>
                      <m:t>dt</m:t>
                    </m:r>
                    <w:proofErr w:type="spellEnd"/>
                  </m:den>
                </m:f>
                <m:r>
                  <m:rPr>
                    <m:nor/>
                  </m:rPr>
                  <w:rPr>
                    <w:rFonts w:ascii="Cambria Math" w:cs="Arial"/>
                    <w:lang w:val="es-CO"/>
                  </w:rPr>
                  <m:t xml:space="preserve"> </m:t>
                </m:r>
                <m:r>
                  <m:rPr>
                    <m:nor/>
                  </m:rPr>
                  <w:rPr>
                    <w:rFonts w:cs="Arial"/>
                    <w:lang w:val="es-CO"/>
                  </w:rPr>
                  <m:t xml:space="preserve">= </m:t>
                </m:r>
                <m:d>
                  <m:dPr>
                    <m:ctrlPr>
                      <w:rPr>
                        <w:rFonts w:ascii="Cambria Math" w:hAnsi="Cambria Math" w:cs="Arial"/>
                        <w:i/>
                        <w:lang w:val="en-US"/>
                      </w:rPr>
                    </m:ctrlPr>
                  </m:dPr>
                  <m:e>
                    <m:r>
                      <m:rPr>
                        <m:nor/>
                      </m:rPr>
                      <w:rPr>
                        <w:rFonts w:cs="Arial"/>
                        <w:lang w:val="es-CO"/>
                      </w:rPr>
                      <m:t xml:space="preserve">- </m:t>
                    </m:r>
                    <m:sSub>
                      <m:sSubPr>
                        <m:ctrlPr>
                          <w:rPr>
                            <w:rFonts w:ascii="Cambria Math" w:hAnsi="Cambria Math" w:cs="Arial"/>
                            <w:i/>
                            <w:lang w:val="en-US"/>
                          </w:rPr>
                        </m:ctrlPr>
                      </m:sSubPr>
                      <m:e>
                        <m:r>
                          <m:rPr>
                            <m:nor/>
                          </m:rPr>
                          <w:rPr>
                            <w:rFonts w:cs="Arial"/>
                            <w:lang w:val="es-CO"/>
                          </w:rPr>
                          <m:t>q</m:t>
                        </m:r>
                      </m:e>
                      <m:sub>
                        <m:r>
                          <m:rPr>
                            <m:nor/>
                          </m:rPr>
                          <w:rPr>
                            <w:rFonts w:cs="Arial"/>
                            <w:lang w:val="es-CO"/>
                          </w:rPr>
                          <m:t>M</m:t>
                        </m:r>
                      </m:sub>
                    </m:sSub>
                    <m:r>
                      <m:rPr>
                        <m:nor/>
                      </m:rPr>
                      <w:rPr>
                        <w:rFonts w:ascii="Cambria Math" w:cs="Arial"/>
                        <w:lang w:val="es-CO"/>
                      </w:rPr>
                      <m:t xml:space="preserve"> </m:t>
                    </m:r>
                    <m:r>
                      <m:rPr>
                        <m:nor/>
                      </m:rPr>
                      <w:rPr>
                        <w:rFonts w:cs="Arial"/>
                        <w:lang w:val="es-CO"/>
                      </w:rPr>
                      <m:t>+</m:t>
                    </m:r>
                    <m:r>
                      <m:rPr>
                        <m:nor/>
                      </m:rPr>
                      <w:rPr>
                        <w:rFonts w:ascii="Cambria Math" w:cs="Arial"/>
                        <w:lang w:val="es-CO"/>
                      </w:rPr>
                      <m:t xml:space="preserve"> </m:t>
                    </m:r>
                    <m:f>
                      <m:fPr>
                        <m:ctrlPr>
                          <w:rPr>
                            <w:rFonts w:ascii="Cambria Math" w:hAnsi="Cambria Math" w:cs="Arial"/>
                            <w:i/>
                            <w:lang w:val="en-US"/>
                          </w:rPr>
                        </m:ctrlPr>
                      </m:fPr>
                      <m:num>
                        <m:sSub>
                          <m:sSubPr>
                            <m:ctrlPr>
                              <w:rPr>
                                <w:rFonts w:ascii="Cambria Math" w:hAnsi="Cambria Math" w:cs="Arial"/>
                                <w:i/>
                                <w:lang w:val="en-US"/>
                              </w:rPr>
                            </m:ctrlPr>
                          </m:sSubPr>
                          <m:e>
                            <m:r>
                              <m:rPr>
                                <m:nor/>
                              </m:rPr>
                              <w:rPr>
                                <w:rFonts w:cs="Arial"/>
                                <w:lang w:val="es-CO"/>
                              </w:rPr>
                              <m:t>q</m:t>
                            </m:r>
                          </m:e>
                          <m:sub>
                            <m:r>
                              <m:rPr>
                                <m:nor/>
                              </m:rPr>
                              <w:rPr>
                                <w:rFonts w:cs="Arial"/>
                                <w:lang w:val="es-CO"/>
                              </w:rPr>
                              <m:t>W</m:t>
                            </m:r>
                          </m:sub>
                        </m:sSub>
                      </m:num>
                      <m:den>
                        <m:sSub>
                          <m:sSubPr>
                            <m:ctrlPr>
                              <w:rPr>
                                <w:rFonts w:ascii="Cambria Math" w:hAnsi="Cambria Math" w:cs="Arial"/>
                                <w:i/>
                                <w:lang w:val="en-US"/>
                              </w:rPr>
                            </m:ctrlPr>
                          </m:sSubPr>
                          <m:e>
                            <m:r>
                              <m:rPr>
                                <m:nor/>
                              </m:rPr>
                              <w:rPr>
                                <w:rFonts w:cs="Arial"/>
                                <w:lang w:val="es-CO"/>
                              </w:rPr>
                              <m:t>Y</m:t>
                            </m:r>
                          </m:e>
                          <m:sub>
                            <m:r>
                              <m:rPr>
                                <m:nor/>
                              </m:rPr>
                              <w:rPr>
                                <w:rFonts w:cs="Arial"/>
                                <w:lang w:val="es-CO"/>
                              </w:rPr>
                              <m:t>WM</m:t>
                            </m:r>
                          </m:sub>
                        </m:sSub>
                      </m:den>
                    </m:f>
                  </m:e>
                </m:d>
                <m:r>
                  <m:rPr>
                    <m:nor/>
                  </m:rPr>
                  <w:rPr>
                    <w:rFonts w:cs="Arial"/>
                    <w:lang w:val="es-CO"/>
                  </w:rPr>
                  <m:t xml:space="preserve">X  </m:t>
                </m:r>
              </m:oMath>
            </m:oMathPara>
          </w:p>
        </w:tc>
        <w:tc>
          <w:tcPr>
            <w:tcW w:w="804" w:type="dxa"/>
            <w:shd w:val="clear" w:color="auto" w:fill="auto"/>
            <w:vAlign w:val="center"/>
          </w:tcPr>
          <w:p w14:paraId="199E8E63" w14:textId="06534D8A" w:rsidR="007668AE" w:rsidRPr="005478A5" w:rsidRDefault="00D9739E" w:rsidP="00391187">
            <w:pPr>
              <w:pStyle w:val="Lgende"/>
              <w:jc w:val="right"/>
            </w:pPr>
            <w:bookmarkStart w:id="3" w:name="_Ref203392051"/>
            <w:r w:rsidRPr="005478A5">
              <w:t>(</w:t>
            </w:r>
            <w:r w:rsidRPr="005478A5">
              <w:fldChar w:fldCharType="begin"/>
            </w:r>
            <w:r w:rsidRPr="005478A5">
              <w:instrText xml:space="preserve"> SEQ Equation \* ARABIC </w:instrText>
            </w:r>
            <w:r w:rsidRPr="005478A5">
              <w:fldChar w:fldCharType="separate"/>
            </w:r>
            <w:r>
              <w:rPr>
                <w:noProof/>
              </w:rPr>
              <w:t>3</w:t>
            </w:r>
            <w:r w:rsidRPr="005478A5">
              <w:fldChar w:fldCharType="end"/>
            </w:r>
            <w:r w:rsidRPr="005478A5">
              <w:t>)</w:t>
            </w:r>
            <w:bookmarkEnd w:id="3"/>
          </w:p>
        </w:tc>
      </w:tr>
      <w:tr w:rsidR="006E5609" w:rsidRPr="005478A5" w14:paraId="6794E57A" w14:textId="77777777" w:rsidTr="008B184C">
        <w:tc>
          <w:tcPr>
            <w:tcW w:w="7983" w:type="dxa"/>
            <w:shd w:val="clear" w:color="auto" w:fill="auto"/>
            <w:vAlign w:val="center"/>
          </w:tcPr>
          <w:p w14:paraId="769EAC2A" w14:textId="299C3A11" w:rsidR="006E5609" w:rsidRPr="00877F23" w:rsidRDefault="00D55007" w:rsidP="006E5609">
            <w:pPr>
              <w:pStyle w:val="CETEquation"/>
              <w:rPr>
                <w:rFonts w:cs="Arial"/>
                <w:lang w:val="es-CO"/>
              </w:rPr>
            </w:pPr>
            <m:oMathPara>
              <m:oMathParaPr>
                <m:jc m:val="left"/>
              </m:oMathParaPr>
              <m:oMath>
                <m:f>
                  <m:fPr>
                    <m:ctrlPr>
                      <w:rPr>
                        <w:rFonts w:ascii="Cambria Math" w:hAnsi="Cambria Math" w:cs="Arial"/>
                        <w:i/>
                        <w:lang w:val="en-US"/>
                      </w:rPr>
                    </m:ctrlPr>
                  </m:fPr>
                  <m:num>
                    <m:r>
                      <m:rPr>
                        <m:nor/>
                      </m:rPr>
                      <w:rPr>
                        <w:rFonts w:cs="Arial"/>
                        <w:lang w:val="es-CO"/>
                      </w:rPr>
                      <m:t>dG</m:t>
                    </m:r>
                  </m:num>
                  <m:den>
                    <m:r>
                      <m:rPr>
                        <m:nor/>
                      </m:rPr>
                      <w:rPr>
                        <w:rFonts w:cs="Arial"/>
                        <w:lang w:val="es-CO"/>
                      </w:rPr>
                      <m:t>dt</m:t>
                    </m:r>
                  </m:den>
                </m:f>
                <m:r>
                  <m:rPr>
                    <m:nor/>
                  </m:rPr>
                  <w:rPr>
                    <w:rFonts w:cs="Arial"/>
                    <w:lang w:val="es-CO"/>
                  </w:rPr>
                  <m:t xml:space="preserve"> =</m:t>
                </m:r>
                <m:r>
                  <m:rPr>
                    <m:nor/>
                  </m:rPr>
                  <w:rPr>
                    <w:rFonts w:ascii="Cambria Math" w:cs="Arial"/>
                    <w:lang w:val="es-CO"/>
                  </w:rPr>
                  <m:t xml:space="preserve"> </m:t>
                </m:r>
                <m:d>
                  <m:dPr>
                    <m:ctrlPr>
                      <w:rPr>
                        <w:rFonts w:ascii="Cambria Math" w:hAnsi="Cambria Math" w:cs="Arial"/>
                        <w:i/>
                        <w:lang w:val="en-US"/>
                      </w:rPr>
                    </m:ctrlPr>
                  </m:dPr>
                  <m:e>
                    <m:r>
                      <m:rPr>
                        <m:nor/>
                      </m:rPr>
                      <w:rPr>
                        <w:rFonts w:cs="Arial"/>
                        <w:lang w:val="es-CO"/>
                      </w:rPr>
                      <m:t>-</m:t>
                    </m:r>
                    <m:f>
                      <m:fPr>
                        <m:ctrlPr>
                          <w:rPr>
                            <w:rFonts w:ascii="Cambria Math" w:hAnsi="Cambria Math" w:cs="Arial"/>
                            <w:i/>
                            <w:lang w:val="en-US"/>
                          </w:rPr>
                        </m:ctrlPr>
                      </m:fPr>
                      <m:num>
                        <m:r>
                          <m:rPr>
                            <m:nor/>
                          </m:rPr>
                          <w:rPr>
                            <w:rFonts w:cs="Arial"/>
                            <w:lang w:val="es-CO"/>
                          </w:rPr>
                          <m:t>µ</m:t>
                        </m:r>
                      </m:num>
                      <m:den>
                        <m:sSub>
                          <m:sSubPr>
                            <m:ctrlPr>
                              <w:rPr>
                                <w:rFonts w:ascii="Cambria Math" w:hAnsi="Cambria Math" w:cs="Arial"/>
                                <w:i/>
                                <w:lang w:val="en-US"/>
                              </w:rPr>
                            </m:ctrlPr>
                          </m:sSubPr>
                          <m:e>
                            <m:r>
                              <m:rPr>
                                <m:nor/>
                              </m:rPr>
                              <w:rPr>
                                <w:rFonts w:cs="Arial"/>
                                <w:lang w:val="es-CO"/>
                              </w:rPr>
                              <m:t>Y</m:t>
                            </m:r>
                          </m:e>
                          <m:sub>
                            <m:r>
                              <m:rPr>
                                <m:nor/>
                              </m:rPr>
                              <w:rPr>
                                <w:rFonts w:cs="Arial"/>
                                <w:lang w:val="es-CO"/>
                              </w:rPr>
                              <m:t>XG</m:t>
                            </m:r>
                          </m:sub>
                        </m:sSub>
                      </m:den>
                    </m:f>
                    <m:r>
                      <m:rPr>
                        <m:nor/>
                      </m:rPr>
                      <w:rPr>
                        <w:rFonts w:cs="Arial"/>
                        <w:lang w:val="es-CO"/>
                      </w:rPr>
                      <m:t>-</m:t>
                    </m:r>
                    <m:r>
                      <m:rPr>
                        <m:nor/>
                      </m:rPr>
                      <w:rPr>
                        <w:rFonts w:ascii="Cambria Math" w:cs="Arial"/>
                        <w:lang w:val="es-CO"/>
                      </w:rPr>
                      <m:t xml:space="preserve"> </m:t>
                    </m:r>
                    <m:sSub>
                      <m:sSubPr>
                        <m:ctrlPr>
                          <w:rPr>
                            <w:rFonts w:ascii="Cambria Math" w:hAnsi="Cambria Math" w:cs="Arial"/>
                            <w:i/>
                            <w:lang w:val="es-CO"/>
                          </w:rPr>
                        </m:ctrlPr>
                      </m:sSubPr>
                      <m:e>
                        <m:r>
                          <m:rPr>
                            <m:nor/>
                          </m:rPr>
                          <w:rPr>
                            <w:rFonts w:cs="Arial"/>
                            <w:lang w:val="es-CO"/>
                          </w:rPr>
                          <m:t>m</m:t>
                        </m:r>
                      </m:e>
                      <m:sub>
                        <m:r>
                          <m:rPr>
                            <m:nor/>
                          </m:rPr>
                          <w:rPr>
                            <w:rFonts w:cs="Arial"/>
                            <w:lang w:val="es-CO"/>
                          </w:rPr>
                          <m:t>G</m:t>
                        </m:r>
                        <m:r>
                          <m:rPr>
                            <m:nor/>
                          </m:rPr>
                          <w:rPr>
                            <w:rFonts w:ascii="Cambria Math" w:cs="Arial"/>
                            <w:lang w:val="es-CO"/>
                          </w:rPr>
                          <m:t xml:space="preserve"> </m:t>
                        </m:r>
                      </m:sub>
                    </m:sSub>
                    <m:r>
                      <m:rPr>
                        <m:nor/>
                      </m:rPr>
                      <w:rPr>
                        <w:rFonts w:cs="Arial"/>
                        <w:lang w:val="es-CO"/>
                      </w:rPr>
                      <m:t xml:space="preserve">+ </m:t>
                    </m:r>
                    <m:f>
                      <m:fPr>
                        <m:ctrlPr>
                          <w:rPr>
                            <w:rFonts w:ascii="Cambria Math" w:hAnsi="Cambria Math" w:cs="Arial"/>
                            <w:i/>
                            <w:lang w:val="en-US"/>
                          </w:rPr>
                        </m:ctrlPr>
                      </m:fPr>
                      <m:num>
                        <m:sSub>
                          <m:sSubPr>
                            <m:ctrlPr>
                              <w:rPr>
                                <w:rFonts w:ascii="Cambria Math" w:hAnsi="Cambria Math" w:cs="Arial"/>
                                <w:i/>
                                <w:lang w:val="en-US"/>
                              </w:rPr>
                            </m:ctrlPr>
                          </m:sSubPr>
                          <m:e>
                            <m:r>
                              <m:rPr>
                                <m:nor/>
                              </m:rPr>
                              <w:rPr>
                                <w:rFonts w:cs="Arial"/>
                                <w:lang w:val="es-CO"/>
                              </w:rPr>
                              <m:t>q</m:t>
                            </m:r>
                          </m:e>
                          <m:sub>
                            <m:r>
                              <m:rPr>
                                <m:nor/>
                              </m:rPr>
                              <w:rPr>
                                <w:rFonts w:cs="Arial"/>
                                <w:lang w:val="es-CO"/>
                              </w:rPr>
                              <m:t>M</m:t>
                            </m:r>
                          </m:sub>
                        </m:sSub>
                      </m:num>
                      <m:den>
                        <m:sSub>
                          <m:sSubPr>
                            <m:ctrlPr>
                              <w:rPr>
                                <w:rFonts w:ascii="Cambria Math" w:hAnsi="Cambria Math" w:cs="Arial"/>
                                <w:i/>
                                <w:lang w:val="en-US"/>
                              </w:rPr>
                            </m:ctrlPr>
                          </m:sSubPr>
                          <m:e>
                            <m:r>
                              <m:rPr>
                                <m:nor/>
                              </m:rPr>
                              <w:rPr>
                                <w:rFonts w:cs="Arial"/>
                                <w:lang w:val="es-CO"/>
                              </w:rPr>
                              <m:t>Y</m:t>
                            </m:r>
                          </m:e>
                          <m:sub>
                            <m:r>
                              <m:rPr>
                                <m:nor/>
                              </m:rPr>
                              <w:rPr>
                                <w:rFonts w:cs="Arial"/>
                                <w:lang w:val="es-CO"/>
                              </w:rPr>
                              <m:t>MG</m:t>
                            </m:r>
                          </m:sub>
                        </m:sSub>
                      </m:den>
                    </m:f>
                  </m:e>
                </m:d>
                <m:r>
                  <m:rPr>
                    <m:nor/>
                  </m:rPr>
                  <w:rPr>
                    <w:rFonts w:cs="Arial"/>
                    <w:lang w:val="es-CO"/>
                  </w:rPr>
                  <m:t xml:space="preserve">X </m:t>
                </m:r>
              </m:oMath>
            </m:oMathPara>
          </w:p>
        </w:tc>
        <w:tc>
          <w:tcPr>
            <w:tcW w:w="804" w:type="dxa"/>
            <w:shd w:val="clear" w:color="auto" w:fill="auto"/>
            <w:vAlign w:val="center"/>
          </w:tcPr>
          <w:p w14:paraId="403FB87A" w14:textId="7FE59132" w:rsidR="006E5609" w:rsidRPr="005478A5" w:rsidRDefault="006E5609" w:rsidP="006E5609">
            <w:pPr>
              <w:pStyle w:val="Lgende"/>
              <w:jc w:val="right"/>
            </w:pPr>
            <w:bookmarkStart w:id="4" w:name="_Ref189128600"/>
            <w:r w:rsidRPr="005478A5">
              <w:t>(</w:t>
            </w:r>
            <w:r w:rsidRPr="005478A5">
              <w:fldChar w:fldCharType="begin"/>
            </w:r>
            <w:r w:rsidRPr="005478A5">
              <w:instrText xml:space="preserve"> SEQ Equation \* ARABIC </w:instrText>
            </w:r>
            <w:r w:rsidRPr="005478A5">
              <w:fldChar w:fldCharType="separate"/>
            </w:r>
            <w:r w:rsidR="00D9739E">
              <w:rPr>
                <w:noProof/>
              </w:rPr>
              <w:t>4</w:t>
            </w:r>
            <w:r w:rsidRPr="005478A5">
              <w:fldChar w:fldCharType="end"/>
            </w:r>
            <w:r w:rsidRPr="005478A5">
              <w:t>)</w:t>
            </w:r>
            <w:bookmarkEnd w:id="4"/>
          </w:p>
        </w:tc>
      </w:tr>
      <w:tr w:rsidR="00B71CA7" w:rsidRPr="005478A5" w14:paraId="47E9894D" w14:textId="77777777" w:rsidTr="00391187">
        <w:tc>
          <w:tcPr>
            <w:tcW w:w="7983" w:type="dxa"/>
            <w:shd w:val="clear" w:color="auto" w:fill="auto"/>
            <w:vAlign w:val="center"/>
          </w:tcPr>
          <w:p w14:paraId="68F7B27E" w14:textId="696C5D57" w:rsidR="00E577B1" w:rsidRPr="00AE32C7" w:rsidRDefault="00D55007" w:rsidP="00AE32C7">
            <w:pPr>
              <w:pStyle w:val="CETEquation"/>
              <w:rPr>
                <w:rFonts w:cs="Arial"/>
                <w:lang w:val="en-US"/>
              </w:rPr>
            </w:pPr>
            <m:oMathPara>
              <m:oMathParaPr>
                <m:jc m:val="left"/>
              </m:oMathParaPr>
              <m:oMath>
                <m:f>
                  <m:fPr>
                    <m:ctrlPr>
                      <w:rPr>
                        <w:rFonts w:ascii="Cambria Math" w:hAnsi="Cambria Math" w:cs="Arial"/>
                        <w:i/>
                        <w:lang w:val="en-US"/>
                      </w:rPr>
                    </m:ctrlPr>
                  </m:fPr>
                  <m:num>
                    <w:proofErr w:type="spellStart"/>
                    <m:r>
                      <m:rPr>
                        <m:nor/>
                      </m:rPr>
                      <w:rPr>
                        <w:rFonts w:cs="Arial"/>
                        <w:lang w:val="en-US"/>
                      </w:rPr>
                      <m:t>dP</m:t>
                    </m:r>
                    <w:proofErr w:type="spellEnd"/>
                  </m:num>
                  <m:den>
                    <m:r>
                      <m:rPr>
                        <m:nor/>
                      </m:rPr>
                      <w:rPr>
                        <w:rFonts w:cs="Arial"/>
                        <w:lang w:val="en-US"/>
                      </w:rPr>
                      <m:t>dt</m:t>
                    </m:r>
                  </m:den>
                </m:f>
                <m:r>
                  <m:rPr>
                    <m:nor/>
                  </m:rPr>
                  <w:rPr>
                    <w:rFonts w:ascii="Cambria Math" w:cs="Arial"/>
                    <w:lang w:val="en-US"/>
                  </w:rPr>
                  <m:t xml:space="preserve"> </m:t>
                </m:r>
                <m:r>
                  <m:rPr>
                    <m:nor/>
                  </m:rPr>
                  <w:rPr>
                    <w:rFonts w:cs="Arial"/>
                    <w:lang w:val="en-US"/>
                  </w:rPr>
                  <m:t>=</m:t>
                </m:r>
                <m:sSub>
                  <m:sSubPr>
                    <m:ctrlPr>
                      <w:rPr>
                        <w:rFonts w:ascii="Cambria Math" w:hAnsi="Cambria Math" w:cs="Arial"/>
                        <w:i/>
                      </w:rPr>
                    </m:ctrlPr>
                  </m:sSubPr>
                  <m:e>
                    <m:r>
                      <m:rPr>
                        <m:nor/>
                      </m:rPr>
                      <w:rPr>
                        <w:rFonts w:cs="Arial"/>
                      </w:rPr>
                      <m:t xml:space="preserve"> r</m:t>
                    </m:r>
                  </m:e>
                  <m:sub>
                    <m:r>
                      <m:rPr>
                        <m:nor/>
                      </m:rPr>
                      <w:rPr>
                        <w:rFonts w:cs="Arial"/>
                      </w:rPr>
                      <m:t>p</m:t>
                    </m:r>
                  </m:sub>
                </m:sSub>
                <m:r>
                  <m:rPr>
                    <m:nor/>
                  </m:rPr>
                  <w:rPr>
                    <w:rFonts w:cs="Arial"/>
                    <w:lang w:val="en-US"/>
                  </w:rPr>
                  <m:t xml:space="preserve">= </m:t>
                </m:r>
                <m:sSub>
                  <m:sSubPr>
                    <m:ctrlPr>
                      <w:rPr>
                        <w:rFonts w:ascii="Cambria Math" w:hAnsi="Cambria Math" w:cs="Arial"/>
                        <w:i/>
                      </w:rPr>
                    </m:ctrlPr>
                  </m:sSubPr>
                  <m:e>
                    <m:r>
                      <m:rPr>
                        <m:nor/>
                      </m:rPr>
                      <w:rPr>
                        <w:rFonts w:cs="Arial"/>
                      </w:rPr>
                      <m:t>k</m:t>
                    </m:r>
                  </m:e>
                  <m:sub>
                    <m:r>
                      <m:rPr>
                        <m:nor/>
                      </m:rPr>
                      <w:rPr>
                        <w:rFonts w:cs="Arial"/>
                      </w:rPr>
                      <m:t>pro</m:t>
                    </m:r>
                  </m:sub>
                </m:sSub>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 xml:space="preserve">X </m:t>
                </m:r>
              </m:oMath>
            </m:oMathPara>
          </w:p>
        </w:tc>
        <w:tc>
          <w:tcPr>
            <w:tcW w:w="804" w:type="dxa"/>
            <w:shd w:val="clear" w:color="auto" w:fill="auto"/>
            <w:vAlign w:val="center"/>
          </w:tcPr>
          <w:p w14:paraId="01878AEE" w14:textId="051A1A17" w:rsidR="00B71CA7" w:rsidRPr="005478A5" w:rsidRDefault="00B71CA7" w:rsidP="00391187">
            <w:pPr>
              <w:pStyle w:val="Lgende"/>
              <w:jc w:val="right"/>
            </w:pPr>
            <w:bookmarkStart w:id="5" w:name="_Ref190262250"/>
            <w:r w:rsidRPr="005478A5">
              <w:t>(</w:t>
            </w:r>
            <w:r w:rsidRPr="005478A5">
              <w:fldChar w:fldCharType="begin"/>
            </w:r>
            <w:r w:rsidRPr="005478A5">
              <w:instrText xml:space="preserve"> SEQ Equation \* ARABIC </w:instrText>
            </w:r>
            <w:r w:rsidRPr="005478A5">
              <w:fldChar w:fldCharType="separate"/>
            </w:r>
            <w:r w:rsidR="00D9739E">
              <w:rPr>
                <w:noProof/>
              </w:rPr>
              <w:t>5</w:t>
            </w:r>
            <w:r w:rsidRPr="005478A5">
              <w:fldChar w:fldCharType="end"/>
            </w:r>
            <w:bookmarkStart w:id="6" w:name="_Ref190262236"/>
            <w:r w:rsidRPr="005478A5">
              <w:t>)</w:t>
            </w:r>
            <w:bookmarkEnd w:id="5"/>
            <w:bookmarkEnd w:id="6"/>
          </w:p>
        </w:tc>
      </w:tr>
      <w:tr w:rsidR="006E5609" w:rsidRPr="005478A5" w14:paraId="3B7E3B37" w14:textId="77777777" w:rsidTr="008B184C">
        <w:tc>
          <w:tcPr>
            <w:tcW w:w="7983" w:type="dxa"/>
            <w:shd w:val="clear" w:color="auto" w:fill="auto"/>
            <w:vAlign w:val="center"/>
          </w:tcPr>
          <w:p w14:paraId="00B350BF" w14:textId="13BF1579" w:rsidR="006E5609" w:rsidRPr="005478A5" w:rsidRDefault="00D55007" w:rsidP="006E5609">
            <w:pPr>
              <w:pStyle w:val="CETEquation"/>
              <w:rPr>
                <w:rFonts w:cs="Arial"/>
                <w:lang w:val="en-US"/>
              </w:rPr>
            </w:pPr>
            <m:oMathPara>
              <m:oMathParaPr>
                <m:jc m:val="left"/>
              </m:oMathParaPr>
              <m:oMath>
                <m:f>
                  <m:fPr>
                    <m:ctrlPr>
                      <w:rPr>
                        <w:rFonts w:ascii="Cambria Math" w:hAnsi="Cambria Math" w:cs="Arial"/>
                        <w:i/>
                        <w:lang w:val="en-US"/>
                      </w:rPr>
                    </m:ctrlPr>
                  </m:fPr>
                  <m:num>
                    <m:r>
                      <m:rPr>
                        <m:nor/>
                      </m:rPr>
                      <w:rPr>
                        <w:rFonts w:cs="Arial"/>
                        <w:lang w:val="en-US"/>
                      </w:rPr>
                      <m:t>dSpo</m:t>
                    </m:r>
                  </m:num>
                  <m:den>
                    <m:r>
                      <m:rPr>
                        <m:nor/>
                      </m:rPr>
                      <w:rPr>
                        <w:rFonts w:cs="Arial"/>
                        <w:lang w:val="en-US"/>
                      </w:rPr>
                      <m:t>dt</m:t>
                    </m:r>
                  </m:den>
                </m:f>
                <m:r>
                  <m:rPr>
                    <m:nor/>
                  </m:rPr>
                  <w:rPr>
                    <w:rFonts w:cs="Arial"/>
                    <w:lang w:val="en-US"/>
                  </w:rPr>
                  <m:t>=</m:t>
                </m:r>
                <m:r>
                  <m:rPr>
                    <m:nor/>
                  </m:rPr>
                  <w:rPr>
                    <w:rFonts w:ascii="Cambria Math" w:cs="Arial"/>
                    <w:lang w:val="en-US"/>
                  </w:rPr>
                  <m:t xml:space="preserve"> </m:t>
                </m:r>
                <m:sSub>
                  <m:sSubPr>
                    <m:ctrlPr>
                      <w:rPr>
                        <w:rFonts w:ascii="Cambria Math" w:hAnsi="Cambria Math" w:cs="Arial"/>
                        <w:i/>
                      </w:rPr>
                    </m:ctrlPr>
                  </m:sSubPr>
                  <m:e>
                    <m:r>
                      <m:rPr>
                        <m:nor/>
                      </m:rPr>
                      <w:rPr>
                        <w:rFonts w:cs="Arial"/>
                      </w:rPr>
                      <m:t>r</m:t>
                    </m:r>
                  </m:e>
                  <m:sub>
                    <m:r>
                      <m:rPr>
                        <m:nor/>
                      </m:rPr>
                      <w:rPr>
                        <w:rFonts w:cs="Arial"/>
                      </w:rPr>
                      <m:t>spo</m:t>
                    </m:r>
                  </m:sub>
                </m:sSub>
                <m:r>
                  <m:rPr>
                    <m:nor/>
                  </m:rPr>
                  <w:rPr>
                    <w:rFonts w:ascii="Cambria Math" w:cs="Arial"/>
                  </w:rPr>
                  <m:t xml:space="preserve"> </m:t>
                </m:r>
                <m:r>
                  <m:rPr>
                    <m:nor/>
                  </m:rPr>
                  <w:rPr>
                    <w:rFonts w:cs="Arial"/>
                  </w:rPr>
                  <m:t>=</m:t>
                </m:r>
                <m:r>
                  <m:rPr>
                    <m:nor/>
                  </m:rPr>
                  <w:rPr>
                    <w:rFonts w:ascii="Cambria Math" w:cs="Arial"/>
                  </w:rPr>
                  <m:t xml:space="preserve"> </m:t>
                </m:r>
                <m:d>
                  <m:dPr>
                    <m:begChr m:val="{"/>
                    <m:endChr m:val=""/>
                    <m:ctrlPr>
                      <w:rPr>
                        <w:rFonts w:ascii="Cambria Math" w:hAnsi="Cambria Math" w:cs="Arial"/>
                        <w:i/>
                        <w:lang w:val="en-US"/>
                      </w:rPr>
                    </m:ctrlPr>
                  </m:dPr>
                  <m:e>
                    <m:eqArr>
                      <m:eqArrPr>
                        <m:ctrlPr>
                          <w:rPr>
                            <w:rFonts w:ascii="Cambria Math" w:hAnsi="Cambria Math" w:cs="Arial"/>
                            <w:i/>
                            <w:lang w:val="en-US"/>
                          </w:rPr>
                        </m:ctrlPr>
                      </m:eqArrPr>
                      <m:e>
                        <m:r>
                          <m:rPr>
                            <m:nor/>
                          </m:rPr>
                          <w:rPr>
                            <w:rFonts w:cs="Arial"/>
                          </w:rPr>
                          <m:t>0,  G/X</m:t>
                        </m:r>
                        <m:r>
                          <m:rPr>
                            <m:nor/>
                          </m:rPr>
                          <w:rPr>
                            <w:rFonts w:ascii="Cambria Math" w:cs="Arial"/>
                          </w:rPr>
                          <m:t xml:space="preserve"> </m:t>
                        </m:r>
                        <m:r>
                          <m:rPr>
                            <m:nor/>
                          </m:rPr>
                          <w:rPr>
                            <w:rFonts w:cs="Arial"/>
                          </w:rPr>
                          <m:t>≥</m:t>
                        </m:r>
                        <m:sSub>
                          <m:sSubPr>
                            <m:ctrlPr>
                              <w:rPr>
                                <w:rFonts w:ascii="Cambria Math" w:hAnsi="Cambria Math" w:cs="Arial"/>
                                <w:i/>
                              </w:rPr>
                            </m:ctrlPr>
                          </m:sSubPr>
                          <m:e>
                            <m:r>
                              <m:rPr>
                                <m:nor/>
                              </m:rPr>
                              <w:rPr>
                                <w:rFonts w:ascii="Cambria Math" w:cs="Arial"/>
                              </w:rPr>
                              <m:t xml:space="preserve"> </m:t>
                            </m:r>
                            <m:r>
                              <m:rPr>
                                <m:nor/>
                              </m:rPr>
                              <w:rPr>
                                <w:rFonts w:cs="Arial"/>
                              </w:rPr>
                              <m:t>φ</m:t>
                            </m:r>
                          </m:e>
                          <m:sub>
                            <m:r>
                              <m:rPr>
                                <m:nor/>
                              </m:rPr>
                              <w:rPr>
                                <w:rFonts w:cs="Arial"/>
                              </w:rPr>
                              <m:t>spo</m:t>
                            </m:r>
                          </m:sub>
                        </m:sSub>
                      </m:e>
                      <m:e>
                        <m:sSub>
                          <m:sSubPr>
                            <m:ctrlPr>
                              <w:rPr>
                                <w:rFonts w:ascii="Cambria Math" w:hAnsi="Cambria Math" w:cs="Arial"/>
                                <w:i/>
                              </w:rPr>
                            </m:ctrlPr>
                          </m:sSubPr>
                          <m:e>
                            <m:r>
                              <m:rPr>
                                <m:nor/>
                              </m:rPr>
                              <w:rPr>
                                <w:rFonts w:cs="Arial"/>
                              </w:rPr>
                              <m:t>k</m:t>
                            </m:r>
                          </m:e>
                          <m:sub>
                            <m:r>
                              <m:rPr>
                                <m:nor/>
                              </m:rPr>
                              <w:rPr>
                                <w:rFonts w:cs="Arial"/>
                              </w:rPr>
                              <m:t>spo</m:t>
                            </m:r>
                          </m:sub>
                        </m:sSub>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X,  G/X</m:t>
                        </m:r>
                        <m:r>
                          <m:rPr>
                            <m:nor/>
                          </m:rPr>
                          <w:rPr>
                            <w:rFonts w:ascii="Cambria Math" w:cs="Arial"/>
                          </w:rPr>
                          <m:t xml:space="preserve"> </m:t>
                        </m:r>
                        <m:r>
                          <m:rPr>
                            <m:nor/>
                          </m:rPr>
                          <w:rPr>
                            <w:rFonts w:cs="Arial"/>
                          </w:rPr>
                          <m:t>&lt;</m:t>
                        </m:r>
                        <m:r>
                          <m:rPr>
                            <m:nor/>
                          </m:rPr>
                          <w:rPr>
                            <w:rFonts w:ascii="Cambria Math" w:cs="Arial"/>
                          </w:rPr>
                          <m:t xml:space="preserve"> </m:t>
                        </m:r>
                        <m:sSub>
                          <m:sSubPr>
                            <m:ctrlPr>
                              <w:rPr>
                                <w:rFonts w:ascii="Cambria Math" w:hAnsi="Cambria Math" w:cs="Arial"/>
                                <w:i/>
                              </w:rPr>
                            </m:ctrlPr>
                          </m:sSubPr>
                          <m:e>
                            <m:r>
                              <m:rPr>
                                <m:nor/>
                              </m:rPr>
                              <w:rPr>
                                <w:rFonts w:cs="Arial"/>
                              </w:rPr>
                              <m:t>φ</m:t>
                            </m:r>
                          </m:e>
                          <m:sub>
                            <m:r>
                              <m:rPr>
                                <m:nor/>
                              </m:rPr>
                              <w:rPr>
                                <w:rFonts w:cs="Arial"/>
                              </w:rPr>
                              <m:t>spo</m:t>
                            </m:r>
                          </m:sub>
                        </m:sSub>
                      </m:e>
                    </m:eqArr>
                  </m:e>
                </m:d>
              </m:oMath>
            </m:oMathPara>
          </w:p>
        </w:tc>
        <w:tc>
          <w:tcPr>
            <w:tcW w:w="804" w:type="dxa"/>
            <w:shd w:val="clear" w:color="auto" w:fill="auto"/>
            <w:vAlign w:val="center"/>
          </w:tcPr>
          <w:p w14:paraId="7A2D6B67" w14:textId="7BCBDEE3" w:rsidR="006E5609" w:rsidRPr="005478A5" w:rsidRDefault="009B24C3" w:rsidP="006E5609">
            <w:pPr>
              <w:pStyle w:val="Lgende"/>
              <w:jc w:val="right"/>
            </w:pPr>
            <w:bookmarkStart w:id="7" w:name="_Ref189904832"/>
            <w:r>
              <w:t xml:space="preserve"> </w:t>
            </w:r>
            <w:r w:rsidR="006E5609" w:rsidRPr="005478A5">
              <w:t>(</w:t>
            </w:r>
            <w:r w:rsidR="006E5609" w:rsidRPr="005478A5">
              <w:fldChar w:fldCharType="begin"/>
            </w:r>
            <w:r w:rsidR="006E5609" w:rsidRPr="005478A5">
              <w:instrText xml:space="preserve"> SEQ Equation \* ARABIC </w:instrText>
            </w:r>
            <w:r w:rsidR="006E5609" w:rsidRPr="005478A5">
              <w:fldChar w:fldCharType="separate"/>
            </w:r>
            <w:r w:rsidR="00D9739E">
              <w:rPr>
                <w:noProof/>
              </w:rPr>
              <w:t>6</w:t>
            </w:r>
            <w:r w:rsidR="006E5609" w:rsidRPr="005478A5">
              <w:fldChar w:fldCharType="end"/>
            </w:r>
            <w:r w:rsidR="006E5609" w:rsidRPr="005478A5">
              <w:t>)</w:t>
            </w:r>
            <w:bookmarkEnd w:id="7"/>
          </w:p>
        </w:tc>
      </w:tr>
    </w:tbl>
    <w:p w14:paraId="3F04513B" w14:textId="3124DD8C" w:rsidR="00FB4062" w:rsidRDefault="004A6EBA" w:rsidP="003F5E34">
      <w:pPr>
        <w:pStyle w:val="CETBodytext"/>
      </w:pPr>
      <w:r>
        <w:lastRenderedPageBreak/>
        <w:t xml:space="preserve">Where X </w:t>
      </w:r>
      <w:r w:rsidR="00726933">
        <w:t>refers to</w:t>
      </w:r>
      <w:r>
        <w:t xml:space="preserve"> </w:t>
      </w:r>
      <w:r w:rsidR="008B184C" w:rsidRPr="005478A5">
        <w:t>biomass</w:t>
      </w:r>
      <w:r>
        <w:t>,</w:t>
      </w:r>
      <w:r w:rsidR="008B184C" w:rsidRPr="005478A5">
        <w:t xml:space="preserve"> </w:t>
      </w:r>
      <w:r>
        <w:t xml:space="preserve">W </w:t>
      </w:r>
      <w:r w:rsidR="00726933">
        <w:t xml:space="preserve">to </w:t>
      </w:r>
      <w:r w:rsidR="00B179EE">
        <w:t>wheat bran</w:t>
      </w:r>
      <w:r w:rsidR="00EE62EA">
        <w:t>,</w:t>
      </w:r>
      <w:r w:rsidR="00EE62EA" w:rsidRPr="00EE62EA">
        <w:t xml:space="preserve"> </w:t>
      </w:r>
      <w:r w:rsidR="00EE62EA">
        <w:t>G to glucose, M to an intermediate compound</w:t>
      </w:r>
      <w:r w:rsidR="00726933">
        <w:t xml:space="preserve">, </w:t>
      </w:r>
      <w:r>
        <w:t xml:space="preserve">P </w:t>
      </w:r>
      <w:r w:rsidR="00726933">
        <w:t>for</w:t>
      </w:r>
      <w:r>
        <w:t xml:space="preserve"> </w:t>
      </w:r>
      <w:r w:rsidR="008B184C" w:rsidRPr="005478A5">
        <w:t>protein</w:t>
      </w:r>
      <w:r w:rsidR="00DC5208">
        <w:t xml:space="preserve">, </w:t>
      </w:r>
      <w:r>
        <w:t>al</w:t>
      </w:r>
      <w:r w:rsidR="00726933">
        <w:t>l</w:t>
      </w:r>
      <w:r>
        <w:t xml:space="preserve"> variable</w:t>
      </w:r>
      <w:r w:rsidR="00726933">
        <w:t>s</w:t>
      </w:r>
      <w:r>
        <w:t xml:space="preserve"> </w:t>
      </w:r>
      <w:r w:rsidR="00DC5208" w:rsidRPr="005478A5">
        <w:t>expressed in g.L</w:t>
      </w:r>
      <w:r w:rsidR="00DC5208" w:rsidRPr="00DC5208">
        <w:rPr>
          <w:vertAlign w:val="superscript"/>
        </w:rPr>
        <w:t>-1</w:t>
      </w:r>
      <w:r w:rsidR="00DC5208">
        <w:t>,</w:t>
      </w:r>
      <w:r w:rsidR="008B184C" w:rsidRPr="005478A5">
        <w:t xml:space="preserve"> and</w:t>
      </w:r>
      <w:r>
        <w:t xml:space="preserve"> Spo</w:t>
      </w:r>
      <w:r w:rsidR="007D0DD7">
        <w:t xml:space="preserve"> for</w:t>
      </w:r>
      <w:r>
        <w:t xml:space="preserve"> the</w:t>
      </w:r>
      <w:r w:rsidR="008B184C" w:rsidRPr="005478A5">
        <w:t xml:space="preserve"> spore </w:t>
      </w:r>
      <w:r w:rsidR="005478A5">
        <w:t>concentration</w:t>
      </w:r>
      <w:r w:rsidR="00DC5208">
        <w:t>, in units of CFUx10</w:t>
      </w:r>
      <w:r w:rsidR="00DC5208" w:rsidRPr="00DC5208">
        <w:rPr>
          <w:vertAlign w:val="superscript"/>
        </w:rPr>
        <w:t>-</w:t>
      </w:r>
      <w:proofErr w:type="gramStart"/>
      <w:r w:rsidR="00DC5208" w:rsidRPr="00DC5208">
        <w:rPr>
          <w:vertAlign w:val="superscript"/>
        </w:rPr>
        <w:t>5</w:t>
      </w:r>
      <w:r w:rsidR="00DC5208">
        <w:t>.</w:t>
      </w:r>
      <w:r w:rsidR="00DC5208" w:rsidRPr="005478A5">
        <w:t>L</w:t>
      </w:r>
      <w:proofErr w:type="gramEnd"/>
      <w:r w:rsidR="00DC5208" w:rsidRPr="00DC5208">
        <w:rPr>
          <w:vertAlign w:val="superscript"/>
        </w:rPr>
        <w:t>-1</w:t>
      </w:r>
      <w:r w:rsidR="00DC5208">
        <w:t>.</w:t>
      </w:r>
      <w:r w:rsidR="008B184C" w:rsidRPr="005478A5">
        <w:t xml:space="preserve"> </w:t>
      </w:r>
    </w:p>
    <w:p w14:paraId="1A3087AC" w14:textId="6DDFDEC3" w:rsidR="003F5E34" w:rsidRPr="005D5ADE" w:rsidRDefault="003F5E34" w:rsidP="005D5ADE">
      <w:pPr>
        <w:rPr>
          <w:lang w:val="en-US"/>
        </w:rPr>
      </w:pPr>
      <w:r w:rsidRPr="005478A5">
        <w:t>The biomass growth rate is represented by µ an</w:t>
      </w:r>
      <w:r w:rsidR="008818FA">
        <w:t xml:space="preserve">d </w:t>
      </w:r>
      <w:proofErr w:type="spellStart"/>
      <w:r w:rsidR="008818FA" w:rsidRPr="005478A5">
        <w:t>k</w:t>
      </w:r>
      <w:r w:rsidR="008818FA" w:rsidRPr="005478A5">
        <w:rPr>
          <w:vertAlign w:val="subscript"/>
        </w:rPr>
        <w:t>d</w:t>
      </w:r>
      <w:proofErr w:type="spellEnd"/>
      <w:r w:rsidRPr="005478A5">
        <w:t xml:space="preserve"> is</w:t>
      </w:r>
      <w:r w:rsidR="008818FA">
        <w:t xml:space="preserve"> the biomass</w:t>
      </w:r>
      <w:r w:rsidRPr="005478A5">
        <w:t xml:space="preserve"> decay constant, both in units of h</w:t>
      </w:r>
      <w:r w:rsidRPr="005478A5">
        <w:rPr>
          <w:vertAlign w:val="superscript"/>
        </w:rPr>
        <w:t>-1</w:t>
      </w:r>
      <w:r w:rsidRPr="005478A5">
        <w:t>.</w:t>
      </w:r>
      <w:r w:rsidR="008818FA">
        <w:t xml:space="preserve"> T</w:t>
      </w:r>
      <w:r w:rsidRPr="005478A5">
        <w:t xml:space="preserve">he Contois expression was </w:t>
      </w:r>
      <w:r w:rsidR="008818FA">
        <w:t>used</w:t>
      </w:r>
      <w:r w:rsidRPr="005478A5">
        <w:t xml:space="preserve"> to calculate the biomass growth rate, as given in Eq. </w:t>
      </w:r>
      <w:r w:rsidRPr="005478A5">
        <w:fldChar w:fldCharType="begin"/>
      </w:r>
      <w:r w:rsidRPr="005478A5">
        <w:instrText xml:space="preserve"> REF _Ref189128588 \h  \* MERGEFORMAT </w:instrText>
      </w:r>
      <w:r w:rsidRPr="005478A5">
        <w:fldChar w:fldCharType="separate"/>
      </w:r>
      <w:r w:rsidR="00356AB4" w:rsidRPr="005478A5">
        <w:t>(</w:t>
      </w:r>
      <w:r w:rsidR="00356AB4">
        <w:rPr>
          <w:noProof/>
        </w:rPr>
        <w:t>7</w:t>
      </w:r>
      <w:r w:rsidR="00356AB4" w:rsidRPr="005478A5">
        <w:t>)</w:t>
      </w:r>
      <w:r w:rsidRPr="005478A5">
        <w:fldChar w:fldCharType="end"/>
      </w:r>
      <w:r w:rsidRPr="005478A5">
        <w:t>.</w:t>
      </w:r>
      <w:r w:rsidR="005D5ADE">
        <w:t xml:space="preserve"> </w:t>
      </w:r>
      <w:r w:rsidR="005D5ADE">
        <w:rPr>
          <w:lang w:val="en-US"/>
        </w:rPr>
        <w:t>T</w:t>
      </w:r>
      <w:r w:rsidR="005D5ADE" w:rsidRPr="005478A5">
        <w:rPr>
          <w:lang w:val="en-US"/>
        </w:rPr>
        <w:t>he constant µ</w:t>
      </w:r>
      <w:r w:rsidR="005D5ADE" w:rsidRPr="005478A5">
        <w:rPr>
          <w:vertAlign w:val="subscript"/>
          <w:lang w:val="en-US"/>
        </w:rPr>
        <w:t>max</w:t>
      </w:r>
      <w:r w:rsidR="005D5ADE" w:rsidRPr="005478A5">
        <w:rPr>
          <w:lang w:val="en-US"/>
        </w:rPr>
        <w:t xml:space="preserve"> is the maximal growth rate</w:t>
      </w:r>
      <w:r w:rsidR="005D5ADE">
        <w:rPr>
          <w:lang w:val="en-US"/>
        </w:rPr>
        <w:t xml:space="preserve"> (h</w:t>
      </w:r>
      <w:r w:rsidR="005D5ADE" w:rsidRPr="008818FA">
        <w:rPr>
          <w:vertAlign w:val="superscript"/>
          <w:lang w:val="en-US"/>
        </w:rPr>
        <w:t>-1</w:t>
      </w:r>
      <w:r w:rsidR="005D5ADE">
        <w:rPr>
          <w:lang w:val="en-US"/>
        </w:rPr>
        <w:t>)</w:t>
      </w:r>
      <w:r w:rsidR="005D5ADE" w:rsidRPr="005478A5">
        <w:rPr>
          <w:lang w:val="en-US"/>
        </w:rPr>
        <w:t xml:space="preserve"> and K</w:t>
      </w:r>
      <w:r w:rsidR="005D5ADE" w:rsidRPr="005478A5">
        <w:rPr>
          <w:vertAlign w:val="subscript"/>
          <w:lang w:val="en-US"/>
        </w:rPr>
        <w:t>C</w:t>
      </w:r>
      <w:r w:rsidR="005D5ADE" w:rsidRPr="005478A5">
        <w:rPr>
          <w:lang w:val="en-US"/>
        </w:rPr>
        <w:t xml:space="preserve"> is the Contois specific constant</w:t>
      </w:r>
      <w:r w:rsidR="005D5ADE">
        <w:rPr>
          <w:lang w:val="en-US"/>
        </w:rPr>
        <w:t xml:space="preserve"> (</w:t>
      </w:r>
      <w:proofErr w:type="gramStart"/>
      <w:r w:rsidR="005D5ADE">
        <w:rPr>
          <w:lang w:val="en-US"/>
        </w:rPr>
        <w:t>gG.gX</w:t>
      </w:r>
      <w:proofErr w:type="gramEnd"/>
      <w:r w:rsidR="005D5ADE" w:rsidRPr="008818FA">
        <w:rPr>
          <w:vertAlign w:val="superscript"/>
          <w:lang w:val="en-US"/>
        </w:rPr>
        <w:t>-1</w:t>
      </w:r>
      <w:r w:rsidR="005D5ADE">
        <w:rPr>
          <w:lang w:val="en-US"/>
        </w:rPr>
        <w:t xml:space="preserve">). </w:t>
      </w:r>
    </w:p>
    <w:tbl>
      <w:tblPr>
        <w:tblW w:w="5000" w:type="pct"/>
        <w:tblLook w:val="04A0" w:firstRow="1" w:lastRow="0" w:firstColumn="1" w:lastColumn="0" w:noHBand="0" w:noVBand="1"/>
      </w:tblPr>
      <w:tblGrid>
        <w:gridCol w:w="7983"/>
        <w:gridCol w:w="804"/>
      </w:tblGrid>
      <w:tr w:rsidR="003F5E34" w:rsidRPr="005478A5" w14:paraId="0AE471C0" w14:textId="77777777" w:rsidTr="00F645BF">
        <w:tc>
          <w:tcPr>
            <w:tcW w:w="7983" w:type="dxa"/>
            <w:shd w:val="clear" w:color="auto" w:fill="auto"/>
            <w:vAlign w:val="center"/>
          </w:tcPr>
          <w:p w14:paraId="52D18C01" w14:textId="01D25811" w:rsidR="003F5E34" w:rsidRPr="005478A5" w:rsidRDefault="003F5E34" w:rsidP="00F645BF">
            <w:pPr>
              <w:pStyle w:val="CETEquation"/>
              <w:rPr>
                <w:rFonts w:cs="Arial"/>
                <w:lang w:val="en-US"/>
              </w:rPr>
            </w:pPr>
            <m:oMathPara>
              <m:oMathParaPr>
                <m:jc m:val="left"/>
              </m:oMathParaPr>
              <m:oMath>
                <m:r>
                  <m:rPr>
                    <m:nor/>
                  </m:rPr>
                  <w:rPr>
                    <w:rFonts w:cs="Arial"/>
                    <w:lang w:val="en-US"/>
                  </w:rPr>
                  <m:t>µ</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f>
                  <m:fPr>
                    <m:ctrlPr>
                      <w:rPr>
                        <w:rFonts w:ascii="Cambria Math" w:hAnsi="Cambria Math" w:cs="Arial"/>
                        <w:i/>
                        <w:lang w:val="en-US"/>
                      </w:rPr>
                    </m:ctrlPr>
                  </m:fPr>
                  <m:num>
                    <m:sSub>
                      <m:sSubPr>
                        <m:ctrlPr>
                          <w:rPr>
                            <w:rFonts w:ascii="Cambria Math" w:hAnsi="Cambria Math" w:cs="Arial"/>
                            <w:i/>
                            <w:lang w:val="en-US"/>
                          </w:rPr>
                        </m:ctrlPr>
                      </m:sSubPr>
                      <m:e>
                        <m:r>
                          <m:rPr>
                            <m:nor/>
                          </m:rPr>
                          <w:rPr>
                            <w:rFonts w:cs="Arial"/>
                            <w:lang w:val="en-US"/>
                          </w:rPr>
                          <m:t>µ</m:t>
                        </m:r>
                      </m:e>
                      <m:sub>
                        <m:r>
                          <m:rPr>
                            <m:nor/>
                          </m:rPr>
                          <w:rPr>
                            <w:rFonts w:cs="Arial"/>
                            <w:lang w:val="en-US"/>
                          </w:rPr>
                          <m:t>max</m:t>
                        </m:r>
                      </m:sub>
                    </m:sSub>
                    <m:r>
                      <m:rPr>
                        <m:nor/>
                      </m:rPr>
                      <w:rPr>
                        <w:rFonts w:cs="Arial"/>
                        <w:lang w:val="en-US"/>
                      </w:rPr>
                      <m:t xml:space="preserve"> ∙ G</m:t>
                    </m:r>
                  </m:num>
                  <m:den>
                    <m:d>
                      <m:dPr>
                        <m:ctrlPr>
                          <w:rPr>
                            <w:rFonts w:ascii="Cambria Math" w:hAnsi="Cambria Math" w:cs="Arial"/>
                            <w:i/>
                            <w:lang w:val="en-US"/>
                          </w:rPr>
                        </m:ctrlPr>
                      </m:dPr>
                      <m:e>
                        <m:sSub>
                          <m:sSubPr>
                            <m:ctrlPr>
                              <w:rPr>
                                <w:rFonts w:ascii="Cambria Math" w:hAnsi="Cambria Math" w:cs="Arial"/>
                                <w:i/>
                                <w:lang w:val="en-US"/>
                              </w:rPr>
                            </m:ctrlPr>
                          </m:sSubPr>
                          <m:e>
                            <m:r>
                              <m:rPr>
                                <m:nor/>
                              </m:rPr>
                              <w:rPr>
                                <w:rFonts w:cs="Arial"/>
                                <w:lang w:val="en-US"/>
                              </w:rPr>
                              <m:t>K</m:t>
                            </m:r>
                          </m:e>
                          <m:sub>
                            <m:r>
                              <m:rPr>
                                <m:nor/>
                              </m:rPr>
                              <w:rPr>
                                <w:rFonts w:cs="Arial"/>
                                <w:lang w:val="en-US"/>
                              </w:rPr>
                              <m:t>c</m:t>
                            </m:r>
                          </m:sub>
                        </m:sSub>
                        <m:r>
                          <m:rPr>
                            <m:nor/>
                          </m:rPr>
                          <w:rPr>
                            <w:rFonts w:cs="Arial"/>
                            <w:lang w:val="en-US"/>
                          </w:rPr>
                          <m:t xml:space="preserve"> ∙  X</m:t>
                        </m:r>
                      </m:e>
                    </m:d>
                    <m:r>
                      <m:rPr>
                        <m:nor/>
                      </m:rPr>
                      <w:rPr>
                        <w:rFonts w:cs="Arial"/>
                        <w:lang w:val="en-US"/>
                      </w:rPr>
                      <m:t xml:space="preserve"> + G</m:t>
                    </m:r>
                  </m:den>
                </m:f>
              </m:oMath>
            </m:oMathPara>
          </w:p>
        </w:tc>
        <w:tc>
          <w:tcPr>
            <w:tcW w:w="804" w:type="dxa"/>
            <w:shd w:val="clear" w:color="auto" w:fill="auto"/>
            <w:vAlign w:val="center"/>
          </w:tcPr>
          <w:p w14:paraId="4BF4D6E2" w14:textId="1F68CADA" w:rsidR="003F5E34" w:rsidRPr="005478A5" w:rsidRDefault="003F5E34" w:rsidP="00F645BF">
            <w:pPr>
              <w:pStyle w:val="Lgende"/>
              <w:jc w:val="right"/>
            </w:pPr>
            <w:bookmarkStart w:id="8" w:name="_Ref189128588"/>
            <w:r w:rsidRPr="005478A5">
              <w:t>(</w:t>
            </w:r>
            <w:r w:rsidRPr="005478A5">
              <w:fldChar w:fldCharType="begin"/>
            </w:r>
            <w:r w:rsidRPr="005478A5">
              <w:instrText xml:space="preserve"> SEQ Equation \* ARABIC </w:instrText>
            </w:r>
            <w:r w:rsidRPr="005478A5">
              <w:fldChar w:fldCharType="separate"/>
            </w:r>
            <w:r w:rsidR="002C25C5">
              <w:rPr>
                <w:noProof/>
              </w:rPr>
              <w:t>7</w:t>
            </w:r>
            <w:r w:rsidRPr="005478A5">
              <w:fldChar w:fldCharType="end"/>
            </w:r>
            <w:r w:rsidRPr="005478A5">
              <w:t>)</w:t>
            </w:r>
            <w:bookmarkEnd w:id="8"/>
          </w:p>
        </w:tc>
      </w:tr>
    </w:tbl>
    <w:p w14:paraId="17B1A6F1" w14:textId="687C7123" w:rsidR="00A330A6" w:rsidRDefault="005F0A39" w:rsidP="00095D30">
      <w:pPr>
        <w:pStyle w:val="CETBodytext"/>
      </w:pPr>
      <w:r>
        <w:t>T</w:t>
      </w:r>
      <w:r w:rsidR="00095D30">
        <w:t>he model</w:t>
      </w:r>
      <w:r w:rsidR="00D55007">
        <w:t xml:space="preserve"> proposed in </w:t>
      </w:r>
      <w:r w:rsidR="00D55007">
        <w:fldChar w:fldCharType="begin"/>
      </w:r>
      <w:r w:rsidR="00D55007">
        <w:instrText xml:space="preserve"> ADDIN ZOTERO_ITEM CSL_CITATION {"citationID":"2AzzFJAx","properties":{"formattedCitation":"(Monroy et al., 2021)","plainCitation":"(Monroy et al., 2021)","dontUpdate":true,"noteIndex":0},"citationItems":[{"id":"dUQzBhaE/Jl9BmMAn","uris":["http://zotero.org/groups/5181348/items/T2HTRJ38"],"itemData":{"id":233,"type":"article-journal","abstract":"Bacillus thuringiensis is a microorganism used for the production of biopesticides worldwide. In the present paper, different kinetic models were analyzed to study and compare three different strains of Bt ssp kurstaki (LIP, BLB1, and HD1). Bioperformances (vegetative cell, spore, substrate, and protein) and successive culture phases (oxidative growth, limitation and sporulation, and protein release) were depicted with an overarching aim to estimate total protein productivity, yield, and titer. In the end, two models were calibrated using experimental dataset (11 batches culture in 3 L bioreactor with semisynthetic medium), subsequently validated, and statistically compared. Both models satisfactorily followed the dynamics of the experimental data. Finally, a dynamic model was selected following the Akaike information criterion (AIC).","container-title":"Processes","DOI":"10.3390/pr9122147","issue":"12","language":"en","page":"2147","source":"hal.inrae.fr","title":"Dynamic Model for Biomass and Proteins Production by Three Bacillus Thuringiensis ssp Kurstaki Strains","volume":"9","author":[{"family":"Monroy","given":"Tatiana Segura"},{"family":"Abdelmalek","given":"Nouha"},{"family":"Rouis","given":"Souad"},{"family":"Kallassy","given":"Mireille"},{"family":"Saad","given":"Jihane"},{"family":"Abboud","given":"Joanna"},{"family":"Cescut","given":"Julien"},{"family":"Bensaid","given":"Nadia"},{"family":"Fillaudeau","given":"Luc"},{"family":"Aceves-Lara","given":"César Arturo"}],"issued":{"date-parts":[["2021"]]}}}],"schema":"https://github.com/citation-style-language/schema/raw/master/csl-citation.json"} </w:instrText>
      </w:r>
      <w:r w:rsidR="00D55007">
        <w:fldChar w:fldCharType="separate"/>
      </w:r>
      <w:r w:rsidR="00D55007" w:rsidRPr="006E37C2">
        <w:rPr>
          <w:rFonts w:cs="Arial"/>
        </w:rPr>
        <w:t xml:space="preserve">Monroy </w:t>
      </w:r>
      <w:r w:rsidR="00D55007" w:rsidRPr="006E37C2">
        <w:rPr>
          <w:rFonts w:cs="Arial"/>
          <w:i/>
        </w:rPr>
        <w:t>et al.</w:t>
      </w:r>
      <w:r w:rsidR="00D55007" w:rsidRPr="006E37C2">
        <w:rPr>
          <w:rFonts w:cs="Arial"/>
        </w:rPr>
        <w:t xml:space="preserve"> </w:t>
      </w:r>
      <w:r w:rsidR="00D55007">
        <w:rPr>
          <w:rFonts w:cs="Arial"/>
        </w:rPr>
        <w:t>(</w:t>
      </w:r>
      <w:r w:rsidR="00D55007" w:rsidRPr="006E37C2">
        <w:rPr>
          <w:rFonts w:cs="Arial"/>
        </w:rPr>
        <w:t>2021</w:t>
      </w:r>
      <w:r w:rsidR="00D55007">
        <w:fldChar w:fldCharType="end"/>
      </w:r>
      <w:r w:rsidR="00D55007">
        <w:t>)</w:t>
      </w:r>
      <w:r w:rsidR="00095D30">
        <w:t xml:space="preserve"> was extended </w:t>
      </w:r>
      <w:r w:rsidR="00F72643">
        <w:t>to consider</w:t>
      </w:r>
      <w:r w:rsidR="00095D30">
        <w:t xml:space="preserve"> wheat bran (W)</w:t>
      </w:r>
      <w:r w:rsidR="00803A19">
        <w:t xml:space="preserve"> as main substrate.</w:t>
      </w:r>
      <w:r w:rsidR="00282D5C">
        <w:t xml:space="preserve"> The hydrolysis of W is a complex reaction that considers </w:t>
      </w:r>
      <w:r w:rsidR="00D55007">
        <w:t xml:space="preserve">an </w:t>
      </w:r>
      <w:r w:rsidR="00282D5C">
        <w:t>intermediate compound</w:t>
      </w:r>
      <w:r w:rsidR="00D55007">
        <w:t xml:space="preserve"> (M) that hydrolyzes into glucose</w:t>
      </w:r>
      <w:r w:rsidR="008A16CE">
        <w:t xml:space="preserve"> </w:t>
      </w:r>
      <w:r w:rsidR="00774821">
        <w:fldChar w:fldCharType="begin"/>
      </w:r>
      <w:r w:rsidR="00774821">
        <w:instrText xml:space="preserve"> ADDIN ZOTERO_ITEM CSL_CITATION {"citationID":"QNSLR1Zb","properties":{"formattedCitation":"(Bednarska, 2015)","plainCitation":"(Bednarska, 2015)","noteIndex":0},"citationItems":[{"id":273,"uris":["http://zotero.org/users/9008504/items/ZM4W7V8L"],"itemData":{"id":273,"type":"book","event-place":"Wageningen","ISBN":"978-94-6257-308-6","language":"eng","note":"OCLC: 910608476","publisher":"Wageningen University","publisher-place":"Wageningen","source":"Open WorldCat","title":"Kinetic modelling of enzymatic starch hydrolysis","author":[{"family":"Bednarska","given":"K. A."}],"issued":{"date-parts":[["2015"]]}}}],"schema":"https://github.com/citation-style-language/schema/raw/master/csl-citation.json"} </w:instrText>
      </w:r>
      <w:r w:rsidR="00774821">
        <w:fldChar w:fldCharType="separate"/>
      </w:r>
      <w:r w:rsidR="00774821" w:rsidRPr="00774821">
        <w:rPr>
          <w:rFonts w:cs="Arial"/>
        </w:rPr>
        <w:t>(</w:t>
      </w:r>
      <w:proofErr w:type="spellStart"/>
      <w:r w:rsidR="00774821" w:rsidRPr="00774821">
        <w:rPr>
          <w:rFonts w:cs="Arial"/>
        </w:rPr>
        <w:t>Bednarska</w:t>
      </w:r>
      <w:proofErr w:type="spellEnd"/>
      <w:r w:rsidR="00774821" w:rsidRPr="00774821">
        <w:rPr>
          <w:rFonts w:cs="Arial"/>
        </w:rPr>
        <w:t>, 2015)</w:t>
      </w:r>
      <w:r w:rsidR="00774821">
        <w:fldChar w:fldCharType="end"/>
      </w:r>
      <w:r w:rsidR="00D55007">
        <w:t xml:space="preserve"> as:</w:t>
      </w:r>
    </w:p>
    <w:tbl>
      <w:tblPr>
        <w:tblW w:w="5000" w:type="pct"/>
        <w:tblLook w:val="04A0" w:firstRow="1" w:lastRow="0" w:firstColumn="1" w:lastColumn="0" w:noHBand="0" w:noVBand="1"/>
      </w:tblPr>
      <w:tblGrid>
        <w:gridCol w:w="7983"/>
        <w:gridCol w:w="804"/>
      </w:tblGrid>
      <w:tr w:rsidR="00A330A6" w:rsidRPr="005478A5" w14:paraId="591B65D6" w14:textId="77777777" w:rsidTr="00D55007">
        <w:tc>
          <w:tcPr>
            <w:tcW w:w="7983" w:type="dxa"/>
            <w:shd w:val="clear" w:color="auto" w:fill="auto"/>
            <w:vAlign w:val="center"/>
          </w:tcPr>
          <w:p w14:paraId="155E1B48" w14:textId="77777777" w:rsidR="00A330A6" w:rsidRPr="00A57C88" w:rsidRDefault="00A330A6" w:rsidP="00D55007">
            <w:pPr>
              <w:pStyle w:val="CETBodytext"/>
              <w:rPr>
                <w:rFonts w:cs="Arial"/>
              </w:rPr>
            </w:pPr>
            <m:oMathPara>
              <m:oMathParaPr>
                <m:jc m:val="left"/>
              </m:oMathParaPr>
              <m:oMath>
                <m:r>
                  <m:rPr>
                    <m:nor/>
                  </m:rPr>
                  <w:rPr>
                    <w:rFonts w:cs="Arial"/>
                  </w:rPr>
                  <m:t>W</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M</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oMath>
            </m:oMathPara>
          </w:p>
        </w:tc>
        <w:tc>
          <w:tcPr>
            <w:tcW w:w="804" w:type="dxa"/>
            <w:shd w:val="clear" w:color="auto" w:fill="auto"/>
            <w:vAlign w:val="center"/>
          </w:tcPr>
          <w:p w14:paraId="564967AE" w14:textId="77777777" w:rsidR="00A330A6" w:rsidRPr="005478A5" w:rsidRDefault="00A330A6" w:rsidP="00D55007">
            <w:pPr>
              <w:pStyle w:val="Lgende"/>
              <w:jc w:val="right"/>
            </w:pPr>
            <w:bookmarkStart w:id="9" w:name="_Ref203385206"/>
            <w:r w:rsidRPr="005478A5">
              <w:t>(</w:t>
            </w:r>
            <w:r w:rsidRPr="005478A5">
              <w:fldChar w:fldCharType="begin"/>
            </w:r>
            <w:r w:rsidRPr="005478A5">
              <w:instrText xml:space="preserve"> SEQ Equation \* ARABIC </w:instrText>
            </w:r>
            <w:r w:rsidRPr="005478A5">
              <w:fldChar w:fldCharType="separate"/>
            </w:r>
            <w:r>
              <w:rPr>
                <w:noProof/>
              </w:rPr>
              <w:t>8</w:t>
            </w:r>
            <w:r w:rsidRPr="005478A5">
              <w:fldChar w:fldCharType="end"/>
            </w:r>
            <w:r w:rsidRPr="005478A5">
              <w:t>)</w:t>
            </w:r>
            <w:bookmarkEnd w:id="9"/>
          </w:p>
        </w:tc>
      </w:tr>
    </w:tbl>
    <w:p w14:paraId="392C7AE2" w14:textId="71AB757A" w:rsidR="00095D30" w:rsidRPr="005478A5" w:rsidRDefault="00DB031D" w:rsidP="00095D30">
      <w:pPr>
        <w:pStyle w:val="CETBodytext"/>
      </w:pPr>
      <w:r>
        <w:t>To consider the influence of these compounds</w:t>
      </w:r>
      <w:r w:rsidR="000C7885">
        <w:t xml:space="preserve"> on </w:t>
      </w:r>
      <w:r w:rsidR="00BD3C91">
        <w:t>glucose</w:t>
      </w:r>
      <w:r w:rsidR="000C7885">
        <w:t xml:space="preserve"> production, a mass balance for species M is added to </w:t>
      </w:r>
      <w:r w:rsidR="00D55007">
        <w:t>dynamic model</w:t>
      </w:r>
      <w:r w:rsidR="005D5ADE">
        <w:t xml:space="preserve"> in </w:t>
      </w:r>
      <w:r w:rsidR="00CB095A">
        <w:t>eq.</w:t>
      </w:r>
      <w:r w:rsidR="00CB095A">
        <w:fldChar w:fldCharType="begin"/>
      </w:r>
      <w:r w:rsidR="00CB095A">
        <w:instrText xml:space="preserve"> REF _Ref203392051 \h </w:instrText>
      </w:r>
      <w:r w:rsidR="00CB095A">
        <w:fldChar w:fldCharType="separate"/>
      </w:r>
      <w:r w:rsidR="00CB095A" w:rsidRPr="005478A5">
        <w:t>(</w:t>
      </w:r>
      <w:r w:rsidR="00CB095A">
        <w:rPr>
          <w:noProof/>
        </w:rPr>
        <w:t>3</w:t>
      </w:r>
      <w:r w:rsidR="00CB095A" w:rsidRPr="005478A5">
        <w:t>)</w:t>
      </w:r>
      <w:r w:rsidR="00CB095A">
        <w:fldChar w:fldCharType="end"/>
      </w:r>
      <w:r w:rsidR="00115858">
        <w:t>. In this equation,</w:t>
      </w:r>
      <w:r w:rsidR="003D06A5">
        <w:t xml:space="preserve"> parameter Y</w:t>
      </w:r>
      <w:r w:rsidR="003D06A5" w:rsidRPr="00115858">
        <w:rPr>
          <w:vertAlign w:val="subscript"/>
        </w:rPr>
        <w:t>WM</w:t>
      </w:r>
      <w:r w:rsidR="003D06A5">
        <w:t xml:space="preserve"> describes the yield of production of M from W hydrolysis. </w:t>
      </w:r>
      <w:r w:rsidR="00543547">
        <w:t xml:space="preserve">The kinetics to describe </w:t>
      </w:r>
      <w:r w:rsidR="00F75C2B">
        <w:t xml:space="preserve">the </w:t>
      </w:r>
      <w:r w:rsidR="00F05D26">
        <w:t xml:space="preserve">specific </w:t>
      </w:r>
      <w:r w:rsidR="00543547">
        <w:t xml:space="preserve">reaction </w:t>
      </w:r>
      <w:r w:rsidR="00F05D26">
        <w:t xml:space="preserve">rates are described by  </w:t>
      </w:r>
      <w:proofErr w:type="spellStart"/>
      <w:r w:rsidR="00F75C2B" w:rsidRPr="005478A5">
        <w:t>q</w:t>
      </w:r>
      <w:r w:rsidR="00F75C2B" w:rsidRPr="005478A5">
        <w:rPr>
          <w:vertAlign w:val="subscript"/>
        </w:rPr>
        <w:t>W</w:t>
      </w:r>
      <w:proofErr w:type="spellEnd"/>
      <w:r w:rsidR="00F75C2B" w:rsidRPr="005478A5">
        <w:t xml:space="preserve"> </w:t>
      </w:r>
      <w:r w:rsidR="00F75C2B">
        <w:t>(</w:t>
      </w:r>
      <w:r w:rsidR="00F75C2B">
        <w:t>gW.gX</w:t>
      </w:r>
      <w:r w:rsidR="00F75C2B" w:rsidRPr="004E05CF">
        <w:rPr>
          <w:vertAlign w:val="superscript"/>
        </w:rPr>
        <w:t>-1</w:t>
      </w:r>
      <w:r w:rsidR="00F75C2B">
        <w:t>.h</w:t>
      </w:r>
      <w:r w:rsidR="00F75C2B" w:rsidRPr="004E05CF">
        <w:rPr>
          <w:vertAlign w:val="superscript"/>
        </w:rPr>
        <w:t>-1</w:t>
      </w:r>
      <w:r w:rsidR="00F75C2B">
        <w:t>) as in e</w:t>
      </w:r>
      <w:r w:rsidR="00543547">
        <w:t>q.</w:t>
      </w:r>
      <w:r w:rsidR="00C57E8C">
        <w:fldChar w:fldCharType="begin"/>
      </w:r>
      <w:r w:rsidR="00C57E8C">
        <w:instrText xml:space="preserve"> REF _Ref190337880 \h </w:instrText>
      </w:r>
      <w:r w:rsidR="00C57E8C">
        <w:fldChar w:fldCharType="separate"/>
      </w:r>
      <w:r w:rsidR="00C57E8C" w:rsidRPr="005478A5">
        <w:t>(</w:t>
      </w:r>
      <w:r w:rsidR="00C57E8C">
        <w:rPr>
          <w:noProof/>
        </w:rPr>
        <w:t>9</w:t>
      </w:r>
      <w:r w:rsidR="00C57E8C" w:rsidRPr="005478A5">
        <w:t>)</w:t>
      </w:r>
      <w:r w:rsidR="00C57E8C">
        <w:fldChar w:fldCharType="end"/>
      </w:r>
      <w:r w:rsidR="00F05D26">
        <w:t xml:space="preserve"> for W to M</w:t>
      </w:r>
      <w:r w:rsidR="00751A29">
        <w:t>, wh</w:t>
      </w:r>
      <w:r w:rsidR="00F75C2B">
        <w:t xml:space="preserve">ile the </w:t>
      </w:r>
      <w:r w:rsidR="00F05D26">
        <w:t xml:space="preserve">specific </w:t>
      </w:r>
      <w:r w:rsidR="00F75C2B">
        <w:t xml:space="preserve">reaction </w:t>
      </w:r>
      <w:r w:rsidR="00F05D26">
        <w:t xml:space="preserve">rate </w:t>
      </w:r>
      <w:r w:rsidR="00F75C2B">
        <w:t xml:space="preserve">from </w:t>
      </w:r>
      <w:r w:rsidR="00F75C2B">
        <w:t>M</w:t>
      </w:r>
      <w:r w:rsidR="00F75C2B">
        <w:t xml:space="preserve"> to </w:t>
      </w:r>
      <w:r w:rsidR="00F75C2B">
        <w:t>G</w:t>
      </w:r>
      <w:r w:rsidR="00F75C2B">
        <w:t xml:space="preserve"> </w:t>
      </w:r>
      <w:r w:rsidR="00F75C2B">
        <w:t xml:space="preserve">is represented by </w:t>
      </w:r>
      <w:proofErr w:type="spellStart"/>
      <w:r w:rsidR="00F75C2B" w:rsidRPr="005478A5">
        <w:t>q</w:t>
      </w:r>
      <w:r w:rsidR="00F75C2B">
        <w:rPr>
          <w:vertAlign w:val="subscript"/>
        </w:rPr>
        <w:t>M</w:t>
      </w:r>
      <w:proofErr w:type="spellEnd"/>
      <w:r w:rsidR="00F75C2B" w:rsidRPr="005478A5">
        <w:t xml:space="preserve"> </w:t>
      </w:r>
      <w:r w:rsidR="00F75C2B">
        <w:t>(</w:t>
      </w:r>
      <w:r w:rsidR="00F75C2B">
        <w:t>gM.gX</w:t>
      </w:r>
      <w:r w:rsidR="00F75C2B" w:rsidRPr="004E05CF">
        <w:rPr>
          <w:vertAlign w:val="superscript"/>
        </w:rPr>
        <w:t>-1</w:t>
      </w:r>
      <w:r w:rsidR="00F75C2B">
        <w:t>.h</w:t>
      </w:r>
      <w:r w:rsidR="00F75C2B" w:rsidRPr="004E05CF">
        <w:rPr>
          <w:vertAlign w:val="superscript"/>
        </w:rPr>
        <w:t>-</w:t>
      </w:r>
      <w:r w:rsidR="00F75C2B">
        <w:rPr>
          <w:vertAlign w:val="superscript"/>
        </w:rPr>
        <w:t>1</w:t>
      </w:r>
      <w:r w:rsidR="00F75C2B">
        <w:t xml:space="preserve">) as in </w:t>
      </w:r>
      <w:r w:rsidR="00751A29">
        <w:t>eq.</w:t>
      </w:r>
      <w:r w:rsidR="00751A29">
        <w:fldChar w:fldCharType="begin"/>
      </w:r>
      <w:r w:rsidR="00751A29">
        <w:instrText xml:space="preserve"> REF _Ref203390596 \h </w:instrText>
      </w:r>
      <w:r w:rsidR="00751A29">
        <w:fldChar w:fldCharType="separate"/>
      </w:r>
      <w:r w:rsidR="00751A29" w:rsidRPr="005478A5">
        <w:t>(</w:t>
      </w:r>
      <w:r w:rsidR="00751A29">
        <w:rPr>
          <w:noProof/>
        </w:rPr>
        <w:t>10</w:t>
      </w:r>
      <w:r w:rsidR="00751A29" w:rsidRPr="005478A5">
        <w:t>)</w:t>
      </w:r>
      <w:r w:rsidR="00751A29">
        <w:fldChar w:fldCharType="end"/>
      </w:r>
      <w:r w:rsidR="007352B2">
        <w:t xml:space="preserve">, </w:t>
      </w:r>
    </w:p>
    <w:tbl>
      <w:tblPr>
        <w:tblW w:w="5000" w:type="pct"/>
        <w:tblLook w:val="04A0" w:firstRow="1" w:lastRow="0" w:firstColumn="1" w:lastColumn="0" w:noHBand="0" w:noVBand="1"/>
      </w:tblPr>
      <w:tblGrid>
        <w:gridCol w:w="7983"/>
        <w:gridCol w:w="804"/>
      </w:tblGrid>
      <w:tr w:rsidR="00095D30" w:rsidRPr="005478A5" w14:paraId="1C0CDF61" w14:textId="77777777" w:rsidTr="00391187">
        <w:tc>
          <w:tcPr>
            <w:tcW w:w="7983" w:type="dxa"/>
            <w:shd w:val="clear" w:color="auto" w:fill="auto"/>
            <w:vAlign w:val="center"/>
          </w:tcPr>
          <w:p w14:paraId="7A7307B1" w14:textId="41A8FE0C" w:rsidR="00095D30" w:rsidRPr="0086532F" w:rsidRDefault="00D55007" w:rsidP="00391187">
            <w:pPr>
              <w:pStyle w:val="CETEquation"/>
              <w:rPr>
                <w:rFonts w:cs="Arial"/>
                <w:lang w:val="en-US"/>
              </w:rPr>
            </w:pPr>
            <m:oMathPara>
              <m:oMathParaPr>
                <m:jc m:val="left"/>
              </m:oMathParaPr>
              <m:oMath>
                <m:sSub>
                  <m:sSubPr>
                    <m:ctrlPr>
                      <w:rPr>
                        <w:rFonts w:ascii="Cambria Math" w:hAnsi="Cambria Math" w:cs="Arial"/>
                        <w:i/>
                        <w:lang w:val="en-US"/>
                      </w:rPr>
                    </m:ctrlPr>
                  </m:sSubPr>
                  <m:e>
                    <m:r>
                      <m:rPr>
                        <m:nor/>
                      </m:rPr>
                      <w:rPr>
                        <w:rFonts w:cs="Arial"/>
                        <w:lang w:val="en-US"/>
                      </w:rPr>
                      <m:t>q</m:t>
                    </m:r>
                  </m:e>
                  <m:sub>
                    <m:r>
                      <m:rPr>
                        <m:nor/>
                      </m:rPr>
                      <w:rPr>
                        <w:rFonts w:cs="Arial"/>
                        <w:lang w:val="en-US"/>
                      </w:rPr>
                      <m:t>W</m:t>
                    </m:r>
                  </m:sub>
                </m:sSub>
                <m:r>
                  <m:rPr>
                    <m:nor/>
                  </m:rPr>
                  <w:rPr>
                    <w:rFonts w:cs="Arial"/>
                    <w:lang w:val="en-US"/>
                  </w:rPr>
                  <m:t xml:space="preserve"> = </m:t>
                </m:r>
                <m:f>
                  <m:fPr>
                    <m:ctrlPr>
                      <w:rPr>
                        <w:rFonts w:ascii="Cambria Math" w:hAnsi="Cambria Math" w:cs="Arial"/>
                        <w:i/>
                        <w:lang w:val="en-US"/>
                      </w:rPr>
                    </m:ctrlPr>
                  </m:fPr>
                  <m:num>
                    <m:sSub>
                      <m:sSubPr>
                        <m:ctrlPr>
                          <w:rPr>
                            <w:rFonts w:ascii="Cambria Math" w:hAnsi="Cambria Math" w:cs="Arial"/>
                            <w:i/>
                            <w:lang w:val="en-US"/>
                          </w:rPr>
                        </m:ctrlPr>
                      </m:sSubPr>
                      <m:e>
                        <m:r>
                          <m:rPr>
                            <m:nor/>
                          </m:rPr>
                          <w:rPr>
                            <w:rFonts w:cs="Arial"/>
                            <w:lang w:val="en-US"/>
                          </w:rPr>
                          <m:t>k</m:t>
                        </m:r>
                      </m:e>
                      <m:sub>
                        <m:r>
                          <m:rPr>
                            <m:nor/>
                          </m:rPr>
                          <w:rPr>
                            <w:rFonts w:cs="Arial"/>
                            <w:lang w:val="en-US"/>
                          </w:rPr>
                          <m:t>1</m:t>
                        </m:r>
                        <m:r>
                          <m:rPr>
                            <m:nor/>
                          </m:rPr>
                          <w:rPr>
                            <w:rFonts w:ascii="Cambria Math" w:cs="Arial"/>
                            <w:lang w:val="en-US"/>
                          </w:rPr>
                          <m:t xml:space="preserve"> </m:t>
                        </m:r>
                      </m:sub>
                    </m:sSub>
                    <m:r>
                      <m:rPr>
                        <m:nor/>
                      </m:rPr>
                      <w:rPr>
                        <w:rFonts w:cs="Arial"/>
                        <w:lang w:val="en-US"/>
                      </w:rPr>
                      <m:t>∙</m:t>
                    </m:r>
                    <m:r>
                      <m:rPr>
                        <m:nor/>
                      </m:rPr>
                      <w:rPr>
                        <w:rFonts w:ascii="Cambria Math" w:cs="Arial"/>
                        <w:lang w:val="en-US"/>
                      </w:rPr>
                      <m:t xml:space="preserve"> </m:t>
                    </m:r>
                    <m:r>
                      <m:rPr>
                        <m:nor/>
                      </m:rPr>
                      <w:rPr>
                        <w:rFonts w:cs="Arial"/>
                        <w:lang w:val="en-US"/>
                      </w:rPr>
                      <m:t>W</m:t>
                    </m:r>
                  </m:num>
                  <m:den>
                    <m:sSub>
                      <m:sSubPr>
                        <m:ctrlPr>
                          <w:rPr>
                            <w:rFonts w:ascii="Cambria Math" w:hAnsi="Cambria Math" w:cs="Arial"/>
                            <w:i/>
                            <w:lang w:val="en-US"/>
                          </w:rPr>
                        </m:ctrlPr>
                      </m:sSubPr>
                      <m:e>
                        <m:r>
                          <m:rPr>
                            <m:nor/>
                          </m:rPr>
                          <w:rPr>
                            <w:rFonts w:cs="Arial"/>
                            <w:lang w:val="en-US"/>
                          </w:rPr>
                          <m:t>k</m:t>
                        </m:r>
                      </m:e>
                      <m:sub>
                        <m:r>
                          <m:rPr>
                            <m:nor/>
                          </m:rPr>
                          <w:rPr>
                            <w:rFonts w:cs="Arial"/>
                            <w:lang w:val="en-US"/>
                          </w:rPr>
                          <m:t>2</m:t>
                        </m:r>
                      </m:sub>
                    </m:sSub>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X + W</m:t>
                    </m:r>
                  </m:den>
                </m:f>
              </m:oMath>
            </m:oMathPara>
          </w:p>
        </w:tc>
        <w:tc>
          <w:tcPr>
            <w:tcW w:w="804" w:type="dxa"/>
            <w:shd w:val="clear" w:color="auto" w:fill="auto"/>
            <w:vAlign w:val="center"/>
          </w:tcPr>
          <w:p w14:paraId="29FAF81B" w14:textId="1B432A07" w:rsidR="00095D30" w:rsidRPr="005478A5" w:rsidRDefault="00095D30" w:rsidP="00391187">
            <w:pPr>
              <w:pStyle w:val="Lgende"/>
              <w:jc w:val="right"/>
            </w:pPr>
            <w:bookmarkStart w:id="10" w:name="_Ref190337880"/>
            <w:r w:rsidRPr="005478A5">
              <w:t>(</w:t>
            </w:r>
            <w:r w:rsidRPr="005478A5">
              <w:fldChar w:fldCharType="begin"/>
            </w:r>
            <w:r w:rsidRPr="005478A5">
              <w:instrText xml:space="preserve"> SEQ Equation \* ARABIC </w:instrText>
            </w:r>
            <w:r w:rsidRPr="005478A5">
              <w:fldChar w:fldCharType="separate"/>
            </w:r>
            <w:r w:rsidR="009B24C3">
              <w:rPr>
                <w:noProof/>
              </w:rPr>
              <w:t>9</w:t>
            </w:r>
            <w:r w:rsidRPr="005478A5">
              <w:fldChar w:fldCharType="end"/>
            </w:r>
            <w:r w:rsidRPr="005478A5">
              <w:t>)</w:t>
            </w:r>
            <w:bookmarkEnd w:id="10"/>
          </w:p>
        </w:tc>
      </w:tr>
      <w:tr w:rsidR="0020507C" w:rsidRPr="005478A5" w14:paraId="0CAF763A" w14:textId="77777777" w:rsidTr="00391187">
        <w:tc>
          <w:tcPr>
            <w:tcW w:w="7983" w:type="dxa"/>
            <w:shd w:val="clear" w:color="auto" w:fill="auto"/>
            <w:vAlign w:val="center"/>
          </w:tcPr>
          <w:p w14:paraId="26833973" w14:textId="45946262" w:rsidR="0020507C" w:rsidRPr="0020507C" w:rsidRDefault="00D55007" w:rsidP="0020507C">
            <w:pPr>
              <w:pStyle w:val="CETEquation"/>
              <w:rPr>
                <w:lang w:val="en-US"/>
              </w:rPr>
            </w:pPr>
            <m:oMathPara>
              <m:oMathParaPr>
                <m:jc m:val="left"/>
              </m:oMathParaPr>
              <m:oMath>
                <m:sSub>
                  <m:sSubPr>
                    <m:ctrlPr>
                      <w:rPr>
                        <w:rFonts w:ascii="Cambria Math" w:hAnsi="Cambria Math" w:cs="Arial"/>
                        <w:i/>
                        <w:lang w:val="en-US"/>
                      </w:rPr>
                    </m:ctrlPr>
                  </m:sSubPr>
                  <m:e>
                    <m:r>
                      <m:rPr>
                        <m:nor/>
                      </m:rPr>
                      <w:rPr>
                        <w:rFonts w:cs="Arial"/>
                        <w:lang w:val="en-US"/>
                      </w:rPr>
                      <m:t>q</m:t>
                    </m:r>
                  </m:e>
                  <m:sub>
                    <m:r>
                      <m:rPr>
                        <m:nor/>
                      </m:rPr>
                      <w:rPr>
                        <w:rFonts w:cs="Arial"/>
                        <w:lang w:val="en-US"/>
                      </w:rPr>
                      <m:t>M</m:t>
                    </m:r>
                  </m:sub>
                </m:sSub>
                <m:r>
                  <m:rPr>
                    <m:nor/>
                  </m:rPr>
                  <w:rPr>
                    <w:rFonts w:cs="Arial"/>
                    <w:lang w:val="en-US"/>
                  </w:rPr>
                  <m:t xml:space="preserve"> = </m:t>
                </m:r>
                <m:f>
                  <m:fPr>
                    <m:ctrlPr>
                      <w:rPr>
                        <w:rFonts w:ascii="Cambria Math" w:hAnsi="Cambria Math" w:cs="Arial"/>
                        <w:i/>
                        <w:lang w:val="en-US"/>
                      </w:rPr>
                    </m:ctrlPr>
                  </m:fPr>
                  <m:num>
                    <m:sSub>
                      <m:sSubPr>
                        <m:ctrlPr>
                          <w:rPr>
                            <w:rFonts w:ascii="Cambria Math" w:hAnsi="Cambria Math" w:cs="Arial"/>
                            <w:i/>
                            <w:lang w:val="en-US"/>
                          </w:rPr>
                        </m:ctrlPr>
                      </m:sSubPr>
                      <m:e>
                        <m:r>
                          <m:rPr>
                            <m:nor/>
                          </m:rPr>
                          <w:rPr>
                            <w:rFonts w:cs="Arial"/>
                            <w:lang w:val="en-US"/>
                          </w:rPr>
                          <m:t>k</m:t>
                        </m:r>
                      </m:e>
                      <m:sub>
                        <m:r>
                          <m:rPr>
                            <m:nor/>
                          </m:rPr>
                          <w:rPr>
                            <w:rFonts w:cs="Arial"/>
                            <w:lang w:val="en-US"/>
                          </w:rPr>
                          <m:t>3</m:t>
                        </m:r>
                      </m:sub>
                    </m:sSub>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M</m:t>
                    </m:r>
                  </m:num>
                  <m:den>
                    <m:sSub>
                      <m:sSubPr>
                        <m:ctrlPr>
                          <w:rPr>
                            <w:rFonts w:ascii="Cambria Math" w:hAnsi="Cambria Math" w:cs="Arial"/>
                            <w:i/>
                            <w:lang w:val="en-US"/>
                          </w:rPr>
                        </m:ctrlPr>
                      </m:sSubPr>
                      <m:e>
                        <m:r>
                          <m:rPr>
                            <m:nor/>
                          </m:rPr>
                          <w:rPr>
                            <w:rFonts w:cs="Arial"/>
                            <w:lang w:val="en-US"/>
                          </w:rPr>
                          <m:t>k</m:t>
                        </m:r>
                      </m:e>
                      <m:sub>
                        <m:r>
                          <m:rPr>
                            <m:nor/>
                          </m:rPr>
                          <w:rPr>
                            <w:rFonts w:cs="Arial"/>
                            <w:lang w:val="en-US"/>
                          </w:rPr>
                          <m:t>4</m:t>
                        </m:r>
                      </m:sub>
                    </m:sSub>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X + M</m:t>
                    </m:r>
                  </m:den>
                </m:f>
              </m:oMath>
            </m:oMathPara>
          </w:p>
        </w:tc>
        <w:tc>
          <w:tcPr>
            <w:tcW w:w="804" w:type="dxa"/>
            <w:shd w:val="clear" w:color="auto" w:fill="auto"/>
            <w:vAlign w:val="center"/>
          </w:tcPr>
          <w:p w14:paraId="133FABD3" w14:textId="688F2623" w:rsidR="0020507C" w:rsidRPr="005478A5" w:rsidRDefault="0020507C" w:rsidP="0020507C">
            <w:pPr>
              <w:pStyle w:val="Lgende"/>
              <w:jc w:val="right"/>
            </w:pPr>
            <w:bookmarkStart w:id="11" w:name="_Ref203390596"/>
            <w:r w:rsidRPr="005478A5">
              <w:t>(</w:t>
            </w:r>
            <w:r w:rsidRPr="005478A5">
              <w:fldChar w:fldCharType="begin"/>
            </w:r>
            <w:r w:rsidRPr="005478A5">
              <w:instrText xml:space="preserve"> SEQ Equation \* ARABIC </w:instrText>
            </w:r>
            <w:r w:rsidRPr="005478A5">
              <w:fldChar w:fldCharType="separate"/>
            </w:r>
            <w:r>
              <w:rPr>
                <w:noProof/>
              </w:rPr>
              <w:t>10</w:t>
            </w:r>
            <w:r w:rsidRPr="005478A5">
              <w:fldChar w:fldCharType="end"/>
            </w:r>
            <w:r w:rsidRPr="005478A5">
              <w:t>)</w:t>
            </w:r>
            <w:bookmarkEnd w:id="11"/>
          </w:p>
        </w:tc>
      </w:tr>
    </w:tbl>
    <w:p w14:paraId="4A93A8D5" w14:textId="60CB869E" w:rsidR="00376364" w:rsidRDefault="00095D30" w:rsidP="00376364">
      <w:pPr>
        <w:pStyle w:val="CETBodytext"/>
      </w:pPr>
      <w:r>
        <w:t>Th</w:t>
      </w:r>
      <w:r w:rsidR="000A14AF">
        <w:t>e</w:t>
      </w:r>
      <w:r>
        <w:t>s</w:t>
      </w:r>
      <w:r w:rsidR="000A14AF">
        <w:t>e</w:t>
      </w:r>
      <w:r>
        <w:t xml:space="preserve"> equation</w:t>
      </w:r>
      <w:r w:rsidR="000A14AF">
        <w:t>s</w:t>
      </w:r>
      <w:r w:rsidR="000D3B6D">
        <w:t>, based on Contois kinetic law</w:t>
      </w:r>
      <w:r w:rsidR="00C7357B">
        <w:t>s</w:t>
      </w:r>
      <w:r w:rsidR="000A14AF">
        <w:t xml:space="preserve">, </w:t>
      </w:r>
      <w:r w:rsidR="009F1EC5">
        <w:t>rely</w:t>
      </w:r>
      <w:r w:rsidR="000A14AF">
        <w:t xml:space="preserve"> on parameters</w:t>
      </w:r>
      <w:r>
        <w:t xml:space="preserve"> k</w:t>
      </w:r>
      <w:r w:rsidRPr="42E13AF0">
        <w:rPr>
          <w:vertAlign w:val="subscript"/>
        </w:rPr>
        <w:t>1</w:t>
      </w:r>
      <w:r>
        <w:t xml:space="preserve"> (</w:t>
      </w:r>
      <w:proofErr w:type="gramStart"/>
      <w:r>
        <w:t>gW.gX</w:t>
      </w:r>
      <w:r w:rsidRPr="42E13AF0">
        <w:rPr>
          <w:vertAlign w:val="superscript"/>
        </w:rPr>
        <w:t>1</w:t>
      </w:r>
      <w:r>
        <w:t>.h</w:t>
      </w:r>
      <w:proofErr w:type="gramEnd"/>
      <w:r w:rsidRPr="42E13AF0">
        <w:rPr>
          <w:vertAlign w:val="superscript"/>
        </w:rPr>
        <w:t>-1</w:t>
      </w:r>
      <w:r>
        <w:t>)</w:t>
      </w:r>
      <w:r w:rsidR="00BB4A19">
        <w:t xml:space="preserve"> and k</w:t>
      </w:r>
      <w:r w:rsidR="00376364">
        <w:rPr>
          <w:vertAlign w:val="subscript"/>
        </w:rPr>
        <w:t>2</w:t>
      </w:r>
      <w:r w:rsidR="00BB4A19">
        <w:t xml:space="preserve"> (gW</w:t>
      </w:r>
      <w:r w:rsidR="00D408D2">
        <w:t>.gX</w:t>
      </w:r>
      <w:r w:rsidR="00D408D2" w:rsidRPr="42E13AF0">
        <w:rPr>
          <w:vertAlign w:val="superscript"/>
        </w:rPr>
        <w:t>-1</w:t>
      </w:r>
      <w:r w:rsidR="00BB4A19">
        <w:t>)</w:t>
      </w:r>
      <w:r w:rsidR="000D3B6D">
        <w:t xml:space="preserve"> </w:t>
      </w:r>
      <w:r w:rsidR="000A14AF">
        <w:t>for W consumption, and p</w:t>
      </w:r>
      <w:r w:rsidR="00376364">
        <w:t>arameters k</w:t>
      </w:r>
      <w:r w:rsidR="00611BD7">
        <w:rPr>
          <w:vertAlign w:val="subscript"/>
        </w:rPr>
        <w:t>3</w:t>
      </w:r>
      <w:r w:rsidR="00376364">
        <w:t xml:space="preserve"> (g</w:t>
      </w:r>
      <w:r w:rsidR="00611BD7">
        <w:t>M</w:t>
      </w:r>
      <w:r w:rsidR="00376364">
        <w:t>.gX</w:t>
      </w:r>
      <w:r w:rsidR="00376364" w:rsidRPr="42E13AF0">
        <w:rPr>
          <w:vertAlign w:val="superscript"/>
        </w:rPr>
        <w:t>-1</w:t>
      </w:r>
      <w:r w:rsidR="00376364">
        <w:t>.h</w:t>
      </w:r>
      <w:r w:rsidR="00376364" w:rsidRPr="42E13AF0">
        <w:rPr>
          <w:vertAlign w:val="superscript"/>
        </w:rPr>
        <w:t>-1</w:t>
      </w:r>
      <w:r w:rsidR="00376364">
        <w:t>) and k</w:t>
      </w:r>
      <w:r w:rsidR="00611BD7">
        <w:rPr>
          <w:vertAlign w:val="subscript"/>
        </w:rPr>
        <w:t>4</w:t>
      </w:r>
      <w:r w:rsidR="00376364">
        <w:t xml:space="preserve"> (g</w:t>
      </w:r>
      <w:r w:rsidR="00611BD7">
        <w:t>M</w:t>
      </w:r>
      <w:r w:rsidR="00376364">
        <w:t>.</w:t>
      </w:r>
      <w:r w:rsidR="00EB71E0">
        <w:t>gX</w:t>
      </w:r>
      <w:r w:rsidR="00376364" w:rsidRPr="42E13AF0">
        <w:rPr>
          <w:vertAlign w:val="superscript"/>
        </w:rPr>
        <w:t>-1</w:t>
      </w:r>
      <w:r w:rsidR="00376364">
        <w:t xml:space="preserve">) </w:t>
      </w:r>
      <w:r w:rsidR="000A14AF">
        <w:t>for M consumption.</w:t>
      </w:r>
      <w:r w:rsidR="00C7357B">
        <w:t xml:space="preserve"> </w:t>
      </w:r>
    </w:p>
    <w:p w14:paraId="277E7EEA" w14:textId="6C45781C" w:rsidR="00B71CA7" w:rsidRDefault="0084304F" w:rsidP="00B71CA7">
      <w:pPr>
        <w:pStyle w:val="CETBodytext"/>
      </w:pPr>
      <w:r>
        <w:t>P</w:t>
      </w:r>
      <w:r w:rsidR="00B71CA7">
        <w:t>arameters Y</w:t>
      </w:r>
      <w:r w:rsidR="00B71CA7" w:rsidRPr="42E13AF0">
        <w:rPr>
          <w:vertAlign w:val="subscript"/>
        </w:rPr>
        <w:t>X</w:t>
      </w:r>
      <w:r w:rsidR="00376364">
        <w:rPr>
          <w:vertAlign w:val="subscript"/>
        </w:rPr>
        <w:t>G</w:t>
      </w:r>
      <w:r w:rsidR="00B71CA7">
        <w:t xml:space="preserve"> and Y</w:t>
      </w:r>
      <w:r w:rsidR="00376364">
        <w:rPr>
          <w:vertAlign w:val="subscript"/>
        </w:rPr>
        <w:t>MG</w:t>
      </w:r>
      <w:r w:rsidR="00B71CA7">
        <w:t xml:space="preserve"> denote the yield coefficient between biomass and </w:t>
      </w:r>
      <w:r w:rsidR="00F72643">
        <w:t>glucose</w:t>
      </w:r>
      <w:r w:rsidR="00B71CA7">
        <w:t xml:space="preserve"> </w:t>
      </w:r>
      <w:r w:rsidR="001634C1">
        <w:t>(</w:t>
      </w:r>
      <w:proofErr w:type="gramStart"/>
      <w:r w:rsidR="00B71CA7">
        <w:t>gX.g</w:t>
      </w:r>
      <w:r w:rsidR="008228AA">
        <w:t>G</w:t>
      </w:r>
      <w:proofErr w:type="gramEnd"/>
      <w:r w:rsidR="00B71CA7" w:rsidRPr="42E13AF0">
        <w:rPr>
          <w:vertAlign w:val="superscript"/>
        </w:rPr>
        <w:t>-1</w:t>
      </w:r>
      <w:r w:rsidR="001634C1">
        <w:t xml:space="preserve">) </w:t>
      </w:r>
      <w:r w:rsidR="00B71CA7">
        <w:t>and the mass yield of</w:t>
      </w:r>
      <w:r w:rsidR="00073F7D">
        <w:t xml:space="preserve"> </w:t>
      </w:r>
      <w:r w:rsidR="00EE62EA">
        <w:t>M</w:t>
      </w:r>
      <w:r w:rsidR="00B71CA7">
        <w:t xml:space="preserve"> consumed per </w:t>
      </w:r>
      <w:r w:rsidR="00F72643">
        <w:t>glucose</w:t>
      </w:r>
      <w:r w:rsidR="00B71CA7">
        <w:t xml:space="preserve"> produced (g</w:t>
      </w:r>
      <w:r w:rsidR="00376364">
        <w:t>M</w:t>
      </w:r>
      <w:r w:rsidR="00B71CA7">
        <w:t>.g</w:t>
      </w:r>
      <w:r w:rsidR="008228AA">
        <w:t>G</w:t>
      </w:r>
      <w:r w:rsidR="00B71CA7" w:rsidRPr="42E13AF0">
        <w:rPr>
          <w:vertAlign w:val="superscript"/>
        </w:rPr>
        <w:t>-1</w:t>
      </w:r>
      <w:r w:rsidR="00B71CA7">
        <w:t xml:space="preserve">). </w:t>
      </w:r>
      <w:r w:rsidR="009D3FB3">
        <w:t xml:space="preserve">Parameter </w:t>
      </w:r>
      <w:proofErr w:type="spellStart"/>
      <w:r w:rsidR="009D3FB3">
        <w:t>m</w:t>
      </w:r>
      <w:r w:rsidR="009D3FB3" w:rsidRPr="009D3FB3">
        <w:rPr>
          <w:vertAlign w:val="subscript"/>
        </w:rPr>
        <w:t>G</w:t>
      </w:r>
      <w:proofErr w:type="spellEnd"/>
      <w:r w:rsidR="00234F39">
        <w:rPr>
          <w:vertAlign w:val="subscript"/>
        </w:rPr>
        <w:t xml:space="preserve"> </w:t>
      </w:r>
      <w:r w:rsidR="00234F39">
        <w:t>(</w:t>
      </w:r>
      <w:proofErr w:type="gramStart"/>
      <w:r w:rsidR="00234F39">
        <w:t>gG.gX</w:t>
      </w:r>
      <w:proofErr w:type="gramEnd"/>
      <w:r w:rsidR="00234F39" w:rsidRPr="42E13AF0">
        <w:rPr>
          <w:vertAlign w:val="superscript"/>
        </w:rPr>
        <w:t>-1</w:t>
      </w:r>
      <w:r w:rsidR="00234F39">
        <w:t>.h</w:t>
      </w:r>
      <w:r w:rsidR="00234F39" w:rsidRPr="42E13AF0">
        <w:rPr>
          <w:vertAlign w:val="superscript"/>
        </w:rPr>
        <w:t>-1</w:t>
      </w:r>
      <w:r w:rsidR="00234F39">
        <w:t>)</w:t>
      </w:r>
      <w:r w:rsidR="00E67B6C">
        <w:t xml:space="preserve"> </w:t>
      </w:r>
      <w:r w:rsidR="00234F39">
        <w:t xml:space="preserve">considers the glucose consumption for maintenance. </w:t>
      </w:r>
      <w:r w:rsidR="009D3FB3">
        <w:t xml:space="preserve"> </w:t>
      </w:r>
    </w:p>
    <w:p w14:paraId="4DF8BE2E" w14:textId="04D06628" w:rsidR="009F3CFB" w:rsidRPr="005478A5" w:rsidRDefault="008818FA" w:rsidP="003F5E34">
      <w:pPr>
        <w:rPr>
          <w:lang w:val="en-US"/>
        </w:rPr>
      </w:pPr>
      <w:r>
        <w:rPr>
          <w:lang w:val="en-US"/>
        </w:rPr>
        <w:t xml:space="preserve">The parameters </w:t>
      </w:r>
      <w:proofErr w:type="spellStart"/>
      <w:r>
        <w:rPr>
          <w:lang w:val="en-US"/>
        </w:rPr>
        <w:t>k</w:t>
      </w:r>
      <w:r w:rsidRPr="008818FA">
        <w:rPr>
          <w:vertAlign w:val="subscript"/>
          <w:lang w:val="en-US"/>
        </w:rPr>
        <w:t>pro</w:t>
      </w:r>
      <w:proofErr w:type="spellEnd"/>
      <w:r>
        <w:rPr>
          <w:lang w:val="en-US"/>
        </w:rPr>
        <w:t xml:space="preserve"> and </w:t>
      </w:r>
      <w:proofErr w:type="spellStart"/>
      <w:r>
        <w:rPr>
          <w:lang w:val="en-US"/>
        </w:rPr>
        <w:t>k</w:t>
      </w:r>
      <w:r w:rsidRPr="008818FA">
        <w:rPr>
          <w:vertAlign w:val="subscript"/>
          <w:lang w:val="en-US"/>
        </w:rPr>
        <w:t>spo</w:t>
      </w:r>
      <w:proofErr w:type="spellEnd"/>
      <w:r>
        <w:rPr>
          <w:lang w:val="en-US"/>
        </w:rPr>
        <w:t xml:space="preserve"> are specific kinetic constants for protein and spore in gPro.gX</w:t>
      </w:r>
      <w:r w:rsidRPr="008818FA">
        <w:rPr>
          <w:vertAlign w:val="superscript"/>
          <w:lang w:val="en-US"/>
        </w:rPr>
        <w:t>-1</w:t>
      </w:r>
      <w:r>
        <w:rPr>
          <w:lang w:val="en-US"/>
        </w:rPr>
        <w:t>.h</w:t>
      </w:r>
      <w:r w:rsidRPr="008818FA">
        <w:rPr>
          <w:vertAlign w:val="superscript"/>
          <w:lang w:val="en-US"/>
        </w:rPr>
        <w:t>-1</w:t>
      </w:r>
      <w:r>
        <w:rPr>
          <w:lang w:val="en-US"/>
        </w:rPr>
        <w:t xml:space="preserve"> and CFUx10-5.</w:t>
      </w:r>
      <w:r w:rsidRPr="008818FA">
        <w:rPr>
          <w:lang w:val="en-US"/>
        </w:rPr>
        <w:t xml:space="preserve"> </w:t>
      </w:r>
      <w:r>
        <w:rPr>
          <w:lang w:val="en-US"/>
        </w:rPr>
        <w:t>gX</w:t>
      </w:r>
      <w:r w:rsidRPr="008818FA">
        <w:rPr>
          <w:vertAlign w:val="superscript"/>
          <w:lang w:val="en-US"/>
        </w:rPr>
        <w:t>-1</w:t>
      </w:r>
      <w:r>
        <w:rPr>
          <w:lang w:val="en-US"/>
        </w:rPr>
        <w:t>.h</w:t>
      </w:r>
      <w:r w:rsidRPr="008818FA">
        <w:rPr>
          <w:vertAlign w:val="superscript"/>
          <w:lang w:val="en-US"/>
        </w:rPr>
        <w:t>-1</w:t>
      </w:r>
      <w:r>
        <w:rPr>
          <w:lang w:val="en-US"/>
        </w:rPr>
        <w:t>, respectively.</w:t>
      </w:r>
      <w:r w:rsidR="002421A2">
        <w:rPr>
          <w:lang w:val="en-US"/>
        </w:rPr>
        <w:t xml:space="preserve"> </w:t>
      </w:r>
      <w:r w:rsidR="00D55007">
        <w:rPr>
          <w:lang w:val="en-US"/>
        </w:rPr>
        <w:t>S</w:t>
      </w:r>
      <w:r w:rsidR="1D5A250E">
        <w:rPr>
          <w:lang w:val="en-US"/>
        </w:rPr>
        <w:t>pore</w:t>
      </w:r>
      <w:r>
        <w:rPr>
          <w:lang w:val="en-US"/>
        </w:rPr>
        <w:t xml:space="preserve"> production</w:t>
      </w:r>
      <w:r w:rsidR="00D55007">
        <w:rPr>
          <w:lang w:val="en-US"/>
        </w:rPr>
        <w:t xml:space="preserve"> is triggered</w:t>
      </w:r>
      <w:r>
        <w:rPr>
          <w:lang w:val="en-US"/>
        </w:rPr>
        <w:t xml:space="preserve"> by</w:t>
      </w:r>
      <w:r w:rsidR="00D55007">
        <w:rPr>
          <w:lang w:val="en-US"/>
        </w:rPr>
        <w:t xml:space="preserve"> </w:t>
      </w:r>
      <w:r>
        <w:rPr>
          <w:lang w:val="en-US"/>
        </w:rPr>
        <w:t xml:space="preserve">a ratio of carbon over nitrogen (C/N) </w:t>
      </w:r>
      <w:r w:rsidR="00D55007">
        <w:rPr>
          <w:lang w:val="en-US"/>
        </w:rPr>
        <w:t xml:space="preserve">that states </w:t>
      </w:r>
      <w:r>
        <w:rPr>
          <w:lang w:val="en-US"/>
        </w:rPr>
        <w:t>whe</w:t>
      </w:r>
      <w:r w:rsidR="004E05CF">
        <w:rPr>
          <w:lang w:val="en-US"/>
        </w:rPr>
        <w:t>n</w:t>
      </w:r>
      <w:r>
        <w:rPr>
          <w:lang w:val="en-US"/>
        </w:rPr>
        <w:t xml:space="preserve"> sporulation begins.</w:t>
      </w:r>
      <w:r w:rsidR="009F3CFB">
        <w:rPr>
          <w:lang w:val="en-US"/>
        </w:rPr>
        <w:t xml:space="preserve"> This is </w:t>
      </w:r>
      <w:r w:rsidR="6DBAC2E4">
        <w:rPr>
          <w:lang w:val="en-US"/>
        </w:rPr>
        <w:t>because</w:t>
      </w:r>
      <w:r w:rsidR="009F3CFB">
        <w:rPr>
          <w:lang w:val="en-US"/>
        </w:rPr>
        <w:t xml:space="preserve"> spores are produced under stress conditions when </w:t>
      </w:r>
      <w:r w:rsidR="4974B8FF">
        <w:rPr>
          <w:lang w:val="en-US"/>
        </w:rPr>
        <w:t>the substrate</w:t>
      </w:r>
      <w:r w:rsidR="009F3CFB">
        <w:rPr>
          <w:lang w:val="en-US"/>
        </w:rPr>
        <w:t xml:space="preserve"> is limiting</w:t>
      </w:r>
      <w:r w:rsidR="00DB05AA">
        <w:rPr>
          <w:lang w:val="en-US"/>
        </w:rPr>
        <w:t xml:space="preserve"> </w:t>
      </w:r>
      <w:r w:rsidR="00DB05AA">
        <w:rPr>
          <w:lang w:val="en-US"/>
        </w:rPr>
        <w:fldChar w:fldCharType="begin"/>
      </w:r>
      <w:r w:rsidR="00774821">
        <w:rPr>
          <w:lang w:val="en-US"/>
        </w:rPr>
        <w:instrText xml:space="preserve"> ADDIN ZOTERO_ITEM CSL_CITATION {"citationID":"udAUKuXQ","properties":{"formattedCitation":"(Amicarelli et al., 2010)","plainCitation":"(Amicarelli et al., 2010)","noteIndex":0},"citationItems":[{"id":"dUQzBhaE/4kgG4qr5","uris":["http://zotero.org/groups/5181348/items/KRW2LY6P"],"itemData":{"id":363,"type":"chapter","ISBN":"978-953-307-113-8","note":"DOI: 10.5772/9769","page":"79-112","source":"ResearchGate","title":"On-line Biomass Estimation in a Batch Bio-technological Process: Bacillus Thuringiensis δ - Endotoxins Production","title-short":"On-line Biomass Estimation in a Batch Bio-technological Process","author":[{"family":"Amicarelli","given":"Adriana"},{"family":"Sciascio","given":"Fernando"},{"family":"Quintero","given":"Olga"},{"family":"Ortiz","given":"Oscar Alberto"}],"issued":{"date-parts":[["2010",8,12]]}}}],"schema":"https://github.com/citation-style-language/schema/raw/master/csl-citation.json"} </w:instrText>
      </w:r>
      <w:r w:rsidR="00DB05AA">
        <w:rPr>
          <w:lang w:val="en-US"/>
        </w:rPr>
        <w:fldChar w:fldCharType="separate"/>
      </w:r>
      <w:r w:rsidR="00DB05AA" w:rsidRPr="00DB05AA">
        <w:rPr>
          <w:rFonts w:cs="Arial"/>
        </w:rPr>
        <w:t xml:space="preserve">(Amicarelli </w:t>
      </w:r>
      <w:r w:rsidR="00DB05AA" w:rsidRPr="42E13AF0">
        <w:rPr>
          <w:rFonts w:cs="Arial"/>
          <w:i/>
          <w:iCs/>
        </w:rPr>
        <w:t>et al</w:t>
      </w:r>
      <w:r w:rsidR="00DB05AA" w:rsidRPr="00DB05AA">
        <w:rPr>
          <w:rFonts w:cs="Arial"/>
        </w:rPr>
        <w:t>., 2010)</w:t>
      </w:r>
      <w:r w:rsidR="00DB05AA">
        <w:rPr>
          <w:lang w:val="en-US"/>
        </w:rPr>
        <w:fldChar w:fldCharType="end"/>
      </w:r>
      <w:r w:rsidR="009F3CFB">
        <w:rPr>
          <w:lang w:val="en-US"/>
        </w:rPr>
        <w:t xml:space="preserve">. An approximation </w:t>
      </w:r>
      <w:r w:rsidR="002175B5">
        <w:rPr>
          <w:lang w:val="en-US"/>
        </w:rPr>
        <w:t xml:space="preserve">of </w:t>
      </w:r>
      <w:r w:rsidR="009F3CFB">
        <w:rPr>
          <w:lang w:val="en-US"/>
        </w:rPr>
        <w:t xml:space="preserve">this C/N ratio was obtained </w:t>
      </w:r>
      <w:r w:rsidR="002175B5">
        <w:rPr>
          <w:lang w:val="en-US"/>
        </w:rPr>
        <w:t xml:space="preserve">for </w:t>
      </w:r>
      <w:r w:rsidR="009F3CFB">
        <w:rPr>
          <w:lang w:val="en-US"/>
        </w:rPr>
        <w:t xml:space="preserve">the </w:t>
      </w:r>
      <w:r w:rsidR="001212F6">
        <w:rPr>
          <w:lang w:val="en-US"/>
        </w:rPr>
        <w:t xml:space="preserve">fermentation conditions </w:t>
      </w:r>
      <w:r w:rsidR="002175B5">
        <w:rPr>
          <w:lang w:val="en-US"/>
        </w:rPr>
        <w:t xml:space="preserve">as a </w:t>
      </w:r>
      <w:r w:rsidR="00192F38">
        <w:rPr>
          <w:lang w:val="en-US"/>
        </w:rPr>
        <w:t xml:space="preserve">glucose </w:t>
      </w:r>
      <w:r w:rsidR="002175B5">
        <w:rPr>
          <w:lang w:val="en-US"/>
        </w:rPr>
        <w:t xml:space="preserve">to </w:t>
      </w:r>
      <w:r w:rsidR="009F3CFB">
        <w:rPr>
          <w:lang w:val="en-US"/>
        </w:rPr>
        <w:t>biomass ratio (</w:t>
      </w:r>
      <w:r w:rsidR="00192F38">
        <w:rPr>
          <w:lang w:val="en-US"/>
        </w:rPr>
        <w:t>G</w:t>
      </w:r>
      <w:r w:rsidR="009F3CFB">
        <w:rPr>
          <w:lang w:val="en-US"/>
        </w:rPr>
        <w:t xml:space="preserve">/X) calculated </w:t>
      </w:r>
      <w:r w:rsidR="00B265AD">
        <w:rPr>
          <w:lang w:val="en-US"/>
        </w:rPr>
        <w:t xml:space="preserve">previously </w:t>
      </w:r>
      <w:r w:rsidR="009F3CFB">
        <w:rPr>
          <w:lang w:val="en-US"/>
        </w:rPr>
        <w:t xml:space="preserve">in </w:t>
      </w:r>
      <w:proofErr w:type="spellStart"/>
      <w:r w:rsidR="009F3CFB" w:rsidRPr="42E13AF0">
        <w:rPr>
          <w:i/>
          <w:iCs/>
          <w:lang w:val="en-US"/>
        </w:rPr>
        <w:t>Bt</w:t>
      </w:r>
      <w:proofErr w:type="spellEnd"/>
      <w:r w:rsidR="009F3CFB">
        <w:rPr>
          <w:lang w:val="en-US"/>
        </w:rPr>
        <w:t xml:space="preserve"> experiments that used semi-synthetic media. The constant </w:t>
      </w:r>
      <w:proofErr w:type="spellStart"/>
      <w:r w:rsidR="00177B5D">
        <w:rPr>
          <w:rFonts w:cs="Arial"/>
          <w:lang w:val="en-US"/>
        </w:rPr>
        <w:t>φ</w:t>
      </w:r>
      <w:r w:rsidR="00177B5D" w:rsidRPr="00DE6251">
        <w:rPr>
          <w:vertAlign w:val="subscript"/>
          <w:lang w:val="en-US"/>
        </w:rPr>
        <w:t>spo</w:t>
      </w:r>
      <w:proofErr w:type="spellEnd"/>
      <w:r w:rsidR="008102D2">
        <w:rPr>
          <w:lang w:val="en-US"/>
        </w:rPr>
        <w:t xml:space="preserve"> is</w:t>
      </w:r>
      <w:r w:rsidR="009F3CFB">
        <w:rPr>
          <w:lang w:val="en-US"/>
        </w:rPr>
        <w:t xml:space="preserve"> defined as the </w:t>
      </w:r>
      <w:r w:rsidR="00FB4062">
        <w:rPr>
          <w:lang w:val="en-US"/>
        </w:rPr>
        <w:t xml:space="preserve">threshold </w:t>
      </w:r>
      <w:r w:rsidR="009F3CFB">
        <w:rPr>
          <w:lang w:val="en-US"/>
        </w:rPr>
        <w:t xml:space="preserve">value of </w:t>
      </w:r>
      <w:r w:rsidR="00192F38">
        <w:rPr>
          <w:lang w:val="en-US"/>
        </w:rPr>
        <w:t>G</w:t>
      </w:r>
      <w:r w:rsidR="009F3CFB">
        <w:rPr>
          <w:lang w:val="en-US"/>
        </w:rPr>
        <w:t xml:space="preserve">/X that induces the sporulation. </w:t>
      </w:r>
    </w:p>
    <w:p w14:paraId="2601D4B0" w14:textId="200B1AC2" w:rsidR="005A64BE" w:rsidRPr="005478A5" w:rsidRDefault="00DC0CB0" w:rsidP="005A64BE">
      <w:pPr>
        <w:pStyle w:val="CETheadingx"/>
      </w:pPr>
      <w:r>
        <w:t>Dynamic Hybrid Model</w:t>
      </w:r>
    </w:p>
    <w:p w14:paraId="71EC0CE1" w14:textId="1DE156B0" w:rsidR="005A64BE" w:rsidRPr="005478A5" w:rsidRDefault="2445C18F" w:rsidP="005A64BE">
      <w:pPr>
        <w:pStyle w:val="CETBodytext"/>
      </w:pPr>
      <w:r>
        <w:t>The</w:t>
      </w:r>
      <w:r w:rsidR="00EF3DC5">
        <w:t xml:space="preserve"> proposed </w:t>
      </w:r>
      <w:r w:rsidR="00B53DF5">
        <w:t>Dynamic Hybrid Model (DHM)</w:t>
      </w:r>
      <w:r w:rsidR="00396517">
        <w:t xml:space="preserve"> </w:t>
      </w:r>
      <w:r w:rsidR="00DE4F42">
        <w:t xml:space="preserve">aims to estimate the kinetic rates of </w:t>
      </w:r>
      <w:r w:rsidR="00B53DF5">
        <w:t>p</w:t>
      </w:r>
      <w:r w:rsidR="005A64BE">
        <w:t>rotein and spore</w:t>
      </w:r>
      <w:r w:rsidR="00DE4F42">
        <w:t xml:space="preserve"> by using </w:t>
      </w:r>
      <w:r w:rsidR="005A64BE">
        <w:t>data-driven model</w:t>
      </w:r>
      <w:r w:rsidR="00B53DF5">
        <w:t>s</w:t>
      </w:r>
      <w:r w:rsidR="00DE4F42">
        <w:t xml:space="preserve">. This means that these rates will be re-estimated based on the dynamic model and </w:t>
      </w:r>
      <w:r w:rsidR="00A76E95">
        <w:t xml:space="preserve">other predictors </w:t>
      </w:r>
      <w:r w:rsidR="03C0B70F">
        <w:t>to</w:t>
      </w:r>
      <w:r w:rsidR="00A76E95">
        <w:t xml:space="preserve"> improve the prediction of </w:t>
      </w:r>
      <w:r w:rsidR="003E69AA">
        <w:t xml:space="preserve">protein and spore. </w:t>
      </w:r>
      <w:r w:rsidR="00762274">
        <w:t>Hence, Eq.</w:t>
      </w:r>
      <w:r w:rsidR="00EF3DC5">
        <w:fldChar w:fldCharType="begin"/>
      </w:r>
      <w:r w:rsidR="00EF3DC5">
        <w:instrText xml:space="preserve"> REF _Ref190262250 \h </w:instrText>
      </w:r>
      <w:r w:rsidR="00EF3DC5">
        <w:fldChar w:fldCharType="separate"/>
      </w:r>
      <w:r w:rsidR="009B24C3" w:rsidRPr="005478A5">
        <w:t>(</w:t>
      </w:r>
      <w:r w:rsidR="009B24C3">
        <w:rPr>
          <w:noProof/>
        </w:rPr>
        <w:t>5</w:t>
      </w:r>
      <w:r w:rsidR="009B24C3" w:rsidRPr="005478A5">
        <w:t>)</w:t>
      </w:r>
      <w:r w:rsidR="00EF3DC5">
        <w:fldChar w:fldCharType="end"/>
      </w:r>
      <w:r w:rsidR="006D5774">
        <w:t xml:space="preserve"> </w:t>
      </w:r>
      <w:r w:rsidR="00762274">
        <w:t xml:space="preserve">and </w:t>
      </w:r>
      <w:r w:rsidR="00EF3DC5">
        <w:fldChar w:fldCharType="begin"/>
      </w:r>
      <w:r w:rsidR="00EF3DC5">
        <w:instrText xml:space="preserve"> REF _Ref189904832 \h </w:instrText>
      </w:r>
      <w:r w:rsidR="00EF3DC5">
        <w:fldChar w:fldCharType="separate"/>
      </w:r>
      <w:r w:rsidR="009B24C3" w:rsidRPr="005478A5">
        <w:t>(</w:t>
      </w:r>
      <w:r w:rsidR="009B24C3">
        <w:rPr>
          <w:noProof/>
        </w:rPr>
        <w:t>6</w:t>
      </w:r>
      <w:r w:rsidR="009B24C3" w:rsidRPr="005478A5">
        <w:t>)</w:t>
      </w:r>
      <w:r w:rsidR="00EF3DC5">
        <w:fldChar w:fldCharType="end"/>
      </w:r>
      <w:r w:rsidR="00762274">
        <w:t xml:space="preserve"> are replaced by,</w:t>
      </w:r>
      <w:r w:rsidR="005A64BE">
        <w:t xml:space="preserve"> </w:t>
      </w:r>
    </w:p>
    <w:tbl>
      <w:tblPr>
        <w:tblW w:w="5000" w:type="pct"/>
        <w:tblLook w:val="04A0" w:firstRow="1" w:lastRow="0" w:firstColumn="1" w:lastColumn="0" w:noHBand="0" w:noVBand="1"/>
      </w:tblPr>
      <w:tblGrid>
        <w:gridCol w:w="7983"/>
        <w:gridCol w:w="804"/>
      </w:tblGrid>
      <w:tr w:rsidR="005A64BE" w:rsidRPr="005478A5" w14:paraId="0570FA4B" w14:textId="77777777" w:rsidTr="008818FA">
        <w:tc>
          <w:tcPr>
            <w:tcW w:w="7983" w:type="dxa"/>
            <w:shd w:val="clear" w:color="auto" w:fill="auto"/>
            <w:vAlign w:val="center"/>
          </w:tcPr>
          <w:p w14:paraId="2F493B9B" w14:textId="72C47E78" w:rsidR="005A64BE" w:rsidRPr="00E5647A" w:rsidRDefault="00D55007" w:rsidP="008818FA">
            <w:pPr>
              <w:pStyle w:val="CETEquation"/>
              <w:rPr>
                <w:rFonts w:cs="Arial"/>
                <w:lang w:val="en-US"/>
              </w:rPr>
            </w:pPr>
            <m:oMathPara>
              <m:oMathParaPr>
                <m:jc m:val="left"/>
              </m:oMathParaPr>
              <m:oMath>
                <m:f>
                  <m:fPr>
                    <m:ctrlPr>
                      <w:rPr>
                        <w:rFonts w:ascii="Cambria Math" w:hAnsi="Cambria Math" w:cs="Arial"/>
                        <w:i/>
                        <w:lang w:val="en-US"/>
                      </w:rPr>
                    </m:ctrlPr>
                  </m:fPr>
                  <m:num>
                    <m:r>
                      <m:rPr>
                        <m:nor/>
                      </m:rPr>
                      <w:rPr>
                        <w:rFonts w:cs="Arial"/>
                        <w:lang w:val="en-US"/>
                      </w:rPr>
                      <m:t>dP</m:t>
                    </m:r>
                  </m:num>
                  <m:den>
                    <m:r>
                      <m:rPr>
                        <m:nor/>
                      </m:rPr>
                      <w:rPr>
                        <w:rFonts w:cs="Arial"/>
                        <w:lang w:val="en-US"/>
                      </w:rPr>
                      <m:t>dt</m:t>
                    </m:r>
                  </m:den>
                </m:f>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sSubSup>
                  <m:sSubSupPr>
                    <m:ctrlPr>
                      <w:rPr>
                        <w:rFonts w:ascii="Cambria Math" w:hAnsi="Cambria Math" w:cs="Arial"/>
                        <w:i/>
                        <w:lang w:val="en-US"/>
                      </w:rPr>
                    </m:ctrlPr>
                  </m:sSubSupPr>
                  <m:e>
                    <m:r>
                      <m:rPr>
                        <m:nor/>
                      </m:rPr>
                      <w:rPr>
                        <w:rFonts w:cs="Arial"/>
                        <w:lang w:val="en-US"/>
                      </w:rPr>
                      <m:t>r</m:t>
                    </m:r>
                  </m:e>
                  <m:sub>
                    <m:r>
                      <m:rPr>
                        <m:nor/>
                      </m:rPr>
                      <w:rPr>
                        <w:rFonts w:cs="Arial"/>
                        <w:lang w:val="en-US"/>
                      </w:rPr>
                      <m:t>p</m:t>
                    </m:r>
                  </m:sub>
                  <m:sup>
                    <m:r>
                      <m:rPr>
                        <m:nor/>
                      </m:rPr>
                      <w:rPr>
                        <w:rFonts w:cs="Arial"/>
                        <w:lang w:val="en-US"/>
                      </w:rPr>
                      <m:t>*</m:t>
                    </m:r>
                  </m:sup>
                </m:sSubSup>
              </m:oMath>
            </m:oMathPara>
          </w:p>
        </w:tc>
        <w:tc>
          <w:tcPr>
            <w:tcW w:w="804" w:type="dxa"/>
            <w:shd w:val="clear" w:color="auto" w:fill="auto"/>
            <w:vAlign w:val="center"/>
          </w:tcPr>
          <w:p w14:paraId="278070B8" w14:textId="54252DDE" w:rsidR="005A64BE" w:rsidRPr="005478A5" w:rsidRDefault="005A64BE" w:rsidP="008818FA">
            <w:pPr>
              <w:pStyle w:val="Lgende"/>
              <w:jc w:val="right"/>
            </w:pPr>
            <w:bookmarkStart w:id="12" w:name="_Ref189906973"/>
            <w:r w:rsidRPr="005478A5">
              <w:t>(</w:t>
            </w:r>
            <w:r w:rsidRPr="005478A5">
              <w:fldChar w:fldCharType="begin"/>
            </w:r>
            <w:r w:rsidRPr="005478A5">
              <w:instrText xml:space="preserve"> SEQ Equation \* ARABIC </w:instrText>
            </w:r>
            <w:r w:rsidRPr="005478A5">
              <w:fldChar w:fldCharType="separate"/>
            </w:r>
            <w:r w:rsidR="00247E9E">
              <w:rPr>
                <w:noProof/>
              </w:rPr>
              <w:t>11</w:t>
            </w:r>
            <w:r w:rsidRPr="005478A5">
              <w:fldChar w:fldCharType="end"/>
            </w:r>
            <w:r w:rsidRPr="005478A5">
              <w:t>)</w:t>
            </w:r>
            <w:bookmarkEnd w:id="12"/>
          </w:p>
        </w:tc>
      </w:tr>
      <w:tr w:rsidR="005A64BE" w:rsidRPr="005478A5" w14:paraId="3E34B5F3" w14:textId="77777777" w:rsidTr="008818FA">
        <w:tc>
          <w:tcPr>
            <w:tcW w:w="7983" w:type="dxa"/>
            <w:shd w:val="clear" w:color="auto" w:fill="auto"/>
            <w:vAlign w:val="center"/>
          </w:tcPr>
          <w:p w14:paraId="5A3ED29B" w14:textId="1AA809EA" w:rsidR="005A64BE" w:rsidRPr="00E5647A" w:rsidRDefault="00D55007" w:rsidP="008818FA">
            <w:pPr>
              <w:pStyle w:val="CETEquation"/>
              <w:rPr>
                <w:rFonts w:cs="Arial"/>
                <w:i/>
                <w:lang w:val="en-US"/>
              </w:rPr>
            </w:pPr>
            <m:oMathPara>
              <m:oMathParaPr>
                <m:jc m:val="left"/>
              </m:oMathParaPr>
              <m:oMath>
                <m:f>
                  <m:fPr>
                    <m:ctrlPr>
                      <w:rPr>
                        <w:rFonts w:ascii="Cambria Math" w:hAnsi="Cambria Math" w:cs="Arial"/>
                        <w:i/>
                        <w:lang w:val="en-US"/>
                      </w:rPr>
                    </m:ctrlPr>
                  </m:fPr>
                  <m:num>
                    <m:r>
                      <m:rPr>
                        <m:nor/>
                      </m:rPr>
                      <w:rPr>
                        <w:rFonts w:cs="Arial"/>
                        <w:lang w:val="en-US"/>
                      </w:rPr>
                      <m:t>dSpo</m:t>
                    </m:r>
                  </m:num>
                  <m:den>
                    <m:r>
                      <m:rPr>
                        <m:nor/>
                      </m:rPr>
                      <w:rPr>
                        <w:rFonts w:cs="Arial"/>
                        <w:lang w:val="en-US"/>
                      </w:rPr>
                      <m:t>dt</m:t>
                    </m:r>
                  </m:den>
                </m:f>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sSubSup>
                  <m:sSubSupPr>
                    <m:ctrlPr>
                      <w:rPr>
                        <w:rFonts w:ascii="Cambria Math" w:hAnsi="Cambria Math" w:cs="Arial"/>
                        <w:i/>
                        <w:lang w:val="en-US"/>
                      </w:rPr>
                    </m:ctrlPr>
                  </m:sSubSupPr>
                  <m:e>
                    <m:r>
                      <m:rPr>
                        <m:nor/>
                      </m:rPr>
                      <w:rPr>
                        <w:rFonts w:cs="Arial"/>
                        <w:lang w:val="en-US"/>
                      </w:rPr>
                      <m:t>r</m:t>
                    </m:r>
                  </m:e>
                  <m:sub>
                    <m:r>
                      <m:rPr>
                        <m:nor/>
                      </m:rPr>
                      <w:rPr>
                        <w:rFonts w:cs="Arial"/>
                        <w:lang w:val="en-US"/>
                      </w:rPr>
                      <m:t>spo</m:t>
                    </m:r>
                  </m:sub>
                  <m:sup>
                    <m:r>
                      <m:rPr>
                        <m:nor/>
                      </m:rPr>
                      <w:rPr>
                        <w:rFonts w:cs="Arial"/>
                        <w:lang w:val="en-US"/>
                      </w:rPr>
                      <m:t>*</m:t>
                    </m:r>
                  </m:sup>
                </m:sSubSup>
              </m:oMath>
            </m:oMathPara>
          </w:p>
        </w:tc>
        <w:tc>
          <w:tcPr>
            <w:tcW w:w="804" w:type="dxa"/>
            <w:shd w:val="clear" w:color="auto" w:fill="auto"/>
            <w:vAlign w:val="center"/>
          </w:tcPr>
          <w:p w14:paraId="37226976" w14:textId="4A90EAA6" w:rsidR="005A64BE" w:rsidRPr="005478A5" w:rsidRDefault="005A64BE" w:rsidP="008818FA">
            <w:pPr>
              <w:pStyle w:val="Lgende"/>
              <w:jc w:val="right"/>
              <w:rPr>
                <w:rFonts w:ascii="Cambria Math" w:hAnsi="Cambria Math" w:cs="Arial"/>
                <w:i/>
              </w:rPr>
            </w:pPr>
            <w:bookmarkStart w:id="13" w:name="_Ref189906974"/>
            <w:r w:rsidRPr="005478A5">
              <w:t>(</w:t>
            </w:r>
            <w:r w:rsidRPr="005478A5">
              <w:fldChar w:fldCharType="begin"/>
            </w:r>
            <w:r w:rsidRPr="005478A5">
              <w:instrText xml:space="preserve"> SEQ Equation \* ARABIC </w:instrText>
            </w:r>
            <w:r w:rsidRPr="005478A5">
              <w:fldChar w:fldCharType="separate"/>
            </w:r>
            <w:r w:rsidR="00247E9E">
              <w:rPr>
                <w:noProof/>
              </w:rPr>
              <w:t>12</w:t>
            </w:r>
            <w:r w:rsidRPr="005478A5">
              <w:fldChar w:fldCharType="end"/>
            </w:r>
            <w:r w:rsidRPr="005478A5">
              <w:t>)</w:t>
            </w:r>
            <w:bookmarkEnd w:id="13"/>
          </w:p>
        </w:tc>
      </w:tr>
    </w:tbl>
    <w:p w14:paraId="13AE9C82" w14:textId="2EAA81AD" w:rsidR="00A73614" w:rsidRDefault="00E5647A" w:rsidP="00A73614">
      <w:pPr>
        <w:pStyle w:val="CETBodytext"/>
      </w:pPr>
      <w:r>
        <w:t xml:space="preserve">The output variables, </w:t>
      </w:r>
      <w:r w:rsidR="000F71C7">
        <w:t>r</w:t>
      </w:r>
      <w:r w:rsidRPr="42E13AF0">
        <w:rPr>
          <w:vertAlign w:val="superscript"/>
        </w:rPr>
        <w:t>*</w:t>
      </w:r>
      <w:r w:rsidR="000F71C7" w:rsidRPr="42E13AF0">
        <w:rPr>
          <w:vertAlign w:val="subscript"/>
        </w:rPr>
        <w:t>p</w:t>
      </w:r>
      <w:r w:rsidR="000F71C7">
        <w:t xml:space="preserve"> and r</w:t>
      </w:r>
      <w:r w:rsidR="000F71C7" w:rsidRPr="42E13AF0">
        <w:rPr>
          <w:vertAlign w:val="superscript"/>
        </w:rPr>
        <w:t>*</w:t>
      </w:r>
      <w:proofErr w:type="spellStart"/>
      <w:r w:rsidR="000F71C7" w:rsidRPr="42E13AF0">
        <w:rPr>
          <w:vertAlign w:val="subscript"/>
        </w:rPr>
        <w:t>spo</w:t>
      </w:r>
      <w:proofErr w:type="spellEnd"/>
      <w:r>
        <w:t>,</w:t>
      </w:r>
      <w:r w:rsidR="000F71C7">
        <w:t xml:space="preserve"> were obtained using the numerical derivative of the filtered data</w:t>
      </w:r>
      <w:r w:rsidR="00515BB3">
        <w:t xml:space="preserve"> for protein and spore, respectively.</w:t>
      </w:r>
      <w:r w:rsidR="00391187">
        <w:t xml:space="preserve"> </w:t>
      </w:r>
      <w:r w:rsidR="00515BB3">
        <w:t>T</w:t>
      </w:r>
      <w:r w:rsidR="007A1C21">
        <w:t xml:space="preserve">wo </w:t>
      </w:r>
      <w:r w:rsidR="68C675B9">
        <w:t>data-driven</w:t>
      </w:r>
      <w:r w:rsidR="007A1C21">
        <w:t xml:space="preserve"> </w:t>
      </w:r>
      <w:r w:rsidR="00515BB3">
        <w:t>algorithms are</w:t>
      </w:r>
      <w:r w:rsidR="00E749C8">
        <w:t xml:space="preserve"> </w:t>
      </w:r>
      <w:r w:rsidR="007A1C21">
        <w:t>proposed for comparison: Decision Tree (DT) and Support Vector Machine (SVM).</w:t>
      </w:r>
      <w:r w:rsidR="00A73614">
        <w:t xml:space="preserve"> </w:t>
      </w:r>
      <w:r w:rsidR="00ED7E5E">
        <w:t>Decision Trees</w:t>
      </w:r>
      <w:r w:rsidR="00E749C8">
        <w:t xml:space="preserve"> </w:t>
      </w:r>
      <w:r w:rsidR="00162F99">
        <w:t xml:space="preserve">(DT) </w:t>
      </w:r>
      <w:r w:rsidR="00C720BE">
        <w:t>are structured in</w:t>
      </w:r>
      <w:r w:rsidR="00ED7E5E">
        <w:t xml:space="preserve"> a hierarchical s</w:t>
      </w:r>
      <w:r w:rsidR="00C720BE">
        <w:t>cheme that classifies data</w:t>
      </w:r>
      <w:r w:rsidR="00ED7E5E">
        <w:t>,</w:t>
      </w:r>
      <w:r w:rsidR="00C720BE">
        <w:t xml:space="preserve"> sometimes partitioned,</w:t>
      </w:r>
      <w:r w:rsidR="00ED7E5E">
        <w:t xml:space="preserve"> into </w:t>
      </w:r>
      <w:r w:rsidR="00C720BE">
        <w:t xml:space="preserve">larger </w:t>
      </w:r>
      <w:r w:rsidR="00ED7E5E">
        <w:t>uniform subsets based on a series of logical decisions</w:t>
      </w:r>
      <w:r w:rsidR="002449B7">
        <w:t xml:space="preserve"> </w:t>
      </w:r>
      <w:r>
        <w:fldChar w:fldCharType="begin"/>
      </w:r>
      <w:r w:rsidR="00774821">
        <w:instrText xml:space="preserve"> ADDIN ZOTERO_ITEM CSL_CITATION {"citationID":"WbL2OrTD","properties":{"formattedCitation":"(Kharait et al., 2007)","plainCitation":"(Kharait et al., 2007)","noteIndex":0},"citationItems":[{"id":"dUQzBhaE/KsPM9Hdb","uris":["http://zotero.org/groups/5181348/items/VEEHJ5CH"],"itemData":{"id":465,"type":"article-journal","abstract":"Computational models of cell signaling networks typically are aimed at capturing dynamics of molecular components to derive quantitative insights from prior experimental data, and to make predictions concerning altered dynamics under different conditions. However, signaling network models have rarely been used to predict how cell phenotypic behaviors result from the integrated operation of these networks. We recently developed a decision tree model for how EGF-induced fibroblast cell motility across two-dimensional fibronectin-coated surfaces depends on the integrated activation status of five key signaling nodes, including a proximal regulator of transcellular contractile force generation, MLC (myosin light chain) [Hautaniemi et al, Bioinformatics 21: 2027 {2005}], but we have not previously attempted predictions of new experimental effects from this model.","container-title":"BMC Systems Biology","DOI":"10.1186/1752-0509-1-9","ISSN":"1752-0509","issue":"1","journalAbbreviation":"BMC Syst Biol","language":"en","page":"9","source":"Springer Link","title":"Decision tree modeling predicts effects of inhibiting contractility signaling on cell motility","volume":"1","author":[{"family":"Kharait","given":"Sourabh"},{"family":"Hautaniemi","given":"Sampsa"},{"family":"Wu","given":"Shan"},{"family":"Iwabu","given":"Akihiro"},{"family":"Lauffenburger","given":"Douglas A."},{"family":"Wells","given":"Alan"}],"issued":{"date-parts":[["2007",1,29]]}}}],"schema":"https://github.com/citation-style-language/schema/raw/master/csl-citation.json"} </w:instrText>
      </w:r>
      <w:r>
        <w:fldChar w:fldCharType="separate"/>
      </w:r>
      <w:r w:rsidR="000449BB" w:rsidRPr="42E13AF0">
        <w:rPr>
          <w:rFonts w:cs="Arial"/>
        </w:rPr>
        <w:t xml:space="preserve">(Kharait </w:t>
      </w:r>
      <w:r w:rsidR="000449BB" w:rsidRPr="42E13AF0">
        <w:rPr>
          <w:rFonts w:cs="Arial"/>
          <w:i/>
          <w:iCs/>
        </w:rPr>
        <w:t>et al</w:t>
      </w:r>
      <w:r w:rsidR="000449BB" w:rsidRPr="42E13AF0">
        <w:rPr>
          <w:rFonts w:cs="Arial"/>
        </w:rPr>
        <w:t>., 2007)</w:t>
      </w:r>
      <w:r>
        <w:fldChar w:fldCharType="end"/>
      </w:r>
      <w:r w:rsidR="002449B7">
        <w:t xml:space="preserve">. </w:t>
      </w:r>
      <w:r w:rsidR="00E749C8">
        <w:t xml:space="preserve">This tree-based method accommodates both categorical and numerical data, delivering clear and interpretable results </w:t>
      </w:r>
      <w:r>
        <w:fldChar w:fldCharType="begin"/>
      </w:r>
      <w:r w:rsidR="00774821">
        <w:instrText xml:space="preserve"> ADDIN ZOTERO_ITEM CSL_CITATION {"citationID":"RQNqsXWn","properties":{"formattedCitation":"(Kavoni et al., 2025)","plainCitation":"(Kavoni et al., 2025)","noteIndex":0},"citationItems":[{"id":"dUQzBhaE/Ag1xXB2j","uris":["http://zotero.org/groups/5181348/items/BDMMWSXR"],"itemData":{"id":463,"type":"article-journal","abstract":"The production of monoclonal antibodies (mAbs) using Chinese Hamster Ovary (CHO) cells has revolutionized the treatment of numerous diseases, solidifying their position as a cornerstone of the biopharmaceutical industry. However, achieving maximum mAb production while upholding strict product quality standards remains a significant hurdle. Optimizing cell culture media emerges as a critical factor in this endeavor, requiring a nuanced understanding of the complex interplay of nutrients, growth factors, and other components that profoundly influence cellular growth, productivity, and product quality. Significant strides have been made in media optimization, including techniques such as media blending, one factor at a time, and statistical design of experiments approaches. The present review provides a comprehensive analysis of the recent advancements in culture media design strategies, focusing on the comparative application of systems biology (SB) and machine learning (ML) approaches. The applications of SB and ML in optimizing CHO cell culture medium and successful examples of their use are summarized. Finally, we highlight the immense potential of integrating SB and ML, emphasizing the development of hybrid models that leverage the strengths of both approaches for robust, efficient, and scalable optimization of mAb production in CHO cells. This review provides a roadmap for researchers and industry professionals to navigate the complex landscape of mAb production optimization, paving the way for developing next-generation CHO cell culture media that drive significant improvements in yield and productivity.","container-title":"Biotechnology Advances","DOI":"10.1016/j.biotechadv.2024.108480","ISSN":"0734-9750","journalAbbreviation":"Biotechnology Advances","page":"108480","source":"ScienceDirect","title":"Recent advances in culture medium design for enhanced production of monoclonal antibodies in CHO cells: A comparative study of machine learning and systems biology approaches","title-short":"Recent advances in culture medium design for enhanced production of monoclonal antibodies in CHO cells","volume":"78","author":[{"family":"Kavoni","given":"Hossein"},{"family":"Savizi","given":"Iman Shahidi Pour"},{"family":"Lewis","given":"Nathan E."},{"family":"Shojaosadati","given":"Seyed Abbas"}],"issued":{"date-parts":[["2025",1,1]]}}}],"schema":"https://github.com/citation-style-language/schema/raw/master/csl-citation.json"} </w:instrText>
      </w:r>
      <w:r>
        <w:fldChar w:fldCharType="separate"/>
      </w:r>
      <w:r w:rsidR="000449BB" w:rsidRPr="42E13AF0">
        <w:rPr>
          <w:rFonts w:cs="Arial"/>
        </w:rPr>
        <w:t xml:space="preserve">(Kavoni </w:t>
      </w:r>
      <w:r w:rsidR="000449BB" w:rsidRPr="42E13AF0">
        <w:rPr>
          <w:rFonts w:cs="Arial"/>
          <w:i/>
          <w:iCs/>
        </w:rPr>
        <w:t>et al</w:t>
      </w:r>
      <w:r w:rsidR="000449BB" w:rsidRPr="42E13AF0">
        <w:rPr>
          <w:rFonts w:cs="Arial"/>
        </w:rPr>
        <w:t>., 2025)</w:t>
      </w:r>
      <w:r>
        <w:fldChar w:fldCharType="end"/>
      </w:r>
      <w:r w:rsidR="002449B7">
        <w:t xml:space="preserve">. </w:t>
      </w:r>
      <w:r w:rsidR="00C720BE">
        <w:t xml:space="preserve">All the models were trained using the regression learner tool from MATLAB® 2020a. The model types were chosen based on software availability. Three model types were tested for DT: Fine, </w:t>
      </w:r>
      <w:r w:rsidR="5DD98175">
        <w:t>Medium,</w:t>
      </w:r>
      <w:r w:rsidR="00C720BE">
        <w:t xml:space="preserve"> and Coarse, based on the minimum leaf size of the type of model.</w:t>
      </w:r>
    </w:p>
    <w:p w14:paraId="33C55AEE" w14:textId="01A77A21" w:rsidR="002449B7" w:rsidRDefault="002449B7" w:rsidP="00A73614">
      <w:pPr>
        <w:pStyle w:val="CETBodytext"/>
      </w:pPr>
    </w:p>
    <w:p w14:paraId="599A51FB" w14:textId="083B0D07" w:rsidR="002449B7" w:rsidRDefault="00E749C8" w:rsidP="000512E2">
      <w:pPr>
        <w:pStyle w:val="CETBodytext"/>
      </w:pPr>
      <w:r>
        <w:t xml:space="preserve">On the other hand, </w:t>
      </w:r>
      <w:r w:rsidRPr="00E749C8">
        <w:t>SVM is a non-parametric, non-linear technique that has gained significant attention in recent years for its stability, robustness, and versatility, particularly in high-dimensional regression and classification task</w:t>
      </w:r>
      <w:r>
        <w:t>s</w:t>
      </w:r>
      <w:r w:rsidRPr="00E749C8">
        <w:t xml:space="preserve"> </w:t>
      </w:r>
      <w:r w:rsidR="008A680B">
        <w:fldChar w:fldCharType="begin"/>
      </w:r>
      <w:r w:rsidR="00774821">
        <w:instrText xml:space="preserve"> ADDIN ZOTERO_ITEM CSL_CITATION {"citationID":"3KYnInOr","properties":{"formattedCitation":"(Hamedi et al., 2021)","plainCitation":"(Hamedi et al., 2021)","noteIndex":0},"citationItems":[{"id":"dUQzBhaE/eKswf3Oe","uris":["http://zotero.org/groups/5181348/items/AGCG3DB6"],"itemData":{"id":251,"type":"article-journal","abstract":"Performance modeling of wastewater treatment systems has now become an attractive area of investigation for the design, analysis, and optimization of operations. Membrane bioreactor (MBR) is a complex system, composed of different processes such as biological process as well as membrane filtration process. Various models have been developed over the years to individually describe each of these processes. Activated sludge model no. 1 (ASM1) was introduced in 1987, primarily for the design and operation of the biological wastewater treatment processes for ammonia and organic matter removal. In 1995, ASM2 was proposed capturing the removal of phosphorus from wastewater. Finally in 1999, ASM3 was developed as a more accurate model to correct the deficiencies associated with ASM1. ASMs have been widely employed during the last decade to simulate the bioprocess/biomass kinetics in the MBR systems. To incorporate the membrane fouling phenomenon in the modeling approach as well as to better understand the individual and collective foulants, the ASM approaches were modified in 1989 by introducing a main foulant contributing to the membrane fouling phenomenon, the so-called soluble microbial products (SMP) concept. This represents the inception of the hybrid models. Mechanistic modeling of the MBR filtration process is mainly performed using resistance-in-series (RIS) model as one of the extensively used approaches with different subdivisions of total resistance corresponding to the fouling mechanisms. To further improve the knowledge about the system behavior, a combination of the hybrid models with fouling models (mostly RIS) known as integrated models was developed in 2002. Numerous studies have been subsequently devoted to utilizing the integrated models as a best-case scenario for forecasting the MBR process behavior. Moreover in recent years, connectionist tools such as artificial intelligence (AI) and machine learning (ML) have attracted significant attention as reliable modeling methods to predict complex processes associated with the membrane separation by providing linear and nonlinear relationships between the variables. In this paper, we provide a comprehensive review of the literature associated with biomass kinetics developments as well as membrane filtration modeling. A wide range of the models proposed for system optimization, from empirical/system identification to mechanistic/analytical mathematical models are reviewed in this paper. The challenges/limitations with the available models as well as recommendations for future work on MBR modeling and optimization are also highlighted.","container-title":"Journal of Environmental Chemical Engineering","DOI":"10.1016/j.jece.2021.106406","ISSN":"2213-3437","issue":"6","journalAbbreviation":"Journal of Environmental Chemical Engineering","page":"106406","source":"ScienceDirect","title":"A critical review of biomass kinetics and membrane filtration models for membrane bioreactor systems","volume":"9","author":[{"family":"Hamedi","given":"Hamideh"},{"family":"Mohammadzadeh","given":"Omid"},{"family":"Rasouli","given":"Seyedabbas"},{"family":"Zendehboudi","given":"Sohrab"}],"issued":{"date-parts":[["2021",12,1]]}}}],"schema":"https://github.com/citation-style-language/schema/raw/master/csl-citation.json"} </w:instrText>
      </w:r>
      <w:r w:rsidR="008A680B">
        <w:fldChar w:fldCharType="separate"/>
      </w:r>
      <w:r w:rsidR="008A680B" w:rsidRPr="008A680B">
        <w:rPr>
          <w:rFonts w:cs="Arial"/>
        </w:rPr>
        <w:t xml:space="preserve">(Hamedi </w:t>
      </w:r>
      <w:r w:rsidR="008A680B" w:rsidRPr="00DC333F">
        <w:rPr>
          <w:rFonts w:cs="Arial"/>
          <w:i/>
        </w:rPr>
        <w:t>et al</w:t>
      </w:r>
      <w:r w:rsidR="008A680B" w:rsidRPr="008A680B">
        <w:rPr>
          <w:rFonts w:cs="Arial"/>
        </w:rPr>
        <w:t>., 2021)</w:t>
      </w:r>
      <w:r w:rsidR="008A680B">
        <w:fldChar w:fldCharType="end"/>
      </w:r>
      <w:r w:rsidR="002449B7">
        <w:t xml:space="preserve">. In this work, SVM is used to predict accurately the desired output </w:t>
      </w:r>
      <m:oMath>
        <m:r>
          <w:rPr>
            <w:rFonts w:ascii="Cambria Math" w:hAnsi="Cambria Math"/>
          </w:rPr>
          <m:t>y</m:t>
        </m:r>
      </m:oMath>
      <w:r w:rsidR="002449B7">
        <w:t xml:space="preserve"> through Eq</w:t>
      </w:r>
      <w:r w:rsidR="00A248B6">
        <w:t xml:space="preserve"> </w:t>
      </w:r>
      <w:r w:rsidR="00A248B6">
        <w:fldChar w:fldCharType="begin"/>
      </w:r>
      <w:r w:rsidR="00A248B6">
        <w:instrText xml:space="preserve"> REF _Ref190071349 \h </w:instrText>
      </w:r>
      <w:r w:rsidR="00A248B6">
        <w:fldChar w:fldCharType="separate"/>
      </w:r>
      <w:r w:rsidR="00BB5DB2" w:rsidRPr="005478A5">
        <w:t>(</w:t>
      </w:r>
      <w:r w:rsidR="00BB5DB2">
        <w:rPr>
          <w:noProof/>
        </w:rPr>
        <w:t>13</w:t>
      </w:r>
      <w:r w:rsidR="00BB5DB2" w:rsidRPr="005478A5">
        <w:t>)</w:t>
      </w:r>
      <w:r w:rsidR="00A248B6">
        <w:fldChar w:fldCharType="end"/>
      </w:r>
      <w:r w:rsidR="002449B7">
        <w:t xml:space="preserve">. </w:t>
      </w:r>
    </w:p>
    <w:tbl>
      <w:tblPr>
        <w:tblW w:w="5000" w:type="pct"/>
        <w:tblLook w:val="04A0" w:firstRow="1" w:lastRow="0" w:firstColumn="1" w:lastColumn="0" w:noHBand="0" w:noVBand="1"/>
      </w:tblPr>
      <w:tblGrid>
        <w:gridCol w:w="7983"/>
        <w:gridCol w:w="804"/>
      </w:tblGrid>
      <w:tr w:rsidR="00BE24C5" w:rsidRPr="005478A5" w14:paraId="610E8C7D" w14:textId="77777777" w:rsidTr="00BE24C5">
        <w:tc>
          <w:tcPr>
            <w:tcW w:w="7983" w:type="dxa"/>
            <w:shd w:val="clear" w:color="auto" w:fill="auto"/>
            <w:vAlign w:val="center"/>
          </w:tcPr>
          <w:p w14:paraId="746456F0" w14:textId="6C25D914" w:rsidR="00BE24C5" w:rsidRPr="00BA6D46" w:rsidRDefault="00A248B6" w:rsidP="00BE24C5">
            <w:pPr>
              <w:pStyle w:val="CETEquation"/>
              <w:rPr>
                <w:rFonts w:cs="Arial"/>
                <w:lang w:val="es-CO"/>
              </w:rPr>
            </w:pPr>
            <m:oMathPara>
              <m:oMathParaPr>
                <m:jc m:val="left"/>
              </m:oMathParaPr>
              <m:oMath>
                <m:r>
                  <m:rPr>
                    <m:nor/>
                  </m:rPr>
                  <w:rPr>
                    <w:rFonts w:cs="Arial"/>
                  </w:rPr>
                  <m:t xml:space="preserve">y = </m:t>
                </m:r>
                <m:sSup>
                  <m:sSupPr>
                    <m:ctrlPr>
                      <w:rPr>
                        <w:rFonts w:ascii="Cambria Math" w:hAnsi="Cambria Math" w:cs="Arial"/>
                        <w:i/>
                      </w:rPr>
                    </m:ctrlPr>
                  </m:sSupPr>
                  <m:e>
                    <m:r>
                      <m:rPr>
                        <m:nor/>
                      </m:rPr>
                      <w:rPr>
                        <w:rFonts w:cs="Arial"/>
                      </w:rPr>
                      <m:t>w</m:t>
                    </m:r>
                  </m:e>
                  <m:sup>
                    <m:r>
                      <m:rPr>
                        <m:nor/>
                      </m:rPr>
                      <w:rPr>
                        <w:rFonts w:cs="Arial"/>
                      </w:rPr>
                      <m:t xml:space="preserve">T </m:t>
                    </m:r>
                  </m:sup>
                </m:sSup>
                <m:r>
                  <m:rPr>
                    <m:nor/>
                  </m:rPr>
                  <w:rPr>
                    <w:rFonts w:cs="Arial"/>
                  </w:rPr>
                  <m:t>∙ φ</m:t>
                </m:r>
                <m:d>
                  <m:dPr>
                    <m:ctrlPr>
                      <w:rPr>
                        <w:rFonts w:ascii="Cambria Math" w:hAnsi="Cambria Math" w:cs="Arial"/>
                        <w:i/>
                      </w:rPr>
                    </m:ctrlPr>
                  </m:dPr>
                  <m:e>
                    <m:r>
                      <m:rPr>
                        <m:nor/>
                      </m:rPr>
                      <w:rPr>
                        <w:rFonts w:cs="Arial"/>
                      </w:rPr>
                      <m:t>x</m:t>
                    </m:r>
                  </m:e>
                </m:d>
                <m:r>
                  <m:rPr>
                    <m:nor/>
                  </m:rPr>
                  <w:rPr>
                    <w:rFonts w:cs="Arial"/>
                  </w:rPr>
                  <m:t xml:space="preserve"> + b</m:t>
                </m:r>
              </m:oMath>
            </m:oMathPara>
          </w:p>
        </w:tc>
        <w:tc>
          <w:tcPr>
            <w:tcW w:w="804" w:type="dxa"/>
            <w:shd w:val="clear" w:color="auto" w:fill="auto"/>
            <w:vAlign w:val="center"/>
          </w:tcPr>
          <w:p w14:paraId="486836E3" w14:textId="0ED0D018" w:rsidR="00BE24C5" w:rsidRPr="005478A5" w:rsidRDefault="00BE24C5" w:rsidP="00BE24C5">
            <w:pPr>
              <w:pStyle w:val="Lgende"/>
              <w:jc w:val="right"/>
            </w:pPr>
            <w:bookmarkStart w:id="14" w:name="_Ref190071349"/>
            <w:r w:rsidRPr="005478A5">
              <w:t>(</w:t>
            </w:r>
            <w:r w:rsidRPr="005478A5">
              <w:fldChar w:fldCharType="begin"/>
            </w:r>
            <w:r w:rsidRPr="005478A5">
              <w:instrText xml:space="preserve"> SEQ Equation \* ARABIC </w:instrText>
            </w:r>
            <w:r w:rsidRPr="005478A5">
              <w:fldChar w:fldCharType="separate"/>
            </w:r>
            <w:r w:rsidR="009B24C3">
              <w:rPr>
                <w:noProof/>
              </w:rPr>
              <w:t>13</w:t>
            </w:r>
            <w:r w:rsidRPr="005478A5">
              <w:fldChar w:fldCharType="end"/>
            </w:r>
            <w:r w:rsidRPr="005478A5">
              <w:t>)</w:t>
            </w:r>
            <w:bookmarkEnd w:id="14"/>
          </w:p>
        </w:tc>
      </w:tr>
    </w:tbl>
    <w:p w14:paraId="5C519A10" w14:textId="091D8779" w:rsidR="004B5F84" w:rsidRDefault="002449B7" w:rsidP="004B5F84">
      <w:r>
        <w:lastRenderedPageBreak/>
        <w:t xml:space="preserve">where φ(x) is the nonlinear mapping of the input </w:t>
      </w:r>
      <w:r>
        <w:rPr>
          <w:i/>
          <w:iCs/>
        </w:rPr>
        <w:t>x</w:t>
      </w:r>
      <w:r>
        <w:t xml:space="preserve"> into a high dimensional feature space. </w:t>
      </w:r>
      <w:r w:rsidR="00162F99">
        <w:t>Different kernels</w:t>
      </w:r>
      <w:r w:rsidR="00A73614">
        <w:t xml:space="preserve"> were</w:t>
      </w:r>
      <w:r w:rsidR="009A2FFD">
        <w:t xml:space="preserve"> tested</w:t>
      </w:r>
      <w:r w:rsidR="00812C2F">
        <w:t xml:space="preserve">: </w:t>
      </w:r>
      <w:r w:rsidR="00A73614">
        <w:t>Linear, Quadratic, Cubic, and Gaussian.</w:t>
      </w:r>
      <w:r w:rsidR="004B5F84">
        <w:t xml:space="preserve"> </w:t>
      </w:r>
      <w:r w:rsidR="00A73614">
        <w:t>The hyperparameters of both data driven methods were optimized</w:t>
      </w:r>
      <w:r w:rsidR="00BA6D46">
        <w:t>.</w:t>
      </w:r>
      <w:r w:rsidR="00A73614">
        <w:t xml:space="preserve"> </w:t>
      </w:r>
      <w:r w:rsidR="002421A2">
        <w:t>A</w:t>
      </w:r>
      <w:r w:rsidR="006B1219">
        <w:t xml:space="preserve"> Bayesian optimization limited to 150 iterations</w:t>
      </w:r>
      <w:r w:rsidR="002421A2">
        <w:t xml:space="preserve"> was performed for each case</w:t>
      </w:r>
      <w:r w:rsidR="006B1219">
        <w:t>.</w:t>
      </w:r>
      <w:r w:rsidR="00A73614">
        <w:t xml:space="preserve"> </w:t>
      </w:r>
      <w:r w:rsidR="002421A2">
        <w:t>T</w:t>
      </w:r>
      <w:r w:rsidR="006B1219">
        <w:t>he optimized model</w:t>
      </w:r>
      <w:r w:rsidR="002421A2">
        <w:t xml:space="preserve"> for DT</w:t>
      </w:r>
      <w:r w:rsidR="006B1219">
        <w:t xml:space="preserve"> corresponded to</w:t>
      </w:r>
      <w:r w:rsidR="00A73614">
        <w:t xml:space="preserve"> </w:t>
      </w:r>
      <w:r w:rsidR="006B1219">
        <w:t>a</w:t>
      </w:r>
      <w:r w:rsidR="00A73614">
        <w:t xml:space="preserve"> Fine model,</w:t>
      </w:r>
      <w:r w:rsidR="001833F2">
        <w:t xml:space="preserve"> while </w:t>
      </w:r>
      <w:r w:rsidR="00B86E98">
        <w:t xml:space="preserve">a Gaussian kernel function was used </w:t>
      </w:r>
      <w:r w:rsidR="001833F2">
        <w:t>for SVM.</w:t>
      </w:r>
      <w:r w:rsidR="00A73614">
        <w:t xml:space="preserve"> </w:t>
      </w:r>
    </w:p>
    <w:p w14:paraId="5DB10424" w14:textId="73A9AD82" w:rsidR="00DC0CB0" w:rsidRDefault="00DC0CB0" w:rsidP="004B5F84">
      <w:r>
        <w:t xml:space="preserve">The data driven models for </w:t>
      </w:r>
      <w:r w:rsidR="00CC24E6">
        <w:t>r</w:t>
      </w:r>
      <w:r w:rsidR="00CC24E6" w:rsidRPr="00E5647A">
        <w:rPr>
          <w:vertAlign w:val="superscript"/>
        </w:rPr>
        <w:t>*</w:t>
      </w:r>
      <w:r w:rsidR="00CC24E6" w:rsidRPr="00E5647A">
        <w:rPr>
          <w:vertAlign w:val="subscript"/>
        </w:rPr>
        <w:t>p</w:t>
      </w:r>
      <w:r w:rsidR="00CC24E6">
        <w:t xml:space="preserve"> and r</w:t>
      </w:r>
      <w:r w:rsidR="00CC24E6" w:rsidRPr="00E5647A">
        <w:rPr>
          <w:vertAlign w:val="superscript"/>
        </w:rPr>
        <w:t>*</w:t>
      </w:r>
      <w:proofErr w:type="spellStart"/>
      <w:r w:rsidR="00CC24E6" w:rsidRPr="00E5647A">
        <w:rPr>
          <w:vertAlign w:val="subscript"/>
        </w:rPr>
        <w:t>spo</w:t>
      </w:r>
      <w:proofErr w:type="spellEnd"/>
      <w:r w:rsidR="00CC24E6">
        <w:t xml:space="preserve"> can be represented as</w:t>
      </w:r>
      <w:r w:rsidR="00DB3FB4">
        <w:t xml:space="preserve"> a function of the form:</w:t>
      </w:r>
      <w:r>
        <w:t xml:space="preserve"> </w:t>
      </w:r>
    </w:p>
    <w:tbl>
      <w:tblPr>
        <w:tblW w:w="5000" w:type="pct"/>
        <w:tblLook w:val="04A0" w:firstRow="1" w:lastRow="0" w:firstColumn="1" w:lastColumn="0" w:noHBand="0" w:noVBand="1"/>
      </w:tblPr>
      <w:tblGrid>
        <w:gridCol w:w="7983"/>
        <w:gridCol w:w="804"/>
      </w:tblGrid>
      <w:tr w:rsidR="00CC24E6" w:rsidRPr="005478A5" w14:paraId="05025C44" w14:textId="77777777" w:rsidTr="00BE24C5">
        <w:tc>
          <w:tcPr>
            <w:tcW w:w="7983" w:type="dxa"/>
            <w:shd w:val="clear" w:color="auto" w:fill="auto"/>
            <w:vAlign w:val="center"/>
          </w:tcPr>
          <w:p w14:paraId="257271F4" w14:textId="7CD1DC1E" w:rsidR="00CC24E6" w:rsidRPr="001640B4" w:rsidRDefault="00D55007" w:rsidP="00BE24C5">
            <w:pPr>
              <w:pStyle w:val="CETEquation"/>
              <w:rPr>
                <w:rFonts w:cs="Arial"/>
                <w:lang w:val="en-US"/>
              </w:rPr>
            </w:pPr>
            <m:oMathPara>
              <m:oMathParaPr>
                <m:jc m:val="left"/>
              </m:oMathParaPr>
              <m:oMath>
                <m:sSubSup>
                  <m:sSubSupPr>
                    <m:ctrlPr>
                      <w:rPr>
                        <w:rFonts w:ascii="Cambria Math" w:hAnsi="Cambria Math" w:cs="Arial"/>
                        <w:i/>
                        <w:lang w:val="en-US"/>
                      </w:rPr>
                    </m:ctrlPr>
                  </m:sSubSupPr>
                  <m:e>
                    <m:r>
                      <m:rPr>
                        <m:nor/>
                      </m:rPr>
                      <w:rPr>
                        <w:rFonts w:cs="Arial"/>
                        <w:lang w:val="en-US"/>
                      </w:rPr>
                      <m:t>r</m:t>
                    </m:r>
                  </m:e>
                  <m:sub>
                    <m:r>
                      <m:rPr>
                        <m:nor/>
                      </m:rPr>
                      <w:rPr>
                        <w:rFonts w:cs="Arial"/>
                        <w:lang w:val="en-US"/>
                      </w:rPr>
                      <m:t>p</m:t>
                    </m:r>
                  </m:sub>
                  <m:sup>
                    <m:r>
                      <m:rPr>
                        <m:nor/>
                      </m:rPr>
                      <w:rPr>
                        <w:rFonts w:cs="Arial"/>
                        <w:lang w:val="en-US"/>
                      </w:rPr>
                      <m:t>*</m:t>
                    </m:r>
                  </m:sup>
                </m:sSubSup>
                <m:r>
                  <m:rPr>
                    <m:nor/>
                  </m:rPr>
                  <w:rPr>
                    <w:rFonts w:cs="Arial"/>
                    <w:lang w:val="en-US"/>
                  </w:rPr>
                  <m:t>=</m:t>
                </m:r>
                <m:r>
                  <m:rPr>
                    <m:nor/>
                  </m:rPr>
                  <w:rPr>
                    <w:rFonts w:ascii="Cambria Math" w:cs="Arial"/>
                    <w:lang w:val="en-US"/>
                  </w:rPr>
                  <m:t xml:space="preserve"> </m:t>
                </m:r>
                <m:r>
                  <m:rPr>
                    <m:nor/>
                  </m:rPr>
                  <w:rPr>
                    <w:rFonts w:cs="Arial"/>
                    <w:lang w:val="en-US"/>
                  </w:rPr>
                  <m:t>f</m:t>
                </m:r>
                <m:d>
                  <m:dPr>
                    <m:ctrlPr>
                      <w:rPr>
                        <w:rFonts w:ascii="Cambria Math" w:hAnsi="Cambria Math" w:cs="Arial"/>
                        <w:i/>
                        <w:lang w:val="en-US"/>
                      </w:rPr>
                    </m:ctrlPr>
                  </m:dPr>
                  <m:e>
                    <m:r>
                      <m:rPr>
                        <m:nor/>
                      </m:rPr>
                      <w:rPr>
                        <w:rFonts w:cs="Arial"/>
                        <w:lang w:val="en-US"/>
                      </w:rPr>
                      <m:t>µ,</m:t>
                    </m:r>
                    <m:r>
                      <m:rPr>
                        <m:nor/>
                      </m:rPr>
                      <w:rPr>
                        <w:rFonts w:ascii="Cambria Math" w:cs="Arial"/>
                        <w:lang w:val="en-US"/>
                      </w:rPr>
                      <m:t xml:space="preserve"> </m:t>
                    </m:r>
                    <m:f>
                      <m:fPr>
                        <m:ctrlPr>
                          <w:rPr>
                            <w:rFonts w:ascii="Cambria Math" w:hAnsi="Cambria Math" w:cs="Arial"/>
                            <w:i/>
                            <w:lang w:val="en-US"/>
                          </w:rPr>
                        </m:ctrlPr>
                      </m:fPr>
                      <m:num>
                        <w:proofErr w:type="spellStart"/>
                        <m:r>
                          <m:rPr>
                            <m:nor/>
                          </m:rPr>
                          <w:rPr>
                            <w:rFonts w:cs="Arial"/>
                            <w:lang w:val="en-US"/>
                          </w:rPr>
                          <m:t>dG</m:t>
                        </m:r>
                        <w:proofErr w:type="spellEnd"/>
                      </m:num>
                      <m:den>
                        <m:r>
                          <m:rPr>
                            <m:nor/>
                          </m:rPr>
                          <w:rPr>
                            <w:rFonts w:cs="Arial"/>
                            <w:lang w:val="en-US"/>
                          </w:rPr>
                          <m:t>dt</m:t>
                        </m:r>
                      </m:den>
                    </m:f>
                    <m:r>
                      <m:rPr>
                        <m:nor/>
                      </m:rPr>
                      <w:rPr>
                        <w:rFonts w:cs="Arial"/>
                        <w:lang w:val="en-US"/>
                      </w:rPr>
                      <m:t xml:space="preserve">, </m:t>
                    </m:r>
                    <m:sSub>
                      <m:sSubPr>
                        <m:ctrlPr>
                          <w:rPr>
                            <w:rFonts w:ascii="Cambria Math" w:hAnsi="Cambria Math" w:cs="Arial"/>
                            <w:i/>
                            <w:lang w:val="en-US"/>
                          </w:rPr>
                        </m:ctrlPr>
                      </m:sSubPr>
                      <m:e>
                        <m:r>
                          <m:rPr>
                            <m:nor/>
                          </m:rPr>
                          <w:rPr>
                            <w:rFonts w:cs="Arial"/>
                            <w:lang w:val="en-US"/>
                          </w:rPr>
                          <m:t>r</m:t>
                        </m:r>
                      </m:e>
                      <m:sub>
                        <m:r>
                          <m:rPr>
                            <m:nor/>
                          </m:rPr>
                          <w:rPr>
                            <w:rFonts w:cs="Arial"/>
                            <w:lang w:val="en-US"/>
                          </w:rPr>
                          <m:t>p</m:t>
                        </m:r>
                      </m:sub>
                    </m:sSub>
                    <m:r>
                      <m:rPr>
                        <m:nor/>
                      </m:rPr>
                      <w:rPr>
                        <w:rFonts w:cs="Arial"/>
                        <w:lang w:val="en-US"/>
                      </w:rPr>
                      <m:t>,</m:t>
                    </m:r>
                    <m:sSub>
                      <m:sSubPr>
                        <m:ctrlPr>
                          <w:rPr>
                            <w:rFonts w:ascii="Cambria Math" w:hAnsi="Cambria Math" w:cs="Arial"/>
                            <w:i/>
                            <w:lang w:val="en-US"/>
                          </w:rPr>
                        </m:ctrlPr>
                      </m:sSubPr>
                      <m:e>
                        <m:r>
                          <m:rPr>
                            <m:nor/>
                          </m:rPr>
                          <w:rPr>
                            <w:rFonts w:cs="Arial"/>
                            <w:lang w:val="en-US"/>
                          </w:rPr>
                          <m:t>r</m:t>
                        </m:r>
                      </m:e>
                      <m:sub>
                        <w:proofErr w:type="spellStart"/>
                        <m:r>
                          <m:rPr>
                            <m:nor/>
                          </m:rPr>
                          <w:rPr>
                            <w:rFonts w:cs="Arial"/>
                            <w:lang w:val="en-US"/>
                          </w:rPr>
                          <m:t>spo</m:t>
                        </m:r>
                        <w:proofErr w:type="spellEnd"/>
                      </m:sub>
                    </m:sSub>
                  </m:e>
                </m:d>
              </m:oMath>
            </m:oMathPara>
          </w:p>
        </w:tc>
        <w:tc>
          <w:tcPr>
            <w:tcW w:w="804" w:type="dxa"/>
            <w:shd w:val="clear" w:color="auto" w:fill="auto"/>
            <w:vAlign w:val="center"/>
          </w:tcPr>
          <w:p w14:paraId="328A76F5" w14:textId="1237C90B" w:rsidR="00CC24E6" w:rsidRPr="005478A5" w:rsidRDefault="00CC24E6" w:rsidP="00BE24C5">
            <w:pPr>
              <w:pStyle w:val="Lgende"/>
              <w:jc w:val="right"/>
            </w:pPr>
            <w:r w:rsidRPr="005478A5">
              <w:t>(</w:t>
            </w:r>
            <w:r w:rsidRPr="005478A5">
              <w:fldChar w:fldCharType="begin"/>
            </w:r>
            <w:r w:rsidRPr="005478A5">
              <w:instrText xml:space="preserve"> SEQ Equation \* ARABIC </w:instrText>
            </w:r>
            <w:r w:rsidRPr="005478A5">
              <w:fldChar w:fldCharType="separate"/>
            </w:r>
            <w:r w:rsidR="001640B4">
              <w:rPr>
                <w:noProof/>
              </w:rPr>
              <w:t>14</w:t>
            </w:r>
            <w:r w:rsidRPr="005478A5">
              <w:fldChar w:fldCharType="end"/>
            </w:r>
            <w:r w:rsidRPr="005478A5">
              <w:t>)</w:t>
            </w:r>
          </w:p>
        </w:tc>
      </w:tr>
    </w:tbl>
    <w:p w14:paraId="4E7CDD0B" w14:textId="3498A8E4" w:rsidR="00DC0CB0" w:rsidRDefault="002449B7" w:rsidP="00A73614">
      <w:pPr>
        <w:pStyle w:val="CETBodytext"/>
      </w:pPr>
      <w:r>
        <w:t xml:space="preserve">Both models were defined based on four predictors: biomass growth rate (µ) from Eq. </w:t>
      </w:r>
      <w:r>
        <w:fldChar w:fldCharType="begin"/>
      </w:r>
      <w:r>
        <w:instrText xml:space="preserve"> REF _Ref189128588 \h </w:instrText>
      </w:r>
      <w:r>
        <w:fldChar w:fldCharType="separate"/>
      </w:r>
      <w:r w:rsidR="00E64825" w:rsidRPr="005478A5">
        <w:t>(</w:t>
      </w:r>
      <w:r w:rsidR="00E64825">
        <w:rPr>
          <w:noProof/>
        </w:rPr>
        <w:t>7</w:t>
      </w:r>
      <w:r w:rsidR="00E64825" w:rsidRPr="005478A5">
        <w:t>)</w:t>
      </w:r>
      <w:r>
        <w:fldChar w:fldCharType="end"/>
      </w:r>
      <w:r>
        <w:t>, and the consumption</w:t>
      </w:r>
      <w:r w:rsidR="00AF3C45">
        <w:t xml:space="preserve"> or</w:t>
      </w:r>
      <w:r>
        <w:t xml:space="preserve"> production rates from Eq.</w:t>
      </w:r>
      <w:r w:rsidR="00726933">
        <w:t xml:space="preserve"> </w:t>
      </w:r>
      <w:r w:rsidR="00726933">
        <w:fldChar w:fldCharType="begin"/>
      </w:r>
      <w:r w:rsidR="00726933">
        <w:instrText xml:space="preserve"> REF _Ref189128600 \h </w:instrText>
      </w:r>
      <w:r w:rsidR="00726933">
        <w:fldChar w:fldCharType="separate"/>
      </w:r>
      <w:r w:rsidR="00F14EB7" w:rsidRPr="005478A5">
        <w:t>(</w:t>
      </w:r>
      <w:r w:rsidR="00F14EB7">
        <w:rPr>
          <w:noProof/>
        </w:rPr>
        <w:t>4</w:t>
      </w:r>
      <w:r w:rsidR="00F14EB7" w:rsidRPr="005478A5">
        <w:t>)</w:t>
      </w:r>
      <w:r w:rsidR="00726933">
        <w:fldChar w:fldCharType="end"/>
      </w:r>
      <w:r>
        <w:t xml:space="preserve"> for </w:t>
      </w:r>
      <w:r w:rsidR="003C6A88">
        <w:t xml:space="preserve">glucose </w:t>
      </w:r>
      <w:r>
        <w:t>(</w:t>
      </w:r>
      <w:proofErr w:type="spellStart"/>
      <w:r w:rsidR="00B265AD">
        <w:t>d</w:t>
      </w:r>
      <w:r w:rsidR="00AF3C45">
        <w:t>G</w:t>
      </w:r>
      <w:proofErr w:type="spellEnd"/>
      <w:r w:rsidR="00AF3C45">
        <w:t>/dt</w:t>
      </w:r>
      <w:r>
        <w:t xml:space="preserve">), Eq. </w:t>
      </w:r>
      <w:r w:rsidR="00726933">
        <w:fldChar w:fldCharType="begin"/>
      </w:r>
      <w:r w:rsidR="00726933">
        <w:instrText xml:space="preserve"> REF _Ref190262250 \h </w:instrText>
      </w:r>
      <w:r w:rsidR="00726933">
        <w:fldChar w:fldCharType="separate"/>
      </w:r>
      <w:r w:rsidR="00E64825" w:rsidRPr="005478A5">
        <w:t>(</w:t>
      </w:r>
      <w:r w:rsidR="00E64825">
        <w:rPr>
          <w:noProof/>
        </w:rPr>
        <w:t>5</w:t>
      </w:r>
      <w:r w:rsidR="00E64825" w:rsidRPr="005478A5">
        <w:t>)</w:t>
      </w:r>
      <w:r w:rsidR="00726933">
        <w:fldChar w:fldCharType="end"/>
      </w:r>
      <w:r w:rsidR="00726933">
        <w:t xml:space="preserve"> </w:t>
      </w:r>
      <w:r>
        <w:t>for proteins (</w:t>
      </w:r>
      <w:proofErr w:type="spellStart"/>
      <w:r>
        <w:t>r</w:t>
      </w:r>
      <w:r w:rsidRPr="002449B7">
        <w:rPr>
          <w:vertAlign w:val="subscript"/>
        </w:rPr>
        <w:t>p</w:t>
      </w:r>
      <w:proofErr w:type="spellEnd"/>
      <w:r>
        <w:t>) and Eq.</w:t>
      </w:r>
      <w:r w:rsidR="00726933">
        <w:t xml:space="preserve"> </w:t>
      </w:r>
      <w:r w:rsidR="00726933">
        <w:fldChar w:fldCharType="begin"/>
      </w:r>
      <w:r w:rsidR="00726933">
        <w:instrText xml:space="preserve"> REF _Ref189904832 \h </w:instrText>
      </w:r>
      <w:r w:rsidR="00726933">
        <w:fldChar w:fldCharType="separate"/>
      </w:r>
      <w:r w:rsidR="00E64825" w:rsidRPr="005478A5">
        <w:t>(</w:t>
      </w:r>
      <w:r w:rsidR="00E64825">
        <w:rPr>
          <w:noProof/>
        </w:rPr>
        <w:t>6</w:t>
      </w:r>
      <w:r w:rsidR="00E64825" w:rsidRPr="005478A5">
        <w:t>)</w:t>
      </w:r>
      <w:r w:rsidR="00726933">
        <w:fldChar w:fldCharType="end"/>
      </w:r>
      <w:r>
        <w:fldChar w:fldCharType="begin"/>
      </w:r>
      <w:r>
        <w:instrText xml:space="preserve"> REF _Ref189904890 \h </w:instrText>
      </w:r>
      <w:r>
        <w:fldChar w:fldCharType="end"/>
      </w:r>
      <w:r>
        <w:t xml:space="preserve"> for spores (</w:t>
      </w:r>
      <w:proofErr w:type="spellStart"/>
      <w:r>
        <w:t>r</w:t>
      </w:r>
      <w:r w:rsidRPr="002449B7">
        <w:rPr>
          <w:vertAlign w:val="subscript"/>
        </w:rPr>
        <w:t>spo</w:t>
      </w:r>
      <w:proofErr w:type="spellEnd"/>
      <w:r>
        <w:t>). The</w:t>
      </w:r>
      <w:r w:rsidR="004400AB">
        <w:t xml:space="preserve"> results of the</w:t>
      </w:r>
      <w:r>
        <w:t xml:space="preserve"> implementation of these models coupled with the dynamic model are presented in the results section. </w:t>
      </w:r>
    </w:p>
    <w:p w14:paraId="677EBFF0" w14:textId="244ED783" w:rsidR="00600535" w:rsidRPr="005478A5" w:rsidRDefault="000166C7" w:rsidP="007A4C59">
      <w:pPr>
        <w:pStyle w:val="CETHeading1"/>
      </w:pPr>
      <w:r w:rsidRPr="007A4C59">
        <w:t>Results</w:t>
      </w:r>
    </w:p>
    <w:p w14:paraId="4615281C" w14:textId="79BD0093" w:rsidR="004D5928" w:rsidRDefault="00C810BD" w:rsidP="004D5928">
      <w:r>
        <w:t xml:space="preserve">The </w:t>
      </w:r>
      <w:r w:rsidR="4D156C43">
        <w:t>data-driven</w:t>
      </w:r>
      <w:r w:rsidR="00022674">
        <w:t xml:space="preserve"> </w:t>
      </w:r>
      <w:r>
        <w:t>models</w:t>
      </w:r>
      <w:r w:rsidR="004D5928">
        <w:t>,</w:t>
      </w:r>
      <w:r>
        <w:t xml:space="preserve"> </w:t>
      </w:r>
      <w:r w:rsidR="004D5928">
        <w:t xml:space="preserve">that belong to the Hybrid model, </w:t>
      </w:r>
      <w:r w:rsidR="00905A19">
        <w:t xml:space="preserve">were trained using data from </w:t>
      </w:r>
      <w:r w:rsidR="00022674">
        <w:t xml:space="preserve">the batch that reported a wider range of concentration for each variable. </w:t>
      </w:r>
      <w:r w:rsidR="00D74300">
        <w:t>Batch B2 was selected to train the</w:t>
      </w:r>
      <w:r w:rsidR="00584ED1">
        <w:t xml:space="preserve"> </w:t>
      </w:r>
      <w:r w:rsidR="00E479CC">
        <w:t xml:space="preserve">protein </w:t>
      </w:r>
      <w:r w:rsidR="00E56EC2">
        <w:t>rate,</w:t>
      </w:r>
      <w:r w:rsidR="00584ED1">
        <w:t xml:space="preserve"> </w:t>
      </w:r>
      <w:r w:rsidR="003C3CDA">
        <w:t>and</w:t>
      </w:r>
      <w:r w:rsidR="00905A19">
        <w:t xml:space="preserve"> batch </w:t>
      </w:r>
      <w:r w:rsidR="00E479CC">
        <w:t>B</w:t>
      </w:r>
      <w:r w:rsidR="00905A19">
        <w:t>1</w:t>
      </w:r>
      <w:r w:rsidR="00E479CC">
        <w:t xml:space="preserve"> </w:t>
      </w:r>
      <w:r w:rsidR="00F06186">
        <w:t>in the case of</w:t>
      </w:r>
      <w:r w:rsidR="00E479CC">
        <w:t xml:space="preserve"> spore</w:t>
      </w:r>
      <w:r>
        <w:t>.</w:t>
      </w:r>
      <w:r w:rsidR="00584ED1">
        <w:t xml:space="preserve"> </w:t>
      </w:r>
      <w:r w:rsidR="004D5928">
        <w:t xml:space="preserve">In order to compare the performance of the Dynamic model (DM) against the Dynamic Hybrid model (DHM), the complete models were assessed regarding protein and spore concentrations. </w:t>
      </w:r>
      <w:r w:rsidR="00B53317">
        <w:t>T</w:t>
      </w:r>
      <w:r w:rsidR="00B50FBD">
        <w:t>he prediction</w:t>
      </w:r>
      <w:r w:rsidR="004D5928">
        <w:t>s</w:t>
      </w:r>
      <w:r w:rsidR="00B53317">
        <w:t xml:space="preserve"> w</w:t>
      </w:r>
      <w:r w:rsidR="004D5928">
        <w:t>ere</w:t>
      </w:r>
      <w:r w:rsidR="00B53317">
        <w:t xml:space="preserve"> assessed through</w:t>
      </w:r>
      <w:r w:rsidR="00B50FBD">
        <w:t xml:space="preserve"> the mean absolute error (MAE), root mean squared errors (RMSE) and the normalized</w:t>
      </w:r>
      <w:r w:rsidR="00B53317">
        <w:t xml:space="preserve"> root mean squared errors (NRMSE)</w:t>
      </w:r>
      <w:r w:rsidR="00C91343">
        <w:t xml:space="preserve"> </w:t>
      </w:r>
      <w:r w:rsidR="004D5928">
        <w:t xml:space="preserve">of the models </w:t>
      </w:r>
      <w:r w:rsidR="00C91343">
        <w:t>compared to the filtered data</w:t>
      </w:r>
      <w:r w:rsidR="00FD655A">
        <w:t xml:space="preserve"> </w:t>
      </w:r>
      <w:r w:rsidR="00EC454C">
        <w:t xml:space="preserve">in </w:t>
      </w:r>
      <w:r>
        <w:fldChar w:fldCharType="begin"/>
      </w:r>
      <w:r>
        <w:instrText xml:space="preserve"> REF _Ref190336326 \h </w:instrText>
      </w:r>
      <w:r>
        <w:fldChar w:fldCharType="separate"/>
      </w:r>
      <w:r w:rsidR="00EC7F5E">
        <w:t xml:space="preserve">Table </w:t>
      </w:r>
      <w:r w:rsidR="00EC7F5E" w:rsidRPr="42E13AF0">
        <w:rPr>
          <w:noProof/>
        </w:rPr>
        <w:t>1</w:t>
      </w:r>
      <w:r>
        <w:fldChar w:fldCharType="end"/>
      </w:r>
      <w:r w:rsidR="00B53317">
        <w:t>.</w:t>
      </w:r>
      <w:r w:rsidR="00D47757">
        <w:t xml:space="preserve"> </w:t>
      </w:r>
    </w:p>
    <w:p w14:paraId="24DBC9A5" w14:textId="1534426E" w:rsidR="00FD655A" w:rsidRPr="00881E18" w:rsidRDefault="00254B83" w:rsidP="004D5928">
      <w:pPr>
        <w:rPr>
          <w:rStyle w:val="CETCaptionCarattere"/>
          <w:i w:val="0"/>
        </w:rPr>
      </w:pPr>
      <w:r>
        <w:t>Regarding protein concentration,</w:t>
      </w:r>
      <w:r w:rsidR="00FD655A">
        <w:t xml:space="preserve"> D</w:t>
      </w:r>
      <w:r w:rsidR="004D5928">
        <w:t>HMs</w:t>
      </w:r>
      <w:r w:rsidR="00FD655A">
        <w:t xml:space="preserve"> with the lowest error for</w:t>
      </w:r>
      <w:r>
        <w:t xml:space="preserve"> the three metrics for the</w:t>
      </w:r>
      <w:r w:rsidR="00FD655A">
        <w:t xml:space="preserve"> training were S</w:t>
      </w:r>
      <w:r>
        <w:t xml:space="preserve">upport </w:t>
      </w:r>
      <w:r w:rsidR="00FD655A">
        <w:t>V</w:t>
      </w:r>
      <w:r>
        <w:t xml:space="preserve">ector </w:t>
      </w:r>
      <w:r w:rsidR="00FD655A">
        <w:t>M</w:t>
      </w:r>
      <w:r>
        <w:t>achine (SVM)</w:t>
      </w:r>
      <w:r w:rsidR="00FD655A">
        <w:t xml:space="preserve"> with Gaussian kernel functio</w:t>
      </w:r>
      <w:r w:rsidR="006B7BC2">
        <w:t>n</w:t>
      </w:r>
      <w:r w:rsidR="00FD655A">
        <w:t xml:space="preserve">, and the </w:t>
      </w:r>
      <w:r w:rsidR="006B7BC2">
        <w:t>Fine</w:t>
      </w:r>
      <w:r w:rsidR="00E20A72">
        <w:t xml:space="preserve"> </w:t>
      </w:r>
      <w:r w:rsidR="00FD655A">
        <w:t>D</w:t>
      </w:r>
      <w:r>
        <w:t xml:space="preserve">ecision </w:t>
      </w:r>
      <w:r w:rsidR="00FD655A">
        <w:t>T</w:t>
      </w:r>
      <w:r>
        <w:t>ree (DT)</w:t>
      </w:r>
      <w:r w:rsidR="003D7FE6">
        <w:t xml:space="preserve"> with optimized leaf size</w:t>
      </w:r>
      <w:r w:rsidR="00E20A72">
        <w:t xml:space="preserve"> (Fine (</w:t>
      </w:r>
      <w:proofErr w:type="spellStart"/>
      <w:r w:rsidR="00E20A72">
        <w:t>Opt</w:t>
      </w:r>
      <w:proofErr w:type="spellEnd"/>
      <w:r w:rsidR="00E20A72">
        <w:t>))</w:t>
      </w:r>
      <w:r w:rsidR="00FD655A">
        <w:t xml:space="preserve">. </w:t>
      </w:r>
      <w:r>
        <w:t xml:space="preserve">Although the NRMSE is the same for </w:t>
      </w:r>
      <w:r w:rsidR="00061152">
        <w:t xml:space="preserve">SVM </w:t>
      </w:r>
      <w:r>
        <w:t>Gaussian and Gaussian (</w:t>
      </w:r>
      <w:proofErr w:type="spellStart"/>
      <w:r>
        <w:t>Opt</w:t>
      </w:r>
      <w:proofErr w:type="spellEnd"/>
      <w:r>
        <w:t xml:space="preserve">), the first method was </w:t>
      </w:r>
      <w:r w:rsidR="009531A7">
        <w:t>preferred</w:t>
      </w:r>
      <w:r>
        <w:t xml:space="preserve"> based on the training time of the data-driven model (0.8 s and 699 s, respectively). </w:t>
      </w:r>
      <w:r w:rsidR="00FD655A">
        <w:t xml:space="preserve">The DHM with the lowest error for validation test </w:t>
      </w:r>
      <w:r w:rsidR="004E4179">
        <w:t>was</w:t>
      </w:r>
      <w:r w:rsidR="00FD655A">
        <w:t xml:space="preserve"> SVM with </w:t>
      </w:r>
      <w:r w:rsidR="003D7FE6">
        <w:t>Linear</w:t>
      </w:r>
      <w:r w:rsidR="00FD655A">
        <w:t xml:space="preserve"> kernel function.</w:t>
      </w:r>
      <w:r>
        <w:t xml:space="preserve"> However, all</w:t>
      </w:r>
      <w:r w:rsidR="004E4179">
        <w:t xml:space="preserve"> </w:t>
      </w:r>
      <w:r w:rsidR="004E4179">
        <w:t>DT</w:t>
      </w:r>
      <w:r>
        <w:t xml:space="preserve"> methods show equivalent metrics results, where Medium DT was slightly better.</w:t>
      </w:r>
      <w:r w:rsidR="00D8534B">
        <w:t xml:space="preserve"> </w:t>
      </w:r>
      <w:r w:rsidR="00D8534B">
        <w:t>Figure 1 shows the comparison between the protein concentration estimated using the DM and the DHMs with the lowest error for each batch</w:t>
      </w:r>
      <w:r w:rsidR="00D8534B">
        <w:t>.</w:t>
      </w:r>
    </w:p>
    <w:p w14:paraId="1ED38228" w14:textId="77777777" w:rsidR="00FD655A" w:rsidRPr="005478A5" w:rsidRDefault="00FD655A" w:rsidP="00FD655A">
      <w:pPr>
        <w:pStyle w:val="CETTabletitle"/>
        <w:rPr>
          <w:lang w:val="en-US"/>
        </w:rPr>
      </w:pPr>
      <w:bookmarkStart w:id="15" w:name="_Ref190336326"/>
      <w:r w:rsidRPr="005478A5">
        <w:rPr>
          <w:lang w:val="en-US"/>
        </w:rPr>
        <w:t xml:space="preserve">Table </w:t>
      </w:r>
      <w:r w:rsidRPr="005478A5">
        <w:rPr>
          <w:lang w:val="en-US"/>
        </w:rPr>
        <w:fldChar w:fldCharType="begin"/>
      </w:r>
      <w:r w:rsidRPr="005478A5">
        <w:rPr>
          <w:lang w:val="en-US"/>
        </w:rPr>
        <w:instrText xml:space="preserve"> SEQ Table \* ARABIC </w:instrText>
      </w:r>
      <w:r w:rsidRPr="005478A5">
        <w:rPr>
          <w:lang w:val="en-US"/>
        </w:rPr>
        <w:fldChar w:fldCharType="separate"/>
      </w:r>
      <w:r w:rsidRPr="005478A5">
        <w:rPr>
          <w:noProof/>
          <w:lang w:val="en-US"/>
        </w:rPr>
        <w:t>1</w:t>
      </w:r>
      <w:r w:rsidRPr="005478A5">
        <w:rPr>
          <w:lang w:val="en-US"/>
        </w:rPr>
        <w:fldChar w:fldCharType="end"/>
      </w:r>
      <w:bookmarkEnd w:id="15"/>
      <w:r w:rsidRPr="005478A5">
        <w:rPr>
          <w:lang w:val="en-US"/>
        </w:rPr>
        <w:t xml:space="preserve">: Error comparison </w:t>
      </w:r>
      <w:r>
        <w:rPr>
          <w:lang w:val="en-US"/>
        </w:rPr>
        <w:t>of training and</w:t>
      </w:r>
      <w:r w:rsidRPr="005478A5">
        <w:rPr>
          <w:lang w:val="en-US"/>
        </w:rPr>
        <w:t xml:space="preserve"> validation test</w:t>
      </w:r>
      <w:r>
        <w:rPr>
          <w:lang w:val="en-US"/>
        </w:rPr>
        <w:t>s</w:t>
      </w:r>
      <w:r w:rsidRPr="005478A5">
        <w:rPr>
          <w:lang w:val="en-US"/>
        </w:rPr>
        <w:t xml:space="preserve"> for protein models</w:t>
      </w:r>
      <w:r>
        <w:rPr>
          <w:lang w:val="en-US"/>
        </w:rPr>
        <w:t xml:space="preserve"> using filtered data</w:t>
      </w:r>
      <w:r w:rsidRPr="005478A5">
        <w:rPr>
          <w:lang w:val="en-US"/>
        </w:rPr>
        <w:t>.</w:t>
      </w:r>
    </w:p>
    <w:tbl>
      <w:tblPr>
        <w:tblW w:w="801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275"/>
        <w:gridCol w:w="992"/>
        <w:gridCol w:w="992"/>
        <w:gridCol w:w="993"/>
        <w:gridCol w:w="992"/>
        <w:gridCol w:w="992"/>
        <w:gridCol w:w="790"/>
      </w:tblGrid>
      <w:tr w:rsidR="00FD655A" w:rsidRPr="005478A5" w14:paraId="02C0586B" w14:textId="77777777" w:rsidTr="00820D37">
        <w:tc>
          <w:tcPr>
            <w:tcW w:w="993" w:type="dxa"/>
            <w:tcBorders>
              <w:top w:val="single" w:sz="12" w:space="0" w:color="008000"/>
              <w:bottom w:val="single" w:sz="6" w:space="0" w:color="008000"/>
            </w:tcBorders>
            <w:shd w:val="clear" w:color="auto" w:fill="FFFFFF"/>
          </w:tcPr>
          <w:p w14:paraId="3334E963" w14:textId="77777777" w:rsidR="00FD655A" w:rsidRPr="005478A5" w:rsidRDefault="00FD655A" w:rsidP="00820D37">
            <w:pPr>
              <w:pStyle w:val="CETBodytext"/>
            </w:pPr>
            <w:r>
              <w:t>Test</w:t>
            </w:r>
            <w:r w:rsidRPr="005478A5">
              <w:t xml:space="preserve"> type</w:t>
            </w:r>
          </w:p>
        </w:tc>
        <w:tc>
          <w:tcPr>
            <w:tcW w:w="1275" w:type="dxa"/>
            <w:tcBorders>
              <w:top w:val="single" w:sz="12" w:space="0" w:color="008000"/>
              <w:bottom w:val="single" w:sz="6" w:space="0" w:color="008000"/>
            </w:tcBorders>
            <w:shd w:val="clear" w:color="auto" w:fill="FFFFFF"/>
          </w:tcPr>
          <w:p w14:paraId="0FEA3EEE" w14:textId="77777777" w:rsidR="00FD655A" w:rsidRPr="005478A5" w:rsidRDefault="00FD655A" w:rsidP="00820D37">
            <w:pPr>
              <w:pStyle w:val="CETBodytext"/>
            </w:pPr>
          </w:p>
        </w:tc>
        <w:tc>
          <w:tcPr>
            <w:tcW w:w="2977" w:type="dxa"/>
            <w:gridSpan w:val="3"/>
            <w:tcBorders>
              <w:top w:val="single" w:sz="12" w:space="0" w:color="008000"/>
              <w:bottom w:val="single" w:sz="6" w:space="0" w:color="008000"/>
            </w:tcBorders>
            <w:shd w:val="clear" w:color="auto" w:fill="FFFFFF"/>
            <w:vAlign w:val="center"/>
          </w:tcPr>
          <w:p w14:paraId="287CDA46" w14:textId="77777777" w:rsidR="00FD655A" w:rsidRPr="005478A5" w:rsidRDefault="00FD655A" w:rsidP="00820D37">
            <w:pPr>
              <w:pStyle w:val="CETBodytext"/>
              <w:ind w:right="-1"/>
              <w:jc w:val="left"/>
            </w:pPr>
            <w:r>
              <w:t>Training (B2)</w:t>
            </w:r>
          </w:p>
        </w:tc>
        <w:tc>
          <w:tcPr>
            <w:tcW w:w="2774" w:type="dxa"/>
            <w:gridSpan w:val="3"/>
            <w:tcBorders>
              <w:top w:val="single" w:sz="12" w:space="0" w:color="008000"/>
              <w:bottom w:val="single" w:sz="6" w:space="0" w:color="008000"/>
            </w:tcBorders>
            <w:shd w:val="clear" w:color="auto" w:fill="FFFFFF"/>
          </w:tcPr>
          <w:p w14:paraId="58CE708B" w14:textId="77777777" w:rsidR="00FD655A" w:rsidRPr="005478A5" w:rsidRDefault="00FD655A" w:rsidP="00820D37">
            <w:pPr>
              <w:pStyle w:val="CETBodytext"/>
              <w:ind w:right="-1"/>
            </w:pPr>
            <w:r>
              <w:t>Validation (B1)</w:t>
            </w:r>
          </w:p>
        </w:tc>
      </w:tr>
      <w:tr w:rsidR="00FD655A" w:rsidRPr="005478A5" w14:paraId="41F0A1E6" w14:textId="77777777" w:rsidTr="00820D37">
        <w:tc>
          <w:tcPr>
            <w:tcW w:w="993" w:type="dxa"/>
            <w:tcBorders>
              <w:top w:val="single" w:sz="12" w:space="0" w:color="008000"/>
              <w:bottom w:val="single" w:sz="6" w:space="0" w:color="008000"/>
            </w:tcBorders>
            <w:shd w:val="clear" w:color="auto" w:fill="FFFFFF"/>
          </w:tcPr>
          <w:p w14:paraId="280CC522" w14:textId="77777777" w:rsidR="00FD655A" w:rsidRPr="005478A5" w:rsidRDefault="00FD655A" w:rsidP="00820D37">
            <w:pPr>
              <w:pStyle w:val="CETBodytext"/>
            </w:pPr>
            <w:r w:rsidRPr="005478A5">
              <w:t>Method</w:t>
            </w:r>
          </w:p>
        </w:tc>
        <w:tc>
          <w:tcPr>
            <w:tcW w:w="1275" w:type="dxa"/>
            <w:tcBorders>
              <w:top w:val="single" w:sz="12" w:space="0" w:color="008000"/>
              <w:bottom w:val="single" w:sz="6" w:space="0" w:color="008000"/>
            </w:tcBorders>
            <w:shd w:val="clear" w:color="auto" w:fill="FFFFFF"/>
          </w:tcPr>
          <w:p w14:paraId="0CF36F0A" w14:textId="77777777" w:rsidR="00FD655A" w:rsidRPr="005478A5" w:rsidRDefault="00FD655A" w:rsidP="00820D37">
            <w:pPr>
              <w:pStyle w:val="CETBodytext"/>
            </w:pPr>
            <w:r w:rsidRPr="005478A5">
              <w:t>Type</w:t>
            </w:r>
          </w:p>
        </w:tc>
        <w:tc>
          <w:tcPr>
            <w:tcW w:w="992" w:type="dxa"/>
            <w:tcBorders>
              <w:top w:val="single" w:sz="12" w:space="0" w:color="008000"/>
              <w:bottom w:val="single" w:sz="6" w:space="0" w:color="008000"/>
            </w:tcBorders>
            <w:shd w:val="clear" w:color="auto" w:fill="FFFFFF"/>
            <w:vAlign w:val="center"/>
          </w:tcPr>
          <w:p w14:paraId="71F79A43" w14:textId="77777777" w:rsidR="00FD655A" w:rsidRPr="005478A5" w:rsidRDefault="00FD655A" w:rsidP="00820D37">
            <w:pPr>
              <w:pStyle w:val="CETBodytext"/>
              <w:jc w:val="left"/>
            </w:pPr>
            <w:r w:rsidRPr="005478A5">
              <w:t>MAE</w:t>
            </w:r>
          </w:p>
        </w:tc>
        <w:tc>
          <w:tcPr>
            <w:tcW w:w="992" w:type="dxa"/>
            <w:tcBorders>
              <w:top w:val="single" w:sz="12" w:space="0" w:color="008000"/>
              <w:bottom w:val="single" w:sz="6" w:space="0" w:color="008000"/>
            </w:tcBorders>
            <w:shd w:val="clear" w:color="auto" w:fill="FFFFFF"/>
            <w:vAlign w:val="center"/>
          </w:tcPr>
          <w:p w14:paraId="42E5EF0E" w14:textId="77777777" w:rsidR="00FD655A" w:rsidRPr="005478A5" w:rsidRDefault="00FD655A" w:rsidP="00820D37">
            <w:pPr>
              <w:pStyle w:val="CETBodytext"/>
              <w:jc w:val="left"/>
            </w:pPr>
            <w:r w:rsidRPr="005478A5">
              <w:t>RMSE</w:t>
            </w:r>
          </w:p>
        </w:tc>
        <w:tc>
          <w:tcPr>
            <w:tcW w:w="993" w:type="dxa"/>
            <w:tcBorders>
              <w:top w:val="single" w:sz="12" w:space="0" w:color="008000"/>
              <w:bottom w:val="single" w:sz="6" w:space="0" w:color="008000"/>
            </w:tcBorders>
            <w:shd w:val="clear" w:color="auto" w:fill="FFFFFF"/>
            <w:vAlign w:val="center"/>
          </w:tcPr>
          <w:p w14:paraId="0A10C986" w14:textId="77777777" w:rsidR="00FD655A" w:rsidRPr="005478A5" w:rsidRDefault="00FD655A" w:rsidP="00820D37">
            <w:pPr>
              <w:pStyle w:val="CETBodytext"/>
              <w:ind w:right="-1"/>
              <w:jc w:val="left"/>
              <w:rPr>
                <w:rFonts w:cs="Arial"/>
                <w:szCs w:val="18"/>
              </w:rPr>
            </w:pPr>
            <w:r w:rsidRPr="005478A5">
              <w:t xml:space="preserve">NRMSE </w:t>
            </w:r>
          </w:p>
        </w:tc>
        <w:tc>
          <w:tcPr>
            <w:tcW w:w="992" w:type="dxa"/>
            <w:tcBorders>
              <w:top w:val="single" w:sz="12" w:space="0" w:color="008000"/>
              <w:bottom w:val="single" w:sz="6" w:space="0" w:color="008000"/>
            </w:tcBorders>
            <w:shd w:val="clear" w:color="auto" w:fill="FFFFFF"/>
            <w:vAlign w:val="center"/>
          </w:tcPr>
          <w:p w14:paraId="410FE090" w14:textId="77777777" w:rsidR="00FD655A" w:rsidRPr="005478A5" w:rsidRDefault="00FD655A" w:rsidP="00820D37">
            <w:pPr>
              <w:pStyle w:val="CETBodytext"/>
              <w:ind w:right="-1"/>
              <w:jc w:val="left"/>
              <w:rPr>
                <w:rFonts w:cs="Arial"/>
                <w:szCs w:val="18"/>
              </w:rPr>
            </w:pPr>
            <w:r w:rsidRPr="005478A5">
              <w:t>MAE</w:t>
            </w:r>
          </w:p>
        </w:tc>
        <w:tc>
          <w:tcPr>
            <w:tcW w:w="992" w:type="dxa"/>
            <w:tcBorders>
              <w:top w:val="single" w:sz="12" w:space="0" w:color="008000"/>
              <w:bottom w:val="single" w:sz="6" w:space="0" w:color="008000"/>
            </w:tcBorders>
            <w:shd w:val="clear" w:color="auto" w:fill="FFFFFF"/>
            <w:vAlign w:val="center"/>
          </w:tcPr>
          <w:p w14:paraId="1926C7B6" w14:textId="77777777" w:rsidR="00FD655A" w:rsidRPr="005478A5" w:rsidRDefault="00FD655A" w:rsidP="00820D37">
            <w:pPr>
              <w:pStyle w:val="CETBodytext"/>
              <w:ind w:right="-1"/>
              <w:jc w:val="left"/>
              <w:rPr>
                <w:rFonts w:cs="Arial"/>
                <w:szCs w:val="18"/>
              </w:rPr>
            </w:pPr>
            <w:r w:rsidRPr="005478A5">
              <w:t>RMSE</w:t>
            </w:r>
          </w:p>
        </w:tc>
        <w:tc>
          <w:tcPr>
            <w:tcW w:w="790" w:type="dxa"/>
            <w:tcBorders>
              <w:top w:val="single" w:sz="12" w:space="0" w:color="008000"/>
              <w:bottom w:val="single" w:sz="6" w:space="0" w:color="008000"/>
            </w:tcBorders>
            <w:shd w:val="clear" w:color="auto" w:fill="FFFFFF"/>
            <w:vAlign w:val="center"/>
          </w:tcPr>
          <w:p w14:paraId="7FC84AF5" w14:textId="77777777" w:rsidR="00FD655A" w:rsidRPr="005478A5" w:rsidRDefault="00FD655A" w:rsidP="00820D37">
            <w:pPr>
              <w:pStyle w:val="CETBodytext"/>
              <w:ind w:right="-1"/>
              <w:jc w:val="left"/>
              <w:rPr>
                <w:rFonts w:cs="Arial"/>
                <w:szCs w:val="18"/>
              </w:rPr>
            </w:pPr>
            <w:r w:rsidRPr="005478A5">
              <w:t>NRMSE</w:t>
            </w:r>
          </w:p>
        </w:tc>
      </w:tr>
      <w:tr w:rsidR="009652B2" w:rsidRPr="005478A5" w14:paraId="75E505ED" w14:textId="77777777" w:rsidTr="00D55007">
        <w:tc>
          <w:tcPr>
            <w:tcW w:w="993" w:type="dxa"/>
            <w:shd w:val="clear" w:color="auto" w:fill="FFFFFF"/>
          </w:tcPr>
          <w:p w14:paraId="477FC900" w14:textId="77777777" w:rsidR="009652B2" w:rsidRPr="005478A5" w:rsidRDefault="009652B2" w:rsidP="009652B2">
            <w:pPr>
              <w:pStyle w:val="CETBodytext"/>
            </w:pPr>
            <w:r w:rsidRPr="005478A5">
              <w:t>DM</w:t>
            </w:r>
          </w:p>
        </w:tc>
        <w:tc>
          <w:tcPr>
            <w:tcW w:w="1275" w:type="dxa"/>
            <w:shd w:val="clear" w:color="auto" w:fill="FFFFFF"/>
          </w:tcPr>
          <w:p w14:paraId="0C4ED3AE" w14:textId="77777777" w:rsidR="009652B2" w:rsidRPr="005478A5" w:rsidRDefault="009652B2" w:rsidP="009652B2">
            <w:pPr>
              <w:pStyle w:val="CETBodytext"/>
            </w:pPr>
            <w:r w:rsidRPr="005478A5">
              <w:t>-</w:t>
            </w:r>
          </w:p>
        </w:tc>
        <w:tc>
          <w:tcPr>
            <w:tcW w:w="992" w:type="dxa"/>
            <w:shd w:val="clear" w:color="auto" w:fill="FFFFFF"/>
          </w:tcPr>
          <w:p w14:paraId="471B630C" w14:textId="49432C3F" w:rsidR="009652B2" w:rsidRPr="005478A5" w:rsidRDefault="009652B2" w:rsidP="009652B2">
            <w:pPr>
              <w:pStyle w:val="CETBodytext"/>
              <w:jc w:val="left"/>
            </w:pPr>
            <w:r w:rsidRPr="00A1316B">
              <w:t>7.60</w:t>
            </w:r>
            <w:r>
              <w:t xml:space="preserve"> x10</w:t>
            </w:r>
            <w:r w:rsidRPr="009652B2">
              <w:rPr>
                <w:vertAlign w:val="superscript"/>
              </w:rPr>
              <w:t>-2</w:t>
            </w:r>
          </w:p>
        </w:tc>
        <w:tc>
          <w:tcPr>
            <w:tcW w:w="992" w:type="dxa"/>
            <w:shd w:val="clear" w:color="auto" w:fill="FFFFFF"/>
          </w:tcPr>
          <w:p w14:paraId="00B39CFA" w14:textId="2CF51395" w:rsidR="009652B2" w:rsidRPr="005478A5" w:rsidRDefault="009652B2" w:rsidP="009652B2">
            <w:pPr>
              <w:pStyle w:val="CETBodytext"/>
              <w:jc w:val="left"/>
            </w:pPr>
            <w:r w:rsidRPr="00F15351">
              <w:t>9.54</w:t>
            </w:r>
            <w:r w:rsidR="004C646C">
              <w:t xml:space="preserve"> x10</w:t>
            </w:r>
            <w:r w:rsidR="004C646C" w:rsidRPr="009652B2">
              <w:rPr>
                <w:vertAlign w:val="superscript"/>
              </w:rPr>
              <w:t>-</w:t>
            </w:r>
            <w:r w:rsidR="004C646C">
              <w:rPr>
                <w:vertAlign w:val="superscript"/>
              </w:rPr>
              <w:t>2</w:t>
            </w:r>
          </w:p>
        </w:tc>
        <w:tc>
          <w:tcPr>
            <w:tcW w:w="993" w:type="dxa"/>
            <w:shd w:val="clear" w:color="auto" w:fill="FFFFFF"/>
          </w:tcPr>
          <w:p w14:paraId="0599DF97" w14:textId="4E5342EE" w:rsidR="009652B2" w:rsidRPr="005478A5" w:rsidRDefault="009652B2" w:rsidP="009652B2">
            <w:pPr>
              <w:pStyle w:val="CETBodytext"/>
              <w:ind w:right="-1"/>
              <w:jc w:val="left"/>
            </w:pPr>
            <w:r w:rsidRPr="00F15351">
              <w:t>0.202</w:t>
            </w:r>
          </w:p>
        </w:tc>
        <w:tc>
          <w:tcPr>
            <w:tcW w:w="992" w:type="dxa"/>
            <w:shd w:val="clear" w:color="auto" w:fill="FFFFFF"/>
          </w:tcPr>
          <w:p w14:paraId="7B23633E" w14:textId="416EAEA4" w:rsidR="009652B2" w:rsidRPr="005478A5" w:rsidRDefault="009652B2" w:rsidP="009652B2">
            <w:pPr>
              <w:pStyle w:val="CETBodytext"/>
              <w:ind w:right="-1"/>
              <w:jc w:val="left"/>
            </w:pPr>
            <w:r w:rsidRPr="00F037E9">
              <w:t>5.51</w:t>
            </w:r>
            <w:r w:rsidR="004C646C">
              <w:t xml:space="preserve"> x10</w:t>
            </w:r>
            <w:r w:rsidR="004C646C" w:rsidRPr="009652B2">
              <w:rPr>
                <w:vertAlign w:val="superscript"/>
              </w:rPr>
              <w:t>-</w:t>
            </w:r>
            <w:r w:rsidR="004C646C">
              <w:rPr>
                <w:vertAlign w:val="superscript"/>
              </w:rPr>
              <w:t>2</w:t>
            </w:r>
          </w:p>
        </w:tc>
        <w:tc>
          <w:tcPr>
            <w:tcW w:w="992" w:type="dxa"/>
            <w:shd w:val="clear" w:color="auto" w:fill="FFFFFF"/>
          </w:tcPr>
          <w:p w14:paraId="17A3407D" w14:textId="2200C1F1" w:rsidR="009652B2" w:rsidRPr="005478A5" w:rsidRDefault="009652B2" w:rsidP="009652B2">
            <w:pPr>
              <w:pStyle w:val="CETBodytext"/>
              <w:ind w:right="-1"/>
              <w:jc w:val="left"/>
            </w:pPr>
            <w:r w:rsidRPr="00F109CC">
              <w:t>7.69</w:t>
            </w:r>
            <w:r w:rsidR="004C646C">
              <w:t xml:space="preserve"> x10</w:t>
            </w:r>
            <w:r w:rsidR="004C646C" w:rsidRPr="009652B2">
              <w:rPr>
                <w:vertAlign w:val="superscript"/>
              </w:rPr>
              <w:t>-</w:t>
            </w:r>
            <w:r w:rsidR="004C646C">
              <w:rPr>
                <w:vertAlign w:val="superscript"/>
              </w:rPr>
              <w:t>2</w:t>
            </w:r>
          </w:p>
        </w:tc>
        <w:tc>
          <w:tcPr>
            <w:tcW w:w="790" w:type="dxa"/>
            <w:shd w:val="clear" w:color="auto" w:fill="FFFFFF"/>
          </w:tcPr>
          <w:p w14:paraId="6CEDB27B" w14:textId="7C8FCEDB" w:rsidR="009652B2" w:rsidRPr="005478A5" w:rsidRDefault="009652B2" w:rsidP="009652B2">
            <w:pPr>
              <w:pStyle w:val="CETBodytext"/>
              <w:ind w:right="-1"/>
              <w:jc w:val="left"/>
            </w:pPr>
            <w:r w:rsidRPr="00F109CC">
              <w:t>0.213</w:t>
            </w:r>
          </w:p>
        </w:tc>
      </w:tr>
      <w:tr w:rsidR="009652B2" w:rsidRPr="005478A5" w14:paraId="136867EA" w14:textId="77777777" w:rsidTr="00D55007">
        <w:tc>
          <w:tcPr>
            <w:tcW w:w="993" w:type="dxa"/>
            <w:vMerge w:val="restart"/>
            <w:shd w:val="clear" w:color="auto" w:fill="FFFFFF"/>
          </w:tcPr>
          <w:p w14:paraId="6E214F01" w14:textId="77777777" w:rsidR="009652B2" w:rsidRPr="005478A5" w:rsidRDefault="009652B2" w:rsidP="009652B2">
            <w:pPr>
              <w:pStyle w:val="CETBodytext"/>
            </w:pPr>
            <w:r>
              <w:t>DHM (</w:t>
            </w:r>
            <w:r w:rsidRPr="005478A5">
              <w:t>DT</w:t>
            </w:r>
            <w:r>
              <w:t>)</w:t>
            </w:r>
          </w:p>
        </w:tc>
        <w:tc>
          <w:tcPr>
            <w:tcW w:w="1275" w:type="dxa"/>
            <w:shd w:val="clear" w:color="auto" w:fill="FFFFFF"/>
          </w:tcPr>
          <w:p w14:paraId="0EE0C796" w14:textId="77777777" w:rsidR="009652B2" w:rsidRPr="005478A5" w:rsidRDefault="009652B2" w:rsidP="009652B2">
            <w:pPr>
              <w:pStyle w:val="CETBodytext"/>
            </w:pPr>
            <w:r w:rsidRPr="005478A5">
              <w:t>Fine</w:t>
            </w:r>
          </w:p>
        </w:tc>
        <w:tc>
          <w:tcPr>
            <w:tcW w:w="992" w:type="dxa"/>
            <w:shd w:val="clear" w:color="auto" w:fill="FFFFFF"/>
          </w:tcPr>
          <w:p w14:paraId="60558076" w14:textId="237CA059" w:rsidR="009652B2" w:rsidRPr="005478A5" w:rsidRDefault="009652B2" w:rsidP="009652B2">
            <w:pPr>
              <w:pStyle w:val="CETBodytext"/>
              <w:jc w:val="left"/>
            </w:pPr>
            <w:r w:rsidRPr="00A1316B">
              <w:t>2.17</w:t>
            </w:r>
            <w:r>
              <w:t xml:space="preserve"> x10</w:t>
            </w:r>
            <w:r w:rsidRPr="009652B2">
              <w:rPr>
                <w:vertAlign w:val="superscript"/>
              </w:rPr>
              <w:t>-</w:t>
            </w:r>
            <w:r>
              <w:rPr>
                <w:vertAlign w:val="superscript"/>
              </w:rPr>
              <w:t>3</w:t>
            </w:r>
          </w:p>
        </w:tc>
        <w:tc>
          <w:tcPr>
            <w:tcW w:w="992" w:type="dxa"/>
            <w:shd w:val="clear" w:color="auto" w:fill="FFFFFF"/>
          </w:tcPr>
          <w:p w14:paraId="4B2E06D5" w14:textId="45B987D8" w:rsidR="009652B2" w:rsidRPr="004838DB" w:rsidRDefault="009652B2" w:rsidP="009652B2">
            <w:pPr>
              <w:pStyle w:val="CETBodytext"/>
              <w:jc w:val="left"/>
              <w:rPr>
                <w:b/>
              </w:rPr>
            </w:pPr>
            <w:r w:rsidRPr="00F15351">
              <w:t>2.49</w:t>
            </w:r>
            <w:r w:rsidR="004C646C">
              <w:t xml:space="preserve"> x10</w:t>
            </w:r>
            <w:r w:rsidR="004C646C" w:rsidRPr="009652B2">
              <w:rPr>
                <w:vertAlign w:val="superscript"/>
              </w:rPr>
              <w:t>-</w:t>
            </w:r>
            <w:r w:rsidR="004C646C">
              <w:rPr>
                <w:vertAlign w:val="superscript"/>
              </w:rPr>
              <w:t>3</w:t>
            </w:r>
          </w:p>
        </w:tc>
        <w:tc>
          <w:tcPr>
            <w:tcW w:w="993" w:type="dxa"/>
            <w:shd w:val="clear" w:color="auto" w:fill="FFFFFF"/>
          </w:tcPr>
          <w:p w14:paraId="3FC8FCA9" w14:textId="283672EC" w:rsidR="009652B2" w:rsidRPr="004838DB" w:rsidRDefault="009652B2" w:rsidP="009652B2">
            <w:pPr>
              <w:pStyle w:val="CETBodytext"/>
              <w:ind w:right="-1"/>
              <w:jc w:val="left"/>
              <w:rPr>
                <w:rFonts w:cs="Arial"/>
                <w:b/>
                <w:szCs w:val="18"/>
              </w:rPr>
            </w:pPr>
            <w:r w:rsidRPr="00F15351">
              <w:t>0.005</w:t>
            </w:r>
          </w:p>
        </w:tc>
        <w:tc>
          <w:tcPr>
            <w:tcW w:w="992" w:type="dxa"/>
            <w:shd w:val="clear" w:color="auto" w:fill="FFFFFF"/>
          </w:tcPr>
          <w:p w14:paraId="1C91ACB9" w14:textId="46C41AD8" w:rsidR="009652B2" w:rsidRPr="004838DB" w:rsidRDefault="009652B2" w:rsidP="009652B2">
            <w:pPr>
              <w:pStyle w:val="CETBodytext"/>
              <w:ind w:right="-1"/>
              <w:jc w:val="left"/>
              <w:rPr>
                <w:rFonts w:cs="Arial"/>
                <w:b/>
                <w:szCs w:val="18"/>
              </w:rPr>
            </w:pPr>
            <w:r w:rsidRPr="00F037E9">
              <w:t>6.51</w:t>
            </w:r>
            <w:r w:rsidR="004C646C">
              <w:t xml:space="preserve"> x10</w:t>
            </w:r>
            <w:r w:rsidR="004C646C" w:rsidRPr="009652B2">
              <w:rPr>
                <w:vertAlign w:val="superscript"/>
              </w:rPr>
              <w:t>-</w:t>
            </w:r>
            <w:r w:rsidR="004C646C">
              <w:rPr>
                <w:vertAlign w:val="superscript"/>
              </w:rPr>
              <w:t>2</w:t>
            </w:r>
          </w:p>
        </w:tc>
        <w:tc>
          <w:tcPr>
            <w:tcW w:w="992" w:type="dxa"/>
            <w:shd w:val="clear" w:color="auto" w:fill="FFFFFF"/>
          </w:tcPr>
          <w:p w14:paraId="1B9BFA12" w14:textId="143074E6" w:rsidR="009652B2" w:rsidRPr="004838DB" w:rsidRDefault="009652B2" w:rsidP="009652B2">
            <w:pPr>
              <w:pStyle w:val="CETBodytext"/>
              <w:ind w:right="-1"/>
              <w:jc w:val="left"/>
              <w:rPr>
                <w:b/>
              </w:rPr>
            </w:pPr>
            <w:r w:rsidRPr="00F109CC">
              <w:t>7.85</w:t>
            </w:r>
            <w:r w:rsidR="004C646C">
              <w:t xml:space="preserve"> x10</w:t>
            </w:r>
            <w:r w:rsidR="004C646C" w:rsidRPr="009652B2">
              <w:rPr>
                <w:vertAlign w:val="superscript"/>
              </w:rPr>
              <w:t>-</w:t>
            </w:r>
            <w:r w:rsidR="004C646C">
              <w:rPr>
                <w:vertAlign w:val="superscript"/>
              </w:rPr>
              <w:t>2</w:t>
            </w:r>
          </w:p>
        </w:tc>
        <w:tc>
          <w:tcPr>
            <w:tcW w:w="790" w:type="dxa"/>
            <w:shd w:val="clear" w:color="auto" w:fill="FFFFFF"/>
          </w:tcPr>
          <w:p w14:paraId="49D5353E" w14:textId="3489B918" w:rsidR="009652B2" w:rsidRPr="00E4471A" w:rsidRDefault="009652B2" w:rsidP="009652B2">
            <w:pPr>
              <w:pStyle w:val="CETBodytext"/>
              <w:ind w:right="-1"/>
              <w:jc w:val="left"/>
              <w:rPr>
                <w:b/>
              </w:rPr>
            </w:pPr>
            <w:r w:rsidRPr="00F109CC">
              <w:t>0.218</w:t>
            </w:r>
          </w:p>
        </w:tc>
      </w:tr>
      <w:tr w:rsidR="009652B2" w:rsidRPr="005478A5" w14:paraId="7D373EBF" w14:textId="77777777" w:rsidTr="00D55007">
        <w:tc>
          <w:tcPr>
            <w:tcW w:w="993" w:type="dxa"/>
            <w:vMerge/>
            <w:shd w:val="clear" w:color="auto" w:fill="FFFFFF"/>
          </w:tcPr>
          <w:p w14:paraId="27672E10" w14:textId="77777777" w:rsidR="009652B2" w:rsidRPr="005478A5" w:rsidRDefault="009652B2" w:rsidP="009652B2">
            <w:pPr>
              <w:pStyle w:val="CETBodytext"/>
              <w:ind w:right="-1"/>
              <w:rPr>
                <w:rFonts w:cs="Arial"/>
                <w:szCs w:val="18"/>
              </w:rPr>
            </w:pPr>
          </w:p>
        </w:tc>
        <w:tc>
          <w:tcPr>
            <w:tcW w:w="1275" w:type="dxa"/>
            <w:shd w:val="clear" w:color="auto" w:fill="FFFFFF"/>
          </w:tcPr>
          <w:p w14:paraId="3C5EDC2D" w14:textId="77777777" w:rsidR="009652B2" w:rsidRPr="005478A5" w:rsidRDefault="009652B2" w:rsidP="009652B2">
            <w:pPr>
              <w:pStyle w:val="CETBodytext"/>
              <w:ind w:right="-1"/>
              <w:rPr>
                <w:rFonts w:cs="Arial"/>
                <w:szCs w:val="18"/>
              </w:rPr>
            </w:pPr>
            <w:r w:rsidRPr="005478A5">
              <w:t>Medium</w:t>
            </w:r>
          </w:p>
        </w:tc>
        <w:tc>
          <w:tcPr>
            <w:tcW w:w="992" w:type="dxa"/>
            <w:shd w:val="clear" w:color="auto" w:fill="FFFFFF"/>
          </w:tcPr>
          <w:p w14:paraId="1E318550" w14:textId="39A77064" w:rsidR="009652B2" w:rsidRPr="005478A5" w:rsidRDefault="009652B2" w:rsidP="009652B2">
            <w:pPr>
              <w:pStyle w:val="CETBodytext"/>
              <w:ind w:right="-1"/>
              <w:jc w:val="left"/>
              <w:rPr>
                <w:rFonts w:cs="Arial"/>
                <w:szCs w:val="18"/>
              </w:rPr>
            </w:pPr>
            <w:r w:rsidRPr="00A1316B">
              <w:t>2.53</w:t>
            </w:r>
            <w:r>
              <w:t xml:space="preserve"> x10</w:t>
            </w:r>
            <w:r w:rsidRPr="009652B2">
              <w:rPr>
                <w:vertAlign w:val="superscript"/>
              </w:rPr>
              <w:t>-</w:t>
            </w:r>
            <w:r>
              <w:rPr>
                <w:vertAlign w:val="superscript"/>
              </w:rPr>
              <w:t>3</w:t>
            </w:r>
          </w:p>
        </w:tc>
        <w:tc>
          <w:tcPr>
            <w:tcW w:w="992" w:type="dxa"/>
            <w:shd w:val="clear" w:color="auto" w:fill="FFFFFF"/>
          </w:tcPr>
          <w:p w14:paraId="6CD4152B" w14:textId="56446287" w:rsidR="009652B2" w:rsidRPr="005478A5" w:rsidRDefault="009652B2" w:rsidP="009652B2">
            <w:pPr>
              <w:pStyle w:val="CETBodytext"/>
              <w:ind w:right="-1"/>
              <w:jc w:val="left"/>
              <w:rPr>
                <w:rFonts w:cs="Arial"/>
                <w:szCs w:val="18"/>
              </w:rPr>
            </w:pPr>
            <w:r w:rsidRPr="00F15351">
              <w:t>2.97</w:t>
            </w:r>
            <w:r w:rsidR="004C646C">
              <w:t xml:space="preserve"> x10</w:t>
            </w:r>
            <w:r w:rsidR="004C646C" w:rsidRPr="009652B2">
              <w:rPr>
                <w:vertAlign w:val="superscript"/>
              </w:rPr>
              <w:t>-</w:t>
            </w:r>
            <w:r w:rsidR="004C646C">
              <w:rPr>
                <w:vertAlign w:val="superscript"/>
              </w:rPr>
              <w:t>3</w:t>
            </w:r>
          </w:p>
        </w:tc>
        <w:tc>
          <w:tcPr>
            <w:tcW w:w="993" w:type="dxa"/>
            <w:shd w:val="clear" w:color="auto" w:fill="FFFFFF"/>
          </w:tcPr>
          <w:p w14:paraId="1F3CFAEC" w14:textId="08C1A18F" w:rsidR="009652B2" w:rsidRPr="005478A5" w:rsidRDefault="009652B2" w:rsidP="009652B2">
            <w:pPr>
              <w:pStyle w:val="CETBodytext"/>
              <w:ind w:right="-1"/>
              <w:jc w:val="left"/>
              <w:rPr>
                <w:rFonts w:cs="Arial"/>
                <w:szCs w:val="18"/>
              </w:rPr>
            </w:pPr>
            <w:r w:rsidRPr="00F15351">
              <w:t>0.006</w:t>
            </w:r>
          </w:p>
        </w:tc>
        <w:tc>
          <w:tcPr>
            <w:tcW w:w="992" w:type="dxa"/>
            <w:shd w:val="clear" w:color="auto" w:fill="FFFFFF"/>
          </w:tcPr>
          <w:p w14:paraId="01730395" w14:textId="01966E2E" w:rsidR="009652B2" w:rsidRPr="006656F8" w:rsidRDefault="009652B2" w:rsidP="009652B2">
            <w:pPr>
              <w:pStyle w:val="CETBodytext"/>
              <w:ind w:right="-1"/>
              <w:jc w:val="left"/>
              <w:rPr>
                <w:rFonts w:cs="Arial"/>
                <w:b/>
                <w:szCs w:val="18"/>
              </w:rPr>
            </w:pPr>
            <w:r w:rsidRPr="006656F8">
              <w:rPr>
                <w:b/>
              </w:rPr>
              <w:t>6.07</w:t>
            </w:r>
            <w:r w:rsidR="004C646C" w:rsidRPr="006656F8">
              <w:rPr>
                <w:b/>
              </w:rPr>
              <w:t xml:space="preserve"> x10</w:t>
            </w:r>
            <w:r w:rsidR="004C646C" w:rsidRPr="006656F8">
              <w:rPr>
                <w:b/>
                <w:vertAlign w:val="superscript"/>
              </w:rPr>
              <w:t>-2</w:t>
            </w:r>
          </w:p>
        </w:tc>
        <w:tc>
          <w:tcPr>
            <w:tcW w:w="992" w:type="dxa"/>
            <w:shd w:val="clear" w:color="auto" w:fill="FFFFFF"/>
          </w:tcPr>
          <w:p w14:paraId="345D286C" w14:textId="4BE3E87B" w:rsidR="009652B2" w:rsidRPr="006656F8" w:rsidRDefault="009652B2" w:rsidP="009652B2">
            <w:pPr>
              <w:pStyle w:val="CETBodytext"/>
              <w:ind w:right="-1"/>
              <w:jc w:val="left"/>
              <w:rPr>
                <w:b/>
              </w:rPr>
            </w:pPr>
            <w:r w:rsidRPr="006656F8">
              <w:rPr>
                <w:b/>
              </w:rPr>
              <w:t>7.32</w:t>
            </w:r>
            <w:r w:rsidR="004C646C" w:rsidRPr="006656F8">
              <w:rPr>
                <w:b/>
              </w:rPr>
              <w:t xml:space="preserve"> x10</w:t>
            </w:r>
            <w:r w:rsidR="004C646C" w:rsidRPr="006656F8">
              <w:rPr>
                <w:b/>
                <w:vertAlign w:val="superscript"/>
              </w:rPr>
              <w:t>-2</w:t>
            </w:r>
          </w:p>
        </w:tc>
        <w:tc>
          <w:tcPr>
            <w:tcW w:w="790" w:type="dxa"/>
            <w:shd w:val="clear" w:color="auto" w:fill="FFFFFF"/>
          </w:tcPr>
          <w:p w14:paraId="74E48109" w14:textId="3C16B89A" w:rsidR="009652B2" w:rsidRPr="006656F8" w:rsidRDefault="009652B2" w:rsidP="009652B2">
            <w:pPr>
              <w:pStyle w:val="CETBodytext"/>
              <w:ind w:right="-1"/>
              <w:jc w:val="left"/>
              <w:rPr>
                <w:b/>
              </w:rPr>
            </w:pPr>
            <w:r w:rsidRPr="006656F8">
              <w:rPr>
                <w:b/>
              </w:rPr>
              <w:t>0.203</w:t>
            </w:r>
          </w:p>
        </w:tc>
      </w:tr>
      <w:tr w:rsidR="009652B2" w:rsidRPr="005478A5" w14:paraId="3711F189" w14:textId="77777777" w:rsidTr="00D55007">
        <w:tc>
          <w:tcPr>
            <w:tcW w:w="993" w:type="dxa"/>
            <w:vMerge/>
            <w:shd w:val="clear" w:color="auto" w:fill="FFFFFF"/>
          </w:tcPr>
          <w:p w14:paraId="4B6F3360" w14:textId="77777777" w:rsidR="009652B2" w:rsidRPr="005478A5" w:rsidRDefault="009652B2" w:rsidP="009652B2">
            <w:pPr>
              <w:pStyle w:val="CETBodytext"/>
              <w:ind w:right="-1"/>
              <w:rPr>
                <w:rFonts w:cs="Arial"/>
                <w:szCs w:val="18"/>
              </w:rPr>
            </w:pPr>
          </w:p>
        </w:tc>
        <w:tc>
          <w:tcPr>
            <w:tcW w:w="1275" w:type="dxa"/>
            <w:shd w:val="clear" w:color="auto" w:fill="FFFFFF"/>
          </w:tcPr>
          <w:p w14:paraId="0412CBCF" w14:textId="77777777" w:rsidR="009652B2" w:rsidRPr="005478A5" w:rsidRDefault="009652B2" w:rsidP="009652B2">
            <w:pPr>
              <w:pStyle w:val="CETBodytext"/>
              <w:ind w:right="-1"/>
              <w:rPr>
                <w:rFonts w:cs="Arial"/>
                <w:szCs w:val="18"/>
              </w:rPr>
            </w:pPr>
            <w:r w:rsidRPr="005478A5">
              <w:t>Coarse</w:t>
            </w:r>
          </w:p>
        </w:tc>
        <w:tc>
          <w:tcPr>
            <w:tcW w:w="992" w:type="dxa"/>
            <w:shd w:val="clear" w:color="auto" w:fill="FFFFFF"/>
          </w:tcPr>
          <w:p w14:paraId="6021872F" w14:textId="7F62ED06" w:rsidR="009652B2" w:rsidRPr="00E55132" w:rsidRDefault="009652B2" w:rsidP="009652B2">
            <w:pPr>
              <w:pStyle w:val="CETBodytext"/>
              <w:ind w:right="-1"/>
              <w:jc w:val="left"/>
              <w:rPr>
                <w:rFonts w:cs="Arial"/>
                <w:b/>
                <w:szCs w:val="18"/>
              </w:rPr>
            </w:pPr>
            <w:r w:rsidRPr="00A1316B">
              <w:t>5.64</w:t>
            </w:r>
            <w:r>
              <w:t xml:space="preserve"> x10</w:t>
            </w:r>
            <w:r w:rsidRPr="009652B2">
              <w:rPr>
                <w:vertAlign w:val="superscript"/>
              </w:rPr>
              <w:t>-</w:t>
            </w:r>
            <w:r>
              <w:rPr>
                <w:vertAlign w:val="superscript"/>
              </w:rPr>
              <w:t>3</w:t>
            </w:r>
          </w:p>
        </w:tc>
        <w:tc>
          <w:tcPr>
            <w:tcW w:w="992" w:type="dxa"/>
            <w:shd w:val="clear" w:color="auto" w:fill="FFFFFF"/>
          </w:tcPr>
          <w:p w14:paraId="014BFEC1" w14:textId="140E136F" w:rsidR="009652B2" w:rsidRPr="00E55132" w:rsidRDefault="009652B2" w:rsidP="009652B2">
            <w:pPr>
              <w:pStyle w:val="CETBodytext"/>
              <w:ind w:right="-1"/>
              <w:jc w:val="left"/>
              <w:rPr>
                <w:rFonts w:cs="Arial"/>
                <w:b/>
                <w:szCs w:val="18"/>
              </w:rPr>
            </w:pPr>
            <w:r w:rsidRPr="00F15351">
              <w:t>8.33</w:t>
            </w:r>
            <w:r w:rsidR="004C646C">
              <w:t xml:space="preserve"> x10</w:t>
            </w:r>
            <w:r w:rsidR="004C646C" w:rsidRPr="009652B2">
              <w:rPr>
                <w:vertAlign w:val="superscript"/>
              </w:rPr>
              <w:t>-</w:t>
            </w:r>
            <w:r w:rsidR="004C646C">
              <w:rPr>
                <w:vertAlign w:val="superscript"/>
              </w:rPr>
              <w:t>3</w:t>
            </w:r>
          </w:p>
        </w:tc>
        <w:tc>
          <w:tcPr>
            <w:tcW w:w="993" w:type="dxa"/>
            <w:shd w:val="clear" w:color="auto" w:fill="FFFFFF"/>
          </w:tcPr>
          <w:p w14:paraId="5B78DC12" w14:textId="521672D3" w:rsidR="009652B2" w:rsidRPr="00E4471A" w:rsidRDefault="009652B2" w:rsidP="009652B2">
            <w:pPr>
              <w:pStyle w:val="CETBodytext"/>
              <w:ind w:right="-1"/>
              <w:jc w:val="left"/>
              <w:rPr>
                <w:rFonts w:cs="Arial"/>
                <w:b/>
                <w:szCs w:val="18"/>
              </w:rPr>
            </w:pPr>
            <w:r w:rsidRPr="00F15351">
              <w:t>0.018</w:t>
            </w:r>
          </w:p>
        </w:tc>
        <w:tc>
          <w:tcPr>
            <w:tcW w:w="992" w:type="dxa"/>
            <w:shd w:val="clear" w:color="auto" w:fill="FFFFFF"/>
          </w:tcPr>
          <w:p w14:paraId="469F93F4" w14:textId="6F0C172C" w:rsidR="009652B2" w:rsidRPr="005478A5" w:rsidRDefault="009652B2" w:rsidP="009652B2">
            <w:pPr>
              <w:pStyle w:val="CETBodytext"/>
              <w:ind w:right="-1"/>
              <w:jc w:val="left"/>
              <w:rPr>
                <w:rFonts w:cs="Arial"/>
                <w:szCs w:val="18"/>
              </w:rPr>
            </w:pPr>
            <w:r w:rsidRPr="00F037E9">
              <w:t>6.69</w:t>
            </w:r>
            <w:r w:rsidR="004C646C">
              <w:t xml:space="preserve"> x10</w:t>
            </w:r>
            <w:r w:rsidR="004C646C" w:rsidRPr="009652B2">
              <w:rPr>
                <w:vertAlign w:val="superscript"/>
              </w:rPr>
              <w:t>-</w:t>
            </w:r>
            <w:r w:rsidR="004C646C">
              <w:rPr>
                <w:vertAlign w:val="superscript"/>
              </w:rPr>
              <w:t>2</w:t>
            </w:r>
          </w:p>
        </w:tc>
        <w:tc>
          <w:tcPr>
            <w:tcW w:w="992" w:type="dxa"/>
            <w:shd w:val="clear" w:color="auto" w:fill="FFFFFF"/>
          </w:tcPr>
          <w:p w14:paraId="72FBCEC8" w14:textId="29147E99" w:rsidR="009652B2" w:rsidRPr="005478A5" w:rsidRDefault="009652B2" w:rsidP="009652B2">
            <w:pPr>
              <w:pStyle w:val="CETBodytext"/>
              <w:ind w:right="-1"/>
              <w:jc w:val="left"/>
            </w:pPr>
            <w:r w:rsidRPr="00F109CC">
              <w:t>7.93</w:t>
            </w:r>
            <w:r w:rsidR="004C646C">
              <w:t xml:space="preserve"> x10</w:t>
            </w:r>
            <w:r w:rsidR="004C646C" w:rsidRPr="009652B2">
              <w:rPr>
                <w:vertAlign w:val="superscript"/>
              </w:rPr>
              <w:t>-</w:t>
            </w:r>
            <w:r w:rsidR="004C646C">
              <w:rPr>
                <w:vertAlign w:val="superscript"/>
              </w:rPr>
              <w:t>2</w:t>
            </w:r>
          </w:p>
        </w:tc>
        <w:tc>
          <w:tcPr>
            <w:tcW w:w="790" w:type="dxa"/>
            <w:shd w:val="clear" w:color="auto" w:fill="FFFFFF"/>
          </w:tcPr>
          <w:p w14:paraId="4138B203" w14:textId="6170B65E" w:rsidR="009652B2" w:rsidRPr="005478A5" w:rsidRDefault="009652B2" w:rsidP="009652B2">
            <w:pPr>
              <w:pStyle w:val="CETBodytext"/>
              <w:ind w:right="-1"/>
              <w:jc w:val="left"/>
            </w:pPr>
            <w:r w:rsidRPr="00F109CC">
              <w:t>0.220</w:t>
            </w:r>
          </w:p>
        </w:tc>
      </w:tr>
      <w:tr w:rsidR="009652B2" w:rsidRPr="005478A5" w14:paraId="61B2FE6B" w14:textId="77777777" w:rsidTr="00D55007">
        <w:tc>
          <w:tcPr>
            <w:tcW w:w="993" w:type="dxa"/>
            <w:vMerge/>
            <w:tcBorders>
              <w:bottom w:val="nil"/>
            </w:tcBorders>
            <w:shd w:val="clear" w:color="auto" w:fill="FFFFFF"/>
          </w:tcPr>
          <w:p w14:paraId="466BE372" w14:textId="77777777" w:rsidR="009652B2" w:rsidRPr="005478A5" w:rsidRDefault="009652B2" w:rsidP="009652B2">
            <w:pPr>
              <w:pStyle w:val="CETBodytext"/>
              <w:ind w:right="-1"/>
              <w:rPr>
                <w:rFonts w:cs="Arial"/>
                <w:szCs w:val="18"/>
              </w:rPr>
            </w:pPr>
          </w:p>
        </w:tc>
        <w:tc>
          <w:tcPr>
            <w:tcW w:w="1275" w:type="dxa"/>
            <w:tcBorders>
              <w:bottom w:val="nil"/>
            </w:tcBorders>
            <w:shd w:val="clear" w:color="auto" w:fill="FFFFFF"/>
          </w:tcPr>
          <w:p w14:paraId="34015B9D" w14:textId="77777777" w:rsidR="009652B2" w:rsidRPr="005478A5" w:rsidRDefault="009652B2" w:rsidP="009652B2">
            <w:pPr>
              <w:pStyle w:val="CETBodytext"/>
              <w:ind w:right="-1"/>
              <w:rPr>
                <w:rFonts w:cs="Arial"/>
                <w:szCs w:val="18"/>
              </w:rPr>
            </w:pPr>
            <w:r w:rsidRPr="005478A5">
              <w:t>Fine (</w:t>
            </w:r>
            <w:proofErr w:type="spellStart"/>
            <w:r w:rsidRPr="005478A5">
              <w:t>Opt</w:t>
            </w:r>
            <w:proofErr w:type="spellEnd"/>
            <w:r w:rsidRPr="005478A5">
              <w:t>)</w:t>
            </w:r>
          </w:p>
        </w:tc>
        <w:tc>
          <w:tcPr>
            <w:tcW w:w="992" w:type="dxa"/>
            <w:tcBorders>
              <w:bottom w:val="nil"/>
            </w:tcBorders>
            <w:shd w:val="clear" w:color="auto" w:fill="FFFFFF"/>
          </w:tcPr>
          <w:p w14:paraId="33246FA7" w14:textId="327FE110" w:rsidR="009652B2" w:rsidRPr="006B7BC2" w:rsidRDefault="009652B2" w:rsidP="009652B2">
            <w:pPr>
              <w:pStyle w:val="CETBodytext"/>
              <w:ind w:right="-1"/>
              <w:jc w:val="left"/>
              <w:rPr>
                <w:rFonts w:cs="Arial"/>
                <w:b/>
                <w:szCs w:val="18"/>
              </w:rPr>
            </w:pPr>
            <w:r w:rsidRPr="006B7BC2">
              <w:rPr>
                <w:b/>
              </w:rPr>
              <w:t>1.00 x10</w:t>
            </w:r>
            <w:r w:rsidRPr="006B7BC2">
              <w:rPr>
                <w:b/>
                <w:vertAlign w:val="superscript"/>
              </w:rPr>
              <w:t>-3</w:t>
            </w:r>
          </w:p>
        </w:tc>
        <w:tc>
          <w:tcPr>
            <w:tcW w:w="992" w:type="dxa"/>
            <w:tcBorders>
              <w:bottom w:val="nil"/>
            </w:tcBorders>
            <w:shd w:val="clear" w:color="auto" w:fill="FFFFFF"/>
          </w:tcPr>
          <w:p w14:paraId="17DC1670" w14:textId="71D72311" w:rsidR="009652B2" w:rsidRPr="006B7BC2" w:rsidRDefault="009652B2" w:rsidP="009652B2">
            <w:pPr>
              <w:pStyle w:val="CETBodytext"/>
              <w:ind w:right="-1"/>
              <w:jc w:val="left"/>
              <w:rPr>
                <w:rFonts w:cs="Arial"/>
                <w:b/>
                <w:szCs w:val="18"/>
              </w:rPr>
            </w:pPr>
            <w:r w:rsidRPr="006B7BC2">
              <w:rPr>
                <w:b/>
              </w:rPr>
              <w:t>1.16</w:t>
            </w:r>
            <w:r w:rsidR="004C646C" w:rsidRPr="006B7BC2">
              <w:rPr>
                <w:b/>
              </w:rPr>
              <w:t xml:space="preserve"> x10</w:t>
            </w:r>
            <w:r w:rsidR="004C646C" w:rsidRPr="006B7BC2">
              <w:rPr>
                <w:b/>
                <w:vertAlign w:val="superscript"/>
              </w:rPr>
              <w:t>-3</w:t>
            </w:r>
          </w:p>
        </w:tc>
        <w:tc>
          <w:tcPr>
            <w:tcW w:w="993" w:type="dxa"/>
            <w:tcBorders>
              <w:bottom w:val="nil"/>
            </w:tcBorders>
            <w:shd w:val="clear" w:color="auto" w:fill="FFFFFF"/>
          </w:tcPr>
          <w:p w14:paraId="71558613" w14:textId="655073A7" w:rsidR="009652B2" w:rsidRPr="006B7BC2" w:rsidRDefault="009652B2" w:rsidP="009652B2">
            <w:pPr>
              <w:pStyle w:val="CETBodytext"/>
              <w:ind w:right="-1"/>
              <w:jc w:val="left"/>
              <w:rPr>
                <w:rFonts w:cs="Arial"/>
                <w:b/>
                <w:szCs w:val="18"/>
              </w:rPr>
            </w:pPr>
            <w:r w:rsidRPr="006B7BC2">
              <w:rPr>
                <w:b/>
              </w:rPr>
              <w:t>0.002</w:t>
            </w:r>
          </w:p>
        </w:tc>
        <w:tc>
          <w:tcPr>
            <w:tcW w:w="992" w:type="dxa"/>
            <w:tcBorders>
              <w:bottom w:val="nil"/>
            </w:tcBorders>
            <w:shd w:val="clear" w:color="auto" w:fill="FFFFFF"/>
          </w:tcPr>
          <w:p w14:paraId="79057A5D" w14:textId="09DA3628" w:rsidR="009652B2" w:rsidRPr="005478A5" w:rsidRDefault="009652B2" w:rsidP="009652B2">
            <w:pPr>
              <w:pStyle w:val="CETBodytext"/>
              <w:ind w:right="-1"/>
              <w:jc w:val="left"/>
              <w:rPr>
                <w:rFonts w:cs="Arial"/>
                <w:szCs w:val="18"/>
              </w:rPr>
            </w:pPr>
            <w:r w:rsidRPr="00F037E9">
              <w:t>6.17</w:t>
            </w:r>
            <w:r w:rsidR="004C646C">
              <w:t xml:space="preserve"> x10</w:t>
            </w:r>
            <w:r w:rsidR="004C646C" w:rsidRPr="009652B2">
              <w:rPr>
                <w:vertAlign w:val="superscript"/>
              </w:rPr>
              <w:t>-</w:t>
            </w:r>
            <w:r w:rsidR="004C646C">
              <w:rPr>
                <w:vertAlign w:val="superscript"/>
              </w:rPr>
              <w:t>2</w:t>
            </w:r>
          </w:p>
        </w:tc>
        <w:tc>
          <w:tcPr>
            <w:tcW w:w="992" w:type="dxa"/>
            <w:tcBorders>
              <w:bottom w:val="nil"/>
            </w:tcBorders>
            <w:shd w:val="clear" w:color="auto" w:fill="FFFFFF"/>
          </w:tcPr>
          <w:p w14:paraId="62343E8A" w14:textId="4C513067" w:rsidR="009652B2" w:rsidRPr="005478A5" w:rsidRDefault="009652B2" w:rsidP="009652B2">
            <w:pPr>
              <w:pStyle w:val="CETBodytext"/>
              <w:ind w:right="-1"/>
              <w:jc w:val="left"/>
            </w:pPr>
            <w:r w:rsidRPr="00F109CC">
              <w:t>7.43</w:t>
            </w:r>
            <w:r w:rsidR="004C646C">
              <w:t xml:space="preserve"> x10</w:t>
            </w:r>
            <w:r w:rsidR="004C646C" w:rsidRPr="009652B2">
              <w:rPr>
                <w:vertAlign w:val="superscript"/>
              </w:rPr>
              <w:t>-</w:t>
            </w:r>
            <w:r w:rsidR="004C646C">
              <w:rPr>
                <w:vertAlign w:val="superscript"/>
              </w:rPr>
              <w:t>2</w:t>
            </w:r>
          </w:p>
        </w:tc>
        <w:tc>
          <w:tcPr>
            <w:tcW w:w="790" w:type="dxa"/>
            <w:tcBorders>
              <w:bottom w:val="nil"/>
            </w:tcBorders>
            <w:shd w:val="clear" w:color="auto" w:fill="FFFFFF"/>
          </w:tcPr>
          <w:p w14:paraId="09501E9C" w14:textId="5A674AD0" w:rsidR="009652B2" w:rsidRPr="005478A5" w:rsidRDefault="009652B2" w:rsidP="009652B2">
            <w:pPr>
              <w:pStyle w:val="CETBodytext"/>
              <w:ind w:right="-1"/>
              <w:jc w:val="left"/>
            </w:pPr>
            <w:r w:rsidRPr="00F109CC">
              <w:t>0.206</w:t>
            </w:r>
          </w:p>
        </w:tc>
      </w:tr>
      <w:tr w:rsidR="009652B2" w:rsidRPr="005478A5" w14:paraId="751B9053" w14:textId="77777777" w:rsidTr="00D55007">
        <w:tc>
          <w:tcPr>
            <w:tcW w:w="993" w:type="dxa"/>
            <w:vMerge w:val="restart"/>
            <w:tcBorders>
              <w:top w:val="nil"/>
              <w:bottom w:val="nil"/>
            </w:tcBorders>
            <w:shd w:val="clear" w:color="auto" w:fill="FFFFFF"/>
          </w:tcPr>
          <w:p w14:paraId="2AD72E1B" w14:textId="77777777" w:rsidR="009652B2" w:rsidRPr="005478A5" w:rsidRDefault="009652B2" w:rsidP="009652B2">
            <w:pPr>
              <w:pStyle w:val="CETBodytext"/>
            </w:pPr>
            <w:r>
              <w:t>DHM (</w:t>
            </w:r>
            <w:r w:rsidRPr="005478A5">
              <w:t>SVM</w:t>
            </w:r>
            <w:r>
              <w:t>)</w:t>
            </w:r>
          </w:p>
        </w:tc>
        <w:tc>
          <w:tcPr>
            <w:tcW w:w="1275" w:type="dxa"/>
            <w:tcBorders>
              <w:top w:val="nil"/>
              <w:bottom w:val="nil"/>
            </w:tcBorders>
            <w:shd w:val="clear" w:color="auto" w:fill="FFFFFF"/>
          </w:tcPr>
          <w:p w14:paraId="1C10967B" w14:textId="77777777" w:rsidR="009652B2" w:rsidRPr="005478A5" w:rsidRDefault="009652B2" w:rsidP="009652B2">
            <w:pPr>
              <w:pStyle w:val="CETBodytext"/>
              <w:ind w:right="-1"/>
              <w:rPr>
                <w:rFonts w:cs="Arial"/>
                <w:szCs w:val="18"/>
              </w:rPr>
            </w:pPr>
            <w:r w:rsidRPr="005478A5">
              <w:t>Linear</w:t>
            </w:r>
          </w:p>
        </w:tc>
        <w:tc>
          <w:tcPr>
            <w:tcW w:w="992" w:type="dxa"/>
            <w:tcBorders>
              <w:top w:val="nil"/>
              <w:bottom w:val="nil"/>
            </w:tcBorders>
            <w:shd w:val="clear" w:color="auto" w:fill="FFFFFF"/>
          </w:tcPr>
          <w:p w14:paraId="4369A9E6" w14:textId="73BAA8D1" w:rsidR="009652B2" w:rsidRPr="005478A5" w:rsidRDefault="009652B2" w:rsidP="009652B2">
            <w:pPr>
              <w:pStyle w:val="CETBodytext"/>
              <w:ind w:right="-1"/>
              <w:jc w:val="left"/>
              <w:rPr>
                <w:rFonts w:cs="Arial"/>
                <w:szCs w:val="18"/>
              </w:rPr>
            </w:pPr>
            <w:r w:rsidRPr="00A1316B">
              <w:t>5.84</w:t>
            </w:r>
            <w:r>
              <w:t xml:space="preserve"> x10</w:t>
            </w:r>
            <w:r w:rsidRPr="009652B2">
              <w:rPr>
                <w:vertAlign w:val="superscript"/>
              </w:rPr>
              <w:t>-2</w:t>
            </w:r>
          </w:p>
        </w:tc>
        <w:tc>
          <w:tcPr>
            <w:tcW w:w="992" w:type="dxa"/>
            <w:tcBorders>
              <w:top w:val="nil"/>
              <w:bottom w:val="nil"/>
            </w:tcBorders>
            <w:shd w:val="clear" w:color="auto" w:fill="FFFFFF"/>
          </w:tcPr>
          <w:p w14:paraId="47A7C5C1" w14:textId="30205D5B" w:rsidR="009652B2" w:rsidRPr="005478A5" w:rsidRDefault="009652B2" w:rsidP="009652B2">
            <w:pPr>
              <w:pStyle w:val="CETBodytext"/>
              <w:ind w:right="-1"/>
              <w:jc w:val="left"/>
              <w:rPr>
                <w:rFonts w:cs="Arial"/>
                <w:szCs w:val="18"/>
              </w:rPr>
            </w:pPr>
            <w:r w:rsidRPr="00F15351">
              <w:t>6.78</w:t>
            </w:r>
            <w:r w:rsidR="004C646C">
              <w:t xml:space="preserve"> x10</w:t>
            </w:r>
            <w:r w:rsidR="004C646C" w:rsidRPr="009652B2">
              <w:rPr>
                <w:vertAlign w:val="superscript"/>
              </w:rPr>
              <w:t>-</w:t>
            </w:r>
            <w:r w:rsidR="004C646C">
              <w:rPr>
                <w:vertAlign w:val="superscript"/>
              </w:rPr>
              <w:t>2</w:t>
            </w:r>
          </w:p>
        </w:tc>
        <w:tc>
          <w:tcPr>
            <w:tcW w:w="993" w:type="dxa"/>
            <w:tcBorders>
              <w:top w:val="nil"/>
              <w:bottom w:val="nil"/>
            </w:tcBorders>
            <w:shd w:val="clear" w:color="auto" w:fill="FFFFFF"/>
          </w:tcPr>
          <w:p w14:paraId="0A5A57DB" w14:textId="773CDE35" w:rsidR="009652B2" w:rsidRPr="005478A5" w:rsidRDefault="009652B2" w:rsidP="009652B2">
            <w:pPr>
              <w:pStyle w:val="CETBodytext"/>
              <w:ind w:right="-1"/>
              <w:jc w:val="left"/>
              <w:rPr>
                <w:rFonts w:cs="Arial"/>
                <w:szCs w:val="18"/>
              </w:rPr>
            </w:pPr>
            <w:r w:rsidRPr="00F15351">
              <w:t>0.144</w:t>
            </w:r>
          </w:p>
        </w:tc>
        <w:tc>
          <w:tcPr>
            <w:tcW w:w="992" w:type="dxa"/>
            <w:tcBorders>
              <w:top w:val="nil"/>
              <w:bottom w:val="nil"/>
            </w:tcBorders>
            <w:shd w:val="clear" w:color="auto" w:fill="FFFFFF"/>
          </w:tcPr>
          <w:p w14:paraId="46E91EC3" w14:textId="135E0702" w:rsidR="009652B2" w:rsidRPr="006656F8" w:rsidRDefault="009652B2" w:rsidP="009652B2">
            <w:pPr>
              <w:pStyle w:val="CETBodytext"/>
              <w:ind w:right="-1"/>
              <w:jc w:val="left"/>
              <w:rPr>
                <w:rFonts w:cs="Arial"/>
                <w:b/>
                <w:szCs w:val="18"/>
              </w:rPr>
            </w:pPr>
            <w:r w:rsidRPr="006656F8">
              <w:rPr>
                <w:b/>
              </w:rPr>
              <w:t>1.10</w:t>
            </w:r>
            <w:r w:rsidR="004C646C" w:rsidRPr="006656F8">
              <w:rPr>
                <w:b/>
              </w:rPr>
              <w:t xml:space="preserve"> x10</w:t>
            </w:r>
            <w:r w:rsidR="004C646C" w:rsidRPr="006656F8">
              <w:rPr>
                <w:b/>
                <w:vertAlign w:val="superscript"/>
              </w:rPr>
              <w:t>-2</w:t>
            </w:r>
          </w:p>
        </w:tc>
        <w:tc>
          <w:tcPr>
            <w:tcW w:w="992" w:type="dxa"/>
            <w:tcBorders>
              <w:top w:val="nil"/>
              <w:bottom w:val="nil"/>
            </w:tcBorders>
            <w:shd w:val="clear" w:color="auto" w:fill="FFFFFF"/>
          </w:tcPr>
          <w:p w14:paraId="784DED23" w14:textId="350ADB6E" w:rsidR="009652B2" w:rsidRPr="006656F8" w:rsidRDefault="009652B2" w:rsidP="009652B2">
            <w:pPr>
              <w:pStyle w:val="CETBodytext"/>
              <w:ind w:right="-1"/>
              <w:jc w:val="left"/>
              <w:rPr>
                <w:b/>
              </w:rPr>
            </w:pPr>
            <w:r w:rsidRPr="006656F8">
              <w:rPr>
                <w:b/>
              </w:rPr>
              <w:t>1.24</w:t>
            </w:r>
            <w:r w:rsidR="004C646C" w:rsidRPr="006656F8">
              <w:rPr>
                <w:b/>
              </w:rPr>
              <w:t xml:space="preserve"> x10</w:t>
            </w:r>
            <w:r w:rsidR="004C646C" w:rsidRPr="006656F8">
              <w:rPr>
                <w:b/>
                <w:vertAlign w:val="superscript"/>
              </w:rPr>
              <w:t>-2</w:t>
            </w:r>
          </w:p>
        </w:tc>
        <w:tc>
          <w:tcPr>
            <w:tcW w:w="790" w:type="dxa"/>
            <w:tcBorders>
              <w:top w:val="nil"/>
              <w:bottom w:val="nil"/>
            </w:tcBorders>
            <w:shd w:val="clear" w:color="auto" w:fill="FFFFFF"/>
          </w:tcPr>
          <w:p w14:paraId="608F50CC" w14:textId="4E088A79" w:rsidR="009652B2" w:rsidRPr="006656F8" w:rsidRDefault="009652B2" w:rsidP="009652B2">
            <w:pPr>
              <w:pStyle w:val="CETBodytext"/>
              <w:ind w:right="-1"/>
              <w:jc w:val="left"/>
              <w:rPr>
                <w:b/>
              </w:rPr>
            </w:pPr>
            <w:r w:rsidRPr="006656F8">
              <w:rPr>
                <w:b/>
              </w:rPr>
              <w:t>0.034</w:t>
            </w:r>
          </w:p>
        </w:tc>
      </w:tr>
      <w:tr w:rsidR="009652B2" w:rsidRPr="005478A5" w14:paraId="59E0E3B4" w14:textId="77777777" w:rsidTr="00D55007">
        <w:tc>
          <w:tcPr>
            <w:tcW w:w="993" w:type="dxa"/>
            <w:vMerge/>
            <w:tcBorders>
              <w:top w:val="nil"/>
            </w:tcBorders>
            <w:shd w:val="clear" w:color="auto" w:fill="FFFFFF"/>
          </w:tcPr>
          <w:p w14:paraId="3D7CC7C6" w14:textId="77777777" w:rsidR="009652B2" w:rsidRPr="005478A5" w:rsidRDefault="009652B2" w:rsidP="009652B2">
            <w:pPr>
              <w:pStyle w:val="CETBodytext"/>
              <w:ind w:right="-1"/>
              <w:rPr>
                <w:rFonts w:cs="Arial"/>
                <w:szCs w:val="18"/>
              </w:rPr>
            </w:pPr>
          </w:p>
        </w:tc>
        <w:tc>
          <w:tcPr>
            <w:tcW w:w="1275" w:type="dxa"/>
            <w:tcBorders>
              <w:top w:val="nil"/>
            </w:tcBorders>
            <w:shd w:val="clear" w:color="auto" w:fill="FFFFFF"/>
          </w:tcPr>
          <w:p w14:paraId="7708C813" w14:textId="77777777" w:rsidR="009652B2" w:rsidRPr="005478A5" w:rsidRDefault="009652B2" w:rsidP="009652B2">
            <w:pPr>
              <w:pStyle w:val="CETBodytext"/>
              <w:ind w:right="-1"/>
              <w:rPr>
                <w:rFonts w:cs="Arial"/>
                <w:szCs w:val="18"/>
              </w:rPr>
            </w:pPr>
            <w:r w:rsidRPr="005478A5">
              <w:t>Quadratic</w:t>
            </w:r>
          </w:p>
        </w:tc>
        <w:tc>
          <w:tcPr>
            <w:tcW w:w="992" w:type="dxa"/>
            <w:tcBorders>
              <w:top w:val="nil"/>
            </w:tcBorders>
            <w:shd w:val="clear" w:color="auto" w:fill="FFFFFF"/>
          </w:tcPr>
          <w:p w14:paraId="26F0763E" w14:textId="32E0F45E" w:rsidR="009652B2" w:rsidRPr="005478A5" w:rsidRDefault="009652B2" w:rsidP="009652B2">
            <w:pPr>
              <w:pStyle w:val="CETBodytext"/>
              <w:ind w:right="-1"/>
              <w:jc w:val="left"/>
              <w:rPr>
                <w:rFonts w:cs="Arial"/>
                <w:szCs w:val="18"/>
              </w:rPr>
            </w:pPr>
            <w:r w:rsidRPr="00A1316B">
              <w:t>4.48</w:t>
            </w:r>
            <w:r>
              <w:t xml:space="preserve"> x10</w:t>
            </w:r>
            <w:r w:rsidRPr="009652B2">
              <w:rPr>
                <w:vertAlign w:val="superscript"/>
              </w:rPr>
              <w:t>-</w:t>
            </w:r>
            <w:r>
              <w:rPr>
                <w:vertAlign w:val="superscript"/>
              </w:rPr>
              <w:t>3</w:t>
            </w:r>
          </w:p>
        </w:tc>
        <w:tc>
          <w:tcPr>
            <w:tcW w:w="992" w:type="dxa"/>
            <w:tcBorders>
              <w:top w:val="nil"/>
            </w:tcBorders>
            <w:shd w:val="clear" w:color="auto" w:fill="FFFFFF"/>
          </w:tcPr>
          <w:p w14:paraId="71F4ED61" w14:textId="78F64E6F" w:rsidR="009652B2" w:rsidRPr="005478A5" w:rsidRDefault="009652B2" w:rsidP="009652B2">
            <w:pPr>
              <w:pStyle w:val="CETBodytext"/>
              <w:ind w:right="-1"/>
              <w:jc w:val="left"/>
              <w:rPr>
                <w:rFonts w:cs="Arial"/>
                <w:szCs w:val="18"/>
              </w:rPr>
            </w:pPr>
            <w:r w:rsidRPr="00F15351">
              <w:t>5.65</w:t>
            </w:r>
            <w:r w:rsidR="004C646C">
              <w:t xml:space="preserve"> x10</w:t>
            </w:r>
            <w:r w:rsidR="004C646C" w:rsidRPr="009652B2">
              <w:rPr>
                <w:vertAlign w:val="superscript"/>
              </w:rPr>
              <w:t>-</w:t>
            </w:r>
            <w:r w:rsidR="004C646C">
              <w:rPr>
                <w:vertAlign w:val="superscript"/>
              </w:rPr>
              <w:t>3</w:t>
            </w:r>
          </w:p>
        </w:tc>
        <w:tc>
          <w:tcPr>
            <w:tcW w:w="993" w:type="dxa"/>
            <w:tcBorders>
              <w:top w:val="nil"/>
            </w:tcBorders>
            <w:shd w:val="clear" w:color="auto" w:fill="FFFFFF"/>
          </w:tcPr>
          <w:p w14:paraId="5C439FAB" w14:textId="71A4AEBC" w:rsidR="009652B2" w:rsidRPr="005478A5" w:rsidRDefault="009652B2" w:rsidP="009652B2">
            <w:pPr>
              <w:pStyle w:val="CETBodytext"/>
              <w:ind w:right="-1"/>
              <w:jc w:val="left"/>
              <w:rPr>
                <w:rFonts w:cs="Arial"/>
                <w:szCs w:val="18"/>
              </w:rPr>
            </w:pPr>
            <w:r w:rsidRPr="00F15351">
              <w:t>0.012</w:t>
            </w:r>
          </w:p>
        </w:tc>
        <w:tc>
          <w:tcPr>
            <w:tcW w:w="992" w:type="dxa"/>
            <w:tcBorders>
              <w:top w:val="nil"/>
            </w:tcBorders>
            <w:shd w:val="clear" w:color="auto" w:fill="FFFFFF"/>
          </w:tcPr>
          <w:p w14:paraId="29513FA9" w14:textId="7FF7D077" w:rsidR="009652B2" w:rsidRPr="005478A5" w:rsidRDefault="009652B2" w:rsidP="009652B2">
            <w:pPr>
              <w:pStyle w:val="CETBodytext"/>
              <w:ind w:right="-1"/>
              <w:jc w:val="left"/>
              <w:rPr>
                <w:rFonts w:cs="Arial"/>
                <w:szCs w:val="18"/>
              </w:rPr>
            </w:pPr>
            <w:r w:rsidRPr="00F037E9">
              <w:t>5.91</w:t>
            </w:r>
            <w:r w:rsidR="004C646C">
              <w:t xml:space="preserve"> x10</w:t>
            </w:r>
            <w:r w:rsidR="004C646C" w:rsidRPr="009652B2">
              <w:rPr>
                <w:vertAlign w:val="superscript"/>
              </w:rPr>
              <w:t>-</w:t>
            </w:r>
            <w:r w:rsidR="004C646C">
              <w:rPr>
                <w:vertAlign w:val="superscript"/>
              </w:rPr>
              <w:t>2</w:t>
            </w:r>
          </w:p>
        </w:tc>
        <w:tc>
          <w:tcPr>
            <w:tcW w:w="992" w:type="dxa"/>
            <w:tcBorders>
              <w:top w:val="nil"/>
            </w:tcBorders>
            <w:shd w:val="clear" w:color="auto" w:fill="FFFFFF"/>
          </w:tcPr>
          <w:p w14:paraId="2D03F663" w14:textId="7421F02A" w:rsidR="009652B2" w:rsidRPr="005478A5" w:rsidRDefault="009652B2" w:rsidP="009652B2">
            <w:pPr>
              <w:pStyle w:val="CETBodytext"/>
              <w:ind w:right="-1"/>
              <w:jc w:val="left"/>
            </w:pPr>
            <w:r w:rsidRPr="00F109CC">
              <w:t>7.12</w:t>
            </w:r>
            <w:r w:rsidR="004C646C">
              <w:t xml:space="preserve"> x10</w:t>
            </w:r>
            <w:r w:rsidR="004C646C" w:rsidRPr="009652B2">
              <w:rPr>
                <w:vertAlign w:val="superscript"/>
              </w:rPr>
              <w:t>-</w:t>
            </w:r>
            <w:r w:rsidR="004C646C">
              <w:rPr>
                <w:vertAlign w:val="superscript"/>
              </w:rPr>
              <w:t>2</w:t>
            </w:r>
          </w:p>
        </w:tc>
        <w:tc>
          <w:tcPr>
            <w:tcW w:w="790" w:type="dxa"/>
            <w:tcBorders>
              <w:top w:val="nil"/>
            </w:tcBorders>
            <w:shd w:val="clear" w:color="auto" w:fill="FFFFFF"/>
          </w:tcPr>
          <w:p w14:paraId="0C0FEC17" w14:textId="0F56C004" w:rsidR="009652B2" w:rsidRPr="005478A5" w:rsidRDefault="009652B2" w:rsidP="009652B2">
            <w:pPr>
              <w:pStyle w:val="CETBodytext"/>
              <w:ind w:right="-1"/>
              <w:jc w:val="left"/>
            </w:pPr>
            <w:r w:rsidRPr="00F109CC">
              <w:t>0.198</w:t>
            </w:r>
          </w:p>
        </w:tc>
      </w:tr>
      <w:tr w:rsidR="009652B2" w:rsidRPr="005478A5" w14:paraId="18610991" w14:textId="77777777" w:rsidTr="00D55007">
        <w:tc>
          <w:tcPr>
            <w:tcW w:w="993" w:type="dxa"/>
            <w:vMerge/>
            <w:shd w:val="clear" w:color="auto" w:fill="FFFFFF"/>
          </w:tcPr>
          <w:p w14:paraId="238C56D2" w14:textId="77777777" w:rsidR="009652B2" w:rsidRPr="005478A5" w:rsidRDefault="009652B2" w:rsidP="009652B2">
            <w:pPr>
              <w:pStyle w:val="CETBodytext"/>
              <w:ind w:right="-1"/>
              <w:rPr>
                <w:rFonts w:cs="Arial"/>
                <w:szCs w:val="18"/>
              </w:rPr>
            </w:pPr>
          </w:p>
        </w:tc>
        <w:tc>
          <w:tcPr>
            <w:tcW w:w="1275" w:type="dxa"/>
            <w:shd w:val="clear" w:color="auto" w:fill="FFFFFF"/>
          </w:tcPr>
          <w:p w14:paraId="59EB7561" w14:textId="77777777" w:rsidR="009652B2" w:rsidRPr="005478A5" w:rsidRDefault="009652B2" w:rsidP="009652B2">
            <w:pPr>
              <w:pStyle w:val="CETBodytext"/>
              <w:ind w:right="-1"/>
              <w:rPr>
                <w:rFonts w:cs="Arial"/>
                <w:szCs w:val="18"/>
              </w:rPr>
            </w:pPr>
            <w:r w:rsidRPr="005478A5">
              <w:t>Cubic</w:t>
            </w:r>
          </w:p>
        </w:tc>
        <w:tc>
          <w:tcPr>
            <w:tcW w:w="992" w:type="dxa"/>
            <w:shd w:val="clear" w:color="auto" w:fill="FFFFFF"/>
          </w:tcPr>
          <w:p w14:paraId="3902E1D5" w14:textId="0B3D51B3" w:rsidR="009652B2" w:rsidRPr="005478A5" w:rsidRDefault="009652B2" w:rsidP="009652B2">
            <w:pPr>
              <w:pStyle w:val="CETBodytext"/>
              <w:ind w:right="-1"/>
              <w:jc w:val="left"/>
              <w:rPr>
                <w:rFonts w:cs="Arial"/>
                <w:szCs w:val="18"/>
              </w:rPr>
            </w:pPr>
            <w:r w:rsidRPr="00A1316B">
              <w:t>6.86</w:t>
            </w:r>
            <w:r>
              <w:t xml:space="preserve"> x10</w:t>
            </w:r>
            <w:r w:rsidRPr="009652B2">
              <w:rPr>
                <w:vertAlign w:val="superscript"/>
              </w:rPr>
              <w:t>-</w:t>
            </w:r>
            <w:r>
              <w:rPr>
                <w:vertAlign w:val="superscript"/>
              </w:rPr>
              <w:t>2</w:t>
            </w:r>
          </w:p>
        </w:tc>
        <w:tc>
          <w:tcPr>
            <w:tcW w:w="992" w:type="dxa"/>
            <w:shd w:val="clear" w:color="auto" w:fill="FFFFFF"/>
          </w:tcPr>
          <w:p w14:paraId="3E9E68D1" w14:textId="2C9D62B5" w:rsidR="009652B2" w:rsidRPr="005478A5" w:rsidRDefault="009652B2" w:rsidP="009652B2">
            <w:pPr>
              <w:pStyle w:val="CETBodytext"/>
              <w:ind w:right="-1"/>
              <w:jc w:val="left"/>
              <w:rPr>
                <w:rFonts w:cs="Arial"/>
                <w:szCs w:val="18"/>
              </w:rPr>
            </w:pPr>
            <w:r w:rsidRPr="00F15351">
              <w:t>9.82</w:t>
            </w:r>
            <w:r w:rsidR="004C646C">
              <w:t xml:space="preserve"> x10</w:t>
            </w:r>
            <w:r w:rsidR="004C646C" w:rsidRPr="009652B2">
              <w:rPr>
                <w:vertAlign w:val="superscript"/>
              </w:rPr>
              <w:t>-</w:t>
            </w:r>
            <w:r w:rsidR="004C646C">
              <w:rPr>
                <w:vertAlign w:val="superscript"/>
              </w:rPr>
              <w:t>2</w:t>
            </w:r>
          </w:p>
        </w:tc>
        <w:tc>
          <w:tcPr>
            <w:tcW w:w="993" w:type="dxa"/>
            <w:shd w:val="clear" w:color="auto" w:fill="FFFFFF"/>
          </w:tcPr>
          <w:p w14:paraId="5E27FBDB" w14:textId="295735A4" w:rsidR="009652B2" w:rsidRPr="005478A5" w:rsidRDefault="009652B2" w:rsidP="009652B2">
            <w:pPr>
              <w:pStyle w:val="CETBodytext"/>
              <w:ind w:right="-1"/>
              <w:jc w:val="left"/>
              <w:rPr>
                <w:rFonts w:cs="Arial"/>
                <w:szCs w:val="18"/>
              </w:rPr>
            </w:pPr>
            <w:r w:rsidRPr="00F15351">
              <w:t>0.208</w:t>
            </w:r>
          </w:p>
        </w:tc>
        <w:tc>
          <w:tcPr>
            <w:tcW w:w="992" w:type="dxa"/>
            <w:shd w:val="clear" w:color="auto" w:fill="FFFFFF"/>
          </w:tcPr>
          <w:p w14:paraId="3EF5E9E8" w14:textId="2FE5757E" w:rsidR="009652B2" w:rsidRPr="005478A5" w:rsidRDefault="009652B2" w:rsidP="009652B2">
            <w:pPr>
              <w:pStyle w:val="CETBodytext"/>
              <w:ind w:right="-1"/>
              <w:jc w:val="left"/>
              <w:rPr>
                <w:rFonts w:cs="Arial"/>
                <w:szCs w:val="18"/>
              </w:rPr>
            </w:pPr>
            <w:r w:rsidRPr="00F037E9">
              <w:t>1.29</w:t>
            </w:r>
            <w:r w:rsidR="004C646C">
              <w:t xml:space="preserve"> x10</w:t>
            </w:r>
            <w:r w:rsidR="004C646C" w:rsidRPr="009652B2">
              <w:rPr>
                <w:vertAlign w:val="superscript"/>
              </w:rPr>
              <w:t>-</w:t>
            </w:r>
            <w:r w:rsidR="004C646C">
              <w:rPr>
                <w:vertAlign w:val="superscript"/>
              </w:rPr>
              <w:t>1</w:t>
            </w:r>
          </w:p>
        </w:tc>
        <w:tc>
          <w:tcPr>
            <w:tcW w:w="992" w:type="dxa"/>
            <w:shd w:val="clear" w:color="auto" w:fill="FFFFFF"/>
          </w:tcPr>
          <w:p w14:paraId="7B1B51F4" w14:textId="1F9E8575" w:rsidR="009652B2" w:rsidRPr="005478A5" w:rsidRDefault="009652B2" w:rsidP="009652B2">
            <w:pPr>
              <w:pStyle w:val="CETBodytext"/>
              <w:ind w:right="-1"/>
              <w:jc w:val="left"/>
            </w:pPr>
            <w:r w:rsidRPr="00F109CC">
              <w:t>1.67</w:t>
            </w:r>
            <w:r w:rsidR="004C646C">
              <w:t xml:space="preserve"> x10</w:t>
            </w:r>
            <w:r w:rsidR="004C646C" w:rsidRPr="009652B2">
              <w:rPr>
                <w:vertAlign w:val="superscript"/>
              </w:rPr>
              <w:t>-</w:t>
            </w:r>
            <w:r w:rsidR="004C646C">
              <w:rPr>
                <w:vertAlign w:val="superscript"/>
              </w:rPr>
              <w:t>1</w:t>
            </w:r>
          </w:p>
        </w:tc>
        <w:tc>
          <w:tcPr>
            <w:tcW w:w="790" w:type="dxa"/>
            <w:shd w:val="clear" w:color="auto" w:fill="FFFFFF"/>
          </w:tcPr>
          <w:p w14:paraId="6223F453" w14:textId="697B4638" w:rsidR="009652B2" w:rsidRPr="005478A5" w:rsidRDefault="009652B2" w:rsidP="009652B2">
            <w:pPr>
              <w:pStyle w:val="CETBodytext"/>
              <w:ind w:right="-1"/>
              <w:jc w:val="left"/>
            </w:pPr>
            <w:r w:rsidRPr="00F109CC">
              <w:t>0.463</w:t>
            </w:r>
          </w:p>
        </w:tc>
      </w:tr>
      <w:tr w:rsidR="009652B2" w:rsidRPr="005478A5" w14:paraId="6367B28A" w14:textId="77777777" w:rsidTr="00D55007">
        <w:tc>
          <w:tcPr>
            <w:tcW w:w="993" w:type="dxa"/>
            <w:vMerge/>
            <w:shd w:val="clear" w:color="auto" w:fill="FFFFFF"/>
          </w:tcPr>
          <w:p w14:paraId="5DB8CB5A" w14:textId="77777777" w:rsidR="009652B2" w:rsidRPr="005478A5" w:rsidRDefault="009652B2" w:rsidP="009652B2">
            <w:pPr>
              <w:pStyle w:val="CETBodytext"/>
              <w:ind w:right="-1"/>
              <w:rPr>
                <w:rFonts w:cs="Arial"/>
                <w:szCs w:val="18"/>
              </w:rPr>
            </w:pPr>
          </w:p>
        </w:tc>
        <w:tc>
          <w:tcPr>
            <w:tcW w:w="1275" w:type="dxa"/>
            <w:shd w:val="clear" w:color="auto" w:fill="FFFFFF"/>
          </w:tcPr>
          <w:p w14:paraId="155E2712" w14:textId="77777777" w:rsidR="009652B2" w:rsidRPr="005478A5" w:rsidRDefault="009652B2" w:rsidP="009652B2">
            <w:pPr>
              <w:pStyle w:val="CETBodytext"/>
              <w:ind w:right="-1"/>
              <w:rPr>
                <w:rFonts w:cs="Arial"/>
                <w:szCs w:val="18"/>
              </w:rPr>
            </w:pPr>
            <w:r w:rsidRPr="005478A5">
              <w:t>Gaussian</w:t>
            </w:r>
          </w:p>
        </w:tc>
        <w:tc>
          <w:tcPr>
            <w:tcW w:w="992" w:type="dxa"/>
            <w:shd w:val="clear" w:color="auto" w:fill="FFFFFF"/>
          </w:tcPr>
          <w:p w14:paraId="580D9C2E" w14:textId="6C169EEC" w:rsidR="009652B2" w:rsidRPr="006B7BC2" w:rsidRDefault="009652B2" w:rsidP="009652B2">
            <w:pPr>
              <w:pStyle w:val="CETBodytext"/>
              <w:ind w:right="-1"/>
              <w:jc w:val="left"/>
              <w:rPr>
                <w:b/>
              </w:rPr>
            </w:pPr>
            <w:r w:rsidRPr="006B7BC2">
              <w:rPr>
                <w:b/>
              </w:rPr>
              <w:t>1.92 x10</w:t>
            </w:r>
            <w:r w:rsidRPr="006B7BC2">
              <w:rPr>
                <w:b/>
                <w:vertAlign w:val="superscript"/>
              </w:rPr>
              <w:t>-3</w:t>
            </w:r>
          </w:p>
        </w:tc>
        <w:tc>
          <w:tcPr>
            <w:tcW w:w="992" w:type="dxa"/>
            <w:shd w:val="clear" w:color="auto" w:fill="FFFFFF"/>
          </w:tcPr>
          <w:p w14:paraId="1D2D64DC" w14:textId="1F6A2E46" w:rsidR="009652B2" w:rsidRPr="006B7BC2" w:rsidRDefault="009652B2" w:rsidP="009652B2">
            <w:pPr>
              <w:pStyle w:val="CETBodytext"/>
              <w:ind w:right="-1"/>
              <w:jc w:val="left"/>
              <w:rPr>
                <w:b/>
              </w:rPr>
            </w:pPr>
            <w:r w:rsidRPr="006B7BC2">
              <w:rPr>
                <w:b/>
              </w:rPr>
              <w:t>2.29</w:t>
            </w:r>
            <w:r w:rsidR="004C646C" w:rsidRPr="006B7BC2">
              <w:rPr>
                <w:b/>
              </w:rPr>
              <w:t xml:space="preserve"> x10</w:t>
            </w:r>
            <w:r w:rsidR="004C646C" w:rsidRPr="006B7BC2">
              <w:rPr>
                <w:b/>
                <w:vertAlign w:val="superscript"/>
              </w:rPr>
              <w:t>-3</w:t>
            </w:r>
          </w:p>
        </w:tc>
        <w:tc>
          <w:tcPr>
            <w:tcW w:w="993" w:type="dxa"/>
            <w:shd w:val="clear" w:color="auto" w:fill="FFFFFF"/>
          </w:tcPr>
          <w:p w14:paraId="7182FEB8" w14:textId="349CAAAD" w:rsidR="009652B2" w:rsidRPr="006B7BC2" w:rsidRDefault="009652B2" w:rsidP="009652B2">
            <w:pPr>
              <w:pStyle w:val="CETBodytext"/>
              <w:ind w:right="-1"/>
              <w:jc w:val="left"/>
              <w:rPr>
                <w:b/>
              </w:rPr>
            </w:pPr>
            <w:r w:rsidRPr="006B7BC2">
              <w:rPr>
                <w:b/>
              </w:rPr>
              <w:t>0.005</w:t>
            </w:r>
          </w:p>
        </w:tc>
        <w:tc>
          <w:tcPr>
            <w:tcW w:w="992" w:type="dxa"/>
            <w:shd w:val="clear" w:color="auto" w:fill="FFFFFF"/>
          </w:tcPr>
          <w:p w14:paraId="4972DEE4" w14:textId="113950AC" w:rsidR="009652B2" w:rsidRPr="004838DB" w:rsidRDefault="009652B2" w:rsidP="009652B2">
            <w:pPr>
              <w:pStyle w:val="CETBodytext"/>
              <w:ind w:right="-1"/>
              <w:jc w:val="left"/>
              <w:rPr>
                <w:b/>
              </w:rPr>
            </w:pPr>
            <w:r w:rsidRPr="00F037E9">
              <w:t>5.89</w:t>
            </w:r>
            <w:r w:rsidR="004C646C">
              <w:t xml:space="preserve"> x10</w:t>
            </w:r>
            <w:r w:rsidR="004C646C" w:rsidRPr="009652B2">
              <w:rPr>
                <w:vertAlign w:val="superscript"/>
              </w:rPr>
              <w:t>-</w:t>
            </w:r>
            <w:r w:rsidR="004C646C">
              <w:rPr>
                <w:vertAlign w:val="superscript"/>
              </w:rPr>
              <w:t>2</w:t>
            </w:r>
          </w:p>
        </w:tc>
        <w:tc>
          <w:tcPr>
            <w:tcW w:w="992" w:type="dxa"/>
            <w:shd w:val="clear" w:color="auto" w:fill="FFFFFF"/>
          </w:tcPr>
          <w:p w14:paraId="56DDA905" w14:textId="4336B7CA" w:rsidR="009652B2" w:rsidRPr="004838DB" w:rsidRDefault="009652B2" w:rsidP="009652B2">
            <w:pPr>
              <w:pStyle w:val="CETBodytext"/>
              <w:ind w:right="-1"/>
              <w:jc w:val="left"/>
              <w:rPr>
                <w:b/>
              </w:rPr>
            </w:pPr>
            <w:r w:rsidRPr="00F109CC">
              <w:t>7.09</w:t>
            </w:r>
            <w:r w:rsidR="004C646C">
              <w:t xml:space="preserve"> x10</w:t>
            </w:r>
            <w:r w:rsidR="004C646C" w:rsidRPr="009652B2">
              <w:rPr>
                <w:vertAlign w:val="superscript"/>
              </w:rPr>
              <w:t>-</w:t>
            </w:r>
            <w:r w:rsidR="004C646C">
              <w:rPr>
                <w:vertAlign w:val="superscript"/>
              </w:rPr>
              <w:t>2</w:t>
            </w:r>
          </w:p>
        </w:tc>
        <w:tc>
          <w:tcPr>
            <w:tcW w:w="790" w:type="dxa"/>
            <w:shd w:val="clear" w:color="auto" w:fill="FFFFFF"/>
          </w:tcPr>
          <w:p w14:paraId="10A9F6A4" w14:textId="0E4CD238" w:rsidR="009652B2" w:rsidRPr="00E4471A" w:rsidRDefault="009652B2" w:rsidP="009652B2">
            <w:pPr>
              <w:pStyle w:val="CETBodytext"/>
              <w:ind w:right="-1"/>
              <w:jc w:val="left"/>
              <w:rPr>
                <w:b/>
              </w:rPr>
            </w:pPr>
            <w:r w:rsidRPr="00F109CC">
              <w:t>0.197</w:t>
            </w:r>
          </w:p>
        </w:tc>
      </w:tr>
      <w:tr w:rsidR="009652B2" w:rsidRPr="005478A5" w14:paraId="78600215" w14:textId="77777777" w:rsidTr="00D55007">
        <w:tc>
          <w:tcPr>
            <w:tcW w:w="993" w:type="dxa"/>
            <w:vMerge/>
            <w:shd w:val="clear" w:color="auto" w:fill="FFFFFF"/>
          </w:tcPr>
          <w:p w14:paraId="1C39447B" w14:textId="77777777" w:rsidR="009652B2" w:rsidRPr="005478A5" w:rsidRDefault="009652B2" w:rsidP="009652B2">
            <w:pPr>
              <w:pStyle w:val="CETBodytext"/>
              <w:ind w:right="-1"/>
              <w:rPr>
                <w:rFonts w:cs="Arial"/>
                <w:szCs w:val="18"/>
              </w:rPr>
            </w:pPr>
          </w:p>
        </w:tc>
        <w:tc>
          <w:tcPr>
            <w:tcW w:w="1275" w:type="dxa"/>
            <w:shd w:val="clear" w:color="auto" w:fill="FFFFFF"/>
          </w:tcPr>
          <w:p w14:paraId="5C04EF2F" w14:textId="77777777" w:rsidR="009652B2" w:rsidRPr="005478A5" w:rsidRDefault="009652B2" w:rsidP="009652B2">
            <w:pPr>
              <w:pStyle w:val="CETBodytext"/>
              <w:ind w:right="-1"/>
              <w:rPr>
                <w:rFonts w:cs="Arial"/>
                <w:szCs w:val="18"/>
              </w:rPr>
            </w:pPr>
            <w:r w:rsidRPr="005478A5">
              <w:t>Gaussian (</w:t>
            </w:r>
            <w:proofErr w:type="spellStart"/>
            <w:r w:rsidRPr="005478A5">
              <w:t>Opt</w:t>
            </w:r>
            <w:proofErr w:type="spellEnd"/>
            <w:r w:rsidRPr="005478A5">
              <w:t>)</w:t>
            </w:r>
          </w:p>
        </w:tc>
        <w:tc>
          <w:tcPr>
            <w:tcW w:w="992" w:type="dxa"/>
            <w:shd w:val="clear" w:color="auto" w:fill="FFFFFF"/>
          </w:tcPr>
          <w:p w14:paraId="4458C95F" w14:textId="2A88D8B0" w:rsidR="009652B2" w:rsidRPr="00E55132" w:rsidRDefault="009652B2" w:rsidP="009652B2">
            <w:pPr>
              <w:pStyle w:val="CETBodytext"/>
              <w:ind w:right="-1"/>
              <w:jc w:val="left"/>
              <w:rPr>
                <w:rFonts w:cs="Arial"/>
                <w:b/>
                <w:szCs w:val="18"/>
              </w:rPr>
            </w:pPr>
            <w:r w:rsidRPr="00A1316B">
              <w:t>1.95</w:t>
            </w:r>
            <w:r>
              <w:t xml:space="preserve"> x10</w:t>
            </w:r>
            <w:r w:rsidRPr="009652B2">
              <w:rPr>
                <w:vertAlign w:val="superscript"/>
              </w:rPr>
              <w:t>-</w:t>
            </w:r>
            <w:r>
              <w:rPr>
                <w:vertAlign w:val="superscript"/>
              </w:rPr>
              <w:t>3</w:t>
            </w:r>
          </w:p>
        </w:tc>
        <w:tc>
          <w:tcPr>
            <w:tcW w:w="992" w:type="dxa"/>
            <w:shd w:val="clear" w:color="auto" w:fill="FFFFFF"/>
          </w:tcPr>
          <w:p w14:paraId="1D321F8D" w14:textId="6D85FF4B" w:rsidR="009652B2" w:rsidRPr="00E55132" w:rsidRDefault="009652B2" w:rsidP="009652B2">
            <w:pPr>
              <w:pStyle w:val="CETBodytext"/>
              <w:ind w:right="-1"/>
              <w:jc w:val="left"/>
              <w:rPr>
                <w:rFonts w:cs="Arial"/>
                <w:b/>
                <w:szCs w:val="18"/>
              </w:rPr>
            </w:pPr>
            <w:r w:rsidRPr="00F15351">
              <w:t>2.23</w:t>
            </w:r>
            <w:r w:rsidR="004C646C">
              <w:t xml:space="preserve"> x10</w:t>
            </w:r>
            <w:r w:rsidR="004C646C" w:rsidRPr="009652B2">
              <w:rPr>
                <w:vertAlign w:val="superscript"/>
              </w:rPr>
              <w:t>-</w:t>
            </w:r>
            <w:r w:rsidR="004C646C">
              <w:rPr>
                <w:vertAlign w:val="superscript"/>
              </w:rPr>
              <w:t>3</w:t>
            </w:r>
          </w:p>
        </w:tc>
        <w:tc>
          <w:tcPr>
            <w:tcW w:w="993" w:type="dxa"/>
            <w:shd w:val="clear" w:color="auto" w:fill="FFFFFF"/>
          </w:tcPr>
          <w:p w14:paraId="26F11620" w14:textId="06DA3084" w:rsidR="009652B2" w:rsidRPr="00E4471A" w:rsidRDefault="009652B2" w:rsidP="009652B2">
            <w:pPr>
              <w:pStyle w:val="CETBodytext"/>
              <w:ind w:right="-1"/>
              <w:jc w:val="left"/>
              <w:rPr>
                <w:rFonts w:cs="Arial"/>
                <w:b/>
                <w:szCs w:val="18"/>
              </w:rPr>
            </w:pPr>
            <w:r w:rsidRPr="00F15351">
              <w:t>0.005</w:t>
            </w:r>
          </w:p>
        </w:tc>
        <w:tc>
          <w:tcPr>
            <w:tcW w:w="992" w:type="dxa"/>
            <w:shd w:val="clear" w:color="auto" w:fill="FFFFFF"/>
          </w:tcPr>
          <w:p w14:paraId="09EAA26B" w14:textId="543FAB87" w:rsidR="009652B2" w:rsidRPr="005478A5" w:rsidRDefault="009652B2" w:rsidP="009652B2">
            <w:pPr>
              <w:pStyle w:val="CETBodytext"/>
              <w:ind w:right="-1"/>
              <w:jc w:val="left"/>
              <w:rPr>
                <w:rFonts w:cs="Arial"/>
                <w:szCs w:val="18"/>
              </w:rPr>
            </w:pPr>
            <w:r w:rsidRPr="00F037E9">
              <w:t>6.56</w:t>
            </w:r>
            <w:r w:rsidR="004C646C">
              <w:t xml:space="preserve"> x10</w:t>
            </w:r>
            <w:r w:rsidR="004C646C" w:rsidRPr="009652B2">
              <w:rPr>
                <w:vertAlign w:val="superscript"/>
              </w:rPr>
              <w:t>-</w:t>
            </w:r>
            <w:r w:rsidR="004C646C">
              <w:rPr>
                <w:vertAlign w:val="superscript"/>
              </w:rPr>
              <w:t>2</w:t>
            </w:r>
          </w:p>
        </w:tc>
        <w:tc>
          <w:tcPr>
            <w:tcW w:w="992" w:type="dxa"/>
            <w:shd w:val="clear" w:color="auto" w:fill="FFFFFF"/>
          </w:tcPr>
          <w:p w14:paraId="09659FB7" w14:textId="2C4226C7" w:rsidR="009652B2" w:rsidRPr="005478A5" w:rsidRDefault="009652B2" w:rsidP="009652B2">
            <w:pPr>
              <w:pStyle w:val="CETBodytext"/>
              <w:ind w:right="-1"/>
              <w:jc w:val="left"/>
            </w:pPr>
            <w:r w:rsidRPr="00F109CC">
              <w:t>7.85</w:t>
            </w:r>
            <w:r w:rsidR="004C646C">
              <w:t xml:space="preserve"> x10</w:t>
            </w:r>
            <w:r w:rsidR="004C646C" w:rsidRPr="009652B2">
              <w:rPr>
                <w:vertAlign w:val="superscript"/>
              </w:rPr>
              <w:t>-</w:t>
            </w:r>
            <w:r w:rsidR="004C646C">
              <w:rPr>
                <w:vertAlign w:val="superscript"/>
              </w:rPr>
              <w:t>2</w:t>
            </w:r>
          </w:p>
        </w:tc>
        <w:tc>
          <w:tcPr>
            <w:tcW w:w="790" w:type="dxa"/>
            <w:shd w:val="clear" w:color="auto" w:fill="FFFFFF"/>
          </w:tcPr>
          <w:p w14:paraId="1AACF5D7" w14:textId="6ECCA958" w:rsidR="009652B2" w:rsidRPr="005478A5" w:rsidRDefault="009652B2" w:rsidP="009652B2">
            <w:pPr>
              <w:pStyle w:val="CETBodytext"/>
              <w:ind w:right="-1"/>
              <w:jc w:val="left"/>
            </w:pPr>
            <w:r w:rsidRPr="00F109CC">
              <w:t>0.218</w:t>
            </w:r>
          </w:p>
        </w:tc>
      </w:tr>
    </w:tbl>
    <w:p w14:paraId="35DB5D5F" w14:textId="77777777" w:rsidR="00254B83" w:rsidRPr="005478A5" w:rsidRDefault="00254B83" w:rsidP="00254B83">
      <w:pPr>
        <w:pStyle w:val="CETTabletitle"/>
        <w:rPr>
          <w:lang w:val="en-US"/>
        </w:rPr>
      </w:pPr>
      <w:bookmarkStart w:id="16" w:name="_Ref190078010"/>
      <w:bookmarkStart w:id="17" w:name="_Ref190078003"/>
      <w:r w:rsidRPr="005478A5">
        <w:rPr>
          <w:lang w:val="en-US"/>
        </w:rPr>
        <w:t xml:space="preserve">Table </w:t>
      </w:r>
      <w:r w:rsidRPr="005478A5">
        <w:rPr>
          <w:lang w:val="en-US"/>
        </w:rPr>
        <w:fldChar w:fldCharType="begin"/>
      </w:r>
      <w:r w:rsidRPr="005478A5">
        <w:rPr>
          <w:lang w:val="en-US"/>
        </w:rPr>
        <w:instrText xml:space="preserve"> SEQ Table \* ARABIC </w:instrText>
      </w:r>
      <w:r w:rsidRPr="005478A5">
        <w:rPr>
          <w:lang w:val="en-US"/>
        </w:rPr>
        <w:fldChar w:fldCharType="separate"/>
      </w:r>
      <w:r w:rsidRPr="005478A5">
        <w:rPr>
          <w:noProof/>
          <w:lang w:val="en-US"/>
        </w:rPr>
        <w:t>2</w:t>
      </w:r>
      <w:r w:rsidRPr="005478A5">
        <w:rPr>
          <w:lang w:val="en-US"/>
        </w:rPr>
        <w:fldChar w:fldCharType="end"/>
      </w:r>
      <w:bookmarkEnd w:id="16"/>
      <w:r w:rsidRPr="005478A5">
        <w:rPr>
          <w:lang w:val="en-US"/>
        </w:rPr>
        <w:t xml:space="preserve">: </w:t>
      </w:r>
      <w:bookmarkEnd w:id="17"/>
      <w:r w:rsidRPr="005478A5">
        <w:rPr>
          <w:lang w:val="en-US"/>
        </w:rPr>
        <w:t xml:space="preserve">Error comparison </w:t>
      </w:r>
      <w:r>
        <w:rPr>
          <w:lang w:val="en-US"/>
        </w:rPr>
        <w:t>of training and</w:t>
      </w:r>
      <w:r w:rsidRPr="005478A5">
        <w:rPr>
          <w:lang w:val="en-US"/>
        </w:rPr>
        <w:t xml:space="preserve"> validation test</w:t>
      </w:r>
      <w:r>
        <w:rPr>
          <w:lang w:val="en-US"/>
        </w:rPr>
        <w:t>s</w:t>
      </w:r>
      <w:r w:rsidRPr="005478A5">
        <w:rPr>
          <w:lang w:val="en-US"/>
        </w:rPr>
        <w:t xml:space="preserve"> for </w:t>
      </w:r>
      <w:r>
        <w:rPr>
          <w:lang w:val="en-US"/>
        </w:rPr>
        <w:t>spore</w:t>
      </w:r>
      <w:r w:rsidRPr="005478A5">
        <w:rPr>
          <w:lang w:val="en-US"/>
        </w:rPr>
        <w:t xml:space="preserve"> models</w:t>
      </w:r>
      <w:r>
        <w:rPr>
          <w:lang w:val="en-US"/>
        </w:rPr>
        <w:t xml:space="preserve"> using filtered data</w:t>
      </w:r>
      <w:r w:rsidRPr="005478A5">
        <w:rPr>
          <w:lang w:val="en-US"/>
        </w:rPr>
        <w:t>.</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275"/>
        <w:gridCol w:w="1016"/>
        <w:gridCol w:w="1016"/>
        <w:gridCol w:w="1016"/>
        <w:gridCol w:w="1016"/>
        <w:gridCol w:w="1016"/>
        <w:gridCol w:w="1016"/>
      </w:tblGrid>
      <w:tr w:rsidR="00254B83" w:rsidRPr="005478A5" w14:paraId="316001D1" w14:textId="77777777" w:rsidTr="00167286">
        <w:tc>
          <w:tcPr>
            <w:tcW w:w="993" w:type="dxa"/>
            <w:tcBorders>
              <w:top w:val="single" w:sz="12" w:space="0" w:color="008000"/>
              <w:bottom w:val="single" w:sz="6" w:space="0" w:color="008000"/>
            </w:tcBorders>
            <w:shd w:val="clear" w:color="auto" w:fill="FFFFFF"/>
          </w:tcPr>
          <w:p w14:paraId="3B99E0B3" w14:textId="77777777" w:rsidR="00254B83" w:rsidRPr="005478A5" w:rsidRDefault="00254B83" w:rsidP="00167286">
            <w:pPr>
              <w:pStyle w:val="CETBodytext"/>
            </w:pPr>
            <w:r>
              <w:t>Test</w:t>
            </w:r>
            <w:r w:rsidRPr="005478A5">
              <w:t xml:space="preserve"> type</w:t>
            </w:r>
          </w:p>
        </w:tc>
        <w:tc>
          <w:tcPr>
            <w:tcW w:w="1275" w:type="dxa"/>
            <w:tcBorders>
              <w:top w:val="single" w:sz="12" w:space="0" w:color="008000"/>
              <w:bottom w:val="single" w:sz="6" w:space="0" w:color="008000"/>
            </w:tcBorders>
            <w:shd w:val="clear" w:color="auto" w:fill="FFFFFF"/>
          </w:tcPr>
          <w:p w14:paraId="194E0F0B" w14:textId="77777777" w:rsidR="00254B83" w:rsidRPr="005478A5" w:rsidRDefault="00254B83" w:rsidP="00167286">
            <w:pPr>
              <w:pStyle w:val="CETBodytext"/>
            </w:pPr>
          </w:p>
        </w:tc>
        <w:tc>
          <w:tcPr>
            <w:tcW w:w="3048" w:type="dxa"/>
            <w:gridSpan w:val="3"/>
            <w:tcBorders>
              <w:top w:val="single" w:sz="12" w:space="0" w:color="008000"/>
              <w:bottom w:val="single" w:sz="6" w:space="0" w:color="008000"/>
            </w:tcBorders>
            <w:shd w:val="clear" w:color="auto" w:fill="FFFFFF"/>
          </w:tcPr>
          <w:p w14:paraId="62A3CE91" w14:textId="77777777" w:rsidR="00254B83" w:rsidRPr="005478A5" w:rsidRDefault="00254B83" w:rsidP="00167286">
            <w:pPr>
              <w:pStyle w:val="CETBodytext"/>
              <w:ind w:right="-1"/>
            </w:pPr>
            <w:r>
              <w:t>Training (B1)</w:t>
            </w:r>
          </w:p>
        </w:tc>
        <w:tc>
          <w:tcPr>
            <w:tcW w:w="3048" w:type="dxa"/>
            <w:gridSpan w:val="3"/>
            <w:tcBorders>
              <w:top w:val="single" w:sz="12" w:space="0" w:color="008000"/>
              <w:bottom w:val="single" w:sz="6" w:space="0" w:color="008000"/>
            </w:tcBorders>
            <w:shd w:val="clear" w:color="auto" w:fill="FFFFFF"/>
          </w:tcPr>
          <w:p w14:paraId="41388C02" w14:textId="77777777" w:rsidR="00254B83" w:rsidRPr="005478A5" w:rsidRDefault="00254B83" w:rsidP="00167286">
            <w:pPr>
              <w:pStyle w:val="CETBodytext"/>
              <w:ind w:right="-1"/>
            </w:pPr>
            <w:r>
              <w:t>Validation (B2)</w:t>
            </w:r>
          </w:p>
        </w:tc>
      </w:tr>
      <w:tr w:rsidR="00254B83" w:rsidRPr="005478A5" w14:paraId="2FCF5FAE" w14:textId="77777777" w:rsidTr="00167286">
        <w:tc>
          <w:tcPr>
            <w:tcW w:w="993" w:type="dxa"/>
            <w:tcBorders>
              <w:top w:val="single" w:sz="12" w:space="0" w:color="008000"/>
              <w:bottom w:val="single" w:sz="6" w:space="0" w:color="008000"/>
            </w:tcBorders>
            <w:shd w:val="clear" w:color="auto" w:fill="FFFFFF"/>
          </w:tcPr>
          <w:p w14:paraId="4B3287A4" w14:textId="77777777" w:rsidR="00254B83" w:rsidRPr="005478A5" w:rsidRDefault="00254B83" w:rsidP="00167286">
            <w:pPr>
              <w:pStyle w:val="CETBodytext"/>
            </w:pPr>
            <w:r w:rsidRPr="005478A5">
              <w:t>Method</w:t>
            </w:r>
          </w:p>
        </w:tc>
        <w:tc>
          <w:tcPr>
            <w:tcW w:w="1275" w:type="dxa"/>
            <w:tcBorders>
              <w:top w:val="single" w:sz="12" w:space="0" w:color="008000"/>
              <w:bottom w:val="single" w:sz="6" w:space="0" w:color="008000"/>
            </w:tcBorders>
            <w:shd w:val="clear" w:color="auto" w:fill="FFFFFF"/>
          </w:tcPr>
          <w:p w14:paraId="6C8A7AD0" w14:textId="77777777" w:rsidR="00254B83" w:rsidRPr="005478A5" w:rsidRDefault="00254B83" w:rsidP="00167286">
            <w:pPr>
              <w:pStyle w:val="CETBodytext"/>
            </w:pPr>
            <w:r w:rsidRPr="005478A5">
              <w:t>Type</w:t>
            </w:r>
          </w:p>
        </w:tc>
        <w:tc>
          <w:tcPr>
            <w:tcW w:w="1016" w:type="dxa"/>
            <w:tcBorders>
              <w:top w:val="single" w:sz="12" w:space="0" w:color="008000"/>
              <w:bottom w:val="single" w:sz="6" w:space="0" w:color="008000"/>
            </w:tcBorders>
            <w:shd w:val="clear" w:color="auto" w:fill="FFFFFF"/>
          </w:tcPr>
          <w:p w14:paraId="17966E68" w14:textId="77777777" w:rsidR="00254B83" w:rsidRPr="005478A5" w:rsidRDefault="00254B83" w:rsidP="00167286">
            <w:pPr>
              <w:pStyle w:val="CETBodytext"/>
            </w:pPr>
            <w:r w:rsidRPr="005478A5">
              <w:t>MAE</w:t>
            </w:r>
          </w:p>
        </w:tc>
        <w:tc>
          <w:tcPr>
            <w:tcW w:w="1016" w:type="dxa"/>
            <w:tcBorders>
              <w:top w:val="single" w:sz="12" w:space="0" w:color="008000"/>
              <w:bottom w:val="single" w:sz="6" w:space="0" w:color="008000"/>
            </w:tcBorders>
            <w:shd w:val="clear" w:color="auto" w:fill="FFFFFF"/>
          </w:tcPr>
          <w:p w14:paraId="0116548A" w14:textId="77777777" w:rsidR="00254B83" w:rsidRPr="005478A5" w:rsidRDefault="00254B83" w:rsidP="00167286">
            <w:pPr>
              <w:pStyle w:val="CETBodytext"/>
            </w:pPr>
            <w:r w:rsidRPr="005478A5">
              <w:t>RMSE</w:t>
            </w:r>
          </w:p>
        </w:tc>
        <w:tc>
          <w:tcPr>
            <w:tcW w:w="1016" w:type="dxa"/>
            <w:tcBorders>
              <w:top w:val="single" w:sz="12" w:space="0" w:color="008000"/>
              <w:bottom w:val="single" w:sz="6" w:space="0" w:color="008000"/>
            </w:tcBorders>
            <w:shd w:val="clear" w:color="auto" w:fill="FFFFFF"/>
          </w:tcPr>
          <w:p w14:paraId="50B5F3EB" w14:textId="77777777" w:rsidR="00254B83" w:rsidRPr="005478A5" w:rsidRDefault="00254B83" w:rsidP="00167286">
            <w:pPr>
              <w:pStyle w:val="CETBodytext"/>
              <w:ind w:right="-1"/>
              <w:rPr>
                <w:rFonts w:cs="Arial"/>
                <w:szCs w:val="18"/>
              </w:rPr>
            </w:pPr>
            <w:r w:rsidRPr="005478A5">
              <w:t>NRMSE</w:t>
            </w:r>
          </w:p>
        </w:tc>
        <w:tc>
          <w:tcPr>
            <w:tcW w:w="1016" w:type="dxa"/>
            <w:tcBorders>
              <w:top w:val="single" w:sz="12" w:space="0" w:color="008000"/>
              <w:bottom w:val="single" w:sz="6" w:space="0" w:color="008000"/>
            </w:tcBorders>
            <w:shd w:val="clear" w:color="auto" w:fill="FFFFFF"/>
          </w:tcPr>
          <w:p w14:paraId="6F5B6AA4" w14:textId="77777777" w:rsidR="00254B83" w:rsidRPr="005478A5" w:rsidRDefault="00254B83" w:rsidP="00167286">
            <w:pPr>
              <w:pStyle w:val="CETBodytext"/>
              <w:ind w:right="-1"/>
              <w:rPr>
                <w:rFonts w:cs="Arial"/>
                <w:szCs w:val="18"/>
              </w:rPr>
            </w:pPr>
            <w:r w:rsidRPr="005478A5">
              <w:t>MAE</w:t>
            </w:r>
          </w:p>
        </w:tc>
        <w:tc>
          <w:tcPr>
            <w:tcW w:w="1016" w:type="dxa"/>
            <w:tcBorders>
              <w:top w:val="single" w:sz="12" w:space="0" w:color="008000"/>
              <w:bottom w:val="single" w:sz="6" w:space="0" w:color="008000"/>
            </w:tcBorders>
            <w:shd w:val="clear" w:color="auto" w:fill="FFFFFF"/>
          </w:tcPr>
          <w:p w14:paraId="21170CF1" w14:textId="77777777" w:rsidR="00254B83" w:rsidRPr="005478A5" w:rsidRDefault="00254B83" w:rsidP="00167286">
            <w:pPr>
              <w:pStyle w:val="CETBodytext"/>
              <w:ind w:right="-1"/>
              <w:rPr>
                <w:rFonts w:cs="Arial"/>
                <w:szCs w:val="18"/>
              </w:rPr>
            </w:pPr>
            <w:r w:rsidRPr="005478A5">
              <w:t>RMSE</w:t>
            </w:r>
          </w:p>
        </w:tc>
        <w:tc>
          <w:tcPr>
            <w:tcW w:w="1016" w:type="dxa"/>
            <w:tcBorders>
              <w:top w:val="single" w:sz="12" w:space="0" w:color="008000"/>
              <w:bottom w:val="single" w:sz="6" w:space="0" w:color="008000"/>
            </w:tcBorders>
            <w:shd w:val="clear" w:color="auto" w:fill="FFFFFF"/>
          </w:tcPr>
          <w:p w14:paraId="0C583AAB" w14:textId="77777777" w:rsidR="00254B83" w:rsidRPr="005478A5" w:rsidRDefault="00254B83" w:rsidP="00167286">
            <w:pPr>
              <w:pStyle w:val="CETBodytext"/>
              <w:ind w:right="-1"/>
              <w:rPr>
                <w:rFonts w:cs="Arial"/>
                <w:szCs w:val="18"/>
              </w:rPr>
            </w:pPr>
            <w:r w:rsidRPr="005478A5">
              <w:t>NRMSE</w:t>
            </w:r>
          </w:p>
        </w:tc>
      </w:tr>
      <w:tr w:rsidR="00254B83" w:rsidRPr="005478A5" w14:paraId="17C1829C" w14:textId="77777777" w:rsidTr="00167286">
        <w:tc>
          <w:tcPr>
            <w:tcW w:w="993" w:type="dxa"/>
            <w:shd w:val="clear" w:color="auto" w:fill="FFFFFF"/>
          </w:tcPr>
          <w:p w14:paraId="41965A79" w14:textId="77777777" w:rsidR="00254B83" w:rsidRPr="005478A5" w:rsidRDefault="00254B83" w:rsidP="00167286">
            <w:pPr>
              <w:pStyle w:val="CETBodytext"/>
            </w:pPr>
            <w:r w:rsidRPr="005478A5">
              <w:t>DM</w:t>
            </w:r>
          </w:p>
        </w:tc>
        <w:tc>
          <w:tcPr>
            <w:tcW w:w="1275" w:type="dxa"/>
            <w:shd w:val="clear" w:color="auto" w:fill="FFFFFF"/>
          </w:tcPr>
          <w:p w14:paraId="401999A4" w14:textId="77777777" w:rsidR="00254B83" w:rsidRPr="005478A5" w:rsidRDefault="00254B83" w:rsidP="00167286">
            <w:pPr>
              <w:pStyle w:val="CETBodytext"/>
            </w:pPr>
            <w:r w:rsidRPr="005478A5">
              <w:t>-</w:t>
            </w:r>
          </w:p>
        </w:tc>
        <w:tc>
          <w:tcPr>
            <w:tcW w:w="1016" w:type="dxa"/>
            <w:shd w:val="clear" w:color="auto" w:fill="FFFFFF"/>
          </w:tcPr>
          <w:p w14:paraId="3127FF92" w14:textId="77777777" w:rsidR="00254B83" w:rsidRPr="005478A5" w:rsidRDefault="00254B83" w:rsidP="00167286">
            <w:pPr>
              <w:pStyle w:val="CETBodytext"/>
            </w:pPr>
            <w:r w:rsidRPr="00AD7564">
              <w:t>1.22</w:t>
            </w:r>
            <w:r>
              <w:t xml:space="preserve"> x10</w:t>
            </w:r>
            <w:r w:rsidRPr="009652B2">
              <w:rPr>
                <w:vertAlign w:val="superscript"/>
              </w:rPr>
              <w:t>-</w:t>
            </w:r>
            <w:r>
              <w:rPr>
                <w:vertAlign w:val="superscript"/>
              </w:rPr>
              <w:t>1</w:t>
            </w:r>
          </w:p>
        </w:tc>
        <w:tc>
          <w:tcPr>
            <w:tcW w:w="1016" w:type="dxa"/>
            <w:shd w:val="clear" w:color="auto" w:fill="FFFFFF"/>
          </w:tcPr>
          <w:p w14:paraId="66845975" w14:textId="77777777" w:rsidR="00254B83" w:rsidRPr="005478A5" w:rsidRDefault="00254B83" w:rsidP="00167286">
            <w:pPr>
              <w:pStyle w:val="CETBodytext"/>
            </w:pPr>
            <w:r w:rsidRPr="005E55DD">
              <w:t>1.84</w:t>
            </w:r>
            <w:r>
              <w:t xml:space="preserve"> x10</w:t>
            </w:r>
            <w:r w:rsidRPr="009652B2">
              <w:rPr>
                <w:vertAlign w:val="superscript"/>
              </w:rPr>
              <w:t>-</w:t>
            </w:r>
            <w:r>
              <w:rPr>
                <w:vertAlign w:val="superscript"/>
              </w:rPr>
              <w:t>1</w:t>
            </w:r>
          </w:p>
        </w:tc>
        <w:tc>
          <w:tcPr>
            <w:tcW w:w="1016" w:type="dxa"/>
            <w:shd w:val="clear" w:color="auto" w:fill="FFFFFF"/>
          </w:tcPr>
          <w:p w14:paraId="7E68BA09" w14:textId="77777777" w:rsidR="00254B83" w:rsidRPr="005478A5" w:rsidRDefault="00254B83" w:rsidP="00167286">
            <w:pPr>
              <w:pStyle w:val="CETBodytext"/>
              <w:ind w:right="-1"/>
            </w:pPr>
            <w:r w:rsidRPr="005E55DD">
              <w:t>0.181</w:t>
            </w:r>
          </w:p>
        </w:tc>
        <w:tc>
          <w:tcPr>
            <w:tcW w:w="1016" w:type="dxa"/>
            <w:shd w:val="clear" w:color="auto" w:fill="FFFFFF"/>
          </w:tcPr>
          <w:p w14:paraId="12B5F7FD" w14:textId="77777777" w:rsidR="00254B83" w:rsidRPr="005478A5" w:rsidRDefault="00254B83" w:rsidP="00167286">
            <w:pPr>
              <w:pStyle w:val="CETBodytext"/>
              <w:ind w:right="-1"/>
            </w:pPr>
            <w:r w:rsidRPr="00084846">
              <w:t>1.05</w:t>
            </w:r>
            <w:r>
              <w:t xml:space="preserve"> x10</w:t>
            </w:r>
            <w:r w:rsidRPr="009652B2">
              <w:rPr>
                <w:vertAlign w:val="superscript"/>
              </w:rPr>
              <w:t>-</w:t>
            </w:r>
            <w:r>
              <w:rPr>
                <w:vertAlign w:val="superscript"/>
              </w:rPr>
              <w:t>1</w:t>
            </w:r>
          </w:p>
        </w:tc>
        <w:tc>
          <w:tcPr>
            <w:tcW w:w="1016" w:type="dxa"/>
            <w:shd w:val="clear" w:color="auto" w:fill="FFFFFF"/>
          </w:tcPr>
          <w:p w14:paraId="69F75D2E" w14:textId="77777777" w:rsidR="00254B83" w:rsidRPr="005478A5" w:rsidRDefault="00254B83" w:rsidP="00167286">
            <w:pPr>
              <w:pStyle w:val="CETBodytext"/>
              <w:ind w:right="-1"/>
            </w:pPr>
            <w:r w:rsidRPr="001505B3">
              <w:t>2.48</w:t>
            </w:r>
            <w:r>
              <w:t xml:space="preserve"> x10</w:t>
            </w:r>
            <w:r w:rsidRPr="009652B2">
              <w:rPr>
                <w:vertAlign w:val="superscript"/>
              </w:rPr>
              <w:t>-</w:t>
            </w:r>
            <w:r>
              <w:rPr>
                <w:vertAlign w:val="superscript"/>
              </w:rPr>
              <w:t>1</w:t>
            </w:r>
          </w:p>
        </w:tc>
        <w:tc>
          <w:tcPr>
            <w:tcW w:w="1016" w:type="dxa"/>
            <w:shd w:val="clear" w:color="auto" w:fill="FFFFFF"/>
          </w:tcPr>
          <w:p w14:paraId="51BE975C" w14:textId="77777777" w:rsidR="00254B83" w:rsidRPr="005478A5" w:rsidRDefault="00254B83" w:rsidP="00167286">
            <w:pPr>
              <w:pStyle w:val="CETBodytext"/>
              <w:ind w:right="-1"/>
            </w:pPr>
            <w:r w:rsidRPr="001505B3">
              <w:t>0.427</w:t>
            </w:r>
          </w:p>
        </w:tc>
      </w:tr>
      <w:tr w:rsidR="00254B83" w:rsidRPr="005478A5" w14:paraId="5CD485DB" w14:textId="77777777" w:rsidTr="00167286">
        <w:tc>
          <w:tcPr>
            <w:tcW w:w="993" w:type="dxa"/>
            <w:vMerge w:val="restart"/>
            <w:shd w:val="clear" w:color="auto" w:fill="FFFFFF"/>
          </w:tcPr>
          <w:p w14:paraId="75BC5A82" w14:textId="77777777" w:rsidR="00254B83" w:rsidRPr="005478A5" w:rsidRDefault="00254B83" w:rsidP="00167286">
            <w:pPr>
              <w:pStyle w:val="CETBodytext"/>
            </w:pPr>
            <w:r w:rsidRPr="005478A5">
              <w:t>D</w:t>
            </w:r>
            <w:r>
              <w:t xml:space="preserve">HM </w:t>
            </w:r>
            <w:r w:rsidRPr="005478A5">
              <w:t>(DT)</w:t>
            </w:r>
          </w:p>
        </w:tc>
        <w:tc>
          <w:tcPr>
            <w:tcW w:w="1275" w:type="dxa"/>
            <w:shd w:val="clear" w:color="auto" w:fill="FFFFFF"/>
          </w:tcPr>
          <w:p w14:paraId="55E92423" w14:textId="77777777" w:rsidR="00254B83" w:rsidRPr="005478A5" w:rsidRDefault="00254B83" w:rsidP="00167286">
            <w:pPr>
              <w:pStyle w:val="CETBodytext"/>
            </w:pPr>
            <w:r w:rsidRPr="005478A5">
              <w:t>Fine</w:t>
            </w:r>
          </w:p>
        </w:tc>
        <w:tc>
          <w:tcPr>
            <w:tcW w:w="1016" w:type="dxa"/>
            <w:shd w:val="clear" w:color="auto" w:fill="FFFFFF"/>
          </w:tcPr>
          <w:p w14:paraId="6C1C36BE" w14:textId="77777777" w:rsidR="00254B83" w:rsidRPr="004838DB" w:rsidRDefault="00254B83" w:rsidP="00167286">
            <w:pPr>
              <w:pStyle w:val="CETBodytext"/>
              <w:rPr>
                <w:b/>
              </w:rPr>
            </w:pPr>
            <w:r w:rsidRPr="00AD7564">
              <w:t>4.72</w:t>
            </w:r>
            <w:r>
              <w:t xml:space="preserve"> x10</w:t>
            </w:r>
            <w:r w:rsidRPr="009652B2">
              <w:rPr>
                <w:vertAlign w:val="superscript"/>
              </w:rPr>
              <w:t>-2</w:t>
            </w:r>
          </w:p>
        </w:tc>
        <w:tc>
          <w:tcPr>
            <w:tcW w:w="1016" w:type="dxa"/>
            <w:shd w:val="clear" w:color="auto" w:fill="FFFFFF"/>
          </w:tcPr>
          <w:p w14:paraId="116D03AC" w14:textId="77777777" w:rsidR="00254B83" w:rsidRPr="004838DB" w:rsidRDefault="00254B83" w:rsidP="00167286">
            <w:pPr>
              <w:pStyle w:val="CETBodytext"/>
              <w:rPr>
                <w:b/>
              </w:rPr>
            </w:pPr>
            <w:r w:rsidRPr="005E55DD">
              <w:t>6.66</w:t>
            </w:r>
            <w:r>
              <w:t xml:space="preserve"> x10</w:t>
            </w:r>
            <w:r w:rsidRPr="009652B2">
              <w:rPr>
                <w:vertAlign w:val="superscript"/>
              </w:rPr>
              <w:t>-</w:t>
            </w:r>
            <w:r>
              <w:rPr>
                <w:vertAlign w:val="superscript"/>
              </w:rPr>
              <w:t>2</w:t>
            </w:r>
          </w:p>
        </w:tc>
        <w:tc>
          <w:tcPr>
            <w:tcW w:w="1016" w:type="dxa"/>
            <w:shd w:val="clear" w:color="auto" w:fill="FFFFFF"/>
          </w:tcPr>
          <w:p w14:paraId="1E329FA6" w14:textId="77777777" w:rsidR="00254B83" w:rsidRPr="004838DB" w:rsidRDefault="00254B83" w:rsidP="00167286">
            <w:pPr>
              <w:pStyle w:val="CETBodytext"/>
              <w:ind w:right="-1"/>
              <w:rPr>
                <w:rFonts w:cs="Arial"/>
                <w:b/>
                <w:szCs w:val="18"/>
              </w:rPr>
            </w:pPr>
            <w:r w:rsidRPr="005E55DD">
              <w:t>0.066</w:t>
            </w:r>
          </w:p>
        </w:tc>
        <w:tc>
          <w:tcPr>
            <w:tcW w:w="1016" w:type="dxa"/>
            <w:shd w:val="clear" w:color="auto" w:fill="FFFFFF"/>
          </w:tcPr>
          <w:p w14:paraId="172365B2" w14:textId="77777777" w:rsidR="00254B83" w:rsidRPr="004838DB" w:rsidRDefault="00254B83" w:rsidP="00167286">
            <w:pPr>
              <w:pStyle w:val="CETBodytext"/>
              <w:ind w:right="-1"/>
              <w:rPr>
                <w:rFonts w:cs="Arial"/>
                <w:b/>
                <w:szCs w:val="18"/>
              </w:rPr>
            </w:pPr>
            <w:r w:rsidRPr="00084846">
              <w:t>1.49</w:t>
            </w:r>
            <w:r>
              <w:t xml:space="preserve"> x10</w:t>
            </w:r>
            <w:r w:rsidRPr="009652B2">
              <w:rPr>
                <w:vertAlign w:val="superscript"/>
              </w:rPr>
              <w:t>-</w:t>
            </w:r>
            <w:r>
              <w:rPr>
                <w:vertAlign w:val="superscript"/>
              </w:rPr>
              <w:t>1</w:t>
            </w:r>
          </w:p>
        </w:tc>
        <w:tc>
          <w:tcPr>
            <w:tcW w:w="1016" w:type="dxa"/>
            <w:shd w:val="clear" w:color="auto" w:fill="FFFFFF"/>
          </w:tcPr>
          <w:p w14:paraId="44010E98" w14:textId="77777777" w:rsidR="00254B83" w:rsidRPr="004838DB" w:rsidRDefault="00254B83" w:rsidP="00167286">
            <w:pPr>
              <w:pStyle w:val="CETBodytext"/>
              <w:ind w:right="-1"/>
              <w:rPr>
                <w:b/>
              </w:rPr>
            </w:pPr>
            <w:r w:rsidRPr="001505B3">
              <w:t>2.62</w:t>
            </w:r>
            <w:r>
              <w:t xml:space="preserve"> x10</w:t>
            </w:r>
            <w:r w:rsidRPr="009652B2">
              <w:rPr>
                <w:vertAlign w:val="superscript"/>
              </w:rPr>
              <w:t>-</w:t>
            </w:r>
            <w:r>
              <w:rPr>
                <w:vertAlign w:val="superscript"/>
              </w:rPr>
              <w:t>1</w:t>
            </w:r>
          </w:p>
        </w:tc>
        <w:tc>
          <w:tcPr>
            <w:tcW w:w="1016" w:type="dxa"/>
            <w:shd w:val="clear" w:color="auto" w:fill="FFFFFF"/>
          </w:tcPr>
          <w:p w14:paraId="7799A825" w14:textId="77777777" w:rsidR="00254B83" w:rsidRPr="00C26529" w:rsidRDefault="00254B83" w:rsidP="00167286">
            <w:pPr>
              <w:pStyle w:val="CETBodytext"/>
              <w:ind w:right="-1"/>
              <w:rPr>
                <w:b/>
              </w:rPr>
            </w:pPr>
            <w:r w:rsidRPr="001505B3">
              <w:t>0.452</w:t>
            </w:r>
          </w:p>
        </w:tc>
      </w:tr>
      <w:tr w:rsidR="00254B83" w:rsidRPr="005478A5" w14:paraId="601F6282" w14:textId="77777777" w:rsidTr="00167286">
        <w:tc>
          <w:tcPr>
            <w:tcW w:w="993" w:type="dxa"/>
            <w:vMerge/>
            <w:shd w:val="clear" w:color="auto" w:fill="FFFFFF"/>
          </w:tcPr>
          <w:p w14:paraId="60200A7C" w14:textId="77777777" w:rsidR="00254B83" w:rsidRPr="005478A5" w:rsidRDefault="00254B83" w:rsidP="00167286">
            <w:pPr>
              <w:pStyle w:val="CETBodytext"/>
              <w:ind w:right="-1"/>
              <w:rPr>
                <w:rFonts w:cs="Arial"/>
                <w:szCs w:val="18"/>
              </w:rPr>
            </w:pPr>
          </w:p>
        </w:tc>
        <w:tc>
          <w:tcPr>
            <w:tcW w:w="1275" w:type="dxa"/>
            <w:shd w:val="clear" w:color="auto" w:fill="FFFFFF"/>
          </w:tcPr>
          <w:p w14:paraId="483F0E6A" w14:textId="77777777" w:rsidR="00254B83" w:rsidRPr="005478A5" w:rsidRDefault="00254B83" w:rsidP="00167286">
            <w:pPr>
              <w:pStyle w:val="CETBodytext"/>
              <w:ind w:right="-1"/>
              <w:rPr>
                <w:rFonts w:cs="Arial"/>
                <w:szCs w:val="18"/>
              </w:rPr>
            </w:pPr>
            <w:r w:rsidRPr="005478A5">
              <w:t>Medium</w:t>
            </w:r>
          </w:p>
        </w:tc>
        <w:tc>
          <w:tcPr>
            <w:tcW w:w="1016" w:type="dxa"/>
            <w:shd w:val="clear" w:color="auto" w:fill="FFFFFF"/>
          </w:tcPr>
          <w:p w14:paraId="3618CA68" w14:textId="77777777" w:rsidR="00254B83" w:rsidRPr="005478A5" w:rsidRDefault="00254B83" w:rsidP="00167286">
            <w:pPr>
              <w:pStyle w:val="CETBodytext"/>
              <w:ind w:right="-1"/>
              <w:rPr>
                <w:rFonts w:cs="Arial"/>
                <w:szCs w:val="18"/>
              </w:rPr>
            </w:pPr>
            <w:r w:rsidRPr="00AD7564">
              <w:t>4.60</w:t>
            </w:r>
            <w:r>
              <w:t xml:space="preserve"> x10</w:t>
            </w:r>
            <w:r w:rsidRPr="009652B2">
              <w:rPr>
                <w:vertAlign w:val="superscript"/>
              </w:rPr>
              <w:t>-2</w:t>
            </w:r>
          </w:p>
        </w:tc>
        <w:tc>
          <w:tcPr>
            <w:tcW w:w="1016" w:type="dxa"/>
            <w:shd w:val="clear" w:color="auto" w:fill="FFFFFF"/>
          </w:tcPr>
          <w:p w14:paraId="7019BFB6" w14:textId="77777777" w:rsidR="00254B83" w:rsidRPr="005478A5" w:rsidRDefault="00254B83" w:rsidP="00167286">
            <w:pPr>
              <w:pStyle w:val="CETBodytext"/>
              <w:ind w:right="-1"/>
              <w:rPr>
                <w:rFonts w:cs="Arial"/>
                <w:szCs w:val="18"/>
              </w:rPr>
            </w:pPr>
            <w:r w:rsidRPr="005E55DD">
              <w:t>6.48</w:t>
            </w:r>
            <w:r>
              <w:t xml:space="preserve"> x10</w:t>
            </w:r>
            <w:r w:rsidRPr="009652B2">
              <w:rPr>
                <w:vertAlign w:val="superscript"/>
              </w:rPr>
              <w:t>-</w:t>
            </w:r>
            <w:r>
              <w:rPr>
                <w:vertAlign w:val="superscript"/>
              </w:rPr>
              <w:t>2</w:t>
            </w:r>
          </w:p>
        </w:tc>
        <w:tc>
          <w:tcPr>
            <w:tcW w:w="1016" w:type="dxa"/>
            <w:shd w:val="clear" w:color="auto" w:fill="FFFFFF"/>
          </w:tcPr>
          <w:p w14:paraId="26DC9158" w14:textId="77777777" w:rsidR="00254B83" w:rsidRPr="005478A5" w:rsidRDefault="00254B83" w:rsidP="00167286">
            <w:pPr>
              <w:pStyle w:val="CETBodytext"/>
              <w:ind w:right="-1"/>
              <w:rPr>
                <w:rFonts w:cs="Arial"/>
                <w:szCs w:val="18"/>
              </w:rPr>
            </w:pPr>
            <w:r w:rsidRPr="005E55DD">
              <w:t>0.064</w:t>
            </w:r>
          </w:p>
        </w:tc>
        <w:tc>
          <w:tcPr>
            <w:tcW w:w="1016" w:type="dxa"/>
            <w:shd w:val="clear" w:color="auto" w:fill="FFFFFF"/>
          </w:tcPr>
          <w:p w14:paraId="76C0A9EB" w14:textId="77777777" w:rsidR="00254B83" w:rsidRPr="00FD05B7" w:rsidRDefault="00254B83" w:rsidP="00167286">
            <w:pPr>
              <w:pStyle w:val="CETBodytext"/>
              <w:ind w:right="-1"/>
              <w:rPr>
                <w:rFonts w:cs="Arial"/>
                <w:b/>
                <w:szCs w:val="18"/>
              </w:rPr>
            </w:pPr>
            <w:r w:rsidRPr="00FD05B7">
              <w:rPr>
                <w:b/>
              </w:rPr>
              <w:t>1.44 x10</w:t>
            </w:r>
            <w:r w:rsidRPr="00FD05B7">
              <w:rPr>
                <w:b/>
                <w:vertAlign w:val="superscript"/>
              </w:rPr>
              <w:t>-1</w:t>
            </w:r>
          </w:p>
        </w:tc>
        <w:tc>
          <w:tcPr>
            <w:tcW w:w="1016" w:type="dxa"/>
            <w:shd w:val="clear" w:color="auto" w:fill="FFFFFF"/>
          </w:tcPr>
          <w:p w14:paraId="58438B1D" w14:textId="77777777" w:rsidR="00254B83" w:rsidRPr="00FD05B7" w:rsidRDefault="00254B83" w:rsidP="00167286">
            <w:pPr>
              <w:pStyle w:val="CETBodytext"/>
              <w:ind w:right="-1"/>
              <w:rPr>
                <w:b/>
              </w:rPr>
            </w:pPr>
            <w:r w:rsidRPr="00FD05B7">
              <w:rPr>
                <w:b/>
              </w:rPr>
              <w:t>2.56 x10</w:t>
            </w:r>
            <w:r w:rsidRPr="00FD05B7">
              <w:rPr>
                <w:b/>
                <w:vertAlign w:val="superscript"/>
              </w:rPr>
              <w:t>-1</w:t>
            </w:r>
          </w:p>
        </w:tc>
        <w:tc>
          <w:tcPr>
            <w:tcW w:w="1016" w:type="dxa"/>
            <w:shd w:val="clear" w:color="auto" w:fill="FFFFFF"/>
          </w:tcPr>
          <w:p w14:paraId="323CC35C" w14:textId="77777777" w:rsidR="00254B83" w:rsidRPr="00FD05B7" w:rsidRDefault="00254B83" w:rsidP="00167286">
            <w:pPr>
              <w:pStyle w:val="CETBodytext"/>
              <w:ind w:right="-1"/>
              <w:rPr>
                <w:b/>
              </w:rPr>
            </w:pPr>
            <w:r w:rsidRPr="00FD05B7">
              <w:rPr>
                <w:b/>
              </w:rPr>
              <w:t>0.441</w:t>
            </w:r>
          </w:p>
        </w:tc>
      </w:tr>
      <w:tr w:rsidR="00254B83" w:rsidRPr="005478A5" w14:paraId="45099CB0" w14:textId="77777777" w:rsidTr="00167286">
        <w:tc>
          <w:tcPr>
            <w:tcW w:w="993" w:type="dxa"/>
            <w:vMerge/>
            <w:shd w:val="clear" w:color="auto" w:fill="FFFFFF"/>
          </w:tcPr>
          <w:p w14:paraId="2F12F702" w14:textId="77777777" w:rsidR="00254B83" w:rsidRPr="005478A5" w:rsidRDefault="00254B83" w:rsidP="00167286">
            <w:pPr>
              <w:pStyle w:val="CETBodytext"/>
              <w:ind w:right="-1"/>
              <w:rPr>
                <w:rFonts w:cs="Arial"/>
                <w:szCs w:val="18"/>
              </w:rPr>
            </w:pPr>
          </w:p>
        </w:tc>
        <w:tc>
          <w:tcPr>
            <w:tcW w:w="1275" w:type="dxa"/>
            <w:shd w:val="clear" w:color="auto" w:fill="FFFFFF"/>
          </w:tcPr>
          <w:p w14:paraId="059AE325" w14:textId="77777777" w:rsidR="00254B83" w:rsidRPr="005478A5" w:rsidRDefault="00254B83" w:rsidP="00167286">
            <w:pPr>
              <w:pStyle w:val="CETBodytext"/>
              <w:ind w:right="-1"/>
              <w:rPr>
                <w:rFonts w:cs="Arial"/>
                <w:szCs w:val="18"/>
              </w:rPr>
            </w:pPr>
            <w:r w:rsidRPr="005478A5">
              <w:t>Coarse</w:t>
            </w:r>
          </w:p>
        </w:tc>
        <w:tc>
          <w:tcPr>
            <w:tcW w:w="1016" w:type="dxa"/>
            <w:shd w:val="clear" w:color="auto" w:fill="FFFFFF"/>
          </w:tcPr>
          <w:p w14:paraId="2208A6A2" w14:textId="77777777" w:rsidR="00254B83" w:rsidRPr="00645E7B" w:rsidRDefault="00254B83" w:rsidP="00167286">
            <w:pPr>
              <w:pStyle w:val="CETBodytext"/>
              <w:ind w:right="-1"/>
              <w:rPr>
                <w:rFonts w:cs="Arial"/>
                <w:b/>
                <w:szCs w:val="18"/>
              </w:rPr>
            </w:pPr>
            <w:r w:rsidRPr="00AD7564">
              <w:t>5.14</w:t>
            </w:r>
            <w:r>
              <w:t xml:space="preserve"> x10</w:t>
            </w:r>
            <w:r w:rsidRPr="009652B2">
              <w:rPr>
                <w:vertAlign w:val="superscript"/>
              </w:rPr>
              <w:t>-2</w:t>
            </w:r>
          </w:p>
        </w:tc>
        <w:tc>
          <w:tcPr>
            <w:tcW w:w="1016" w:type="dxa"/>
            <w:shd w:val="clear" w:color="auto" w:fill="FFFFFF"/>
          </w:tcPr>
          <w:p w14:paraId="40ED646D" w14:textId="77777777" w:rsidR="00254B83" w:rsidRPr="00645E7B" w:rsidRDefault="00254B83" w:rsidP="00167286">
            <w:pPr>
              <w:pStyle w:val="CETBodytext"/>
              <w:ind w:right="-1"/>
              <w:rPr>
                <w:rFonts w:cs="Arial"/>
                <w:b/>
                <w:szCs w:val="18"/>
              </w:rPr>
            </w:pPr>
            <w:r w:rsidRPr="005E55DD">
              <w:t>7.37</w:t>
            </w:r>
            <w:r>
              <w:t xml:space="preserve"> x10</w:t>
            </w:r>
            <w:r w:rsidRPr="009652B2">
              <w:rPr>
                <w:vertAlign w:val="superscript"/>
              </w:rPr>
              <w:t>-</w:t>
            </w:r>
            <w:r>
              <w:rPr>
                <w:vertAlign w:val="superscript"/>
              </w:rPr>
              <w:t>2</w:t>
            </w:r>
          </w:p>
        </w:tc>
        <w:tc>
          <w:tcPr>
            <w:tcW w:w="1016" w:type="dxa"/>
            <w:shd w:val="clear" w:color="auto" w:fill="FFFFFF"/>
          </w:tcPr>
          <w:p w14:paraId="6E327FB0" w14:textId="77777777" w:rsidR="00254B83" w:rsidRPr="00C26529" w:rsidRDefault="00254B83" w:rsidP="00167286">
            <w:pPr>
              <w:pStyle w:val="CETBodytext"/>
              <w:ind w:right="-1"/>
              <w:rPr>
                <w:rFonts w:cs="Arial"/>
                <w:b/>
                <w:szCs w:val="18"/>
              </w:rPr>
            </w:pPr>
            <w:r w:rsidRPr="005E55DD">
              <w:t>0.072</w:t>
            </w:r>
          </w:p>
        </w:tc>
        <w:tc>
          <w:tcPr>
            <w:tcW w:w="1016" w:type="dxa"/>
            <w:shd w:val="clear" w:color="auto" w:fill="FFFFFF"/>
          </w:tcPr>
          <w:p w14:paraId="225977D4" w14:textId="77777777" w:rsidR="00254B83" w:rsidRPr="005478A5" w:rsidRDefault="00254B83" w:rsidP="00167286">
            <w:pPr>
              <w:pStyle w:val="CETBodytext"/>
              <w:ind w:right="-1"/>
              <w:rPr>
                <w:rFonts w:cs="Arial"/>
                <w:szCs w:val="18"/>
              </w:rPr>
            </w:pPr>
            <w:r w:rsidRPr="00084846">
              <w:t>1.49</w:t>
            </w:r>
            <w:r>
              <w:t xml:space="preserve"> x10</w:t>
            </w:r>
            <w:r w:rsidRPr="009652B2">
              <w:rPr>
                <w:vertAlign w:val="superscript"/>
              </w:rPr>
              <w:t>-</w:t>
            </w:r>
            <w:r>
              <w:rPr>
                <w:vertAlign w:val="superscript"/>
              </w:rPr>
              <w:t>1</w:t>
            </w:r>
          </w:p>
        </w:tc>
        <w:tc>
          <w:tcPr>
            <w:tcW w:w="1016" w:type="dxa"/>
            <w:shd w:val="clear" w:color="auto" w:fill="FFFFFF"/>
          </w:tcPr>
          <w:p w14:paraId="5D56C147" w14:textId="77777777" w:rsidR="00254B83" w:rsidRPr="005478A5" w:rsidRDefault="00254B83" w:rsidP="00167286">
            <w:pPr>
              <w:pStyle w:val="CETBodytext"/>
              <w:ind w:right="-1"/>
            </w:pPr>
            <w:r w:rsidRPr="001505B3">
              <w:t>2.71</w:t>
            </w:r>
            <w:r>
              <w:t xml:space="preserve"> x10</w:t>
            </w:r>
            <w:r w:rsidRPr="009652B2">
              <w:rPr>
                <w:vertAlign w:val="superscript"/>
              </w:rPr>
              <w:t>-</w:t>
            </w:r>
            <w:r>
              <w:rPr>
                <w:vertAlign w:val="superscript"/>
              </w:rPr>
              <w:t>1</w:t>
            </w:r>
          </w:p>
        </w:tc>
        <w:tc>
          <w:tcPr>
            <w:tcW w:w="1016" w:type="dxa"/>
            <w:shd w:val="clear" w:color="auto" w:fill="FFFFFF"/>
          </w:tcPr>
          <w:p w14:paraId="6441A2A6" w14:textId="77777777" w:rsidR="00254B83" w:rsidRPr="005478A5" w:rsidRDefault="00254B83" w:rsidP="00167286">
            <w:pPr>
              <w:pStyle w:val="CETBodytext"/>
              <w:ind w:right="-1"/>
            </w:pPr>
            <w:r w:rsidRPr="001505B3">
              <w:t>0.468</w:t>
            </w:r>
          </w:p>
        </w:tc>
      </w:tr>
      <w:tr w:rsidR="00254B83" w:rsidRPr="005478A5" w14:paraId="59670E1F" w14:textId="77777777" w:rsidTr="00167286">
        <w:tc>
          <w:tcPr>
            <w:tcW w:w="993" w:type="dxa"/>
            <w:vMerge/>
            <w:tcBorders>
              <w:bottom w:val="nil"/>
            </w:tcBorders>
            <w:shd w:val="clear" w:color="auto" w:fill="FFFFFF"/>
          </w:tcPr>
          <w:p w14:paraId="1CCCD25F" w14:textId="77777777" w:rsidR="00254B83" w:rsidRPr="005478A5" w:rsidRDefault="00254B83" w:rsidP="00167286">
            <w:pPr>
              <w:pStyle w:val="CETBodytext"/>
              <w:ind w:right="-1"/>
              <w:rPr>
                <w:rFonts w:cs="Arial"/>
                <w:szCs w:val="18"/>
              </w:rPr>
            </w:pPr>
          </w:p>
        </w:tc>
        <w:tc>
          <w:tcPr>
            <w:tcW w:w="1275" w:type="dxa"/>
            <w:tcBorders>
              <w:bottom w:val="nil"/>
            </w:tcBorders>
            <w:shd w:val="clear" w:color="auto" w:fill="FFFFFF"/>
          </w:tcPr>
          <w:p w14:paraId="78AF5675" w14:textId="77777777" w:rsidR="00254B83" w:rsidRPr="005478A5" w:rsidRDefault="00254B83" w:rsidP="00167286">
            <w:pPr>
              <w:pStyle w:val="CETBodytext"/>
              <w:ind w:right="-1"/>
              <w:rPr>
                <w:rFonts w:cs="Arial"/>
                <w:szCs w:val="18"/>
              </w:rPr>
            </w:pPr>
            <w:r w:rsidRPr="005478A5">
              <w:t>Fine (</w:t>
            </w:r>
            <w:proofErr w:type="spellStart"/>
            <w:r w:rsidRPr="005478A5">
              <w:t>Opt</w:t>
            </w:r>
            <w:proofErr w:type="spellEnd"/>
            <w:r w:rsidRPr="005478A5">
              <w:t>)</w:t>
            </w:r>
          </w:p>
        </w:tc>
        <w:tc>
          <w:tcPr>
            <w:tcW w:w="1016" w:type="dxa"/>
            <w:tcBorders>
              <w:bottom w:val="nil"/>
            </w:tcBorders>
            <w:shd w:val="clear" w:color="auto" w:fill="FFFFFF"/>
          </w:tcPr>
          <w:p w14:paraId="7994BF6F" w14:textId="77777777" w:rsidR="00254B83" w:rsidRPr="00FD05B7" w:rsidRDefault="00254B83" w:rsidP="00167286">
            <w:pPr>
              <w:pStyle w:val="CETBodytext"/>
              <w:ind w:right="-1"/>
              <w:rPr>
                <w:rFonts w:cs="Arial"/>
                <w:b/>
                <w:szCs w:val="18"/>
              </w:rPr>
            </w:pPr>
            <w:r w:rsidRPr="00FD05B7">
              <w:rPr>
                <w:b/>
              </w:rPr>
              <w:t>4.51 x10</w:t>
            </w:r>
            <w:r w:rsidRPr="00FD05B7">
              <w:rPr>
                <w:b/>
                <w:vertAlign w:val="superscript"/>
              </w:rPr>
              <w:t>-2</w:t>
            </w:r>
          </w:p>
        </w:tc>
        <w:tc>
          <w:tcPr>
            <w:tcW w:w="1016" w:type="dxa"/>
            <w:tcBorders>
              <w:bottom w:val="nil"/>
            </w:tcBorders>
            <w:shd w:val="clear" w:color="auto" w:fill="FFFFFF"/>
          </w:tcPr>
          <w:p w14:paraId="5A810C1E" w14:textId="77777777" w:rsidR="00254B83" w:rsidRPr="00FD05B7" w:rsidRDefault="00254B83" w:rsidP="00167286">
            <w:pPr>
              <w:pStyle w:val="CETBodytext"/>
              <w:ind w:right="-1"/>
              <w:rPr>
                <w:rFonts w:cs="Arial"/>
                <w:b/>
                <w:szCs w:val="18"/>
              </w:rPr>
            </w:pPr>
            <w:r w:rsidRPr="00FD05B7">
              <w:rPr>
                <w:b/>
              </w:rPr>
              <w:t>6.33 x10</w:t>
            </w:r>
            <w:r w:rsidRPr="00FD05B7">
              <w:rPr>
                <w:b/>
                <w:vertAlign w:val="superscript"/>
              </w:rPr>
              <w:t>-2</w:t>
            </w:r>
          </w:p>
        </w:tc>
        <w:tc>
          <w:tcPr>
            <w:tcW w:w="1016" w:type="dxa"/>
            <w:tcBorders>
              <w:bottom w:val="nil"/>
            </w:tcBorders>
            <w:shd w:val="clear" w:color="auto" w:fill="FFFFFF"/>
          </w:tcPr>
          <w:p w14:paraId="23BAD269" w14:textId="77777777" w:rsidR="00254B83" w:rsidRPr="00FD05B7" w:rsidRDefault="00254B83" w:rsidP="00167286">
            <w:pPr>
              <w:pStyle w:val="CETBodytext"/>
              <w:ind w:right="-1"/>
              <w:rPr>
                <w:rFonts w:cs="Arial"/>
                <w:b/>
                <w:szCs w:val="18"/>
              </w:rPr>
            </w:pPr>
            <w:r w:rsidRPr="00FD05B7">
              <w:rPr>
                <w:b/>
              </w:rPr>
              <w:t>0.062</w:t>
            </w:r>
          </w:p>
        </w:tc>
        <w:tc>
          <w:tcPr>
            <w:tcW w:w="1016" w:type="dxa"/>
            <w:tcBorders>
              <w:bottom w:val="nil"/>
            </w:tcBorders>
            <w:shd w:val="clear" w:color="auto" w:fill="FFFFFF"/>
          </w:tcPr>
          <w:p w14:paraId="5126D51E" w14:textId="77777777" w:rsidR="00254B83" w:rsidRPr="005478A5" w:rsidRDefault="00254B83" w:rsidP="00167286">
            <w:pPr>
              <w:pStyle w:val="CETBodytext"/>
              <w:ind w:right="-1"/>
              <w:rPr>
                <w:rFonts w:cs="Arial"/>
                <w:szCs w:val="18"/>
              </w:rPr>
            </w:pPr>
            <w:r w:rsidRPr="00084846">
              <w:t>1.47</w:t>
            </w:r>
            <w:r>
              <w:t xml:space="preserve"> x10</w:t>
            </w:r>
            <w:r w:rsidRPr="009652B2">
              <w:rPr>
                <w:vertAlign w:val="superscript"/>
              </w:rPr>
              <w:t>-</w:t>
            </w:r>
            <w:r>
              <w:rPr>
                <w:vertAlign w:val="superscript"/>
              </w:rPr>
              <w:t>1</w:t>
            </w:r>
          </w:p>
        </w:tc>
        <w:tc>
          <w:tcPr>
            <w:tcW w:w="1016" w:type="dxa"/>
            <w:tcBorders>
              <w:bottom w:val="nil"/>
            </w:tcBorders>
            <w:shd w:val="clear" w:color="auto" w:fill="FFFFFF"/>
          </w:tcPr>
          <w:p w14:paraId="59CACAF8" w14:textId="77777777" w:rsidR="00254B83" w:rsidRPr="005478A5" w:rsidRDefault="00254B83" w:rsidP="00167286">
            <w:pPr>
              <w:pStyle w:val="CETBodytext"/>
              <w:ind w:right="-1"/>
            </w:pPr>
            <w:r w:rsidRPr="001505B3">
              <w:t>2.60</w:t>
            </w:r>
            <w:r>
              <w:t xml:space="preserve"> x10</w:t>
            </w:r>
            <w:r w:rsidRPr="009652B2">
              <w:rPr>
                <w:vertAlign w:val="superscript"/>
              </w:rPr>
              <w:t>-</w:t>
            </w:r>
            <w:r>
              <w:rPr>
                <w:vertAlign w:val="superscript"/>
              </w:rPr>
              <w:t>1</w:t>
            </w:r>
          </w:p>
        </w:tc>
        <w:tc>
          <w:tcPr>
            <w:tcW w:w="1016" w:type="dxa"/>
            <w:tcBorders>
              <w:bottom w:val="nil"/>
            </w:tcBorders>
            <w:shd w:val="clear" w:color="auto" w:fill="FFFFFF"/>
          </w:tcPr>
          <w:p w14:paraId="53D97B96" w14:textId="77777777" w:rsidR="00254B83" w:rsidRPr="005478A5" w:rsidRDefault="00254B83" w:rsidP="00167286">
            <w:pPr>
              <w:pStyle w:val="CETBodytext"/>
              <w:ind w:right="-1"/>
            </w:pPr>
            <w:r w:rsidRPr="001505B3">
              <w:t>0.448</w:t>
            </w:r>
          </w:p>
        </w:tc>
      </w:tr>
      <w:tr w:rsidR="00254B83" w:rsidRPr="005478A5" w14:paraId="3C6F71B7" w14:textId="77777777" w:rsidTr="00167286">
        <w:tc>
          <w:tcPr>
            <w:tcW w:w="993" w:type="dxa"/>
            <w:vMerge w:val="restart"/>
            <w:tcBorders>
              <w:top w:val="nil"/>
              <w:bottom w:val="nil"/>
            </w:tcBorders>
            <w:shd w:val="clear" w:color="auto" w:fill="FFFFFF"/>
          </w:tcPr>
          <w:p w14:paraId="619592ED" w14:textId="77777777" w:rsidR="00254B83" w:rsidRPr="005478A5" w:rsidRDefault="00254B83" w:rsidP="00167286">
            <w:pPr>
              <w:pStyle w:val="CETBodytext"/>
            </w:pPr>
            <w:r>
              <w:t>DHM</w:t>
            </w:r>
            <w:r w:rsidRPr="005478A5">
              <w:t xml:space="preserve"> (SVM)</w:t>
            </w:r>
          </w:p>
        </w:tc>
        <w:tc>
          <w:tcPr>
            <w:tcW w:w="1275" w:type="dxa"/>
            <w:tcBorders>
              <w:top w:val="nil"/>
              <w:bottom w:val="nil"/>
            </w:tcBorders>
            <w:shd w:val="clear" w:color="auto" w:fill="FFFFFF"/>
          </w:tcPr>
          <w:p w14:paraId="42327BDE" w14:textId="77777777" w:rsidR="00254B83" w:rsidRPr="005478A5" w:rsidRDefault="00254B83" w:rsidP="00167286">
            <w:pPr>
              <w:pStyle w:val="CETBodytext"/>
              <w:ind w:right="-1"/>
              <w:rPr>
                <w:rFonts w:cs="Arial"/>
                <w:szCs w:val="18"/>
              </w:rPr>
            </w:pPr>
            <w:r w:rsidRPr="005478A5">
              <w:t>Linear</w:t>
            </w:r>
          </w:p>
        </w:tc>
        <w:tc>
          <w:tcPr>
            <w:tcW w:w="1016" w:type="dxa"/>
            <w:tcBorders>
              <w:top w:val="nil"/>
              <w:bottom w:val="nil"/>
            </w:tcBorders>
            <w:shd w:val="clear" w:color="auto" w:fill="FFFFFF"/>
          </w:tcPr>
          <w:p w14:paraId="25C6D176" w14:textId="77777777" w:rsidR="00254B83" w:rsidRPr="005478A5" w:rsidRDefault="00254B83" w:rsidP="00167286">
            <w:pPr>
              <w:pStyle w:val="CETBodytext"/>
              <w:ind w:right="-1"/>
              <w:rPr>
                <w:rFonts w:cs="Arial"/>
                <w:szCs w:val="18"/>
              </w:rPr>
            </w:pPr>
            <w:r w:rsidRPr="00AD7564">
              <w:t>1.87</w:t>
            </w:r>
            <w:r>
              <w:t xml:space="preserve"> x10</w:t>
            </w:r>
            <w:r w:rsidRPr="009652B2">
              <w:rPr>
                <w:vertAlign w:val="superscript"/>
              </w:rPr>
              <w:t>-</w:t>
            </w:r>
            <w:r>
              <w:rPr>
                <w:vertAlign w:val="superscript"/>
              </w:rPr>
              <w:t>1</w:t>
            </w:r>
          </w:p>
        </w:tc>
        <w:tc>
          <w:tcPr>
            <w:tcW w:w="1016" w:type="dxa"/>
            <w:tcBorders>
              <w:top w:val="nil"/>
              <w:bottom w:val="nil"/>
            </w:tcBorders>
            <w:shd w:val="clear" w:color="auto" w:fill="FFFFFF"/>
          </w:tcPr>
          <w:p w14:paraId="575E5F3A" w14:textId="77777777" w:rsidR="00254B83" w:rsidRPr="005478A5" w:rsidRDefault="00254B83" w:rsidP="00167286">
            <w:pPr>
              <w:pStyle w:val="CETBodytext"/>
              <w:ind w:right="-1"/>
              <w:rPr>
                <w:rFonts w:cs="Arial"/>
                <w:szCs w:val="18"/>
              </w:rPr>
            </w:pPr>
            <w:r w:rsidRPr="005E55DD">
              <w:t>3.18</w:t>
            </w:r>
            <w:r>
              <w:t xml:space="preserve"> x10</w:t>
            </w:r>
            <w:r w:rsidRPr="009652B2">
              <w:rPr>
                <w:vertAlign w:val="superscript"/>
              </w:rPr>
              <w:t>-</w:t>
            </w:r>
            <w:r>
              <w:rPr>
                <w:vertAlign w:val="superscript"/>
              </w:rPr>
              <w:t>1</w:t>
            </w:r>
          </w:p>
        </w:tc>
        <w:tc>
          <w:tcPr>
            <w:tcW w:w="1016" w:type="dxa"/>
            <w:tcBorders>
              <w:top w:val="nil"/>
              <w:bottom w:val="nil"/>
            </w:tcBorders>
            <w:shd w:val="clear" w:color="auto" w:fill="FFFFFF"/>
          </w:tcPr>
          <w:p w14:paraId="5A781939" w14:textId="77777777" w:rsidR="00254B83" w:rsidRPr="005478A5" w:rsidRDefault="00254B83" w:rsidP="00167286">
            <w:pPr>
              <w:pStyle w:val="CETBodytext"/>
              <w:ind w:right="-1"/>
              <w:rPr>
                <w:rFonts w:cs="Arial"/>
                <w:szCs w:val="18"/>
              </w:rPr>
            </w:pPr>
            <w:r w:rsidRPr="005E55DD">
              <w:t>0.312</w:t>
            </w:r>
          </w:p>
        </w:tc>
        <w:tc>
          <w:tcPr>
            <w:tcW w:w="1016" w:type="dxa"/>
            <w:tcBorders>
              <w:top w:val="nil"/>
              <w:bottom w:val="nil"/>
            </w:tcBorders>
            <w:shd w:val="clear" w:color="auto" w:fill="FFFFFF"/>
          </w:tcPr>
          <w:p w14:paraId="4C6C81CA" w14:textId="77777777" w:rsidR="00254B83" w:rsidRPr="00FD05B7" w:rsidRDefault="00254B83" w:rsidP="00167286">
            <w:pPr>
              <w:pStyle w:val="CETBodytext"/>
              <w:ind w:right="-1"/>
              <w:rPr>
                <w:rFonts w:cs="Arial"/>
                <w:b/>
                <w:szCs w:val="18"/>
              </w:rPr>
            </w:pPr>
            <w:r w:rsidRPr="00FD05B7">
              <w:rPr>
                <w:b/>
              </w:rPr>
              <w:t>2.62 x10</w:t>
            </w:r>
            <w:r w:rsidRPr="00FD05B7">
              <w:rPr>
                <w:b/>
                <w:vertAlign w:val="superscript"/>
              </w:rPr>
              <w:t>-2</w:t>
            </w:r>
          </w:p>
        </w:tc>
        <w:tc>
          <w:tcPr>
            <w:tcW w:w="1016" w:type="dxa"/>
            <w:tcBorders>
              <w:top w:val="nil"/>
              <w:bottom w:val="nil"/>
            </w:tcBorders>
            <w:shd w:val="clear" w:color="auto" w:fill="FFFFFF"/>
          </w:tcPr>
          <w:p w14:paraId="79BBF34D" w14:textId="77777777" w:rsidR="00254B83" w:rsidRPr="00FD05B7" w:rsidRDefault="00254B83" w:rsidP="00167286">
            <w:pPr>
              <w:pStyle w:val="CETBodytext"/>
              <w:ind w:right="-1"/>
              <w:rPr>
                <w:b/>
              </w:rPr>
            </w:pPr>
            <w:r w:rsidRPr="00FD05B7">
              <w:rPr>
                <w:b/>
              </w:rPr>
              <w:t>4.37 x10</w:t>
            </w:r>
            <w:r w:rsidRPr="00FD05B7">
              <w:rPr>
                <w:b/>
                <w:vertAlign w:val="superscript"/>
              </w:rPr>
              <w:t>-2</w:t>
            </w:r>
          </w:p>
        </w:tc>
        <w:tc>
          <w:tcPr>
            <w:tcW w:w="1016" w:type="dxa"/>
            <w:tcBorders>
              <w:top w:val="nil"/>
              <w:bottom w:val="nil"/>
            </w:tcBorders>
            <w:shd w:val="clear" w:color="auto" w:fill="FFFFFF"/>
          </w:tcPr>
          <w:p w14:paraId="3A71D7C5" w14:textId="77777777" w:rsidR="00254B83" w:rsidRPr="00FD05B7" w:rsidRDefault="00254B83" w:rsidP="00167286">
            <w:pPr>
              <w:pStyle w:val="CETBodytext"/>
              <w:ind w:right="-1"/>
              <w:rPr>
                <w:b/>
              </w:rPr>
            </w:pPr>
            <w:r w:rsidRPr="00FD05B7">
              <w:rPr>
                <w:b/>
              </w:rPr>
              <w:t>0.075</w:t>
            </w:r>
          </w:p>
        </w:tc>
      </w:tr>
      <w:tr w:rsidR="00254B83" w:rsidRPr="005478A5" w14:paraId="48609C33" w14:textId="77777777" w:rsidTr="00167286">
        <w:tc>
          <w:tcPr>
            <w:tcW w:w="993" w:type="dxa"/>
            <w:vMerge/>
            <w:tcBorders>
              <w:top w:val="nil"/>
            </w:tcBorders>
            <w:shd w:val="clear" w:color="auto" w:fill="FFFFFF"/>
          </w:tcPr>
          <w:p w14:paraId="1A6A4875" w14:textId="77777777" w:rsidR="00254B83" w:rsidRPr="005478A5" w:rsidRDefault="00254B83" w:rsidP="00167286">
            <w:pPr>
              <w:pStyle w:val="CETBodytext"/>
              <w:ind w:right="-1"/>
              <w:rPr>
                <w:rFonts w:cs="Arial"/>
                <w:szCs w:val="18"/>
              </w:rPr>
            </w:pPr>
          </w:p>
        </w:tc>
        <w:tc>
          <w:tcPr>
            <w:tcW w:w="1275" w:type="dxa"/>
            <w:tcBorders>
              <w:top w:val="nil"/>
            </w:tcBorders>
            <w:shd w:val="clear" w:color="auto" w:fill="FFFFFF"/>
          </w:tcPr>
          <w:p w14:paraId="7A6A7536" w14:textId="77777777" w:rsidR="00254B83" w:rsidRPr="005478A5" w:rsidRDefault="00254B83" w:rsidP="00167286">
            <w:pPr>
              <w:pStyle w:val="CETBodytext"/>
              <w:ind w:right="-1"/>
              <w:rPr>
                <w:rFonts w:cs="Arial"/>
                <w:szCs w:val="18"/>
              </w:rPr>
            </w:pPr>
            <w:r w:rsidRPr="005478A5">
              <w:t>Quadratic</w:t>
            </w:r>
          </w:p>
        </w:tc>
        <w:tc>
          <w:tcPr>
            <w:tcW w:w="1016" w:type="dxa"/>
            <w:tcBorders>
              <w:top w:val="nil"/>
            </w:tcBorders>
            <w:shd w:val="clear" w:color="auto" w:fill="FFFFFF"/>
          </w:tcPr>
          <w:p w14:paraId="611F881C" w14:textId="77777777" w:rsidR="00254B83" w:rsidRPr="005478A5" w:rsidRDefault="00254B83" w:rsidP="00167286">
            <w:pPr>
              <w:pStyle w:val="CETBodytext"/>
              <w:ind w:right="-1"/>
              <w:rPr>
                <w:rFonts w:cs="Arial"/>
                <w:szCs w:val="18"/>
              </w:rPr>
            </w:pPr>
            <w:r w:rsidRPr="00AD7564">
              <w:t>1.70</w:t>
            </w:r>
            <w:r>
              <w:t xml:space="preserve"> x10</w:t>
            </w:r>
            <w:r w:rsidRPr="009652B2">
              <w:rPr>
                <w:vertAlign w:val="superscript"/>
              </w:rPr>
              <w:t>-</w:t>
            </w:r>
            <w:r>
              <w:rPr>
                <w:vertAlign w:val="superscript"/>
              </w:rPr>
              <w:t>1</w:t>
            </w:r>
          </w:p>
        </w:tc>
        <w:tc>
          <w:tcPr>
            <w:tcW w:w="1016" w:type="dxa"/>
            <w:tcBorders>
              <w:top w:val="nil"/>
            </w:tcBorders>
            <w:shd w:val="clear" w:color="auto" w:fill="FFFFFF"/>
          </w:tcPr>
          <w:p w14:paraId="11B57ECE" w14:textId="77777777" w:rsidR="00254B83" w:rsidRPr="005478A5" w:rsidRDefault="00254B83" w:rsidP="00167286">
            <w:pPr>
              <w:pStyle w:val="CETBodytext"/>
              <w:ind w:right="-1"/>
              <w:rPr>
                <w:rFonts w:cs="Arial"/>
                <w:szCs w:val="18"/>
              </w:rPr>
            </w:pPr>
            <w:r w:rsidRPr="005E55DD">
              <w:t>2.64</w:t>
            </w:r>
            <w:r>
              <w:t xml:space="preserve"> x10</w:t>
            </w:r>
            <w:r w:rsidRPr="009652B2">
              <w:rPr>
                <w:vertAlign w:val="superscript"/>
              </w:rPr>
              <w:t>-</w:t>
            </w:r>
            <w:r>
              <w:rPr>
                <w:vertAlign w:val="superscript"/>
              </w:rPr>
              <w:t>1</w:t>
            </w:r>
          </w:p>
        </w:tc>
        <w:tc>
          <w:tcPr>
            <w:tcW w:w="1016" w:type="dxa"/>
            <w:tcBorders>
              <w:top w:val="nil"/>
            </w:tcBorders>
            <w:shd w:val="clear" w:color="auto" w:fill="FFFFFF"/>
          </w:tcPr>
          <w:p w14:paraId="7ACE5623" w14:textId="77777777" w:rsidR="00254B83" w:rsidRPr="005478A5" w:rsidRDefault="00254B83" w:rsidP="00167286">
            <w:pPr>
              <w:pStyle w:val="CETBodytext"/>
              <w:ind w:right="-1"/>
              <w:rPr>
                <w:rFonts w:cs="Arial"/>
                <w:szCs w:val="18"/>
              </w:rPr>
            </w:pPr>
            <w:r w:rsidRPr="005E55DD">
              <w:t>0.259</w:t>
            </w:r>
          </w:p>
        </w:tc>
        <w:tc>
          <w:tcPr>
            <w:tcW w:w="1016" w:type="dxa"/>
            <w:tcBorders>
              <w:top w:val="nil"/>
            </w:tcBorders>
            <w:shd w:val="clear" w:color="auto" w:fill="FFFFFF"/>
          </w:tcPr>
          <w:p w14:paraId="58CB6A7C" w14:textId="77777777" w:rsidR="00254B83" w:rsidRPr="005478A5" w:rsidRDefault="00254B83" w:rsidP="00167286">
            <w:pPr>
              <w:pStyle w:val="CETBodytext"/>
              <w:ind w:right="-1"/>
              <w:rPr>
                <w:rFonts w:cs="Arial"/>
                <w:szCs w:val="18"/>
              </w:rPr>
            </w:pPr>
            <w:r w:rsidRPr="00084846">
              <w:t>6.28</w:t>
            </w:r>
            <w:r>
              <w:t xml:space="preserve"> x10</w:t>
            </w:r>
            <w:r w:rsidRPr="009652B2">
              <w:rPr>
                <w:vertAlign w:val="superscript"/>
              </w:rPr>
              <w:t>-</w:t>
            </w:r>
            <w:r>
              <w:rPr>
                <w:vertAlign w:val="superscript"/>
              </w:rPr>
              <w:t>2</w:t>
            </w:r>
          </w:p>
        </w:tc>
        <w:tc>
          <w:tcPr>
            <w:tcW w:w="1016" w:type="dxa"/>
            <w:tcBorders>
              <w:top w:val="nil"/>
            </w:tcBorders>
            <w:shd w:val="clear" w:color="auto" w:fill="FFFFFF"/>
          </w:tcPr>
          <w:p w14:paraId="0EC0F4EF" w14:textId="77777777" w:rsidR="00254B83" w:rsidRPr="005478A5" w:rsidRDefault="00254B83" w:rsidP="00167286">
            <w:pPr>
              <w:pStyle w:val="CETBodytext"/>
              <w:ind w:right="-1"/>
            </w:pPr>
            <w:r w:rsidRPr="001505B3">
              <w:t>1.14</w:t>
            </w:r>
            <w:r>
              <w:t xml:space="preserve"> x10</w:t>
            </w:r>
            <w:r w:rsidRPr="009652B2">
              <w:rPr>
                <w:vertAlign w:val="superscript"/>
              </w:rPr>
              <w:t>-</w:t>
            </w:r>
            <w:r>
              <w:rPr>
                <w:vertAlign w:val="superscript"/>
              </w:rPr>
              <w:t>1</w:t>
            </w:r>
          </w:p>
        </w:tc>
        <w:tc>
          <w:tcPr>
            <w:tcW w:w="1016" w:type="dxa"/>
            <w:tcBorders>
              <w:top w:val="nil"/>
            </w:tcBorders>
            <w:shd w:val="clear" w:color="auto" w:fill="FFFFFF"/>
          </w:tcPr>
          <w:p w14:paraId="1B813F28" w14:textId="77777777" w:rsidR="00254B83" w:rsidRPr="005478A5" w:rsidRDefault="00254B83" w:rsidP="00167286">
            <w:pPr>
              <w:pStyle w:val="CETBodytext"/>
              <w:ind w:right="-1"/>
            </w:pPr>
            <w:r w:rsidRPr="001505B3">
              <w:t>0.197</w:t>
            </w:r>
          </w:p>
        </w:tc>
      </w:tr>
      <w:tr w:rsidR="00254B83" w:rsidRPr="005478A5" w14:paraId="6AC2F44A" w14:textId="77777777" w:rsidTr="00167286">
        <w:tc>
          <w:tcPr>
            <w:tcW w:w="993" w:type="dxa"/>
            <w:vMerge/>
            <w:shd w:val="clear" w:color="auto" w:fill="FFFFFF"/>
          </w:tcPr>
          <w:p w14:paraId="3D5532FC" w14:textId="77777777" w:rsidR="00254B83" w:rsidRPr="005478A5" w:rsidRDefault="00254B83" w:rsidP="00167286">
            <w:pPr>
              <w:pStyle w:val="CETBodytext"/>
              <w:ind w:right="-1"/>
              <w:rPr>
                <w:rFonts w:cs="Arial"/>
                <w:szCs w:val="18"/>
              </w:rPr>
            </w:pPr>
          </w:p>
        </w:tc>
        <w:tc>
          <w:tcPr>
            <w:tcW w:w="1275" w:type="dxa"/>
            <w:shd w:val="clear" w:color="auto" w:fill="FFFFFF"/>
          </w:tcPr>
          <w:p w14:paraId="0891BAF4" w14:textId="77777777" w:rsidR="00254B83" w:rsidRPr="005478A5" w:rsidRDefault="00254B83" w:rsidP="00167286">
            <w:pPr>
              <w:pStyle w:val="CETBodytext"/>
              <w:ind w:right="-1"/>
              <w:rPr>
                <w:rFonts w:cs="Arial"/>
                <w:szCs w:val="18"/>
              </w:rPr>
            </w:pPr>
            <w:r w:rsidRPr="005478A5">
              <w:t>Cubic</w:t>
            </w:r>
          </w:p>
        </w:tc>
        <w:tc>
          <w:tcPr>
            <w:tcW w:w="1016" w:type="dxa"/>
            <w:shd w:val="clear" w:color="auto" w:fill="FFFFFF"/>
          </w:tcPr>
          <w:p w14:paraId="59BDC81B" w14:textId="77777777" w:rsidR="00254B83" w:rsidRPr="005478A5" w:rsidRDefault="00254B83" w:rsidP="00167286">
            <w:pPr>
              <w:pStyle w:val="CETBodytext"/>
              <w:ind w:right="-1"/>
              <w:rPr>
                <w:rFonts w:cs="Arial"/>
                <w:szCs w:val="18"/>
              </w:rPr>
            </w:pPr>
            <w:r w:rsidRPr="00AD7564">
              <w:t>5.70</w:t>
            </w:r>
            <w:r>
              <w:t xml:space="preserve"> x10</w:t>
            </w:r>
            <w:r w:rsidRPr="009652B2">
              <w:rPr>
                <w:vertAlign w:val="superscript"/>
              </w:rPr>
              <w:t>-</w:t>
            </w:r>
            <w:r>
              <w:rPr>
                <w:vertAlign w:val="superscript"/>
              </w:rPr>
              <w:t>1</w:t>
            </w:r>
          </w:p>
        </w:tc>
        <w:tc>
          <w:tcPr>
            <w:tcW w:w="1016" w:type="dxa"/>
            <w:shd w:val="clear" w:color="auto" w:fill="FFFFFF"/>
          </w:tcPr>
          <w:p w14:paraId="60B286C1" w14:textId="77777777" w:rsidR="00254B83" w:rsidRPr="005478A5" w:rsidRDefault="00254B83" w:rsidP="00167286">
            <w:pPr>
              <w:pStyle w:val="CETBodytext"/>
              <w:ind w:right="-1"/>
              <w:rPr>
                <w:rFonts w:cs="Arial"/>
                <w:szCs w:val="18"/>
              </w:rPr>
            </w:pPr>
            <w:r w:rsidRPr="005E55DD">
              <w:t>8.51</w:t>
            </w:r>
            <w:r>
              <w:t xml:space="preserve"> x10</w:t>
            </w:r>
            <w:r w:rsidRPr="009652B2">
              <w:rPr>
                <w:vertAlign w:val="superscript"/>
              </w:rPr>
              <w:t>-</w:t>
            </w:r>
            <w:r>
              <w:rPr>
                <w:vertAlign w:val="superscript"/>
              </w:rPr>
              <w:t>1</w:t>
            </w:r>
          </w:p>
        </w:tc>
        <w:tc>
          <w:tcPr>
            <w:tcW w:w="1016" w:type="dxa"/>
            <w:shd w:val="clear" w:color="auto" w:fill="FFFFFF"/>
          </w:tcPr>
          <w:p w14:paraId="3BE876E0" w14:textId="77777777" w:rsidR="00254B83" w:rsidRPr="005478A5" w:rsidRDefault="00254B83" w:rsidP="00167286">
            <w:pPr>
              <w:pStyle w:val="CETBodytext"/>
              <w:ind w:right="-1"/>
              <w:rPr>
                <w:rFonts w:cs="Arial"/>
                <w:szCs w:val="18"/>
              </w:rPr>
            </w:pPr>
            <w:r w:rsidRPr="005E55DD">
              <w:t>0.837</w:t>
            </w:r>
          </w:p>
        </w:tc>
        <w:tc>
          <w:tcPr>
            <w:tcW w:w="1016" w:type="dxa"/>
            <w:shd w:val="clear" w:color="auto" w:fill="FFFFFF"/>
          </w:tcPr>
          <w:p w14:paraId="60254444" w14:textId="77777777" w:rsidR="00254B83" w:rsidRPr="005478A5" w:rsidRDefault="00254B83" w:rsidP="00167286">
            <w:pPr>
              <w:pStyle w:val="CETBodytext"/>
              <w:ind w:right="-1"/>
              <w:rPr>
                <w:rFonts w:cs="Arial"/>
                <w:szCs w:val="18"/>
              </w:rPr>
            </w:pPr>
            <w:r w:rsidRPr="00084846">
              <w:t>4.23</w:t>
            </w:r>
            <w:r>
              <w:t xml:space="preserve"> x10</w:t>
            </w:r>
            <w:r w:rsidRPr="009652B2">
              <w:rPr>
                <w:vertAlign w:val="superscript"/>
              </w:rPr>
              <w:t>-</w:t>
            </w:r>
            <w:r>
              <w:rPr>
                <w:vertAlign w:val="superscript"/>
              </w:rPr>
              <w:t>1</w:t>
            </w:r>
          </w:p>
        </w:tc>
        <w:tc>
          <w:tcPr>
            <w:tcW w:w="1016" w:type="dxa"/>
            <w:shd w:val="clear" w:color="auto" w:fill="FFFFFF"/>
          </w:tcPr>
          <w:p w14:paraId="10B8DD31" w14:textId="77777777" w:rsidR="00254B83" w:rsidRPr="005478A5" w:rsidRDefault="00254B83" w:rsidP="00167286">
            <w:pPr>
              <w:pStyle w:val="CETBodytext"/>
              <w:ind w:right="-1"/>
            </w:pPr>
            <w:r w:rsidRPr="001505B3">
              <w:t>7.28</w:t>
            </w:r>
            <w:r>
              <w:t xml:space="preserve"> x10</w:t>
            </w:r>
            <w:r w:rsidRPr="009652B2">
              <w:rPr>
                <w:vertAlign w:val="superscript"/>
              </w:rPr>
              <w:t>-</w:t>
            </w:r>
            <w:r>
              <w:rPr>
                <w:vertAlign w:val="superscript"/>
              </w:rPr>
              <w:t>1</w:t>
            </w:r>
          </w:p>
        </w:tc>
        <w:tc>
          <w:tcPr>
            <w:tcW w:w="1016" w:type="dxa"/>
            <w:shd w:val="clear" w:color="auto" w:fill="FFFFFF"/>
          </w:tcPr>
          <w:p w14:paraId="1F0A5747" w14:textId="77777777" w:rsidR="00254B83" w:rsidRPr="005478A5" w:rsidRDefault="00254B83" w:rsidP="00167286">
            <w:pPr>
              <w:pStyle w:val="CETBodytext"/>
              <w:ind w:right="-1"/>
            </w:pPr>
            <w:r w:rsidRPr="001505B3">
              <w:t>1.254</w:t>
            </w:r>
          </w:p>
        </w:tc>
      </w:tr>
      <w:tr w:rsidR="00254B83" w:rsidRPr="005478A5" w14:paraId="5E4ED7F1" w14:textId="77777777" w:rsidTr="00167286">
        <w:tc>
          <w:tcPr>
            <w:tcW w:w="993" w:type="dxa"/>
            <w:vMerge/>
            <w:shd w:val="clear" w:color="auto" w:fill="FFFFFF"/>
          </w:tcPr>
          <w:p w14:paraId="5422AF3F" w14:textId="77777777" w:rsidR="00254B83" w:rsidRPr="005478A5" w:rsidRDefault="00254B83" w:rsidP="00167286">
            <w:pPr>
              <w:pStyle w:val="CETBodytext"/>
              <w:ind w:right="-1"/>
              <w:rPr>
                <w:rFonts w:cs="Arial"/>
                <w:szCs w:val="18"/>
              </w:rPr>
            </w:pPr>
          </w:p>
        </w:tc>
        <w:tc>
          <w:tcPr>
            <w:tcW w:w="1275" w:type="dxa"/>
            <w:shd w:val="clear" w:color="auto" w:fill="FFFFFF"/>
          </w:tcPr>
          <w:p w14:paraId="51A9E119" w14:textId="77777777" w:rsidR="00254B83" w:rsidRPr="005478A5" w:rsidRDefault="00254B83" w:rsidP="00167286">
            <w:pPr>
              <w:pStyle w:val="CETBodytext"/>
              <w:ind w:right="-1"/>
              <w:rPr>
                <w:rFonts w:cs="Arial"/>
                <w:szCs w:val="18"/>
              </w:rPr>
            </w:pPr>
            <w:r w:rsidRPr="005478A5">
              <w:t>Gaussian</w:t>
            </w:r>
          </w:p>
        </w:tc>
        <w:tc>
          <w:tcPr>
            <w:tcW w:w="1016" w:type="dxa"/>
            <w:shd w:val="clear" w:color="auto" w:fill="FFFFFF"/>
          </w:tcPr>
          <w:p w14:paraId="7D2D546B" w14:textId="77777777" w:rsidR="00254B83" w:rsidRPr="004838DB" w:rsidRDefault="00254B83" w:rsidP="00167286">
            <w:pPr>
              <w:pStyle w:val="CETBodytext"/>
              <w:ind w:right="-1"/>
              <w:rPr>
                <w:b/>
              </w:rPr>
            </w:pPr>
            <w:r w:rsidRPr="00AD7564">
              <w:t>6.56</w:t>
            </w:r>
            <w:r>
              <w:t xml:space="preserve"> x10</w:t>
            </w:r>
            <w:r w:rsidRPr="009652B2">
              <w:rPr>
                <w:vertAlign w:val="superscript"/>
              </w:rPr>
              <w:t>-2</w:t>
            </w:r>
          </w:p>
        </w:tc>
        <w:tc>
          <w:tcPr>
            <w:tcW w:w="1016" w:type="dxa"/>
            <w:shd w:val="clear" w:color="auto" w:fill="FFFFFF"/>
          </w:tcPr>
          <w:p w14:paraId="4F0C92FE" w14:textId="77777777" w:rsidR="00254B83" w:rsidRPr="004838DB" w:rsidRDefault="00254B83" w:rsidP="00167286">
            <w:pPr>
              <w:pStyle w:val="CETBodytext"/>
              <w:ind w:right="-1"/>
              <w:rPr>
                <w:b/>
              </w:rPr>
            </w:pPr>
            <w:r w:rsidRPr="005E55DD">
              <w:t>9.37</w:t>
            </w:r>
            <w:r>
              <w:t xml:space="preserve"> x10</w:t>
            </w:r>
            <w:r w:rsidRPr="009652B2">
              <w:rPr>
                <w:vertAlign w:val="superscript"/>
              </w:rPr>
              <w:t>-</w:t>
            </w:r>
            <w:r>
              <w:rPr>
                <w:vertAlign w:val="superscript"/>
              </w:rPr>
              <w:t>2</w:t>
            </w:r>
          </w:p>
        </w:tc>
        <w:tc>
          <w:tcPr>
            <w:tcW w:w="1016" w:type="dxa"/>
            <w:shd w:val="clear" w:color="auto" w:fill="FFFFFF"/>
          </w:tcPr>
          <w:p w14:paraId="306FF982" w14:textId="77777777" w:rsidR="00254B83" w:rsidRPr="004838DB" w:rsidRDefault="00254B83" w:rsidP="00167286">
            <w:pPr>
              <w:pStyle w:val="CETBodytext"/>
              <w:ind w:right="-1"/>
              <w:rPr>
                <w:b/>
              </w:rPr>
            </w:pPr>
            <w:r w:rsidRPr="005E55DD">
              <w:t>0.092</w:t>
            </w:r>
          </w:p>
        </w:tc>
        <w:tc>
          <w:tcPr>
            <w:tcW w:w="1016" w:type="dxa"/>
            <w:shd w:val="clear" w:color="auto" w:fill="FFFFFF"/>
          </w:tcPr>
          <w:p w14:paraId="52C3C4E5" w14:textId="77777777" w:rsidR="00254B83" w:rsidRPr="004838DB" w:rsidRDefault="00254B83" w:rsidP="00167286">
            <w:pPr>
              <w:pStyle w:val="CETBodytext"/>
              <w:ind w:right="-1"/>
              <w:rPr>
                <w:b/>
              </w:rPr>
            </w:pPr>
            <w:r w:rsidRPr="00084846">
              <w:t>1.22</w:t>
            </w:r>
            <w:r>
              <w:t xml:space="preserve"> x10</w:t>
            </w:r>
            <w:r w:rsidRPr="009652B2">
              <w:rPr>
                <w:vertAlign w:val="superscript"/>
              </w:rPr>
              <w:t>-</w:t>
            </w:r>
            <w:r>
              <w:rPr>
                <w:vertAlign w:val="superscript"/>
              </w:rPr>
              <w:t>1</w:t>
            </w:r>
          </w:p>
        </w:tc>
        <w:tc>
          <w:tcPr>
            <w:tcW w:w="1016" w:type="dxa"/>
            <w:shd w:val="clear" w:color="auto" w:fill="FFFFFF"/>
          </w:tcPr>
          <w:p w14:paraId="3B6568C6" w14:textId="77777777" w:rsidR="00254B83" w:rsidRPr="004838DB" w:rsidRDefault="00254B83" w:rsidP="00167286">
            <w:pPr>
              <w:pStyle w:val="CETBodytext"/>
              <w:ind w:right="-1"/>
              <w:rPr>
                <w:b/>
              </w:rPr>
            </w:pPr>
            <w:r w:rsidRPr="001505B3">
              <w:t>2.22</w:t>
            </w:r>
            <w:r>
              <w:t xml:space="preserve"> x10</w:t>
            </w:r>
            <w:r w:rsidRPr="009652B2">
              <w:rPr>
                <w:vertAlign w:val="superscript"/>
              </w:rPr>
              <w:t>-</w:t>
            </w:r>
            <w:r>
              <w:rPr>
                <w:vertAlign w:val="superscript"/>
              </w:rPr>
              <w:t>1</w:t>
            </w:r>
          </w:p>
        </w:tc>
        <w:tc>
          <w:tcPr>
            <w:tcW w:w="1016" w:type="dxa"/>
            <w:shd w:val="clear" w:color="auto" w:fill="FFFFFF"/>
          </w:tcPr>
          <w:p w14:paraId="3C7136C4" w14:textId="77777777" w:rsidR="00254B83" w:rsidRPr="00C26529" w:rsidRDefault="00254B83" w:rsidP="00167286">
            <w:pPr>
              <w:pStyle w:val="CETBodytext"/>
              <w:ind w:right="-1"/>
              <w:rPr>
                <w:b/>
              </w:rPr>
            </w:pPr>
            <w:r w:rsidRPr="001505B3">
              <w:t>0.383</w:t>
            </w:r>
          </w:p>
        </w:tc>
      </w:tr>
      <w:tr w:rsidR="00254B83" w:rsidRPr="005478A5" w14:paraId="1F98DCA5" w14:textId="77777777" w:rsidTr="00167286">
        <w:tc>
          <w:tcPr>
            <w:tcW w:w="993" w:type="dxa"/>
            <w:vMerge/>
            <w:shd w:val="clear" w:color="auto" w:fill="FFFFFF"/>
          </w:tcPr>
          <w:p w14:paraId="11BF111F" w14:textId="77777777" w:rsidR="00254B83" w:rsidRPr="005478A5" w:rsidRDefault="00254B83" w:rsidP="00167286">
            <w:pPr>
              <w:pStyle w:val="CETBodytext"/>
              <w:ind w:right="-1"/>
              <w:rPr>
                <w:rFonts w:cs="Arial"/>
                <w:szCs w:val="18"/>
              </w:rPr>
            </w:pPr>
          </w:p>
        </w:tc>
        <w:tc>
          <w:tcPr>
            <w:tcW w:w="1275" w:type="dxa"/>
            <w:shd w:val="clear" w:color="auto" w:fill="FFFFFF"/>
          </w:tcPr>
          <w:p w14:paraId="6A007A32" w14:textId="77777777" w:rsidR="00254B83" w:rsidRPr="005478A5" w:rsidRDefault="00254B83" w:rsidP="00167286">
            <w:pPr>
              <w:pStyle w:val="CETBodytext"/>
              <w:ind w:right="-1"/>
              <w:rPr>
                <w:rFonts w:cs="Arial"/>
                <w:szCs w:val="18"/>
              </w:rPr>
            </w:pPr>
            <w:r w:rsidRPr="005478A5">
              <w:t>Gaussian (</w:t>
            </w:r>
            <w:proofErr w:type="spellStart"/>
            <w:r w:rsidRPr="005478A5">
              <w:t>Opt</w:t>
            </w:r>
            <w:proofErr w:type="spellEnd"/>
            <w:r w:rsidRPr="005478A5">
              <w:t>)</w:t>
            </w:r>
          </w:p>
        </w:tc>
        <w:tc>
          <w:tcPr>
            <w:tcW w:w="1016" w:type="dxa"/>
            <w:shd w:val="clear" w:color="auto" w:fill="FFFFFF"/>
          </w:tcPr>
          <w:p w14:paraId="2F5CC940" w14:textId="77777777" w:rsidR="00254B83" w:rsidRPr="00FD05B7" w:rsidRDefault="00254B83" w:rsidP="00167286">
            <w:pPr>
              <w:pStyle w:val="CETBodytext"/>
              <w:ind w:right="-1"/>
              <w:rPr>
                <w:rFonts w:cs="Arial"/>
                <w:b/>
                <w:szCs w:val="18"/>
              </w:rPr>
            </w:pPr>
            <w:r w:rsidRPr="00FD05B7">
              <w:rPr>
                <w:b/>
              </w:rPr>
              <w:t>4.00 x10</w:t>
            </w:r>
            <w:r w:rsidRPr="00FD05B7">
              <w:rPr>
                <w:b/>
                <w:vertAlign w:val="superscript"/>
              </w:rPr>
              <w:t>-2</w:t>
            </w:r>
          </w:p>
        </w:tc>
        <w:tc>
          <w:tcPr>
            <w:tcW w:w="1016" w:type="dxa"/>
            <w:shd w:val="clear" w:color="auto" w:fill="FFFFFF"/>
          </w:tcPr>
          <w:p w14:paraId="15A1641C" w14:textId="77777777" w:rsidR="00254B83" w:rsidRPr="00FD05B7" w:rsidRDefault="00254B83" w:rsidP="00167286">
            <w:pPr>
              <w:pStyle w:val="CETBodytext"/>
              <w:ind w:right="-1"/>
              <w:rPr>
                <w:rFonts w:cs="Arial"/>
                <w:b/>
                <w:szCs w:val="18"/>
              </w:rPr>
            </w:pPr>
            <w:r w:rsidRPr="00FD05B7">
              <w:rPr>
                <w:b/>
              </w:rPr>
              <w:t>5.62 x10</w:t>
            </w:r>
            <w:r w:rsidRPr="00FD05B7">
              <w:rPr>
                <w:b/>
                <w:vertAlign w:val="superscript"/>
              </w:rPr>
              <w:t>-2</w:t>
            </w:r>
          </w:p>
        </w:tc>
        <w:tc>
          <w:tcPr>
            <w:tcW w:w="1016" w:type="dxa"/>
            <w:shd w:val="clear" w:color="auto" w:fill="FFFFFF"/>
          </w:tcPr>
          <w:p w14:paraId="6B8A4110" w14:textId="77777777" w:rsidR="00254B83" w:rsidRPr="00FD05B7" w:rsidRDefault="00254B83" w:rsidP="00167286">
            <w:pPr>
              <w:pStyle w:val="CETBodytext"/>
              <w:ind w:right="-1"/>
              <w:rPr>
                <w:rFonts w:cs="Arial"/>
                <w:b/>
                <w:szCs w:val="18"/>
              </w:rPr>
            </w:pPr>
            <w:r w:rsidRPr="00FD05B7">
              <w:rPr>
                <w:b/>
              </w:rPr>
              <w:t>0.055</w:t>
            </w:r>
          </w:p>
        </w:tc>
        <w:tc>
          <w:tcPr>
            <w:tcW w:w="1016" w:type="dxa"/>
            <w:shd w:val="clear" w:color="auto" w:fill="FFFFFF"/>
          </w:tcPr>
          <w:p w14:paraId="31EEFA2D" w14:textId="77777777" w:rsidR="00254B83" w:rsidRPr="005478A5" w:rsidRDefault="00254B83" w:rsidP="00167286">
            <w:pPr>
              <w:pStyle w:val="CETBodytext"/>
              <w:ind w:right="-1"/>
              <w:rPr>
                <w:rFonts w:cs="Arial"/>
                <w:szCs w:val="18"/>
              </w:rPr>
            </w:pPr>
            <w:r w:rsidRPr="00084846">
              <w:t>1.42</w:t>
            </w:r>
            <w:r>
              <w:t xml:space="preserve"> x10</w:t>
            </w:r>
            <w:r w:rsidRPr="009652B2">
              <w:rPr>
                <w:vertAlign w:val="superscript"/>
              </w:rPr>
              <w:t>-</w:t>
            </w:r>
            <w:r>
              <w:rPr>
                <w:vertAlign w:val="superscript"/>
              </w:rPr>
              <w:t>1</w:t>
            </w:r>
          </w:p>
        </w:tc>
        <w:tc>
          <w:tcPr>
            <w:tcW w:w="1016" w:type="dxa"/>
            <w:shd w:val="clear" w:color="auto" w:fill="FFFFFF"/>
          </w:tcPr>
          <w:p w14:paraId="38005176" w14:textId="77777777" w:rsidR="00254B83" w:rsidRPr="005478A5" w:rsidRDefault="00254B83" w:rsidP="00167286">
            <w:pPr>
              <w:pStyle w:val="CETBodytext"/>
              <w:ind w:right="-1"/>
            </w:pPr>
            <w:r w:rsidRPr="001505B3">
              <w:t>2.53</w:t>
            </w:r>
            <w:r>
              <w:t xml:space="preserve"> x10</w:t>
            </w:r>
            <w:r w:rsidRPr="009652B2">
              <w:rPr>
                <w:vertAlign w:val="superscript"/>
              </w:rPr>
              <w:t>-</w:t>
            </w:r>
            <w:r>
              <w:rPr>
                <w:vertAlign w:val="superscript"/>
              </w:rPr>
              <w:t>1</w:t>
            </w:r>
          </w:p>
        </w:tc>
        <w:tc>
          <w:tcPr>
            <w:tcW w:w="1016" w:type="dxa"/>
            <w:shd w:val="clear" w:color="auto" w:fill="FFFFFF"/>
          </w:tcPr>
          <w:p w14:paraId="7F41EFC9" w14:textId="77777777" w:rsidR="00254B83" w:rsidRPr="005478A5" w:rsidRDefault="00254B83" w:rsidP="00167286">
            <w:pPr>
              <w:pStyle w:val="CETBodytext"/>
              <w:ind w:right="-1"/>
            </w:pPr>
            <w:r w:rsidRPr="001505B3">
              <w:t>0.437</w:t>
            </w:r>
          </w:p>
        </w:tc>
      </w:tr>
    </w:tbl>
    <w:p w14:paraId="352B40E1" w14:textId="145934ED" w:rsidR="00626FCC" w:rsidRPr="005478A5" w:rsidRDefault="005B5E31" w:rsidP="00626FCC">
      <w:pPr>
        <w:pStyle w:val="Lgende"/>
        <w:rPr>
          <w:rStyle w:val="CETCaptionCarattere"/>
          <w:lang w:val="en-US"/>
        </w:rPr>
      </w:pPr>
      <w:r>
        <w:rPr>
          <w:rStyle w:val="CETCaptionCarattere"/>
          <w:noProof/>
          <w:lang w:val="en-US"/>
        </w:rPr>
        <w:lastRenderedPageBreak/>
        <w:drawing>
          <wp:inline distT="0" distB="0" distL="0" distR="0" wp14:anchorId="5CFF6E69" wp14:editId="188219D9">
            <wp:extent cx="3549978" cy="25620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3785" cy="2593646"/>
                    </a:xfrm>
                    <a:prstGeom prst="rect">
                      <a:avLst/>
                    </a:prstGeom>
                    <a:noFill/>
                  </pic:spPr>
                </pic:pic>
              </a:graphicData>
            </a:graphic>
          </wp:inline>
        </w:drawing>
      </w:r>
    </w:p>
    <w:p w14:paraId="795951C5" w14:textId="41B4D7F1" w:rsidR="00D8534B" w:rsidRDefault="00626FCC" w:rsidP="00D8534B">
      <w:pPr>
        <w:pStyle w:val="CETCaption"/>
      </w:pPr>
      <w:r w:rsidRPr="00881E18">
        <w:rPr>
          <w:rStyle w:val="CETCaptionCarattere"/>
          <w:i/>
        </w:rPr>
        <w:t xml:space="preserve">Figure </w:t>
      </w:r>
      <w:r w:rsidRPr="00881E18">
        <w:rPr>
          <w:rStyle w:val="CETCaptionCarattere"/>
          <w:i/>
        </w:rPr>
        <w:fldChar w:fldCharType="begin"/>
      </w:r>
      <w:r w:rsidRPr="00881E18">
        <w:rPr>
          <w:rStyle w:val="CETCaptionCarattere"/>
          <w:i/>
        </w:rPr>
        <w:instrText xml:space="preserve"> SEQ Figure \* ARABIC </w:instrText>
      </w:r>
      <w:r w:rsidRPr="00881E18">
        <w:rPr>
          <w:rStyle w:val="CETCaptionCarattere"/>
          <w:i/>
        </w:rPr>
        <w:fldChar w:fldCharType="separate"/>
      </w:r>
      <w:r w:rsidRPr="00881E18">
        <w:rPr>
          <w:rStyle w:val="CETCaptionCarattere"/>
          <w:i/>
        </w:rPr>
        <w:t>1</w:t>
      </w:r>
      <w:r w:rsidRPr="00881E18">
        <w:rPr>
          <w:rStyle w:val="CETCaptionCarattere"/>
          <w:i/>
        </w:rPr>
        <w:fldChar w:fldCharType="end"/>
      </w:r>
      <w:r w:rsidRPr="00881E18">
        <w:rPr>
          <w:rStyle w:val="CETCaptionCarattere"/>
          <w:i/>
        </w:rPr>
        <w:t>:</w:t>
      </w:r>
      <w:r w:rsidRPr="00881E18">
        <w:t xml:space="preserve"> </w:t>
      </w:r>
      <w:r w:rsidRPr="00881E18">
        <w:rPr>
          <w:rStyle w:val="CETCaptionCarattere"/>
          <w:i/>
        </w:rPr>
        <w:t>Model comparison for protein concentration</w:t>
      </w:r>
      <w:r w:rsidR="00E8636D" w:rsidRPr="00881E18">
        <w:rPr>
          <w:rStyle w:val="CETCaptionCarattere"/>
          <w:i/>
        </w:rPr>
        <w:t>. a) best training (</w:t>
      </w:r>
      <w:r w:rsidR="000C000C">
        <w:rPr>
          <w:rStyle w:val="CETCaptionCarattere"/>
          <w:i/>
        </w:rPr>
        <w:t xml:space="preserve">Fine </w:t>
      </w:r>
      <w:proofErr w:type="spellStart"/>
      <w:r w:rsidR="000C000C">
        <w:rPr>
          <w:rStyle w:val="CETCaptionCarattere"/>
          <w:i/>
        </w:rPr>
        <w:t>Opt</w:t>
      </w:r>
      <w:proofErr w:type="spellEnd"/>
      <w:r w:rsidR="00E8636D" w:rsidRPr="00881E18">
        <w:rPr>
          <w:rStyle w:val="CETCaptionCarattere"/>
          <w:i/>
        </w:rPr>
        <w:t xml:space="preserve"> DT / Gaussian SVM); b) best validation (</w:t>
      </w:r>
      <w:r w:rsidR="000C000C">
        <w:rPr>
          <w:rStyle w:val="CETCaptionCarattere"/>
          <w:i/>
        </w:rPr>
        <w:t>Medium</w:t>
      </w:r>
      <w:r w:rsidR="00E8636D" w:rsidRPr="00881E18">
        <w:rPr>
          <w:rStyle w:val="CETCaptionCarattere"/>
          <w:i/>
        </w:rPr>
        <w:t xml:space="preserve"> DT / </w:t>
      </w:r>
      <w:r w:rsidR="000C000C">
        <w:rPr>
          <w:rStyle w:val="CETCaptionCarattere"/>
          <w:i/>
        </w:rPr>
        <w:t>Linear</w:t>
      </w:r>
      <w:r w:rsidR="00E8636D" w:rsidRPr="00881E18">
        <w:rPr>
          <w:rStyle w:val="CETCaptionCarattere"/>
          <w:i/>
        </w:rPr>
        <w:t xml:space="preserve"> SVM)</w:t>
      </w:r>
      <w:r w:rsidRPr="00881E18">
        <w:rPr>
          <w:rStyle w:val="CETCaptionCarattere"/>
          <w:i/>
        </w:rPr>
        <w:t xml:space="preserve">. </w:t>
      </w:r>
    </w:p>
    <w:p w14:paraId="7682341E" w14:textId="77777777" w:rsidR="009E58FC" w:rsidRDefault="00D8534B" w:rsidP="002A65C7">
      <w:pPr>
        <w:pStyle w:val="CETBodytext"/>
      </w:pPr>
      <w:r>
        <w:rPr>
          <w:lang w:val="en-GB"/>
        </w:rPr>
        <w:t xml:space="preserve">The error metrics for </w:t>
      </w:r>
      <w:r w:rsidR="00254B83">
        <w:t>spore c</w:t>
      </w:r>
      <w:r>
        <w:t xml:space="preserve">oncentration are </w:t>
      </w:r>
      <w:r>
        <w:t xml:space="preserve">presented in </w:t>
      </w:r>
      <w:r>
        <w:fldChar w:fldCharType="begin"/>
      </w:r>
      <w:r>
        <w:instrText xml:space="preserve"> REF _Ref190078010 \h </w:instrText>
      </w:r>
      <w:r>
        <w:fldChar w:fldCharType="separate"/>
      </w:r>
      <w:r w:rsidRPr="005478A5">
        <w:t xml:space="preserve">Table </w:t>
      </w:r>
      <w:r w:rsidRPr="005478A5">
        <w:rPr>
          <w:noProof/>
        </w:rPr>
        <w:t>2</w:t>
      </w:r>
      <w:r>
        <w:fldChar w:fldCharType="end"/>
      </w:r>
      <w:r>
        <w:t>.</w:t>
      </w:r>
      <w:r>
        <w:t xml:space="preserve"> The</w:t>
      </w:r>
      <w:r w:rsidR="00254B83">
        <w:t xml:space="preserve"> best DHMs </w:t>
      </w:r>
      <w:r>
        <w:t>were SVM</w:t>
      </w:r>
      <w:r w:rsidR="004E4179">
        <w:t xml:space="preserve"> using</w:t>
      </w:r>
      <w:r>
        <w:t xml:space="preserve"> Gaussian </w:t>
      </w:r>
      <w:r w:rsidR="004E4179">
        <w:t>k</w:t>
      </w:r>
      <w:r>
        <w:t>ernel</w:t>
      </w:r>
      <w:r w:rsidR="004E4179">
        <w:t xml:space="preserve"> with optimized hyperparameters (Gaussian (</w:t>
      </w:r>
      <w:proofErr w:type="spellStart"/>
      <w:r w:rsidR="004E4179">
        <w:t>Opt</w:t>
      </w:r>
      <w:proofErr w:type="spellEnd"/>
      <w:r w:rsidR="004E4179">
        <w:t>))</w:t>
      </w:r>
      <w:r>
        <w:t xml:space="preserve"> and Fine </w:t>
      </w:r>
      <w:r w:rsidR="004E4179">
        <w:t>(</w:t>
      </w:r>
      <w:proofErr w:type="spellStart"/>
      <w:r w:rsidR="004E4179">
        <w:t>Opt</w:t>
      </w:r>
      <w:proofErr w:type="spellEnd"/>
      <w:r w:rsidR="004E4179">
        <w:t>) DT</w:t>
      </w:r>
      <w:r>
        <w:t xml:space="preserve">. </w:t>
      </w:r>
      <w:r w:rsidR="00254B83">
        <w:t xml:space="preserve">The </w:t>
      </w:r>
      <w:r w:rsidR="002F23E9">
        <w:t xml:space="preserve">best </w:t>
      </w:r>
      <w:r w:rsidR="00254B83">
        <w:t>DHMs estimation using the training data are satisfactory</w:t>
      </w:r>
      <w:r w:rsidR="004E4179">
        <w:t xml:space="preserve"> compared to the DM</w:t>
      </w:r>
      <w:r w:rsidR="00254B83">
        <w:t xml:space="preserve">, mostly considering the large changes in spore concentration. On the contrary, simulation in validation batches shows a gap when compared to experimental results, as depicted in </w:t>
      </w:r>
      <w:r w:rsidR="00254B83">
        <w:fldChar w:fldCharType="begin"/>
      </w:r>
      <w:r w:rsidR="00254B83">
        <w:instrText xml:space="preserve"> REF _Ref190076524 \h </w:instrText>
      </w:r>
      <w:r w:rsidR="00254B83">
        <w:fldChar w:fldCharType="separate"/>
      </w:r>
      <w:r w:rsidR="00254B83" w:rsidRPr="00881E18">
        <w:rPr>
          <w:rStyle w:val="CETCaptionCarattere"/>
          <w:i w:val="0"/>
        </w:rPr>
        <w:t>Figure 2</w:t>
      </w:r>
      <w:r w:rsidR="00254B83">
        <w:fldChar w:fldCharType="end"/>
      </w:r>
      <w:r w:rsidR="00254B83">
        <w:t xml:space="preserve">. </w:t>
      </w:r>
      <w:r w:rsidR="004E4179">
        <w:t>The methods</w:t>
      </w:r>
      <w:r w:rsidR="002F23E9">
        <w:t xml:space="preserve"> depicted</w:t>
      </w:r>
      <w:r w:rsidR="004E4179">
        <w:t xml:space="preserve"> for validation test</w:t>
      </w:r>
      <w:r w:rsidR="002F23E9">
        <w:t xml:space="preserve"> were the same as for protein concentration (Medium DT and SVM Linear kernel), even though there is no clear difference between the error metrics between DT methods</w:t>
      </w:r>
      <w:r w:rsidR="004E4179">
        <w:t xml:space="preserve">. </w:t>
      </w:r>
    </w:p>
    <w:p w14:paraId="58F9596B" w14:textId="3F90DCC7" w:rsidR="00254B83" w:rsidRDefault="00D62476" w:rsidP="002A65C7">
      <w:pPr>
        <w:pStyle w:val="CETBodytext"/>
      </w:pPr>
      <w:r>
        <w:t xml:space="preserve">The best SVM DHMs error in both validation batches was considerably minor compared to the initial prediction made by the DM. The difference between the best methods in DHM for training and validation tests is due to the discrepancy of experimental data between both batches. </w:t>
      </w:r>
      <w:r w:rsidR="0091641E">
        <w:t>The SVM using Linear kernel is more accurate</w:t>
      </w:r>
      <w:r w:rsidR="00087FB1">
        <w:t xml:space="preserve"> </w:t>
      </w:r>
      <w:r w:rsidR="00087FB1">
        <w:t>compared to the DM</w:t>
      </w:r>
      <w:r w:rsidR="0091641E">
        <w:t xml:space="preserve"> when describing the variables concentration in the validation batches, achieving a NRMSE reduction of 18% and 35% for protein and spore, respectively. </w:t>
      </w:r>
    </w:p>
    <w:p w14:paraId="42D7FA7A" w14:textId="5559192D" w:rsidR="00424BF7" w:rsidRDefault="00981EC1" w:rsidP="00FD655A">
      <w:pPr>
        <w:pStyle w:val="CETCaption"/>
        <w:rPr>
          <w:rStyle w:val="CETCaptionCarattere"/>
          <w:i/>
        </w:rPr>
      </w:pPr>
      <w:r>
        <w:rPr>
          <w:rStyle w:val="CETCaptionCarattere"/>
          <w:noProof/>
          <w:lang w:val="en-US"/>
        </w:rPr>
        <w:drawing>
          <wp:inline distT="0" distB="0" distL="0" distR="0" wp14:anchorId="6356D02B" wp14:editId="049C60BA">
            <wp:extent cx="3467210" cy="2505979"/>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2569" cy="2553218"/>
                    </a:xfrm>
                    <a:prstGeom prst="rect">
                      <a:avLst/>
                    </a:prstGeom>
                    <a:noFill/>
                  </pic:spPr>
                </pic:pic>
              </a:graphicData>
            </a:graphic>
          </wp:inline>
        </w:drawing>
      </w:r>
      <w:bookmarkStart w:id="18" w:name="_Ref190076524"/>
    </w:p>
    <w:p w14:paraId="0352C00A" w14:textId="76004529" w:rsidR="00FD655A" w:rsidRDefault="00FD655A" w:rsidP="00FD655A">
      <w:pPr>
        <w:pStyle w:val="CETCaption"/>
        <w:rPr>
          <w:rStyle w:val="CETCaptionCarattere"/>
          <w:i/>
        </w:rPr>
      </w:pPr>
      <w:r w:rsidRPr="00881E18">
        <w:rPr>
          <w:rStyle w:val="CETCaptionCarattere"/>
          <w:i/>
        </w:rPr>
        <w:t xml:space="preserve">Figure </w:t>
      </w:r>
      <w:r w:rsidRPr="00881E18">
        <w:rPr>
          <w:rStyle w:val="CETCaptionCarattere"/>
          <w:i/>
        </w:rPr>
        <w:fldChar w:fldCharType="begin"/>
      </w:r>
      <w:r w:rsidRPr="00881E18">
        <w:rPr>
          <w:rStyle w:val="CETCaptionCarattere"/>
          <w:i/>
        </w:rPr>
        <w:instrText xml:space="preserve"> SEQ Figure \* ARABIC </w:instrText>
      </w:r>
      <w:r w:rsidRPr="00881E18">
        <w:rPr>
          <w:rStyle w:val="CETCaptionCarattere"/>
          <w:i/>
        </w:rPr>
        <w:fldChar w:fldCharType="separate"/>
      </w:r>
      <w:r w:rsidRPr="00881E18">
        <w:rPr>
          <w:rStyle w:val="CETCaptionCarattere"/>
          <w:i/>
        </w:rPr>
        <w:t>2</w:t>
      </w:r>
      <w:r w:rsidRPr="00881E18">
        <w:rPr>
          <w:rStyle w:val="CETCaptionCarattere"/>
          <w:i/>
        </w:rPr>
        <w:fldChar w:fldCharType="end"/>
      </w:r>
      <w:bookmarkEnd w:id="18"/>
      <w:r w:rsidRPr="00881E18">
        <w:rPr>
          <w:rStyle w:val="CETCaptionCarattere"/>
          <w:i/>
        </w:rPr>
        <w:t xml:space="preserve">: </w:t>
      </w:r>
      <w:bookmarkStart w:id="19" w:name="_Ref190076520"/>
      <w:r w:rsidRPr="00881E18">
        <w:rPr>
          <w:rStyle w:val="CETCaptionCarattere"/>
          <w:i/>
        </w:rPr>
        <w:t>Model comparison for spore concentration.</w:t>
      </w:r>
      <w:bookmarkEnd w:id="19"/>
      <w:r w:rsidRPr="00881E18">
        <w:rPr>
          <w:rStyle w:val="CETCaptionCarattere"/>
          <w:i/>
        </w:rPr>
        <w:t xml:space="preserve"> a) best training (</w:t>
      </w:r>
      <w:r w:rsidR="000C000C">
        <w:rPr>
          <w:rStyle w:val="CETCaptionCarattere"/>
          <w:i/>
        </w:rPr>
        <w:t xml:space="preserve">Fine </w:t>
      </w:r>
      <w:proofErr w:type="spellStart"/>
      <w:r w:rsidR="000C000C">
        <w:rPr>
          <w:rStyle w:val="CETCaptionCarattere"/>
          <w:i/>
        </w:rPr>
        <w:t>Opt</w:t>
      </w:r>
      <w:proofErr w:type="spellEnd"/>
      <w:r w:rsidRPr="00881E18">
        <w:rPr>
          <w:rStyle w:val="CETCaptionCarattere"/>
          <w:i/>
        </w:rPr>
        <w:t xml:space="preserve"> DT / Gaussian </w:t>
      </w:r>
      <w:proofErr w:type="spellStart"/>
      <w:r w:rsidRPr="00881E18">
        <w:rPr>
          <w:rStyle w:val="CETCaptionCarattere"/>
          <w:i/>
        </w:rPr>
        <w:t>Opt</w:t>
      </w:r>
      <w:proofErr w:type="spellEnd"/>
      <w:r w:rsidRPr="00881E18">
        <w:rPr>
          <w:rStyle w:val="CETCaptionCarattere"/>
          <w:i/>
        </w:rPr>
        <w:t xml:space="preserve"> SVM); b) best val</w:t>
      </w:r>
      <w:bookmarkStart w:id="20" w:name="_GoBack"/>
      <w:bookmarkEnd w:id="20"/>
      <w:r w:rsidRPr="00881E18">
        <w:rPr>
          <w:rStyle w:val="CETCaptionCarattere"/>
          <w:i/>
        </w:rPr>
        <w:t>idation (</w:t>
      </w:r>
      <w:r w:rsidR="000C000C">
        <w:rPr>
          <w:rStyle w:val="CETCaptionCarattere"/>
          <w:i/>
        </w:rPr>
        <w:t>Medium</w:t>
      </w:r>
      <w:r w:rsidRPr="00881E18">
        <w:rPr>
          <w:rStyle w:val="CETCaptionCarattere"/>
          <w:i/>
        </w:rPr>
        <w:t xml:space="preserve"> DT / </w:t>
      </w:r>
      <w:r w:rsidR="000C000C">
        <w:rPr>
          <w:rStyle w:val="CETCaptionCarattere"/>
          <w:i/>
        </w:rPr>
        <w:t>Linear</w:t>
      </w:r>
      <w:r w:rsidRPr="00881E18">
        <w:rPr>
          <w:rStyle w:val="CETCaptionCarattere"/>
          <w:i/>
        </w:rPr>
        <w:t xml:space="preserve"> SVM).</w:t>
      </w:r>
    </w:p>
    <w:p w14:paraId="68D26B83" w14:textId="7CDB449A" w:rsidR="00600535" w:rsidRPr="005478A5" w:rsidRDefault="00600535" w:rsidP="00600535">
      <w:pPr>
        <w:pStyle w:val="CETHeading1"/>
      </w:pPr>
      <w:r w:rsidRPr="005478A5">
        <w:lastRenderedPageBreak/>
        <w:t>Conclusions</w:t>
      </w:r>
    </w:p>
    <w:p w14:paraId="2B2AB7B8" w14:textId="235E1C06" w:rsidR="00EC7F5E" w:rsidRPr="005478A5" w:rsidRDefault="007B41A4" w:rsidP="00F347D1">
      <w:pPr>
        <w:pStyle w:val="CETBodytext"/>
      </w:pPr>
      <w:r>
        <w:t xml:space="preserve">As the </w:t>
      </w:r>
      <w:r w:rsidRPr="00073F7D">
        <w:rPr>
          <w:i/>
        </w:rPr>
        <w:t>B. thuringiensis</w:t>
      </w:r>
      <w:r>
        <w:t xml:space="preserve"> dynamics are complex and unknown, mechanistic models </w:t>
      </w:r>
      <w:r w:rsidR="00BE7BD4">
        <w:t>cannot</w:t>
      </w:r>
      <w:r>
        <w:t xml:space="preserve"> correctly estimate the protein and spore production from its fermentation. The</w:t>
      </w:r>
      <w:r w:rsidR="00510302">
        <w:t xml:space="preserve"> proposed</w:t>
      </w:r>
      <w:r>
        <w:t xml:space="preserve"> dynamic hybrid model improve</w:t>
      </w:r>
      <w:r w:rsidR="00510302">
        <w:t>d</w:t>
      </w:r>
      <w:r>
        <w:t xml:space="preserve"> </w:t>
      </w:r>
      <w:r w:rsidR="00C91343">
        <w:t>the prediction of protein and spore</w:t>
      </w:r>
      <w:r>
        <w:t xml:space="preserve"> </w:t>
      </w:r>
      <w:r w:rsidR="00BE7BD4">
        <w:t xml:space="preserve">even when the kinetics of the dynamic model </w:t>
      </w:r>
      <w:r w:rsidR="00C91343">
        <w:t>were</w:t>
      </w:r>
      <w:r w:rsidR="00BE7BD4">
        <w:t xml:space="preserve"> neither well defined nor </w:t>
      </w:r>
      <w:r w:rsidR="00073F7D">
        <w:t>identified.</w:t>
      </w:r>
      <w:r>
        <w:t xml:space="preserve"> </w:t>
      </w:r>
      <w:r w:rsidR="00BE7BD4">
        <w:t xml:space="preserve">Results show that </w:t>
      </w:r>
      <w:r w:rsidR="00510302">
        <w:t>SVM proved to be more accurate than DT.</w:t>
      </w:r>
      <w:r w:rsidR="008F6F58">
        <w:t xml:space="preserve"> </w:t>
      </w:r>
      <w:r w:rsidR="00B15BE8">
        <w:t>H</w:t>
      </w:r>
      <w:r w:rsidR="00073F7D">
        <w:t>owever</w:t>
      </w:r>
      <w:r w:rsidR="00EC4340">
        <w:t xml:space="preserve">, a larger improvement could be obtained if more data </w:t>
      </w:r>
      <w:r w:rsidR="005B5E31">
        <w:t>is</w:t>
      </w:r>
      <w:r w:rsidR="00EC4340">
        <w:t xml:space="preserve"> used for training and validation.</w:t>
      </w:r>
      <w:r w:rsidR="00EC5551">
        <w:t xml:space="preserve"> </w:t>
      </w:r>
      <w:r w:rsidR="00510302">
        <w:t xml:space="preserve">The </w:t>
      </w:r>
      <w:r w:rsidR="00C91343">
        <w:t>DHM</w:t>
      </w:r>
      <w:r w:rsidR="00510302">
        <w:t xml:space="preserve"> will be </w:t>
      </w:r>
      <w:r w:rsidR="00C91343">
        <w:t>applied</w:t>
      </w:r>
      <w:r w:rsidR="00510302">
        <w:t xml:space="preserve"> </w:t>
      </w:r>
      <w:r w:rsidR="00C91343">
        <w:t xml:space="preserve">to optimize industrial production of biopesticides in a process chain framework with </w:t>
      </w:r>
      <w:r w:rsidR="00575E62">
        <w:t xml:space="preserve">different </w:t>
      </w:r>
      <w:r w:rsidR="00EC5551" w:rsidRPr="00575E62">
        <w:rPr>
          <w:i/>
        </w:rPr>
        <w:t>B. thuringiensis</w:t>
      </w:r>
      <w:r w:rsidR="00EC5551">
        <w:t xml:space="preserve"> strains</w:t>
      </w:r>
      <w:r w:rsidR="00C91343">
        <w:t xml:space="preserve">. </w:t>
      </w:r>
    </w:p>
    <w:p w14:paraId="459D05E6" w14:textId="77777777" w:rsidR="00600535" w:rsidRPr="005478A5" w:rsidRDefault="00600535" w:rsidP="00600535">
      <w:pPr>
        <w:pStyle w:val="CETAcknowledgementstitle"/>
        <w:rPr>
          <w:lang w:val="en-US"/>
        </w:rPr>
      </w:pPr>
      <w:r w:rsidRPr="005478A5">
        <w:rPr>
          <w:lang w:val="en-US"/>
        </w:rPr>
        <w:t>Acknowledgments</w:t>
      </w:r>
    </w:p>
    <w:p w14:paraId="0F0F25E7" w14:textId="3DA32FFD" w:rsidR="00FA20AB" w:rsidRPr="00073F7D" w:rsidRDefault="00FB6965" w:rsidP="00073F7D">
      <w:pPr>
        <w:pStyle w:val="CETBodytext"/>
      </w:pPr>
      <w:r w:rsidRPr="005478A5">
        <w:t xml:space="preserve">This work was supported by the </w:t>
      </w:r>
      <w:r w:rsidR="00A2667F">
        <w:t>“</w:t>
      </w:r>
      <w:r w:rsidRPr="005478A5">
        <w:t xml:space="preserve">Alternative Biopesticides For Safe Integrated Pest </w:t>
      </w:r>
      <w:r w:rsidR="00CD4AFA">
        <w:t>a</w:t>
      </w:r>
      <w:r w:rsidRPr="005478A5">
        <w:t>nd Water Management Around Mediterranean</w:t>
      </w:r>
      <w:r w:rsidR="00A2667F">
        <w:t>”</w:t>
      </w:r>
      <w:r w:rsidRPr="005478A5">
        <w:t xml:space="preserve"> (SAFWA) project, which has received funding from the European Union’s Horizon 2020 research and innovation program under the grant agreement No2022/Section 2.</w:t>
      </w:r>
      <w:r w:rsidR="0008624E" w:rsidRPr="005478A5">
        <w:t xml:space="preserve"> </w:t>
      </w:r>
      <w:r w:rsidR="00B35A30" w:rsidRPr="00073F7D">
        <w:t>This work was partially supported by the French National Research Agency (ANR) under the "</w:t>
      </w:r>
      <w:proofErr w:type="spellStart"/>
      <w:r w:rsidR="00B35A30" w:rsidRPr="00073F7D">
        <w:t>Investissements</w:t>
      </w:r>
      <w:proofErr w:type="spellEnd"/>
      <w:r w:rsidR="00B35A30" w:rsidRPr="00073F7D">
        <w:t xml:space="preserve"> </w:t>
      </w:r>
      <w:proofErr w:type="spellStart"/>
      <w:r w:rsidR="00B35A30" w:rsidRPr="00073F7D">
        <w:t>d'Avenir</w:t>
      </w:r>
      <w:proofErr w:type="spellEnd"/>
      <w:r w:rsidR="00B35A30" w:rsidRPr="00073F7D">
        <w:t>" program, reference </w:t>
      </w:r>
      <w:r w:rsidR="00B35A30" w:rsidRPr="00073F7D">
        <w:rPr>
          <w:rStyle w:val="anchor-text"/>
        </w:rPr>
        <w:t>ANR-18-EURE-0021</w:t>
      </w:r>
      <w:r w:rsidR="00B35A30" w:rsidRPr="00073F7D">
        <w:t>.</w:t>
      </w:r>
    </w:p>
    <w:p w14:paraId="3CD8AC6A" w14:textId="77777777" w:rsidR="00FB6965" w:rsidRPr="00860C5D" w:rsidRDefault="00FB6965" w:rsidP="00FB6965">
      <w:pPr>
        <w:pStyle w:val="CETReference"/>
        <w:rPr>
          <w:lang w:val="es-CO"/>
        </w:rPr>
      </w:pPr>
      <w:proofErr w:type="spellStart"/>
      <w:r w:rsidRPr="00860C5D">
        <w:rPr>
          <w:lang w:val="es-CO"/>
        </w:rPr>
        <w:t>References</w:t>
      </w:r>
      <w:proofErr w:type="spellEnd"/>
    </w:p>
    <w:p w14:paraId="5F1F71BC" w14:textId="77777777" w:rsidR="00774821" w:rsidRPr="00774821" w:rsidRDefault="00D517F1" w:rsidP="00F72087">
      <w:pPr>
        <w:pStyle w:val="Bibliographie"/>
        <w:spacing w:line="240" w:lineRule="auto"/>
        <w:rPr>
          <w:rFonts w:cs="Arial"/>
        </w:rPr>
      </w:pPr>
      <w:r>
        <w:fldChar w:fldCharType="begin"/>
      </w:r>
      <w:r w:rsidRPr="00D517F1">
        <w:rPr>
          <w:lang w:val="es-CO"/>
        </w:rPr>
        <w:instrText xml:space="preserve"> ADDIN ZOTERO_BIBL {"uncited":[],"omitted":[],"custom":[]} CSL_BIBLIOGRAPHY </w:instrText>
      </w:r>
      <w:r>
        <w:fldChar w:fldCharType="separate"/>
      </w:r>
      <w:r w:rsidR="00774821" w:rsidRPr="00774821">
        <w:rPr>
          <w:rFonts w:cs="Arial"/>
          <w:lang w:val="es-CO"/>
        </w:rPr>
        <w:t xml:space="preserve">Amicarelli, A., Sciascio, F., Quintero, O., &amp; Ortiz, O. A. (2010). </w:t>
      </w:r>
      <w:r w:rsidR="00774821" w:rsidRPr="00774821">
        <w:rPr>
          <w:rFonts w:cs="Arial"/>
          <w:i/>
          <w:iCs/>
        </w:rPr>
        <w:t>On-line Biomass Estimation in a Batch Bio-technological Process: Bacillus Thuringiensis δ - Endotoxins Production</w:t>
      </w:r>
      <w:r w:rsidR="00774821" w:rsidRPr="00774821">
        <w:rPr>
          <w:rFonts w:cs="Arial"/>
        </w:rPr>
        <w:t xml:space="preserve"> (pp. 79–112). https://doi.org/10.5772/9769</w:t>
      </w:r>
    </w:p>
    <w:p w14:paraId="545B2E8F" w14:textId="77777777" w:rsidR="00774821" w:rsidRPr="00774821" w:rsidRDefault="00774821" w:rsidP="00F72087">
      <w:pPr>
        <w:pStyle w:val="Bibliographie"/>
        <w:spacing w:line="240" w:lineRule="auto"/>
        <w:rPr>
          <w:rFonts w:cs="Arial"/>
          <w:lang w:val="es-CO"/>
        </w:rPr>
      </w:pPr>
      <w:r w:rsidRPr="00774821">
        <w:rPr>
          <w:rFonts w:cs="Arial"/>
        </w:rPr>
        <w:t xml:space="preserve">Bednarska, K. A. (2015). </w:t>
      </w:r>
      <w:r w:rsidRPr="00774821">
        <w:rPr>
          <w:rFonts w:cs="Arial"/>
          <w:i/>
          <w:iCs/>
        </w:rPr>
        <w:t>Kinetic modelling of enzymatic starch hydrolysis</w:t>
      </w:r>
      <w:r w:rsidRPr="00774821">
        <w:rPr>
          <w:rFonts w:cs="Arial"/>
        </w:rPr>
        <w:t xml:space="preserve">. </w:t>
      </w:r>
      <w:r w:rsidRPr="00774821">
        <w:rPr>
          <w:rFonts w:cs="Arial"/>
          <w:lang w:val="es-CO"/>
        </w:rPr>
        <w:t>Wageningen University.</w:t>
      </w:r>
    </w:p>
    <w:p w14:paraId="4916080E" w14:textId="77777777" w:rsidR="00774821" w:rsidRPr="00774821" w:rsidRDefault="00774821" w:rsidP="00F72087">
      <w:pPr>
        <w:pStyle w:val="Bibliographie"/>
        <w:spacing w:line="240" w:lineRule="auto"/>
        <w:rPr>
          <w:rFonts w:cs="Arial"/>
        </w:rPr>
      </w:pPr>
      <w:r w:rsidRPr="00774821">
        <w:rPr>
          <w:rFonts w:cs="Arial"/>
          <w:lang w:val="es-CO"/>
        </w:rPr>
        <w:t xml:space="preserve">Figueroa-Cardona, S., Robles-Rodriguez, C. E., El-Jeni, R., Fillaudeau, L., &amp; Aceves Lara, C. A. (2024). </w:t>
      </w:r>
      <w:r w:rsidRPr="00774821">
        <w:rPr>
          <w:rFonts w:cs="Arial"/>
        </w:rPr>
        <w:t xml:space="preserve">Dynamic hybrid modelling for biopesticides production using Bacillus Thuringiensis strains. </w:t>
      </w:r>
      <w:r w:rsidRPr="00774821">
        <w:rPr>
          <w:rFonts w:cs="Arial"/>
          <w:i/>
          <w:iCs/>
        </w:rPr>
        <w:t>Lecture Notes in Networks and Systems</w:t>
      </w:r>
      <w:r w:rsidRPr="00774821">
        <w:rPr>
          <w:rFonts w:cs="Arial"/>
        </w:rPr>
        <w:t>. https://doi.org/10.1007/978-3-031-82073-1_24</w:t>
      </w:r>
    </w:p>
    <w:p w14:paraId="6D3FCE56" w14:textId="77777777" w:rsidR="00774821" w:rsidRPr="00774821" w:rsidRDefault="00774821" w:rsidP="00F72087">
      <w:pPr>
        <w:pStyle w:val="Bibliographie"/>
        <w:spacing w:line="240" w:lineRule="auto"/>
        <w:rPr>
          <w:rFonts w:cs="Arial"/>
        </w:rPr>
      </w:pPr>
      <w:r w:rsidRPr="00774821">
        <w:rPr>
          <w:rFonts w:cs="Arial"/>
        </w:rPr>
        <w:t xml:space="preserve">Fritsch, F. N., &amp; Carlson, R. E. (1980). Monotone Piecewise Cubic Interpolation. </w:t>
      </w:r>
      <w:r w:rsidRPr="00774821">
        <w:rPr>
          <w:rFonts w:cs="Arial"/>
          <w:i/>
          <w:iCs/>
        </w:rPr>
        <w:t>SIAM Journal on Numerical Analysis</w:t>
      </w:r>
      <w:r w:rsidRPr="00774821">
        <w:rPr>
          <w:rFonts w:cs="Arial"/>
        </w:rPr>
        <w:t xml:space="preserve">, </w:t>
      </w:r>
      <w:r w:rsidRPr="00774821">
        <w:rPr>
          <w:rFonts w:cs="Arial"/>
          <w:i/>
          <w:iCs/>
        </w:rPr>
        <w:t>17</w:t>
      </w:r>
      <w:r w:rsidRPr="00774821">
        <w:rPr>
          <w:rFonts w:cs="Arial"/>
        </w:rPr>
        <w:t>(2), 238–246. https://doi.org/10.1137/0717021</w:t>
      </w:r>
    </w:p>
    <w:p w14:paraId="43DB9D7F" w14:textId="77777777" w:rsidR="00774821" w:rsidRPr="00774821" w:rsidRDefault="00774821" w:rsidP="00F72087">
      <w:pPr>
        <w:pStyle w:val="Bibliographie"/>
        <w:spacing w:line="240" w:lineRule="auto"/>
        <w:rPr>
          <w:rFonts w:cs="Arial"/>
        </w:rPr>
      </w:pPr>
      <w:r w:rsidRPr="00774821">
        <w:rPr>
          <w:rFonts w:cs="Arial"/>
        </w:rPr>
        <w:t xml:space="preserve">Hamedi, H., Mohammadzadeh, O., Rasouli, S., &amp; Zendehboudi, S. (2021). A critical review of biomass kinetics and membrane filtration models for membrane bioreactor systems. </w:t>
      </w:r>
      <w:r w:rsidRPr="00774821">
        <w:rPr>
          <w:rFonts w:cs="Arial"/>
          <w:i/>
          <w:iCs/>
        </w:rPr>
        <w:t>Journal of Environmental Chemical Engineering</w:t>
      </w:r>
      <w:r w:rsidRPr="00774821">
        <w:rPr>
          <w:rFonts w:cs="Arial"/>
        </w:rPr>
        <w:t xml:space="preserve">, </w:t>
      </w:r>
      <w:r w:rsidRPr="00774821">
        <w:rPr>
          <w:rFonts w:cs="Arial"/>
          <w:i/>
          <w:iCs/>
        </w:rPr>
        <w:t>9</w:t>
      </w:r>
      <w:r w:rsidRPr="00774821">
        <w:rPr>
          <w:rFonts w:cs="Arial"/>
        </w:rPr>
        <w:t>(6), 106406. https://doi.org/10.1016/j.jece.2021.106406</w:t>
      </w:r>
    </w:p>
    <w:p w14:paraId="5B35EC79" w14:textId="77777777" w:rsidR="00774821" w:rsidRPr="00774821" w:rsidRDefault="00774821" w:rsidP="00F72087">
      <w:pPr>
        <w:pStyle w:val="Bibliographie"/>
        <w:spacing w:line="240" w:lineRule="auto"/>
        <w:rPr>
          <w:rFonts w:cs="Arial"/>
        </w:rPr>
      </w:pPr>
      <w:r w:rsidRPr="00774821">
        <w:rPr>
          <w:rFonts w:cs="Arial"/>
        </w:rPr>
        <w:t xml:space="preserve">Kavoni, H., Savizi, I. S. P., Lewis, N. E., &amp; Shojaosadati, S. A. (2025). Recent advances in culture medium design for enhanced production of monoclonal antibodies in CHO cells: A comparative study of machine learning and systems biology approaches. </w:t>
      </w:r>
      <w:r w:rsidRPr="00774821">
        <w:rPr>
          <w:rFonts w:cs="Arial"/>
          <w:i/>
          <w:iCs/>
        </w:rPr>
        <w:t>Biotechnology Advances</w:t>
      </w:r>
      <w:r w:rsidRPr="00774821">
        <w:rPr>
          <w:rFonts w:cs="Arial"/>
        </w:rPr>
        <w:t xml:space="preserve">, </w:t>
      </w:r>
      <w:r w:rsidRPr="00774821">
        <w:rPr>
          <w:rFonts w:cs="Arial"/>
          <w:i/>
          <w:iCs/>
        </w:rPr>
        <w:t>78</w:t>
      </w:r>
      <w:r w:rsidRPr="00774821">
        <w:rPr>
          <w:rFonts w:cs="Arial"/>
        </w:rPr>
        <w:t>, 108480. https://doi.org/10.1016/j.biotechadv.2024.108480</w:t>
      </w:r>
    </w:p>
    <w:p w14:paraId="3EBDC7E8" w14:textId="77777777" w:rsidR="00774821" w:rsidRPr="00774821" w:rsidRDefault="00774821" w:rsidP="00F72087">
      <w:pPr>
        <w:pStyle w:val="Bibliographie"/>
        <w:spacing w:line="240" w:lineRule="auto"/>
        <w:rPr>
          <w:rFonts w:cs="Arial"/>
        </w:rPr>
      </w:pPr>
      <w:r w:rsidRPr="00774821">
        <w:rPr>
          <w:rFonts w:cs="Arial"/>
        </w:rPr>
        <w:t xml:space="preserve">Kay, S., Kay, H., Rogers, A. W., &amp; Zhang, D. (2023). Integrating hybrid modelling and transfer learning for new bioprocess predictive modelling. In A. C. Kokossis, M. C. Georgiadis, &amp; E. Pistikopoulos (Eds.), </w:t>
      </w:r>
      <w:r w:rsidRPr="00774821">
        <w:rPr>
          <w:rFonts w:cs="Arial"/>
          <w:i/>
          <w:iCs/>
        </w:rPr>
        <w:t>Computer Aided Chemical Engineering</w:t>
      </w:r>
      <w:r w:rsidRPr="00774821">
        <w:rPr>
          <w:rFonts w:cs="Arial"/>
        </w:rPr>
        <w:t xml:space="preserve"> (Vol. 52, pp. 2595–2600). Elsevier. https://doi.org/10.1016/B978-0-443-15274-0.50412-1</w:t>
      </w:r>
    </w:p>
    <w:p w14:paraId="11AAE2FB" w14:textId="77777777" w:rsidR="00774821" w:rsidRPr="00774821" w:rsidRDefault="00774821" w:rsidP="00F72087">
      <w:pPr>
        <w:pStyle w:val="Bibliographie"/>
        <w:spacing w:line="240" w:lineRule="auto"/>
        <w:rPr>
          <w:rFonts w:cs="Arial"/>
        </w:rPr>
      </w:pPr>
      <w:r w:rsidRPr="00774821">
        <w:rPr>
          <w:rFonts w:cs="Arial"/>
        </w:rPr>
        <w:t xml:space="preserve">Kharait, S., Hautaniemi, S., Wu, S., Iwabu, A., Lauffenburger, D. A., &amp; Wells, A. (2007). Decision tree modeling predicts effects of inhibiting contractility signaling on cell motility. </w:t>
      </w:r>
      <w:r w:rsidRPr="00774821">
        <w:rPr>
          <w:rFonts w:cs="Arial"/>
          <w:i/>
          <w:iCs/>
        </w:rPr>
        <w:t>BMC Systems Biology</w:t>
      </w:r>
      <w:r w:rsidRPr="00774821">
        <w:rPr>
          <w:rFonts w:cs="Arial"/>
        </w:rPr>
        <w:t xml:space="preserve">, </w:t>
      </w:r>
      <w:r w:rsidRPr="00774821">
        <w:rPr>
          <w:rFonts w:cs="Arial"/>
          <w:i/>
          <w:iCs/>
        </w:rPr>
        <w:t>1</w:t>
      </w:r>
      <w:r w:rsidRPr="00774821">
        <w:rPr>
          <w:rFonts w:cs="Arial"/>
        </w:rPr>
        <w:t>(1), 9. https://doi.org/10.1186/1752-0509-1-9</w:t>
      </w:r>
    </w:p>
    <w:p w14:paraId="63D26689" w14:textId="77777777" w:rsidR="00774821" w:rsidRPr="00774821" w:rsidRDefault="00774821" w:rsidP="00F72087">
      <w:pPr>
        <w:pStyle w:val="Bibliographie"/>
        <w:spacing w:line="240" w:lineRule="auto"/>
        <w:rPr>
          <w:rFonts w:cs="Arial"/>
        </w:rPr>
      </w:pPr>
      <w:r w:rsidRPr="00774821">
        <w:rPr>
          <w:rFonts w:cs="Arial"/>
        </w:rPr>
        <w:t xml:space="preserve">Monroy, T. S., Abdelmalek, N., Rouis, S., Kallassy, M., Saad, J., Abboud, J., Cescut, J., Bensaid, N., Fillaudeau, L., &amp; Aceves-Lara, C. A. (2021). Dynamic Model for Biomass and Proteins Production by Three Bacillus Thuringiensis ssp Kurstaki Strains. </w:t>
      </w:r>
      <w:r w:rsidRPr="00774821">
        <w:rPr>
          <w:rFonts w:cs="Arial"/>
          <w:i/>
          <w:iCs/>
        </w:rPr>
        <w:t>Processes</w:t>
      </w:r>
      <w:r w:rsidRPr="00774821">
        <w:rPr>
          <w:rFonts w:cs="Arial"/>
        </w:rPr>
        <w:t xml:space="preserve">, </w:t>
      </w:r>
      <w:r w:rsidRPr="00774821">
        <w:rPr>
          <w:rFonts w:cs="Arial"/>
          <w:i/>
          <w:iCs/>
        </w:rPr>
        <w:t>9</w:t>
      </w:r>
      <w:r w:rsidRPr="00774821">
        <w:rPr>
          <w:rFonts w:cs="Arial"/>
        </w:rPr>
        <w:t>(12), 2147. https://doi.org/10.3390/pr9122147</w:t>
      </w:r>
    </w:p>
    <w:p w14:paraId="19B48E2F" w14:textId="77777777" w:rsidR="00774821" w:rsidRPr="00774821" w:rsidRDefault="00774821" w:rsidP="00F72087">
      <w:pPr>
        <w:pStyle w:val="Bibliographie"/>
        <w:spacing w:line="240" w:lineRule="auto"/>
        <w:rPr>
          <w:rFonts w:cs="Arial"/>
        </w:rPr>
      </w:pPr>
      <w:r w:rsidRPr="00774821">
        <w:rPr>
          <w:rFonts w:cs="Arial"/>
        </w:rPr>
        <w:t xml:space="preserve">Navarro-Mtz, A. K., &amp; Pérez-Guevara, F. (2014). Construction of a biodynamic model for Cry protein production studies. </w:t>
      </w:r>
      <w:r w:rsidRPr="00774821">
        <w:rPr>
          <w:rFonts w:cs="Arial"/>
          <w:i/>
          <w:iCs/>
        </w:rPr>
        <w:t>AMB Express</w:t>
      </w:r>
      <w:r w:rsidRPr="00774821">
        <w:rPr>
          <w:rFonts w:cs="Arial"/>
        </w:rPr>
        <w:t xml:space="preserve">, </w:t>
      </w:r>
      <w:r w:rsidRPr="00774821">
        <w:rPr>
          <w:rFonts w:cs="Arial"/>
          <w:i/>
          <w:iCs/>
        </w:rPr>
        <w:t>4</w:t>
      </w:r>
      <w:r w:rsidRPr="00774821">
        <w:rPr>
          <w:rFonts w:cs="Arial"/>
        </w:rPr>
        <w:t>(1), 79. https://doi.org/10.1186/s13568-014-0079-y</w:t>
      </w:r>
    </w:p>
    <w:p w14:paraId="3EBF5094" w14:textId="77777777" w:rsidR="00774821" w:rsidRPr="00774821" w:rsidRDefault="00774821" w:rsidP="00F72087">
      <w:pPr>
        <w:pStyle w:val="Bibliographie"/>
        <w:spacing w:line="240" w:lineRule="auto"/>
        <w:rPr>
          <w:rFonts w:cs="Arial"/>
        </w:rPr>
      </w:pPr>
      <w:r w:rsidRPr="00774821">
        <w:rPr>
          <w:rFonts w:cs="Arial"/>
        </w:rPr>
        <w:t xml:space="preserve">Rowe, G. E., &amp; Margaritis, A. (2004). Bioprocess design and economic analysis for the commercial production of environmentally friendly bioinsecticides from Bacillus thuringiensis HD-1 kurstaki. </w:t>
      </w:r>
      <w:r w:rsidRPr="00774821">
        <w:rPr>
          <w:rFonts w:cs="Arial"/>
          <w:i/>
          <w:iCs/>
        </w:rPr>
        <w:t>Biotechnology and Bioengineering</w:t>
      </w:r>
      <w:r w:rsidRPr="00774821">
        <w:rPr>
          <w:rFonts w:cs="Arial"/>
        </w:rPr>
        <w:t xml:space="preserve">, </w:t>
      </w:r>
      <w:r w:rsidRPr="00774821">
        <w:rPr>
          <w:rFonts w:cs="Arial"/>
          <w:i/>
          <w:iCs/>
        </w:rPr>
        <w:t>86</w:t>
      </w:r>
      <w:r w:rsidRPr="00774821">
        <w:rPr>
          <w:rFonts w:cs="Arial"/>
        </w:rPr>
        <w:t>(4), 377–388. https://doi.org/10.1002/bit.20146</w:t>
      </w:r>
    </w:p>
    <w:p w14:paraId="4C831DC0" w14:textId="77777777" w:rsidR="00774821" w:rsidRPr="00774821" w:rsidRDefault="00774821" w:rsidP="00F72087">
      <w:pPr>
        <w:pStyle w:val="Bibliographie"/>
        <w:spacing w:line="240" w:lineRule="auto"/>
        <w:rPr>
          <w:rFonts w:cs="Arial"/>
        </w:rPr>
      </w:pPr>
      <w:r w:rsidRPr="00774821">
        <w:rPr>
          <w:rFonts w:cs="Arial"/>
        </w:rPr>
        <w:t xml:space="preserve">Shah, P., Pahari, S., Bhavsar, R., &amp; Kwon, J. S.-I. (2025). Hybrid modeling of first-principles and machine learning: A step-by-step tutorial review for practical implementation. </w:t>
      </w:r>
      <w:r w:rsidRPr="00774821">
        <w:rPr>
          <w:rFonts w:cs="Arial"/>
          <w:i/>
          <w:iCs/>
        </w:rPr>
        <w:t>Computers &amp; Chemical Engineering</w:t>
      </w:r>
      <w:r w:rsidRPr="00774821">
        <w:rPr>
          <w:rFonts w:cs="Arial"/>
        </w:rPr>
        <w:t xml:space="preserve">, </w:t>
      </w:r>
      <w:r w:rsidRPr="00774821">
        <w:rPr>
          <w:rFonts w:cs="Arial"/>
          <w:i/>
          <w:iCs/>
        </w:rPr>
        <w:t>194</w:t>
      </w:r>
      <w:r w:rsidRPr="00774821">
        <w:rPr>
          <w:rFonts w:cs="Arial"/>
        </w:rPr>
        <w:t>, 108926. https://doi.org/10.1016/j.compchemeng.2024.108926</w:t>
      </w:r>
    </w:p>
    <w:p w14:paraId="5D191C60" w14:textId="77777777" w:rsidR="00774821" w:rsidRPr="00774821" w:rsidRDefault="00774821" w:rsidP="00F72087">
      <w:pPr>
        <w:pStyle w:val="Bibliographie"/>
        <w:spacing w:line="240" w:lineRule="auto"/>
        <w:rPr>
          <w:rFonts w:cs="Arial"/>
        </w:rPr>
      </w:pPr>
      <w:r w:rsidRPr="00774821">
        <w:rPr>
          <w:rFonts w:cs="Arial"/>
        </w:rPr>
        <w:t xml:space="preserve">Tadesse Mawcha, K., Malinga, L., Muir, D., Ge, J., &amp; Ndolo, D. (2024). Recent Advances in Biopesticide Research and Development with a Focus on Microbials. </w:t>
      </w:r>
      <w:r w:rsidRPr="00774821">
        <w:rPr>
          <w:rFonts w:cs="Arial"/>
          <w:i/>
          <w:iCs/>
        </w:rPr>
        <w:t>F1000Research</w:t>
      </w:r>
      <w:r w:rsidRPr="00774821">
        <w:rPr>
          <w:rFonts w:cs="Arial"/>
        </w:rPr>
        <w:t xml:space="preserve">, </w:t>
      </w:r>
      <w:r w:rsidRPr="00774821">
        <w:rPr>
          <w:rFonts w:cs="Arial"/>
          <w:i/>
          <w:iCs/>
        </w:rPr>
        <w:t>13</w:t>
      </w:r>
      <w:r w:rsidRPr="00774821">
        <w:rPr>
          <w:rFonts w:cs="Arial"/>
        </w:rPr>
        <w:t>, 1071. https://doi.org/10.12688/f1000research.154392.3</w:t>
      </w:r>
    </w:p>
    <w:p w14:paraId="27626F9C" w14:textId="77777777" w:rsidR="00774821" w:rsidRPr="00774821" w:rsidRDefault="00774821" w:rsidP="00F72087">
      <w:pPr>
        <w:pStyle w:val="Bibliographie"/>
        <w:spacing w:line="240" w:lineRule="auto"/>
        <w:rPr>
          <w:rFonts w:cs="Arial"/>
        </w:rPr>
      </w:pPr>
      <w:r w:rsidRPr="00774821">
        <w:rPr>
          <w:rFonts w:cs="Arial"/>
        </w:rPr>
        <w:t xml:space="preserve">Vapnik, V., Golowich, S., &amp; Smola, A. (1996). Support Vector Method for Function Approximation, Regression Estimation and Signal Processing. </w:t>
      </w:r>
      <w:r w:rsidRPr="00774821">
        <w:rPr>
          <w:rFonts w:cs="Arial"/>
          <w:i/>
          <w:iCs/>
        </w:rPr>
        <w:t>Advances in Neural Information Processing Systems</w:t>
      </w:r>
      <w:r w:rsidRPr="00774821">
        <w:rPr>
          <w:rFonts w:cs="Arial"/>
        </w:rPr>
        <w:t xml:space="preserve">, </w:t>
      </w:r>
      <w:r w:rsidRPr="00774821">
        <w:rPr>
          <w:rFonts w:cs="Arial"/>
          <w:i/>
          <w:iCs/>
        </w:rPr>
        <w:t>9</w:t>
      </w:r>
      <w:r w:rsidRPr="00774821">
        <w:rPr>
          <w:rFonts w:cs="Arial"/>
        </w:rPr>
        <w:t>. https://proceedings.neurips.cc/paper_files/paper/1996/hash/4f284803bd0966cc24fa8683a34afc6e-Abstract.html</w:t>
      </w:r>
    </w:p>
    <w:p w14:paraId="06607A42" w14:textId="77777777" w:rsidR="00774821" w:rsidRPr="00774821" w:rsidRDefault="00774821" w:rsidP="00F72087">
      <w:pPr>
        <w:pStyle w:val="Bibliographie"/>
        <w:spacing w:line="240" w:lineRule="auto"/>
        <w:rPr>
          <w:rFonts w:cs="Arial"/>
        </w:rPr>
      </w:pPr>
      <w:r w:rsidRPr="00774821">
        <w:rPr>
          <w:rFonts w:cs="Arial"/>
        </w:rPr>
        <w:t xml:space="preserve">Vega-Ramon, F., Zhu, X., Savage, T. R., Petsagkourakis, P., Jing, K., &amp; Zhang, D. (2021). Kinetic and hybrid modeling for yeast astaxanthin production under uncertainty. </w:t>
      </w:r>
      <w:r w:rsidRPr="00774821">
        <w:rPr>
          <w:rFonts w:cs="Arial"/>
          <w:i/>
          <w:iCs/>
        </w:rPr>
        <w:t>Biotechnology and Bioengineering</w:t>
      </w:r>
      <w:r w:rsidRPr="00774821">
        <w:rPr>
          <w:rFonts w:cs="Arial"/>
        </w:rPr>
        <w:t xml:space="preserve">, </w:t>
      </w:r>
      <w:r w:rsidRPr="00774821">
        <w:rPr>
          <w:rFonts w:cs="Arial"/>
          <w:i/>
          <w:iCs/>
        </w:rPr>
        <w:t>118</w:t>
      </w:r>
      <w:r w:rsidRPr="00774821">
        <w:rPr>
          <w:rFonts w:cs="Arial"/>
        </w:rPr>
        <w:t>(12), 4854–4866. https://doi.org/10.1002/bit.27950</w:t>
      </w:r>
    </w:p>
    <w:p w14:paraId="19C4FC68" w14:textId="0F2A11D5" w:rsidR="004628D2" w:rsidRPr="005478A5" w:rsidRDefault="00D517F1" w:rsidP="00F72087">
      <w:pPr>
        <w:pStyle w:val="CETReferencetext"/>
        <w:spacing w:line="240" w:lineRule="auto"/>
        <w:ind w:left="0" w:firstLine="0"/>
      </w:pPr>
      <w:r>
        <w:fldChar w:fldCharType="end"/>
      </w:r>
    </w:p>
    <w:sectPr w:rsidR="004628D2" w:rsidRPr="005478A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85BC" w14:textId="77777777" w:rsidR="00D55007" w:rsidRDefault="00D55007" w:rsidP="004F5E36">
      <w:r>
        <w:separator/>
      </w:r>
    </w:p>
  </w:endnote>
  <w:endnote w:type="continuationSeparator" w:id="0">
    <w:p w14:paraId="227A3734" w14:textId="77777777" w:rsidR="00D55007" w:rsidRDefault="00D550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896A" w14:textId="77777777" w:rsidR="00D55007" w:rsidRDefault="00D55007" w:rsidP="004F5E36">
      <w:r>
        <w:separator/>
      </w:r>
    </w:p>
  </w:footnote>
  <w:footnote w:type="continuationSeparator" w:id="0">
    <w:p w14:paraId="006AB212" w14:textId="77777777" w:rsidR="00D55007" w:rsidRDefault="00D5500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34AAB52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38779A"/>
    <w:multiLevelType w:val="multilevel"/>
    <w:tmpl w:val="1D42C93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3D"/>
    <w:rsid w:val="00001C10"/>
    <w:rsid w:val="000027C0"/>
    <w:rsid w:val="000052FB"/>
    <w:rsid w:val="00005A19"/>
    <w:rsid w:val="000117CB"/>
    <w:rsid w:val="000166C7"/>
    <w:rsid w:val="00022674"/>
    <w:rsid w:val="0003148D"/>
    <w:rsid w:val="00031EEC"/>
    <w:rsid w:val="0003280D"/>
    <w:rsid w:val="000334D2"/>
    <w:rsid w:val="000409B6"/>
    <w:rsid w:val="0004422C"/>
    <w:rsid w:val="000449BB"/>
    <w:rsid w:val="00050B80"/>
    <w:rsid w:val="000512E2"/>
    <w:rsid w:val="00051566"/>
    <w:rsid w:val="000562A9"/>
    <w:rsid w:val="00056C75"/>
    <w:rsid w:val="00061152"/>
    <w:rsid w:val="00062A9A"/>
    <w:rsid w:val="000635C7"/>
    <w:rsid w:val="00065058"/>
    <w:rsid w:val="00071E11"/>
    <w:rsid w:val="00073F7D"/>
    <w:rsid w:val="00083300"/>
    <w:rsid w:val="0008624E"/>
    <w:rsid w:val="00086C39"/>
    <w:rsid w:val="00087FB1"/>
    <w:rsid w:val="00093AFA"/>
    <w:rsid w:val="0009444A"/>
    <w:rsid w:val="000959FC"/>
    <w:rsid w:val="00095D30"/>
    <w:rsid w:val="000A03B2"/>
    <w:rsid w:val="000A14AF"/>
    <w:rsid w:val="000A3516"/>
    <w:rsid w:val="000B353B"/>
    <w:rsid w:val="000B47B0"/>
    <w:rsid w:val="000B4D61"/>
    <w:rsid w:val="000C000C"/>
    <w:rsid w:val="000C129D"/>
    <w:rsid w:val="000C1AF9"/>
    <w:rsid w:val="000C28E5"/>
    <w:rsid w:val="000C3224"/>
    <w:rsid w:val="000C5446"/>
    <w:rsid w:val="000C7885"/>
    <w:rsid w:val="000D0268"/>
    <w:rsid w:val="000D34BE"/>
    <w:rsid w:val="000D3B6D"/>
    <w:rsid w:val="000E06DD"/>
    <w:rsid w:val="000E0B3C"/>
    <w:rsid w:val="000E102F"/>
    <w:rsid w:val="000E323F"/>
    <w:rsid w:val="000E36F1"/>
    <w:rsid w:val="000E3A73"/>
    <w:rsid w:val="000E414A"/>
    <w:rsid w:val="000E75FD"/>
    <w:rsid w:val="000F093C"/>
    <w:rsid w:val="000F64EB"/>
    <w:rsid w:val="000F71C7"/>
    <w:rsid w:val="000F787B"/>
    <w:rsid w:val="00100A65"/>
    <w:rsid w:val="001043FF"/>
    <w:rsid w:val="001058CF"/>
    <w:rsid w:val="00110433"/>
    <w:rsid w:val="0011082E"/>
    <w:rsid w:val="00115858"/>
    <w:rsid w:val="001165E6"/>
    <w:rsid w:val="0012091F"/>
    <w:rsid w:val="001212F6"/>
    <w:rsid w:val="001243CB"/>
    <w:rsid w:val="00126BC2"/>
    <w:rsid w:val="001308B6"/>
    <w:rsid w:val="0013119E"/>
    <w:rsid w:val="0013121F"/>
    <w:rsid w:val="00131FE6"/>
    <w:rsid w:val="0013263F"/>
    <w:rsid w:val="001331DF"/>
    <w:rsid w:val="00134DE4"/>
    <w:rsid w:val="0014034D"/>
    <w:rsid w:val="00140FE3"/>
    <w:rsid w:val="00144D16"/>
    <w:rsid w:val="00150E59"/>
    <w:rsid w:val="00152DE3"/>
    <w:rsid w:val="001545A3"/>
    <w:rsid w:val="00161E4A"/>
    <w:rsid w:val="001625C9"/>
    <w:rsid w:val="00162F99"/>
    <w:rsid w:val="001632BC"/>
    <w:rsid w:val="00163332"/>
    <w:rsid w:val="001634C1"/>
    <w:rsid w:val="001640B4"/>
    <w:rsid w:val="00164CF9"/>
    <w:rsid w:val="0016576F"/>
    <w:rsid w:val="001667A6"/>
    <w:rsid w:val="00172D07"/>
    <w:rsid w:val="00175C5E"/>
    <w:rsid w:val="00177B5D"/>
    <w:rsid w:val="0018171E"/>
    <w:rsid w:val="001833F2"/>
    <w:rsid w:val="00184AD6"/>
    <w:rsid w:val="00192F38"/>
    <w:rsid w:val="00193A42"/>
    <w:rsid w:val="001A0CD2"/>
    <w:rsid w:val="001A4AF7"/>
    <w:rsid w:val="001A5800"/>
    <w:rsid w:val="001B0349"/>
    <w:rsid w:val="001B1E93"/>
    <w:rsid w:val="001B2888"/>
    <w:rsid w:val="001B36F9"/>
    <w:rsid w:val="001B3E07"/>
    <w:rsid w:val="001B65C1"/>
    <w:rsid w:val="001C260F"/>
    <w:rsid w:val="001C5C3A"/>
    <w:rsid w:val="001C684B"/>
    <w:rsid w:val="001C6A29"/>
    <w:rsid w:val="001D0CFB"/>
    <w:rsid w:val="001D1A68"/>
    <w:rsid w:val="001D21AF"/>
    <w:rsid w:val="001D53FC"/>
    <w:rsid w:val="001E05BC"/>
    <w:rsid w:val="001E277A"/>
    <w:rsid w:val="001E71E7"/>
    <w:rsid w:val="001F42A5"/>
    <w:rsid w:val="001F719D"/>
    <w:rsid w:val="001F7B9D"/>
    <w:rsid w:val="00201C93"/>
    <w:rsid w:val="002048B5"/>
    <w:rsid w:val="0020507C"/>
    <w:rsid w:val="002054F9"/>
    <w:rsid w:val="00213C2E"/>
    <w:rsid w:val="00213F5C"/>
    <w:rsid w:val="002175B5"/>
    <w:rsid w:val="002224B4"/>
    <w:rsid w:val="00234F39"/>
    <w:rsid w:val="002421A2"/>
    <w:rsid w:val="00244056"/>
    <w:rsid w:val="002447EF"/>
    <w:rsid w:val="002449B7"/>
    <w:rsid w:val="00244AD5"/>
    <w:rsid w:val="00244BBA"/>
    <w:rsid w:val="00247A4A"/>
    <w:rsid w:val="00247E9E"/>
    <w:rsid w:val="00251550"/>
    <w:rsid w:val="00253EC3"/>
    <w:rsid w:val="00254B83"/>
    <w:rsid w:val="00256F24"/>
    <w:rsid w:val="0025734E"/>
    <w:rsid w:val="00263B05"/>
    <w:rsid w:val="00265761"/>
    <w:rsid w:val="002705F1"/>
    <w:rsid w:val="0027221A"/>
    <w:rsid w:val="00275B61"/>
    <w:rsid w:val="00280FAF"/>
    <w:rsid w:val="00282656"/>
    <w:rsid w:val="00282D5C"/>
    <w:rsid w:val="0028409B"/>
    <w:rsid w:val="00293A8C"/>
    <w:rsid w:val="002951C1"/>
    <w:rsid w:val="002952D6"/>
    <w:rsid w:val="00295A66"/>
    <w:rsid w:val="00296B83"/>
    <w:rsid w:val="002A0B5D"/>
    <w:rsid w:val="002A15F2"/>
    <w:rsid w:val="002A65A5"/>
    <w:rsid w:val="002A65C7"/>
    <w:rsid w:val="002B0625"/>
    <w:rsid w:val="002B4015"/>
    <w:rsid w:val="002B78CE"/>
    <w:rsid w:val="002C1DCC"/>
    <w:rsid w:val="002C204D"/>
    <w:rsid w:val="002C25C5"/>
    <w:rsid w:val="002C2FB6"/>
    <w:rsid w:val="002C4234"/>
    <w:rsid w:val="002C5D6A"/>
    <w:rsid w:val="002C68C4"/>
    <w:rsid w:val="002D6B3D"/>
    <w:rsid w:val="002D6C11"/>
    <w:rsid w:val="002E3B90"/>
    <w:rsid w:val="002E3F39"/>
    <w:rsid w:val="002E5FA7"/>
    <w:rsid w:val="002F052D"/>
    <w:rsid w:val="002F23E9"/>
    <w:rsid w:val="002F3309"/>
    <w:rsid w:val="002F67C7"/>
    <w:rsid w:val="003008CE"/>
    <w:rsid w:val="003009A2"/>
    <w:rsid w:val="003009B7"/>
    <w:rsid w:val="00300E56"/>
    <w:rsid w:val="0030152C"/>
    <w:rsid w:val="0030469C"/>
    <w:rsid w:val="00314D76"/>
    <w:rsid w:val="00321CA6"/>
    <w:rsid w:val="00323763"/>
    <w:rsid w:val="00323C5F"/>
    <w:rsid w:val="00325A21"/>
    <w:rsid w:val="00334C09"/>
    <w:rsid w:val="00340798"/>
    <w:rsid w:val="0034192F"/>
    <w:rsid w:val="0034305A"/>
    <w:rsid w:val="00344513"/>
    <w:rsid w:val="0035033E"/>
    <w:rsid w:val="00356A6E"/>
    <w:rsid w:val="00356AB4"/>
    <w:rsid w:val="003723D4"/>
    <w:rsid w:val="00376364"/>
    <w:rsid w:val="00376C82"/>
    <w:rsid w:val="00380275"/>
    <w:rsid w:val="00381905"/>
    <w:rsid w:val="00384CC8"/>
    <w:rsid w:val="003871FD"/>
    <w:rsid w:val="003904D3"/>
    <w:rsid w:val="00391187"/>
    <w:rsid w:val="00396029"/>
    <w:rsid w:val="00396454"/>
    <w:rsid w:val="00396517"/>
    <w:rsid w:val="003A1E30"/>
    <w:rsid w:val="003A2829"/>
    <w:rsid w:val="003A3990"/>
    <w:rsid w:val="003A7D1C"/>
    <w:rsid w:val="003B304B"/>
    <w:rsid w:val="003B3146"/>
    <w:rsid w:val="003B49CD"/>
    <w:rsid w:val="003B7DDA"/>
    <w:rsid w:val="003C3057"/>
    <w:rsid w:val="003C3CDA"/>
    <w:rsid w:val="003C4360"/>
    <w:rsid w:val="003C6A88"/>
    <w:rsid w:val="003D06A5"/>
    <w:rsid w:val="003D1E02"/>
    <w:rsid w:val="003D6D98"/>
    <w:rsid w:val="003D7FE6"/>
    <w:rsid w:val="003E337C"/>
    <w:rsid w:val="003E69AA"/>
    <w:rsid w:val="003F015E"/>
    <w:rsid w:val="003F0E7D"/>
    <w:rsid w:val="003F5E34"/>
    <w:rsid w:val="00400414"/>
    <w:rsid w:val="00401372"/>
    <w:rsid w:val="00404132"/>
    <w:rsid w:val="004041A6"/>
    <w:rsid w:val="0040485E"/>
    <w:rsid w:val="0041053A"/>
    <w:rsid w:val="0041446B"/>
    <w:rsid w:val="00415DD0"/>
    <w:rsid w:val="00423489"/>
    <w:rsid w:val="00424BF7"/>
    <w:rsid w:val="00424F76"/>
    <w:rsid w:val="004400AB"/>
    <w:rsid w:val="0044071E"/>
    <w:rsid w:val="00440812"/>
    <w:rsid w:val="0044329C"/>
    <w:rsid w:val="004507BE"/>
    <w:rsid w:val="00453E24"/>
    <w:rsid w:val="0045419C"/>
    <w:rsid w:val="00457456"/>
    <w:rsid w:val="0045775C"/>
    <w:rsid w:val="004577FE"/>
    <w:rsid w:val="00457B9C"/>
    <w:rsid w:val="0046164A"/>
    <w:rsid w:val="004628D2"/>
    <w:rsid w:val="00462DCD"/>
    <w:rsid w:val="00462E47"/>
    <w:rsid w:val="004648AD"/>
    <w:rsid w:val="004703A9"/>
    <w:rsid w:val="00471685"/>
    <w:rsid w:val="004760DE"/>
    <w:rsid w:val="004761E9"/>
    <w:rsid w:val="004763D7"/>
    <w:rsid w:val="0048324F"/>
    <w:rsid w:val="004838DB"/>
    <w:rsid w:val="00484A12"/>
    <w:rsid w:val="00495D02"/>
    <w:rsid w:val="004A004E"/>
    <w:rsid w:val="004A16BF"/>
    <w:rsid w:val="004A24CF"/>
    <w:rsid w:val="004A6EBA"/>
    <w:rsid w:val="004B424F"/>
    <w:rsid w:val="004B5F84"/>
    <w:rsid w:val="004C3D1D"/>
    <w:rsid w:val="004C3D84"/>
    <w:rsid w:val="004C3E0F"/>
    <w:rsid w:val="004C646C"/>
    <w:rsid w:val="004C654D"/>
    <w:rsid w:val="004C6973"/>
    <w:rsid w:val="004C6B32"/>
    <w:rsid w:val="004C7913"/>
    <w:rsid w:val="004D15EF"/>
    <w:rsid w:val="004D5928"/>
    <w:rsid w:val="004D73C9"/>
    <w:rsid w:val="004E05CF"/>
    <w:rsid w:val="004E2B84"/>
    <w:rsid w:val="004E4179"/>
    <w:rsid w:val="004E4DD6"/>
    <w:rsid w:val="004E5DBE"/>
    <w:rsid w:val="004F2BE0"/>
    <w:rsid w:val="004F5E36"/>
    <w:rsid w:val="004F661A"/>
    <w:rsid w:val="004F77D7"/>
    <w:rsid w:val="00500B48"/>
    <w:rsid w:val="005042EC"/>
    <w:rsid w:val="00505F80"/>
    <w:rsid w:val="00507B47"/>
    <w:rsid w:val="00507BEF"/>
    <w:rsid w:val="00507CC9"/>
    <w:rsid w:val="00510302"/>
    <w:rsid w:val="005119A5"/>
    <w:rsid w:val="00515BB3"/>
    <w:rsid w:val="005265EA"/>
    <w:rsid w:val="005278B7"/>
    <w:rsid w:val="00531143"/>
    <w:rsid w:val="00532016"/>
    <w:rsid w:val="005346C8"/>
    <w:rsid w:val="00535985"/>
    <w:rsid w:val="00543547"/>
    <w:rsid w:val="00543E7D"/>
    <w:rsid w:val="005478A5"/>
    <w:rsid w:val="00547A68"/>
    <w:rsid w:val="005531C9"/>
    <w:rsid w:val="00554879"/>
    <w:rsid w:val="00570C43"/>
    <w:rsid w:val="00570E7B"/>
    <w:rsid w:val="00575E62"/>
    <w:rsid w:val="00582096"/>
    <w:rsid w:val="00584768"/>
    <w:rsid w:val="005849C0"/>
    <w:rsid w:val="00584DE7"/>
    <w:rsid w:val="00584ED1"/>
    <w:rsid w:val="00585C6B"/>
    <w:rsid w:val="00586625"/>
    <w:rsid w:val="00592274"/>
    <w:rsid w:val="005A64BE"/>
    <w:rsid w:val="005B2110"/>
    <w:rsid w:val="005B350B"/>
    <w:rsid w:val="005B3B02"/>
    <w:rsid w:val="005B4F15"/>
    <w:rsid w:val="005B5E31"/>
    <w:rsid w:val="005B61E6"/>
    <w:rsid w:val="005C2B4F"/>
    <w:rsid w:val="005C55FF"/>
    <w:rsid w:val="005C77E1"/>
    <w:rsid w:val="005D40AE"/>
    <w:rsid w:val="005D44F4"/>
    <w:rsid w:val="005D5ADE"/>
    <w:rsid w:val="005D668A"/>
    <w:rsid w:val="005D6A2F"/>
    <w:rsid w:val="005E0592"/>
    <w:rsid w:val="005E1A82"/>
    <w:rsid w:val="005E794C"/>
    <w:rsid w:val="005F0A28"/>
    <w:rsid w:val="005F0A39"/>
    <w:rsid w:val="005F0E5E"/>
    <w:rsid w:val="005F7E00"/>
    <w:rsid w:val="00600535"/>
    <w:rsid w:val="0060371F"/>
    <w:rsid w:val="006047B0"/>
    <w:rsid w:val="00605929"/>
    <w:rsid w:val="00606944"/>
    <w:rsid w:val="00610CD6"/>
    <w:rsid w:val="00611BD7"/>
    <w:rsid w:val="0061242F"/>
    <w:rsid w:val="00613353"/>
    <w:rsid w:val="0061762F"/>
    <w:rsid w:val="006202EA"/>
    <w:rsid w:val="00620DEE"/>
    <w:rsid w:val="00621588"/>
    <w:rsid w:val="00621F92"/>
    <w:rsid w:val="0062280A"/>
    <w:rsid w:val="006231E1"/>
    <w:rsid w:val="00625639"/>
    <w:rsid w:val="006262D2"/>
    <w:rsid w:val="00626FCC"/>
    <w:rsid w:val="00631B33"/>
    <w:rsid w:val="00636F37"/>
    <w:rsid w:val="0064184D"/>
    <w:rsid w:val="006422CC"/>
    <w:rsid w:val="00645E7B"/>
    <w:rsid w:val="006476FC"/>
    <w:rsid w:val="00651D18"/>
    <w:rsid w:val="00657607"/>
    <w:rsid w:val="00660E3E"/>
    <w:rsid w:val="00662E74"/>
    <w:rsid w:val="006656F8"/>
    <w:rsid w:val="0066743B"/>
    <w:rsid w:val="006712D1"/>
    <w:rsid w:val="00680C23"/>
    <w:rsid w:val="00683E23"/>
    <w:rsid w:val="00693766"/>
    <w:rsid w:val="006A002C"/>
    <w:rsid w:val="006A3281"/>
    <w:rsid w:val="006A32E6"/>
    <w:rsid w:val="006A6DE5"/>
    <w:rsid w:val="006B1219"/>
    <w:rsid w:val="006B4888"/>
    <w:rsid w:val="006B4980"/>
    <w:rsid w:val="006B7BC2"/>
    <w:rsid w:val="006C2E45"/>
    <w:rsid w:val="006C359C"/>
    <w:rsid w:val="006C5579"/>
    <w:rsid w:val="006C787A"/>
    <w:rsid w:val="006D5774"/>
    <w:rsid w:val="006D6E8B"/>
    <w:rsid w:val="006D7209"/>
    <w:rsid w:val="006E37C2"/>
    <w:rsid w:val="006E4DD6"/>
    <w:rsid w:val="006E5609"/>
    <w:rsid w:val="006E737D"/>
    <w:rsid w:val="006F1A9C"/>
    <w:rsid w:val="006F2341"/>
    <w:rsid w:val="006F2A60"/>
    <w:rsid w:val="006F74A8"/>
    <w:rsid w:val="00700EEC"/>
    <w:rsid w:val="00701173"/>
    <w:rsid w:val="00702501"/>
    <w:rsid w:val="00704971"/>
    <w:rsid w:val="007054DE"/>
    <w:rsid w:val="00707351"/>
    <w:rsid w:val="00707DD1"/>
    <w:rsid w:val="00711AC2"/>
    <w:rsid w:val="00713973"/>
    <w:rsid w:val="00714210"/>
    <w:rsid w:val="00715D69"/>
    <w:rsid w:val="00720A24"/>
    <w:rsid w:val="00726933"/>
    <w:rsid w:val="00732310"/>
    <w:rsid w:val="00732386"/>
    <w:rsid w:val="0073514D"/>
    <w:rsid w:val="007352B2"/>
    <w:rsid w:val="00742626"/>
    <w:rsid w:val="00743AFE"/>
    <w:rsid w:val="007447F3"/>
    <w:rsid w:val="00751A29"/>
    <w:rsid w:val="0075434A"/>
    <w:rsid w:val="0075499F"/>
    <w:rsid w:val="00756F8A"/>
    <w:rsid w:val="00762274"/>
    <w:rsid w:val="007661C8"/>
    <w:rsid w:val="007668AE"/>
    <w:rsid w:val="0077098D"/>
    <w:rsid w:val="00771251"/>
    <w:rsid w:val="00771746"/>
    <w:rsid w:val="007727BF"/>
    <w:rsid w:val="007743B0"/>
    <w:rsid w:val="00774821"/>
    <w:rsid w:val="00783121"/>
    <w:rsid w:val="00785BF9"/>
    <w:rsid w:val="007931FA"/>
    <w:rsid w:val="00796A84"/>
    <w:rsid w:val="007A1B07"/>
    <w:rsid w:val="007A1C21"/>
    <w:rsid w:val="007A2615"/>
    <w:rsid w:val="007A4861"/>
    <w:rsid w:val="007A4C59"/>
    <w:rsid w:val="007A7BBA"/>
    <w:rsid w:val="007B0C50"/>
    <w:rsid w:val="007B10C6"/>
    <w:rsid w:val="007B114F"/>
    <w:rsid w:val="007B41A4"/>
    <w:rsid w:val="007B48F9"/>
    <w:rsid w:val="007B5F67"/>
    <w:rsid w:val="007B790C"/>
    <w:rsid w:val="007C1A43"/>
    <w:rsid w:val="007C7EAA"/>
    <w:rsid w:val="007D0951"/>
    <w:rsid w:val="007D0DD7"/>
    <w:rsid w:val="007D1856"/>
    <w:rsid w:val="007D248B"/>
    <w:rsid w:val="007D610D"/>
    <w:rsid w:val="007E2ACB"/>
    <w:rsid w:val="007E2F4D"/>
    <w:rsid w:val="007E5552"/>
    <w:rsid w:val="007F1285"/>
    <w:rsid w:val="007F266B"/>
    <w:rsid w:val="007F4BB5"/>
    <w:rsid w:val="0080013E"/>
    <w:rsid w:val="00801759"/>
    <w:rsid w:val="00803A19"/>
    <w:rsid w:val="00810217"/>
    <w:rsid w:val="008102D2"/>
    <w:rsid w:val="0081248F"/>
    <w:rsid w:val="00812C2F"/>
    <w:rsid w:val="00813288"/>
    <w:rsid w:val="0081378B"/>
    <w:rsid w:val="00814EC7"/>
    <w:rsid w:val="008168FC"/>
    <w:rsid w:val="00820D37"/>
    <w:rsid w:val="008228AA"/>
    <w:rsid w:val="00824B0F"/>
    <w:rsid w:val="00830996"/>
    <w:rsid w:val="008345F1"/>
    <w:rsid w:val="0083793A"/>
    <w:rsid w:val="0084304F"/>
    <w:rsid w:val="0084404A"/>
    <w:rsid w:val="00844347"/>
    <w:rsid w:val="00847ACE"/>
    <w:rsid w:val="00851FA7"/>
    <w:rsid w:val="00852DA0"/>
    <w:rsid w:val="00853871"/>
    <w:rsid w:val="00856CD4"/>
    <w:rsid w:val="00860C5D"/>
    <w:rsid w:val="0086532F"/>
    <w:rsid w:val="00865B07"/>
    <w:rsid w:val="0086667C"/>
    <w:rsid w:val="008667EA"/>
    <w:rsid w:val="00866AEA"/>
    <w:rsid w:val="0087041D"/>
    <w:rsid w:val="008723CC"/>
    <w:rsid w:val="0087637F"/>
    <w:rsid w:val="00877F23"/>
    <w:rsid w:val="00881849"/>
    <w:rsid w:val="008818FA"/>
    <w:rsid w:val="00881E18"/>
    <w:rsid w:val="008832AA"/>
    <w:rsid w:val="00885C54"/>
    <w:rsid w:val="00892AD5"/>
    <w:rsid w:val="008972B7"/>
    <w:rsid w:val="00897783"/>
    <w:rsid w:val="008A1512"/>
    <w:rsid w:val="008A16CE"/>
    <w:rsid w:val="008A57DD"/>
    <w:rsid w:val="008A5AE6"/>
    <w:rsid w:val="008A680B"/>
    <w:rsid w:val="008B184C"/>
    <w:rsid w:val="008B7899"/>
    <w:rsid w:val="008C18AC"/>
    <w:rsid w:val="008C2E58"/>
    <w:rsid w:val="008C4D40"/>
    <w:rsid w:val="008D17C5"/>
    <w:rsid w:val="008D32B9"/>
    <w:rsid w:val="008D433B"/>
    <w:rsid w:val="008D4A16"/>
    <w:rsid w:val="008E2D7F"/>
    <w:rsid w:val="008E308F"/>
    <w:rsid w:val="008E5401"/>
    <w:rsid w:val="008E566E"/>
    <w:rsid w:val="008E7DFB"/>
    <w:rsid w:val="008F0084"/>
    <w:rsid w:val="008F06CA"/>
    <w:rsid w:val="008F6F58"/>
    <w:rsid w:val="0090161A"/>
    <w:rsid w:val="00901EB6"/>
    <w:rsid w:val="009041F8"/>
    <w:rsid w:val="00904C62"/>
    <w:rsid w:val="00905A19"/>
    <w:rsid w:val="00907EC6"/>
    <w:rsid w:val="00910D9B"/>
    <w:rsid w:val="0091641E"/>
    <w:rsid w:val="009171E3"/>
    <w:rsid w:val="009228A5"/>
    <w:rsid w:val="00922BA8"/>
    <w:rsid w:val="00924DAC"/>
    <w:rsid w:val="0092594D"/>
    <w:rsid w:val="00927058"/>
    <w:rsid w:val="00933FDA"/>
    <w:rsid w:val="00942750"/>
    <w:rsid w:val="00944A61"/>
    <w:rsid w:val="009450CE"/>
    <w:rsid w:val="009459BB"/>
    <w:rsid w:val="00947179"/>
    <w:rsid w:val="0095164B"/>
    <w:rsid w:val="009531A7"/>
    <w:rsid w:val="00954090"/>
    <w:rsid w:val="009573E7"/>
    <w:rsid w:val="00963E05"/>
    <w:rsid w:val="00964A45"/>
    <w:rsid w:val="009652B2"/>
    <w:rsid w:val="00967843"/>
    <w:rsid w:val="00967D54"/>
    <w:rsid w:val="00971028"/>
    <w:rsid w:val="00972C03"/>
    <w:rsid w:val="009751F2"/>
    <w:rsid w:val="00976ACF"/>
    <w:rsid w:val="009770C8"/>
    <w:rsid w:val="00981EC1"/>
    <w:rsid w:val="00983A95"/>
    <w:rsid w:val="00992078"/>
    <w:rsid w:val="00993B84"/>
    <w:rsid w:val="00993F9E"/>
    <w:rsid w:val="00994C6A"/>
    <w:rsid w:val="00994DBF"/>
    <w:rsid w:val="00996483"/>
    <w:rsid w:val="00996F5A"/>
    <w:rsid w:val="009A1055"/>
    <w:rsid w:val="009A2FFD"/>
    <w:rsid w:val="009B041A"/>
    <w:rsid w:val="009B24C3"/>
    <w:rsid w:val="009C37C3"/>
    <w:rsid w:val="009C7C86"/>
    <w:rsid w:val="009D2FF7"/>
    <w:rsid w:val="009D3FB3"/>
    <w:rsid w:val="009D506B"/>
    <w:rsid w:val="009E58FC"/>
    <w:rsid w:val="009E7884"/>
    <w:rsid w:val="009E788A"/>
    <w:rsid w:val="009F051C"/>
    <w:rsid w:val="009F0E08"/>
    <w:rsid w:val="009F1EC5"/>
    <w:rsid w:val="009F3C8A"/>
    <w:rsid w:val="009F3CFB"/>
    <w:rsid w:val="009F402B"/>
    <w:rsid w:val="00A01E26"/>
    <w:rsid w:val="00A03B54"/>
    <w:rsid w:val="00A079AE"/>
    <w:rsid w:val="00A07D4F"/>
    <w:rsid w:val="00A13800"/>
    <w:rsid w:val="00A14CF4"/>
    <w:rsid w:val="00A156B2"/>
    <w:rsid w:val="00A1763D"/>
    <w:rsid w:val="00A17CEC"/>
    <w:rsid w:val="00A248B6"/>
    <w:rsid w:val="00A2667F"/>
    <w:rsid w:val="00A268F7"/>
    <w:rsid w:val="00A27EF0"/>
    <w:rsid w:val="00A3240D"/>
    <w:rsid w:val="00A330A6"/>
    <w:rsid w:val="00A40E9B"/>
    <w:rsid w:val="00A41032"/>
    <w:rsid w:val="00A4223B"/>
    <w:rsid w:val="00A42361"/>
    <w:rsid w:val="00A42CDA"/>
    <w:rsid w:val="00A50B20"/>
    <w:rsid w:val="00A51390"/>
    <w:rsid w:val="00A57C88"/>
    <w:rsid w:val="00A60D13"/>
    <w:rsid w:val="00A6746C"/>
    <w:rsid w:val="00A7223D"/>
    <w:rsid w:val="00A72745"/>
    <w:rsid w:val="00A73614"/>
    <w:rsid w:val="00A7660C"/>
    <w:rsid w:val="00A76E95"/>
    <w:rsid w:val="00A76EFC"/>
    <w:rsid w:val="00A87D50"/>
    <w:rsid w:val="00A91010"/>
    <w:rsid w:val="00A96341"/>
    <w:rsid w:val="00A97F29"/>
    <w:rsid w:val="00AA702E"/>
    <w:rsid w:val="00AA79CB"/>
    <w:rsid w:val="00AA7D26"/>
    <w:rsid w:val="00AB0964"/>
    <w:rsid w:val="00AB0B44"/>
    <w:rsid w:val="00AB5011"/>
    <w:rsid w:val="00AC5A5A"/>
    <w:rsid w:val="00AC7368"/>
    <w:rsid w:val="00AD077D"/>
    <w:rsid w:val="00AD16B9"/>
    <w:rsid w:val="00AD2C1E"/>
    <w:rsid w:val="00AD56EB"/>
    <w:rsid w:val="00AD5DD6"/>
    <w:rsid w:val="00AE055B"/>
    <w:rsid w:val="00AE05D7"/>
    <w:rsid w:val="00AE0D01"/>
    <w:rsid w:val="00AE32C7"/>
    <w:rsid w:val="00AE377D"/>
    <w:rsid w:val="00AF0EBA"/>
    <w:rsid w:val="00AF2463"/>
    <w:rsid w:val="00AF3C45"/>
    <w:rsid w:val="00AF4BB1"/>
    <w:rsid w:val="00B02C8A"/>
    <w:rsid w:val="00B15BE8"/>
    <w:rsid w:val="00B17056"/>
    <w:rsid w:val="00B179EE"/>
    <w:rsid w:val="00B17FBD"/>
    <w:rsid w:val="00B260CC"/>
    <w:rsid w:val="00B265AD"/>
    <w:rsid w:val="00B315A6"/>
    <w:rsid w:val="00B31813"/>
    <w:rsid w:val="00B33365"/>
    <w:rsid w:val="00B35A30"/>
    <w:rsid w:val="00B47A2D"/>
    <w:rsid w:val="00B50FBD"/>
    <w:rsid w:val="00B53317"/>
    <w:rsid w:val="00B53B79"/>
    <w:rsid w:val="00B53DF5"/>
    <w:rsid w:val="00B53F8E"/>
    <w:rsid w:val="00B57B36"/>
    <w:rsid w:val="00B57E6F"/>
    <w:rsid w:val="00B6088E"/>
    <w:rsid w:val="00B707C8"/>
    <w:rsid w:val="00B71CA7"/>
    <w:rsid w:val="00B7530E"/>
    <w:rsid w:val="00B761B8"/>
    <w:rsid w:val="00B80885"/>
    <w:rsid w:val="00B8686D"/>
    <w:rsid w:val="00B86E98"/>
    <w:rsid w:val="00B93F69"/>
    <w:rsid w:val="00B941C0"/>
    <w:rsid w:val="00BA6D46"/>
    <w:rsid w:val="00BA73D9"/>
    <w:rsid w:val="00BB1DDC"/>
    <w:rsid w:val="00BB4A19"/>
    <w:rsid w:val="00BB5DB2"/>
    <w:rsid w:val="00BB74D0"/>
    <w:rsid w:val="00BC30C9"/>
    <w:rsid w:val="00BD077D"/>
    <w:rsid w:val="00BD0C17"/>
    <w:rsid w:val="00BD3C91"/>
    <w:rsid w:val="00BD46B9"/>
    <w:rsid w:val="00BD486A"/>
    <w:rsid w:val="00BE24C5"/>
    <w:rsid w:val="00BE35B8"/>
    <w:rsid w:val="00BE3E58"/>
    <w:rsid w:val="00BE44E0"/>
    <w:rsid w:val="00BE7BD4"/>
    <w:rsid w:val="00BF13CE"/>
    <w:rsid w:val="00BF29B2"/>
    <w:rsid w:val="00BF329C"/>
    <w:rsid w:val="00C007CF"/>
    <w:rsid w:val="00C01616"/>
    <w:rsid w:val="00C0162B"/>
    <w:rsid w:val="00C068ED"/>
    <w:rsid w:val="00C071C0"/>
    <w:rsid w:val="00C12F51"/>
    <w:rsid w:val="00C1573A"/>
    <w:rsid w:val="00C15783"/>
    <w:rsid w:val="00C22E0C"/>
    <w:rsid w:val="00C26529"/>
    <w:rsid w:val="00C26D06"/>
    <w:rsid w:val="00C3041F"/>
    <w:rsid w:val="00C3129A"/>
    <w:rsid w:val="00C32C7D"/>
    <w:rsid w:val="00C33035"/>
    <w:rsid w:val="00C345B1"/>
    <w:rsid w:val="00C40142"/>
    <w:rsid w:val="00C44FF7"/>
    <w:rsid w:val="00C50B3C"/>
    <w:rsid w:val="00C5216E"/>
    <w:rsid w:val="00C52C3C"/>
    <w:rsid w:val="00C5320D"/>
    <w:rsid w:val="00C53F10"/>
    <w:rsid w:val="00C5455F"/>
    <w:rsid w:val="00C57182"/>
    <w:rsid w:val="00C57863"/>
    <w:rsid w:val="00C57E8C"/>
    <w:rsid w:val="00C640AF"/>
    <w:rsid w:val="00C655FD"/>
    <w:rsid w:val="00C6787A"/>
    <w:rsid w:val="00C70EEF"/>
    <w:rsid w:val="00C720BE"/>
    <w:rsid w:val="00C7357B"/>
    <w:rsid w:val="00C73D12"/>
    <w:rsid w:val="00C75407"/>
    <w:rsid w:val="00C810BD"/>
    <w:rsid w:val="00C813BB"/>
    <w:rsid w:val="00C81E7D"/>
    <w:rsid w:val="00C8396B"/>
    <w:rsid w:val="00C841C6"/>
    <w:rsid w:val="00C870A8"/>
    <w:rsid w:val="00C91343"/>
    <w:rsid w:val="00C93147"/>
    <w:rsid w:val="00C94434"/>
    <w:rsid w:val="00C96D87"/>
    <w:rsid w:val="00CA0D75"/>
    <w:rsid w:val="00CA1C95"/>
    <w:rsid w:val="00CA2914"/>
    <w:rsid w:val="00CA5A9C"/>
    <w:rsid w:val="00CA73C4"/>
    <w:rsid w:val="00CB095A"/>
    <w:rsid w:val="00CB0D90"/>
    <w:rsid w:val="00CB1107"/>
    <w:rsid w:val="00CB7CB1"/>
    <w:rsid w:val="00CC24E6"/>
    <w:rsid w:val="00CC4C20"/>
    <w:rsid w:val="00CC6E24"/>
    <w:rsid w:val="00CD3517"/>
    <w:rsid w:val="00CD4AFA"/>
    <w:rsid w:val="00CD5FE2"/>
    <w:rsid w:val="00CE134B"/>
    <w:rsid w:val="00CE4340"/>
    <w:rsid w:val="00CE7C68"/>
    <w:rsid w:val="00CF49DC"/>
    <w:rsid w:val="00CF7B27"/>
    <w:rsid w:val="00D028D7"/>
    <w:rsid w:val="00D02B4C"/>
    <w:rsid w:val="00D040C4"/>
    <w:rsid w:val="00D06ECE"/>
    <w:rsid w:val="00D20AD1"/>
    <w:rsid w:val="00D2582C"/>
    <w:rsid w:val="00D27F60"/>
    <w:rsid w:val="00D408D2"/>
    <w:rsid w:val="00D42E6E"/>
    <w:rsid w:val="00D46B7E"/>
    <w:rsid w:val="00D47757"/>
    <w:rsid w:val="00D47A0C"/>
    <w:rsid w:val="00D47BA3"/>
    <w:rsid w:val="00D517F1"/>
    <w:rsid w:val="00D55007"/>
    <w:rsid w:val="00D5531A"/>
    <w:rsid w:val="00D57C84"/>
    <w:rsid w:val="00D6057D"/>
    <w:rsid w:val="00D6208D"/>
    <w:rsid w:val="00D62476"/>
    <w:rsid w:val="00D71640"/>
    <w:rsid w:val="00D73FD9"/>
    <w:rsid w:val="00D74300"/>
    <w:rsid w:val="00D836C5"/>
    <w:rsid w:val="00D84576"/>
    <w:rsid w:val="00D8534B"/>
    <w:rsid w:val="00D9739E"/>
    <w:rsid w:val="00DA1399"/>
    <w:rsid w:val="00DA1CF8"/>
    <w:rsid w:val="00DA24C6"/>
    <w:rsid w:val="00DA2E21"/>
    <w:rsid w:val="00DA4D7B"/>
    <w:rsid w:val="00DB031D"/>
    <w:rsid w:val="00DB05AA"/>
    <w:rsid w:val="00DB3FB4"/>
    <w:rsid w:val="00DB3FDD"/>
    <w:rsid w:val="00DB754D"/>
    <w:rsid w:val="00DC0CB0"/>
    <w:rsid w:val="00DC2840"/>
    <w:rsid w:val="00DC333F"/>
    <w:rsid w:val="00DC3F41"/>
    <w:rsid w:val="00DC5208"/>
    <w:rsid w:val="00DC71D2"/>
    <w:rsid w:val="00DC73EE"/>
    <w:rsid w:val="00DC79D6"/>
    <w:rsid w:val="00DD2211"/>
    <w:rsid w:val="00DD271C"/>
    <w:rsid w:val="00DD3CB0"/>
    <w:rsid w:val="00DD53A8"/>
    <w:rsid w:val="00DD6372"/>
    <w:rsid w:val="00DE264A"/>
    <w:rsid w:val="00DE4F42"/>
    <w:rsid w:val="00DE6251"/>
    <w:rsid w:val="00DE6842"/>
    <w:rsid w:val="00DF5072"/>
    <w:rsid w:val="00DF77D5"/>
    <w:rsid w:val="00E0074A"/>
    <w:rsid w:val="00E02D18"/>
    <w:rsid w:val="00E041E7"/>
    <w:rsid w:val="00E117E6"/>
    <w:rsid w:val="00E134A9"/>
    <w:rsid w:val="00E13BC3"/>
    <w:rsid w:val="00E20A72"/>
    <w:rsid w:val="00E2142C"/>
    <w:rsid w:val="00E23CA1"/>
    <w:rsid w:val="00E31F73"/>
    <w:rsid w:val="00E35A8C"/>
    <w:rsid w:val="00E40037"/>
    <w:rsid w:val="00E409A8"/>
    <w:rsid w:val="00E43A30"/>
    <w:rsid w:val="00E4419E"/>
    <w:rsid w:val="00E4471A"/>
    <w:rsid w:val="00E479CC"/>
    <w:rsid w:val="00E50C12"/>
    <w:rsid w:val="00E50C86"/>
    <w:rsid w:val="00E546CC"/>
    <w:rsid w:val="00E55132"/>
    <w:rsid w:val="00E5647A"/>
    <w:rsid w:val="00E56EC2"/>
    <w:rsid w:val="00E577B1"/>
    <w:rsid w:val="00E60C99"/>
    <w:rsid w:val="00E64825"/>
    <w:rsid w:val="00E65B91"/>
    <w:rsid w:val="00E672A9"/>
    <w:rsid w:val="00E67B6C"/>
    <w:rsid w:val="00E70072"/>
    <w:rsid w:val="00E70B10"/>
    <w:rsid w:val="00E71CEA"/>
    <w:rsid w:val="00E7209D"/>
    <w:rsid w:val="00E72EAD"/>
    <w:rsid w:val="00E749C8"/>
    <w:rsid w:val="00E77223"/>
    <w:rsid w:val="00E80CDE"/>
    <w:rsid w:val="00E8387D"/>
    <w:rsid w:val="00E840DF"/>
    <w:rsid w:val="00E8528B"/>
    <w:rsid w:val="00E85B94"/>
    <w:rsid w:val="00E8636D"/>
    <w:rsid w:val="00E978D0"/>
    <w:rsid w:val="00E979CD"/>
    <w:rsid w:val="00EA1DAD"/>
    <w:rsid w:val="00EA4613"/>
    <w:rsid w:val="00EA7F91"/>
    <w:rsid w:val="00EB0CAA"/>
    <w:rsid w:val="00EB1523"/>
    <w:rsid w:val="00EB5219"/>
    <w:rsid w:val="00EB71E0"/>
    <w:rsid w:val="00EC0E49"/>
    <w:rsid w:val="00EC101F"/>
    <w:rsid w:val="00EC1D9F"/>
    <w:rsid w:val="00EC27F4"/>
    <w:rsid w:val="00EC4340"/>
    <w:rsid w:val="00EC454C"/>
    <w:rsid w:val="00EC4790"/>
    <w:rsid w:val="00EC5551"/>
    <w:rsid w:val="00EC7126"/>
    <w:rsid w:val="00EC7F5E"/>
    <w:rsid w:val="00ED270D"/>
    <w:rsid w:val="00ED7E5E"/>
    <w:rsid w:val="00EE0131"/>
    <w:rsid w:val="00EE17B0"/>
    <w:rsid w:val="00EE62EA"/>
    <w:rsid w:val="00EE6CFC"/>
    <w:rsid w:val="00EF06D9"/>
    <w:rsid w:val="00EF3DC5"/>
    <w:rsid w:val="00EF678A"/>
    <w:rsid w:val="00F05D26"/>
    <w:rsid w:val="00F06186"/>
    <w:rsid w:val="00F07004"/>
    <w:rsid w:val="00F10FC6"/>
    <w:rsid w:val="00F14EB7"/>
    <w:rsid w:val="00F3049E"/>
    <w:rsid w:val="00F30C64"/>
    <w:rsid w:val="00F32B59"/>
    <w:rsid w:val="00F32BA2"/>
    <w:rsid w:val="00F32CDB"/>
    <w:rsid w:val="00F32D13"/>
    <w:rsid w:val="00F335D2"/>
    <w:rsid w:val="00F347D1"/>
    <w:rsid w:val="00F41EE4"/>
    <w:rsid w:val="00F425A7"/>
    <w:rsid w:val="00F47ACF"/>
    <w:rsid w:val="00F52B67"/>
    <w:rsid w:val="00F52BA2"/>
    <w:rsid w:val="00F565FE"/>
    <w:rsid w:val="00F60199"/>
    <w:rsid w:val="00F63A05"/>
    <w:rsid w:val="00F63A70"/>
    <w:rsid w:val="00F63D8C"/>
    <w:rsid w:val="00F645BF"/>
    <w:rsid w:val="00F6680E"/>
    <w:rsid w:val="00F72087"/>
    <w:rsid w:val="00F72643"/>
    <w:rsid w:val="00F7411C"/>
    <w:rsid w:val="00F7534E"/>
    <w:rsid w:val="00F75C2B"/>
    <w:rsid w:val="00F76758"/>
    <w:rsid w:val="00F863EC"/>
    <w:rsid w:val="00F934BA"/>
    <w:rsid w:val="00F93EDF"/>
    <w:rsid w:val="00F96F38"/>
    <w:rsid w:val="00FA1802"/>
    <w:rsid w:val="00FA20AB"/>
    <w:rsid w:val="00FA21D0"/>
    <w:rsid w:val="00FA5F5F"/>
    <w:rsid w:val="00FB2DA4"/>
    <w:rsid w:val="00FB3643"/>
    <w:rsid w:val="00FB4062"/>
    <w:rsid w:val="00FB6965"/>
    <w:rsid w:val="00FB730C"/>
    <w:rsid w:val="00FB7723"/>
    <w:rsid w:val="00FC2695"/>
    <w:rsid w:val="00FC3E03"/>
    <w:rsid w:val="00FC3FC1"/>
    <w:rsid w:val="00FC46B8"/>
    <w:rsid w:val="00FD05B7"/>
    <w:rsid w:val="00FD2E9A"/>
    <w:rsid w:val="00FD655A"/>
    <w:rsid w:val="00FE2AFD"/>
    <w:rsid w:val="00FE4D38"/>
    <w:rsid w:val="00FF0912"/>
    <w:rsid w:val="00FF0D56"/>
    <w:rsid w:val="00FF3198"/>
    <w:rsid w:val="03C0B70F"/>
    <w:rsid w:val="04ABD8A3"/>
    <w:rsid w:val="0BC064AC"/>
    <w:rsid w:val="128B4D5D"/>
    <w:rsid w:val="1B52E9A9"/>
    <w:rsid w:val="1D5A250E"/>
    <w:rsid w:val="1E73197B"/>
    <w:rsid w:val="2445C18F"/>
    <w:rsid w:val="2E046EB0"/>
    <w:rsid w:val="2F274D18"/>
    <w:rsid w:val="42E13AF0"/>
    <w:rsid w:val="4974B8FF"/>
    <w:rsid w:val="4D156C43"/>
    <w:rsid w:val="536CE6C0"/>
    <w:rsid w:val="5505ABD3"/>
    <w:rsid w:val="566255B1"/>
    <w:rsid w:val="5DD98175"/>
    <w:rsid w:val="6269C410"/>
    <w:rsid w:val="686B70C3"/>
    <w:rsid w:val="68C675B9"/>
    <w:rsid w:val="6D50C59E"/>
    <w:rsid w:val="6DBAC2E4"/>
    <w:rsid w:val="6FCD3D54"/>
    <w:rsid w:val="73D74870"/>
    <w:rsid w:val="7B5ED067"/>
    <w:rsid w:val="7F68083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FD2E9A"/>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478A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478A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48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CETBodytext"/>
    <w:next w:val="Normal"/>
    <w:uiPriority w:val="35"/>
    <w:unhideWhenUsed/>
    <w:qFormat/>
    <w:rsid w:val="00C5455F"/>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paragraph" w:customStyle="1" w:styleId="paragraph">
    <w:name w:val="paragraph"/>
    <w:basedOn w:val="Normal"/>
    <w:rsid w:val="001E05BC"/>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customStyle="1" w:styleId="normaltextrun">
    <w:name w:val="normaltextrun"/>
    <w:basedOn w:val="Policepardfaut"/>
    <w:rsid w:val="001E05BC"/>
  </w:style>
  <w:style w:type="character" w:customStyle="1" w:styleId="eop">
    <w:name w:val="eop"/>
    <w:basedOn w:val="Policepardfaut"/>
    <w:rsid w:val="001E05BC"/>
  </w:style>
  <w:style w:type="character" w:styleId="Textedelespacerserv">
    <w:name w:val="Placeholder Text"/>
    <w:basedOn w:val="Policepardfaut"/>
    <w:uiPriority w:val="99"/>
    <w:semiHidden/>
    <w:rsid w:val="0066743B"/>
    <w:rPr>
      <w:color w:val="808080"/>
    </w:rPr>
  </w:style>
  <w:style w:type="paragraph" w:customStyle="1" w:styleId="heading1">
    <w:name w:val="heading1"/>
    <w:basedOn w:val="Normal"/>
    <w:next w:val="p1a"/>
    <w:qFormat/>
    <w:rsid w:val="006476FC"/>
    <w:pPr>
      <w:keepNext/>
      <w:keepLines/>
      <w:numPr>
        <w:numId w:val="24"/>
      </w:numPr>
      <w:tabs>
        <w:tab w:val="clear" w:pos="7100"/>
      </w:tabs>
      <w:suppressAutoHyphens/>
      <w:overflowPunct w:val="0"/>
      <w:autoSpaceDE w:val="0"/>
      <w:autoSpaceDN w:val="0"/>
      <w:adjustRightInd w:val="0"/>
      <w:spacing w:before="360" w:after="240" w:line="300" w:lineRule="atLeast"/>
      <w:ind w:right="567"/>
      <w:jc w:val="left"/>
      <w:textAlignment w:val="baseline"/>
      <w:outlineLvl w:val="0"/>
    </w:pPr>
    <w:rPr>
      <w:rFonts w:ascii="Times New Roman" w:hAnsi="Times New Roman"/>
      <w:b/>
      <w:sz w:val="24"/>
      <w:lang w:val="en-US"/>
    </w:rPr>
  </w:style>
  <w:style w:type="paragraph" w:customStyle="1" w:styleId="heading2">
    <w:name w:val="heading2"/>
    <w:basedOn w:val="Normal"/>
    <w:next w:val="p1a"/>
    <w:qFormat/>
    <w:rsid w:val="006476FC"/>
    <w:pPr>
      <w:keepNext/>
      <w:keepLines/>
      <w:numPr>
        <w:ilvl w:val="1"/>
        <w:numId w:val="24"/>
      </w:numPr>
      <w:tabs>
        <w:tab w:val="clear" w:pos="7100"/>
      </w:tabs>
      <w:suppressAutoHyphens/>
      <w:overflowPunct w:val="0"/>
      <w:autoSpaceDE w:val="0"/>
      <w:autoSpaceDN w:val="0"/>
      <w:adjustRightInd w:val="0"/>
      <w:spacing w:before="360" w:after="160" w:line="240" w:lineRule="atLeast"/>
      <w:ind w:right="567"/>
      <w:jc w:val="left"/>
      <w:textAlignment w:val="baseline"/>
      <w:outlineLvl w:val="1"/>
    </w:pPr>
    <w:rPr>
      <w:rFonts w:ascii="Times New Roman" w:hAnsi="Times New Roman"/>
      <w:b/>
      <w:sz w:val="20"/>
      <w:lang w:val="en-US"/>
    </w:rPr>
  </w:style>
  <w:style w:type="numbering" w:customStyle="1" w:styleId="headings">
    <w:name w:val="headings"/>
    <w:basedOn w:val="Aucuneliste"/>
    <w:rsid w:val="006476FC"/>
    <w:pPr>
      <w:numPr>
        <w:numId w:val="24"/>
      </w:numPr>
    </w:pPr>
  </w:style>
  <w:style w:type="paragraph" w:customStyle="1" w:styleId="p1a">
    <w:name w:val="p1a"/>
    <w:basedOn w:val="Normal"/>
    <w:next w:val="Normal"/>
    <w:rsid w:val="006476FC"/>
    <w:pPr>
      <w:tabs>
        <w:tab w:val="clear" w:pos="7100"/>
      </w:tabs>
      <w:overflowPunct w:val="0"/>
      <w:autoSpaceDE w:val="0"/>
      <w:autoSpaceDN w:val="0"/>
      <w:adjustRightInd w:val="0"/>
      <w:spacing w:line="240" w:lineRule="atLeast"/>
      <w:textAlignment w:val="baseline"/>
    </w:pPr>
    <w:rPr>
      <w:rFonts w:ascii="Times New Roman" w:hAnsi="Times New Roman"/>
      <w:sz w:val="20"/>
      <w:lang w:val="en-US"/>
    </w:rPr>
  </w:style>
  <w:style w:type="character" w:customStyle="1" w:styleId="anchor-text">
    <w:name w:val="anchor-text"/>
    <w:basedOn w:val="Policepardfaut"/>
    <w:rsid w:val="002449B7"/>
  </w:style>
  <w:style w:type="paragraph" w:customStyle="1" w:styleId="equation">
    <w:name w:val="equation"/>
    <w:basedOn w:val="Normal"/>
    <w:next w:val="Normal"/>
    <w:rsid w:val="002449B7"/>
    <w:pPr>
      <w:tabs>
        <w:tab w:val="clear" w:pos="7100"/>
        <w:tab w:val="center" w:pos="3289"/>
        <w:tab w:val="right" w:pos="6917"/>
      </w:tabs>
      <w:overflowPunct w:val="0"/>
      <w:autoSpaceDE w:val="0"/>
      <w:autoSpaceDN w:val="0"/>
      <w:adjustRightInd w:val="0"/>
      <w:spacing w:before="160" w:after="160" w:line="240" w:lineRule="atLeast"/>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1198">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88696309">
      <w:bodyDiv w:val="1"/>
      <w:marLeft w:val="0"/>
      <w:marRight w:val="0"/>
      <w:marTop w:val="0"/>
      <w:marBottom w:val="0"/>
      <w:divBdr>
        <w:top w:val="none" w:sz="0" w:space="0" w:color="auto"/>
        <w:left w:val="none" w:sz="0" w:space="0" w:color="auto"/>
        <w:bottom w:val="none" w:sz="0" w:space="0" w:color="auto"/>
        <w:right w:val="none" w:sz="0" w:space="0" w:color="auto"/>
      </w:divBdr>
    </w:div>
    <w:div w:id="60936384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6552">
      <w:bodyDiv w:val="1"/>
      <w:marLeft w:val="0"/>
      <w:marRight w:val="0"/>
      <w:marTop w:val="0"/>
      <w:marBottom w:val="0"/>
      <w:divBdr>
        <w:top w:val="none" w:sz="0" w:space="0" w:color="auto"/>
        <w:left w:val="none" w:sz="0" w:space="0" w:color="auto"/>
        <w:bottom w:val="none" w:sz="0" w:space="0" w:color="auto"/>
        <w:right w:val="none" w:sz="0" w:space="0" w:color="auto"/>
      </w:divBdr>
    </w:div>
    <w:div w:id="1188061921">
      <w:bodyDiv w:val="1"/>
      <w:marLeft w:val="0"/>
      <w:marRight w:val="0"/>
      <w:marTop w:val="0"/>
      <w:marBottom w:val="0"/>
      <w:divBdr>
        <w:top w:val="none" w:sz="0" w:space="0" w:color="auto"/>
        <w:left w:val="none" w:sz="0" w:space="0" w:color="auto"/>
        <w:bottom w:val="none" w:sz="0" w:space="0" w:color="auto"/>
        <w:right w:val="none" w:sz="0" w:space="0" w:color="auto"/>
      </w:divBdr>
      <w:divsChild>
        <w:div w:id="1406030412">
          <w:marLeft w:val="0"/>
          <w:marRight w:val="0"/>
          <w:marTop w:val="0"/>
          <w:marBottom w:val="0"/>
          <w:divBdr>
            <w:top w:val="none" w:sz="0" w:space="0" w:color="auto"/>
            <w:left w:val="none" w:sz="0" w:space="0" w:color="auto"/>
            <w:bottom w:val="none" w:sz="0" w:space="0" w:color="auto"/>
            <w:right w:val="none" w:sz="0" w:space="0" w:color="auto"/>
          </w:divBdr>
          <w:divsChild>
            <w:div w:id="447744325">
              <w:marLeft w:val="0"/>
              <w:marRight w:val="0"/>
              <w:marTop w:val="0"/>
              <w:marBottom w:val="0"/>
              <w:divBdr>
                <w:top w:val="none" w:sz="0" w:space="0" w:color="auto"/>
                <w:left w:val="none" w:sz="0" w:space="0" w:color="auto"/>
                <w:bottom w:val="none" w:sz="0" w:space="0" w:color="auto"/>
                <w:right w:val="none" w:sz="0" w:space="0" w:color="auto"/>
              </w:divBdr>
            </w:div>
            <w:div w:id="377632204">
              <w:marLeft w:val="0"/>
              <w:marRight w:val="0"/>
              <w:marTop w:val="0"/>
              <w:marBottom w:val="0"/>
              <w:divBdr>
                <w:top w:val="none" w:sz="0" w:space="0" w:color="auto"/>
                <w:left w:val="none" w:sz="0" w:space="0" w:color="auto"/>
                <w:bottom w:val="none" w:sz="0" w:space="0" w:color="auto"/>
                <w:right w:val="none" w:sz="0" w:space="0" w:color="auto"/>
              </w:divBdr>
            </w:div>
            <w:div w:id="2066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8800">
      <w:bodyDiv w:val="1"/>
      <w:marLeft w:val="0"/>
      <w:marRight w:val="0"/>
      <w:marTop w:val="0"/>
      <w:marBottom w:val="0"/>
      <w:divBdr>
        <w:top w:val="none" w:sz="0" w:space="0" w:color="auto"/>
        <w:left w:val="none" w:sz="0" w:space="0" w:color="auto"/>
        <w:bottom w:val="none" w:sz="0" w:space="0" w:color="auto"/>
        <w:right w:val="none" w:sz="0" w:space="0" w:color="auto"/>
      </w:divBdr>
    </w:div>
    <w:div w:id="1343050919">
      <w:bodyDiv w:val="1"/>
      <w:marLeft w:val="0"/>
      <w:marRight w:val="0"/>
      <w:marTop w:val="0"/>
      <w:marBottom w:val="0"/>
      <w:divBdr>
        <w:top w:val="none" w:sz="0" w:space="0" w:color="auto"/>
        <w:left w:val="none" w:sz="0" w:space="0" w:color="auto"/>
        <w:bottom w:val="none" w:sz="0" w:space="0" w:color="auto"/>
        <w:right w:val="none" w:sz="0" w:space="0" w:color="auto"/>
      </w:divBdr>
      <w:divsChild>
        <w:div w:id="982929979">
          <w:marLeft w:val="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24686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9752219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76118846">
      <w:bodyDiv w:val="1"/>
      <w:marLeft w:val="0"/>
      <w:marRight w:val="0"/>
      <w:marTop w:val="0"/>
      <w:marBottom w:val="0"/>
      <w:divBdr>
        <w:top w:val="none" w:sz="0" w:space="0" w:color="auto"/>
        <w:left w:val="none" w:sz="0" w:space="0" w:color="auto"/>
        <w:bottom w:val="none" w:sz="0" w:space="0" w:color="auto"/>
        <w:right w:val="none" w:sz="0" w:space="0" w:color="auto"/>
      </w:divBdr>
    </w:div>
    <w:div w:id="1924605108">
      <w:bodyDiv w:val="1"/>
      <w:marLeft w:val="0"/>
      <w:marRight w:val="0"/>
      <w:marTop w:val="0"/>
      <w:marBottom w:val="0"/>
      <w:divBdr>
        <w:top w:val="none" w:sz="0" w:space="0" w:color="auto"/>
        <w:left w:val="none" w:sz="0" w:space="0" w:color="auto"/>
        <w:bottom w:val="none" w:sz="0" w:space="0" w:color="auto"/>
        <w:right w:val="none" w:sz="0" w:space="0" w:color="auto"/>
      </w:divBdr>
    </w:div>
    <w:div w:id="207365432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C21D-16A3-44EB-A419-8AE93315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6</Pages>
  <Words>8535</Words>
  <Characters>48652</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Dipartimento CMIC - Politecnico di Milano</Company>
  <LinksUpToDate>false</LinksUpToDate>
  <CharactersWithSpaces>57073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Sergio Figueroa-Cardona</cp:lastModifiedBy>
  <cp:revision>144</cp:revision>
  <cp:lastPrinted>2015-05-12T18:31:00Z</cp:lastPrinted>
  <dcterms:created xsi:type="dcterms:W3CDTF">2025-02-14T12:30:00Z</dcterms:created>
  <dcterms:modified xsi:type="dcterms:W3CDTF">2025-07-15T14:39:00Z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id="dUQzBhaE"/&gt;&lt;style id="http://www.zotero.org/styles/apa" locale="en-GB" hasBibliography="1" bibliographyStyleHasBeenSet="1"/&gt;&lt;prefs&gt;&lt;pref name="fieldType" value="Field"/&gt;&lt;pref name="storeReference</vt:lpwstr>
  </property>
  <property fmtid="{D5CDD505-2E9C-101B-9397-08002B2CF9AE}" pid="3" name="ZOTERO_PREF_2">
    <vt:lpwstr>s" value="true"/&gt;&lt;/prefs&gt;&lt;/data&gt;</vt:lpwstr>
  </property>
</Properties>
</file>