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C686C7E" w14:textId="77777777">
        <w:trPr>
          <w:trHeight w:val="852"/>
          <w:jc w:val="center"/>
        </w:trPr>
        <w:tc>
          <w:tcPr>
            <w:tcW w:w="6946" w:type="dxa"/>
            <w:vMerge w:val="restart"/>
            <w:tcBorders>
              <w:right w:val="single" w:sz="4" w:space="0" w:color="auto"/>
            </w:tcBorders>
          </w:tcPr>
          <w:p w14:paraId="5D92F353" w14:textId="364F19C3"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en-US"/>
              </w:rPr>
              <w:drawing>
                <wp:inline distT="0" distB="0" distL="0" distR="0" wp14:anchorId="2C561A2E" wp14:editId="139C17A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98D9B41"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788A0039"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1379553" w14:textId="77777777" w:rsidR="000A03B2" w:rsidRPr="00B57B36" w:rsidRDefault="000A03B2" w:rsidP="00CD5FE2">
            <w:pPr>
              <w:jc w:val="right"/>
            </w:pPr>
            <w:r w:rsidRPr="00B57B36">
              <w:rPr>
                <w:noProof/>
                <w:lang w:val="en-US"/>
              </w:rPr>
              <w:drawing>
                <wp:inline distT="0" distB="0" distL="0" distR="0" wp14:anchorId="22ED29D3" wp14:editId="7F6A439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073AC449" w14:textId="77777777">
        <w:trPr>
          <w:trHeight w:val="567"/>
          <w:jc w:val="center"/>
        </w:trPr>
        <w:tc>
          <w:tcPr>
            <w:tcW w:w="6946" w:type="dxa"/>
            <w:vMerge/>
            <w:tcBorders>
              <w:right w:val="single" w:sz="4" w:space="0" w:color="auto"/>
            </w:tcBorders>
          </w:tcPr>
          <w:p w14:paraId="3D16E15C"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31D05A1E"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11E069E"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17F0AD73"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518C521F" w14:textId="77777777">
        <w:trPr>
          <w:trHeight w:val="68"/>
          <w:jc w:val="center"/>
        </w:trPr>
        <w:tc>
          <w:tcPr>
            <w:tcW w:w="8789" w:type="dxa"/>
            <w:gridSpan w:val="2"/>
          </w:tcPr>
          <w:p w14:paraId="7488DE23"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41BED8B4"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0F375C36"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9D93B23" w14:textId="01FAEEC7" w:rsidR="00E978D0" w:rsidRPr="00B57B36" w:rsidRDefault="001F7F43" w:rsidP="00E978D0">
      <w:pPr>
        <w:pStyle w:val="CETTitle"/>
      </w:pPr>
      <w:r>
        <w:t xml:space="preserve">Effect of </w:t>
      </w:r>
      <w:r w:rsidR="000F5136">
        <w:t>R</w:t>
      </w:r>
      <w:r>
        <w:t xml:space="preserve">heological </w:t>
      </w:r>
      <w:r w:rsidR="000F5136">
        <w:t>P</w:t>
      </w:r>
      <w:r>
        <w:t xml:space="preserve">roperties of </w:t>
      </w:r>
      <w:r w:rsidR="000F5136">
        <w:t>L</w:t>
      </w:r>
      <w:r>
        <w:t xml:space="preserve">iquid </w:t>
      </w:r>
      <w:r w:rsidR="000F5136">
        <w:t>F</w:t>
      </w:r>
      <w:r>
        <w:t xml:space="preserve">oods on </w:t>
      </w:r>
      <w:r w:rsidR="000F5136">
        <w:t>H</w:t>
      </w:r>
      <w:r>
        <w:t xml:space="preserve">eat </w:t>
      </w:r>
      <w:r w:rsidR="000F5136">
        <w:t>S</w:t>
      </w:r>
      <w:r>
        <w:t xml:space="preserve">terilization </w:t>
      </w:r>
      <w:r w:rsidR="000F5136">
        <w:t>P</w:t>
      </w:r>
      <w:r>
        <w:t>rocess in Taylor</w:t>
      </w:r>
      <w:r w:rsidR="00630F2B" w:rsidRPr="00DA6631">
        <w:rPr>
          <w:rFonts w:cs="Arial"/>
        </w:rPr>
        <w:t>–</w:t>
      </w:r>
      <w:r>
        <w:t xml:space="preserve">Couette </w:t>
      </w:r>
      <w:r w:rsidR="000F5136">
        <w:t>F</w:t>
      </w:r>
      <w:r>
        <w:t xml:space="preserve">low </w:t>
      </w:r>
      <w:r w:rsidR="000F5136">
        <w:t>A</w:t>
      </w:r>
      <w:r>
        <w:t>pparatus</w:t>
      </w:r>
    </w:p>
    <w:p w14:paraId="7DBE9E67" w14:textId="77777777" w:rsidR="00E978D0" w:rsidRPr="00B57B36" w:rsidRDefault="00C73148" w:rsidP="00AB5011">
      <w:pPr>
        <w:pStyle w:val="CETAuthors"/>
      </w:pPr>
      <w:r>
        <w:t>Hayato</w:t>
      </w:r>
      <w:r w:rsidR="00600535" w:rsidRPr="00B57B36">
        <w:t xml:space="preserve"> </w:t>
      </w:r>
      <w:r>
        <w:t>Masuda</w:t>
      </w:r>
      <w:r w:rsidR="00600535" w:rsidRPr="00B57B36">
        <w:rPr>
          <w:vertAlign w:val="superscript"/>
        </w:rPr>
        <w:t>a</w:t>
      </w:r>
      <w:r w:rsidR="003D5A62">
        <w:rPr>
          <w:vertAlign w:val="superscript"/>
        </w:rPr>
        <w:t>, b, *</w:t>
      </w:r>
      <w:r w:rsidR="00600535" w:rsidRPr="00B57B36">
        <w:t xml:space="preserve">, </w:t>
      </w:r>
      <w:r w:rsidR="003D5A62">
        <w:t>Hubacz</w:t>
      </w:r>
      <w:r w:rsidR="00600535" w:rsidRPr="00B57B36">
        <w:t xml:space="preserve"> </w:t>
      </w:r>
      <w:r w:rsidR="003D5A62">
        <w:t>Robert</w:t>
      </w:r>
      <w:r w:rsidR="003D5A62">
        <w:rPr>
          <w:vertAlign w:val="superscript"/>
        </w:rPr>
        <w:t>c</w:t>
      </w:r>
      <w:r w:rsidR="00600535" w:rsidRPr="00B57B36">
        <w:t xml:space="preserve">, </w:t>
      </w:r>
      <w:r w:rsidR="00C22784">
        <w:t>Naoto Ohmura</w:t>
      </w:r>
      <w:r w:rsidR="00C22784" w:rsidRPr="00C22784">
        <w:rPr>
          <w:vertAlign w:val="superscript"/>
        </w:rPr>
        <w:t>b, d</w:t>
      </w:r>
      <w:r w:rsidR="00C22784">
        <w:t>, Makoto Shimoyamada</w:t>
      </w:r>
      <w:r w:rsidR="00C22784" w:rsidRPr="00C22784">
        <w:rPr>
          <w:vertAlign w:val="superscript"/>
        </w:rPr>
        <w:t>a</w:t>
      </w:r>
    </w:p>
    <w:p w14:paraId="14CFDCD1" w14:textId="77777777" w:rsidR="00E978D0" w:rsidRPr="00B57B36" w:rsidRDefault="00E978D0" w:rsidP="00E978D0">
      <w:pPr>
        <w:pStyle w:val="CETAddress"/>
      </w:pPr>
      <w:r w:rsidRPr="00B57B36">
        <w:rPr>
          <w:vertAlign w:val="superscript"/>
        </w:rPr>
        <w:t>a</w:t>
      </w:r>
      <w:r w:rsidR="00705B28" w:rsidRPr="009A2B86">
        <w:t>School of Food and Nutritional Science, University of Shizuoka, 52-1, Yada, Suruga, Shizuoka, 422-8526, Japan</w:t>
      </w:r>
    </w:p>
    <w:p w14:paraId="0556FA19" w14:textId="77777777" w:rsidR="00E978D0" w:rsidRDefault="00E978D0" w:rsidP="00E978D0">
      <w:pPr>
        <w:pStyle w:val="CETAddress"/>
      </w:pPr>
      <w:r w:rsidRPr="00B57B36">
        <w:rPr>
          <w:vertAlign w:val="superscript"/>
        </w:rPr>
        <w:t>b</w:t>
      </w:r>
      <w:r w:rsidR="00705B28" w:rsidRPr="009A2B86">
        <w:t>Complex Fluid and Thermal Engineering Research Center (COFTEC), Kobe U</w:t>
      </w:r>
      <w:r w:rsidR="00705B28">
        <w:t>niversity, 1-1 Rokkodai, Nada</w:t>
      </w:r>
      <w:r w:rsidR="00705B28" w:rsidRPr="009A2B86">
        <w:t>, Kobe, 657-8501, Japan</w:t>
      </w:r>
    </w:p>
    <w:p w14:paraId="74C53F16" w14:textId="77777777" w:rsidR="00705B28" w:rsidRDefault="00705B28" w:rsidP="00E978D0">
      <w:pPr>
        <w:pStyle w:val="CETAddress"/>
        <w:rPr>
          <w:lang w:val="en-US" w:eastAsia="ja-JP"/>
        </w:rPr>
      </w:pPr>
      <w:r w:rsidRPr="00100C5E">
        <w:rPr>
          <w:vertAlign w:val="superscript"/>
          <w:lang w:val="en-US" w:eastAsia="ja-JP"/>
        </w:rPr>
        <w:t>c</w:t>
      </w:r>
      <w:r w:rsidR="00100C5E" w:rsidRPr="00100C5E">
        <w:rPr>
          <w:lang w:val="en-US" w:eastAsia="ja-JP"/>
        </w:rPr>
        <w:t>Warsaw University of Technology, Faculty of Chemical and Process Engineering, ul. Waryńskiego 1, 00-645 Warszawa</w:t>
      </w:r>
      <w:r w:rsidR="00100C5E" w:rsidRPr="00100C5E">
        <w:rPr>
          <w:rFonts w:hint="eastAsia"/>
          <w:lang w:val="en-US" w:eastAsia="ja-JP"/>
        </w:rPr>
        <w:t>, Poland</w:t>
      </w:r>
    </w:p>
    <w:p w14:paraId="4E121D10" w14:textId="77777777" w:rsidR="00705B28" w:rsidRPr="00705B28" w:rsidRDefault="00705B28" w:rsidP="00E978D0">
      <w:pPr>
        <w:pStyle w:val="CETAddress"/>
        <w:rPr>
          <w:lang w:val="en-US" w:eastAsia="ja-JP"/>
        </w:rPr>
      </w:pPr>
      <w:r w:rsidRPr="00100C5E">
        <w:rPr>
          <w:rFonts w:hint="eastAsia"/>
          <w:vertAlign w:val="superscript"/>
          <w:lang w:val="en-US" w:eastAsia="ja-JP"/>
        </w:rPr>
        <w:t>d</w:t>
      </w:r>
      <w:r w:rsidRPr="009A2B86">
        <w:t>Department of Chemical Science and Engineering, Kobe University, 1-1 Rokkodai, Nada, Kobe, 657-8501, Japan</w:t>
      </w:r>
    </w:p>
    <w:p w14:paraId="27F1C236" w14:textId="77777777" w:rsidR="00E978D0" w:rsidRPr="00B57B36" w:rsidRDefault="00AB5011" w:rsidP="00E978D0">
      <w:pPr>
        <w:pStyle w:val="CETemail"/>
        <w:rPr>
          <w:lang w:eastAsia="ja-JP"/>
        </w:rPr>
      </w:pPr>
      <w:r>
        <w:t xml:space="preserve"> </w:t>
      </w:r>
      <w:r w:rsidR="00C22784">
        <w:t>hayato-masuda</w:t>
      </w:r>
      <w:r w:rsidR="00600535" w:rsidRPr="00B57B36">
        <w:t>@</w:t>
      </w:r>
      <w:r w:rsidR="00C22784">
        <w:t>u-shizuoka-ken.ac.jp</w:t>
      </w:r>
    </w:p>
    <w:p w14:paraId="62CE01D4" w14:textId="7D9F564A" w:rsidR="00DA24C6" w:rsidRPr="00293C86" w:rsidRDefault="00293C86" w:rsidP="004C4056">
      <w:pPr>
        <w:pStyle w:val="CETBodytext"/>
        <w:rPr>
          <w:lang w:val="en-GB"/>
        </w:rPr>
      </w:pPr>
      <w:r>
        <w:rPr>
          <w:lang w:val="en-GB"/>
        </w:rPr>
        <w:t>This study numerically investigates the effect of rheological liquid foods on heat sterilization process using Taylor</w:t>
      </w:r>
      <w:r w:rsidR="00630F2B">
        <w:rPr>
          <w:rFonts w:ascii="Times New Roman" w:hAnsi="Times New Roman"/>
        </w:rPr>
        <w:t>–</w:t>
      </w:r>
      <w:r>
        <w:rPr>
          <w:lang w:val="en-GB"/>
        </w:rPr>
        <w:t>Couette flow sterilizer (TCFS).</w:t>
      </w:r>
      <w:r w:rsidR="004C4056">
        <w:rPr>
          <w:lang w:val="en-GB"/>
        </w:rPr>
        <w:t xml:space="preserve"> As model thermal processing, the destruction of Clostridium botulinum and thiamine was selected. It was found that the equivalent lethality slightly decreased with increase in the strength of shear-thinning property. On the other hand, there was no clear difference in the retaining performance of thiamine. </w:t>
      </w:r>
      <w:r w:rsidR="0086616E">
        <w:rPr>
          <w:lang w:val="en-GB"/>
        </w:rPr>
        <w:t>Furthermore, the power consumption decreased with the increase in the strength of shear-thinning property. Thus, f</w:t>
      </w:r>
      <w:r w:rsidR="004C4056">
        <w:rPr>
          <w:lang w:val="en-GB"/>
        </w:rPr>
        <w:t xml:space="preserve">rom the viewpoint of </w:t>
      </w:r>
      <w:r w:rsidR="0086616E">
        <w:rPr>
          <w:lang w:val="en-GB"/>
        </w:rPr>
        <w:t>energy saving</w:t>
      </w:r>
      <w:r w:rsidR="004C4056">
        <w:rPr>
          <w:lang w:val="en-GB"/>
        </w:rPr>
        <w:t>, it can be c</w:t>
      </w:r>
      <w:r w:rsidR="00616B46">
        <w:rPr>
          <w:lang w:val="en-GB"/>
        </w:rPr>
        <w:t>oncluded that the utilization of TCFS to stronger shear-thinning food systems is more effective.</w:t>
      </w:r>
    </w:p>
    <w:p w14:paraId="14290573" w14:textId="77777777" w:rsidR="00600535" w:rsidRPr="00B57B36" w:rsidRDefault="00600535" w:rsidP="00600535">
      <w:pPr>
        <w:pStyle w:val="CETHeading1"/>
        <w:rPr>
          <w:lang w:val="en-GB"/>
        </w:rPr>
      </w:pPr>
      <w:r w:rsidRPr="00B57B36">
        <w:rPr>
          <w:lang w:val="en-GB"/>
        </w:rPr>
        <w:t>Introduction</w:t>
      </w:r>
    </w:p>
    <w:p w14:paraId="04C2C1AE" w14:textId="77777777" w:rsidR="003A030E" w:rsidRDefault="00C46F43" w:rsidP="00600535">
      <w:pPr>
        <w:pStyle w:val="CETBodytext"/>
        <w:rPr>
          <w:lang w:eastAsia="ja-JP"/>
        </w:rPr>
      </w:pPr>
      <w:r>
        <w:rPr>
          <w:lang w:eastAsia="ja-JP"/>
        </w:rPr>
        <w:t xml:space="preserve">Heat sterilization process </w:t>
      </w:r>
      <w:r w:rsidR="006F5E29">
        <w:rPr>
          <w:lang w:eastAsia="ja-JP"/>
        </w:rPr>
        <w:t>is one of the most important process</w:t>
      </w:r>
      <w:r w:rsidR="007B542D">
        <w:rPr>
          <w:lang w:eastAsia="ja-JP"/>
        </w:rPr>
        <w:t>, which provide near complete inactivation of microorganisms including spores,</w:t>
      </w:r>
      <w:r w:rsidR="006F5E29">
        <w:rPr>
          <w:rFonts w:hint="eastAsia"/>
          <w:lang w:eastAsia="ja-JP"/>
        </w:rPr>
        <w:t xml:space="preserve"> </w:t>
      </w:r>
      <w:r w:rsidR="006F5E29">
        <w:rPr>
          <w:lang w:eastAsia="ja-JP"/>
        </w:rPr>
        <w:t>in food industries.</w:t>
      </w:r>
      <w:r w:rsidR="006F5E29">
        <w:rPr>
          <w:rFonts w:hint="eastAsia"/>
          <w:lang w:eastAsia="ja-JP"/>
        </w:rPr>
        <w:t xml:space="preserve"> </w:t>
      </w:r>
      <w:r w:rsidR="006F5E29">
        <w:rPr>
          <w:lang w:eastAsia="ja-JP"/>
        </w:rPr>
        <w:t>Commonly, a tubular heat exchanger or a plate heat exchanger are used</w:t>
      </w:r>
      <w:r w:rsidR="007B542D">
        <w:rPr>
          <w:lang w:eastAsia="ja-JP"/>
        </w:rPr>
        <w:t xml:space="preserve"> as the typical sterilizer</w:t>
      </w:r>
      <w:r w:rsidR="006F5E29">
        <w:rPr>
          <w:lang w:eastAsia="ja-JP"/>
        </w:rPr>
        <w:t>.</w:t>
      </w:r>
      <w:r w:rsidR="007B542D">
        <w:rPr>
          <w:lang w:eastAsia="ja-JP"/>
        </w:rPr>
        <w:t xml:space="preserve"> </w:t>
      </w:r>
      <w:r w:rsidR="00F9125F">
        <w:rPr>
          <w:lang w:eastAsia="ja-JP"/>
        </w:rPr>
        <w:t xml:space="preserve">From the practical viewpoint, </w:t>
      </w:r>
      <w:r w:rsidR="006426C2">
        <w:rPr>
          <w:lang w:eastAsia="ja-JP"/>
        </w:rPr>
        <w:t>there exist many problems in heat sterilization process</w:t>
      </w:r>
      <w:r w:rsidR="00351727">
        <w:rPr>
          <w:lang w:eastAsia="ja-JP"/>
        </w:rPr>
        <w:t xml:space="preserve"> for highly viscous foods.</w:t>
      </w:r>
      <w:r w:rsidR="00351727">
        <w:rPr>
          <w:rFonts w:hint="eastAsia"/>
          <w:lang w:eastAsia="ja-JP"/>
        </w:rPr>
        <w:t xml:space="preserve"> </w:t>
      </w:r>
      <w:r w:rsidR="00351727">
        <w:rPr>
          <w:lang w:eastAsia="ja-JP"/>
        </w:rPr>
        <w:t xml:space="preserve">In the highly viscous food system, the flow condition in the sterilizer is often laminar, in which transport of momentum, heat, and mass is dominated by the molecular diffusion, due to the high viscous force. Thus, the </w:t>
      </w:r>
      <w:r w:rsidR="009A49C8">
        <w:rPr>
          <w:lang w:eastAsia="ja-JP"/>
        </w:rPr>
        <w:t xml:space="preserve">efficient sterilization is not conducted by the traditional heat exchanger. The typical solution for the improvement of heat transfer is </w:t>
      </w:r>
      <w:r w:rsidR="00CE527D">
        <w:rPr>
          <w:lang w:eastAsia="ja-JP"/>
        </w:rPr>
        <w:t>utilizing</w:t>
      </w:r>
      <w:r w:rsidR="009A49C8">
        <w:rPr>
          <w:lang w:eastAsia="ja-JP"/>
        </w:rPr>
        <w:t xml:space="preserve"> </w:t>
      </w:r>
      <w:r w:rsidR="00CE527D">
        <w:rPr>
          <w:lang w:eastAsia="ja-JP"/>
        </w:rPr>
        <w:t>eddies</w:t>
      </w:r>
      <w:r w:rsidR="00CF214C">
        <w:rPr>
          <w:lang w:eastAsia="ja-JP"/>
        </w:rPr>
        <w:t xml:space="preserve"> in turbulence</w:t>
      </w:r>
      <w:r w:rsidR="009A49C8">
        <w:rPr>
          <w:lang w:eastAsia="ja-JP"/>
        </w:rPr>
        <w:t>.</w:t>
      </w:r>
      <w:r w:rsidR="003A030E">
        <w:rPr>
          <w:lang w:eastAsia="ja-JP"/>
        </w:rPr>
        <w:t xml:space="preserve"> However, </w:t>
      </w:r>
      <w:r w:rsidR="00070115">
        <w:rPr>
          <w:lang w:eastAsia="ja-JP"/>
        </w:rPr>
        <w:t>a large amount of energy is required for reaching turbulence in highly viscous food systems.</w:t>
      </w:r>
      <w:r w:rsidR="00516005">
        <w:rPr>
          <w:lang w:eastAsia="ja-JP"/>
        </w:rPr>
        <w:t xml:space="preserve"> Furthermore, a high shear force in turbulence would induce a mechanical destruction of nutritional components (</w:t>
      </w:r>
      <w:r w:rsidR="00D569A8">
        <w:rPr>
          <w:lang w:eastAsia="ja-JP"/>
        </w:rPr>
        <w:t>Ilo and Berghofer, 1998</w:t>
      </w:r>
      <w:r w:rsidR="00516005">
        <w:rPr>
          <w:lang w:eastAsia="ja-JP"/>
        </w:rPr>
        <w:t>).</w:t>
      </w:r>
      <w:r w:rsidR="001B4C1F">
        <w:rPr>
          <w:lang w:eastAsia="ja-JP"/>
        </w:rPr>
        <w:t xml:space="preserve"> </w:t>
      </w:r>
      <w:r w:rsidR="00095A20">
        <w:rPr>
          <w:lang w:eastAsia="ja-JP"/>
        </w:rPr>
        <w:t>Thus, how to enhance the transport rate of momentum, heat and mass under laminar flow should be discussed for intensification of heat sterilization.</w:t>
      </w:r>
      <w:r w:rsidR="00890EF8">
        <w:rPr>
          <w:lang w:eastAsia="ja-JP"/>
        </w:rPr>
        <w:t xml:space="preserve"> Kelder et al. (</w:t>
      </w:r>
      <w:r w:rsidR="00254517">
        <w:rPr>
          <w:lang w:eastAsia="ja-JP"/>
        </w:rPr>
        <w:t>2002</w:t>
      </w:r>
      <w:r w:rsidR="00890EF8">
        <w:rPr>
          <w:lang w:eastAsia="ja-JP"/>
        </w:rPr>
        <w:t xml:space="preserve">) applied </w:t>
      </w:r>
      <w:r w:rsidR="00111C68">
        <w:rPr>
          <w:lang w:eastAsia="ja-JP"/>
        </w:rPr>
        <w:t xml:space="preserve">Dean vortex flow, which appears in a curved </w:t>
      </w:r>
      <w:r w:rsidR="00EC3818">
        <w:rPr>
          <w:lang w:eastAsia="ja-JP"/>
        </w:rPr>
        <w:t>pipe</w:t>
      </w:r>
      <w:r w:rsidR="00111C68">
        <w:rPr>
          <w:lang w:eastAsia="ja-JP"/>
        </w:rPr>
        <w:t xml:space="preserve">, </w:t>
      </w:r>
      <w:r w:rsidR="002D45CF">
        <w:rPr>
          <w:lang w:eastAsia="ja-JP"/>
        </w:rPr>
        <w:t xml:space="preserve">to heat sterilization process even under laminar flow. </w:t>
      </w:r>
      <w:r w:rsidR="009C1CB7">
        <w:rPr>
          <w:lang w:eastAsia="ja-JP"/>
        </w:rPr>
        <w:t>Their results suggest that the velocity component in the radial direction, which is caused due to the toroidal motion of Dean vortex flow, enhances heat transfer from the wall to the bulk fluid. As a result, the performance of sterilization is significantly improved.</w:t>
      </w:r>
      <w:r w:rsidR="00DE5583">
        <w:rPr>
          <w:lang w:eastAsia="ja-JP"/>
        </w:rPr>
        <w:t xml:space="preserve"> </w:t>
      </w:r>
      <w:r w:rsidR="0026533D">
        <w:rPr>
          <w:lang w:eastAsia="ja-JP"/>
        </w:rPr>
        <w:t>Thus, process design of sterilization from the fluid from and heat transfer is effective.</w:t>
      </w:r>
    </w:p>
    <w:p w14:paraId="3E8CECD4" w14:textId="65A15A76" w:rsidR="007D146B" w:rsidRDefault="00254517" w:rsidP="00600535">
      <w:pPr>
        <w:pStyle w:val="CETBodytext"/>
        <w:rPr>
          <w:lang w:eastAsia="ja-JP"/>
        </w:rPr>
      </w:pPr>
      <w:r>
        <w:rPr>
          <w:rFonts w:hint="eastAsia"/>
          <w:lang w:eastAsia="ja-JP"/>
        </w:rPr>
        <w:t>P</w:t>
      </w:r>
      <w:r>
        <w:rPr>
          <w:lang w:eastAsia="ja-JP"/>
        </w:rPr>
        <w:t xml:space="preserve">reviously, </w:t>
      </w:r>
      <w:r w:rsidR="0096180A" w:rsidRPr="001B05D6">
        <w:rPr>
          <w:lang w:eastAsia="ja-JP"/>
        </w:rPr>
        <w:t>in order to intensify heat sterilization process,</w:t>
      </w:r>
      <w:r w:rsidR="0096180A">
        <w:rPr>
          <w:lang w:eastAsia="ja-JP"/>
        </w:rPr>
        <w:t xml:space="preserve"> </w:t>
      </w:r>
      <w:r>
        <w:rPr>
          <w:lang w:eastAsia="ja-JP"/>
        </w:rPr>
        <w:t>Masuda et al. (2017, 2019) applied Taylor</w:t>
      </w:r>
      <w:r w:rsidR="00630F2B" w:rsidRPr="00DA6631">
        <w:rPr>
          <w:rFonts w:cs="Arial"/>
        </w:rPr>
        <w:t>–</w:t>
      </w:r>
      <w:r>
        <w:rPr>
          <w:lang w:eastAsia="ja-JP"/>
        </w:rPr>
        <w:t>Couette flow system to heat sterilization process.</w:t>
      </w:r>
      <w:r w:rsidR="00790B02">
        <w:rPr>
          <w:lang w:eastAsia="ja-JP"/>
        </w:rPr>
        <w:t xml:space="preserve"> Taylor</w:t>
      </w:r>
      <w:r w:rsidR="00DA6631" w:rsidRPr="00DA6631">
        <w:rPr>
          <w:rFonts w:cs="Arial"/>
        </w:rPr>
        <w:t>–</w:t>
      </w:r>
      <w:r w:rsidR="00790B02">
        <w:rPr>
          <w:lang w:eastAsia="ja-JP"/>
        </w:rPr>
        <w:t xml:space="preserve">Couette flow is the flow between two concentric cylinders with the inner one rotating. When Reynolds number in the circumferential direction, </w:t>
      </w:r>
      <w:r w:rsidR="00790B02" w:rsidRPr="0052383A">
        <w:rPr>
          <w:i/>
          <w:lang w:eastAsia="ja-JP"/>
        </w:rPr>
        <w:t>Re</w:t>
      </w:r>
      <w:r w:rsidR="00790B02">
        <w:rPr>
          <w:lang w:eastAsia="ja-JP"/>
        </w:rPr>
        <w:t>, exceeds a critical value (</w:t>
      </w:r>
      <w:r w:rsidR="00790B02" w:rsidRPr="0052383A">
        <w:rPr>
          <w:i/>
          <w:lang w:eastAsia="ja-JP"/>
        </w:rPr>
        <w:t>Re</w:t>
      </w:r>
      <w:r w:rsidR="00790B02" w:rsidRPr="0052383A">
        <w:rPr>
          <w:vertAlign w:val="subscript"/>
          <w:lang w:eastAsia="ja-JP"/>
        </w:rPr>
        <w:t>cr</w:t>
      </w:r>
      <w:r w:rsidR="00790B02">
        <w:rPr>
          <w:lang w:eastAsia="ja-JP"/>
        </w:rPr>
        <w:t>), there appear pairs of counter-rotating toroidal vortices spaced regularly along the axis, arising from the basic shear flow, as shown in Fig. 1.</w:t>
      </w:r>
      <w:r w:rsidR="00EF0782">
        <w:rPr>
          <w:lang w:eastAsia="ja-JP"/>
        </w:rPr>
        <w:t xml:space="preserve"> Due to the </w:t>
      </w:r>
      <w:r w:rsidR="00427781">
        <w:rPr>
          <w:lang w:eastAsia="ja-JP"/>
        </w:rPr>
        <w:t xml:space="preserve">toroidal motion in vortices, </w:t>
      </w:r>
      <w:r w:rsidR="003537DC">
        <w:rPr>
          <w:lang w:eastAsia="ja-JP"/>
        </w:rPr>
        <w:t>heat/mass transfer as well as mixing is enhanced. Besides, all fluid elements leaving the annulus have the same residence time when a relatively small axial flow is imposed (Kataoka, 1975). Thus, TC flow sterilizer (TCFS) enables foods to experience</w:t>
      </w:r>
      <w:r w:rsidR="00D3029A">
        <w:rPr>
          <w:lang w:eastAsia="ja-JP"/>
        </w:rPr>
        <w:t xml:space="preserve"> excellent thermal treatments while every molecule has the same thermal history. </w:t>
      </w:r>
      <w:r w:rsidR="00763766" w:rsidRPr="001B05D6">
        <w:rPr>
          <w:lang w:eastAsia="ja-JP"/>
        </w:rPr>
        <w:t xml:space="preserve">In order to evaluate the </w:t>
      </w:r>
      <w:r w:rsidR="00763766" w:rsidRPr="001B05D6">
        <w:rPr>
          <w:lang w:eastAsia="ja-JP"/>
        </w:rPr>
        <w:lastRenderedPageBreak/>
        <w:t xml:space="preserve">sterilization performance of TCFS, it is necessary to understand not only sterilization efficiency but also </w:t>
      </w:r>
      <w:r w:rsidR="00407065" w:rsidRPr="001B05D6">
        <w:rPr>
          <w:lang w:eastAsia="ja-JP"/>
        </w:rPr>
        <w:t>how much nutritional co</w:t>
      </w:r>
      <w:r w:rsidR="00EB5902" w:rsidRPr="001B05D6">
        <w:rPr>
          <w:lang w:eastAsia="ja-JP"/>
        </w:rPr>
        <w:t>nstituents</w:t>
      </w:r>
      <w:r w:rsidR="00407065" w:rsidRPr="001B05D6">
        <w:rPr>
          <w:lang w:eastAsia="ja-JP"/>
        </w:rPr>
        <w:t xml:space="preserve"> are retained after processing.</w:t>
      </w:r>
      <w:r w:rsidR="00763766">
        <w:rPr>
          <w:lang w:eastAsia="ja-JP"/>
        </w:rPr>
        <w:t xml:space="preserve"> </w:t>
      </w:r>
      <w:r w:rsidR="00D3029A">
        <w:rPr>
          <w:lang w:eastAsia="ja-JP"/>
        </w:rPr>
        <w:t xml:space="preserve">Masuda et al. (2019) numerically investigated the performance of TCFS based on two model reactions: destruction of </w:t>
      </w:r>
      <w:r w:rsidR="00D3029A" w:rsidRPr="00D3029A">
        <w:rPr>
          <w:i/>
          <w:lang w:eastAsia="ja-JP"/>
        </w:rPr>
        <w:t>Clostridium botulinum</w:t>
      </w:r>
      <w:r w:rsidR="00D3029A">
        <w:rPr>
          <w:lang w:eastAsia="ja-JP"/>
        </w:rPr>
        <w:t xml:space="preserve"> and thiamine.</w:t>
      </w:r>
      <w:r w:rsidR="002C4D92">
        <w:rPr>
          <w:lang w:eastAsia="ja-JP"/>
        </w:rPr>
        <w:t xml:space="preserve"> They </w:t>
      </w:r>
      <w:r w:rsidR="00F744D0">
        <w:rPr>
          <w:lang w:eastAsia="ja-JP"/>
        </w:rPr>
        <w:t>show</w:t>
      </w:r>
      <w:r w:rsidR="002C4D92">
        <w:rPr>
          <w:lang w:eastAsia="ja-JP"/>
        </w:rPr>
        <w:t xml:space="preserve">ed that Taylor vortices enhance heat sterilization process suppressing </w:t>
      </w:r>
      <w:r w:rsidR="00460763">
        <w:rPr>
          <w:lang w:eastAsia="ja-JP"/>
        </w:rPr>
        <w:t>thermal destruction of nutritional components.</w:t>
      </w:r>
    </w:p>
    <w:p w14:paraId="3F6658D5" w14:textId="63DC0A72" w:rsidR="00460763" w:rsidRDefault="00460763" w:rsidP="00600535">
      <w:pPr>
        <w:pStyle w:val="CETBodytext"/>
        <w:rPr>
          <w:lang w:eastAsia="ja-JP"/>
        </w:rPr>
      </w:pPr>
      <w:r>
        <w:rPr>
          <w:rFonts w:hint="eastAsia"/>
          <w:lang w:eastAsia="ja-JP"/>
        </w:rPr>
        <w:t>I</w:t>
      </w:r>
      <w:r>
        <w:rPr>
          <w:lang w:eastAsia="ja-JP"/>
        </w:rPr>
        <w:t>n order to establish heat sterilization process using TCFS, rheological properties of various foods should be taken into consideration</w:t>
      </w:r>
      <w:r w:rsidR="00F744D0">
        <w:rPr>
          <w:lang w:eastAsia="ja-JP"/>
        </w:rPr>
        <w:t xml:space="preserve">. </w:t>
      </w:r>
      <w:r w:rsidR="00E32C8C">
        <w:rPr>
          <w:lang w:eastAsia="ja-JP"/>
        </w:rPr>
        <w:t>T</w:t>
      </w:r>
      <w:r w:rsidR="00F744D0">
        <w:rPr>
          <w:lang w:eastAsia="ja-JP"/>
        </w:rPr>
        <w:t>here is a wide variety of rheological properties of foods:</w:t>
      </w:r>
      <w:r w:rsidR="00F744D0">
        <w:rPr>
          <w:rFonts w:hint="eastAsia"/>
          <w:lang w:eastAsia="ja-JP"/>
        </w:rPr>
        <w:t xml:space="preserve"> </w:t>
      </w:r>
      <w:r w:rsidR="00F744D0">
        <w:rPr>
          <w:lang w:eastAsia="ja-JP"/>
        </w:rPr>
        <w:t xml:space="preserve">Newtonian fluid, shear-thinning fluid, shear-thickening fluid, and viscoelastic fluid. </w:t>
      </w:r>
      <w:r w:rsidR="00B67A11">
        <w:rPr>
          <w:lang w:eastAsia="ja-JP"/>
        </w:rPr>
        <w:t xml:space="preserve">In this study, the shear-thinning property was focused on because many foods (e.g. mayonnaise, milk, etc.) have the shear-thinning property. </w:t>
      </w:r>
      <w:r w:rsidR="00630F2B" w:rsidRPr="001B05D6">
        <w:rPr>
          <w:lang w:eastAsia="ja-JP"/>
        </w:rPr>
        <w:t>F</w:t>
      </w:r>
      <w:r w:rsidR="00605E96" w:rsidRPr="001B05D6">
        <w:rPr>
          <w:lang w:eastAsia="ja-JP"/>
        </w:rPr>
        <w:t xml:space="preserve">luid flow and heat </w:t>
      </w:r>
      <w:r w:rsidR="00630F2B" w:rsidRPr="001B05D6">
        <w:rPr>
          <w:lang w:eastAsia="ja-JP"/>
        </w:rPr>
        <w:t>transfer in Taylor</w:t>
      </w:r>
      <w:r w:rsidR="00DA6631" w:rsidRPr="001B05D6">
        <w:rPr>
          <w:rFonts w:cs="Arial"/>
        </w:rPr>
        <w:t>–</w:t>
      </w:r>
      <w:r w:rsidR="00630F2B" w:rsidRPr="001B05D6">
        <w:rPr>
          <w:lang w:eastAsia="ja-JP"/>
        </w:rPr>
        <w:t>Couette flow system</w:t>
      </w:r>
      <w:r w:rsidR="00605E96" w:rsidRPr="001B05D6">
        <w:rPr>
          <w:lang w:eastAsia="ja-JP"/>
        </w:rPr>
        <w:t xml:space="preserve"> </w:t>
      </w:r>
      <w:r w:rsidR="00630F2B" w:rsidRPr="001B05D6">
        <w:rPr>
          <w:lang w:eastAsia="ja-JP"/>
        </w:rPr>
        <w:t>are</w:t>
      </w:r>
      <w:r w:rsidR="00605E96" w:rsidRPr="001B05D6">
        <w:rPr>
          <w:lang w:eastAsia="ja-JP"/>
        </w:rPr>
        <w:t xml:space="preserve"> influenced by the shear-thinning property (Masuda et al., 2019).</w:t>
      </w:r>
      <w:r w:rsidR="00630F2B" w:rsidRPr="001B05D6">
        <w:rPr>
          <w:lang w:eastAsia="ja-JP"/>
        </w:rPr>
        <w:t xml:space="preserve"> </w:t>
      </w:r>
      <w:r w:rsidR="0053537F" w:rsidRPr="001B05D6">
        <w:rPr>
          <w:lang w:eastAsia="ja-JP"/>
        </w:rPr>
        <w:t xml:space="preserve">The viscosity distribution, caused by the shear-thinning property, in the annular spaces </w:t>
      </w:r>
      <w:r w:rsidR="000F0340" w:rsidRPr="001B05D6">
        <w:rPr>
          <w:lang w:eastAsia="ja-JP"/>
        </w:rPr>
        <w:t>decreases the fluidity.</w:t>
      </w:r>
      <w:r w:rsidR="00737609" w:rsidRPr="001B05D6">
        <w:rPr>
          <w:lang w:eastAsia="ja-JP"/>
        </w:rPr>
        <w:t xml:space="preserve"> This leads the decrease in local Nusselt number. Thus, it is necessary to understand the effect of </w:t>
      </w:r>
      <w:r w:rsidR="004B3023" w:rsidRPr="001B05D6">
        <w:rPr>
          <w:lang w:eastAsia="ja-JP"/>
        </w:rPr>
        <w:t>degree</w:t>
      </w:r>
      <w:r w:rsidR="00737609" w:rsidRPr="001B05D6">
        <w:rPr>
          <w:lang w:eastAsia="ja-JP"/>
        </w:rPr>
        <w:t xml:space="preserve"> of shear-thinning property on heat sterilization process.</w:t>
      </w:r>
      <w:r w:rsidR="001226A7" w:rsidRPr="001B05D6">
        <w:rPr>
          <w:lang w:eastAsia="ja-JP"/>
        </w:rPr>
        <w:t xml:space="preserve"> </w:t>
      </w:r>
      <w:r w:rsidR="00497E95" w:rsidRPr="001B05D6">
        <w:rPr>
          <w:lang w:eastAsia="ja-JP"/>
        </w:rPr>
        <w:t>The objective of this study is to numerically investigate</w:t>
      </w:r>
      <w:r w:rsidR="001226A7" w:rsidRPr="001B05D6">
        <w:rPr>
          <w:lang w:eastAsia="ja-JP"/>
        </w:rPr>
        <w:t xml:space="preserve"> such effect by varying the rheological </w:t>
      </w:r>
      <w:r w:rsidR="004B3023" w:rsidRPr="001B05D6">
        <w:rPr>
          <w:lang w:eastAsia="ja-JP"/>
        </w:rPr>
        <w:t>parameter which expresses the degree of shear-thinning property.</w:t>
      </w:r>
      <w:r w:rsidR="00497E95" w:rsidRPr="001B05D6">
        <w:rPr>
          <w:lang w:eastAsia="ja-JP"/>
        </w:rPr>
        <w:t xml:space="preserve"> For two types of shear-thinning foods, lethality development , nutrient retention and power consumption was evaluated.</w:t>
      </w:r>
    </w:p>
    <w:p w14:paraId="546AB8B9" w14:textId="77777777" w:rsidR="003A7605" w:rsidRDefault="003A7605" w:rsidP="00600535">
      <w:pPr>
        <w:pStyle w:val="CETBodytext"/>
        <w:rPr>
          <w:lang w:eastAsia="ja-JP"/>
        </w:rPr>
      </w:pPr>
      <w:r w:rsidRPr="003A7605">
        <w:rPr>
          <w:noProof/>
        </w:rPr>
        <w:drawing>
          <wp:inline distT="0" distB="0" distL="0" distR="0" wp14:anchorId="2AAEE932" wp14:editId="7B72B67C">
            <wp:extent cx="2716462" cy="18340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8488" cy="1889467"/>
                    </a:xfrm>
                    <a:prstGeom prst="rect">
                      <a:avLst/>
                    </a:prstGeom>
                  </pic:spPr>
                </pic:pic>
              </a:graphicData>
            </a:graphic>
          </wp:inline>
        </w:drawing>
      </w:r>
    </w:p>
    <w:p w14:paraId="1D3D66C7" w14:textId="0063F6CD" w:rsidR="003A7605" w:rsidRPr="0049532B" w:rsidRDefault="003A7605" w:rsidP="00600535">
      <w:pPr>
        <w:pStyle w:val="CETBodytext"/>
        <w:rPr>
          <w:i/>
          <w:lang w:eastAsia="ja-JP"/>
        </w:rPr>
      </w:pPr>
      <w:r w:rsidRPr="0049532B">
        <w:rPr>
          <w:rFonts w:hint="eastAsia"/>
          <w:i/>
          <w:lang w:eastAsia="ja-JP"/>
        </w:rPr>
        <w:t>F</w:t>
      </w:r>
      <w:r w:rsidRPr="0049532B">
        <w:rPr>
          <w:i/>
          <w:lang w:eastAsia="ja-JP"/>
        </w:rPr>
        <w:t>igure 1: Schematic picture of Taylor</w:t>
      </w:r>
      <w:r w:rsidR="00630F2B" w:rsidRPr="00DA6631">
        <w:rPr>
          <w:rFonts w:cs="Arial"/>
        </w:rPr>
        <w:t>–</w:t>
      </w:r>
      <w:r w:rsidRPr="0049532B">
        <w:rPr>
          <w:i/>
          <w:lang w:eastAsia="ja-JP"/>
        </w:rPr>
        <w:t>Couette flow</w:t>
      </w:r>
    </w:p>
    <w:p w14:paraId="579CA467" w14:textId="77777777" w:rsidR="0040595F" w:rsidRDefault="003A7605" w:rsidP="0040595F">
      <w:pPr>
        <w:pStyle w:val="CETHeading1"/>
        <w:rPr>
          <w:lang w:val="en-GB"/>
        </w:rPr>
      </w:pPr>
      <w:r>
        <w:rPr>
          <w:lang w:val="en-GB"/>
        </w:rPr>
        <w:t>Numerical simulation</w:t>
      </w:r>
    </w:p>
    <w:p w14:paraId="2F5BE187" w14:textId="77777777" w:rsidR="003A7605" w:rsidRPr="006F0319" w:rsidRDefault="003A7605" w:rsidP="003A7605">
      <w:pPr>
        <w:pStyle w:val="CETheadingx"/>
        <w:numPr>
          <w:ilvl w:val="0"/>
          <w:numId w:val="0"/>
        </w:numPr>
      </w:pPr>
      <w:r>
        <w:t>2.1 Governing equations</w:t>
      </w:r>
    </w:p>
    <w:p w14:paraId="72E7D746" w14:textId="77777777" w:rsidR="003A7605" w:rsidRDefault="003A7605" w:rsidP="003A7605">
      <w:pPr>
        <w:pStyle w:val="CETBodytext"/>
      </w:pPr>
      <w:r>
        <w:rPr>
          <w:rFonts w:hint="eastAsia"/>
          <w:lang w:val="en-GB"/>
        </w:rPr>
        <w:t>T</w:t>
      </w:r>
      <w:r>
        <w:rPr>
          <w:lang w:val="en-GB"/>
        </w:rPr>
        <w:t>he liquid food was considered as an incompressible fluid having the shear-thinning fluid in a steady state.</w:t>
      </w:r>
      <w:r w:rsidR="00B30F5E">
        <w:t xml:space="preserve"> In a three-dimensional simulation, governing equations are conservation equations of mass, momentum, heat, and chemical species as shown in Eqs. (1)-(</w:t>
      </w:r>
      <w:r w:rsidR="00C66039">
        <w:t>4</w:t>
      </w:r>
      <w:r w:rsidR="00B30F5E">
        <w:t>):</w:t>
      </w:r>
    </w:p>
    <w:tbl>
      <w:tblPr>
        <w:tblW w:w="5000" w:type="pct"/>
        <w:tblLook w:val="04A0" w:firstRow="1" w:lastRow="0" w:firstColumn="1" w:lastColumn="0" w:noHBand="0" w:noVBand="1"/>
      </w:tblPr>
      <w:tblGrid>
        <w:gridCol w:w="7982"/>
        <w:gridCol w:w="805"/>
      </w:tblGrid>
      <w:tr w:rsidR="006F4D3C" w:rsidRPr="00B57B36" w14:paraId="336F335B" w14:textId="77777777" w:rsidTr="006F4D3C">
        <w:tc>
          <w:tcPr>
            <w:tcW w:w="7982" w:type="dxa"/>
            <w:shd w:val="clear" w:color="auto" w:fill="auto"/>
            <w:vAlign w:val="center"/>
          </w:tcPr>
          <w:p w14:paraId="433A9376" w14:textId="77777777" w:rsidR="006F4D3C" w:rsidRPr="00B57B36" w:rsidRDefault="006F4D3C" w:rsidP="006014DE">
            <w:pPr>
              <w:pStyle w:val="CETEquation"/>
            </w:pPr>
            <m:oMathPara>
              <m:oMath>
                <m:r>
                  <m:rPr>
                    <m:sty m:val="p"/>
                  </m:rPr>
                  <w:rPr>
                    <w:rFonts w:ascii="Cambria Math" w:hAnsi="Cambria Math"/>
                  </w:rPr>
                  <m:t>∇</m:t>
                </m:r>
                <m:r>
                  <w:rPr>
                    <w:rFonts w:ascii="Cambria Math" w:hAnsi="Cambria Math"/>
                  </w:rPr>
                  <m:t>∙</m:t>
                </m:r>
                <m:r>
                  <m:rPr>
                    <m:sty m:val="b"/>
                  </m:rPr>
                  <w:rPr>
                    <w:rFonts w:ascii="Cambria Math" w:hAnsi="Cambria Math"/>
                  </w:rPr>
                  <m:t>u</m:t>
                </m:r>
                <m:r>
                  <w:rPr>
                    <w:rFonts w:ascii="Cambria Math" w:hAnsi="Cambria Math"/>
                  </w:rPr>
                  <m:t>=0</m:t>
                </m:r>
              </m:oMath>
            </m:oMathPara>
          </w:p>
        </w:tc>
        <w:tc>
          <w:tcPr>
            <w:tcW w:w="805" w:type="dxa"/>
            <w:shd w:val="clear" w:color="auto" w:fill="auto"/>
            <w:vAlign w:val="center"/>
          </w:tcPr>
          <w:p w14:paraId="3937F999" w14:textId="77777777" w:rsidR="006F4D3C" w:rsidRPr="00B57B36" w:rsidRDefault="006F4D3C" w:rsidP="006014DE">
            <w:pPr>
              <w:pStyle w:val="CETEquation"/>
              <w:jc w:val="right"/>
            </w:pPr>
            <w:r w:rsidRPr="00B57B36">
              <w:t>(1)</w:t>
            </w:r>
          </w:p>
        </w:tc>
      </w:tr>
      <w:tr w:rsidR="006F4D3C" w:rsidRPr="00B57B36" w14:paraId="0C7FE12E" w14:textId="77777777" w:rsidTr="006F4D3C">
        <w:tc>
          <w:tcPr>
            <w:tcW w:w="7982" w:type="dxa"/>
            <w:shd w:val="clear" w:color="auto" w:fill="auto"/>
            <w:vAlign w:val="center"/>
          </w:tcPr>
          <w:p w14:paraId="4C11FC8E" w14:textId="77777777" w:rsidR="006F4D3C" w:rsidRPr="00B57B36" w:rsidRDefault="009E219B" w:rsidP="006014DE">
            <w:pPr>
              <w:pStyle w:val="CETEquation"/>
            </w:pPr>
            <m:oMathPara>
              <m:oMath>
                <m:d>
                  <m:dPr>
                    <m:ctrlPr>
                      <w:rPr>
                        <w:rFonts w:ascii="Cambria Math" w:hAnsi="Cambria Math"/>
                        <w:i/>
                        <w:noProof/>
                      </w:rPr>
                    </m:ctrlPr>
                  </m:dPr>
                  <m:e>
                    <m:r>
                      <m:rPr>
                        <m:sty m:val="b"/>
                      </m:rPr>
                      <w:rPr>
                        <w:rFonts w:ascii="Cambria Math" w:hAnsi="Cambria Math"/>
                        <w:noProof/>
                      </w:rPr>
                      <m:t>u</m:t>
                    </m:r>
                    <m:r>
                      <w:rPr>
                        <w:rFonts w:ascii="Cambria Math" w:hAnsi="Cambria Math"/>
                        <w:noProof/>
                      </w:rPr>
                      <m:t>∙</m:t>
                    </m:r>
                    <m:r>
                      <m:rPr>
                        <m:sty m:val="p"/>
                      </m:rPr>
                      <w:rPr>
                        <w:rFonts w:ascii="Cambria Math" w:hAnsi="Cambria Math"/>
                        <w:noProof/>
                      </w:rPr>
                      <m:t>∇</m:t>
                    </m:r>
                  </m:e>
                </m:d>
                <m:r>
                  <m:rPr>
                    <m:sty m:val="b"/>
                  </m:rPr>
                  <w:rPr>
                    <w:rFonts w:ascii="Cambria Math" w:hAnsi="Cambria Math"/>
                    <w:noProof/>
                  </w:rPr>
                  <m:t>u</m:t>
                </m:r>
                <m:r>
                  <w:rPr>
                    <w:rFonts w:ascii="Cambria Math" w:hAnsi="Cambria Math"/>
                    <w:noProof/>
                  </w:rPr>
                  <m:t>=-</m:t>
                </m:r>
                <m:f>
                  <m:fPr>
                    <m:ctrlPr>
                      <w:rPr>
                        <w:rFonts w:ascii="Cambria Math" w:hAnsi="Cambria Math"/>
                        <w:i/>
                        <w:noProof/>
                        <w:sz w:val="22"/>
                      </w:rPr>
                    </m:ctrlPr>
                  </m:fPr>
                  <m:num>
                    <m:r>
                      <m:rPr>
                        <m:sty m:val="p"/>
                      </m:rPr>
                      <w:rPr>
                        <w:rFonts w:ascii="Cambria Math" w:hAnsi="Cambria Math"/>
                        <w:noProof/>
                        <w:sz w:val="21"/>
                      </w:rPr>
                      <m:t>∇</m:t>
                    </m:r>
                    <m:r>
                      <w:rPr>
                        <w:rFonts w:ascii="Cambria Math" w:hAnsi="Cambria Math"/>
                        <w:noProof/>
                        <w:sz w:val="21"/>
                      </w:rPr>
                      <m:t>p</m:t>
                    </m:r>
                  </m:num>
                  <m:den>
                    <m:r>
                      <w:rPr>
                        <w:rFonts w:ascii="Cambria Math" w:hAnsi="Cambria Math"/>
                        <w:noProof/>
                        <w:sz w:val="22"/>
                      </w:rPr>
                      <m:t>ρ</m:t>
                    </m:r>
                  </m:den>
                </m:f>
                <m:r>
                  <w:rPr>
                    <w:rFonts w:ascii="Cambria Math" w:hAnsi="Cambria Math"/>
                    <w:noProof/>
                  </w:rPr>
                  <m:t>+</m:t>
                </m:r>
                <m:f>
                  <m:fPr>
                    <m:ctrlPr>
                      <w:rPr>
                        <w:rFonts w:ascii="Cambria Math" w:hAnsi="Cambria Math"/>
                        <w:i/>
                        <w:noProof/>
                        <w:sz w:val="22"/>
                      </w:rPr>
                    </m:ctrlPr>
                  </m:fPr>
                  <m:num>
                    <m:r>
                      <w:rPr>
                        <w:rFonts w:ascii="Cambria Math" w:hAnsi="Cambria Math"/>
                        <w:noProof/>
                        <w:sz w:val="22"/>
                      </w:rPr>
                      <m:t>1</m:t>
                    </m:r>
                  </m:num>
                  <m:den>
                    <m:r>
                      <w:rPr>
                        <w:rFonts w:ascii="Cambria Math" w:hAnsi="Cambria Math"/>
                        <w:noProof/>
                        <w:sz w:val="22"/>
                      </w:rPr>
                      <m:t>ρ</m:t>
                    </m:r>
                  </m:den>
                </m:f>
                <m:r>
                  <m:rPr>
                    <m:sty m:val="p"/>
                  </m:rPr>
                  <w:rPr>
                    <w:rFonts w:ascii="Cambria Math" w:hAnsi="Cambria Math"/>
                    <w:noProof/>
                  </w:rPr>
                  <m:t>∇</m:t>
                </m:r>
                <m:r>
                  <w:rPr>
                    <w:rFonts w:ascii="Cambria Math" w:hAnsi="Cambria Math"/>
                    <w:noProof/>
                  </w:rPr>
                  <m:t>∙</m:t>
                </m:r>
                <m:d>
                  <m:dPr>
                    <m:ctrlPr>
                      <w:rPr>
                        <w:rFonts w:ascii="Cambria Math" w:hAnsi="Cambria Math"/>
                        <w:i/>
                        <w:noProof/>
                      </w:rPr>
                    </m:ctrlPr>
                  </m:dPr>
                  <m:e>
                    <m:r>
                      <w:rPr>
                        <w:rFonts w:ascii="Cambria Math" w:hAnsi="Cambria Math"/>
                        <w:noProof/>
                      </w:rPr>
                      <m:t>2η</m:t>
                    </m:r>
                    <m:r>
                      <m:rPr>
                        <m:sty m:val="b"/>
                      </m:rPr>
                      <w:rPr>
                        <w:rFonts w:ascii="Cambria Math" w:hAnsi="Cambria Math"/>
                        <w:noProof/>
                      </w:rPr>
                      <m:t>D</m:t>
                    </m:r>
                  </m:e>
                </m:d>
                <m:r>
                  <w:rPr>
                    <w:rFonts w:ascii="Cambria Math" w:hAnsi="Cambria Math"/>
                    <w:noProof/>
                  </w:rPr>
                  <m:t>-</m:t>
                </m:r>
                <m:r>
                  <m:rPr>
                    <m:sty m:val="b"/>
                  </m:rPr>
                  <w:rPr>
                    <w:rFonts w:ascii="Cambria Math" w:hAnsi="Cambria Math"/>
                    <w:noProof/>
                  </w:rPr>
                  <m:t>g</m:t>
                </m:r>
                <m:r>
                  <w:rPr>
                    <w:rFonts w:ascii="Cambria Math" w:hAnsi="Cambria Math"/>
                    <w:noProof/>
                  </w:rPr>
                  <m:t>α</m:t>
                </m:r>
                <m:d>
                  <m:dPr>
                    <m:ctrlPr>
                      <w:rPr>
                        <w:rFonts w:ascii="Cambria Math" w:hAnsi="Cambria Math"/>
                        <w:i/>
                        <w:noProof/>
                      </w:rPr>
                    </m:ctrlPr>
                  </m:dPr>
                  <m:e>
                    <m:r>
                      <w:rPr>
                        <w:rFonts w:ascii="Cambria Math" w:hAnsi="Cambria Math"/>
                        <w:noProof/>
                      </w:rPr>
                      <m:t>T-</m:t>
                    </m:r>
                    <m:sSub>
                      <m:sSubPr>
                        <m:ctrlPr>
                          <w:rPr>
                            <w:rFonts w:ascii="Cambria Math" w:hAnsi="Cambria Math"/>
                            <w:i/>
                            <w:noProof/>
                          </w:rPr>
                        </m:ctrlPr>
                      </m:sSubPr>
                      <m:e>
                        <m:r>
                          <w:rPr>
                            <w:rFonts w:ascii="Cambria Math" w:hAnsi="Cambria Math"/>
                            <w:noProof/>
                          </w:rPr>
                          <m:t>T</m:t>
                        </m:r>
                      </m:e>
                      <m:sub>
                        <m:r>
                          <m:rPr>
                            <m:sty m:val="p"/>
                          </m:rPr>
                          <w:rPr>
                            <w:rFonts w:ascii="Cambria Math" w:hAnsi="Cambria Math"/>
                            <w:noProof/>
                          </w:rPr>
                          <m:t>ref</m:t>
                        </m:r>
                      </m:sub>
                    </m:sSub>
                  </m:e>
                </m:d>
              </m:oMath>
            </m:oMathPara>
          </w:p>
        </w:tc>
        <w:tc>
          <w:tcPr>
            <w:tcW w:w="805" w:type="dxa"/>
            <w:shd w:val="clear" w:color="auto" w:fill="auto"/>
            <w:vAlign w:val="center"/>
          </w:tcPr>
          <w:p w14:paraId="6912ACE6" w14:textId="77777777" w:rsidR="006F4D3C" w:rsidRPr="006F4D3C" w:rsidRDefault="006F4D3C" w:rsidP="006F4D3C">
            <w:pPr>
              <w:pStyle w:val="CETEquation"/>
              <w:jc w:val="right"/>
            </w:pPr>
            <w:r w:rsidRPr="00B57B36">
              <w:t>(</w:t>
            </w:r>
            <w:r>
              <w:t>2</w:t>
            </w:r>
            <w:r w:rsidRPr="00B57B36">
              <w:t>)</w:t>
            </w:r>
          </w:p>
        </w:tc>
      </w:tr>
      <w:tr w:rsidR="006F4D3C" w:rsidRPr="00B57B36" w14:paraId="5A14DC1A" w14:textId="77777777" w:rsidTr="006F4D3C">
        <w:tc>
          <w:tcPr>
            <w:tcW w:w="7982" w:type="dxa"/>
            <w:shd w:val="clear" w:color="auto" w:fill="auto"/>
            <w:vAlign w:val="center"/>
          </w:tcPr>
          <w:p w14:paraId="20EE4B39" w14:textId="77777777" w:rsidR="006F4D3C" w:rsidRPr="006F4D3C" w:rsidRDefault="006F4D3C" w:rsidP="006014DE">
            <w:pPr>
              <w:pStyle w:val="CETEquation"/>
              <w:rPr>
                <w:noProof/>
              </w:rPr>
            </w:pPr>
            <m:oMathPara>
              <m:oMath>
                <m:r>
                  <m:rPr>
                    <m:sty m:val="b"/>
                  </m:rPr>
                  <w:rPr>
                    <w:rFonts w:ascii="Cambria Math" w:hAnsi="Cambria Math"/>
                  </w:rPr>
                  <m:t>u</m:t>
                </m:r>
                <m:r>
                  <w:rPr>
                    <w:rFonts w:ascii="Cambria Math" w:hAnsi="Cambria Math"/>
                  </w:rPr>
                  <m:t>∙</m:t>
                </m:r>
                <m:r>
                  <m:rPr>
                    <m:sty m:val="p"/>
                  </m:rPr>
                  <w:rPr>
                    <w:rFonts w:ascii="Cambria Math" w:hAnsi="Cambria Math"/>
                  </w:rPr>
                  <m:t>∇</m:t>
                </m:r>
                <m:r>
                  <w:rPr>
                    <w:rFonts w:ascii="Cambria Math" w:hAnsi="Cambria Math"/>
                  </w:rPr>
                  <m:t>T=</m:t>
                </m:r>
                <m:f>
                  <m:fPr>
                    <m:ctrlPr>
                      <w:rPr>
                        <w:rFonts w:ascii="Cambria Math" w:hAnsi="Cambria Math"/>
                        <w:i/>
                        <w:sz w:val="22"/>
                      </w:rPr>
                    </m:ctrlPr>
                  </m:fPr>
                  <m:num>
                    <m:r>
                      <w:rPr>
                        <w:rFonts w:ascii="Cambria Math" w:hAnsi="Cambria Math"/>
                        <w:sz w:val="21"/>
                      </w:rPr>
                      <m:t>λ</m:t>
                    </m:r>
                  </m:num>
                  <m:den>
                    <m:r>
                      <w:rPr>
                        <w:rFonts w:ascii="Cambria Math" w:hAnsi="Cambria Math"/>
                        <w:sz w:val="21"/>
                      </w:rPr>
                      <m:t>ρ</m:t>
                    </m:r>
                    <m:sSub>
                      <m:sSubPr>
                        <m:ctrlPr>
                          <w:rPr>
                            <w:rFonts w:ascii="Cambria Math" w:hAnsi="Cambria Math"/>
                            <w:i/>
                            <w:sz w:val="21"/>
                          </w:rPr>
                        </m:ctrlPr>
                      </m:sSubPr>
                      <m:e>
                        <m:r>
                          <w:rPr>
                            <w:rFonts w:ascii="Cambria Math" w:hAnsi="Cambria Math"/>
                            <w:sz w:val="21"/>
                          </w:rPr>
                          <m:t>C</m:t>
                        </m:r>
                      </m:e>
                      <m:sub>
                        <m:r>
                          <m:rPr>
                            <m:sty m:val="p"/>
                          </m:rPr>
                          <w:rPr>
                            <w:rFonts w:ascii="Cambria Math" w:hAnsi="Cambria Math"/>
                            <w:sz w:val="21"/>
                          </w:rPr>
                          <m:t>p</m:t>
                        </m:r>
                      </m:sub>
                    </m:sSub>
                  </m:den>
                </m:f>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m:t>
                </m:r>
              </m:oMath>
            </m:oMathPara>
          </w:p>
        </w:tc>
        <w:tc>
          <w:tcPr>
            <w:tcW w:w="805" w:type="dxa"/>
            <w:shd w:val="clear" w:color="auto" w:fill="auto"/>
            <w:vAlign w:val="center"/>
          </w:tcPr>
          <w:p w14:paraId="70C8954F" w14:textId="77777777" w:rsidR="006F4D3C" w:rsidRPr="00B57B36" w:rsidRDefault="006F4D3C" w:rsidP="006F4D3C">
            <w:pPr>
              <w:pStyle w:val="CETEquation"/>
              <w:jc w:val="right"/>
            </w:pPr>
            <w:r>
              <w:rPr>
                <w:rFonts w:hint="eastAsia"/>
              </w:rPr>
              <w:t>(</w:t>
            </w:r>
            <w:r>
              <w:t>3)</w:t>
            </w:r>
          </w:p>
        </w:tc>
      </w:tr>
      <w:tr w:rsidR="006F4D3C" w:rsidRPr="00B57B36" w14:paraId="5A0F5009" w14:textId="77777777" w:rsidTr="006F4D3C">
        <w:tc>
          <w:tcPr>
            <w:tcW w:w="7982" w:type="dxa"/>
            <w:shd w:val="clear" w:color="auto" w:fill="auto"/>
            <w:vAlign w:val="center"/>
          </w:tcPr>
          <w:p w14:paraId="6D4CBA91" w14:textId="77777777" w:rsidR="006F4D3C" w:rsidRPr="006F4D3C" w:rsidRDefault="0076115D" w:rsidP="006014DE">
            <w:pPr>
              <w:pStyle w:val="CETEquation"/>
              <w:rPr>
                <w:noProof/>
              </w:rPr>
            </w:pPr>
            <m:oMathPara>
              <m:oMath>
                <m:r>
                  <m:rPr>
                    <m:sty m:val="b"/>
                  </m:rPr>
                  <w:rPr>
                    <w:rFonts w:ascii="Cambria Math" w:hAnsi="Cambria Math"/>
                  </w:rPr>
                  <m:t>u</m:t>
                </m:r>
                <m:r>
                  <w:rPr>
                    <w:rFonts w:ascii="Cambria Math" w:hAnsi="Cambria Math"/>
                  </w:rPr>
                  <m:t>∙</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m:rPr>
                            <m:sty m:val="p"/>
                          </m:rPr>
                          <w:rPr>
                            <w:rFonts w:ascii="Cambria Math" w:hAnsi="Cambria Math"/>
                          </w:rPr>
                          <m:t>C</m:t>
                        </m:r>
                      </m:sub>
                    </m:sSub>
                    <m:r>
                      <w:rPr>
                        <w:rFonts w:ascii="Cambria Math" w:hAnsi="Cambria Math"/>
                      </w:rPr>
                      <m:t>∙</m:t>
                    </m:r>
                    <m:r>
                      <m:rPr>
                        <m:sty m:val="p"/>
                      </m:rPr>
                      <w:rPr>
                        <w:rFonts w:ascii="Cambria Math" w:hAnsi="Cambria Math"/>
                      </w:rPr>
                      <m:t>∇</m:t>
                    </m:r>
                    <m:r>
                      <w:rPr>
                        <w:rFonts w:ascii="Cambria Math" w:hAnsi="Cambria Math"/>
                      </w:rPr>
                      <m:t>C</m:t>
                    </m:r>
                  </m:e>
                </m:d>
                <m:r>
                  <w:rPr>
                    <w:rFonts w:ascii="Cambria Math" w:hAnsi="Cambria Math"/>
                  </w:rPr>
                  <m:t>+S</m:t>
                </m:r>
              </m:oMath>
            </m:oMathPara>
          </w:p>
        </w:tc>
        <w:tc>
          <w:tcPr>
            <w:tcW w:w="805" w:type="dxa"/>
            <w:shd w:val="clear" w:color="auto" w:fill="auto"/>
            <w:vAlign w:val="center"/>
          </w:tcPr>
          <w:p w14:paraId="339E46CF" w14:textId="77777777" w:rsidR="006F4D3C" w:rsidRPr="00B57B36" w:rsidRDefault="0076115D" w:rsidP="006F4D3C">
            <w:pPr>
              <w:pStyle w:val="CETEquation"/>
              <w:jc w:val="right"/>
            </w:pPr>
            <w:r>
              <w:rPr>
                <w:rFonts w:hint="eastAsia"/>
              </w:rPr>
              <w:t>(</w:t>
            </w:r>
            <w:r>
              <w:t>4)</w:t>
            </w:r>
          </w:p>
        </w:tc>
      </w:tr>
    </w:tbl>
    <w:p w14:paraId="187E4522" w14:textId="77777777" w:rsidR="006F4D3C" w:rsidRPr="00B30F5E" w:rsidRDefault="0076115D" w:rsidP="003A7605">
      <w:pPr>
        <w:pStyle w:val="CETBodytext"/>
        <w:rPr>
          <w:lang w:eastAsia="ja-JP"/>
        </w:rPr>
      </w:pPr>
      <w:r w:rsidRPr="0076115D">
        <w:rPr>
          <w:lang w:val="en-GB" w:eastAsia="ja-JP"/>
        </w:rPr>
        <w:t xml:space="preserve">where </w:t>
      </w:r>
      <w:r w:rsidRPr="0076115D">
        <w:rPr>
          <w:b/>
          <w:lang w:val="en-GB" w:eastAsia="ja-JP"/>
        </w:rPr>
        <w:t>u</w:t>
      </w:r>
      <w:r w:rsidRPr="0076115D">
        <w:rPr>
          <w:lang w:val="en-GB" w:eastAsia="ja-JP"/>
        </w:rPr>
        <w:t xml:space="preserve"> is the velocity, </w:t>
      </w:r>
      <w:r w:rsidRPr="0076115D">
        <w:rPr>
          <w:i/>
          <w:lang w:val="en-GB" w:eastAsia="ja-JP"/>
        </w:rPr>
        <w:t>p</w:t>
      </w:r>
      <w:r w:rsidRPr="0076115D">
        <w:rPr>
          <w:lang w:val="en-GB" w:eastAsia="ja-JP"/>
        </w:rPr>
        <w:t xml:space="preserve"> is the pressure,</w:t>
      </w:r>
      <w:r w:rsidRPr="0076115D">
        <w:rPr>
          <w:rFonts w:hint="eastAsia"/>
          <w:lang w:val="en-GB" w:eastAsia="ja-JP"/>
        </w:rPr>
        <w:t xml:space="preserve"> </w:t>
      </w:r>
      <w:r w:rsidRPr="0076115D">
        <w:rPr>
          <w:rFonts w:hint="eastAsia"/>
          <w:i/>
          <w:lang w:val="en-GB" w:eastAsia="ja-JP"/>
        </w:rPr>
        <w:sym w:font="Symbol" w:char="F072"/>
      </w:r>
      <w:r w:rsidRPr="0076115D">
        <w:rPr>
          <w:lang w:val="en-GB" w:eastAsia="ja-JP"/>
        </w:rPr>
        <w:t xml:space="preserve"> is the density, </w:t>
      </w:r>
      <w:r w:rsidRPr="0076115D">
        <w:rPr>
          <w:i/>
          <w:lang w:val="en-GB" w:eastAsia="ja-JP"/>
        </w:rPr>
        <w:sym w:font="Symbol" w:char="F068"/>
      </w:r>
      <w:r w:rsidRPr="0076115D">
        <w:rPr>
          <w:lang w:val="en-GB" w:eastAsia="ja-JP"/>
        </w:rPr>
        <w:t xml:space="preserve"> is the viscosity</w:t>
      </w:r>
      <w:r w:rsidRPr="0076115D">
        <w:rPr>
          <w:rFonts w:hint="eastAsia"/>
          <w:lang w:val="en-GB" w:eastAsia="ja-JP"/>
        </w:rPr>
        <w:t xml:space="preserve"> depending on the shear-rate</w:t>
      </w:r>
      <w:r w:rsidRPr="0076115D">
        <w:rPr>
          <w:lang w:val="en-GB" w:eastAsia="ja-JP"/>
        </w:rPr>
        <w:t>,</w:t>
      </w:r>
      <w:r w:rsidRPr="0076115D">
        <w:rPr>
          <w:rFonts w:hint="eastAsia"/>
          <w:lang w:val="en-GB" w:eastAsia="ja-JP"/>
        </w:rPr>
        <w:t xml:space="preserve"> </w:t>
      </w:r>
      <w:r w:rsidRPr="0076115D">
        <w:rPr>
          <w:b/>
          <w:lang w:val="en-GB" w:eastAsia="ja-JP"/>
        </w:rPr>
        <w:t>D</w:t>
      </w:r>
      <w:r w:rsidRPr="0076115D">
        <w:rPr>
          <w:rFonts w:hint="eastAsia"/>
          <w:lang w:val="en-GB" w:eastAsia="ja-JP"/>
        </w:rPr>
        <w:t xml:space="preserve"> ( = (</w:t>
      </w:r>
      <w:r w:rsidRPr="0076115D">
        <w:rPr>
          <w:rFonts w:hint="eastAsia"/>
          <w:lang w:val="en-GB" w:eastAsia="ja-JP"/>
        </w:rPr>
        <w:sym w:font="Symbol" w:char="F0D1"/>
      </w:r>
      <w:r w:rsidRPr="0076115D">
        <w:rPr>
          <w:rFonts w:hint="eastAsia"/>
          <w:b/>
          <w:lang w:val="en-GB" w:eastAsia="ja-JP"/>
        </w:rPr>
        <w:t>u</w:t>
      </w:r>
      <w:r w:rsidRPr="0076115D">
        <w:rPr>
          <w:rFonts w:hint="eastAsia"/>
          <w:lang w:val="en-GB" w:eastAsia="ja-JP"/>
        </w:rPr>
        <w:t xml:space="preserve"> + </w:t>
      </w:r>
      <w:r w:rsidRPr="0076115D">
        <w:rPr>
          <w:rFonts w:hint="eastAsia"/>
          <w:lang w:val="en-GB" w:eastAsia="ja-JP"/>
        </w:rPr>
        <w:sym w:font="Symbol" w:char="F0D1"/>
      </w:r>
      <w:r w:rsidRPr="0076115D">
        <w:rPr>
          <w:rFonts w:hint="eastAsia"/>
          <w:b/>
          <w:lang w:val="en-GB" w:eastAsia="ja-JP"/>
        </w:rPr>
        <w:t>u</w:t>
      </w:r>
      <w:r w:rsidRPr="0076115D">
        <w:rPr>
          <w:rFonts w:hint="eastAsia"/>
          <w:vertAlign w:val="superscript"/>
          <w:lang w:val="en-GB" w:eastAsia="ja-JP"/>
        </w:rPr>
        <w:t>T</w:t>
      </w:r>
      <w:r w:rsidRPr="0076115D">
        <w:rPr>
          <w:rFonts w:hint="eastAsia"/>
          <w:lang w:val="en-GB" w:eastAsia="ja-JP"/>
        </w:rPr>
        <w:t>) / 2) is the rate of deformation tensor</w:t>
      </w:r>
      <w:r w:rsidRPr="0076115D">
        <w:rPr>
          <w:lang w:val="en-GB" w:eastAsia="ja-JP"/>
        </w:rPr>
        <w:t>,</w:t>
      </w:r>
      <w:r w:rsidRPr="0076115D">
        <w:rPr>
          <w:rFonts w:hint="eastAsia"/>
          <w:lang w:val="en-GB" w:eastAsia="ja-JP"/>
        </w:rPr>
        <w:t xml:space="preserve"> </w:t>
      </w:r>
      <w:r w:rsidRPr="0076115D">
        <w:rPr>
          <w:b/>
          <w:lang w:val="en-GB" w:eastAsia="ja-JP"/>
        </w:rPr>
        <w:t>g</w:t>
      </w:r>
      <w:r w:rsidRPr="0076115D">
        <w:rPr>
          <w:lang w:val="en-GB" w:eastAsia="ja-JP"/>
        </w:rPr>
        <w:t xml:space="preserve"> is the gravitational acceleration,</w:t>
      </w:r>
      <w:r w:rsidRPr="0076115D">
        <w:rPr>
          <w:rFonts w:hint="eastAsia"/>
          <w:lang w:val="en-GB" w:eastAsia="ja-JP"/>
        </w:rPr>
        <w:t xml:space="preserve"> </w:t>
      </w:r>
      <w:r w:rsidRPr="0076115D">
        <w:rPr>
          <w:rFonts w:ascii="Symbol" w:hAnsi="Symbol"/>
          <w:i/>
          <w:lang w:val="en-GB" w:eastAsia="ja-JP"/>
        </w:rPr>
        <w:t></w:t>
      </w:r>
      <w:r w:rsidRPr="0076115D">
        <w:rPr>
          <w:lang w:val="en-GB" w:eastAsia="ja-JP"/>
        </w:rPr>
        <w:t xml:space="preserve"> is the coefficient of volume expansion, </w:t>
      </w:r>
      <w:r w:rsidRPr="0076115D">
        <w:rPr>
          <w:rFonts w:hint="eastAsia"/>
          <w:i/>
          <w:lang w:val="en-GB" w:eastAsia="ja-JP"/>
        </w:rPr>
        <w:t>T</w:t>
      </w:r>
      <w:r w:rsidRPr="0076115D">
        <w:rPr>
          <w:rFonts w:hint="eastAsia"/>
          <w:lang w:val="en-GB" w:eastAsia="ja-JP"/>
        </w:rPr>
        <w:t xml:space="preserve"> is the temperature</w:t>
      </w:r>
      <w:r w:rsidRPr="0076115D">
        <w:rPr>
          <w:lang w:val="en-GB" w:eastAsia="ja-JP"/>
        </w:rPr>
        <w:t>,</w:t>
      </w:r>
      <w:r w:rsidRPr="0076115D">
        <w:rPr>
          <w:rFonts w:hint="eastAsia"/>
          <w:i/>
          <w:lang w:val="en-GB" w:eastAsia="ja-JP"/>
        </w:rPr>
        <w:t xml:space="preserve"> </w:t>
      </w:r>
      <w:r w:rsidRPr="0076115D">
        <w:rPr>
          <w:i/>
          <w:lang w:val="en-GB" w:eastAsia="ja-JP"/>
        </w:rPr>
        <w:t>T</w:t>
      </w:r>
      <w:r w:rsidRPr="0076115D">
        <w:rPr>
          <w:vertAlign w:val="subscript"/>
          <w:lang w:val="en-GB" w:eastAsia="ja-JP"/>
        </w:rPr>
        <w:t>ref</w:t>
      </w:r>
      <w:r w:rsidRPr="0076115D">
        <w:rPr>
          <w:lang w:val="en-GB" w:eastAsia="ja-JP"/>
        </w:rPr>
        <w:t xml:space="preserve"> is the reference temperature, </w:t>
      </w:r>
      <w:r w:rsidRPr="0076115D">
        <w:rPr>
          <w:rFonts w:hint="eastAsia"/>
          <w:i/>
          <w:lang w:val="en-GB" w:eastAsia="ja-JP"/>
        </w:rPr>
        <w:sym w:font="Symbol" w:char="F06C"/>
      </w:r>
      <w:r w:rsidRPr="0076115D">
        <w:rPr>
          <w:rFonts w:hint="eastAsia"/>
          <w:lang w:val="en-GB" w:eastAsia="ja-JP"/>
        </w:rPr>
        <w:t xml:space="preserve"> is the thermal </w:t>
      </w:r>
      <w:r w:rsidRPr="0076115D">
        <w:rPr>
          <w:lang w:val="en-GB" w:eastAsia="ja-JP"/>
        </w:rPr>
        <w:t>conductivity</w:t>
      </w:r>
      <w:r w:rsidRPr="0076115D">
        <w:rPr>
          <w:rFonts w:hint="eastAsia"/>
          <w:lang w:val="en-GB" w:eastAsia="ja-JP"/>
        </w:rPr>
        <w:t xml:space="preserve">, </w:t>
      </w:r>
      <w:r w:rsidRPr="0076115D">
        <w:rPr>
          <w:rFonts w:hint="eastAsia"/>
          <w:i/>
          <w:lang w:val="en-GB" w:eastAsia="ja-JP"/>
        </w:rPr>
        <w:t>C</w:t>
      </w:r>
      <w:r w:rsidRPr="0076115D">
        <w:rPr>
          <w:rFonts w:hint="eastAsia"/>
          <w:vertAlign w:val="subscript"/>
          <w:lang w:val="en-GB" w:eastAsia="ja-JP"/>
        </w:rPr>
        <w:t>p</w:t>
      </w:r>
      <w:r w:rsidRPr="0076115D">
        <w:rPr>
          <w:rFonts w:hint="eastAsia"/>
          <w:lang w:val="en-GB" w:eastAsia="ja-JP"/>
        </w:rPr>
        <w:t xml:space="preserve"> is the specific heat capacity</w:t>
      </w:r>
      <w:r w:rsidRPr="0076115D">
        <w:rPr>
          <w:lang w:val="en-GB" w:eastAsia="ja-JP"/>
        </w:rPr>
        <w:t xml:space="preserve">, </w:t>
      </w:r>
      <w:r w:rsidRPr="0076115D">
        <w:rPr>
          <w:i/>
          <w:lang w:val="en-GB" w:eastAsia="ja-JP"/>
        </w:rPr>
        <w:t>C</w:t>
      </w:r>
      <w:r w:rsidRPr="0076115D">
        <w:rPr>
          <w:lang w:val="en-GB" w:eastAsia="ja-JP"/>
        </w:rPr>
        <w:t xml:space="preserve"> is the concentration, </w:t>
      </w:r>
      <w:r w:rsidRPr="0076115D">
        <w:rPr>
          <w:i/>
          <w:lang w:val="en-GB" w:eastAsia="ja-JP"/>
        </w:rPr>
        <w:t>D</w:t>
      </w:r>
      <w:r w:rsidRPr="0076115D">
        <w:rPr>
          <w:vertAlign w:val="subscript"/>
          <w:lang w:val="en-GB" w:eastAsia="ja-JP"/>
        </w:rPr>
        <w:t>c</w:t>
      </w:r>
      <w:r w:rsidRPr="0076115D">
        <w:rPr>
          <w:lang w:val="en-GB" w:eastAsia="ja-JP"/>
        </w:rPr>
        <w:t xml:space="preserve"> is the diffusion coefficient, and </w:t>
      </w:r>
      <w:r w:rsidRPr="0076115D">
        <w:rPr>
          <w:i/>
          <w:lang w:val="en-GB" w:eastAsia="ja-JP"/>
        </w:rPr>
        <w:t>S</w:t>
      </w:r>
      <w:r w:rsidRPr="0076115D">
        <w:rPr>
          <w:lang w:val="en-GB" w:eastAsia="ja-JP"/>
        </w:rPr>
        <w:t xml:space="preserve"> is the scalar source term. </w:t>
      </w:r>
      <w:r>
        <w:rPr>
          <w:lang w:val="en-GB" w:eastAsia="ja-JP"/>
        </w:rPr>
        <w:t>A</w:t>
      </w:r>
      <w:r w:rsidRPr="0076115D">
        <w:rPr>
          <w:lang w:val="en-GB" w:eastAsia="ja-JP"/>
        </w:rPr>
        <w:t>ccumulation terms in governing equations were removed because the steady state was assumed.</w:t>
      </w:r>
    </w:p>
    <w:p w14:paraId="3F2EF75A" w14:textId="77777777" w:rsidR="003A7605" w:rsidRDefault="00C66039" w:rsidP="003A7605">
      <w:pPr>
        <w:pStyle w:val="CETBodytext"/>
        <w:rPr>
          <w:lang w:val="en-GB"/>
        </w:rPr>
      </w:pPr>
      <w:r>
        <w:rPr>
          <w:rFonts w:ascii="Times New Roman" w:hAnsi="Times New Roman"/>
          <w:noProof/>
          <w:sz w:val="24"/>
        </w:rPr>
        <mc:AlternateContent>
          <mc:Choice Requires="wps">
            <w:drawing>
              <wp:anchor distT="0" distB="0" distL="114300" distR="114300" simplePos="0" relativeHeight="251659264" behindDoc="0" locked="0" layoutInCell="1" allowOverlap="1" wp14:anchorId="6E0118E7" wp14:editId="3B253EE5">
                <wp:simplePos x="0" y="0"/>
                <wp:positionH relativeFrom="column">
                  <wp:posOffset>2585291</wp:posOffset>
                </wp:positionH>
                <wp:positionV relativeFrom="paragraph">
                  <wp:posOffset>275590</wp:posOffset>
                </wp:positionV>
                <wp:extent cx="405130" cy="27813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0513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7B2A3" w14:textId="77777777" w:rsidR="00C66039" w:rsidRPr="00C66039" w:rsidRDefault="00C66039" w:rsidP="00C66039">
                            <w:r w:rsidRPr="00C66039">
                              <w:sym w:font="Symbol" w:char="F0D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0118E7" id="_x0000_t202" coordsize="21600,21600" o:spt="202" path="m0,0l0,21600,21600,21600,21600,0xe">
                <v:stroke joinstyle="miter"/>
                <v:path gradientshapeok="t" o:connecttype="rect"/>
              </v:shapetype>
              <v:shape id="テキスト ボックス 34" o:spid="_x0000_s1026" type="#_x0000_t202" style="position:absolute;left:0;text-align:left;margin-left:203.55pt;margin-top:21.7pt;width:31.9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" filled="f" stroked="f" strokeweight=".5pt">
                <v:textbox>
                  <w:txbxContent>
                    <w:p w14:paraId="7C37B2A3" w14:textId="77777777" w:rsidR="00C66039" w:rsidRPr="00C66039" w:rsidRDefault="00C66039" w:rsidP="00C66039">
                      <w:r w:rsidRPr="00C66039">
                        <w:sym w:font="Symbol" w:char="F0D7"/>
                      </w:r>
                    </w:p>
                  </w:txbxContent>
                </v:textbox>
              </v:shape>
            </w:pict>
          </mc:Fallback>
        </mc:AlternateContent>
      </w:r>
      <w:r>
        <w:rPr>
          <w:lang w:val="en-GB"/>
        </w:rPr>
        <w:t>In this study, in order to express the relationship between the apparent viscosity and the shear-rate, Carreau model was used as shown in Eq. (4).</w:t>
      </w:r>
    </w:p>
    <w:tbl>
      <w:tblPr>
        <w:tblW w:w="5000" w:type="pct"/>
        <w:tblLook w:val="04A0" w:firstRow="1" w:lastRow="0" w:firstColumn="1" w:lastColumn="0" w:noHBand="0" w:noVBand="1"/>
      </w:tblPr>
      <w:tblGrid>
        <w:gridCol w:w="7983"/>
        <w:gridCol w:w="804"/>
      </w:tblGrid>
      <w:tr w:rsidR="00C66039" w:rsidRPr="00B57B36" w14:paraId="30E01385" w14:textId="77777777" w:rsidTr="00C66039">
        <w:tc>
          <w:tcPr>
            <w:tcW w:w="7983" w:type="dxa"/>
            <w:shd w:val="clear" w:color="auto" w:fill="auto"/>
            <w:vAlign w:val="center"/>
          </w:tcPr>
          <w:p w14:paraId="07D414E9" w14:textId="77777777" w:rsidR="00C66039" w:rsidRPr="00B57B36" w:rsidRDefault="00C66039" w:rsidP="006014DE">
            <w:pPr>
              <w:pStyle w:val="CETEquation"/>
            </w:pPr>
            <m:oMathPara>
              <m:oMath>
                <m:r>
                  <w:rPr>
                    <w:rFonts w:ascii="Cambria Math" w:hAnsi="Cambria Math"/>
                    <w:i/>
                  </w:rPr>
                  <w:sym w:font="Symbol" w:char="F068"/>
                </m:r>
                <m:r>
                  <m:rPr>
                    <m:sty m:val="p"/>
                  </m:rPr>
                  <w:rPr>
                    <w:rFonts w:ascii="Cambria Math" w:hAnsi="Cambria Math"/>
                  </w:rPr>
                  <m:t>=</m:t>
                </m:r>
                <m:sSub>
                  <m:sSubPr>
                    <m:ctrlPr>
                      <w:rPr>
                        <w:rFonts w:ascii="Cambria Math" w:hAnsi="Cambria Math"/>
                      </w:rPr>
                    </m:ctrlPr>
                  </m:sSubPr>
                  <m:e>
                    <m:r>
                      <w:rPr>
                        <w:rFonts w:ascii="Cambria Math" w:hAnsi="Cambria Math"/>
                        <w:i/>
                      </w:rPr>
                      <w:sym w:font="Symbol" w:char="F068"/>
                    </m:r>
                  </m:e>
                  <m:sub>
                    <m:r>
                      <w:rPr>
                        <w:rFonts w:ascii="Cambria Math" w:hAnsi="Cambria Math"/>
                      </w:rPr>
                      <m:t>0</m:t>
                    </m:r>
                  </m:sub>
                </m:sSub>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β∙γ</m:t>
                                </m:r>
                              </m:e>
                            </m:d>
                          </m:e>
                          <m:sup>
                            <m:r>
                              <w:rPr>
                                <w:rFonts w:ascii="Cambria Math" w:hAnsi="Cambria Math"/>
                              </w:rPr>
                              <m:t>2</m:t>
                            </m:r>
                          </m:sup>
                        </m:sSup>
                      </m:e>
                    </m:d>
                  </m:e>
                  <m:sup>
                    <m:r>
                      <w:rPr>
                        <w:rFonts w:ascii="Cambria Math" w:hAnsi="Cambria Math"/>
                      </w:rPr>
                      <m:t>(n-1)/2</m:t>
                    </m:r>
                  </m:sup>
                </m:sSup>
              </m:oMath>
            </m:oMathPara>
          </w:p>
        </w:tc>
        <w:tc>
          <w:tcPr>
            <w:tcW w:w="804" w:type="dxa"/>
            <w:shd w:val="clear" w:color="auto" w:fill="auto"/>
            <w:vAlign w:val="center"/>
          </w:tcPr>
          <w:p w14:paraId="6E32E09F" w14:textId="77777777" w:rsidR="00C66039" w:rsidRPr="00B57B36" w:rsidRDefault="00C66039" w:rsidP="006014DE">
            <w:pPr>
              <w:pStyle w:val="CETEquation"/>
              <w:jc w:val="right"/>
            </w:pPr>
            <w:r w:rsidRPr="00B57B36">
              <w:t>(</w:t>
            </w:r>
            <w:r>
              <w:t>5</w:t>
            </w:r>
            <w:r w:rsidRPr="00B57B36">
              <w:t>)</w:t>
            </w:r>
          </w:p>
        </w:tc>
      </w:tr>
    </w:tbl>
    <w:p w14:paraId="1F59B48D" w14:textId="77777777" w:rsidR="00C66039" w:rsidRDefault="00C66039" w:rsidP="003A7605">
      <w:pPr>
        <w:pStyle w:val="CETBodytext"/>
        <w:rPr>
          <w:lang w:val="en-GB"/>
        </w:rPr>
      </w:pPr>
      <w:r w:rsidRPr="00C66039">
        <w:rPr>
          <w:lang w:val="en-GB"/>
        </w:rPr>
        <w:t>w</w:t>
      </w:r>
      <w:r w:rsidRPr="00C66039">
        <w:rPr>
          <w:rFonts w:hint="eastAsia"/>
          <w:lang w:val="en-GB"/>
        </w:rPr>
        <w:t xml:space="preserve">here </w:t>
      </w:r>
      <w:r w:rsidRPr="00C66039">
        <w:rPr>
          <w:rFonts w:hint="eastAsia"/>
          <w:i/>
          <w:lang w:val="en-GB"/>
        </w:rPr>
        <w:sym w:font="Symbol" w:char="F068"/>
      </w:r>
      <w:r w:rsidRPr="00C66039">
        <w:rPr>
          <w:vertAlign w:val="subscript"/>
          <w:lang w:val="en-GB"/>
        </w:rPr>
        <w:t>0</w:t>
      </w:r>
      <w:r w:rsidRPr="00C66039">
        <w:rPr>
          <w:lang w:val="en-GB"/>
        </w:rPr>
        <w:t xml:space="preserve"> is the zero shear-rate viscosity, </w:t>
      </w:r>
      <w:r w:rsidRPr="00C66039">
        <w:rPr>
          <w:i/>
          <w:lang w:val="en-GB"/>
        </w:rPr>
        <w:sym w:font="Symbol" w:char="F062"/>
      </w:r>
      <w:r w:rsidRPr="00C66039">
        <w:rPr>
          <w:lang w:val="en-GB"/>
        </w:rPr>
        <w:t xml:space="preserve"> is the characteristic time, and </w:t>
      </w:r>
      <w:r w:rsidRPr="00C66039">
        <w:rPr>
          <w:i/>
          <w:lang w:val="en-GB"/>
        </w:rPr>
        <w:t>n</w:t>
      </w:r>
      <w:r w:rsidRPr="00C66039">
        <w:rPr>
          <w:lang w:val="en-GB"/>
        </w:rPr>
        <w:t xml:space="preserve"> is the power-law exponent.</w:t>
      </w:r>
      <w:r w:rsidR="00134FA4">
        <w:rPr>
          <w:lang w:val="en-GB"/>
        </w:rPr>
        <w:t xml:space="preserve"> </w:t>
      </w:r>
      <w:r w:rsidR="00CE7455">
        <w:rPr>
          <w:lang w:val="en-GB"/>
        </w:rPr>
        <w:t xml:space="preserve">Here, n is the slope of decreasing viscosity with the shear-rate. </w:t>
      </w:r>
      <w:r w:rsidR="00134FA4">
        <w:rPr>
          <w:lang w:val="en-GB"/>
        </w:rPr>
        <w:t xml:space="preserve">Furthermore, the dependence of apparent viscosity on </w:t>
      </w:r>
      <w:r w:rsidR="00134FA4">
        <w:rPr>
          <w:lang w:val="en-GB"/>
        </w:rPr>
        <w:lastRenderedPageBreak/>
        <w:t>the temperature was added to Eq. (5) because shear-thinning fluids are usually sensitive to the temperature. The dependence was expressed by Arrhenius function:</w:t>
      </w:r>
    </w:p>
    <w:tbl>
      <w:tblPr>
        <w:tblW w:w="5000" w:type="pct"/>
        <w:tblLook w:val="04A0" w:firstRow="1" w:lastRow="0" w:firstColumn="1" w:lastColumn="0" w:noHBand="0" w:noVBand="1"/>
      </w:tblPr>
      <w:tblGrid>
        <w:gridCol w:w="7983"/>
        <w:gridCol w:w="804"/>
      </w:tblGrid>
      <w:tr w:rsidR="00134FA4" w:rsidRPr="00B57B36" w14:paraId="2F3375FB" w14:textId="77777777" w:rsidTr="006014DE">
        <w:tc>
          <w:tcPr>
            <w:tcW w:w="7983" w:type="dxa"/>
            <w:shd w:val="clear" w:color="auto" w:fill="auto"/>
            <w:vAlign w:val="center"/>
          </w:tcPr>
          <w:p w14:paraId="4F7059E4" w14:textId="77777777" w:rsidR="00134FA4" w:rsidRPr="00B57B36" w:rsidRDefault="00134FA4" w:rsidP="006014DE">
            <w:pPr>
              <w:pStyle w:val="CETEquation"/>
            </w:pPr>
            <m:oMathPara>
              <m:oMath>
                <m:r>
                  <w:rPr>
                    <w:rFonts w:ascii="Cambria Math" w:hAnsi="Cambria Math"/>
                  </w:rPr>
                  <m:t>η=</m:t>
                </m:r>
                <m:sSub>
                  <m:sSubPr>
                    <m:ctrlPr>
                      <w:rPr>
                        <w:rFonts w:ascii="Cambria Math" w:hAnsi="Cambria Math"/>
                        <w:i/>
                      </w:rPr>
                    </m:ctrlPr>
                  </m:sSubPr>
                  <m:e>
                    <m:r>
                      <w:rPr>
                        <w:rFonts w:ascii="Cambria Math" w:hAnsi="Cambria Math"/>
                      </w:rPr>
                      <m:t>η</m:t>
                    </m:r>
                  </m:e>
                  <m:sub>
                    <m:r>
                      <m:rPr>
                        <m:sty m:val="p"/>
                      </m:rPr>
                      <w:rPr>
                        <w:rFonts w:ascii="Cambria Math" w:hAnsi="Cambria Math"/>
                      </w:rPr>
                      <m:t>eff</m:t>
                    </m:r>
                  </m:sub>
                </m:sSub>
                <m:r>
                  <m:rPr>
                    <m:sty m:val="p"/>
                  </m:rPr>
                  <w:rPr>
                    <w:rFonts w:ascii="Cambria Math" w:hAnsi="Cambria Math"/>
                  </w:rPr>
                  <m:t>exp</m:t>
                </m:r>
                <m:d>
                  <m:dPr>
                    <m:begChr m:val="["/>
                    <m:endChr m:val="]"/>
                    <m:ctrlPr>
                      <w:rPr>
                        <w:rFonts w:ascii="Cambria Math" w:hAnsi="Cambria Math"/>
                        <w:i/>
                        <w:sz w:val="21"/>
                      </w:rPr>
                    </m:ctrlPr>
                  </m:dPr>
                  <m:e>
                    <m:f>
                      <m:fPr>
                        <m:ctrlPr>
                          <w:rPr>
                            <w:rFonts w:ascii="Cambria Math" w:hAnsi="Cambria Math"/>
                            <w:i/>
                            <w:sz w:val="21"/>
                          </w:rPr>
                        </m:ctrlPr>
                      </m:fPr>
                      <m:num>
                        <m:r>
                          <w:rPr>
                            <w:rFonts w:ascii="Cambria Math" w:hAnsi="Cambria Math"/>
                            <w:sz w:val="21"/>
                          </w:rPr>
                          <m:t>E</m:t>
                        </m:r>
                      </m:num>
                      <m:den>
                        <m:r>
                          <w:rPr>
                            <w:rFonts w:ascii="Cambria Math" w:hAnsi="Cambria Math"/>
                            <w:sz w:val="21"/>
                          </w:rPr>
                          <m:t>R</m:t>
                        </m:r>
                      </m:den>
                    </m:f>
                    <m:d>
                      <m:dPr>
                        <m:ctrlPr>
                          <w:rPr>
                            <w:rFonts w:ascii="Cambria Math" w:hAnsi="Cambria Math"/>
                            <w:i/>
                            <w:sz w:val="21"/>
                          </w:rPr>
                        </m:ctrlPr>
                      </m:dPr>
                      <m:e>
                        <m:f>
                          <m:fPr>
                            <m:ctrlPr>
                              <w:rPr>
                                <w:rFonts w:ascii="Cambria Math" w:hAnsi="Cambria Math"/>
                                <w:i/>
                                <w:sz w:val="21"/>
                              </w:rPr>
                            </m:ctrlPr>
                          </m:fPr>
                          <m:num>
                            <m:r>
                              <w:rPr>
                                <w:rFonts w:ascii="Cambria Math" w:hAnsi="Cambria Math"/>
                                <w:sz w:val="21"/>
                              </w:rPr>
                              <m:t>1</m:t>
                            </m:r>
                          </m:num>
                          <m:den>
                            <m:r>
                              <w:rPr>
                                <w:rFonts w:ascii="Cambria Math" w:hAnsi="Cambria Math"/>
                                <w:sz w:val="21"/>
                              </w:rPr>
                              <m:t>T</m:t>
                            </m:r>
                          </m:den>
                        </m:f>
                        <m:r>
                          <w:rPr>
                            <w:rFonts w:ascii="Cambria Math" w:hAnsi="Cambria Math"/>
                            <w:sz w:val="21"/>
                          </w:rPr>
                          <m:t>-</m:t>
                        </m:r>
                        <m:f>
                          <m:fPr>
                            <m:ctrlPr>
                              <w:rPr>
                                <w:rFonts w:ascii="Cambria Math" w:hAnsi="Cambria Math"/>
                                <w:i/>
                                <w:sz w:val="21"/>
                              </w:rPr>
                            </m:ctrlPr>
                          </m:fPr>
                          <m:num>
                            <m:r>
                              <w:rPr>
                                <w:rFonts w:ascii="Cambria Math" w:hAnsi="Cambria Math"/>
                                <w:sz w:val="21"/>
                              </w:rPr>
                              <m:t>1</m:t>
                            </m:r>
                          </m:num>
                          <m:den>
                            <m:sSub>
                              <m:sSubPr>
                                <m:ctrlPr>
                                  <w:rPr>
                                    <w:rFonts w:ascii="Cambria Math" w:hAnsi="Cambria Math"/>
                                    <w:i/>
                                    <w:sz w:val="21"/>
                                  </w:rPr>
                                </m:ctrlPr>
                              </m:sSubPr>
                              <m:e>
                                <m:r>
                                  <w:rPr>
                                    <w:rFonts w:ascii="Cambria Math" w:hAnsi="Cambria Math"/>
                                    <w:sz w:val="21"/>
                                  </w:rPr>
                                  <m:t>T</m:t>
                                </m:r>
                              </m:e>
                              <m:sub>
                                <m:r>
                                  <m:rPr>
                                    <m:sty m:val="p"/>
                                  </m:rPr>
                                  <w:rPr>
                                    <w:rFonts w:ascii="Cambria Math" w:hAnsi="Cambria Math"/>
                                    <w:sz w:val="21"/>
                                  </w:rPr>
                                  <m:t>ref</m:t>
                                </m:r>
                              </m:sub>
                            </m:sSub>
                          </m:den>
                        </m:f>
                      </m:e>
                    </m:d>
                  </m:e>
                </m:d>
              </m:oMath>
            </m:oMathPara>
          </w:p>
        </w:tc>
        <w:tc>
          <w:tcPr>
            <w:tcW w:w="804" w:type="dxa"/>
            <w:shd w:val="clear" w:color="auto" w:fill="auto"/>
            <w:vAlign w:val="center"/>
          </w:tcPr>
          <w:p w14:paraId="24356369" w14:textId="77777777" w:rsidR="00134FA4" w:rsidRPr="00B57B36" w:rsidRDefault="00134FA4" w:rsidP="006014DE">
            <w:pPr>
              <w:pStyle w:val="CETEquation"/>
              <w:jc w:val="right"/>
            </w:pPr>
            <w:r w:rsidRPr="00B57B36">
              <w:t>(</w:t>
            </w:r>
            <w:r>
              <w:t>6</w:t>
            </w:r>
            <w:r w:rsidRPr="00B57B36">
              <w:t>)</w:t>
            </w:r>
          </w:p>
        </w:tc>
      </w:tr>
    </w:tbl>
    <w:p w14:paraId="6441F8EB" w14:textId="11C0CEE4" w:rsidR="00134FA4" w:rsidRPr="00134FA4" w:rsidRDefault="00134FA4" w:rsidP="003A7605">
      <w:pPr>
        <w:pStyle w:val="CETBodytext"/>
        <w:rPr>
          <w:lang w:eastAsia="ja-JP"/>
        </w:rPr>
      </w:pPr>
      <w:r w:rsidRPr="00134FA4">
        <w:rPr>
          <w:lang w:val="en-GB" w:eastAsia="ja-JP"/>
        </w:rPr>
        <w:t xml:space="preserve">where </w:t>
      </w:r>
      <w:r w:rsidRPr="00134FA4">
        <w:rPr>
          <w:i/>
          <w:lang w:val="en-GB" w:eastAsia="ja-JP"/>
        </w:rPr>
        <w:t>E</w:t>
      </w:r>
      <w:r w:rsidRPr="00134FA4">
        <w:rPr>
          <w:lang w:val="en-GB" w:eastAsia="ja-JP"/>
        </w:rPr>
        <w:t xml:space="preserve"> is the activation energy and </w:t>
      </w:r>
      <w:r w:rsidRPr="00134FA4">
        <w:rPr>
          <w:i/>
          <w:lang w:val="en-GB" w:eastAsia="ja-JP"/>
        </w:rPr>
        <w:t>R</w:t>
      </w:r>
      <w:r w:rsidRPr="00134FA4">
        <w:rPr>
          <w:lang w:val="en-GB" w:eastAsia="ja-JP"/>
        </w:rPr>
        <w:t xml:space="preserve"> is the gas constant. </w:t>
      </w:r>
      <w:r w:rsidRPr="00134FA4">
        <w:rPr>
          <w:rFonts w:hint="eastAsia"/>
          <w:lang w:val="en-GB" w:eastAsia="ja-JP"/>
        </w:rPr>
        <w:t>B</w:t>
      </w:r>
      <w:r w:rsidRPr="00134FA4">
        <w:rPr>
          <w:lang w:val="en-GB" w:eastAsia="ja-JP"/>
        </w:rPr>
        <w:t>y combining Eqs. (5) and (6), the viscosity constitutive equation is represented as</w:t>
      </w:r>
    </w:p>
    <w:tbl>
      <w:tblPr>
        <w:tblW w:w="5000" w:type="pct"/>
        <w:tblLook w:val="04A0" w:firstRow="1" w:lastRow="0" w:firstColumn="1" w:lastColumn="0" w:noHBand="0" w:noVBand="1"/>
      </w:tblPr>
      <w:tblGrid>
        <w:gridCol w:w="7983"/>
        <w:gridCol w:w="804"/>
      </w:tblGrid>
      <w:tr w:rsidR="00134FA4" w:rsidRPr="00B57B36" w14:paraId="31C18627" w14:textId="77777777" w:rsidTr="006014DE">
        <w:tc>
          <w:tcPr>
            <w:tcW w:w="7983" w:type="dxa"/>
            <w:shd w:val="clear" w:color="auto" w:fill="auto"/>
            <w:vAlign w:val="center"/>
          </w:tcPr>
          <w:p w14:paraId="51F74E4D" w14:textId="77777777" w:rsidR="00134FA4" w:rsidRPr="00B57B36" w:rsidRDefault="00134FA4" w:rsidP="006014DE">
            <w:pPr>
              <w:pStyle w:val="CETEquation"/>
            </w:pPr>
            <m:oMathPara>
              <m:oMath>
                <m:r>
                  <w:rPr>
                    <w:rFonts w:ascii="Cambria Math" w:hAnsi="Cambria Math"/>
                  </w:rPr>
                  <m:t>η=</m:t>
                </m:r>
                <m:sSub>
                  <m:sSubPr>
                    <m:ctrlPr>
                      <w:rPr>
                        <w:rFonts w:ascii="Cambria Math" w:hAnsi="Cambria Math"/>
                        <w:i/>
                      </w:rPr>
                    </m:ctrlPr>
                  </m:sSubPr>
                  <m:e>
                    <m:r>
                      <w:rPr>
                        <w:rFonts w:ascii="Cambria Math" w:hAnsi="Cambria Math"/>
                      </w:rPr>
                      <m:t>η</m:t>
                    </m:r>
                  </m:e>
                  <m:sub>
                    <m:r>
                      <m:rPr>
                        <m:sty m:val="p"/>
                      </m:rPr>
                      <w:rPr>
                        <w:rFonts w:ascii="Cambria Math" w:hAnsi="Cambria Math"/>
                      </w:rPr>
                      <m:t>0</m:t>
                    </m:r>
                  </m:sub>
                </m:sSub>
                <m:r>
                  <m:rPr>
                    <m:sty m:val="p"/>
                  </m:rPr>
                  <w:rPr>
                    <w:rFonts w:ascii="Cambria Math" w:hAnsi="Cambria Math"/>
                  </w:rPr>
                  <m:t>exp</m:t>
                </m:r>
                <m:d>
                  <m:dPr>
                    <m:begChr m:val="["/>
                    <m:endChr m:val="]"/>
                    <m:ctrlPr>
                      <w:rPr>
                        <w:rFonts w:ascii="Cambria Math" w:hAnsi="Cambria Math"/>
                        <w:i/>
                        <w:sz w:val="22"/>
                      </w:rPr>
                    </m:ctrlPr>
                  </m:dPr>
                  <m:e>
                    <m:f>
                      <m:fPr>
                        <m:ctrlPr>
                          <w:rPr>
                            <w:rFonts w:ascii="Cambria Math" w:hAnsi="Cambria Math"/>
                            <w:i/>
                            <w:sz w:val="21"/>
                          </w:rPr>
                        </m:ctrlPr>
                      </m:fPr>
                      <m:num>
                        <m:r>
                          <w:rPr>
                            <w:rFonts w:ascii="Cambria Math" w:hAnsi="Cambria Math"/>
                            <w:sz w:val="21"/>
                          </w:rPr>
                          <m:t>E</m:t>
                        </m:r>
                      </m:num>
                      <m:den>
                        <m:r>
                          <w:rPr>
                            <w:rFonts w:ascii="Cambria Math" w:hAnsi="Cambria Math"/>
                            <w:sz w:val="21"/>
                          </w:rPr>
                          <m:t>R</m:t>
                        </m:r>
                      </m:den>
                    </m:f>
                    <m:d>
                      <m:dPr>
                        <m:ctrlPr>
                          <w:rPr>
                            <w:rFonts w:ascii="Cambria Math" w:hAnsi="Cambria Math"/>
                            <w:i/>
                            <w:sz w:val="21"/>
                          </w:rPr>
                        </m:ctrlPr>
                      </m:dPr>
                      <m:e>
                        <m:f>
                          <m:fPr>
                            <m:ctrlPr>
                              <w:rPr>
                                <w:rFonts w:ascii="Cambria Math" w:hAnsi="Cambria Math"/>
                                <w:i/>
                                <w:sz w:val="21"/>
                              </w:rPr>
                            </m:ctrlPr>
                          </m:fPr>
                          <m:num>
                            <m:r>
                              <w:rPr>
                                <w:rFonts w:ascii="Cambria Math" w:hAnsi="Cambria Math"/>
                                <w:sz w:val="21"/>
                              </w:rPr>
                              <m:t>1</m:t>
                            </m:r>
                          </m:num>
                          <m:den>
                            <m:r>
                              <w:rPr>
                                <w:rFonts w:ascii="Cambria Math" w:hAnsi="Cambria Math"/>
                                <w:sz w:val="21"/>
                              </w:rPr>
                              <m:t>T</m:t>
                            </m:r>
                          </m:den>
                        </m:f>
                        <m:r>
                          <w:rPr>
                            <w:rFonts w:ascii="Cambria Math" w:hAnsi="Cambria Math"/>
                            <w:sz w:val="21"/>
                          </w:rPr>
                          <m:t>-</m:t>
                        </m:r>
                        <m:f>
                          <m:fPr>
                            <m:ctrlPr>
                              <w:rPr>
                                <w:rFonts w:ascii="Cambria Math" w:hAnsi="Cambria Math"/>
                                <w:i/>
                                <w:sz w:val="21"/>
                              </w:rPr>
                            </m:ctrlPr>
                          </m:fPr>
                          <m:num>
                            <m:r>
                              <w:rPr>
                                <w:rFonts w:ascii="Cambria Math" w:hAnsi="Cambria Math"/>
                                <w:sz w:val="21"/>
                              </w:rPr>
                              <m:t>1</m:t>
                            </m:r>
                          </m:num>
                          <m:den>
                            <m:sSub>
                              <m:sSubPr>
                                <m:ctrlPr>
                                  <w:rPr>
                                    <w:rFonts w:ascii="Cambria Math" w:hAnsi="Cambria Math"/>
                                    <w:i/>
                                    <w:sz w:val="21"/>
                                  </w:rPr>
                                </m:ctrlPr>
                              </m:sSubPr>
                              <m:e>
                                <m:r>
                                  <w:rPr>
                                    <w:rFonts w:ascii="Cambria Math" w:hAnsi="Cambria Math"/>
                                    <w:sz w:val="21"/>
                                  </w:rPr>
                                  <m:t>T</m:t>
                                </m:r>
                              </m:e>
                              <m:sub>
                                <m:r>
                                  <m:rPr>
                                    <m:sty m:val="p"/>
                                  </m:rPr>
                                  <w:rPr>
                                    <w:rFonts w:ascii="Cambria Math" w:hAnsi="Cambria Math"/>
                                    <w:sz w:val="21"/>
                                  </w:rPr>
                                  <m:t>ref</m:t>
                                </m:r>
                              </m:sub>
                            </m:sSub>
                          </m:den>
                        </m:f>
                      </m:e>
                    </m:d>
                  </m:e>
                </m:d>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β∙γ</m:t>
                                </m:r>
                              </m:e>
                            </m:d>
                          </m:e>
                          <m:sup>
                            <m:r>
                              <w:rPr>
                                <w:rFonts w:ascii="Cambria Math" w:hAnsi="Cambria Math"/>
                              </w:rPr>
                              <m:t>2</m:t>
                            </m:r>
                          </m:sup>
                        </m:sSup>
                      </m:e>
                    </m:d>
                  </m:e>
                  <m:sup>
                    <m:r>
                      <w:rPr>
                        <w:rFonts w:ascii="Cambria Math" w:hAnsi="Cambria Math"/>
                      </w:rPr>
                      <m:t>(n-1)/2</m:t>
                    </m:r>
                  </m:sup>
                </m:sSup>
              </m:oMath>
            </m:oMathPara>
          </w:p>
        </w:tc>
        <w:tc>
          <w:tcPr>
            <w:tcW w:w="804" w:type="dxa"/>
            <w:shd w:val="clear" w:color="auto" w:fill="auto"/>
            <w:vAlign w:val="center"/>
          </w:tcPr>
          <w:p w14:paraId="1783AE47" w14:textId="77777777" w:rsidR="00134FA4" w:rsidRPr="00B57B36" w:rsidRDefault="00134FA4" w:rsidP="006014DE">
            <w:pPr>
              <w:pStyle w:val="CETEquation"/>
              <w:jc w:val="right"/>
            </w:pPr>
            <w:r w:rsidRPr="00B57B36">
              <w:t>(</w:t>
            </w:r>
            <w:r>
              <w:t>7</w:t>
            </w:r>
            <w:r w:rsidRPr="00B57B36">
              <w:t>)</w:t>
            </w:r>
          </w:p>
        </w:tc>
      </w:tr>
    </w:tbl>
    <w:p w14:paraId="68444E06" w14:textId="60885526" w:rsidR="003A7605" w:rsidRPr="00AC4668" w:rsidRDefault="00616B46" w:rsidP="003A7605">
      <w:pPr>
        <w:pStyle w:val="CETBodytext"/>
        <w:rPr>
          <w:lang w:eastAsia="ja-JP"/>
        </w:rPr>
      </w:pPr>
      <w:r>
        <w:rPr>
          <w:rFonts w:ascii="Times New Roman" w:hAnsi="Times New Roman"/>
          <w:noProof/>
          <w:sz w:val="24"/>
        </w:rPr>
        <mc:AlternateContent>
          <mc:Choice Requires="wps">
            <w:drawing>
              <wp:anchor distT="0" distB="0" distL="114300" distR="114300" simplePos="0" relativeHeight="251661312" behindDoc="0" locked="0" layoutInCell="1" allowOverlap="1" wp14:anchorId="1EEA9D1A" wp14:editId="45249506">
                <wp:simplePos x="0" y="0"/>
                <wp:positionH relativeFrom="column">
                  <wp:posOffset>3053391</wp:posOffset>
                </wp:positionH>
                <wp:positionV relativeFrom="paragraph">
                  <wp:posOffset>-416124</wp:posOffset>
                </wp:positionV>
                <wp:extent cx="405130" cy="27813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0513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FFDA7" w14:textId="77777777" w:rsidR="00134FA4" w:rsidRPr="00C66039" w:rsidRDefault="00134FA4" w:rsidP="00134FA4">
                            <w:r w:rsidRPr="00C66039">
                              <w:sym w:font="Symbol" w:char="F0D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EA9D1A" id="_x0000_t202" coordsize="21600,21600" o:spt="202" path="m0,0l0,21600,21600,21600,21600,0xe">
                <v:stroke joinstyle="miter"/>
                <v:path gradientshapeok="t" o:connecttype="rect"/>
              </v:shapetype>
              <v:shape id="テキスト ボックス 9" o:spid="_x0000_s1027" type="#_x0000_t202" style="position:absolute;left:0;text-align:left;margin-left:240.4pt;margin-top:-32.7pt;width:31.9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" filled="f" stroked="f" strokeweight=".5pt">
                <v:textbox>
                  <w:txbxContent>
                    <w:p w14:paraId="768FFDA7" w14:textId="77777777" w:rsidR="00134FA4" w:rsidRPr="00C66039" w:rsidRDefault="00134FA4" w:rsidP="00134FA4">
                      <w:r w:rsidRPr="00C66039">
                        <w:sym w:font="Symbol" w:char="F0D7"/>
                      </w:r>
                    </w:p>
                  </w:txbxContent>
                </v:textbox>
              </v:shape>
            </w:pict>
          </mc:Fallback>
        </mc:AlternateContent>
      </w:r>
      <w:r w:rsidR="00AC4668">
        <w:t xml:space="preserve">In this study, </w:t>
      </w:r>
      <w:r w:rsidR="00CE7455">
        <w:t xml:space="preserve">two types of shear-thinning fluids were used: </w:t>
      </w:r>
      <w:r w:rsidR="00B72956" w:rsidRPr="00C61B0E">
        <w:t>a</w:t>
      </w:r>
      <w:r w:rsidR="00B72956">
        <w:t xml:space="preserve"> </w:t>
      </w:r>
      <w:r w:rsidR="00CE7455">
        <w:t xml:space="preserve">moderate shear-thinning fluid </w:t>
      </w:r>
      <w:r w:rsidR="005B52F3">
        <w:t>(</w:t>
      </w:r>
      <w:r w:rsidR="005B52F3" w:rsidRPr="005B52F3">
        <w:rPr>
          <w:i/>
        </w:rPr>
        <w:t>n</w:t>
      </w:r>
      <w:r w:rsidR="005B52F3">
        <w:t xml:space="preserve"> = 0.5) </w:t>
      </w:r>
      <w:r w:rsidR="00CE7455">
        <w:t xml:space="preserve">and </w:t>
      </w:r>
      <w:r w:rsidR="00B72956" w:rsidRPr="00C61B0E">
        <w:t>a</w:t>
      </w:r>
      <w:r w:rsidR="00B72956">
        <w:t xml:space="preserve"> </w:t>
      </w:r>
      <w:r w:rsidR="00CE7455">
        <w:t>strong shear-thinning fluid</w:t>
      </w:r>
      <w:r w:rsidR="005B52F3">
        <w:t xml:space="preserve"> (</w:t>
      </w:r>
      <w:r w:rsidR="005B52F3" w:rsidRPr="005B52F3">
        <w:rPr>
          <w:i/>
        </w:rPr>
        <w:t>n</w:t>
      </w:r>
      <w:r w:rsidR="005B52F3">
        <w:t xml:space="preserve"> = 0.3)</w:t>
      </w:r>
      <w:r w:rsidR="00CE7455">
        <w:t>.</w:t>
      </w:r>
      <w:r w:rsidR="00332B51">
        <w:t xml:space="preserve"> Figure 2 shows rheological properties of model fluids at </w:t>
      </w:r>
      <w:r w:rsidR="00332B51" w:rsidRPr="000D7B6A">
        <w:rPr>
          <w:i/>
        </w:rPr>
        <w:t>T</w:t>
      </w:r>
      <w:r w:rsidR="00332B51">
        <w:t xml:space="preserve"> = </w:t>
      </w:r>
      <w:r w:rsidR="000D7B6A">
        <w:t>395.65 K.</w:t>
      </w:r>
    </w:p>
    <w:p w14:paraId="1F721D70" w14:textId="5A47B436" w:rsidR="003A7605" w:rsidRPr="003A7605" w:rsidRDefault="00B54AED" w:rsidP="003A7605">
      <w:pPr>
        <w:pStyle w:val="CETBodytext"/>
        <w:rPr>
          <w:lang w:val="en-GB"/>
        </w:rPr>
      </w:pPr>
      <w:r w:rsidRPr="00B54AED">
        <w:rPr>
          <w:noProof/>
        </w:rPr>
        <w:drawing>
          <wp:inline distT="0" distB="0" distL="0" distR="0" wp14:anchorId="0BD967AB" wp14:editId="30615B63">
            <wp:extent cx="3104641" cy="196093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6886" cy="1974988"/>
                    </a:xfrm>
                    <a:prstGeom prst="rect">
                      <a:avLst/>
                    </a:prstGeom>
                  </pic:spPr>
                </pic:pic>
              </a:graphicData>
            </a:graphic>
          </wp:inline>
        </w:drawing>
      </w:r>
    </w:p>
    <w:p w14:paraId="77E022AF" w14:textId="77777777" w:rsidR="00460763" w:rsidRPr="0084166F" w:rsidRDefault="00AD35A2" w:rsidP="00600535">
      <w:pPr>
        <w:pStyle w:val="CETBodytext"/>
        <w:rPr>
          <w:i/>
          <w:lang w:eastAsia="ja-JP"/>
        </w:rPr>
      </w:pPr>
      <w:r w:rsidRPr="0084166F">
        <w:rPr>
          <w:rFonts w:hint="eastAsia"/>
          <w:i/>
          <w:lang w:eastAsia="ja-JP"/>
        </w:rPr>
        <w:t>F</w:t>
      </w:r>
      <w:r w:rsidRPr="0084166F">
        <w:rPr>
          <w:i/>
          <w:lang w:eastAsia="ja-JP"/>
        </w:rPr>
        <w:t xml:space="preserve">igure </w:t>
      </w:r>
      <w:r w:rsidR="0049532B" w:rsidRPr="0084166F">
        <w:rPr>
          <w:i/>
          <w:lang w:eastAsia="ja-JP"/>
        </w:rPr>
        <w:t>2:</w:t>
      </w:r>
      <w:r w:rsidRPr="0084166F">
        <w:rPr>
          <w:i/>
          <w:lang w:eastAsia="ja-JP"/>
        </w:rPr>
        <w:t xml:space="preserve"> Rheological properties of fluids</w:t>
      </w:r>
    </w:p>
    <w:p w14:paraId="6C9F7AF9" w14:textId="77777777" w:rsidR="00C46F43" w:rsidRDefault="00C46F43" w:rsidP="00600535">
      <w:pPr>
        <w:pStyle w:val="CETBodytext"/>
        <w:rPr>
          <w:lang w:val="en-GB"/>
        </w:rPr>
      </w:pPr>
    </w:p>
    <w:p w14:paraId="3D3D95C6" w14:textId="77777777" w:rsidR="00AD35A2" w:rsidRDefault="00C60710" w:rsidP="00600535">
      <w:pPr>
        <w:pStyle w:val="CETBodytext"/>
        <w:rPr>
          <w:lang w:val="en-GB"/>
        </w:rPr>
      </w:pPr>
      <w:r w:rsidRPr="00C60710">
        <w:rPr>
          <w:lang w:val="en-GB"/>
        </w:rPr>
        <w:t xml:space="preserve">In this study, </w:t>
      </w:r>
      <w:r w:rsidRPr="00C60710">
        <w:rPr>
          <w:i/>
          <w:lang w:val="en-GB"/>
        </w:rPr>
        <w:t>T</w:t>
      </w:r>
      <w:r w:rsidRPr="00C60710">
        <w:rPr>
          <w:vertAlign w:val="subscript"/>
          <w:lang w:val="en-GB"/>
        </w:rPr>
        <w:t>ref</w:t>
      </w:r>
      <w:r w:rsidRPr="00C60710">
        <w:rPr>
          <w:lang w:val="en-GB"/>
        </w:rPr>
        <w:t xml:space="preserve"> was set to 293.15 K, the value of </w:t>
      </w:r>
      <w:r w:rsidRPr="00C60710">
        <w:rPr>
          <w:i/>
          <w:lang w:val="en-GB"/>
        </w:rPr>
        <w:sym w:font="Symbol" w:char="F068"/>
      </w:r>
      <w:r w:rsidRPr="00C60710">
        <w:rPr>
          <w:vertAlign w:val="subscript"/>
          <w:lang w:val="en-GB"/>
        </w:rPr>
        <w:t>0</w:t>
      </w:r>
      <w:r w:rsidRPr="00C60710">
        <w:rPr>
          <w:lang w:val="en-GB"/>
        </w:rPr>
        <w:t xml:space="preserve"> was </w:t>
      </w:r>
      <w:r w:rsidR="0016797D">
        <w:rPr>
          <w:lang w:val="en-GB"/>
        </w:rPr>
        <w:t>0.27</w:t>
      </w:r>
      <w:r w:rsidRPr="00C60710">
        <w:rPr>
          <w:lang w:val="en-GB"/>
        </w:rPr>
        <w:t xml:space="preserve"> Pa</w:t>
      </w:r>
      <w:r w:rsidRPr="00C60710">
        <w:rPr>
          <w:lang w:val="en-GB"/>
        </w:rPr>
        <w:sym w:font="Symbol" w:char="F0D7"/>
      </w:r>
      <w:r w:rsidRPr="00C60710">
        <w:rPr>
          <w:lang w:val="en-GB"/>
        </w:rPr>
        <w:t xml:space="preserve">s at </w:t>
      </w:r>
      <w:r>
        <w:rPr>
          <w:lang w:val="en-GB"/>
        </w:rPr>
        <w:t>395.65</w:t>
      </w:r>
      <w:r w:rsidRPr="00C60710">
        <w:rPr>
          <w:lang w:val="en-GB"/>
        </w:rPr>
        <w:t xml:space="preserve"> K, and </w:t>
      </w:r>
      <w:r w:rsidRPr="00C60710">
        <w:rPr>
          <w:i/>
          <w:lang w:val="en-GB"/>
        </w:rPr>
        <w:sym w:font="Symbol" w:char="F062"/>
      </w:r>
      <w:r w:rsidRPr="00C60710">
        <w:rPr>
          <w:lang w:val="en-GB"/>
        </w:rPr>
        <w:t xml:space="preserve"> and </w:t>
      </w:r>
      <w:r w:rsidRPr="00C60710">
        <w:rPr>
          <w:i/>
          <w:lang w:val="en-GB"/>
        </w:rPr>
        <w:t>E</w:t>
      </w:r>
      <w:r w:rsidRPr="00C60710">
        <w:rPr>
          <w:lang w:val="en-GB"/>
        </w:rPr>
        <w:t xml:space="preserve"> were 1.2 s and 26.1 kJ/mol.</w:t>
      </w:r>
      <w:r w:rsidR="0016797D">
        <w:rPr>
          <w:lang w:val="en-GB"/>
        </w:rPr>
        <w:t xml:space="preserve"> Other physical and thermal properties of 1.0wt% </w:t>
      </w:r>
      <w:r w:rsidR="0016797D" w:rsidRPr="0016797D">
        <w:rPr>
          <w:lang w:val="en-GB"/>
        </w:rPr>
        <w:t xml:space="preserve">hydroxymethylcellulose aqueous solution was </w:t>
      </w:r>
      <w:r w:rsidR="0016797D">
        <w:rPr>
          <w:lang w:val="en-GB"/>
        </w:rPr>
        <w:t xml:space="preserve">selected as that of model fluids. </w:t>
      </w:r>
      <w:r w:rsidR="00166F9F">
        <w:rPr>
          <w:lang w:val="en-GB"/>
        </w:rPr>
        <w:t>Thus,</w:t>
      </w:r>
      <w:r w:rsidR="0016797D" w:rsidRPr="0016797D">
        <w:rPr>
          <w:lang w:val="en-GB"/>
        </w:rPr>
        <w:t xml:space="preserve"> physical and thermal properties including </w:t>
      </w:r>
      <w:r w:rsidR="0016797D" w:rsidRPr="0016797D">
        <w:rPr>
          <w:i/>
          <w:lang w:val="en-GB"/>
        </w:rPr>
        <w:sym w:font="Symbol" w:char="F072"/>
      </w:r>
      <w:r w:rsidR="0016797D" w:rsidRPr="0016797D">
        <w:rPr>
          <w:lang w:val="en-GB"/>
        </w:rPr>
        <w:t xml:space="preserve">, </w:t>
      </w:r>
      <w:r w:rsidR="0016797D" w:rsidRPr="0016797D">
        <w:rPr>
          <w:i/>
          <w:lang w:val="en-GB"/>
        </w:rPr>
        <w:sym w:font="Symbol" w:char="F061"/>
      </w:r>
      <w:r w:rsidR="0016797D" w:rsidRPr="0016797D">
        <w:rPr>
          <w:lang w:val="en-GB"/>
        </w:rPr>
        <w:t xml:space="preserve">, </w:t>
      </w:r>
      <w:r w:rsidR="0016797D" w:rsidRPr="0016797D">
        <w:rPr>
          <w:i/>
          <w:lang w:val="en-GB"/>
        </w:rPr>
        <w:t>C</w:t>
      </w:r>
      <w:r w:rsidR="0016797D" w:rsidRPr="0016797D">
        <w:rPr>
          <w:vertAlign w:val="subscript"/>
          <w:lang w:val="en-GB"/>
        </w:rPr>
        <w:t>p</w:t>
      </w:r>
      <w:r w:rsidR="0016797D" w:rsidRPr="0016797D">
        <w:rPr>
          <w:lang w:val="en-GB"/>
        </w:rPr>
        <w:t xml:space="preserve">, and </w:t>
      </w:r>
      <w:r w:rsidR="0016797D" w:rsidRPr="0016797D">
        <w:rPr>
          <w:i/>
          <w:lang w:val="en-GB"/>
        </w:rPr>
        <w:sym w:font="Symbol" w:char="F06C"/>
      </w:r>
      <w:r w:rsidR="0016797D" w:rsidRPr="0016797D">
        <w:rPr>
          <w:lang w:val="en-GB"/>
        </w:rPr>
        <w:t>, were 1003 kg/m</w:t>
      </w:r>
      <w:r w:rsidR="0016797D" w:rsidRPr="0016797D">
        <w:rPr>
          <w:vertAlign w:val="superscript"/>
          <w:lang w:val="en-GB"/>
        </w:rPr>
        <w:t>3</w:t>
      </w:r>
      <w:r w:rsidR="0016797D" w:rsidRPr="0016797D">
        <w:rPr>
          <w:lang w:val="en-GB"/>
        </w:rPr>
        <w:t>, 3.30 × 10</w:t>
      </w:r>
      <w:r w:rsidR="0016797D" w:rsidRPr="0016797D">
        <w:rPr>
          <w:vertAlign w:val="superscript"/>
          <w:lang w:val="en-GB"/>
        </w:rPr>
        <w:t>-4</w:t>
      </w:r>
      <w:r w:rsidR="0016797D" w:rsidRPr="0016797D">
        <w:rPr>
          <w:lang w:val="en-GB"/>
        </w:rPr>
        <w:t xml:space="preserve"> 1/K, 3.71 kJ/kg</w:t>
      </w:r>
      <w:r w:rsidR="0016797D" w:rsidRPr="0016797D">
        <w:rPr>
          <w:lang w:val="en-GB"/>
        </w:rPr>
        <w:sym w:font="Symbol" w:char="F0D7"/>
      </w:r>
      <w:r w:rsidR="0016797D" w:rsidRPr="0016797D">
        <w:rPr>
          <w:lang w:val="en-GB"/>
        </w:rPr>
        <w:t>K, and 0.534 W/m</w:t>
      </w:r>
      <w:r w:rsidR="0016797D" w:rsidRPr="0016797D">
        <w:rPr>
          <w:lang w:val="en-GB"/>
        </w:rPr>
        <w:sym w:font="Symbol" w:char="F0D7"/>
      </w:r>
      <w:r w:rsidR="0016797D" w:rsidRPr="0016797D">
        <w:rPr>
          <w:lang w:val="en-GB"/>
        </w:rPr>
        <w:t>K, respectively</w:t>
      </w:r>
      <w:r w:rsidR="00166F9F">
        <w:rPr>
          <w:lang w:val="en-GB"/>
        </w:rPr>
        <w:t xml:space="preserve"> (Kaminoyama et al., 1999)</w:t>
      </w:r>
      <w:r w:rsidR="0016797D" w:rsidRPr="0016797D">
        <w:rPr>
          <w:lang w:val="en-GB"/>
        </w:rPr>
        <w:t>.</w:t>
      </w:r>
    </w:p>
    <w:p w14:paraId="7EA79562" w14:textId="77777777" w:rsidR="009B7966" w:rsidRDefault="009B7966" w:rsidP="00600535">
      <w:pPr>
        <w:pStyle w:val="CETBodytext"/>
        <w:rPr>
          <w:lang w:val="en-GB" w:eastAsia="ja-JP"/>
        </w:rPr>
      </w:pPr>
    </w:p>
    <w:p w14:paraId="7E1AC33D" w14:textId="77777777" w:rsidR="009B7966" w:rsidRPr="006F0319" w:rsidRDefault="009B7966" w:rsidP="009B7966">
      <w:pPr>
        <w:pStyle w:val="CETheadingx"/>
        <w:numPr>
          <w:ilvl w:val="0"/>
          <w:numId w:val="0"/>
        </w:numPr>
      </w:pPr>
      <w:r>
        <w:t xml:space="preserve">2.2 </w:t>
      </w:r>
      <w:r w:rsidR="0049532B">
        <w:t>Computational system</w:t>
      </w:r>
    </w:p>
    <w:p w14:paraId="63C0F810" w14:textId="5B0FA70E" w:rsidR="009B7966" w:rsidRDefault="0049532B" w:rsidP="00600535">
      <w:pPr>
        <w:pStyle w:val="CETBodytext"/>
        <w:rPr>
          <w:rFonts w:eastAsiaTheme="minorEastAsia"/>
          <w:lang w:val="en-GB" w:eastAsia="ja-JP"/>
        </w:rPr>
      </w:pPr>
      <w:r>
        <w:rPr>
          <w:rFonts w:hint="eastAsia"/>
          <w:lang w:val="en-GB" w:eastAsia="ja-JP"/>
        </w:rPr>
        <w:t>A</w:t>
      </w:r>
      <w:r>
        <w:rPr>
          <w:lang w:val="en-GB" w:eastAsia="ja-JP"/>
        </w:rPr>
        <w:t xml:space="preserve"> computational domain of TCFS is shown in Fig. 2. TCFS </w:t>
      </w:r>
      <w:r>
        <w:rPr>
          <w:rFonts w:eastAsiaTheme="minorEastAsia"/>
          <w:lang w:val="en-GB" w:eastAsia="ja-JP"/>
        </w:rPr>
        <w:t xml:space="preserve">system </w:t>
      </w:r>
      <w:r w:rsidRPr="00087632">
        <w:rPr>
          <w:rFonts w:eastAsiaTheme="minorEastAsia"/>
          <w:lang w:val="en-GB" w:eastAsia="ja-JP"/>
        </w:rPr>
        <w:t xml:space="preserve">consisted of concentric cylinders (length: </w:t>
      </w:r>
      <w:r w:rsidRPr="00087632">
        <w:rPr>
          <w:rFonts w:eastAsiaTheme="minorEastAsia"/>
          <w:i/>
          <w:lang w:val="en-GB" w:eastAsia="ja-JP"/>
        </w:rPr>
        <w:t>L</w:t>
      </w:r>
      <w:r w:rsidRPr="00087632">
        <w:rPr>
          <w:rFonts w:eastAsiaTheme="minorEastAsia"/>
          <w:lang w:val="en-GB" w:eastAsia="ja-JP"/>
        </w:rPr>
        <w:t xml:space="preserve"> = </w:t>
      </w:r>
      <w:r>
        <w:rPr>
          <w:rFonts w:eastAsiaTheme="minorEastAsia"/>
          <w:lang w:val="en-GB" w:eastAsia="ja-JP"/>
        </w:rPr>
        <w:t>300</w:t>
      </w:r>
      <w:r w:rsidRPr="00087632">
        <w:rPr>
          <w:rFonts w:eastAsiaTheme="minorEastAsia"/>
          <w:lang w:val="en-GB" w:eastAsia="ja-JP"/>
        </w:rPr>
        <w:t xml:space="preserve"> mm), rotating inner cylinder (outer radius: </w:t>
      </w:r>
      <w:r w:rsidRPr="00087632">
        <w:rPr>
          <w:rFonts w:eastAsiaTheme="minorEastAsia"/>
          <w:i/>
          <w:lang w:val="en-GB" w:eastAsia="ja-JP"/>
        </w:rPr>
        <w:t>R</w:t>
      </w:r>
      <w:r w:rsidRPr="00087632">
        <w:rPr>
          <w:rFonts w:eastAsiaTheme="minorEastAsia"/>
          <w:vertAlign w:val="subscript"/>
          <w:lang w:val="en-GB" w:eastAsia="ja-JP"/>
        </w:rPr>
        <w:t>i</w:t>
      </w:r>
      <w:r w:rsidRPr="00087632">
        <w:rPr>
          <w:rFonts w:eastAsiaTheme="minorEastAsia"/>
          <w:lang w:val="en-GB" w:eastAsia="ja-JP"/>
        </w:rPr>
        <w:t xml:space="preserve"> = 12.5 mm) and the fixed outer cylinder (inner radius: </w:t>
      </w:r>
      <w:r w:rsidRPr="00087632">
        <w:rPr>
          <w:rFonts w:eastAsiaTheme="minorEastAsia"/>
          <w:i/>
          <w:lang w:val="en-GB" w:eastAsia="ja-JP"/>
        </w:rPr>
        <w:t>R</w:t>
      </w:r>
      <w:r w:rsidRPr="00087632">
        <w:rPr>
          <w:rFonts w:eastAsiaTheme="minorEastAsia"/>
          <w:vertAlign w:val="subscript"/>
          <w:lang w:val="en-GB" w:eastAsia="ja-JP"/>
        </w:rPr>
        <w:t>o</w:t>
      </w:r>
      <w:r w:rsidRPr="00087632">
        <w:rPr>
          <w:rFonts w:eastAsiaTheme="minorEastAsia"/>
          <w:lang w:val="en-GB" w:eastAsia="ja-JP"/>
        </w:rPr>
        <w:t xml:space="preserve"> = 17.5 mm).</w:t>
      </w:r>
    </w:p>
    <w:p w14:paraId="7CF97638" w14:textId="0BEA8D06" w:rsidR="0049532B" w:rsidRDefault="00B54AED" w:rsidP="00600535">
      <w:pPr>
        <w:pStyle w:val="CETBodytext"/>
        <w:rPr>
          <w:lang w:val="en-GB" w:eastAsia="ja-JP"/>
        </w:rPr>
      </w:pPr>
      <w:r w:rsidRPr="00B54AED">
        <w:rPr>
          <w:noProof/>
        </w:rPr>
        <w:drawing>
          <wp:inline distT="0" distB="0" distL="0" distR="0" wp14:anchorId="4030D474" wp14:editId="1C86A1D7">
            <wp:extent cx="4105017" cy="154866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239" cy="1578553"/>
                    </a:xfrm>
                    <a:prstGeom prst="rect">
                      <a:avLst/>
                    </a:prstGeom>
                  </pic:spPr>
                </pic:pic>
              </a:graphicData>
            </a:graphic>
          </wp:inline>
        </w:drawing>
      </w:r>
    </w:p>
    <w:p w14:paraId="09393E94" w14:textId="1C665C1E" w:rsidR="0049532B" w:rsidRPr="0084166F" w:rsidRDefault="0049532B" w:rsidP="00600535">
      <w:pPr>
        <w:pStyle w:val="CETBodytext"/>
        <w:rPr>
          <w:i/>
          <w:lang w:val="en-GB" w:eastAsia="ja-JP"/>
        </w:rPr>
      </w:pPr>
      <w:r w:rsidRPr="0084166F">
        <w:rPr>
          <w:rFonts w:hint="eastAsia"/>
          <w:i/>
          <w:lang w:val="en-GB" w:eastAsia="ja-JP"/>
        </w:rPr>
        <w:t>F</w:t>
      </w:r>
      <w:r w:rsidRPr="0084166F">
        <w:rPr>
          <w:i/>
          <w:lang w:val="en-GB" w:eastAsia="ja-JP"/>
        </w:rPr>
        <w:t>igure 3: Computational domain of Taylor</w:t>
      </w:r>
      <w:r w:rsidR="00630F2B" w:rsidRPr="00DA6631">
        <w:rPr>
          <w:rFonts w:cs="Arial"/>
        </w:rPr>
        <w:t>–</w:t>
      </w:r>
      <w:r w:rsidRPr="0084166F">
        <w:rPr>
          <w:i/>
          <w:lang w:val="en-GB" w:eastAsia="ja-JP"/>
        </w:rPr>
        <w:t>Couette flow sterilizer (TCFS)</w:t>
      </w:r>
    </w:p>
    <w:p w14:paraId="74226D88" w14:textId="77777777" w:rsidR="00C46F43" w:rsidRDefault="00C46F43" w:rsidP="00600535">
      <w:pPr>
        <w:pStyle w:val="CETBodytext"/>
        <w:rPr>
          <w:lang w:val="en-GB"/>
        </w:rPr>
      </w:pPr>
    </w:p>
    <w:p w14:paraId="67D0FC54" w14:textId="77777777" w:rsidR="0049532B" w:rsidRDefault="0049532B" w:rsidP="00600535">
      <w:pPr>
        <w:pStyle w:val="CETBodytext"/>
        <w:rPr>
          <w:lang w:val="en-GB"/>
        </w:rPr>
      </w:pPr>
      <w:r>
        <w:rPr>
          <w:rFonts w:hint="eastAsia"/>
          <w:lang w:val="en-GB"/>
        </w:rPr>
        <w:t>T</w:t>
      </w:r>
      <w:r>
        <w:rPr>
          <w:lang w:val="en-GB"/>
        </w:rPr>
        <w:t>he boundary conditions were as follows:</w:t>
      </w:r>
    </w:p>
    <w:p w14:paraId="576D2185" w14:textId="07941DA6" w:rsidR="0049532B" w:rsidRPr="0049532B" w:rsidRDefault="0049532B" w:rsidP="0049532B">
      <w:pPr>
        <w:pStyle w:val="CETBodytext"/>
        <w:tabs>
          <w:tab w:val="left" w:pos="284"/>
        </w:tabs>
        <w:ind w:left="283" w:hangingChars="157" w:hanging="283"/>
      </w:pPr>
      <w:r>
        <w:rPr>
          <w:lang w:val="en-GB"/>
        </w:rPr>
        <w:t>1)</w:t>
      </w:r>
      <w:r>
        <w:rPr>
          <w:lang w:val="en-GB"/>
        </w:rPr>
        <w:tab/>
      </w:r>
      <w:r w:rsidRPr="0049532B">
        <w:t>I</w:t>
      </w:r>
      <w:r w:rsidRPr="0049532B">
        <w:rPr>
          <w:rFonts w:hint="eastAsia"/>
        </w:rPr>
        <w:t xml:space="preserve">nlet boundary conditions: </w:t>
      </w:r>
      <w:r w:rsidRPr="0049532B">
        <w:t xml:space="preserve">The constant axial inlet velocity of fluid, </w:t>
      </w:r>
      <w:r w:rsidRPr="0049532B">
        <w:rPr>
          <w:i/>
        </w:rPr>
        <w:t>u</w:t>
      </w:r>
      <w:r w:rsidRPr="0049532B">
        <w:rPr>
          <w:vertAlign w:val="subscript"/>
        </w:rPr>
        <w:t>z</w:t>
      </w:r>
      <w:r w:rsidRPr="0049532B">
        <w:t xml:space="preserve">, with </w:t>
      </w:r>
      <w:r w:rsidRPr="0049532B">
        <w:rPr>
          <w:i/>
        </w:rPr>
        <w:t>T</w:t>
      </w:r>
      <w:r w:rsidRPr="0049532B">
        <w:rPr>
          <w:vertAlign w:val="subscript"/>
        </w:rPr>
        <w:t>in</w:t>
      </w:r>
      <w:r w:rsidRPr="0049532B">
        <w:t xml:space="preserve"> = 373.15 K was set at </w:t>
      </w:r>
      <w:r w:rsidRPr="0049532B">
        <w:rPr>
          <w:i/>
        </w:rPr>
        <w:t>u</w:t>
      </w:r>
      <w:r w:rsidRPr="0049532B">
        <w:t xml:space="preserve"> = 5.0 × 10</w:t>
      </w:r>
      <w:r w:rsidRPr="0049532B">
        <w:rPr>
          <w:vertAlign w:val="superscript"/>
        </w:rPr>
        <w:t>-4</w:t>
      </w:r>
      <w:r w:rsidRPr="0049532B">
        <w:t xml:space="preserve"> m/s. Thus, the</w:t>
      </w:r>
      <w:r w:rsidRPr="0049532B">
        <w:rPr>
          <w:rFonts w:hint="eastAsia"/>
        </w:rPr>
        <w:t xml:space="preserve"> </w:t>
      </w:r>
      <w:r w:rsidRPr="0049532B">
        <w:t xml:space="preserve">residence time, </w:t>
      </w:r>
      <w:r w:rsidRPr="0049532B">
        <w:rPr>
          <w:rFonts w:ascii="Symbol" w:hAnsi="Symbol"/>
          <w:i/>
        </w:rPr>
        <w:t></w:t>
      </w:r>
      <w:r w:rsidRPr="0049532B">
        <w:t xml:space="preserve"> = </w:t>
      </w:r>
      <w:r w:rsidRPr="0049532B">
        <w:rPr>
          <w:i/>
        </w:rPr>
        <w:t>L</w:t>
      </w:r>
      <w:r w:rsidRPr="0049532B">
        <w:t xml:space="preserve"> / </w:t>
      </w:r>
      <w:r w:rsidRPr="0049532B">
        <w:rPr>
          <w:i/>
        </w:rPr>
        <w:t>u</w:t>
      </w:r>
      <w:r w:rsidRPr="0049532B">
        <w:t>, was 300 s.</w:t>
      </w:r>
      <w:r w:rsidR="001F4597">
        <w:t xml:space="preserve"> The initial concentration of thiamine at the inlet, </w:t>
      </w:r>
      <w:r w:rsidR="001F4597" w:rsidRPr="001F4597">
        <w:rPr>
          <w:i/>
        </w:rPr>
        <w:t>C</w:t>
      </w:r>
      <w:r w:rsidR="001F4597" w:rsidRPr="001F4597">
        <w:rPr>
          <w:vertAlign w:val="subscript"/>
        </w:rPr>
        <w:t>0</w:t>
      </w:r>
      <w:r w:rsidR="001F4597">
        <w:t>, was assumed to be 40 mg/L.</w:t>
      </w:r>
    </w:p>
    <w:p w14:paraId="10ABC097" w14:textId="77777777" w:rsidR="0049532B" w:rsidRDefault="0049532B" w:rsidP="0049532B">
      <w:pPr>
        <w:pStyle w:val="CETBodytext"/>
        <w:tabs>
          <w:tab w:val="left" w:pos="284"/>
        </w:tabs>
        <w:ind w:left="283" w:hangingChars="157" w:hanging="283"/>
      </w:pPr>
      <w:r>
        <w:t>2)</w:t>
      </w:r>
      <w:r>
        <w:tab/>
      </w:r>
      <w:r w:rsidRPr="0049532B">
        <w:rPr>
          <w:rFonts w:hint="eastAsia"/>
        </w:rPr>
        <w:t xml:space="preserve">Outer cylinder boundary conditions: </w:t>
      </w:r>
      <w:r w:rsidRPr="0049532B">
        <w:t xml:space="preserve">All components of velocity were 0 m/s; the temperature, </w:t>
      </w:r>
      <w:r w:rsidRPr="0049532B">
        <w:rPr>
          <w:i/>
        </w:rPr>
        <w:t>T</w:t>
      </w:r>
      <w:r w:rsidRPr="0049532B">
        <w:rPr>
          <w:vertAlign w:val="subscript"/>
        </w:rPr>
        <w:t>o</w:t>
      </w:r>
      <w:r w:rsidRPr="0049532B">
        <w:t>, was set at 418.15 K.</w:t>
      </w:r>
    </w:p>
    <w:p w14:paraId="28080918" w14:textId="77777777" w:rsidR="0049532B" w:rsidRPr="0049532B" w:rsidRDefault="0049532B" w:rsidP="0049532B">
      <w:pPr>
        <w:pStyle w:val="CETBodytext"/>
        <w:tabs>
          <w:tab w:val="left" w:pos="284"/>
        </w:tabs>
        <w:ind w:left="283" w:hangingChars="157" w:hanging="283"/>
      </w:pPr>
      <w:r>
        <w:rPr>
          <w:lang w:val="en-GB"/>
        </w:rPr>
        <w:lastRenderedPageBreak/>
        <w:t>3)</w:t>
      </w:r>
      <w:r>
        <w:rPr>
          <w:lang w:val="en-GB"/>
        </w:rPr>
        <w:tab/>
      </w:r>
      <w:r w:rsidRPr="0049532B">
        <w:rPr>
          <w:rFonts w:hint="eastAsia"/>
          <w:lang w:val="en-GB"/>
        </w:rPr>
        <w:t>Inner cylinder boundary conditions: The circumferential velocity</w:t>
      </w:r>
      <w:r w:rsidRPr="0049532B">
        <w:rPr>
          <w:lang w:val="en-GB"/>
        </w:rPr>
        <w:t xml:space="preserve">, </w:t>
      </w:r>
      <w:r w:rsidRPr="0049532B">
        <w:rPr>
          <w:i/>
          <w:lang w:val="en-GB"/>
        </w:rPr>
        <w:t>u</w:t>
      </w:r>
      <w:r w:rsidR="00FA54DF" w:rsidRPr="00FA54DF">
        <w:rPr>
          <w:rFonts w:ascii="Symbol" w:hAnsi="Symbol"/>
          <w:vertAlign w:val="subscript"/>
          <w:lang w:val="en-GB"/>
        </w:rPr>
        <w:t></w:t>
      </w:r>
      <w:r w:rsidRPr="0049532B">
        <w:rPr>
          <w:lang w:val="en-GB"/>
        </w:rPr>
        <w:t>,</w:t>
      </w:r>
      <w:r w:rsidRPr="0049532B">
        <w:rPr>
          <w:rFonts w:hint="eastAsia"/>
          <w:lang w:val="en-GB"/>
        </w:rPr>
        <w:t xml:space="preserve"> was given by </w:t>
      </w:r>
      <w:r w:rsidRPr="0049532B">
        <w:rPr>
          <w:rFonts w:hint="eastAsia"/>
          <w:i/>
          <w:lang w:val="en-GB"/>
        </w:rPr>
        <w:sym w:font="Symbol" w:char="F077"/>
      </w:r>
      <w:r w:rsidRPr="0049532B">
        <w:rPr>
          <w:rFonts w:hint="eastAsia"/>
          <w:i/>
          <w:lang w:val="en-GB"/>
        </w:rPr>
        <w:t>R</w:t>
      </w:r>
      <w:r w:rsidRPr="0049532B">
        <w:rPr>
          <w:rFonts w:hint="eastAsia"/>
          <w:vertAlign w:val="subscript"/>
          <w:lang w:val="en-GB"/>
        </w:rPr>
        <w:t>i</w:t>
      </w:r>
      <w:r w:rsidRPr="0049532B">
        <w:rPr>
          <w:rFonts w:hint="eastAsia"/>
          <w:lang w:val="en-GB"/>
        </w:rPr>
        <w:t xml:space="preserve"> [m/s]; the axial and radial velocit</w:t>
      </w:r>
      <w:r w:rsidRPr="0049532B">
        <w:rPr>
          <w:lang w:val="en-GB"/>
        </w:rPr>
        <w:t>ies</w:t>
      </w:r>
      <w:r w:rsidRPr="0049532B">
        <w:rPr>
          <w:rFonts w:hint="eastAsia"/>
          <w:lang w:val="en-GB"/>
        </w:rPr>
        <w:t xml:space="preserve"> were 0 m/s; </w:t>
      </w:r>
      <w:r w:rsidRPr="0049532B">
        <w:rPr>
          <w:lang w:val="en-GB"/>
        </w:rPr>
        <w:t xml:space="preserve">no </w:t>
      </w:r>
      <w:r w:rsidRPr="0049532B">
        <w:rPr>
          <w:rFonts w:hint="eastAsia"/>
          <w:lang w:val="en-GB"/>
        </w:rPr>
        <w:t>heat</w:t>
      </w:r>
      <w:r w:rsidRPr="0049532B">
        <w:rPr>
          <w:lang w:val="en-GB"/>
        </w:rPr>
        <w:t>/mass</w:t>
      </w:r>
      <w:r w:rsidRPr="0049532B">
        <w:rPr>
          <w:rFonts w:hint="eastAsia"/>
          <w:lang w:val="en-GB"/>
        </w:rPr>
        <w:t xml:space="preserve"> </w:t>
      </w:r>
      <w:r w:rsidRPr="0049532B">
        <w:rPr>
          <w:lang w:val="en-GB"/>
        </w:rPr>
        <w:t>transfer</w:t>
      </w:r>
      <w:r w:rsidRPr="0049532B">
        <w:rPr>
          <w:rFonts w:hint="eastAsia"/>
          <w:lang w:val="en-GB"/>
        </w:rPr>
        <w:t>.</w:t>
      </w:r>
    </w:p>
    <w:p w14:paraId="5751A5F3" w14:textId="77777777" w:rsidR="00FA54DF" w:rsidRDefault="0049532B" w:rsidP="0049532B">
      <w:pPr>
        <w:pStyle w:val="CETBodytext"/>
        <w:tabs>
          <w:tab w:val="left" w:pos="284"/>
        </w:tabs>
        <w:rPr>
          <w:lang w:val="en-GB"/>
        </w:rPr>
      </w:pPr>
      <w:r>
        <w:rPr>
          <w:lang w:val="en-GB"/>
        </w:rPr>
        <w:t>4)</w:t>
      </w:r>
      <w:r>
        <w:rPr>
          <w:lang w:val="en-GB"/>
        </w:rPr>
        <w:tab/>
      </w:r>
      <w:r w:rsidRPr="0049532B">
        <w:rPr>
          <w:lang w:val="en-GB"/>
        </w:rPr>
        <w:t>Outlet boundary conditions: The pressure at the outlet was set at 0.</w:t>
      </w:r>
    </w:p>
    <w:p w14:paraId="72583903" w14:textId="77777777" w:rsidR="0049532B" w:rsidRDefault="00FA54DF" w:rsidP="0049532B">
      <w:pPr>
        <w:pStyle w:val="CETBodytext"/>
        <w:tabs>
          <w:tab w:val="left" w:pos="284"/>
        </w:tabs>
        <w:rPr>
          <w:lang w:val="en-GB"/>
        </w:rPr>
      </w:pPr>
      <w:r>
        <w:rPr>
          <w:lang w:val="en-GB"/>
        </w:rPr>
        <w:t>Actually, in order to avoid back flows, an extended section was imposed (Masuda et al., 2019). For simulations, OpenFOAM</w:t>
      </w:r>
      <w:r w:rsidRPr="00FA54DF">
        <w:rPr>
          <w:vertAlign w:val="superscript"/>
          <w:lang w:val="en-GB"/>
        </w:rPr>
        <w:sym w:font="Symbol" w:char="F0D2"/>
      </w:r>
      <w:r>
        <w:rPr>
          <w:lang w:val="en-GB"/>
        </w:rPr>
        <w:t xml:space="preserve"> 4.0 code was utilized.</w:t>
      </w:r>
      <w:r w:rsidR="00251E09">
        <w:rPr>
          <w:lang w:val="en-GB"/>
        </w:rPr>
        <w:t xml:space="preserve"> </w:t>
      </w:r>
      <w:r w:rsidR="00251E09" w:rsidRPr="00251E09">
        <w:rPr>
          <w:lang w:val="en-GB"/>
        </w:rPr>
        <w:t xml:space="preserve">The governing equations were discretized based on a finite volume method. The second-order QUICK (Quadratic Upstream Interpolation for Convective Kinematics) scheme was applied to </w:t>
      </w:r>
      <w:r w:rsidR="00251E09">
        <w:rPr>
          <w:lang w:val="en-GB"/>
        </w:rPr>
        <w:t>the</w:t>
      </w:r>
      <w:r w:rsidR="00251E09" w:rsidRPr="00251E09">
        <w:rPr>
          <w:lang w:val="en-GB"/>
        </w:rPr>
        <w:t xml:space="preserve"> convection term, and t</w:t>
      </w:r>
      <w:r w:rsidR="00251E09" w:rsidRPr="00251E09">
        <w:rPr>
          <w:rFonts w:hint="eastAsia"/>
          <w:lang w:val="en-GB"/>
        </w:rPr>
        <w:t>h</w:t>
      </w:r>
      <w:r w:rsidR="00251E09" w:rsidRPr="00251E09">
        <w:rPr>
          <w:lang w:val="en-GB"/>
        </w:rPr>
        <w:t>e second-order central difference scheme was applied to a viscous term.</w:t>
      </w:r>
      <w:r w:rsidR="00251E09">
        <w:t xml:space="preserve"> For the convection term in the conservation equation of chemical species, the total variation diminishing (TVD) scheme was applied to the convection term (Srinivasan et al., 2005). The Semi Implicit Method for Pressure Linked Equations (SIMPLE) method was used for pressure-velocity coupling.</w:t>
      </w:r>
      <w:r w:rsidR="00AC0B27">
        <w:t xml:space="preserve"> The number of cells was 901,120 </w:t>
      </w:r>
      <w:r w:rsidR="00AC0B27" w:rsidRPr="00AC0B27">
        <w:rPr>
          <w:lang w:val="en-GB"/>
        </w:rPr>
        <w:t>(32 × 128 × 220, in radial, circumferential, and axial directions, respectively)</w:t>
      </w:r>
      <w:r w:rsidR="00AC0B27">
        <w:rPr>
          <w:lang w:val="en-GB"/>
        </w:rPr>
        <w:t>. It is noted that the validation of simulation code and the optimization of the number of cells were already conducted by Masuda et al. (2019).</w:t>
      </w:r>
    </w:p>
    <w:p w14:paraId="3D900AD9" w14:textId="77777777" w:rsidR="00450D93" w:rsidRPr="006F0319" w:rsidRDefault="00450D93" w:rsidP="00450D93">
      <w:pPr>
        <w:pStyle w:val="CETheadingx"/>
        <w:numPr>
          <w:ilvl w:val="0"/>
          <w:numId w:val="0"/>
        </w:numPr>
      </w:pPr>
      <w:r>
        <w:t>2.3 Model reactions</w:t>
      </w:r>
    </w:p>
    <w:p w14:paraId="59FCE9E4" w14:textId="45A74037" w:rsidR="00AC0B27" w:rsidRDefault="00450D93" w:rsidP="0049532B">
      <w:pPr>
        <w:pStyle w:val="CETBodytext"/>
        <w:tabs>
          <w:tab w:val="left" w:pos="284"/>
        </w:tabs>
        <w:rPr>
          <w:lang w:eastAsia="ja-JP"/>
        </w:rPr>
      </w:pPr>
      <w:r>
        <w:rPr>
          <w:lang w:eastAsia="ja-JP"/>
        </w:rPr>
        <w:t xml:space="preserve">In this study, </w:t>
      </w:r>
      <w:r w:rsidR="00152B26">
        <w:rPr>
          <w:lang w:eastAsia="ja-JP"/>
        </w:rPr>
        <w:t xml:space="preserve">two reactions (destruction of </w:t>
      </w:r>
      <w:r w:rsidR="00152B26" w:rsidRPr="00152B26">
        <w:rPr>
          <w:i/>
          <w:lang w:eastAsia="ja-JP"/>
        </w:rPr>
        <w:t>Clostridium botulinum</w:t>
      </w:r>
      <w:r w:rsidR="00152B26">
        <w:rPr>
          <w:lang w:eastAsia="ja-JP"/>
        </w:rPr>
        <w:t xml:space="preserve"> spores and thiamine) were </w:t>
      </w:r>
      <w:r w:rsidR="00AB073F">
        <w:rPr>
          <w:lang w:eastAsia="ja-JP"/>
        </w:rPr>
        <w:t>assumed to evaluate the performance of TCFS</w:t>
      </w:r>
      <w:r w:rsidR="00152B26">
        <w:rPr>
          <w:lang w:eastAsia="ja-JP"/>
        </w:rPr>
        <w:t xml:space="preserve">. </w:t>
      </w:r>
      <w:r w:rsidR="001F6AD9" w:rsidRPr="00706242">
        <w:rPr>
          <w:i/>
          <w:lang w:eastAsia="ja-JP"/>
        </w:rPr>
        <w:t>Clostridium botulinum</w:t>
      </w:r>
      <w:r w:rsidR="001F6AD9" w:rsidRPr="00706242">
        <w:rPr>
          <w:lang w:eastAsia="ja-JP"/>
        </w:rPr>
        <w:t xml:space="preserve"> spores </w:t>
      </w:r>
      <w:r w:rsidR="00EB5902" w:rsidRPr="00706242">
        <w:rPr>
          <w:lang w:eastAsia="ja-JP"/>
        </w:rPr>
        <w:t>presence in foods is a significant threat to public health, and for this reason, the destruction of its spores is quite important</w:t>
      </w:r>
      <w:r w:rsidR="003B11B7" w:rsidRPr="00706242">
        <w:rPr>
          <w:lang w:eastAsia="ja-JP"/>
        </w:rPr>
        <w:t xml:space="preserve"> (Chotyakul et al., 2011)</w:t>
      </w:r>
      <w:r w:rsidR="00EB5902" w:rsidRPr="00706242">
        <w:rPr>
          <w:lang w:eastAsia="ja-JP"/>
        </w:rPr>
        <w:t>. With respect to the destruction of spores, a first-order reaction model is widely used. Besides, as a representative example of thermal destruction of vulnerable constituents, the destruction of the vitamin thiamine was selected. The thermal destruction of thiamine is appropriately expressed by a second-order reaction.</w:t>
      </w:r>
      <w:r w:rsidR="00EB5902">
        <w:rPr>
          <w:lang w:eastAsia="ja-JP"/>
        </w:rPr>
        <w:t xml:space="preserve"> </w:t>
      </w:r>
      <w:r w:rsidR="00152B26">
        <w:rPr>
          <w:lang w:eastAsia="ja-JP"/>
        </w:rPr>
        <w:t xml:space="preserve">The detailed procedure for the </w:t>
      </w:r>
      <w:r w:rsidR="0064111D">
        <w:rPr>
          <w:lang w:eastAsia="ja-JP"/>
        </w:rPr>
        <w:t xml:space="preserve">implementation to </w:t>
      </w:r>
      <w:r w:rsidR="00B17F9A">
        <w:rPr>
          <w:lang w:eastAsia="ja-JP"/>
        </w:rPr>
        <w:t xml:space="preserve">simulations </w:t>
      </w:r>
      <w:r w:rsidR="001A1DB4">
        <w:rPr>
          <w:lang w:eastAsia="ja-JP"/>
        </w:rPr>
        <w:t xml:space="preserve">is </w:t>
      </w:r>
      <w:r w:rsidR="00970250">
        <w:rPr>
          <w:lang w:eastAsia="ja-JP"/>
        </w:rPr>
        <w:t xml:space="preserve">described </w:t>
      </w:r>
      <w:r w:rsidR="00F968CF">
        <w:rPr>
          <w:lang w:eastAsia="ja-JP"/>
        </w:rPr>
        <w:t>in the paper by Kelder et al. (2002) or Masuda et al. (2019).</w:t>
      </w:r>
      <w:r w:rsidR="003D598F">
        <w:rPr>
          <w:lang w:eastAsia="ja-JP"/>
        </w:rPr>
        <w:t xml:space="preserve"> Briefly speaking, </w:t>
      </w:r>
      <w:r w:rsidR="00EB2061">
        <w:rPr>
          <w:lang w:eastAsia="ja-JP"/>
        </w:rPr>
        <w:t xml:space="preserve">the degree of destruction of </w:t>
      </w:r>
      <w:r w:rsidR="00EB2061" w:rsidRPr="00152B26">
        <w:rPr>
          <w:i/>
          <w:lang w:eastAsia="ja-JP"/>
        </w:rPr>
        <w:t>Clostridium botulinum</w:t>
      </w:r>
      <w:r w:rsidR="00EB2061">
        <w:rPr>
          <w:lang w:eastAsia="ja-JP"/>
        </w:rPr>
        <w:t xml:space="preserve"> spores was evaluated based on the equivalent lethalit</w:t>
      </w:r>
      <w:r w:rsidR="00653AAD">
        <w:rPr>
          <w:lang w:eastAsia="ja-JP"/>
        </w:rPr>
        <w:t>y (</w:t>
      </w:r>
      <w:r w:rsidR="00653AAD" w:rsidRPr="000C4D27">
        <w:rPr>
          <w:i/>
          <w:lang w:eastAsia="ja-JP"/>
        </w:rPr>
        <w:t>F</w:t>
      </w:r>
      <w:r w:rsidR="00653AAD" w:rsidRPr="000C4D27">
        <w:rPr>
          <w:vertAlign w:val="subscript"/>
          <w:lang w:eastAsia="ja-JP"/>
        </w:rPr>
        <w:t>0</w:t>
      </w:r>
      <w:r w:rsidR="00653AAD">
        <w:rPr>
          <w:lang w:eastAsia="ja-JP"/>
        </w:rPr>
        <w:t xml:space="preserve">), and the retaining of </w:t>
      </w:r>
      <w:r w:rsidR="000C4D27">
        <w:rPr>
          <w:lang w:eastAsia="ja-JP"/>
        </w:rPr>
        <w:t xml:space="preserve">thiamine was estimated from the residual concentration of thiamine at </w:t>
      </w:r>
      <w:r w:rsidR="00532BAC" w:rsidRPr="00706242">
        <w:rPr>
          <w:lang w:eastAsia="ja-JP"/>
        </w:rPr>
        <w:t>each axial position</w:t>
      </w:r>
      <w:r w:rsidR="000C4D27">
        <w:rPr>
          <w:lang w:eastAsia="ja-JP"/>
        </w:rPr>
        <w:t>.</w:t>
      </w:r>
      <w:r w:rsidR="004E12CA">
        <w:rPr>
          <w:lang w:eastAsia="ja-JP"/>
        </w:rPr>
        <w:t xml:space="preserve"> It is noted that </w:t>
      </w:r>
      <w:r w:rsidR="009D4277" w:rsidRPr="007A3EB8">
        <w:rPr>
          <w:i/>
          <w:lang w:eastAsia="ja-JP"/>
        </w:rPr>
        <w:t>F</w:t>
      </w:r>
      <w:r w:rsidR="009D4277" w:rsidRPr="007A3EB8">
        <w:rPr>
          <w:vertAlign w:val="subscript"/>
          <w:lang w:eastAsia="ja-JP"/>
        </w:rPr>
        <w:t>0</w:t>
      </w:r>
      <w:r w:rsidR="009D4277">
        <w:rPr>
          <w:lang w:eastAsia="ja-JP"/>
        </w:rPr>
        <w:t xml:space="preserve"> was calculated from the temperature field obtained by numerical simulations while the thiamine concentration was directly calculated by solving Eq. (4).</w:t>
      </w:r>
    </w:p>
    <w:p w14:paraId="56A5BF78" w14:textId="77777777" w:rsidR="00AC0B27" w:rsidRDefault="00AC0B27" w:rsidP="0049532B">
      <w:pPr>
        <w:pStyle w:val="CETBodytext"/>
        <w:tabs>
          <w:tab w:val="left" w:pos="284"/>
        </w:tabs>
        <w:rPr>
          <w:lang w:eastAsia="ja-JP"/>
        </w:rPr>
      </w:pPr>
    </w:p>
    <w:p w14:paraId="04700FA4" w14:textId="75714478" w:rsidR="00E85E7C" w:rsidRPr="004B3023" w:rsidRDefault="00547376" w:rsidP="004B3023">
      <w:pPr>
        <w:pStyle w:val="CETHeading1"/>
        <w:tabs>
          <w:tab w:val="clear" w:pos="360"/>
          <w:tab w:val="right" w:pos="7100"/>
        </w:tabs>
        <w:jc w:val="both"/>
        <w:rPr>
          <w:lang w:val="en-GB"/>
        </w:rPr>
      </w:pPr>
      <w:r>
        <w:rPr>
          <w:lang w:val="en-GB"/>
        </w:rPr>
        <w:t>Results and discussion</w:t>
      </w:r>
    </w:p>
    <w:p w14:paraId="5C32366D" w14:textId="23F4C5BA" w:rsidR="00967DC9" w:rsidRPr="00F924AC" w:rsidRDefault="00E4049C" w:rsidP="002C6639">
      <w:pPr>
        <w:pStyle w:val="CETBodytext"/>
        <w:tabs>
          <w:tab w:val="left" w:pos="284"/>
        </w:tabs>
        <w:rPr>
          <w:lang w:eastAsia="ja-JP"/>
        </w:rPr>
      </w:pPr>
      <w:r>
        <w:rPr>
          <w:lang w:eastAsia="ja-JP"/>
        </w:rPr>
        <w:t xml:space="preserve">In order to discuss </w:t>
      </w:r>
      <w:r w:rsidR="00047F67">
        <w:rPr>
          <w:lang w:eastAsia="ja-JP"/>
        </w:rPr>
        <w:t>from the viewpoint of</w:t>
      </w:r>
      <w:r>
        <w:rPr>
          <w:lang w:eastAsia="ja-JP"/>
        </w:rPr>
        <w:t xml:space="preserve"> fluid flow and heat transfer, </w:t>
      </w:r>
      <w:r w:rsidR="00960A5F">
        <w:rPr>
          <w:lang w:eastAsia="ja-JP"/>
        </w:rPr>
        <w:t xml:space="preserve">the definition of </w:t>
      </w:r>
      <w:r w:rsidR="00960A5F" w:rsidRPr="00775BA6">
        <w:rPr>
          <w:i/>
          <w:lang w:eastAsia="ja-JP"/>
        </w:rPr>
        <w:t>Re</w:t>
      </w:r>
      <w:r w:rsidR="00960A5F">
        <w:rPr>
          <w:lang w:eastAsia="ja-JP"/>
        </w:rPr>
        <w:t xml:space="preserve"> is quite important in shear-thinning fluid systems.</w:t>
      </w:r>
      <w:r w:rsidR="00F142F9">
        <w:rPr>
          <w:lang w:eastAsia="ja-JP"/>
        </w:rPr>
        <w:t xml:space="preserve"> Because the viscosity spatially changes due to the shear-thinning property, the </w:t>
      </w:r>
      <w:r w:rsidR="00047F67">
        <w:rPr>
          <w:lang w:eastAsia="ja-JP"/>
        </w:rPr>
        <w:t xml:space="preserve">definition of </w:t>
      </w:r>
      <w:r w:rsidR="00F142F9">
        <w:rPr>
          <w:lang w:eastAsia="ja-JP"/>
        </w:rPr>
        <w:t xml:space="preserve">effective </w:t>
      </w:r>
      <w:r w:rsidR="00F142F9" w:rsidRPr="00967DC9">
        <w:rPr>
          <w:i/>
          <w:lang w:eastAsia="ja-JP"/>
        </w:rPr>
        <w:t>Re</w:t>
      </w:r>
      <w:r w:rsidR="00F142F9">
        <w:rPr>
          <w:lang w:eastAsia="ja-JP"/>
        </w:rPr>
        <w:t xml:space="preserve"> (</w:t>
      </w:r>
      <w:r w:rsidR="00F142F9" w:rsidRPr="00967DC9">
        <w:rPr>
          <w:i/>
          <w:lang w:eastAsia="ja-JP"/>
        </w:rPr>
        <w:t>Re</w:t>
      </w:r>
      <w:r w:rsidR="00F142F9" w:rsidRPr="00967DC9">
        <w:rPr>
          <w:vertAlign w:val="subscript"/>
          <w:lang w:eastAsia="ja-JP"/>
        </w:rPr>
        <w:t>eff</w:t>
      </w:r>
      <w:r w:rsidR="00F142F9">
        <w:rPr>
          <w:lang w:eastAsia="ja-JP"/>
        </w:rPr>
        <w:t xml:space="preserve">) </w:t>
      </w:r>
      <w:r w:rsidR="00047F67">
        <w:rPr>
          <w:lang w:eastAsia="ja-JP"/>
        </w:rPr>
        <w:t>based on the effective viscosity (</w:t>
      </w:r>
      <w:r w:rsidR="00047F67" w:rsidRPr="00047F67">
        <w:rPr>
          <w:rFonts w:ascii="Symbol" w:hAnsi="Symbol"/>
          <w:i/>
          <w:lang w:eastAsia="ja-JP"/>
        </w:rPr>
        <w:t></w:t>
      </w:r>
      <w:r w:rsidR="00047F67" w:rsidRPr="00047F67">
        <w:rPr>
          <w:vertAlign w:val="subscript"/>
          <w:lang w:eastAsia="ja-JP"/>
        </w:rPr>
        <w:t>eff</w:t>
      </w:r>
      <w:r w:rsidR="00047F67">
        <w:rPr>
          <w:lang w:eastAsia="ja-JP"/>
        </w:rPr>
        <w:t>) in the system is necessary.</w:t>
      </w:r>
      <w:r w:rsidR="00967DC9">
        <w:rPr>
          <w:lang w:eastAsia="ja-JP"/>
        </w:rPr>
        <w:t xml:space="preserve"> The method to determine </w:t>
      </w:r>
      <w:r w:rsidR="00967DC9" w:rsidRPr="00967DC9">
        <w:rPr>
          <w:i/>
          <w:lang w:eastAsia="ja-JP"/>
        </w:rPr>
        <w:t>Re</w:t>
      </w:r>
      <w:r w:rsidR="00967DC9" w:rsidRPr="00967DC9">
        <w:rPr>
          <w:vertAlign w:val="subscript"/>
          <w:lang w:eastAsia="ja-JP"/>
        </w:rPr>
        <w:t>eff</w:t>
      </w:r>
      <w:r w:rsidR="00967DC9">
        <w:rPr>
          <w:lang w:eastAsia="ja-JP"/>
        </w:rPr>
        <w:t xml:space="preserve"> for Taylor</w:t>
      </w:r>
      <w:r w:rsidR="00DA6631" w:rsidRPr="00DA6631">
        <w:rPr>
          <w:rFonts w:cs="Arial"/>
        </w:rPr>
        <w:t>–</w:t>
      </w:r>
      <w:r w:rsidR="00967DC9">
        <w:rPr>
          <w:lang w:eastAsia="ja-JP"/>
        </w:rPr>
        <w:t>Couette flow systems proposed by Masuda et al. (2017, 2019) was used in this study.</w:t>
      </w:r>
      <w:r w:rsidR="00141371">
        <w:rPr>
          <w:lang w:eastAsia="ja-JP"/>
        </w:rPr>
        <w:t xml:space="preserve"> </w:t>
      </w:r>
      <w:r w:rsidR="00141371" w:rsidRPr="00141371">
        <w:rPr>
          <w:i/>
          <w:lang w:eastAsia="ja-JP"/>
        </w:rPr>
        <w:t>Re</w:t>
      </w:r>
      <w:r w:rsidR="00141371" w:rsidRPr="00141371">
        <w:rPr>
          <w:vertAlign w:val="subscript"/>
          <w:lang w:eastAsia="ja-JP"/>
        </w:rPr>
        <w:t>eff</w:t>
      </w:r>
      <w:r w:rsidR="00141371">
        <w:rPr>
          <w:lang w:eastAsia="ja-JP"/>
        </w:rPr>
        <w:t xml:space="preserve"> in the circumferential direction was varied from 0 to 172.6. In this </w:t>
      </w:r>
      <w:r w:rsidR="00141371" w:rsidRPr="00141371">
        <w:rPr>
          <w:i/>
          <w:lang w:eastAsia="ja-JP"/>
        </w:rPr>
        <w:t>Re</w:t>
      </w:r>
      <w:r w:rsidR="00141371" w:rsidRPr="00141371">
        <w:rPr>
          <w:vertAlign w:val="subscript"/>
          <w:lang w:eastAsia="ja-JP"/>
        </w:rPr>
        <w:t>eff</w:t>
      </w:r>
      <w:r w:rsidR="00141371">
        <w:rPr>
          <w:lang w:eastAsia="ja-JP"/>
        </w:rPr>
        <w:t xml:space="preserve"> region, the flow condition corresponds from Couette flow to laminar Taylor vortex flow.</w:t>
      </w:r>
    </w:p>
    <w:p w14:paraId="5C2A90AF" w14:textId="438A4825" w:rsidR="002F1507" w:rsidRDefault="004E521B" w:rsidP="002C6639">
      <w:pPr>
        <w:pStyle w:val="CETBodytext"/>
        <w:tabs>
          <w:tab w:val="left" w:pos="284"/>
        </w:tabs>
        <w:rPr>
          <w:lang w:eastAsia="ja-JP"/>
        </w:rPr>
      </w:pPr>
      <w:r>
        <w:rPr>
          <w:lang w:eastAsia="ja-JP"/>
        </w:rPr>
        <w:t xml:space="preserve">Figure 4 shows </w:t>
      </w:r>
      <w:r w:rsidR="00CD0C80">
        <w:rPr>
          <w:lang w:eastAsia="ja-JP"/>
        </w:rPr>
        <w:t>the axial distribution along the axis for (a) the equivalent lethality (</w:t>
      </w:r>
      <w:r w:rsidR="00CD0C80" w:rsidRPr="00697703">
        <w:rPr>
          <w:i/>
          <w:lang w:eastAsia="ja-JP"/>
        </w:rPr>
        <w:t>F</w:t>
      </w:r>
      <w:r w:rsidR="00CD0C80" w:rsidRPr="00697703">
        <w:rPr>
          <w:vertAlign w:val="subscript"/>
          <w:lang w:eastAsia="ja-JP"/>
        </w:rPr>
        <w:t>0</w:t>
      </w:r>
      <w:r w:rsidR="00CD0C80">
        <w:rPr>
          <w:lang w:eastAsia="ja-JP"/>
        </w:rPr>
        <w:t>) and (b) th</w:t>
      </w:r>
      <w:r w:rsidR="00697703">
        <w:rPr>
          <w:lang w:eastAsia="ja-JP"/>
        </w:rPr>
        <w:t>e normalized bulk concentration of thiamine (</w:t>
      </w:r>
      <w:r w:rsidR="00697703" w:rsidRPr="003236C6">
        <w:rPr>
          <w:i/>
          <w:lang w:eastAsia="ja-JP"/>
        </w:rPr>
        <w:t>C</w:t>
      </w:r>
      <w:r w:rsidR="00697703" w:rsidRPr="003236C6">
        <w:rPr>
          <w:vertAlign w:val="subscript"/>
          <w:lang w:eastAsia="ja-JP"/>
        </w:rPr>
        <w:t>b</w:t>
      </w:r>
      <w:r w:rsidR="00697703" w:rsidRPr="003236C6">
        <w:rPr>
          <w:vertAlign w:val="superscript"/>
          <w:lang w:eastAsia="ja-JP"/>
        </w:rPr>
        <w:t>*</w:t>
      </w:r>
      <w:r w:rsidR="00697703">
        <w:rPr>
          <w:lang w:eastAsia="ja-JP"/>
        </w:rPr>
        <w:t>)</w:t>
      </w:r>
      <w:r w:rsidR="00F924AC">
        <w:rPr>
          <w:lang w:eastAsia="ja-JP"/>
        </w:rPr>
        <w:t xml:space="preserve"> at </w:t>
      </w:r>
      <w:r w:rsidR="00F924AC" w:rsidRPr="003236C6">
        <w:rPr>
          <w:i/>
          <w:lang w:eastAsia="ja-JP"/>
        </w:rPr>
        <w:t>Re</w:t>
      </w:r>
      <w:r w:rsidR="00F924AC" w:rsidRPr="003236C6">
        <w:rPr>
          <w:vertAlign w:val="subscript"/>
          <w:lang w:eastAsia="ja-JP"/>
        </w:rPr>
        <w:t>ef</w:t>
      </w:r>
      <w:r w:rsidR="00F924AC" w:rsidRPr="00DA6631">
        <w:rPr>
          <w:vertAlign w:val="subscript"/>
          <w:lang w:eastAsia="ja-JP"/>
        </w:rPr>
        <w:t>f</w:t>
      </w:r>
      <w:r w:rsidR="00F924AC">
        <w:rPr>
          <w:lang w:eastAsia="ja-JP"/>
        </w:rPr>
        <w:t xml:space="preserve"> = 101.1</w:t>
      </w:r>
      <w:r w:rsidR="00697703">
        <w:rPr>
          <w:lang w:eastAsia="ja-JP"/>
        </w:rPr>
        <w:t>.</w:t>
      </w:r>
      <w:r w:rsidR="00F924AC">
        <w:rPr>
          <w:lang w:eastAsia="ja-JP"/>
        </w:rPr>
        <w:t xml:space="preserve"> The normalized bulk concentration is obtained as follows:</w:t>
      </w:r>
    </w:p>
    <w:tbl>
      <w:tblPr>
        <w:tblW w:w="5000" w:type="pct"/>
        <w:tblLook w:val="04A0" w:firstRow="1" w:lastRow="0" w:firstColumn="1" w:lastColumn="0" w:noHBand="0" w:noVBand="1"/>
      </w:tblPr>
      <w:tblGrid>
        <w:gridCol w:w="7983"/>
        <w:gridCol w:w="804"/>
      </w:tblGrid>
      <w:tr w:rsidR="00E554AA" w:rsidRPr="00B57B36" w14:paraId="0CCC8C49" w14:textId="77777777" w:rsidTr="001841E3">
        <w:tc>
          <w:tcPr>
            <w:tcW w:w="7983" w:type="dxa"/>
            <w:shd w:val="clear" w:color="auto" w:fill="auto"/>
            <w:vAlign w:val="center"/>
          </w:tcPr>
          <w:p w14:paraId="722D97BC" w14:textId="0A09CDFC" w:rsidR="00E554AA" w:rsidRPr="00B57B36" w:rsidRDefault="009E219B" w:rsidP="001841E3">
            <w:pPr>
              <w:pStyle w:val="CETEquation"/>
            </w:pPr>
            <m:oMathPara>
              <m:oMath>
                <m:sSubSup>
                  <m:sSubSupPr>
                    <m:ctrlPr>
                      <w:rPr>
                        <w:rFonts w:ascii="Cambria Math" w:hAnsi="Cambria Math"/>
                        <w:i/>
                        <w:sz w:val="24"/>
                      </w:rPr>
                    </m:ctrlPr>
                  </m:sSubSupPr>
                  <m:e>
                    <m:r>
                      <w:rPr>
                        <w:rFonts w:ascii="Cambria Math" w:hAnsi="Cambria Math"/>
                      </w:rPr>
                      <m:t>C</m:t>
                    </m:r>
                  </m:e>
                  <m:sub>
                    <m:r>
                      <m:rPr>
                        <m:sty m:val="p"/>
                      </m:rPr>
                      <w:rPr>
                        <w:rFonts w:ascii="Cambria Math" w:hAnsi="Cambria Math"/>
                      </w:rPr>
                      <m:t>b</m:t>
                    </m:r>
                  </m:sub>
                  <m:sup>
                    <m:r>
                      <w:rPr>
                        <w:rFonts w:ascii="Cambria Math" w:hAnsi="Cambria Math"/>
                        <w:sz w:val="24"/>
                      </w:rPr>
                      <m:t>*</m:t>
                    </m:r>
                  </m:sup>
                </m:sSubSup>
                <m:r>
                  <w:rPr>
                    <w:rFonts w:ascii="Cambria Math" w:hAnsi="Cambria Math"/>
                    <w:sz w:val="24"/>
                  </w:rPr>
                  <m:t>=</m:t>
                </m:r>
                <m:f>
                  <m:fPr>
                    <m:ctrlPr>
                      <w:rPr>
                        <w:rFonts w:ascii="Cambria Math" w:hAnsi="Cambria Math"/>
                        <w:i/>
                        <w:sz w:val="36"/>
                      </w:rPr>
                    </m:ctrlPr>
                  </m:fPr>
                  <m:num>
                    <m:sSub>
                      <m:sSubPr>
                        <m:ctrlPr>
                          <w:rPr>
                            <w:rFonts w:ascii="Cambria Math" w:hAnsi="Cambria Math"/>
                            <w:i/>
                            <w:sz w:val="32"/>
                          </w:rPr>
                        </m:ctrlPr>
                      </m:sSubPr>
                      <m:e>
                        <m:r>
                          <w:rPr>
                            <w:rFonts w:ascii="Cambria Math" w:hAnsi="Cambria Math"/>
                          </w:rPr>
                          <m:t>C</m:t>
                        </m:r>
                      </m:e>
                      <m:sub>
                        <m:r>
                          <m:rPr>
                            <m:sty m:val="p"/>
                          </m:rPr>
                          <w:rPr>
                            <w:rFonts w:ascii="Cambria Math" w:hAnsi="Cambria Math"/>
                          </w:rPr>
                          <m:t>b</m:t>
                        </m:r>
                      </m:sub>
                    </m:sSub>
                  </m:num>
                  <m:den>
                    <m:sSub>
                      <m:sSubPr>
                        <m:ctrlPr>
                          <w:rPr>
                            <w:rFonts w:ascii="Cambria Math" w:hAnsi="Cambria Math"/>
                            <w:i/>
                            <w:sz w:val="32"/>
                          </w:rPr>
                        </m:ctrlPr>
                      </m:sSubPr>
                      <m:e>
                        <m:r>
                          <w:rPr>
                            <w:rFonts w:ascii="Cambria Math" w:hAnsi="Cambria Math"/>
                          </w:rPr>
                          <m:t>C</m:t>
                        </m:r>
                      </m:e>
                      <m:sub>
                        <m:r>
                          <m:rPr>
                            <m:sty m:val="p"/>
                          </m:rPr>
                          <w:rPr>
                            <w:rFonts w:ascii="Cambria Math" w:hAnsi="Cambria Math"/>
                          </w:rPr>
                          <m:t>0</m:t>
                        </m:r>
                      </m:sub>
                    </m:sSub>
                  </m:den>
                </m:f>
              </m:oMath>
            </m:oMathPara>
          </w:p>
        </w:tc>
        <w:tc>
          <w:tcPr>
            <w:tcW w:w="804" w:type="dxa"/>
            <w:shd w:val="clear" w:color="auto" w:fill="auto"/>
            <w:vAlign w:val="center"/>
          </w:tcPr>
          <w:p w14:paraId="5A2306E6" w14:textId="0C11FC9B" w:rsidR="00E554AA" w:rsidRPr="00B57B36" w:rsidRDefault="00E554AA" w:rsidP="00E554AA">
            <w:pPr>
              <w:pStyle w:val="CETEquation"/>
              <w:jc w:val="right"/>
            </w:pPr>
            <w:r w:rsidRPr="00B57B36">
              <w:t>(</w:t>
            </w:r>
            <w:r>
              <w:t>8</w:t>
            </w:r>
            <w:r w:rsidRPr="00B57B36">
              <w:t>)</w:t>
            </w:r>
          </w:p>
        </w:tc>
      </w:tr>
    </w:tbl>
    <w:p w14:paraId="6AB1D6CC" w14:textId="4962666B" w:rsidR="00F924AC" w:rsidRDefault="00F52FB4" w:rsidP="002C6639">
      <w:pPr>
        <w:pStyle w:val="CETBodytext"/>
        <w:tabs>
          <w:tab w:val="left" w:pos="284"/>
        </w:tabs>
        <w:rPr>
          <w:lang w:eastAsia="ja-JP"/>
        </w:rPr>
      </w:pPr>
      <w:r>
        <w:rPr>
          <w:lang w:eastAsia="ja-JP"/>
        </w:rPr>
        <w:t>w</w:t>
      </w:r>
      <w:r w:rsidR="00E554AA">
        <w:rPr>
          <w:lang w:eastAsia="ja-JP"/>
        </w:rPr>
        <w:t xml:space="preserve">here </w:t>
      </w:r>
      <w:r w:rsidR="00E554AA" w:rsidRPr="003236C6">
        <w:rPr>
          <w:i/>
          <w:lang w:eastAsia="ja-JP"/>
        </w:rPr>
        <w:t>C</w:t>
      </w:r>
      <w:r w:rsidR="00E554AA" w:rsidRPr="003236C6">
        <w:rPr>
          <w:vertAlign w:val="subscript"/>
          <w:lang w:eastAsia="ja-JP"/>
        </w:rPr>
        <w:t>b</w:t>
      </w:r>
      <w:r w:rsidR="00E554AA">
        <w:rPr>
          <w:lang w:eastAsia="ja-JP"/>
        </w:rPr>
        <w:t xml:space="preserve"> is the bulk concentration of thiamine and is expressed by</w:t>
      </w:r>
    </w:p>
    <w:tbl>
      <w:tblPr>
        <w:tblW w:w="5000" w:type="pct"/>
        <w:tblLook w:val="04A0" w:firstRow="1" w:lastRow="0" w:firstColumn="1" w:lastColumn="0" w:noHBand="0" w:noVBand="1"/>
      </w:tblPr>
      <w:tblGrid>
        <w:gridCol w:w="7983"/>
        <w:gridCol w:w="804"/>
      </w:tblGrid>
      <w:tr w:rsidR="00F52FB4" w:rsidRPr="00B57B36" w14:paraId="35126F84" w14:textId="77777777" w:rsidTr="001841E3">
        <w:tc>
          <w:tcPr>
            <w:tcW w:w="7983" w:type="dxa"/>
            <w:shd w:val="clear" w:color="auto" w:fill="auto"/>
            <w:vAlign w:val="center"/>
          </w:tcPr>
          <w:p w14:paraId="25D6AB47" w14:textId="3358C77B" w:rsidR="00F52FB4" w:rsidRPr="00B57B36" w:rsidRDefault="009E219B" w:rsidP="00F52FB4">
            <w:pPr>
              <w:pStyle w:val="CETEquation"/>
            </w:pPr>
            <m:oMathPara>
              <m:oMath>
                <m:sSub>
                  <m:sSubPr>
                    <m:ctrlPr>
                      <w:rPr>
                        <w:rFonts w:ascii="Cambria Math" w:hAnsi="Cambria Math"/>
                        <w:i/>
                        <w:szCs w:val="18"/>
                      </w:rPr>
                    </m:ctrlPr>
                  </m:sSubPr>
                  <m:e>
                    <m:r>
                      <w:rPr>
                        <w:rFonts w:ascii="Cambria Math" w:hAnsi="Cambria Math"/>
                        <w:szCs w:val="18"/>
                      </w:rPr>
                      <m:t>C</m:t>
                    </m:r>
                  </m:e>
                  <m:sub>
                    <m:r>
                      <m:rPr>
                        <m:sty m:val="p"/>
                      </m:rPr>
                      <w:rPr>
                        <w:rFonts w:ascii="Cambria Math" w:hAnsi="Cambria Math"/>
                        <w:szCs w:val="18"/>
                      </w:rPr>
                      <m:t>b</m:t>
                    </m:r>
                  </m:sub>
                </m:sSub>
                <m:r>
                  <w:rPr>
                    <w:rFonts w:ascii="Cambria Math" w:hAnsi="Cambria Math"/>
                    <w:szCs w:val="18"/>
                  </w:rPr>
                  <m:t>=</m:t>
                </m:r>
                <m:f>
                  <m:fPr>
                    <m:ctrlPr>
                      <w:rPr>
                        <w:rFonts w:ascii="Cambria Math" w:hAnsi="Cambria Math"/>
                        <w:i/>
                        <w:szCs w:val="18"/>
                      </w:rPr>
                    </m:ctrlPr>
                  </m:fPr>
                  <m:num>
                    <m:sSubSup>
                      <m:sSubSupPr>
                        <m:ctrlPr>
                          <w:rPr>
                            <w:rFonts w:ascii="Cambria Math" w:hAnsi="Cambria Math"/>
                            <w:i/>
                            <w:szCs w:val="18"/>
                          </w:rPr>
                        </m:ctrlPr>
                      </m:sSubSupPr>
                      <m:e>
                        <m:r>
                          <w:rPr>
                            <w:rFonts w:ascii="Cambria Math" w:hAnsi="Cambria Math"/>
                            <w:szCs w:val="18"/>
                          </w:rPr>
                          <m:t>∫</m:t>
                        </m:r>
                      </m:e>
                      <m:sub>
                        <m:sSub>
                          <m:sSubPr>
                            <m:ctrlPr>
                              <w:rPr>
                                <w:rFonts w:ascii="Cambria Math" w:hAnsi="Cambria Math"/>
                                <w:i/>
                                <w:szCs w:val="18"/>
                              </w:rPr>
                            </m:ctrlPr>
                          </m:sSubPr>
                          <m:e>
                            <m:r>
                              <w:rPr>
                                <w:rFonts w:ascii="Cambria Math" w:hAnsi="Cambria Math"/>
                                <w:szCs w:val="18"/>
                              </w:rPr>
                              <m:t>R</m:t>
                            </m:r>
                          </m:e>
                          <m:sub>
                            <m:r>
                              <m:rPr>
                                <m:sty m:val="p"/>
                              </m:rPr>
                              <w:rPr>
                                <w:rFonts w:ascii="Cambria Math" w:hAnsi="Cambria Math"/>
                                <w:szCs w:val="18"/>
                              </w:rPr>
                              <m:t>i</m:t>
                            </m:r>
                          </m:sub>
                        </m:sSub>
                      </m:sub>
                      <m:sup>
                        <m:sSub>
                          <m:sSubPr>
                            <m:ctrlPr>
                              <w:rPr>
                                <w:rFonts w:ascii="Cambria Math" w:hAnsi="Cambria Math"/>
                                <w:i/>
                                <w:szCs w:val="18"/>
                              </w:rPr>
                            </m:ctrlPr>
                          </m:sSubPr>
                          <m:e>
                            <m:r>
                              <w:rPr>
                                <w:rFonts w:ascii="Cambria Math" w:hAnsi="Cambria Math"/>
                                <w:szCs w:val="18"/>
                              </w:rPr>
                              <m:t>R</m:t>
                            </m:r>
                          </m:e>
                          <m:sub>
                            <m:r>
                              <m:rPr>
                                <m:sty m:val="p"/>
                              </m:rPr>
                              <w:rPr>
                                <w:rFonts w:ascii="Cambria Math" w:hAnsi="Cambria Math"/>
                                <w:szCs w:val="18"/>
                              </w:rPr>
                              <m:t>o</m:t>
                            </m:r>
                          </m:sub>
                        </m:sSub>
                      </m:sup>
                    </m:sSubSup>
                    <m:sSub>
                      <m:sSubPr>
                        <m:ctrlPr>
                          <w:rPr>
                            <w:rFonts w:ascii="Cambria Math" w:hAnsi="Cambria Math"/>
                            <w:i/>
                            <w:szCs w:val="18"/>
                          </w:rPr>
                        </m:ctrlPr>
                      </m:sSubPr>
                      <m:e>
                        <m:r>
                          <w:rPr>
                            <w:rFonts w:ascii="Cambria Math" w:hAnsi="Cambria Math"/>
                            <w:szCs w:val="18"/>
                          </w:rPr>
                          <m:t>u</m:t>
                        </m:r>
                      </m:e>
                      <m:sub>
                        <m:r>
                          <m:rPr>
                            <m:sty m:val="p"/>
                          </m:rPr>
                          <w:rPr>
                            <w:rFonts w:ascii="Cambria Math" w:hAnsi="Cambria Math"/>
                            <w:szCs w:val="18"/>
                          </w:rPr>
                          <m:t>z</m:t>
                        </m:r>
                      </m:sub>
                    </m:sSub>
                    <m:r>
                      <w:rPr>
                        <w:rFonts w:ascii="Cambria Math" w:hAnsi="Cambria Math"/>
                        <w:szCs w:val="18"/>
                      </w:rPr>
                      <m:t>C∙2πr</m:t>
                    </m:r>
                    <m:r>
                      <m:rPr>
                        <m:sty m:val="p"/>
                      </m:rPr>
                      <w:rPr>
                        <w:rFonts w:ascii="Cambria Math" w:hAnsi="Cambria Math"/>
                        <w:szCs w:val="18"/>
                      </w:rPr>
                      <m:t>d</m:t>
                    </m:r>
                    <m:r>
                      <w:rPr>
                        <w:rFonts w:ascii="Cambria Math" w:hAnsi="Cambria Math"/>
                        <w:szCs w:val="18"/>
                      </w:rPr>
                      <m:t>r</m:t>
                    </m:r>
                  </m:num>
                  <m:den>
                    <m:sSubSup>
                      <m:sSubSupPr>
                        <m:ctrlPr>
                          <w:rPr>
                            <w:rFonts w:ascii="Cambria Math" w:hAnsi="Cambria Math"/>
                            <w:i/>
                            <w:szCs w:val="18"/>
                          </w:rPr>
                        </m:ctrlPr>
                      </m:sSubSupPr>
                      <m:e>
                        <m:r>
                          <w:rPr>
                            <w:rFonts w:ascii="Cambria Math" w:hAnsi="Cambria Math"/>
                            <w:szCs w:val="18"/>
                          </w:rPr>
                          <m:t>∫</m:t>
                        </m:r>
                      </m:e>
                      <m:sub>
                        <m:sSub>
                          <m:sSubPr>
                            <m:ctrlPr>
                              <w:rPr>
                                <w:rFonts w:ascii="Cambria Math" w:hAnsi="Cambria Math"/>
                                <w:i/>
                                <w:szCs w:val="18"/>
                              </w:rPr>
                            </m:ctrlPr>
                          </m:sSubPr>
                          <m:e>
                            <m:r>
                              <w:rPr>
                                <w:rFonts w:ascii="Cambria Math" w:hAnsi="Cambria Math"/>
                                <w:szCs w:val="18"/>
                              </w:rPr>
                              <m:t>R</m:t>
                            </m:r>
                          </m:e>
                          <m:sub>
                            <m:r>
                              <m:rPr>
                                <m:sty m:val="p"/>
                              </m:rPr>
                              <w:rPr>
                                <w:rFonts w:ascii="Cambria Math" w:hAnsi="Cambria Math"/>
                                <w:szCs w:val="18"/>
                              </w:rPr>
                              <m:t>i</m:t>
                            </m:r>
                          </m:sub>
                        </m:sSub>
                      </m:sub>
                      <m:sup>
                        <m:sSub>
                          <m:sSubPr>
                            <m:ctrlPr>
                              <w:rPr>
                                <w:rFonts w:ascii="Cambria Math" w:hAnsi="Cambria Math"/>
                                <w:i/>
                                <w:szCs w:val="18"/>
                              </w:rPr>
                            </m:ctrlPr>
                          </m:sSubPr>
                          <m:e>
                            <m:r>
                              <w:rPr>
                                <w:rFonts w:ascii="Cambria Math" w:hAnsi="Cambria Math"/>
                                <w:szCs w:val="18"/>
                              </w:rPr>
                              <m:t>R</m:t>
                            </m:r>
                          </m:e>
                          <m:sub>
                            <m:r>
                              <m:rPr>
                                <m:sty m:val="p"/>
                              </m:rPr>
                              <w:rPr>
                                <w:rFonts w:ascii="Cambria Math" w:hAnsi="Cambria Math"/>
                                <w:szCs w:val="18"/>
                              </w:rPr>
                              <m:t>o</m:t>
                            </m:r>
                          </m:sub>
                        </m:sSub>
                      </m:sup>
                    </m:sSubSup>
                    <m:sSub>
                      <m:sSubPr>
                        <m:ctrlPr>
                          <w:rPr>
                            <w:rFonts w:ascii="Cambria Math" w:hAnsi="Cambria Math"/>
                            <w:i/>
                            <w:szCs w:val="18"/>
                          </w:rPr>
                        </m:ctrlPr>
                      </m:sSubPr>
                      <m:e>
                        <m:r>
                          <w:rPr>
                            <w:rFonts w:ascii="Cambria Math" w:hAnsi="Cambria Math"/>
                            <w:szCs w:val="18"/>
                          </w:rPr>
                          <m:t>u</m:t>
                        </m:r>
                      </m:e>
                      <m:sub>
                        <m:r>
                          <m:rPr>
                            <m:sty m:val="p"/>
                          </m:rPr>
                          <w:rPr>
                            <w:rFonts w:ascii="Cambria Math" w:hAnsi="Cambria Math"/>
                            <w:szCs w:val="18"/>
                          </w:rPr>
                          <m:t>z</m:t>
                        </m:r>
                      </m:sub>
                    </m:sSub>
                    <m:r>
                      <w:rPr>
                        <w:rFonts w:ascii="Cambria Math" w:hAnsi="Cambria Math"/>
                        <w:szCs w:val="18"/>
                      </w:rPr>
                      <m:t>∙2πr</m:t>
                    </m:r>
                    <m:r>
                      <m:rPr>
                        <m:sty m:val="p"/>
                      </m:rPr>
                      <w:rPr>
                        <w:rFonts w:ascii="Cambria Math" w:hAnsi="Cambria Math"/>
                        <w:szCs w:val="18"/>
                      </w:rPr>
                      <m:t>d</m:t>
                    </m:r>
                    <m:r>
                      <w:rPr>
                        <w:rFonts w:ascii="Cambria Math" w:hAnsi="Cambria Math"/>
                        <w:szCs w:val="18"/>
                      </w:rPr>
                      <m:t>r</m:t>
                    </m:r>
                  </m:den>
                </m:f>
              </m:oMath>
            </m:oMathPara>
          </w:p>
        </w:tc>
        <w:tc>
          <w:tcPr>
            <w:tcW w:w="804" w:type="dxa"/>
            <w:shd w:val="clear" w:color="auto" w:fill="auto"/>
            <w:vAlign w:val="center"/>
          </w:tcPr>
          <w:p w14:paraId="37759644" w14:textId="3FD926F0" w:rsidR="00F52FB4" w:rsidRPr="00B57B36" w:rsidRDefault="00F52FB4" w:rsidP="00F52FB4">
            <w:pPr>
              <w:pStyle w:val="CETEquation"/>
              <w:jc w:val="right"/>
            </w:pPr>
            <w:r w:rsidRPr="00B57B36">
              <w:t>(</w:t>
            </w:r>
            <w:r>
              <w:t>9</w:t>
            </w:r>
            <w:r w:rsidRPr="00B57B36">
              <w:t>)</w:t>
            </w:r>
          </w:p>
        </w:tc>
      </w:tr>
    </w:tbl>
    <w:p w14:paraId="3CE70E28" w14:textId="09C99648" w:rsidR="006F39A0" w:rsidRDefault="003236C6" w:rsidP="002C6639">
      <w:pPr>
        <w:pStyle w:val="CETBodytext"/>
        <w:tabs>
          <w:tab w:val="left" w:pos="284"/>
        </w:tabs>
        <w:rPr>
          <w:highlight w:val="yellow"/>
          <w:lang w:val="en-GB" w:eastAsia="ja-JP"/>
        </w:rPr>
      </w:pPr>
      <w:r>
        <w:rPr>
          <w:lang w:eastAsia="ja-JP"/>
        </w:rPr>
        <w:t xml:space="preserve">As shown in Fig. 4 (a), </w:t>
      </w:r>
      <w:r w:rsidR="00C96B8A">
        <w:rPr>
          <w:lang w:eastAsia="ja-JP"/>
        </w:rPr>
        <w:t xml:space="preserve">the slight difference in </w:t>
      </w:r>
      <w:r w:rsidR="00C96B8A" w:rsidRPr="00C96B8A">
        <w:rPr>
          <w:i/>
          <w:lang w:eastAsia="ja-JP"/>
        </w:rPr>
        <w:t>F</w:t>
      </w:r>
      <w:r w:rsidR="00C96B8A" w:rsidRPr="00C96B8A">
        <w:rPr>
          <w:vertAlign w:val="subscript"/>
          <w:lang w:eastAsia="ja-JP"/>
        </w:rPr>
        <w:t>0</w:t>
      </w:r>
      <w:r w:rsidR="00C96B8A">
        <w:rPr>
          <w:lang w:eastAsia="ja-JP"/>
        </w:rPr>
        <w:t xml:space="preserve"> between </w:t>
      </w:r>
      <w:r w:rsidR="00C96B8A" w:rsidRPr="00C96B8A">
        <w:rPr>
          <w:i/>
          <w:lang w:eastAsia="ja-JP"/>
        </w:rPr>
        <w:t>n</w:t>
      </w:r>
      <w:r w:rsidR="00C96B8A">
        <w:rPr>
          <w:lang w:eastAsia="ja-JP"/>
        </w:rPr>
        <w:t xml:space="preserve"> = 0.3 and 0.5 was observed.</w:t>
      </w:r>
      <w:r w:rsidR="00204CD6">
        <w:rPr>
          <w:lang w:eastAsia="ja-JP"/>
        </w:rPr>
        <w:t xml:space="preserve"> </w:t>
      </w:r>
      <w:r w:rsidR="00AA5692">
        <w:rPr>
          <w:lang w:eastAsia="ja-JP"/>
        </w:rPr>
        <w:t xml:space="preserve">At same </w:t>
      </w:r>
      <w:r w:rsidR="00AA5692" w:rsidRPr="00AA5692">
        <w:rPr>
          <w:i/>
          <w:lang w:eastAsia="ja-JP"/>
        </w:rPr>
        <w:t>Re</w:t>
      </w:r>
      <w:r w:rsidR="00AA5692" w:rsidRPr="00AA5692">
        <w:rPr>
          <w:vertAlign w:val="subscript"/>
          <w:lang w:eastAsia="ja-JP"/>
        </w:rPr>
        <w:t>eff</w:t>
      </w:r>
      <w:r w:rsidR="00AA5692">
        <w:rPr>
          <w:lang w:eastAsia="ja-JP"/>
        </w:rPr>
        <w:t xml:space="preserve">, the outflow of Taylor vortices from the inner cylinder to the outer cylinder becomes weak with the increase in the </w:t>
      </w:r>
      <w:r w:rsidR="004B3023">
        <w:rPr>
          <w:lang w:eastAsia="ja-JP"/>
        </w:rPr>
        <w:t>degree</w:t>
      </w:r>
      <w:r w:rsidR="00AA5692">
        <w:rPr>
          <w:lang w:eastAsia="ja-JP"/>
        </w:rPr>
        <w:t xml:space="preserve"> of shear-thinning property</w:t>
      </w:r>
      <w:r w:rsidR="00E865B8">
        <w:rPr>
          <w:lang w:eastAsia="ja-JP"/>
        </w:rPr>
        <w:t xml:space="preserve"> </w:t>
      </w:r>
      <w:r w:rsidR="00E865B8" w:rsidRPr="00706242">
        <w:rPr>
          <w:lang w:eastAsia="ja-JP"/>
        </w:rPr>
        <w:t>(Masuda et al., 2019)</w:t>
      </w:r>
      <w:r w:rsidR="00AA5692" w:rsidRPr="00706242">
        <w:rPr>
          <w:lang w:eastAsia="ja-JP"/>
        </w:rPr>
        <w:t xml:space="preserve">. </w:t>
      </w:r>
      <w:r w:rsidR="00204CD6" w:rsidRPr="00706242">
        <w:rPr>
          <w:lang w:eastAsia="ja-JP"/>
        </w:rPr>
        <w:t>This</w:t>
      </w:r>
      <w:r w:rsidR="00D2207A" w:rsidRPr="00706242">
        <w:rPr>
          <w:lang w:eastAsia="ja-JP"/>
        </w:rPr>
        <w:t xml:space="preserve"> </w:t>
      </w:r>
      <w:r w:rsidR="00AA5692" w:rsidRPr="00706242">
        <w:rPr>
          <w:lang w:eastAsia="ja-JP"/>
        </w:rPr>
        <w:t xml:space="preserve">leads </w:t>
      </w:r>
      <w:r w:rsidR="00FD74C5" w:rsidRPr="00706242">
        <w:rPr>
          <w:lang w:eastAsia="ja-JP"/>
        </w:rPr>
        <w:t xml:space="preserve">the increase in the thickness of velocity boundary layer and temperature boundary layer at the surface of outer cylinder. As a result, </w:t>
      </w:r>
      <w:r w:rsidR="00D2207A" w:rsidRPr="00706242">
        <w:rPr>
          <w:lang w:eastAsia="ja-JP"/>
        </w:rPr>
        <w:t>the heat flux</w:t>
      </w:r>
      <w:r w:rsidR="00204CD6" w:rsidRPr="00706242">
        <w:rPr>
          <w:lang w:eastAsia="ja-JP"/>
        </w:rPr>
        <w:t xml:space="preserve"> from the surface of outer cylinder </w:t>
      </w:r>
      <w:r w:rsidR="00D2207A" w:rsidRPr="00706242">
        <w:rPr>
          <w:lang w:eastAsia="ja-JP"/>
        </w:rPr>
        <w:t xml:space="preserve">decreased with the increase in the </w:t>
      </w:r>
      <w:r w:rsidR="004B3023" w:rsidRPr="00706242">
        <w:rPr>
          <w:lang w:eastAsia="ja-JP"/>
        </w:rPr>
        <w:t>degree</w:t>
      </w:r>
      <w:r w:rsidR="00D2207A" w:rsidRPr="00706242">
        <w:rPr>
          <w:lang w:eastAsia="ja-JP"/>
        </w:rPr>
        <w:t xml:space="preserve"> of shear-thinning property at same </w:t>
      </w:r>
      <w:r w:rsidR="00D2207A" w:rsidRPr="00706242">
        <w:rPr>
          <w:i/>
          <w:lang w:eastAsia="ja-JP"/>
        </w:rPr>
        <w:t>Re</w:t>
      </w:r>
      <w:r w:rsidR="00D2207A" w:rsidRPr="00706242">
        <w:rPr>
          <w:vertAlign w:val="subscript"/>
          <w:lang w:eastAsia="ja-JP"/>
        </w:rPr>
        <w:t>eff</w:t>
      </w:r>
      <w:r w:rsidR="00D2207A" w:rsidRPr="00706242">
        <w:rPr>
          <w:lang w:eastAsia="ja-JP"/>
        </w:rPr>
        <w:t>.</w:t>
      </w:r>
      <w:r w:rsidR="00E72F2B" w:rsidRPr="00706242">
        <w:rPr>
          <w:lang w:eastAsia="ja-JP"/>
        </w:rPr>
        <w:t xml:space="preserve"> This difference in </w:t>
      </w:r>
      <w:r w:rsidR="00F073FD" w:rsidRPr="00706242">
        <w:rPr>
          <w:lang w:eastAsia="ja-JP"/>
        </w:rPr>
        <w:t xml:space="preserve">the </w:t>
      </w:r>
      <w:r w:rsidR="00E72F2B" w:rsidRPr="00706242">
        <w:rPr>
          <w:lang w:eastAsia="ja-JP"/>
        </w:rPr>
        <w:t xml:space="preserve">heat </w:t>
      </w:r>
      <w:r w:rsidR="00F073FD" w:rsidRPr="00706242">
        <w:rPr>
          <w:lang w:eastAsia="ja-JP"/>
        </w:rPr>
        <w:t>flux</w:t>
      </w:r>
      <w:r w:rsidR="00E72F2B" w:rsidRPr="00706242">
        <w:rPr>
          <w:lang w:eastAsia="ja-JP"/>
        </w:rPr>
        <w:t xml:space="preserve"> caused the decrease in </w:t>
      </w:r>
      <w:r w:rsidR="00E72F2B" w:rsidRPr="00706242">
        <w:rPr>
          <w:i/>
          <w:lang w:eastAsia="ja-JP"/>
        </w:rPr>
        <w:t>F</w:t>
      </w:r>
      <w:r w:rsidR="00E72F2B" w:rsidRPr="00706242">
        <w:rPr>
          <w:vertAlign w:val="subscript"/>
          <w:lang w:eastAsia="ja-JP"/>
        </w:rPr>
        <w:t>0</w:t>
      </w:r>
      <w:r w:rsidR="00E72F2B" w:rsidRPr="00706242">
        <w:rPr>
          <w:lang w:eastAsia="ja-JP"/>
        </w:rPr>
        <w:t xml:space="preserve"> at </w:t>
      </w:r>
      <w:r w:rsidR="00E72F2B" w:rsidRPr="00706242">
        <w:rPr>
          <w:i/>
          <w:lang w:eastAsia="ja-JP"/>
        </w:rPr>
        <w:t>n</w:t>
      </w:r>
      <w:r w:rsidR="00E72F2B" w:rsidRPr="00706242">
        <w:rPr>
          <w:lang w:eastAsia="ja-JP"/>
        </w:rPr>
        <w:t xml:space="preserve"> = 0.3. Nevertheless, it should be noted that </w:t>
      </w:r>
      <w:r w:rsidR="000018A4" w:rsidRPr="00706242">
        <w:rPr>
          <w:lang w:val="en-GB" w:eastAsia="ja-JP"/>
        </w:rPr>
        <w:t xml:space="preserve">Taylor vortices generated in the annular space </w:t>
      </w:r>
      <w:r w:rsidR="00B81885" w:rsidRPr="00706242">
        <w:rPr>
          <w:lang w:val="en-GB" w:eastAsia="ja-JP"/>
        </w:rPr>
        <w:t xml:space="preserve">significantly </w:t>
      </w:r>
      <w:r w:rsidR="000018A4" w:rsidRPr="00706242">
        <w:rPr>
          <w:lang w:val="en-GB" w:eastAsia="ja-JP"/>
        </w:rPr>
        <w:t>enhanced heat transfer from the outer surface due to the velocity component in the radial direction of Taylor vortices. As a result, the equivalent lethality also improved, and this increase was regarded as a quantum leap</w:t>
      </w:r>
      <w:r w:rsidR="00157EB5" w:rsidRPr="00706242">
        <w:rPr>
          <w:lang w:val="en-GB" w:eastAsia="ja-JP"/>
        </w:rPr>
        <w:t xml:space="preserve"> which is the one of the most important for process intensification</w:t>
      </w:r>
      <w:r w:rsidR="00FD74C5" w:rsidRPr="00706242">
        <w:rPr>
          <w:lang w:val="en-GB" w:eastAsia="ja-JP"/>
        </w:rPr>
        <w:t xml:space="preserve"> (Masuda et al., 2019)</w:t>
      </w:r>
      <w:r w:rsidR="000018A4" w:rsidRPr="00706242">
        <w:rPr>
          <w:lang w:val="en-GB" w:eastAsia="ja-JP"/>
        </w:rPr>
        <w:t>.</w:t>
      </w:r>
      <w:r w:rsidR="00732994" w:rsidRPr="00706242">
        <w:rPr>
          <w:lang w:val="en-GB" w:eastAsia="ja-JP"/>
        </w:rPr>
        <w:t xml:space="preserve"> Figure 4 (b) indicates that </w:t>
      </w:r>
      <w:r w:rsidR="00732994" w:rsidRPr="00706242">
        <w:rPr>
          <w:i/>
          <w:lang w:val="en-GB" w:eastAsia="ja-JP"/>
        </w:rPr>
        <w:t>C</w:t>
      </w:r>
      <w:r w:rsidR="00732994" w:rsidRPr="00706242">
        <w:rPr>
          <w:vertAlign w:val="subscript"/>
          <w:lang w:val="en-GB" w:eastAsia="ja-JP"/>
        </w:rPr>
        <w:t>b</w:t>
      </w:r>
      <w:r w:rsidR="00732994" w:rsidRPr="00706242">
        <w:rPr>
          <w:vertAlign w:val="superscript"/>
          <w:lang w:val="en-GB" w:eastAsia="ja-JP"/>
        </w:rPr>
        <w:t>*</w:t>
      </w:r>
      <w:r w:rsidR="00732994" w:rsidRPr="00706242">
        <w:rPr>
          <w:lang w:val="en-GB" w:eastAsia="ja-JP"/>
        </w:rPr>
        <w:t xml:space="preserve"> monotonically decreased along the axis because heat transfer from the outer surface induces the thermal destruction of thiamine.</w:t>
      </w:r>
      <w:r w:rsidR="00103381" w:rsidRPr="00706242">
        <w:rPr>
          <w:lang w:val="en-GB" w:eastAsia="ja-JP"/>
        </w:rPr>
        <w:t xml:space="preserve"> There is no crucial difference between </w:t>
      </w:r>
      <w:r w:rsidR="00103381" w:rsidRPr="00706242">
        <w:rPr>
          <w:i/>
          <w:lang w:val="en-GB" w:eastAsia="ja-JP"/>
        </w:rPr>
        <w:t>n</w:t>
      </w:r>
      <w:r w:rsidR="00103381" w:rsidRPr="00706242">
        <w:rPr>
          <w:lang w:val="en-GB" w:eastAsia="ja-JP"/>
        </w:rPr>
        <w:t xml:space="preserve"> = 0.5 and 0.3 in </w:t>
      </w:r>
      <w:r w:rsidR="00103381" w:rsidRPr="00706242">
        <w:rPr>
          <w:i/>
          <w:lang w:val="en-GB" w:eastAsia="ja-JP"/>
        </w:rPr>
        <w:t>C</w:t>
      </w:r>
      <w:r w:rsidR="00103381" w:rsidRPr="00706242">
        <w:rPr>
          <w:vertAlign w:val="subscript"/>
          <w:lang w:val="en-GB" w:eastAsia="ja-JP"/>
        </w:rPr>
        <w:t>b</w:t>
      </w:r>
      <w:r w:rsidR="00103381" w:rsidRPr="00706242">
        <w:rPr>
          <w:vertAlign w:val="superscript"/>
          <w:lang w:val="en-GB" w:eastAsia="ja-JP"/>
        </w:rPr>
        <w:t>*</w:t>
      </w:r>
      <w:r w:rsidR="00103381" w:rsidRPr="00706242">
        <w:rPr>
          <w:lang w:val="en-GB" w:eastAsia="ja-JP"/>
        </w:rPr>
        <w:t>.</w:t>
      </w:r>
      <w:r w:rsidR="002C693F" w:rsidRPr="00706242">
        <w:rPr>
          <w:lang w:val="en-GB" w:eastAsia="ja-JP"/>
        </w:rPr>
        <w:t xml:space="preserve"> This means that the rheological pr</w:t>
      </w:r>
      <w:r w:rsidR="0024105D" w:rsidRPr="00706242">
        <w:rPr>
          <w:lang w:val="en-GB" w:eastAsia="ja-JP"/>
        </w:rPr>
        <w:t>operties of foods are</w:t>
      </w:r>
      <w:r w:rsidR="002C693F" w:rsidRPr="00706242">
        <w:rPr>
          <w:lang w:val="en-GB" w:eastAsia="ja-JP"/>
        </w:rPr>
        <w:t xml:space="preserve"> not so sensitive to the retaining performance of nutritional components.</w:t>
      </w:r>
      <w:r w:rsidR="00A24973" w:rsidRPr="00706242">
        <w:rPr>
          <w:lang w:val="en-GB" w:eastAsia="ja-JP"/>
        </w:rPr>
        <w:t xml:space="preserve"> It is considered that there is a trade-off relationship </w:t>
      </w:r>
      <w:r w:rsidR="00A24973" w:rsidRPr="00706242">
        <w:rPr>
          <w:lang w:val="en-GB" w:eastAsia="ja-JP"/>
        </w:rPr>
        <w:lastRenderedPageBreak/>
        <w:t>between the enhancement of heat transfer and the avoidance of thermal destruction of nutritional constituents. Furthermore, in order to establish an optimum heat sterilization process using TCFS, the discussion from the viewpoint of power consumption should be conducted.</w:t>
      </w:r>
    </w:p>
    <w:p w14:paraId="449E1AD2" w14:textId="77777777" w:rsidR="006D21B8" w:rsidRPr="00790747" w:rsidRDefault="006D21B8" w:rsidP="002C6639">
      <w:pPr>
        <w:pStyle w:val="CETBodytext"/>
        <w:tabs>
          <w:tab w:val="left" w:pos="284"/>
        </w:tabs>
        <w:rPr>
          <w:highlight w:val="yellow"/>
          <w:lang w:val="en-GB" w:eastAsia="ja-JP"/>
        </w:rPr>
      </w:pPr>
    </w:p>
    <w:p w14:paraId="12766A35" w14:textId="6F1063E9" w:rsidR="006F39A0" w:rsidRDefault="006F39A0" w:rsidP="002C6639">
      <w:pPr>
        <w:pStyle w:val="CETBodytext"/>
        <w:tabs>
          <w:tab w:val="left" w:pos="284"/>
        </w:tabs>
        <w:rPr>
          <w:lang w:val="en-GB" w:eastAsia="ja-JP"/>
        </w:rPr>
      </w:pPr>
      <w:r>
        <w:rPr>
          <w:rFonts w:hint="eastAsia"/>
          <w:lang w:val="en-GB" w:eastAsia="ja-JP"/>
        </w:rPr>
        <w:t>(</w:t>
      </w:r>
      <w:r>
        <w:rPr>
          <w:lang w:val="en-GB" w:eastAsia="ja-JP"/>
        </w:rPr>
        <w:t>a)</w:t>
      </w:r>
    </w:p>
    <w:p w14:paraId="0682FFD9" w14:textId="2DFF2280" w:rsidR="006F39A0" w:rsidRDefault="006F39A0" w:rsidP="002C6639">
      <w:pPr>
        <w:pStyle w:val="CETBodytext"/>
        <w:tabs>
          <w:tab w:val="left" w:pos="284"/>
        </w:tabs>
        <w:rPr>
          <w:lang w:val="en-GB" w:eastAsia="ja-JP"/>
        </w:rPr>
      </w:pPr>
      <w:r w:rsidRPr="00F42449">
        <w:rPr>
          <w:noProof/>
        </w:rPr>
        <w:drawing>
          <wp:inline distT="0" distB="0" distL="0" distR="0" wp14:anchorId="2FDB42DF" wp14:editId="09A12B99">
            <wp:extent cx="4237108" cy="2149174"/>
            <wp:effectExtent l="0" t="0" r="508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2701" cy="2167228"/>
                    </a:xfrm>
                    <a:prstGeom prst="rect">
                      <a:avLst/>
                    </a:prstGeom>
                  </pic:spPr>
                </pic:pic>
              </a:graphicData>
            </a:graphic>
          </wp:inline>
        </w:drawing>
      </w:r>
    </w:p>
    <w:p w14:paraId="42C59076" w14:textId="3043D21D" w:rsidR="006F39A0" w:rsidRDefault="006F39A0" w:rsidP="002C6639">
      <w:pPr>
        <w:pStyle w:val="CETBodytext"/>
        <w:tabs>
          <w:tab w:val="left" w:pos="284"/>
        </w:tabs>
        <w:rPr>
          <w:lang w:val="en-GB" w:eastAsia="ja-JP"/>
        </w:rPr>
      </w:pPr>
    </w:p>
    <w:p w14:paraId="34E074CF" w14:textId="03AD7F26" w:rsidR="006F39A0" w:rsidRDefault="006F39A0" w:rsidP="002C6639">
      <w:pPr>
        <w:pStyle w:val="CETBodytext"/>
        <w:tabs>
          <w:tab w:val="left" w:pos="284"/>
        </w:tabs>
        <w:rPr>
          <w:lang w:val="en-GB" w:eastAsia="ja-JP"/>
        </w:rPr>
      </w:pPr>
      <w:r>
        <w:rPr>
          <w:rFonts w:hint="eastAsia"/>
          <w:lang w:val="en-GB" w:eastAsia="ja-JP"/>
        </w:rPr>
        <w:t>(</w:t>
      </w:r>
      <w:r>
        <w:rPr>
          <w:lang w:val="en-GB" w:eastAsia="ja-JP"/>
        </w:rPr>
        <w:t>b)</w:t>
      </w:r>
    </w:p>
    <w:p w14:paraId="3C2F80CE" w14:textId="4C2486CF" w:rsidR="006F39A0" w:rsidRDefault="006F39A0" w:rsidP="002C6639">
      <w:pPr>
        <w:pStyle w:val="CETBodytext"/>
        <w:tabs>
          <w:tab w:val="left" w:pos="284"/>
        </w:tabs>
        <w:rPr>
          <w:lang w:val="en-GB" w:eastAsia="ja-JP"/>
        </w:rPr>
      </w:pPr>
      <w:r w:rsidRPr="00F42449">
        <w:rPr>
          <w:noProof/>
        </w:rPr>
        <w:drawing>
          <wp:inline distT="0" distB="0" distL="0" distR="0" wp14:anchorId="364A4B1F" wp14:editId="5B30B5B5">
            <wp:extent cx="4231603" cy="2156495"/>
            <wp:effectExtent l="0" t="0" r="10795"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9007" cy="2165365"/>
                    </a:xfrm>
                    <a:prstGeom prst="rect">
                      <a:avLst/>
                    </a:prstGeom>
                  </pic:spPr>
                </pic:pic>
              </a:graphicData>
            </a:graphic>
          </wp:inline>
        </w:drawing>
      </w:r>
    </w:p>
    <w:p w14:paraId="1E64161F" w14:textId="2A6A8DDB" w:rsidR="006F39A0" w:rsidRPr="0084166F" w:rsidRDefault="006F39A0" w:rsidP="006F39A0">
      <w:pPr>
        <w:pStyle w:val="CETBodytext"/>
        <w:rPr>
          <w:i/>
          <w:lang w:val="en-GB"/>
        </w:rPr>
      </w:pPr>
      <w:r w:rsidRPr="0084166F">
        <w:rPr>
          <w:rFonts w:hint="eastAsia"/>
          <w:i/>
          <w:lang w:val="en-GB"/>
        </w:rPr>
        <w:t>F</w:t>
      </w:r>
      <w:r w:rsidRPr="0084166F">
        <w:rPr>
          <w:i/>
          <w:lang w:val="en-GB"/>
        </w:rPr>
        <w:t xml:space="preserve">igure </w:t>
      </w:r>
      <w:r w:rsidR="00790747">
        <w:rPr>
          <w:i/>
          <w:lang w:val="en-GB"/>
        </w:rPr>
        <w:t>4</w:t>
      </w:r>
      <w:r w:rsidR="00595A6C">
        <w:rPr>
          <w:i/>
          <w:lang w:val="en-GB"/>
        </w:rPr>
        <w:t>:</w:t>
      </w:r>
      <w:r w:rsidRPr="0084166F">
        <w:rPr>
          <w:i/>
          <w:lang w:val="en-GB"/>
        </w:rPr>
        <w:t xml:space="preserve"> Axial distribution along the axis: (a) lethality, (b) normalized bulk concentration of thiamine</w:t>
      </w:r>
    </w:p>
    <w:p w14:paraId="49831DC3" w14:textId="46199BD4" w:rsidR="006F39A0" w:rsidRDefault="006F39A0" w:rsidP="002C6639">
      <w:pPr>
        <w:pStyle w:val="CETBodytext"/>
        <w:tabs>
          <w:tab w:val="left" w:pos="284"/>
        </w:tabs>
        <w:rPr>
          <w:lang w:val="en-GB" w:eastAsia="ja-JP"/>
        </w:rPr>
      </w:pPr>
    </w:p>
    <w:p w14:paraId="5F7BF39F" w14:textId="2FA93B2F" w:rsidR="006F39A0" w:rsidRDefault="006F39A0" w:rsidP="002C6639">
      <w:pPr>
        <w:pStyle w:val="CETBodytext"/>
        <w:tabs>
          <w:tab w:val="left" w:pos="284"/>
        </w:tabs>
        <w:rPr>
          <w:lang w:val="en-GB" w:eastAsia="ja-JP"/>
        </w:rPr>
      </w:pPr>
      <w:r w:rsidRPr="00806E17">
        <w:rPr>
          <w:noProof/>
        </w:rPr>
        <w:drawing>
          <wp:inline distT="0" distB="0" distL="0" distR="0" wp14:anchorId="0A5053C5" wp14:editId="00FEDEBB">
            <wp:extent cx="4413991" cy="2399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8364" cy="2434636"/>
                    </a:xfrm>
                    <a:prstGeom prst="rect">
                      <a:avLst/>
                    </a:prstGeom>
                  </pic:spPr>
                </pic:pic>
              </a:graphicData>
            </a:graphic>
          </wp:inline>
        </w:drawing>
      </w:r>
    </w:p>
    <w:p w14:paraId="75B10BA5" w14:textId="54D0E0BA" w:rsidR="00790747" w:rsidRPr="006D21B8" w:rsidRDefault="006F39A0" w:rsidP="006D21B8">
      <w:pPr>
        <w:pStyle w:val="CETBodytext"/>
        <w:rPr>
          <w:i/>
          <w:lang w:val="en-GB"/>
        </w:rPr>
      </w:pPr>
      <w:r w:rsidRPr="0084166F">
        <w:rPr>
          <w:rFonts w:hint="eastAsia"/>
          <w:i/>
          <w:lang w:val="en-GB"/>
        </w:rPr>
        <w:t>F</w:t>
      </w:r>
      <w:r w:rsidRPr="0084166F">
        <w:rPr>
          <w:i/>
          <w:lang w:val="en-GB"/>
        </w:rPr>
        <w:t xml:space="preserve">igure </w:t>
      </w:r>
      <w:r w:rsidR="00790747">
        <w:rPr>
          <w:i/>
          <w:lang w:val="en-GB"/>
        </w:rPr>
        <w:t>5</w:t>
      </w:r>
      <w:r w:rsidR="00595A6C">
        <w:rPr>
          <w:i/>
          <w:lang w:val="en-GB"/>
        </w:rPr>
        <w:t>:</w:t>
      </w:r>
      <w:r w:rsidRPr="0084166F">
        <w:rPr>
          <w:i/>
          <w:lang w:val="en-GB"/>
        </w:rPr>
        <w:t xml:space="preserve"> Dependence of power consumption on Re</w:t>
      </w:r>
      <w:r w:rsidRPr="0084166F">
        <w:rPr>
          <w:i/>
          <w:vertAlign w:val="subscript"/>
          <w:lang w:val="en-GB"/>
        </w:rPr>
        <w:t>eff</w:t>
      </w:r>
    </w:p>
    <w:p w14:paraId="0B08760E" w14:textId="77777777" w:rsidR="006D21B8" w:rsidRDefault="006D21B8" w:rsidP="002C6639">
      <w:pPr>
        <w:pStyle w:val="CETBodytext"/>
        <w:tabs>
          <w:tab w:val="left" w:pos="284"/>
        </w:tabs>
        <w:rPr>
          <w:lang w:val="en-GB" w:eastAsia="ja-JP"/>
        </w:rPr>
      </w:pPr>
    </w:p>
    <w:p w14:paraId="67FD66A2" w14:textId="0077B286" w:rsidR="002F1507" w:rsidRDefault="002C693F" w:rsidP="002C6639">
      <w:pPr>
        <w:pStyle w:val="CETBodytext"/>
        <w:tabs>
          <w:tab w:val="left" w:pos="284"/>
        </w:tabs>
        <w:rPr>
          <w:lang w:val="en-GB" w:eastAsia="ja-JP"/>
        </w:rPr>
      </w:pPr>
      <w:r>
        <w:rPr>
          <w:lang w:val="en-GB" w:eastAsia="ja-JP"/>
        </w:rPr>
        <w:lastRenderedPageBreak/>
        <w:t xml:space="preserve">Figure </w:t>
      </w:r>
      <w:r w:rsidR="00790747">
        <w:rPr>
          <w:lang w:val="en-GB" w:eastAsia="ja-JP"/>
        </w:rPr>
        <w:t>5</w:t>
      </w:r>
      <w:r w:rsidR="0024105D">
        <w:rPr>
          <w:lang w:val="en-GB" w:eastAsia="ja-JP"/>
        </w:rPr>
        <w:t xml:space="preserve"> </w:t>
      </w:r>
      <w:r w:rsidR="00A24973" w:rsidRPr="00706242">
        <w:rPr>
          <w:lang w:val="en-GB" w:eastAsia="ja-JP"/>
        </w:rPr>
        <w:t>preliminarily</w:t>
      </w:r>
      <w:r w:rsidR="00A24973">
        <w:rPr>
          <w:lang w:val="en-GB" w:eastAsia="ja-JP"/>
        </w:rPr>
        <w:t xml:space="preserve"> </w:t>
      </w:r>
      <w:r w:rsidR="0024105D">
        <w:rPr>
          <w:lang w:val="en-GB" w:eastAsia="ja-JP"/>
        </w:rPr>
        <w:t>shows the depende</w:t>
      </w:r>
      <w:r w:rsidR="002C5E69">
        <w:rPr>
          <w:lang w:val="en-GB" w:eastAsia="ja-JP"/>
        </w:rPr>
        <w:t xml:space="preserve">nce of power consumption of TCFS, </w:t>
      </w:r>
      <w:r w:rsidR="002C5E69" w:rsidRPr="002C5E69">
        <w:rPr>
          <w:i/>
          <w:lang w:val="en-GB" w:eastAsia="ja-JP"/>
        </w:rPr>
        <w:t>P</w:t>
      </w:r>
      <w:r w:rsidR="002C5E69">
        <w:rPr>
          <w:lang w:val="en-GB" w:eastAsia="ja-JP"/>
        </w:rPr>
        <w:t>,</w:t>
      </w:r>
      <w:r w:rsidR="0024105D">
        <w:rPr>
          <w:lang w:val="en-GB" w:eastAsia="ja-JP"/>
        </w:rPr>
        <w:t xml:space="preserve"> on </w:t>
      </w:r>
      <w:r w:rsidR="0024105D" w:rsidRPr="0024105D">
        <w:rPr>
          <w:i/>
          <w:lang w:val="en-GB" w:eastAsia="ja-JP"/>
        </w:rPr>
        <w:t>Re</w:t>
      </w:r>
      <w:r w:rsidR="0024105D" w:rsidRPr="0024105D">
        <w:rPr>
          <w:vertAlign w:val="subscript"/>
          <w:lang w:val="en-GB" w:eastAsia="ja-JP"/>
        </w:rPr>
        <w:t>eff</w:t>
      </w:r>
      <w:r w:rsidR="0024105D">
        <w:rPr>
          <w:lang w:val="en-GB" w:eastAsia="ja-JP"/>
        </w:rPr>
        <w:t>.</w:t>
      </w:r>
      <w:r w:rsidR="002C5E69">
        <w:rPr>
          <w:lang w:val="en-GB" w:eastAsia="ja-JP"/>
        </w:rPr>
        <w:t xml:space="preserve"> The power consumption is defined as follows</w:t>
      </w:r>
    </w:p>
    <w:tbl>
      <w:tblPr>
        <w:tblW w:w="5000" w:type="pct"/>
        <w:tblLook w:val="04A0" w:firstRow="1" w:lastRow="0" w:firstColumn="1" w:lastColumn="0" w:noHBand="0" w:noVBand="1"/>
      </w:tblPr>
      <w:tblGrid>
        <w:gridCol w:w="7983"/>
        <w:gridCol w:w="804"/>
      </w:tblGrid>
      <w:tr w:rsidR="002C5E69" w:rsidRPr="00B57B36" w14:paraId="004A983C" w14:textId="77777777" w:rsidTr="006F39A0">
        <w:trPr>
          <w:trHeight w:val="53"/>
        </w:trPr>
        <w:tc>
          <w:tcPr>
            <w:tcW w:w="7983" w:type="dxa"/>
            <w:shd w:val="clear" w:color="auto" w:fill="auto"/>
            <w:vAlign w:val="center"/>
          </w:tcPr>
          <w:p w14:paraId="30484F40" w14:textId="5065E289" w:rsidR="002C5E69" w:rsidRPr="00B57B36" w:rsidRDefault="002C5E69" w:rsidP="00044095">
            <w:pPr>
              <w:pStyle w:val="CETEquation"/>
            </w:pPr>
            <m:oMathPara>
              <m:oMath>
                <m:r>
                  <w:rPr>
                    <w:rFonts w:ascii="Cambria Math" w:hAnsi="Cambria Math"/>
                    <w:szCs w:val="18"/>
                  </w:rPr>
                  <m:t>P=ω</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nary>
                  <m:naryPr>
                    <m:chr m:val="∬"/>
                    <m:limLoc m:val="undOvr"/>
                    <m:subHide m:val="1"/>
                    <m:supHide m:val="1"/>
                    <m:ctrlPr>
                      <w:rPr>
                        <w:rFonts w:ascii="Cambria Math" w:hAnsi="Cambria Math"/>
                        <w:i/>
                        <w:szCs w:val="18"/>
                      </w:rPr>
                    </m:ctrlPr>
                  </m:naryPr>
                  <m:sub/>
                  <m:sup/>
                  <m:e>
                    <m:sSub>
                      <m:sSubPr>
                        <m:ctrlPr>
                          <w:rPr>
                            <w:rFonts w:ascii="Cambria Math" w:hAnsi="Cambria Math"/>
                            <w:i/>
                            <w:szCs w:val="18"/>
                          </w:rPr>
                        </m:ctrlPr>
                      </m:sSubPr>
                      <m:e>
                        <m:r>
                          <w:rPr>
                            <w:rFonts w:ascii="Cambria Math" w:hAnsi="Cambria Math"/>
                            <w:szCs w:val="18"/>
                          </w:rPr>
                          <m:t>τ</m:t>
                        </m:r>
                      </m:e>
                      <m:sub>
                        <m:r>
                          <w:rPr>
                            <w:rFonts w:ascii="Cambria Math" w:hAnsi="Cambria Math"/>
                            <w:szCs w:val="18"/>
                          </w:rPr>
                          <m:t>rθ</m:t>
                        </m:r>
                      </m:sub>
                    </m:sSub>
                  </m:e>
                </m:nary>
                <m:r>
                  <w:rPr>
                    <w:rFonts w:ascii="Cambria Math" w:hAnsi="Cambria Math"/>
                    <w:szCs w:val="18"/>
                  </w:rPr>
                  <m:t>dA</m:t>
                </m:r>
              </m:oMath>
            </m:oMathPara>
          </w:p>
        </w:tc>
        <w:tc>
          <w:tcPr>
            <w:tcW w:w="804" w:type="dxa"/>
            <w:shd w:val="clear" w:color="auto" w:fill="auto"/>
            <w:vAlign w:val="center"/>
          </w:tcPr>
          <w:p w14:paraId="6115116E" w14:textId="5D83E58F" w:rsidR="002C5E69" w:rsidRPr="00B57B36" w:rsidRDefault="002C5E69" w:rsidP="002C5E69">
            <w:pPr>
              <w:pStyle w:val="CETEquation"/>
              <w:jc w:val="right"/>
            </w:pPr>
            <w:r w:rsidRPr="00B57B36">
              <w:t>(</w:t>
            </w:r>
            <w:r>
              <w:t>10</w:t>
            </w:r>
            <w:r w:rsidRPr="00B57B36">
              <w:t>)</w:t>
            </w:r>
          </w:p>
        </w:tc>
      </w:tr>
    </w:tbl>
    <w:p w14:paraId="4DFCCF70" w14:textId="7960BE11" w:rsidR="00616B46" w:rsidRPr="00A24973" w:rsidRDefault="00635B46" w:rsidP="002C6639">
      <w:pPr>
        <w:pStyle w:val="CETBodytext"/>
        <w:tabs>
          <w:tab w:val="left" w:pos="284"/>
        </w:tabs>
        <w:rPr>
          <w:lang w:val="en-GB" w:eastAsia="ja-JP"/>
        </w:rPr>
      </w:pPr>
      <w:r>
        <w:rPr>
          <w:lang w:val="en-GB" w:eastAsia="ja-JP"/>
        </w:rPr>
        <w:t xml:space="preserve">where </w:t>
      </w:r>
      <w:r w:rsidRPr="00824EE9">
        <w:rPr>
          <w:rFonts w:ascii="Symbol" w:hAnsi="Symbol"/>
          <w:i/>
          <w:lang w:val="en-GB" w:eastAsia="ja-JP"/>
        </w:rPr>
        <w:t></w:t>
      </w:r>
      <w:r w:rsidRPr="00B56217">
        <w:rPr>
          <w:vertAlign w:val="subscript"/>
          <w:lang w:val="en-GB" w:eastAsia="ja-JP"/>
        </w:rPr>
        <w:t>r</w:t>
      </w:r>
      <w:r w:rsidRPr="00B56217">
        <w:rPr>
          <w:rFonts w:ascii="Symbol" w:hAnsi="Symbol"/>
          <w:vertAlign w:val="subscript"/>
          <w:lang w:val="en-GB" w:eastAsia="ja-JP"/>
        </w:rPr>
        <w:t></w:t>
      </w:r>
      <w:r>
        <w:rPr>
          <w:lang w:val="en-GB" w:eastAsia="ja-JP"/>
        </w:rPr>
        <w:t xml:space="preserve"> is the component of shear stress tensor at the surface of the inner cylinder obtained from the numerical simulations and d</w:t>
      </w:r>
      <w:r w:rsidRPr="00B56217">
        <w:rPr>
          <w:i/>
          <w:lang w:val="en-GB" w:eastAsia="ja-JP"/>
        </w:rPr>
        <w:t>A</w:t>
      </w:r>
      <w:r>
        <w:rPr>
          <w:lang w:val="en-GB" w:eastAsia="ja-JP"/>
        </w:rPr>
        <w:t xml:space="preserve"> is the differential surface of the inner cylinder.</w:t>
      </w:r>
      <w:r w:rsidR="00B56217">
        <w:rPr>
          <w:lang w:val="en-GB" w:eastAsia="ja-JP"/>
        </w:rPr>
        <w:t xml:space="preserve"> As clearly shown in Fig. 5, </w:t>
      </w:r>
      <w:r w:rsidR="00B56217" w:rsidRPr="002115FA">
        <w:rPr>
          <w:i/>
          <w:lang w:val="en-GB" w:eastAsia="ja-JP"/>
        </w:rPr>
        <w:t>P</w:t>
      </w:r>
      <w:r w:rsidR="00B56217">
        <w:rPr>
          <w:lang w:val="en-GB" w:eastAsia="ja-JP"/>
        </w:rPr>
        <w:t xml:space="preserve"> decreased with </w:t>
      </w:r>
      <w:r w:rsidR="0086616E">
        <w:rPr>
          <w:lang w:val="en-GB" w:eastAsia="ja-JP"/>
        </w:rPr>
        <w:t xml:space="preserve">the </w:t>
      </w:r>
      <w:r w:rsidR="00B56217">
        <w:rPr>
          <w:lang w:val="en-GB" w:eastAsia="ja-JP"/>
        </w:rPr>
        <w:t xml:space="preserve">increase in the </w:t>
      </w:r>
      <w:r w:rsidR="004B3023">
        <w:rPr>
          <w:lang w:val="en-GB" w:eastAsia="ja-JP"/>
        </w:rPr>
        <w:t>degree</w:t>
      </w:r>
      <w:r w:rsidR="00B56217">
        <w:rPr>
          <w:lang w:val="en-GB" w:eastAsia="ja-JP"/>
        </w:rPr>
        <w:t xml:space="preserve"> of shear-thinning property at same </w:t>
      </w:r>
      <w:r w:rsidR="00B56217" w:rsidRPr="00B56217">
        <w:rPr>
          <w:i/>
          <w:lang w:val="en-GB" w:eastAsia="ja-JP"/>
        </w:rPr>
        <w:t>Re</w:t>
      </w:r>
      <w:r w:rsidR="00B56217" w:rsidRPr="00B56217">
        <w:rPr>
          <w:vertAlign w:val="subscript"/>
          <w:lang w:val="en-GB" w:eastAsia="ja-JP"/>
        </w:rPr>
        <w:t>eff</w:t>
      </w:r>
      <w:r w:rsidR="00B56217">
        <w:rPr>
          <w:lang w:val="en-GB" w:eastAsia="ja-JP"/>
        </w:rPr>
        <w:t xml:space="preserve">. This is because the decrease in the apparent viscosity by the shear force generated by the rotation of the inner cylinder </w:t>
      </w:r>
      <w:r w:rsidR="00824EE9">
        <w:rPr>
          <w:lang w:val="en-GB" w:eastAsia="ja-JP"/>
        </w:rPr>
        <w:t>is improved by the increase in</w:t>
      </w:r>
      <w:r w:rsidR="00B56217">
        <w:rPr>
          <w:lang w:val="en-GB" w:eastAsia="ja-JP"/>
        </w:rPr>
        <w:t xml:space="preserve"> the </w:t>
      </w:r>
      <w:r w:rsidR="004B3023">
        <w:rPr>
          <w:lang w:val="en-GB" w:eastAsia="ja-JP"/>
        </w:rPr>
        <w:t>degree</w:t>
      </w:r>
      <w:r w:rsidR="00B56217">
        <w:rPr>
          <w:lang w:val="en-GB" w:eastAsia="ja-JP"/>
        </w:rPr>
        <w:t xml:space="preserve"> of shear-thinning property. As a result, it is possible to suppress the power consumption in more stronger shear-thinning fluids.</w:t>
      </w:r>
    </w:p>
    <w:p w14:paraId="3B744D3E" w14:textId="77C40EF9" w:rsidR="00B56217" w:rsidRDefault="00B56217" w:rsidP="00600535">
      <w:pPr>
        <w:pStyle w:val="CETBodytext"/>
        <w:rPr>
          <w:lang w:val="en-GB"/>
        </w:rPr>
      </w:pPr>
    </w:p>
    <w:p w14:paraId="49B37DBB" w14:textId="0967AA4F" w:rsidR="0024762E" w:rsidRPr="00E85E7C" w:rsidRDefault="0024762E" w:rsidP="0024762E">
      <w:pPr>
        <w:pStyle w:val="CETHeading1"/>
        <w:tabs>
          <w:tab w:val="clear" w:pos="360"/>
          <w:tab w:val="right" w:pos="7100"/>
        </w:tabs>
        <w:jc w:val="both"/>
        <w:rPr>
          <w:lang w:val="en-GB"/>
        </w:rPr>
      </w:pPr>
      <w:r>
        <w:rPr>
          <w:lang w:val="en-GB"/>
        </w:rPr>
        <w:t>Conclusiuons</w:t>
      </w:r>
    </w:p>
    <w:p w14:paraId="377F634A" w14:textId="2F02630A" w:rsidR="00B56217" w:rsidRDefault="00240415" w:rsidP="00600535">
      <w:pPr>
        <w:pStyle w:val="CETBodytext"/>
      </w:pPr>
      <w:r>
        <w:t>This study numerically investigated the effect of rheological properties of foods on heat sterilization process using Taylor</w:t>
      </w:r>
      <w:r w:rsidR="00E11848" w:rsidRPr="00DA6631">
        <w:rPr>
          <w:rFonts w:cs="Arial"/>
        </w:rPr>
        <w:t>–</w:t>
      </w:r>
      <w:r>
        <w:t>Couette flow sterilizer</w:t>
      </w:r>
      <w:r w:rsidR="007E63B7">
        <w:t xml:space="preserve"> (TCFS)</w:t>
      </w:r>
      <w:r>
        <w:t>. The following conclusions were deduced:</w:t>
      </w:r>
    </w:p>
    <w:p w14:paraId="1A724098" w14:textId="5D46F0CD" w:rsidR="00240415" w:rsidRDefault="007E63B7" w:rsidP="007E63B7">
      <w:pPr>
        <w:pStyle w:val="CETBodytext"/>
        <w:numPr>
          <w:ilvl w:val="0"/>
          <w:numId w:val="24"/>
        </w:numPr>
      </w:pPr>
      <w:r>
        <w:t xml:space="preserve">The equivalent lethality slightly decreased with the increase in the </w:t>
      </w:r>
      <w:r w:rsidR="004B3023">
        <w:t>degree</w:t>
      </w:r>
      <w:r>
        <w:t xml:space="preserve"> of shear-thinning property. This can be explained by the fact that the </w:t>
      </w:r>
      <w:r w:rsidR="009322A2">
        <w:t>shear-thinning property</w:t>
      </w:r>
      <w:r w:rsidR="00E44DE3">
        <w:t xml:space="preserve"> weaken the heat flux from the surface for outer cylinder.</w:t>
      </w:r>
      <w:r w:rsidR="002115FA">
        <w:t xml:space="preserve"> On the other hand, there was no clear difference in the retaining performance of nutritional components.</w:t>
      </w:r>
    </w:p>
    <w:p w14:paraId="293C5D4E" w14:textId="5A1BDD12" w:rsidR="00E44DE3" w:rsidRPr="00240415" w:rsidRDefault="002115FA" w:rsidP="007E63B7">
      <w:pPr>
        <w:pStyle w:val="CETBodytext"/>
        <w:numPr>
          <w:ilvl w:val="0"/>
          <w:numId w:val="24"/>
        </w:numPr>
      </w:pPr>
      <w:r>
        <w:t xml:space="preserve">The </w:t>
      </w:r>
      <w:r>
        <w:rPr>
          <w:lang w:val="en-GB" w:eastAsia="ja-JP"/>
        </w:rPr>
        <w:t xml:space="preserve">power consumption decreased with increase in the </w:t>
      </w:r>
      <w:r w:rsidR="004B3023">
        <w:rPr>
          <w:lang w:val="en-GB" w:eastAsia="ja-JP"/>
        </w:rPr>
        <w:t>degree</w:t>
      </w:r>
      <w:r>
        <w:rPr>
          <w:lang w:val="en-GB" w:eastAsia="ja-JP"/>
        </w:rPr>
        <w:t xml:space="preserve"> of shear-thinning property at same </w:t>
      </w:r>
      <w:r w:rsidRPr="002115FA">
        <w:rPr>
          <w:lang w:val="en-GB" w:eastAsia="ja-JP"/>
        </w:rPr>
        <w:t>e</w:t>
      </w:r>
      <w:r>
        <w:rPr>
          <w:lang w:val="en-GB" w:eastAsia="ja-JP"/>
        </w:rPr>
        <w:t xml:space="preserve">ffective Reynolds number. This is because the decrease in the apparent viscosity by the shear force generated by the rotation of the inner cylinder is improved by the increase in the </w:t>
      </w:r>
      <w:r w:rsidR="004B3023">
        <w:rPr>
          <w:lang w:val="en-GB" w:eastAsia="ja-JP"/>
        </w:rPr>
        <w:t>degree</w:t>
      </w:r>
      <w:r>
        <w:rPr>
          <w:lang w:val="en-GB" w:eastAsia="ja-JP"/>
        </w:rPr>
        <w:t xml:space="preserve"> of shear-thinning property.</w:t>
      </w:r>
    </w:p>
    <w:p w14:paraId="7A630F39" w14:textId="454BFF8F" w:rsidR="00B56217" w:rsidRDefault="00B56217" w:rsidP="00600535">
      <w:pPr>
        <w:pStyle w:val="CETBodytext"/>
        <w:rPr>
          <w:lang w:val="en-GB"/>
        </w:rPr>
      </w:pPr>
    </w:p>
    <w:p w14:paraId="0F97E28D" w14:textId="699867C6" w:rsidR="00B56217" w:rsidRPr="00240415" w:rsidRDefault="0024762E" w:rsidP="00600535">
      <w:pPr>
        <w:pStyle w:val="CETBodytext"/>
        <w:rPr>
          <w:b/>
          <w:lang w:val="en-GB"/>
        </w:rPr>
      </w:pPr>
      <w:r w:rsidRPr="00240415">
        <w:rPr>
          <w:rFonts w:hint="eastAsia"/>
          <w:b/>
          <w:lang w:val="en-GB"/>
        </w:rPr>
        <w:t>A</w:t>
      </w:r>
      <w:r w:rsidRPr="00240415">
        <w:rPr>
          <w:b/>
          <w:lang w:val="en-GB"/>
        </w:rPr>
        <w:t>cnowledgement</w:t>
      </w:r>
    </w:p>
    <w:p w14:paraId="5968A01F" w14:textId="16ED02CB" w:rsidR="0024762E" w:rsidRDefault="00240415" w:rsidP="00600535">
      <w:pPr>
        <w:pStyle w:val="CETBodytext"/>
        <w:rPr>
          <w:lang w:val="en-GB"/>
        </w:rPr>
      </w:pPr>
      <w:r w:rsidRPr="00240415">
        <w:rPr>
          <w:lang w:val="en-GB"/>
        </w:rPr>
        <w:t>This research was financially supported by the Urakami Foundation for Food and Food Culture Promotion and JSPS KAKENHI Grant Number JP18H03853.</w:t>
      </w:r>
    </w:p>
    <w:p w14:paraId="643D8FC3" w14:textId="6442677E" w:rsidR="00BA11F9" w:rsidRDefault="00600535" w:rsidP="00BA11F9">
      <w:pPr>
        <w:pStyle w:val="CETReference"/>
      </w:pPr>
      <w:r w:rsidRPr="00B57B36">
        <w:t>References</w:t>
      </w:r>
    </w:p>
    <w:p w14:paraId="7DF92326" w14:textId="46B96177" w:rsidR="003B11B7" w:rsidRDefault="003B11B7" w:rsidP="00C1285D">
      <w:pPr>
        <w:pStyle w:val="CETBodytext"/>
        <w:ind w:left="283" w:hangingChars="157" w:hanging="283"/>
        <w:rPr>
          <w:rFonts w:eastAsiaTheme="minorEastAsia"/>
          <w:lang w:eastAsia="ja-JP"/>
        </w:rPr>
      </w:pPr>
      <w:r>
        <w:rPr>
          <w:rFonts w:eastAsiaTheme="minorEastAsia" w:hint="eastAsia"/>
          <w:lang w:eastAsia="ja-JP"/>
        </w:rPr>
        <w:t>C</w:t>
      </w:r>
      <w:r>
        <w:rPr>
          <w:rFonts w:eastAsiaTheme="minorEastAsia"/>
          <w:lang w:eastAsia="ja-JP"/>
        </w:rPr>
        <w:t>hotyakul N., Velazquez G., Torres J. A., 2011, Assessment of the uncertainty in thermal food processing decisions based on microbial safety objectives, Journal of Food Engineering 102, 247-256.</w:t>
      </w:r>
    </w:p>
    <w:p w14:paraId="3ABFDE18" w14:textId="3C5758DE" w:rsidR="002C134C" w:rsidRDefault="002C134C" w:rsidP="00C1285D">
      <w:pPr>
        <w:pStyle w:val="CETBodytext"/>
        <w:ind w:left="283" w:hangingChars="157" w:hanging="283"/>
        <w:rPr>
          <w:rFonts w:eastAsiaTheme="minorEastAsia"/>
          <w:lang w:eastAsia="ja-JP"/>
        </w:rPr>
      </w:pPr>
      <w:r w:rsidRPr="00BA11F9">
        <w:rPr>
          <w:rFonts w:eastAsiaTheme="minorEastAsia"/>
          <w:lang w:eastAsia="ja-JP"/>
        </w:rPr>
        <w:t xml:space="preserve">Ilo S., Berghofer E., 1998, Kinetics of thermomechanical destruction of thiamine during extrusion cooking, </w:t>
      </w:r>
      <w:r w:rsidR="00067B0E">
        <w:rPr>
          <w:rFonts w:eastAsiaTheme="minorEastAsia"/>
          <w:lang w:eastAsia="ja-JP"/>
        </w:rPr>
        <w:t>Journal of</w:t>
      </w:r>
      <w:r w:rsidRPr="00BA11F9">
        <w:rPr>
          <w:rFonts w:eastAsiaTheme="minorEastAsia"/>
          <w:lang w:eastAsia="ja-JP"/>
        </w:rPr>
        <w:t xml:space="preserve"> Food Sci</w:t>
      </w:r>
      <w:r w:rsidR="00067B0E">
        <w:rPr>
          <w:rFonts w:eastAsiaTheme="minorEastAsia"/>
          <w:lang w:eastAsia="ja-JP"/>
        </w:rPr>
        <w:t>ence</w:t>
      </w:r>
      <w:r w:rsidRPr="00BA11F9">
        <w:rPr>
          <w:rFonts w:eastAsiaTheme="minorEastAsia"/>
          <w:lang w:eastAsia="ja-JP"/>
        </w:rPr>
        <w:t xml:space="preserve"> 63, 312-316.</w:t>
      </w:r>
    </w:p>
    <w:p w14:paraId="13CF4A2C" w14:textId="60AE50FD" w:rsidR="00BA11F9" w:rsidRDefault="00BA11F9" w:rsidP="00C1285D">
      <w:pPr>
        <w:pStyle w:val="CETBodytext"/>
        <w:ind w:left="283" w:hangingChars="157" w:hanging="283"/>
        <w:rPr>
          <w:rFonts w:eastAsiaTheme="minorEastAsia"/>
          <w:lang w:eastAsia="ja-JP"/>
        </w:rPr>
      </w:pPr>
      <w:r w:rsidRPr="00BA11F9">
        <w:rPr>
          <w:rFonts w:eastAsiaTheme="minorEastAsia"/>
          <w:lang w:eastAsia="ja-JP"/>
        </w:rPr>
        <w:t xml:space="preserve">Kaminoyama M., </w:t>
      </w:r>
      <w:r w:rsidR="00F66B14">
        <w:rPr>
          <w:rFonts w:eastAsiaTheme="minorEastAsia"/>
          <w:lang w:eastAsia="ja-JP"/>
        </w:rPr>
        <w:t xml:space="preserve">Watanabe K., </w:t>
      </w:r>
      <w:r>
        <w:rPr>
          <w:rFonts w:eastAsiaTheme="minorEastAsia"/>
          <w:lang w:eastAsia="ja-JP"/>
        </w:rPr>
        <w:t xml:space="preserve">Nishi K., </w:t>
      </w:r>
      <w:r w:rsidR="00F66B14">
        <w:rPr>
          <w:rFonts w:eastAsiaTheme="minorEastAsia"/>
          <w:lang w:eastAsia="ja-JP"/>
        </w:rPr>
        <w:t>Kamiwano M.</w:t>
      </w:r>
      <w:r>
        <w:rPr>
          <w:rFonts w:eastAsiaTheme="minorEastAsia"/>
          <w:lang w:eastAsia="ja-JP"/>
        </w:rPr>
        <w:t xml:space="preserve">, </w:t>
      </w:r>
      <w:r w:rsidR="00F66B14">
        <w:rPr>
          <w:rFonts w:eastAsiaTheme="minorEastAsia"/>
          <w:lang w:eastAsia="ja-JP"/>
        </w:rPr>
        <w:t>1999</w:t>
      </w:r>
      <w:r>
        <w:rPr>
          <w:rFonts w:eastAsiaTheme="minorEastAsia"/>
          <w:lang w:eastAsia="ja-JP"/>
        </w:rPr>
        <w:t xml:space="preserve">, </w:t>
      </w:r>
      <w:r w:rsidR="00F66B14">
        <w:rPr>
          <w:rFonts w:eastAsiaTheme="minorEastAsia"/>
          <w:lang w:eastAsia="ja-JP"/>
        </w:rPr>
        <w:t>Numerical simulation of local heat transfer coefficients in stirred vessel with impeller for highly viscous fluids</w:t>
      </w:r>
      <w:r>
        <w:rPr>
          <w:rFonts w:eastAsiaTheme="minorEastAsia"/>
          <w:lang w:eastAsia="ja-JP"/>
        </w:rPr>
        <w:t>, J</w:t>
      </w:r>
      <w:r w:rsidR="00067B0E">
        <w:rPr>
          <w:rFonts w:eastAsiaTheme="minorEastAsia"/>
          <w:lang w:eastAsia="ja-JP"/>
        </w:rPr>
        <w:t>ournal</w:t>
      </w:r>
      <w:r>
        <w:rPr>
          <w:rFonts w:eastAsiaTheme="minorEastAsia"/>
          <w:lang w:eastAsia="ja-JP"/>
        </w:rPr>
        <w:t xml:space="preserve"> </w:t>
      </w:r>
      <w:r w:rsidR="00067B0E">
        <w:rPr>
          <w:rFonts w:eastAsiaTheme="minorEastAsia"/>
          <w:lang w:eastAsia="ja-JP"/>
        </w:rPr>
        <w:t xml:space="preserve">of </w:t>
      </w:r>
      <w:r>
        <w:rPr>
          <w:rFonts w:eastAsiaTheme="minorEastAsia"/>
          <w:lang w:eastAsia="ja-JP"/>
        </w:rPr>
        <w:t>Chem</w:t>
      </w:r>
      <w:r w:rsidR="00067B0E">
        <w:rPr>
          <w:rFonts w:eastAsiaTheme="minorEastAsia"/>
          <w:lang w:eastAsia="ja-JP"/>
        </w:rPr>
        <w:t>ical</w:t>
      </w:r>
      <w:r>
        <w:rPr>
          <w:rFonts w:eastAsiaTheme="minorEastAsia"/>
          <w:lang w:eastAsia="ja-JP"/>
        </w:rPr>
        <w:t xml:space="preserve"> Eng</w:t>
      </w:r>
      <w:r w:rsidR="00067B0E">
        <w:rPr>
          <w:rFonts w:eastAsiaTheme="minorEastAsia"/>
          <w:lang w:eastAsia="ja-JP"/>
        </w:rPr>
        <w:t>ineering</w:t>
      </w:r>
      <w:r>
        <w:rPr>
          <w:rFonts w:eastAsiaTheme="minorEastAsia"/>
          <w:lang w:eastAsia="ja-JP"/>
        </w:rPr>
        <w:t xml:space="preserve"> Japan </w:t>
      </w:r>
      <w:r w:rsidR="00F66B14">
        <w:rPr>
          <w:rFonts w:eastAsiaTheme="minorEastAsia"/>
          <w:lang w:eastAsia="ja-JP"/>
        </w:rPr>
        <w:t>32</w:t>
      </w:r>
      <w:r>
        <w:rPr>
          <w:rFonts w:eastAsiaTheme="minorEastAsia"/>
          <w:lang w:eastAsia="ja-JP"/>
        </w:rPr>
        <w:t xml:space="preserve">, </w:t>
      </w:r>
      <w:r w:rsidR="00F66B14">
        <w:rPr>
          <w:rFonts w:eastAsiaTheme="minorEastAsia"/>
          <w:lang w:eastAsia="ja-JP"/>
        </w:rPr>
        <w:t>23-30</w:t>
      </w:r>
      <w:r>
        <w:rPr>
          <w:rFonts w:eastAsiaTheme="minorEastAsia"/>
          <w:lang w:eastAsia="ja-JP"/>
        </w:rPr>
        <w:t>.</w:t>
      </w:r>
    </w:p>
    <w:p w14:paraId="07714AFE" w14:textId="1D939506" w:rsidR="00D8551D" w:rsidRDefault="00D8551D" w:rsidP="00C1285D">
      <w:pPr>
        <w:pStyle w:val="CETBodytext"/>
        <w:ind w:left="283" w:hangingChars="157" w:hanging="283"/>
        <w:rPr>
          <w:rFonts w:eastAsiaTheme="minorEastAsia"/>
          <w:lang w:eastAsia="ja-JP"/>
        </w:rPr>
      </w:pPr>
      <w:r>
        <w:rPr>
          <w:rFonts w:eastAsiaTheme="minorEastAsia"/>
          <w:lang w:eastAsia="ja-JP"/>
        </w:rPr>
        <w:t xml:space="preserve">Kataoka K., </w:t>
      </w:r>
      <w:r w:rsidR="00CE2DA3">
        <w:rPr>
          <w:rFonts w:eastAsiaTheme="minorEastAsia"/>
          <w:lang w:eastAsia="ja-JP"/>
        </w:rPr>
        <w:t>Doi H., Hongo T., Futagawa M., 1975, Ideal plug-flow properties of Taylor vortex flow, J</w:t>
      </w:r>
      <w:r w:rsidR="00067B0E">
        <w:rPr>
          <w:rFonts w:eastAsiaTheme="minorEastAsia"/>
          <w:lang w:eastAsia="ja-JP"/>
        </w:rPr>
        <w:t>ournal of</w:t>
      </w:r>
      <w:r w:rsidR="00CE2DA3">
        <w:rPr>
          <w:rFonts w:eastAsiaTheme="minorEastAsia"/>
          <w:lang w:eastAsia="ja-JP"/>
        </w:rPr>
        <w:t xml:space="preserve"> Chem</w:t>
      </w:r>
      <w:r w:rsidR="00067B0E">
        <w:rPr>
          <w:rFonts w:eastAsiaTheme="minorEastAsia"/>
          <w:lang w:eastAsia="ja-JP"/>
        </w:rPr>
        <w:t>ical</w:t>
      </w:r>
      <w:r w:rsidR="00CE2DA3">
        <w:rPr>
          <w:rFonts w:eastAsiaTheme="minorEastAsia"/>
          <w:lang w:eastAsia="ja-JP"/>
        </w:rPr>
        <w:t xml:space="preserve"> Eng</w:t>
      </w:r>
      <w:r w:rsidR="00067B0E">
        <w:rPr>
          <w:rFonts w:eastAsiaTheme="minorEastAsia"/>
          <w:lang w:eastAsia="ja-JP"/>
        </w:rPr>
        <w:t>ineering</w:t>
      </w:r>
      <w:r w:rsidR="00CE2DA3">
        <w:rPr>
          <w:rFonts w:eastAsiaTheme="minorEastAsia"/>
          <w:lang w:eastAsia="ja-JP"/>
        </w:rPr>
        <w:t xml:space="preserve"> Japan 8, 472-476.</w:t>
      </w:r>
    </w:p>
    <w:p w14:paraId="1F8E2C89" w14:textId="779BEF8F" w:rsidR="00BA11F9" w:rsidRDefault="00BA11F9" w:rsidP="00BA11F9">
      <w:pPr>
        <w:pStyle w:val="CETBodytext"/>
        <w:ind w:left="283" w:hangingChars="157" w:hanging="283"/>
        <w:rPr>
          <w:rFonts w:eastAsiaTheme="minorEastAsia"/>
          <w:lang w:val="en-GB" w:eastAsia="ja-JP"/>
        </w:rPr>
      </w:pPr>
      <w:r w:rsidRPr="00BA11F9">
        <w:rPr>
          <w:rFonts w:eastAsiaTheme="minorEastAsia" w:hint="eastAsia"/>
          <w:lang w:val="en-GB" w:eastAsia="ja-JP"/>
        </w:rPr>
        <w:t xml:space="preserve">Kelder J. D. H., Ptasinski K. </w:t>
      </w:r>
      <w:r w:rsidRPr="00BA11F9">
        <w:rPr>
          <w:rFonts w:eastAsiaTheme="minorEastAsia"/>
          <w:lang w:val="en-GB" w:eastAsia="ja-JP"/>
        </w:rPr>
        <w:t>J., Kerkhof P. J. A. M., 2002, Power-law foods in continuous coiled sterlisers, Chem</w:t>
      </w:r>
      <w:r w:rsidR="00067B0E">
        <w:rPr>
          <w:rFonts w:eastAsiaTheme="minorEastAsia"/>
          <w:lang w:val="en-GB" w:eastAsia="ja-JP"/>
        </w:rPr>
        <w:t>ical</w:t>
      </w:r>
      <w:r w:rsidRPr="00BA11F9">
        <w:rPr>
          <w:rFonts w:eastAsiaTheme="minorEastAsia"/>
          <w:lang w:val="en-GB" w:eastAsia="ja-JP"/>
        </w:rPr>
        <w:t xml:space="preserve"> Eng</w:t>
      </w:r>
      <w:r w:rsidR="00067B0E">
        <w:rPr>
          <w:rFonts w:eastAsiaTheme="minorEastAsia"/>
          <w:lang w:val="en-GB" w:eastAsia="ja-JP"/>
        </w:rPr>
        <w:t>ineering</w:t>
      </w:r>
      <w:r w:rsidRPr="00BA11F9">
        <w:rPr>
          <w:rFonts w:eastAsiaTheme="minorEastAsia"/>
          <w:lang w:val="en-GB" w:eastAsia="ja-JP"/>
        </w:rPr>
        <w:t xml:space="preserve"> Sci</w:t>
      </w:r>
      <w:r w:rsidR="00067B0E">
        <w:rPr>
          <w:rFonts w:eastAsiaTheme="minorEastAsia"/>
          <w:lang w:val="en-GB" w:eastAsia="ja-JP"/>
        </w:rPr>
        <w:t>ence</w:t>
      </w:r>
      <w:r w:rsidRPr="00BA11F9">
        <w:rPr>
          <w:rFonts w:eastAsiaTheme="minorEastAsia"/>
          <w:lang w:val="en-GB" w:eastAsia="ja-JP"/>
        </w:rPr>
        <w:t xml:space="preserve"> 57, 4605-4615.</w:t>
      </w:r>
    </w:p>
    <w:p w14:paraId="3442322B" w14:textId="2BC59B23" w:rsidR="00067B0E" w:rsidRPr="00067B0E" w:rsidRDefault="00067B0E" w:rsidP="00BA11F9">
      <w:pPr>
        <w:pStyle w:val="CETBodytext"/>
        <w:ind w:left="283" w:hangingChars="157" w:hanging="283"/>
        <w:rPr>
          <w:rFonts w:eastAsiaTheme="minorEastAsia" w:cs="Arial"/>
          <w:lang w:eastAsia="ja-JP"/>
        </w:rPr>
      </w:pPr>
      <w:r>
        <w:rPr>
          <w:rFonts w:eastAsiaTheme="minorEastAsia"/>
          <w:lang w:eastAsia="ja-JP"/>
        </w:rPr>
        <w:t>Masuda H., Horie T., Ohmura N., Shimoyamada M., 2017, Intensification of heat sterilization process for liquid foods using Taylor</w:t>
      </w:r>
      <w:r>
        <w:rPr>
          <w:rFonts w:ascii="Times New Roman" w:hAnsi="Times New Roman"/>
        </w:rPr>
        <w:t>–</w:t>
      </w:r>
      <w:r>
        <w:rPr>
          <w:rFonts w:cs="Arial" w:hint="cs"/>
        </w:rPr>
        <w:t>C</w:t>
      </w:r>
      <w:r>
        <w:rPr>
          <w:rFonts w:cs="Arial"/>
        </w:rPr>
        <w:t>ouette flow system,</w:t>
      </w:r>
      <w:r w:rsidR="009C24A1">
        <w:rPr>
          <w:rFonts w:cs="Arial"/>
        </w:rPr>
        <w:t xml:space="preserve"> Chemical Engineering Transactions 57, 1753-1758.</w:t>
      </w:r>
    </w:p>
    <w:p w14:paraId="1CAAF605" w14:textId="6A858ECC" w:rsidR="00067B0E" w:rsidRDefault="002C134C" w:rsidP="00067B0E">
      <w:pPr>
        <w:pStyle w:val="CETBodytext"/>
        <w:ind w:left="283" w:hangingChars="157" w:hanging="283"/>
        <w:rPr>
          <w:rFonts w:eastAsiaTheme="minorEastAsia"/>
          <w:lang w:eastAsia="ja-JP"/>
        </w:rPr>
      </w:pPr>
      <w:r>
        <w:rPr>
          <w:rFonts w:eastAsiaTheme="minorEastAsia"/>
          <w:lang w:eastAsia="ja-JP"/>
        </w:rPr>
        <w:t>Masuda H., Horie T., Hubacz R., Ohta M., Ohmura N., 2017, Prediction of onset of Taylor</w:t>
      </w:r>
      <w:r w:rsidR="00DA6631" w:rsidRPr="00DA6631">
        <w:rPr>
          <w:rFonts w:cs="Arial"/>
        </w:rPr>
        <w:t>–</w:t>
      </w:r>
      <w:r>
        <w:rPr>
          <w:rFonts w:eastAsiaTheme="minorEastAsia"/>
          <w:lang w:eastAsia="ja-JP"/>
        </w:rPr>
        <w:t>Couette flow instability for shear-thinning fluids, Rheol</w:t>
      </w:r>
      <w:r w:rsidR="00067B0E">
        <w:rPr>
          <w:rFonts w:eastAsiaTheme="minorEastAsia"/>
          <w:lang w:eastAsia="ja-JP"/>
        </w:rPr>
        <w:t>ogica</w:t>
      </w:r>
      <w:r>
        <w:rPr>
          <w:rFonts w:eastAsiaTheme="minorEastAsia"/>
          <w:lang w:eastAsia="ja-JP"/>
        </w:rPr>
        <w:t xml:space="preserve"> Acta 56, 73-84.</w:t>
      </w:r>
    </w:p>
    <w:p w14:paraId="6EF41F69" w14:textId="7F6705C0" w:rsidR="002C134C" w:rsidRDefault="002C134C" w:rsidP="00BA11F9">
      <w:pPr>
        <w:pStyle w:val="CETBodytext"/>
        <w:ind w:left="283" w:hangingChars="157" w:hanging="283"/>
        <w:rPr>
          <w:rFonts w:eastAsiaTheme="minorEastAsia"/>
          <w:lang w:eastAsia="ja-JP"/>
        </w:rPr>
      </w:pPr>
      <w:r>
        <w:rPr>
          <w:rFonts w:eastAsiaTheme="minorEastAsia"/>
          <w:lang w:eastAsia="ja-JP"/>
        </w:rPr>
        <w:t>Masuda H., Shimoyamada M., Ohmura N., 2019, Heat transfer characteristics of Taylor vortex flow with shear-thinning fluids, Int</w:t>
      </w:r>
      <w:r w:rsidR="00067B0E">
        <w:rPr>
          <w:rFonts w:eastAsiaTheme="minorEastAsia"/>
          <w:lang w:eastAsia="ja-JP"/>
        </w:rPr>
        <w:t>ernational</w:t>
      </w:r>
      <w:r>
        <w:rPr>
          <w:rFonts w:eastAsiaTheme="minorEastAsia"/>
          <w:lang w:eastAsia="ja-JP"/>
        </w:rPr>
        <w:t xml:space="preserve"> J</w:t>
      </w:r>
      <w:r w:rsidR="00067B0E">
        <w:rPr>
          <w:rFonts w:eastAsiaTheme="minorEastAsia"/>
          <w:lang w:eastAsia="ja-JP"/>
        </w:rPr>
        <w:t>ournal</w:t>
      </w:r>
      <w:r>
        <w:rPr>
          <w:rFonts w:eastAsiaTheme="minorEastAsia"/>
          <w:lang w:eastAsia="ja-JP"/>
        </w:rPr>
        <w:t xml:space="preserve"> Heat </w:t>
      </w:r>
      <w:r w:rsidR="00067B0E">
        <w:rPr>
          <w:rFonts w:eastAsiaTheme="minorEastAsia"/>
          <w:lang w:eastAsia="ja-JP"/>
        </w:rPr>
        <w:t xml:space="preserve">and </w:t>
      </w:r>
      <w:r>
        <w:rPr>
          <w:rFonts w:eastAsiaTheme="minorEastAsia"/>
          <w:lang w:eastAsia="ja-JP"/>
        </w:rPr>
        <w:t>Mass Transfer</w:t>
      </w:r>
      <w:r w:rsidR="005629AD">
        <w:rPr>
          <w:rFonts w:eastAsiaTheme="minorEastAsia"/>
          <w:lang w:eastAsia="ja-JP"/>
        </w:rPr>
        <w:t xml:space="preserve"> 130, 274-281.</w:t>
      </w:r>
    </w:p>
    <w:p w14:paraId="0AD865A4" w14:textId="1C49334B" w:rsidR="005629AD" w:rsidRDefault="005629AD" w:rsidP="00BA11F9">
      <w:pPr>
        <w:pStyle w:val="CETBodytext"/>
        <w:ind w:left="283" w:hangingChars="157" w:hanging="283"/>
        <w:rPr>
          <w:rFonts w:eastAsiaTheme="minorEastAsia"/>
          <w:lang w:eastAsia="ja-JP"/>
        </w:rPr>
      </w:pPr>
      <w:r>
        <w:rPr>
          <w:rFonts w:eastAsiaTheme="minorEastAsia"/>
          <w:lang w:eastAsia="ja-JP"/>
        </w:rPr>
        <w:t>Masuda H., Hubacz R., Shimoyamada M., Ohmura N., 2019, Numerical simulation of sterilization processes for shear-thinning food in Taylor</w:t>
      </w:r>
      <w:r w:rsidR="00DA6631" w:rsidRPr="00DA6631">
        <w:rPr>
          <w:rFonts w:cs="Arial"/>
        </w:rPr>
        <w:t>–</w:t>
      </w:r>
      <w:r>
        <w:rPr>
          <w:rFonts w:eastAsiaTheme="minorEastAsia"/>
          <w:lang w:eastAsia="ja-JP"/>
        </w:rPr>
        <w:t>Couette flow system, Chem</w:t>
      </w:r>
      <w:r w:rsidR="00067B0E">
        <w:rPr>
          <w:rFonts w:eastAsiaTheme="minorEastAsia"/>
          <w:lang w:eastAsia="ja-JP"/>
        </w:rPr>
        <w:t>ical</w:t>
      </w:r>
      <w:r>
        <w:rPr>
          <w:rFonts w:eastAsiaTheme="minorEastAsia"/>
          <w:lang w:eastAsia="ja-JP"/>
        </w:rPr>
        <w:t xml:space="preserve"> Eng</w:t>
      </w:r>
      <w:r w:rsidR="00067B0E">
        <w:rPr>
          <w:rFonts w:eastAsiaTheme="minorEastAsia"/>
          <w:lang w:eastAsia="ja-JP"/>
        </w:rPr>
        <w:t>ineering</w:t>
      </w:r>
      <w:r>
        <w:rPr>
          <w:rFonts w:eastAsiaTheme="minorEastAsia"/>
          <w:lang w:eastAsia="ja-JP"/>
        </w:rPr>
        <w:t xml:space="preserve"> Technol</w:t>
      </w:r>
      <w:r w:rsidR="00067B0E">
        <w:rPr>
          <w:rFonts w:eastAsiaTheme="minorEastAsia"/>
          <w:lang w:eastAsia="ja-JP"/>
        </w:rPr>
        <w:t>ogy 42, 859-866.</w:t>
      </w:r>
    </w:p>
    <w:p w14:paraId="2665F8C1" w14:textId="5EFA8616" w:rsidR="002C134C" w:rsidRPr="00BA11F9" w:rsidRDefault="00F70A5B" w:rsidP="00BA11F9">
      <w:pPr>
        <w:pStyle w:val="CETBodytext"/>
        <w:ind w:left="283" w:hangingChars="157" w:hanging="283"/>
        <w:rPr>
          <w:rFonts w:eastAsiaTheme="minorEastAsia"/>
          <w:lang w:eastAsia="ja-JP"/>
        </w:rPr>
      </w:pPr>
      <w:r>
        <w:rPr>
          <w:rFonts w:eastAsiaTheme="minorEastAsia"/>
          <w:lang w:eastAsia="ja-JP"/>
        </w:rPr>
        <w:t>S</w:t>
      </w:r>
      <w:r w:rsidR="0046555F">
        <w:rPr>
          <w:rFonts w:eastAsiaTheme="minorEastAsia"/>
          <w:lang w:eastAsia="ja-JP"/>
        </w:rPr>
        <w:t xml:space="preserve">rinivasan R., Jayanti S., Kannan A., </w:t>
      </w:r>
      <w:r w:rsidR="00E23141">
        <w:rPr>
          <w:rFonts w:eastAsiaTheme="minorEastAsia"/>
          <w:lang w:eastAsia="ja-JP"/>
        </w:rPr>
        <w:t xml:space="preserve">2005, </w:t>
      </w:r>
      <w:r w:rsidR="0046555F">
        <w:rPr>
          <w:rFonts w:eastAsiaTheme="minorEastAsia"/>
          <w:lang w:eastAsia="ja-JP"/>
        </w:rPr>
        <w:t>Effect of Taylor vortices on mass transfer from a rotating cylinder, AIChE J</w:t>
      </w:r>
      <w:r w:rsidR="00067B0E">
        <w:rPr>
          <w:rFonts w:eastAsiaTheme="minorEastAsia"/>
          <w:lang w:eastAsia="ja-JP"/>
        </w:rPr>
        <w:t>ournal</w:t>
      </w:r>
      <w:r w:rsidR="0046555F">
        <w:rPr>
          <w:rFonts w:eastAsiaTheme="minorEastAsia"/>
          <w:lang w:eastAsia="ja-JP"/>
        </w:rPr>
        <w:t xml:space="preserve"> 51, </w:t>
      </w:r>
      <w:r w:rsidR="00E23141">
        <w:rPr>
          <w:rFonts w:eastAsiaTheme="minorEastAsia"/>
          <w:lang w:eastAsia="ja-JP"/>
        </w:rPr>
        <w:t>2876-2884.</w:t>
      </w:r>
    </w:p>
    <w:p w14:paraId="1815AA72" w14:textId="77777777" w:rsidR="00BA11F9" w:rsidRDefault="00BA11F9">
      <w:pPr>
        <w:rPr>
          <w:rFonts w:asciiTheme="minorHAnsi" w:eastAsia="MS Mincho" w:hAnsiTheme="minorHAnsi" w:cstheme="minorBidi"/>
          <w:sz w:val="22"/>
          <w:szCs w:val="22"/>
          <w:lang w:val="it-IT"/>
        </w:rPr>
      </w:pPr>
    </w:p>
    <w:sectPr w:rsidR="00BA11F9"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529E8" w14:textId="77777777" w:rsidR="009E219B" w:rsidRDefault="009E219B" w:rsidP="004F5E36">
      <w:r>
        <w:separator/>
      </w:r>
    </w:p>
  </w:endnote>
  <w:endnote w:type="continuationSeparator" w:id="0">
    <w:p w14:paraId="409C7362" w14:textId="77777777" w:rsidR="009E219B" w:rsidRDefault="009E219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C3F9F" w14:textId="77777777" w:rsidR="009E219B" w:rsidRDefault="009E219B" w:rsidP="004F5E36">
      <w:r>
        <w:separator/>
      </w:r>
    </w:p>
  </w:footnote>
  <w:footnote w:type="continuationSeparator" w:id="0">
    <w:p w14:paraId="792CA07B" w14:textId="77777777" w:rsidR="009E219B" w:rsidRDefault="009E219B"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B105E49"/>
    <w:multiLevelType w:val="hybridMultilevel"/>
    <w:tmpl w:val="B4F23BB0"/>
    <w:lvl w:ilvl="0" w:tplc="9C2A6B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ED1024"/>
    <w:multiLevelType w:val="hybridMultilevel"/>
    <w:tmpl w:val="BD1A473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2633483"/>
    <w:multiLevelType w:val="hybridMultilevel"/>
    <w:tmpl w:val="743C8F0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2"/>
  </w:num>
  <w:num w:numId="16">
    <w:abstractNumId w:val="21"/>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4"/>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8A4"/>
    <w:rsid w:val="000027C0"/>
    <w:rsid w:val="000052FB"/>
    <w:rsid w:val="00010F40"/>
    <w:rsid w:val="000117CB"/>
    <w:rsid w:val="000251D4"/>
    <w:rsid w:val="0003148D"/>
    <w:rsid w:val="00044095"/>
    <w:rsid w:val="00047D7F"/>
    <w:rsid w:val="00047F67"/>
    <w:rsid w:val="00051566"/>
    <w:rsid w:val="00054D69"/>
    <w:rsid w:val="00062A9A"/>
    <w:rsid w:val="00065058"/>
    <w:rsid w:val="00067B0E"/>
    <w:rsid w:val="00070115"/>
    <w:rsid w:val="00086C39"/>
    <w:rsid w:val="00095A20"/>
    <w:rsid w:val="000A03B2"/>
    <w:rsid w:val="000A3B79"/>
    <w:rsid w:val="000C4D27"/>
    <w:rsid w:val="000D3353"/>
    <w:rsid w:val="000D34BE"/>
    <w:rsid w:val="000D7B6A"/>
    <w:rsid w:val="000E102F"/>
    <w:rsid w:val="000E36F1"/>
    <w:rsid w:val="000E3A73"/>
    <w:rsid w:val="000E414A"/>
    <w:rsid w:val="000F0340"/>
    <w:rsid w:val="000F093C"/>
    <w:rsid w:val="000F16BD"/>
    <w:rsid w:val="000F5136"/>
    <w:rsid w:val="000F787B"/>
    <w:rsid w:val="00100C5E"/>
    <w:rsid w:val="00103381"/>
    <w:rsid w:val="0010639E"/>
    <w:rsid w:val="00111C68"/>
    <w:rsid w:val="0012091F"/>
    <w:rsid w:val="001226A7"/>
    <w:rsid w:val="00126BC2"/>
    <w:rsid w:val="0012701F"/>
    <w:rsid w:val="001308B6"/>
    <w:rsid w:val="0013121F"/>
    <w:rsid w:val="00131FAB"/>
    <w:rsid w:val="00131FE6"/>
    <w:rsid w:val="0013263F"/>
    <w:rsid w:val="00134DE4"/>
    <w:rsid w:val="00134FA4"/>
    <w:rsid w:val="0014034D"/>
    <w:rsid w:val="00141371"/>
    <w:rsid w:val="00141D91"/>
    <w:rsid w:val="00145F42"/>
    <w:rsid w:val="00150E59"/>
    <w:rsid w:val="00152244"/>
    <w:rsid w:val="00152B26"/>
    <w:rsid w:val="00152DE3"/>
    <w:rsid w:val="00157EB5"/>
    <w:rsid w:val="00164CF9"/>
    <w:rsid w:val="00166F9F"/>
    <w:rsid w:val="0016797D"/>
    <w:rsid w:val="00184AD6"/>
    <w:rsid w:val="00186DB3"/>
    <w:rsid w:val="001A1DB4"/>
    <w:rsid w:val="001B0349"/>
    <w:rsid w:val="001B05D6"/>
    <w:rsid w:val="001B4C1F"/>
    <w:rsid w:val="001B65C1"/>
    <w:rsid w:val="001C684B"/>
    <w:rsid w:val="001D53FC"/>
    <w:rsid w:val="001E6B33"/>
    <w:rsid w:val="001F42A5"/>
    <w:rsid w:val="001F4597"/>
    <w:rsid w:val="001F6AD9"/>
    <w:rsid w:val="001F7B9D"/>
    <w:rsid w:val="001F7F43"/>
    <w:rsid w:val="00204CD6"/>
    <w:rsid w:val="002115FA"/>
    <w:rsid w:val="00212FA5"/>
    <w:rsid w:val="002224B4"/>
    <w:rsid w:val="00240415"/>
    <w:rsid w:val="0024105D"/>
    <w:rsid w:val="002447EF"/>
    <w:rsid w:val="0024762E"/>
    <w:rsid w:val="00251550"/>
    <w:rsid w:val="00251E09"/>
    <w:rsid w:val="00252C1A"/>
    <w:rsid w:val="00254517"/>
    <w:rsid w:val="00263B05"/>
    <w:rsid w:val="0026533D"/>
    <w:rsid w:val="0027221A"/>
    <w:rsid w:val="00275B61"/>
    <w:rsid w:val="00282656"/>
    <w:rsid w:val="00293C86"/>
    <w:rsid w:val="00296B83"/>
    <w:rsid w:val="002A1B63"/>
    <w:rsid w:val="002B78CE"/>
    <w:rsid w:val="002C134C"/>
    <w:rsid w:val="002C1546"/>
    <w:rsid w:val="002C2FB6"/>
    <w:rsid w:val="002C4D92"/>
    <w:rsid w:val="002C5E69"/>
    <w:rsid w:val="002C6639"/>
    <w:rsid w:val="002C693F"/>
    <w:rsid w:val="002D45CF"/>
    <w:rsid w:val="002D5BCD"/>
    <w:rsid w:val="002F1507"/>
    <w:rsid w:val="003009B7"/>
    <w:rsid w:val="00300E56"/>
    <w:rsid w:val="0030469C"/>
    <w:rsid w:val="00321CA6"/>
    <w:rsid w:val="003236C6"/>
    <w:rsid w:val="00332B51"/>
    <w:rsid w:val="00334C09"/>
    <w:rsid w:val="003365E3"/>
    <w:rsid w:val="0034248E"/>
    <w:rsid w:val="00351727"/>
    <w:rsid w:val="003537DC"/>
    <w:rsid w:val="003723D4"/>
    <w:rsid w:val="00384CC8"/>
    <w:rsid w:val="003871FD"/>
    <w:rsid w:val="0039088E"/>
    <w:rsid w:val="003A030E"/>
    <w:rsid w:val="003A1E30"/>
    <w:rsid w:val="003A7605"/>
    <w:rsid w:val="003A7D1C"/>
    <w:rsid w:val="003B11B7"/>
    <w:rsid w:val="003B304B"/>
    <w:rsid w:val="003B3146"/>
    <w:rsid w:val="003B60F3"/>
    <w:rsid w:val="003C6831"/>
    <w:rsid w:val="003C72FF"/>
    <w:rsid w:val="003D598F"/>
    <w:rsid w:val="003D5A62"/>
    <w:rsid w:val="003F015E"/>
    <w:rsid w:val="00400414"/>
    <w:rsid w:val="0040595F"/>
    <w:rsid w:val="00407065"/>
    <w:rsid w:val="00407DDF"/>
    <w:rsid w:val="0041446B"/>
    <w:rsid w:val="00427781"/>
    <w:rsid w:val="0044329C"/>
    <w:rsid w:val="00450D93"/>
    <w:rsid w:val="00457213"/>
    <w:rsid w:val="004577FE"/>
    <w:rsid w:val="00457B9C"/>
    <w:rsid w:val="00460763"/>
    <w:rsid w:val="00460C90"/>
    <w:rsid w:val="0046164A"/>
    <w:rsid w:val="004628D2"/>
    <w:rsid w:val="00462DCD"/>
    <w:rsid w:val="004648AD"/>
    <w:rsid w:val="0046555F"/>
    <w:rsid w:val="00465D37"/>
    <w:rsid w:val="004703A9"/>
    <w:rsid w:val="00475D42"/>
    <w:rsid w:val="004760DE"/>
    <w:rsid w:val="0049532B"/>
    <w:rsid w:val="00497E95"/>
    <w:rsid w:val="004A004E"/>
    <w:rsid w:val="004A24CF"/>
    <w:rsid w:val="004A2B3F"/>
    <w:rsid w:val="004B054C"/>
    <w:rsid w:val="004B3023"/>
    <w:rsid w:val="004B6721"/>
    <w:rsid w:val="004C1682"/>
    <w:rsid w:val="004C3D1D"/>
    <w:rsid w:val="004C4056"/>
    <w:rsid w:val="004C7913"/>
    <w:rsid w:val="004E12CA"/>
    <w:rsid w:val="004E4DD6"/>
    <w:rsid w:val="004E521B"/>
    <w:rsid w:val="004F5E36"/>
    <w:rsid w:val="00507B47"/>
    <w:rsid w:val="00507CC9"/>
    <w:rsid w:val="005119A5"/>
    <w:rsid w:val="00516005"/>
    <w:rsid w:val="0052383A"/>
    <w:rsid w:val="005278B7"/>
    <w:rsid w:val="00532016"/>
    <w:rsid w:val="00532BAC"/>
    <w:rsid w:val="005346C8"/>
    <w:rsid w:val="0053537F"/>
    <w:rsid w:val="00541ED9"/>
    <w:rsid w:val="00543595"/>
    <w:rsid w:val="00543E7D"/>
    <w:rsid w:val="00546B05"/>
    <w:rsid w:val="00547376"/>
    <w:rsid w:val="00547A68"/>
    <w:rsid w:val="005531C9"/>
    <w:rsid w:val="005629AD"/>
    <w:rsid w:val="00563D85"/>
    <w:rsid w:val="00595A6C"/>
    <w:rsid w:val="005B2110"/>
    <w:rsid w:val="005B52F3"/>
    <w:rsid w:val="005B61E6"/>
    <w:rsid w:val="005C01D7"/>
    <w:rsid w:val="005C77E1"/>
    <w:rsid w:val="005D6A2F"/>
    <w:rsid w:val="005E1A82"/>
    <w:rsid w:val="005E794C"/>
    <w:rsid w:val="005F0A28"/>
    <w:rsid w:val="005F0E5E"/>
    <w:rsid w:val="00600535"/>
    <w:rsid w:val="00605E96"/>
    <w:rsid w:val="00610CD6"/>
    <w:rsid w:val="00616295"/>
    <w:rsid w:val="00616B46"/>
    <w:rsid w:val="00620DEE"/>
    <w:rsid w:val="00621F92"/>
    <w:rsid w:val="00625639"/>
    <w:rsid w:val="00630F2B"/>
    <w:rsid w:val="00631B33"/>
    <w:rsid w:val="00635B46"/>
    <w:rsid w:val="0064111D"/>
    <w:rsid w:val="0064184D"/>
    <w:rsid w:val="006422CC"/>
    <w:rsid w:val="006426C2"/>
    <w:rsid w:val="00653AAD"/>
    <w:rsid w:val="00660E3E"/>
    <w:rsid w:val="00662E74"/>
    <w:rsid w:val="00680C23"/>
    <w:rsid w:val="00693766"/>
    <w:rsid w:val="00697703"/>
    <w:rsid w:val="006A15C4"/>
    <w:rsid w:val="006A3281"/>
    <w:rsid w:val="006B0BF7"/>
    <w:rsid w:val="006B4888"/>
    <w:rsid w:val="006C2E45"/>
    <w:rsid w:val="006C359C"/>
    <w:rsid w:val="006C5579"/>
    <w:rsid w:val="006D21B8"/>
    <w:rsid w:val="006E737D"/>
    <w:rsid w:val="006F39A0"/>
    <w:rsid w:val="006F4D3C"/>
    <w:rsid w:val="006F5E29"/>
    <w:rsid w:val="0070195D"/>
    <w:rsid w:val="00701DC4"/>
    <w:rsid w:val="00705B28"/>
    <w:rsid w:val="00706242"/>
    <w:rsid w:val="007102A6"/>
    <w:rsid w:val="00711D1F"/>
    <w:rsid w:val="00720A24"/>
    <w:rsid w:val="00732386"/>
    <w:rsid w:val="00732994"/>
    <w:rsid w:val="00737609"/>
    <w:rsid w:val="007447F3"/>
    <w:rsid w:val="0075499F"/>
    <w:rsid w:val="0076115D"/>
    <w:rsid w:val="00763766"/>
    <w:rsid w:val="007661C8"/>
    <w:rsid w:val="0077098D"/>
    <w:rsid w:val="00773925"/>
    <w:rsid w:val="00775BA6"/>
    <w:rsid w:val="00790747"/>
    <w:rsid w:val="00790B02"/>
    <w:rsid w:val="007931FA"/>
    <w:rsid w:val="007A3EB8"/>
    <w:rsid w:val="007A7BBA"/>
    <w:rsid w:val="007B0C50"/>
    <w:rsid w:val="007B542D"/>
    <w:rsid w:val="007C1A43"/>
    <w:rsid w:val="007C3593"/>
    <w:rsid w:val="007D146B"/>
    <w:rsid w:val="007E1DC6"/>
    <w:rsid w:val="007E432C"/>
    <w:rsid w:val="007E63B7"/>
    <w:rsid w:val="00806E17"/>
    <w:rsid w:val="00813288"/>
    <w:rsid w:val="008168FC"/>
    <w:rsid w:val="0082186D"/>
    <w:rsid w:val="00824EE9"/>
    <w:rsid w:val="00830996"/>
    <w:rsid w:val="008345F1"/>
    <w:rsid w:val="0084166F"/>
    <w:rsid w:val="0085040B"/>
    <w:rsid w:val="00865B07"/>
    <w:rsid w:val="0086616E"/>
    <w:rsid w:val="008667EA"/>
    <w:rsid w:val="0087637F"/>
    <w:rsid w:val="008904B9"/>
    <w:rsid w:val="00890EF8"/>
    <w:rsid w:val="00892AD5"/>
    <w:rsid w:val="008A1512"/>
    <w:rsid w:val="008C78C1"/>
    <w:rsid w:val="008D32B9"/>
    <w:rsid w:val="008D433B"/>
    <w:rsid w:val="008E566E"/>
    <w:rsid w:val="0090161A"/>
    <w:rsid w:val="00901EB6"/>
    <w:rsid w:val="00904C62"/>
    <w:rsid w:val="00905342"/>
    <w:rsid w:val="0091143E"/>
    <w:rsid w:val="00924DAC"/>
    <w:rsid w:val="009260E8"/>
    <w:rsid w:val="00927058"/>
    <w:rsid w:val="009322A2"/>
    <w:rsid w:val="00941A9E"/>
    <w:rsid w:val="00942E8A"/>
    <w:rsid w:val="009441EE"/>
    <w:rsid w:val="009450CE"/>
    <w:rsid w:val="00947179"/>
    <w:rsid w:val="0095164B"/>
    <w:rsid w:val="00954090"/>
    <w:rsid w:val="009564EB"/>
    <w:rsid w:val="009573E7"/>
    <w:rsid w:val="00960A5F"/>
    <w:rsid w:val="0096180A"/>
    <w:rsid w:val="009635A6"/>
    <w:rsid w:val="009635B9"/>
    <w:rsid w:val="00963D0A"/>
    <w:rsid w:val="00963E05"/>
    <w:rsid w:val="00967D54"/>
    <w:rsid w:val="00967DC9"/>
    <w:rsid w:val="00970250"/>
    <w:rsid w:val="00996483"/>
    <w:rsid w:val="00996F5A"/>
    <w:rsid w:val="009A0A3E"/>
    <w:rsid w:val="009A49C8"/>
    <w:rsid w:val="009B041A"/>
    <w:rsid w:val="009B7966"/>
    <w:rsid w:val="009C1CB7"/>
    <w:rsid w:val="009C24A1"/>
    <w:rsid w:val="009C7C86"/>
    <w:rsid w:val="009D2FF7"/>
    <w:rsid w:val="009D4277"/>
    <w:rsid w:val="009E219B"/>
    <w:rsid w:val="009E73E1"/>
    <w:rsid w:val="009E7884"/>
    <w:rsid w:val="009E788A"/>
    <w:rsid w:val="009F0E08"/>
    <w:rsid w:val="00A1763D"/>
    <w:rsid w:val="00A17CEC"/>
    <w:rsid w:val="00A24973"/>
    <w:rsid w:val="00A27EF0"/>
    <w:rsid w:val="00A35F71"/>
    <w:rsid w:val="00A50B20"/>
    <w:rsid w:val="00A51390"/>
    <w:rsid w:val="00A60D13"/>
    <w:rsid w:val="00A72745"/>
    <w:rsid w:val="00A72D39"/>
    <w:rsid w:val="00A7459C"/>
    <w:rsid w:val="00A76EFC"/>
    <w:rsid w:val="00A91010"/>
    <w:rsid w:val="00A97F29"/>
    <w:rsid w:val="00AA5692"/>
    <w:rsid w:val="00AA702E"/>
    <w:rsid w:val="00AB073F"/>
    <w:rsid w:val="00AB0964"/>
    <w:rsid w:val="00AB5011"/>
    <w:rsid w:val="00AB529F"/>
    <w:rsid w:val="00AB64D5"/>
    <w:rsid w:val="00AC0B27"/>
    <w:rsid w:val="00AC4668"/>
    <w:rsid w:val="00AC7368"/>
    <w:rsid w:val="00AD16B9"/>
    <w:rsid w:val="00AD35A2"/>
    <w:rsid w:val="00AE377D"/>
    <w:rsid w:val="00B17F9A"/>
    <w:rsid w:val="00B17FBD"/>
    <w:rsid w:val="00B30F5E"/>
    <w:rsid w:val="00B315A6"/>
    <w:rsid w:val="00B31813"/>
    <w:rsid w:val="00B33365"/>
    <w:rsid w:val="00B5013D"/>
    <w:rsid w:val="00B54AED"/>
    <w:rsid w:val="00B56217"/>
    <w:rsid w:val="00B57B36"/>
    <w:rsid w:val="00B67A11"/>
    <w:rsid w:val="00B72956"/>
    <w:rsid w:val="00B81885"/>
    <w:rsid w:val="00B8686D"/>
    <w:rsid w:val="00BA11F9"/>
    <w:rsid w:val="00BC30C9"/>
    <w:rsid w:val="00BE3E58"/>
    <w:rsid w:val="00C01616"/>
    <w:rsid w:val="00C0162B"/>
    <w:rsid w:val="00C1285D"/>
    <w:rsid w:val="00C22784"/>
    <w:rsid w:val="00C345B1"/>
    <w:rsid w:val="00C376DF"/>
    <w:rsid w:val="00C40142"/>
    <w:rsid w:val="00C41BE6"/>
    <w:rsid w:val="00C46F43"/>
    <w:rsid w:val="00C57182"/>
    <w:rsid w:val="00C57863"/>
    <w:rsid w:val="00C57922"/>
    <w:rsid w:val="00C60710"/>
    <w:rsid w:val="00C61B0E"/>
    <w:rsid w:val="00C655FD"/>
    <w:rsid w:val="00C66039"/>
    <w:rsid w:val="00C73148"/>
    <w:rsid w:val="00C870A8"/>
    <w:rsid w:val="00C94434"/>
    <w:rsid w:val="00C96B8A"/>
    <w:rsid w:val="00CA0D75"/>
    <w:rsid w:val="00CA1C95"/>
    <w:rsid w:val="00CA5A9C"/>
    <w:rsid w:val="00CB4F26"/>
    <w:rsid w:val="00CD0C80"/>
    <w:rsid w:val="00CD3517"/>
    <w:rsid w:val="00CD5A00"/>
    <w:rsid w:val="00CD5FE2"/>
    <w:rsid w:val="00CE2DA3"/>
    <w:rsid w:val="00CE527D"/>
    <w:rsid w:val="00CE7455"/>
    <w:rsid w:val="00CE7C68"/>
    <w:rsid w:val="00CF214C"/>
    <w:rsid w:val="00D02B4C"/>
    <w:rsid w:val="00D040C4"/>
    <w:rsid w:val="00D2207A"/>
    <w:rsid w:val="00D23866"/>
    <w:rsid w:val="00D3029A"/>
    <w:rsid w:val="00D569A8"/>
    <w:rsid w:val="00D57C84"/>
    <w:rsid w:val="00D6057D"/>
    <w:rsid w:val="00D84576"/>
    <w:rsid w:val="00D8551D"/>
    <w:rsid w:val="00DA1399"/>
    <w:rsid w:val="00DA24C6"/>
    <w:rsid w:val="00DA4D7B"/>
    <w:rsid w:val="00DA6631"/>
    <w:rsid w:val="00DE264A"/>
    <w:rsid w:val="00DE5583"/>
    <w:rsid w:val="00DF7F46"/>
    <w:rsid w:val="00E02D18"/>
    <w:rsid w:val="00E041E7"/>
    <w:rsid w:val="00E11848"/>
    <w:rsid w:val="00E23141"/>
    <w:rsid w:val="00E23CA1"/>
    <w:rsid w:val="00E32C8C"/>
    <w:rsid w:val="00E4049C"/>
    <w:rsid w:val="00E409A8"/>
    <w:rsid w:val="00E44DE3"/>
    <w:rsid w:val="00E50C12"/>
    <w:rsid w:val="00E554AA"/>
    <w:rsid w:val="00E65B91"/>
    <w:rsid w:val="00E7209D"/>
    <w:rsid w:val="00E72F2B"/>
    <w:rsid w:val="00E77223"/>
    <w:rsid w:val="00E8528B"/>
    <w:rsid w:val="00E85B94"/>
    <w:rsid w:val="00E85E7C"/>
    <w:rsid w:val="00E865B8"/>
    <w:rsid w:val="00E978D0"/>
    <w:rsid w:val="00EA4613"/>
    <w:rsid w:val="00EA5E5B"/>
    <w:rsid w:val="00EA6B69"/>
    <w:rsid w:val="00EA7F91"/>
    <w:rsid w:val="00EB1523"/>
    <w:rsid w:val="00EB2061"/>
    <w:rsid w:val="00EB5902"/>
    <w:rsid w:val="00EC0E49"/>
    <w:rsid w:val="00EC3818"/>
    <w:rsid w:val="00EC5F91"/>
    <w:rsid w:val="00EE0131"/>
    <w:rsid w:val="00EF0782"/>
    <w:rsid w:val="00F073FD"/>
    <w:rsid w:val="00F142F9"/>
    <w:rsid w:val="00F155B2"/>
    <w:rsid w:val="00F15A7B"/>
    <w:rsid w:val="00F30C64"/>
    <w:rsid w:val="00F32CDB"/>
    <w:rsid w:val="00F42449"/>
    <w:rsid w:val="00F52FB4"/>
    <w:rsid w:val="00F63A70"/>
    <w:rsid w:val="00F66B14"/>
    <w:rsid w:val="00F70A5B"/>
    <w:rsid w:val="00F744D0"/>
    <w:rsid w:val="00F85985"/>
    <w:rsid w:val="00F9125F"/>
    <w:rsid w:val="00F924AC"/>
    <w:rsid w:val="00F968CF"/>
    <w:rsid w:val="00FA21D0"/>
    <w:rsid w:val="00FA54DF"/>
    <w:rsid w:val="00FA5F5F"/>
    <w:rsid w:val="00FB730C"/>
    <w:rsid w:val="00FC2695"/>
    <w:rsid w:val="00FC3E03"/>
    <w:rsid w:val="00FC3FC1"/>
    <w:rsid w:val="00FD74C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8CDDCD"/>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6F4D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20BFB-EF84-48B9-81B3-3299533F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2692</Words>
  <Characters>15349</Characters>
  <Application>Microsoft Office Word</Application>
  <DocSecurity>0</DocSecurity>
  <Lines>127</Lines>
  <Paragraphs>36</Paragraphs>
  <ScaleCrop>false</ScaleCrop>
  <HeadingPairs>
    <vt:vector size="4" baseType="variant">
      <vt:variant>
        <vt:lpstr>Titolo</vt:lpstr>
      </vt:variant>
      <vt:variant>
        <vt:i4>1</vt:i4>
      </vt:variant>
      <vt:variant>
        <vt:lpstr>タイトル</vt:lpstr>
      </vt:variant>
      <vt:variant>
        <vt:i4>1</vt:i4>
      </vt:variant>
    </vt:vector>
  </HeadingPairs>
  <TitlesOfParts>
    <vt:vector size="2" baseType="lpstr">
      <vt:lpstr/>
      <vt:lpstr/>
    </vt:vector>
  </TitlesOfParts>
  <Company>Dipartimento CMIC - Politecnico di Milano</Company>
  <LinksUpToDate>false</LinksUpToDate>
  <CharactersWithSpaces>18005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Segreteria Aidic</cp:lastModifiedBy>
  <cp:revision>2</cp:revision>
  <cp:lastPrinted>2019-04-15T02:35:00Z</cp:lastPrinted>
  <dcterms:created xsi:type="dcterms:W3CDTF">2019-04-15T10:20:00Z</dcterms:created>
  <dcterms:modified xsi:type="dcterms:W3CDTF">2019-04-15T10:20:00Z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