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1.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DE264A">
        <w:trPr>
          <w:trHeight w:val="852"/>
          <w:jc w:val="center"/>
        </w:trPr>
        <w:tc>
          <w:tcPr>
            <w:tcW w:w="6946"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r w:rsidRPr="00B57B36">
              <w:rPr>
                <w:rFonts w:ascii="AdvP6960" w:hAnsi="AdvP6960" w:cs="AdvP6960"/>
                <w:noProof/>
                <w:color w:val="241F20"/>
                <w:szCs w:val="18"/>
                <w:lang w:val="en-IE" w:eastAsia="ja-JP"/>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530285EB" w:rsidR="000A03B2" w:rsidRPr="00B57B36" w:rsidRDefault="00A76EF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 xml:space="preserve">VOL. </w:t>
            </w:r>
            <w:r w:rsidR="0030152C">
              <w:rPr>
                <w:rFonts w:cs="Arial"/>
                <w:b/>
                <w:bCs/>
                <w:i/>
                <w:iCs/>
                <w:color w:val="000066"/>
                <w:sz w:val="22"/>
                <w:szCs w:val="22"/>
                <w:lang w:eastAsia="it-IT"/>
              </w:rPr>
              <w:t xml:space="preserve">   </w:t>
            </w:r>
            <w:r w:rsidR="007B48F9">
              <w:rPr>
                <w:rFonts w:cs="Arial"/>
                <w:b/>
                <w:bCs/>
                <w:i/>
                <w:iCs/>
                <w:color w:val="000066"/>
                <w:sz w:val="22"/>
                <w:szCs w:val="22"/>
                <w:lang w:eastAsia="it-IT"/>
              </w:rPr>
              <w:t>,</w:t>
            </w:r>
            <w:r w:rsidR="00FA5F5F">
              <w:rPr>
                <w:rFonts w:cs="Arial"/>
                <w:b/>
                <w:bCs/>
                <w:i/>
                <w:iCs/>
                <w:color w:val="000066"/>
                <w:sz w:val="22"/>
                <w:szCs w:val="22"/>
                <w:lang w:eastAsia="it-IT"/>
              </w:rPr>
              <w:t xml:space="preserve"> </w:t>
            </w:r>
            <w:r w:rsidR="0030152C">
              <w:rPr>
                <w:rFonts w:cs="Arial"/>
                <w:b/>
                <w:bCs/>
                <w:i/>
                <w:iCs/>
                <w:color w:val="000066"/>
                <w:sz w:val="22"/>
                <w:szCs w:val="22"/>
                <w:lang w:eastAsia="it-IT"/>
              </w:rPr>
              <w:t>2023</w:t>
            </w:r>
          </w:p>
        </w:tc>
        <w:tc>
          <w:tcPr>
            <w:tcW w:w="1843"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en-IE" w:eastAsia="ja-JP"/>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DE264A">
        <w:trPr>
          <w:trHeight w:val="567"/>
          <w:jc w:val="center"/>
        </w:trPr>
        <w:tc>
          <w:tcPr>
            <w:tcW w:w="6946" w:type="dxa"/>
            <w:vMerge/>
            <w:tcBorders>
              <w:right w:val="single" w:sz="4" w:space="0" w:color="auto"/>
            </w:tcBorders>
          </w:tcPr>
          <w:p w14:paraId="39E5E4C1" w14:textId="77777777" w:rsidR="000A03B2" w:rsidRPr="00B57B36" w:rsidRDefault="000A03B2" w:rsidP="00CD5FE2">
            <w:pPr>
              <w:tabs>
                <w:tab w:val="left" w:pos="-108"/>
              </w:tabs>
            </w:pPr>
          </w:p>
        </w:tc>
        <w:tc>
          <w:tcPr>
            <w:tcW w:w="1843"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DE264A">
        <w:trPr>
          <w:trHeight w:val="68"/>
          <w:jc w:val="center"/>
        </w:trPr>
        <w:tc>
          <w:tcPr>
            <w:tcW w:w="8789" w:type="dxa"/>
            <w:gridSpan w:val="2"/>
          </w:tcPr>
          <w:p w14:paraId="1D8DD3C9" w14:textId="06DCB7F6" w:rsidR="00AA7D26" w:rsidRPr="003A6FC6" w:rsidRDefault="00AA7D26" w:rsidP="00AA7D26">
            <w:pPr>
              <w:ind w:left="-107"/>
              <w:outlineLvl w:val="2"/>
              <w:rPr>
                <w:rFonts w:ascii="Tahoma" w:hAnsi="Tahoma" w:cs="Tahoma"/>
                <w:bCs/>
                <w:color w:val="000000"/>
                <w:sz w:val="14"/>
                <w:szCs w:val="14"/>
                <w:lang w:val="it-IT" w:eastAsia="it-IT"/>
              </w:rPr>
            </w:pPr>
            <w:r w:rsidRPr="003A6FC6">
              <w:rPr>
                <w:rFonts w:ascii="Tahoma" w:hAnsi="Tahoma" w:cs="Tahoma"/>
                <w:iCs/>
                <w:color w:val="333333"/>
                <w:sz w:val="14"/>
                <w:szCs w:val="14"/>
                <w:lang w:val="it-IT" w:eastAsia="it-IT"/>
              </w:rPr>
              <w:t>Guest Editors:</w:t>
            </w:r>
            <w:r w:rsidRPr="003A6FC6">
              <w:rPr>
                <w:rFonts w:ascii="Tahoma" w:hAnsi="Tahoma" w:cs="Tahoma"/>
                <w:color w:val="000000"/>
                <w:sz w:val="14"/>
                <w:szCs w:val="14"/>
                <w:shd w:val="clear" w:color="auto" w:fill="FFFFFF"/>
                <w:lang w:val="it-IT"/>
              </w:rPr>
              <w:t xml:space="preserve"> </w:t>
            </w:r>
            <w:r w:rsidR="003A6FC6" w:rsidRPr="003A6FC6">
              <w:rPr>
                <w:rFonts w:ascii="Tahoma" w:hAnsi="Tahoma" w:cs="Tahoma"/>
                <w:color w:val="000000"/>
                <w:sz w:val="14"/>
                <w:szCs w:val="14"/>
                <w:shd w:val="clear" w:color="auto" w:fill="FFFFFF"/>
                <w:lang w:val="it-IT"/>
              </w:rPr>
              <w:t>Laura Piazza, M</w:t>
            </w:r>
            <w:r w:rsidR="003A6FC6">
              <w:rPr>
                <w:rFonts w:ascii="Tahoma" w:hAnsi="Tahoma" w:cs="Tahoma"/>
                <w:color w:val="000000"/>
                <w:sz w:val="14"/>
                <w:szCs w:val="14"/>
                <w:shd w:val="clear" w:color="auto" w:fill="FFFFFF"/>
                <w:lang w:val="it-IT"/>
              </w:rPr>
              <w:t>auro Moresi, Francesco Donsì</w:t>
            </w:r>
          </w:p>
          <w:p w14:paraId="1B0F1814" w14:textId="13B76356" w:rsidR="000A03B2" w:rsidRPr="00B57B36" w:rsidRDefault="00AA7D26" w:rsidP="00AA7D26">
            <w:pPr>
              <w:tabs>
                <w:tab w:val="left" w:pos="-108"/>
              </w:tabs>
              <w:spacing w:line="140" w:lineRule="atLeast"/>
              <w:ind w:left="-107"/>
              <w:jc w:val="left"/>
            </w:pPr>
            <w:r>
              <w:rPr>
                <w:rFonts w:ascii="Tahoma" w:hAnsi="Tahoma" w:cs="Tahoma"/>
                <w:iCs/>
                <w:color w:val="333333"/>
                <w:sz w:val="14"/>
                <w:szCs w:val="14"/>
                <w:lang w:eastAsia="it-IT"/>
              </w:rPr>
              <w:t>Copyright © 2023</w:t>
            </w:r>
            <w:r w:rsidRPr="00B57B36">
              <w:rPr>
                <w:rFonts w:ascii="Tahoma" w:hAnsi="Tahoma" w:cs="Tahoma"/>
                <w:iCs/>
                <w:color w:val="333333"/>
                <w:sz w:val="14"/>
                <w:szCs w:val="14"/>
                <w:lang w:eastAsia="it-IT"/>
              </w:rPr>
              <w:t xml:space="preserve">, AIDIC </w:t>
            </w:r>
            <w:proofErr w:type="spellStart"/>
            <w:r w:rsidRPr="00B57B36">
              <w:rPr>
                <w:rFonts w:ascii="Tahoma" w:hAnsi="Tahoma" w:cs="Tahoma"/>
                <w:iCs/>
                <w:color w:val="333333"/>
                <w:sz w:val="14"/>
                <w:szCs w:val="14"/>
                <w:lang w:eastAsia="it-IT"/>
              </w:rPr>
              <w:t>Servizi</w:t>
            </w:r>
            <w:proofErr w:type="spellEnd"/>
            <w:r w:rsidRPr="00B57B36">
              <w:rPr>
                <w:rFonts w:ascii="Tahoma" w:hAnsi="Tahoma" w:cs="Tahoma"/>
                <w:iCs/>
                <w:color w:val="333333"/>
                <w:sz w:val="14"/>
                <w:szCs w:val="14"/>
                <w:lang w:eastAsia="it-IT"/>
              </w:rPr>
              <w:t xml:space="preserve"> </w:t>
            </w:r>
            <w:proofErr w:type="spellStart"/>
            <w:r w:rsidRPr="00B57B36">
              <w:rPr>
                <w:rFonts w:ascii="Tahoma" w:hAnsi="Tahoma" w:cs="Tahoma"/>
                <w:iCs/>
                <w:color w:val="333333"/>
                <w:sz w:val="14"/>
                <w:szCs w:val="14"/>
                <w:lang w:eastAsia="it-IT"/>
              </w:rPr>
              <w:t>S.r.l</w:t>
            </w:r>
            <w:proofErr w:type="spellEnd"/>
            <w:r w:rsidRPr="00B57B36">
              <w:rPr>
                <w:rFonts w:ascii="Tahoma" w:hAnsi="Tahoma" w:cs="Tahoma"/>
                <w:iCs/>
                <w:color w:val="333333"/>
                <w:sz w:val="14"/>
                <w:szCs w:val="14"/>
                <w:lang w:eastAsia="it-IT"/>
              </w:rPr>
              <w:t>.</w:t>
            </w:r>
            <w:r w:rsidRPr="00B57B36">
              <w:rPr>
                <w:rFonts w:ascii="Tahoma" w:hAnsi="Tahoma" w:cs="Tahoma"/>
                <w:iCs/>
                <w:color w:val="333333"/>
                <w:sz w:val="14"/>
                <w:szCs w:val="14"/>
                <w:lang w:eastAsia="it-IT"/>
              </w:rPr>
              <w:br/>
            </w:r>
            <w:r w:rsidRPr="00B57B36">
              <w:rPr>
                <w:rFonts w:ascii="Tahoma" w:hAnsi="Tahoma" w:cs="Tahoma"/>
                <w:b/>
                <w:iCs/>
                <w:color w:val="000000"/>
                <w:sz w:val="14"/>
                <w:szCs w:val="14"/>
                <w:lang w:eastAsia="it-IT"/>
              </w:rPr>
              <w:t>ISBN</w:t>
            </w:r>
            <w:r w:rsidRPr="00B57B36">
              <w:rPr>
                <w:rFonts w:ascii="Tahoma" w:hAnsi="Tahoma" w:cs="Tahoma"/>
                <w:iCs/>
                <w:color w:val="000000"/>
                <w:sz w:val="14"/>
                <w:szCs w:val="14"/>
                <w:lang w:eastAsia="it-IT"/>
              </w:rPr>
              <w:t xml:space="preserve"> </w:t>
            </w:r>
            <w:r w:rsidRPr="000562A9">
              <w:rPr>
                <w:rFonts w:ascii="Tahoma" w:hAnsi="Tahoma" w:cs="Tahoma"/>
                <w:sz w:val="14"/>
                <w:szCs w:val="14"/>
              </w:rPr>
              <w:t>97</w:t>
            </w:r>
            <w:r>
              <w:rPr>
                <w:rFonts w:ascii="Tahoma" w:hAnsi="Tahoma" w:cs="Tahoma"/>
                <w:sz w:val="14"/>
                <w:szCs w:val="14"/>
              </w:rPr>
              <w:t>8</w:t>
            </w:r>
            <w:r w:rsidRPr="000562A9">
              <w:rPr>
                <w:rFonts w:ascii="Tahoma" w:hAnsi="Tahoma" w:cs="Tahoma"/>
                <w:sz w:val="14"/>
                <w:szCs w:val="14"/>
              </w:rPr>
              <w:t>-</w:t>
            </w:r>
            <w:r>
              <w:rPr>
                <w:rFonts w:ascii="Tahoma" w:hAnsi="Tahoma" w:cs="Tahoma"/>
                <w:sz w:val="14"/>
                <w:szCs w:val="14"/>
              </w:rPr>
              <w:t>88</w:t>
            </w:r>
            <w:r w:rsidRPr="000562A9">
              <w:rPr>
                <w:rFonts w:ascii="Tahoma" w:hAnsi="Tahoma" w:cs="Tahoma"/>
                <w:sz w:val="14"/>
                <w:szCs w:val="14"/>
              </w:rPr>
              <w:t>-</w:t>
            </w:r>
            <w:r w:rsidR="00E33DD7">
              <w:rPr>
                <w:rFonts w:ascii="Tahoma" w:hAnsi="Tahoma" w:cs="Tahoma"/>
                <w:sz w:val="14"/>
                <w:szCs w:val="14"/>
              </w:rPr>
              <w:t>81206</w:t>
            </w:r>
            <w:r>
              <w:rPr>
                <w:rFonts w:ascii="Tahoma" w:hAnsi="Tahoma" w:cs="Tahoma"/>
                <w:sz w:val="14"/>
                <w:szCs w:val="14"/>
              </w:rPr>
              <w:t>-</w:t>
            </w:r>
            <w:r w:rsidR="00E33DD7">
              <w:rPr>
                <w:rFonts w:ascii="Tahoma" w:hAnsi="Tahoma" w:cs="Tahoma"/>
                <w:sz w:val="14"/>
                <w:szCs w:val="14"/>
              </w:rPr>
              <w:t>0</w:t>
            </w:r>
            <w:r w:rsidR="003A6FC6">
              <w:rPr>
                <w:rFonts w:ascii="Tahoma" w:hAnsi="Tahoma" w:cs="Tahoma"/>
                <w:sz w:val="14"/>
                <w:szCs w:val="14"/>
              </w:rPr>
              <w:t>1</w:t>
            </w:r>
            <w:r>
              <w:rPr>
                <w:rFonts w:ascii="Tahoma" w:hAnsi="Tahoma" w:cs="Tahoma"/>
                <w:sz w:val="14"/>
                <w:szCs w:val="14"/>
              </w:rPr>
              <w:t>-</w:t>
            </w:r>
            <w:r w:rsidR="003A6FC6">
              <w:rPr>
                <w:rFonts w:ascii="Tahoma" w:hAnsi="Tahoma" w:cs="Tahoma"/>
                <w:sz w:val="14"/>
                <w:szCs w:val="14"/>
              </w:rPr>
              <w:t>4</w:t>
            </w:r>
            <w:r w:rsidRPr="00EF06D9">
              <w:rPr>
                <w:rFonts w:ascii="Tahoma" w:hAnsi="Tahoma" w:cs="Tahoma"/>
                <w:iCs/>
                <w:color w:val="333333"/>
                <w:sz w:val="14"/>
                <w:szCs w:val="14"/>
                <w:lang w:eastAsia="it-IT"/>
              </w:rPr>
              <w:t>;</w:t>
            </w:r>
            <w:r w:rsidRPr="00B57B36">
              <w:rPr>
                <w:rFonts w:ascii="Tahoma" w:hAnsi="Tahoma" w:cs="Tahoma"/>
                <w:iCs/>
                <w:color w:val="333333"/>
                <w:sz w:val="14"/>
                <w:szCs w:val="14"/>
                <w:lang w:eastAsia="it-IT"/>
              </w:rPr>
              <w:t xml:space="preserve"> </w:t>
            </w:r>
            <w:r w:rsidRPr="00B57B36">
              <w:rPr>
                <w:rFonts w:ascii="Tahoma" w:hAnsi="Tahoma" w:cs="Tahoma"/>
                <w:b/>
                <w:iCs/>
                <w:color w:val="333333"/>
                <w:sz w:val="14"/>
                <w:szCs w:val="14"/>
                <w:lang w:eastAsia="it-IT"/>
              </w:rPr>
              <w:t>ISSN</w:t>
            </w:r>
            <w:r w:rsidRPr="00B57B36">
              <w:rPr>
                <w:rFonts w:ascii="Tahoma" w:hAnsi="Tahoma" w:cs="Tahoma"/>
                <w:iCs/>
                <w:color w:val="333333"/>
                <w:sz w:val="14"/>
                <w:szCs w:val="14"/>
                <w:lang w:eastAsia="it-IT"/>
              </w:rPr>
              <w:t xml:space="preserve"> 2283-9216</w:t>
            </w:r>
          </w:p>
        </w:tc>
      </w:tr>
    </w:tbl>
    <w:p w14:paraId="2E667253" w14:textId="7EA90F6E" w:rsidR="00E978D0" w:rsidRPr="00B57B36" w:rsidRDefault="007359D1" w:rsidP="00E978D0">
      <w:pPr>
        <w:pStyle w:val="CETTitle"/>
      </w:pPr>
      <w:r>
        <w:t xml:space="preserve">Purification and </w:t>
      </w:r>
      <w:r w:rsidR="00C12BA5">
        <w:t>C</w:t>
      </w:r>
      <w:r>
        <w:t xml:space="preserve">haracterisation of a </w:t>
      </w:r>
      <w:r w:rsidR="00C12BA5">
        <w:t>F</w:t>
      </w:r>
      <w:r>
        <w:t xml:space="preserve">ungal </w:t>
      </w:r>
      <w:r>
        <w:rPr>
          <w:rFonts w:ascii="Times New Roman" w:hAnsi="Times New Roman"/>
        </w:rPr>
        <w:t>β</w:t>
      </w:r>
      <w:r>
        <w:t xml:space="preserve">-1,6-glucanase for the </w:t>
      </w:r>
      <w:r w:rsidR="00C12BA5">
        <w:t>P</w:t>
      </w:r>
      <w:r>
        <w:t xml:space="preserve">roduction of </w:t>
      </w:r>
      <w:proofErr w:type="spellStart"/>
      <w:r w:rsidR="00C12BA5">
        <w:t>G</w:t>
      </w:r>
      <w:r>
        <w:t>entio</w:t>
      </w:r>
      <w:proofErr w:type="spellEnd"/>
      <w:r>
        <w:t xml:space="preserve">-oligosaccharides from Brewer’s </w:t>
      </w:r>
      <w:r w:rsidR="00C12BA5">
        <w:t>S</w:t>
      </w:r>
      <w:r>
        <w:t xml:space="preserve">pent </w:t>
      </w:r>
      <w:r w:rsidR="00C12BA5">
        <w:t>Y</w:t>
      </w:r>
      <w:r>
        <w:t>east</w:t>
      </w:r>
    </w:p>
    <w:p w14:paraId="0488FED2" w14:textId="79CE6D65" w:rsidR="00B57E6F" w:rsidRPr="001966D3" w:rsidRDefault="007359D1" w:rsidP="00B57E6F">
      <w:pPr>
        <w:pStyle w:val="CETAuthors"/>
      </w:pPr>
      <w:r>
        <w:t>Anastasia Klemanska</w:t>
      </w:r>
      <w:r w:rsidR="00B57E6F" w:rsidRPr="00B57B36">
        <w:rPr>
          <w:vertAlign w:val="superscript"/>
        </w:rPr>
        <w:t>a</w:t>
      </w:r>
      <w:r>
        <w:rPr>
          <w:vertAlign w:val="superscript"/>
        </w:rPr>
        <w:t>,b</w:t>
      </w:r>
      <w:r w:rsidRPr="00B57B36">
        <w:t>*</w:t>
      </w:r>
      <w:r w:rsidR="00B57E6F" w:rsidRPr="00B57B36">
        <w:t>,</w:t>
      </w:r>
      <w:r w:rsidR="001966D3">
        <w:t xml:space="preserve"> Italo Pisano</w:t>
      </w:r>
      <w:r w:rsidR="001966D3">
        <w:rPr>
          <w:vertAlign w:val="superscript"/>
        </w:rPr>
        <w:t>a</w:t>
      </w:r>
      <w:r w:rsidR="001966D3">
        <w:t>,</w:t>
      </w:r>
      <w:r w:rsidR="00B57E6F" w:rsidRPr="00B57B36">
        <w:t xml:space="preserve"> </w:t>
      </w:r>
      <w:r>
        <w:t>Kelly Dwyer</w:t>
      </w:r>
      <w:r>
        <w:rPr>
          <w:vertAlign w:val="superscript"/>
        </w:rPr>
        <w:t>b</w:t>
      </w:r>
      <w:r w:rsidR="001966D3">
        <w:t>, Gary Walsh</w:t>
      </w:r>
      <w:r w:rsidR="001966D3">
        <w:rPr>
          <w:vertAlign w:val="superscript"/>
        </w:rPr>
        <w:t>a</w:t>
      </w:r>
    </w:p>
    <w:p w14:paraId="6B2D21B3" w14:textId="452FB193" w:rsidR="00B57E6F" w:rsidRPr="00B57B36" w:rsidRDefault="00B57E6F" w:rsidP="00B57E6F">
      <w:pPr>
        <w:pStyle w:val="CETAddress"/>
      </w:pPr>
      <w:r w:rsidRPr="00B57B36">
        <w:rPr>
          <w:vertAlign w:val="superscript"/>
        </w:rPr>
        <w:t>a</w:t>
      </w:r>
      <w:r w:rsidR="004C7C5A">
        <w:t>Bernal Institute, U</w:t>
      </w:r>
      <w:r w:rsidR="007359D1">
        <w:t>niversity of Limerick, Castletroy, Limerick</w:t>
      </w:r>
      <w:r w:rsidRPr="00B57B36">
        <w:t xml:space="preserve"> </w:t>
      </w:r>
      <w:r w:rsidR="007359D1">
        <w:t>City, Ireland</w:t>
      </w:r>
    </w:p>
    <w:p w14:paraId="3D72B0B0" w14:textId="431F49C6" w:rsidR="00B57E6F" w:rsidRPr="00B57B36" w:rsidRDefault="00B57E6F" w:rsidP="00B57E6F">
      <w:pPr>
        <w:pStyle w:val="CETAddress"/>
      </w:pPr>
      <w:r w:rsidRPr="00B57B36">
        <w:rPr>
          <w:vertAlign w:val="superscript"/>
        </w:rPr>
        <w:t>b</w:t>
      </w:r>
      <w:r w:rsidR="007359D1">
        <w:t>Monaghan Mushrooms, Tyholland, Co. Monaghan, Ireland</w:t>
      </w:r>
      <w:r w:rsidRPr="00B57B36">
        <w:t xml:space="preserve"> </w:t>
      </w:r>
    </w:p>
    <w:p w14:paraId="73F1267A" w14:textId="6709EB52" w:rsidR="00B57E6F" w:rsidRPr="00E84B3C" w:rsidRDefault="00B57E6F" w:rsidP="00B57E6F">
      <w:pPr>
        <w:pStyle w:val="CETemail"/>
        <w:rPr>
          <w:lang w:val="en-IE"/>
        </w:rPr>
      </w:pPr>
      <w:r>
        <w:t xml:space="preserve"> </w:t>
      </w:r>
      <w:r w:rsidR="007359D1" w:rsidRPr="00E84B3C">
        <w:rPr>
          <w:lang w:val="en-IE"/>
        </w:rPr>
        <w:t>anastasia.klemanska</w:t>
      </w:r>
      <w:r w:rsidRPr="00E84B3C">
        <w:rPr>
          <w:lang w:val="en-IE"/>
        </w:rPr>
        <w:t>@</w:t>
      </w:r>
      <w:r w:rsidR="007359D1" w:rsidRPr="00E84B3C">
        <w:rPr>
          <w:lang w:val="en-IE"/>
        </w:rPr>
        <w:t>ul.ie</w:t>
      </w:r>
    </w:p>
    <w:p w14:paraId="37A61FCE" w14:textId="141FFFC6" w:rsidR="00DA24C6" w:rsidRPr="000E22E3" w:rsidRDefault="004D4988" w:rsidP="007359D1">
      <w:pPr>
        <w:pStyle w:val="CETBodytext"/>
        <w:rPr>
          <w:rFonts w:eastAsia="MS PGothic" w:cs="Arial"/>
          <w:color w:val="000000"/>
          <w:szCs w:val="18"/>
        </w:rPr>
      </w:pPr>
      <w:proofErr w:type="spellStart"/>
      <w:r w:rsidRPr="000E22E3">
        <w:rPr>
          <w:rFonts w:eastAsia="MS PGothic" w:cs="Arial"/>
          <w:color w:val="000000"/>
          <w:szCs w:val="18"/>
        </w:rPr>
        <w:t>G</w:t>
      </w:r>
      <w:r w:rsidR="007359D1" w:rsidRPr="000E22E3">
        <w:rPr>
          <w:rFonts w:eastAsia="MS PGothic" w:cs="Arial"/>
          <w:color w:val="000000"/>
          <w:szCs w:val="18"/>
        </w:rPr>
        <w:t>entio</w:t>
      </w:r>
      <w:proofErr w:type="spellEnd"/>
      <w:r w:rsidR="007359D1" w:rsidRPr="000E22E3">
        <w:rPr>
          <w:rFonts w:eastAsia="MS PGothic" w:cs="Arial"/>
          <w:color w:val="000000"/>
          <w:szCs w:val="18"/>
        </w:rPr>
        <w:t>-oligosaccharides</w:t>
      </w:r>
      <w:r w:rsidR="007D0164" w:rsidRPr="000E22E3">
        <w:rPr>
          <w:rFonts w:eastAsia="MS PGothic" w:cs="Arial"/>
          <w:color w:val="000000"/>
          <w:szCs w:val="18"/>
        </w:rPr>
        <w:t xml:space="preserve"> (</w:t>
      </w:r>
      <w:proofErr w:type="spellStart"/>
      <w:r w:rsidR="007D0164" w:rsidRPr="000E22E3">
        <w:rPr>
          <w:rFonts w:eastAsia="MS PGothic" w:cs="Arial"/>
          <w:color w:val="000000"/>
          <w:szCs w:val="18"/>
        </w:rPr>
        <w:t>GnOS</w:t>
      </w:r>
      <w:proofErr w:type="spellEnd"/>
      <w:r w:rsidR="007D0164" w:rsidRPr="000E22E3">
        <w:rPr>
          <w:rFonts w:eastAsia="MS PGothic" w:cs="Arial"/>
          <w:color w:val="000000"/>
          <w:szCs w:val="18"/>
        </w:rPr>
        <w:t>)</w:t>
      </w:r>
      <w:r w:rsidRPr="000E22E3">
        <w:rPr>
          <w:rFonts w:eastAsia="MS PGothic" w:cs="Arial"/>
          <w:color w:val="000000"/>
          <w:szCs w:val="18"/>
        </w:rPr>
        <w:t xml:space="preserve"> are an emerging class of prebiotics</w:t>
      </w:r>
      <w:r w:rsidR="007359D1" w:rsidRPr="000E22E3">
        <w:rPr>
          <w:rFonts w:eastAsia="MS PGothic" w:cs="Arial"/>
          <w:color w:val="000000"/>
          <w:szCs w:val="18"/>
        </w:rPr>
        <w:t xml:space="preserve"> derived from β-1,6-glucan, a polysaccharide found within the cell walls of fungi such as </w:t>
      </w:r>
      <w:r w:rsidR="007359D1" w:rsidRPr="000E22E3">
        <w:rPr>
          <w:rFonts w:eastAsia="MS PGothic" w:cs="Arial"/>
          <w:i/>
          <w:iCs/>
          <w:color w:val="000000"/>
          <w:szCs w:val="18"/>
        </w:rPr>
        <w:t>Saccharomyces cerevisiae</w:t>
      </w:r>
      <w:r w:rsidR="007359D1" w:rsidRPr="000E22E3">
        <w:rPr>
          <w:rFonts w:eastAsia="MS PGothic" w:cs="Arial"/>
          <w:color w:val="000000"/>
          <w:szCs w:val="18"/>
        </w:rPr>
        <w:t>, or Brewer’s yeast</w:t>
      </w:r>
      <w:r w:rsidR="004B0B5C" w:rsidRPr="000E22E3">
        <w:rPr>
          <w:rFonts w:eastAsia="MS PGothic" w:cs="Arial"/>
          <w:color w:val="000000"/>
          <w:szCs w:val="18"/>
        </w:rPr>
        <w:t xml:space="preserve"> (BSY)</w:t>
      </w:r>
      <w:r w:rsidR="007359D1" w:rsidRPr="000E22E3">
        <w:rPr>
          <w:rFonts w:eastAsia="MS PGothic" w:cs="Arial"/>
          <w:color w:val="000000"/>
          <w:szCs w:val="18"/>
        </w:rPr>
        <w:t xml:space="preserve">. </w:t>
      </w:r>
      <w:r w:rsidRPr="000E22E3">
        <w:rPr>
          <w:rFonts w:eastAsia="MS PGothic" w:cs="Arial"/>
          <w:color w:val="000000"/>
          <w:szCs w:val="18"/>
        </w:rPr>
        <w:t xml:space="preserve">The generation of </w:t>
      </w:r>
      <w:proofErr w:type="spellStart"/>
      <w:r w:rsidRPr="000E22E3">
        <w:rPr>
          <w:rFonts w:eastAsia="MS PGothic" w:cs="Arial"/>
          <w:color w:val="000000"/>
          <w:szCs w:val="18"/>
        </w:rPr>
        <w:t>GnOS</w:t>
      </w:r>
      <w:proofErr w:type="spellEnd"/>
      <w:r w:rsidRPr="000E22E3">
        <w:rPr>
          <w:rFonts w:eastAsia="MS PGothic" w:cs="Arial"/>
          <w:color w:val="000000"/>
          <w:szCs w:val="18"/>
        </w:rPr>
        <w:t xml:space="preserve"> from BSY by enzymatic hydrolysis could create functional food additives, as well as minimize waste and waste-disposal costs, thereby contributing to the circular economy. In this study, a β-1,6-glucanase from the mycoparasitic fungus </w:t>
      </w:r>
      <w:r w:rsidRPr="000E22E3">
        <w:rPr>
          <w:rFonts w:eastAsia="MS PGothic" w:cs="Arial"/>
          <w:i/>
          <w:iCs/>
          <w:color w:val="000000"/>
          <w:szCs w:val="18"/>
        </w:rPr>
        <w:t>Trichoderma virens</w:t>
      </w:r>
      <w:r w:rsidRPr="000E22E3">
        <w:rPr>
          <w:rFonts w:eastAsia="MS PGothic" w:cs="Arial"/>
          <w:color w:val="000000"/>
          <w:szCs w:val="18"/>
        </w:rPr>
        <w:t xml:space="preserve"> was cloned and expressed in </w:t>
      </w:r>
      <w:r w:rsidRPr="000E22E3">
        <w:rPr>
          <w:rFonts w:eastAsia="MS PGothic" w:cs="Arial"/>
          <w:i/>
          <w:iCs/>
          <w:color w:val="000000"/>
          <w:szCs w:val="18"/>
        </w:rPr>
        <w:t>Pichia pastoris</w:t>
      </w:r>
      <w:r w:rsidRPr="000E22E3">
        <w:rPr>
          <w:rFonts w:eastAsia="MS PGothic" w:cs="Arial"/>
          <w:color w:val="000000"/>
          <w:szCs w:val="18"/>
        </w:rPr>
        <w:t xml:space="preserve">, and subsequently purified and characterized in order to assess its suitability for the production of </w:t>
      </w:r>
      <w:proofErr w:type="spellStart"/>
      <w:r w:rsidRPr="000E22E3">
        <w:rPr>
          <w:rFonts w:eastAsia="MS PGothic" w:cs="Arial"/>
          <w:color w:val="000000"/>
          <w:szCs w:val="18"/>
        </w:rPr>
        <w:t>GnOS</w:t>
      </w:r>
      <w:proofErr w:type="spellEnd"/>
      <w:r w:rsidRPr="000E22E3">
        <w:rPr>
          <w:rFonts w:eastAsia="MS PGothic" w:cs="Arial"/>
          <w:color w:val="000000"/>
          <w:szCs w:val="18"/>
        </w:rPr>
        <w:t xml:space="preserve"> from BSY. Tvir30 was purified by IMAC to a yield of 47.5% with</w:t>
      </w:r>
      <w:r w:rsidR="00DF6530" w:rsidRPr="000E22E3">
        <w:rPr>
          <w:rFonts w:eastAsia="MS PGothic" w:cs="Arial"/>
          <w:color w:val="000000"/>
          <w:szCs w:val="18"/>
        </w:rPr>
        <w:t xml:space="preserve"> a purification factor of </w:t>
      </w:r>
      <w:r w:rsidR="000B4D72" w:rsidRPr="000E22E3">
        <w:rPr>
          <w:rFonts w:eastAsia="MS PGothic" w:cs="Arial"/>
          <w:color w:val="000000"/>
          <w:szCs w:val="18"/>
        </w:rPr>
        <w:t>5.63</w:t>
      </w:r>
      <w:r w:rsidRPr="000E22E3">
        <w:rPr>
          <w:rFonts w:eastAsia="MS PGothic" w:cs="Arial"/>
          <w:color w:val="000000"/>
          <w:szCs w:val="18"/>
        </w:rPr>
        <w:t xml:space="preserve">. The </w:t>
      </w:r>
      <w:r w:rsidR="009F574D" w:rsidRPr="000E22E3">
        <w:rPr>
          <w:rFonts w:eastAsia="MS PGothic" w:cs="Arial"/>
          <w:color w:val="000000"/>
          <w:szCs w:val="18"/>
        </w:rPr>
        <w:t xml:space="preserve">pH and temperature optima of Tvir30 were determined to be </w:t>
      </w:r>
      <w:r w:rsidR="00C90B62" w:rsidRPr="000E22E3">
        <w:rPr>
          <w:rFonts w:eastAsia="MS PGothic" w:cs="Arial"/>
          <w:color w:val="000000"/>
          <w:szCs w:val="18"/>
        </w:rPr>
        <w:t xml:space="preserve">5.0 and </w:t>
      </w:r>
      <w:r w:rsidR="007C477A" w:rsidRPr="000E22E3">
        <w:rPr>
          <w:rFonts w:eastAsia="MS PGothic" w:cs="Arial"/>
          <w:color w:val="000000"/>
          <w:szCs w:val="18"/>
        </w:rPr>
        <w:t>45</w:t>
      </w:r>
      <w:r w:rsidR="00C90B62" w:rsidRPr="000E22E3">
        <w:rPr>
          <w:rFonts w:eastAsia="MS PGothic" w:cs="Arial"/>
          <w:color w:val="000000"/>
          <w:szCs w:val="18"/>
          <w:vertAlign w:val="superscript"/>
        </w:rPr>
        <w:t>o</w:t>
      </w:r>
      <w:r w:rsidR="00C90B62" w:rsidRPr="000E22E3">
        <w:rPr>
          <w:rFonts w:eastAsia="MS PGothic" w:cs="Arial"/>
          <w:color w:val="000000"/>
          <w:szCs w:val="18"/>
        </w:rPr>
        <w:t xml:space="preserve">C respectively. The enzyme was </w:t>
      </w:r>
      <w:r w:rsidRPr="000E22E3">
        <w:rPr>
          <w:rFonts w:eastAsia="MS PGothic" w:cs="Arial"/>
          <w:color w:val="000000"/>
          <w:szCs w:val="18"/>
        </w:rPr>
        <w:t>found</w:t>
      </w:r>
      <w:r w:rsidR="00A52F22" w:rsidRPr="000E22E3">
        <w:rPr>
          <w:rFonts w:eastAsia="MS PGothic" w:cs="Arial"/>
          <w:color w:val="000000"/>
          <w:szCs w:val="18"/>
        </w:rPr>
        <w:t xml:space="preserve"> </w:t>
      </w:r>
      <w:r w:rsidRPr="000E22E3">
        <w:rPr>
          <w:rFonts w:eastAsia="MS PGothic" w:cs="Arial"/>
          <w:color w:val="000000"/>
          <w:szCs w:val="18"/>
        </w:rPr>
        <w:t xml:space="preserve">to be glycosylated, and substrate specificity analysis revealed it to be specific to β-1,6-linkages only. Tvir30 was </w:t>
      </w:r>
      <w:r w:rsidR="00CD37B3" w:rsidRPr="000E22E3">
        <w:rPr>
          <w:rFonts w:eastAsia="MS PGothic" w:cs="Arial"/>
          <w:color w:val="000000"/>
          <w:szCs w:val="18"/>
        </w:rPr>
        <w:t xml:space="preserve">relatively </w:t>
      </w:r>
      <w:r w:rsidRPr="000E22E3">
        <w:rPr>
          <w:rFonts w:eastAsia="MS PGothic" w:cs="Arial"/>
          <w:color w:val="000000"/>
          <w:szCs w:val="18"/>
        </w:rPr>
        <w:t>heat sensitive, with 50% relative activity remaining after 15 min incubation at 50</w:t>
      </w:r>
      <w:r w:rsidRPr="000E22E3">
        <w:rPr>
          <w:rFonts w:eastAsia="MS PGothic" w:cs="Arial"/>
          <w:color w:val="000000"/>
          <w:szCs w:val="18"/>
          <w:vertAlign w:val="superscript"/>
        </w:rPr>
        <w:t>o</w:t>
      </w:r>
      <w:r w:rsidRPr="000E22E3">
        <w:rPr>
          <w:rFonts w:eastAsia="MS PGothic" w:cs="Arial"/>
          <w:color w:val="000000"/>
          <w:szCs w:val="18"/>
        </w:rPr>
        <w:t xml:space="preserve">C. </w:t>
      </w:r>
      <w:r w:rsidR="00B927A9" w:rsidRPr="000E22E3">
        <w:rPr>
          <w:rFonts w:eastAsia="MS PGothic" w:cs="Arial"/>
          <w:color w:val="000000"/>
          <w:szCs w:val="18"/>
        </w:rPr>
        <w:t>However, at 40</w:t>
      </w:r>
      <w:r w:rsidR="00B927A9" w:rsidRPr="000E22E3">
        <w:rPr>
          <w:rFonts w:eastAsia="MS PGothic" w:cs="Arial"/>
          <w:color w:val="000000"/>
          <w:szCs w:val="18"/>
          <w:vertAlign w:val="superscript"/>
        </w:rPr>
        <w:t>o</w:t>
      </w:r>
      <w:r w:rsidR="00B927A9" w:rsidRPr="000E22E3">
        <w:rPr>
          <w:rFonts w:eastAsia="MS PGothic" w:cs="Arial"/>
          <w:color w:val="000000"/>
          <w:szCs w:val="18"/>
        </w:rPr>
        <w:t xml:space="preserve">C the stability of Tvir30 was </w:t>
      </w:r>
      <w:r w:rsidR="001B7F3C" w:rsidRPr="000E22E3">
        <w:rPr>
          <w:rFonts w:eastAsia="MS PGothic" w:cs="Arial"/>
          <w:color w:val="000000"/>
          <w:szCs w:val="18"/>
        </w:rPr>
        <w:t xml:space="preserve">improved, </w:t>
      </w:r>
      <w:r w:rsidR="00B21BEB" w:rsidRPr="000E22E3">
        <w:rPr>
          <w:rFonts w:eastAsia="MS PGothic" w:cs="Arial"/>
          <w:color w:val="000000"/>
          <w:szCs w:val="18"/>
        </w:rPr>
        <w:t xml:space="preserve">with activity reaching 80% at </w:t>
      </w:r>
      <w:r w:rsidR="00EC743D" w:rsidRPr="000E22E3">
        <w:rPr>
          <w:rFonts w:eastAsia="MS PGothic" w:cs="Arial"/>
          <w:color w:val="000000"/>
          <w:szCs w:val="18"/>
        </w:rPr>
        <w:t>100 h of incubation.</w:t>
      </w:r>
      <w:r w:rsidR="00B927A9" w:rsidRPr="000E22E3">
        <w:rPr>
          <w:rFonts w:eastAsia="MS PGothic" w:cs="Arial"/>
          <w:color w:val="000000"/>
          <w:szCs w:val="18"/>
        </w:rPr>
        <w:t xml:space="preserve"> </w:t>
      </w:r>
      <w:r w:rsidR="00EF4A4E" w:rsidRPr="000E22E3">
        <w:rPr>
          <w:rFonts w:eastAsia="MS PGothic" w:cs="Arial"/>
          <w:color w:val="000000"/>
          <w:szCs w:val="18"/>
        </w:rPr>
        <w:t>K</w:t>
      </w:r>
      <w:r w:rsidRPr="000E22E3">
        <w:rPr>
          <w:rFonts w:eastAsia="MS PGothic" w:cs="Arial"/>
          <w:color w:val="000000"/>
          <w:szCs w:val="18"/>
        </w:rPr>
        <w:t xml:space="preserve">inetic analysis revealed classic Michaelis-Menten kinetics, with a Vmax of 214.4 </w:t>
      </w:r>
      <w:proofErr w:type="spellStart"/>
      <w:r w:rsidRPr="000E22E3">
        <w:rPr>
          <w:rFonts w:eastAsia="MS PGothic" w:cs="Arial"/>
          <w:color w:val="000000"/>
          <w:szCs w:val="18"/>
        </w:rPr>
        <w:t>μmol</w:t>
      </w:r>
      <w:proofErr w:type="spellEnd"/>
      <w:r w:rsidR="00401D36" w:rsidRPr="000E22E3">
        <w:rPr>
          <w:rFonts w:eastAsia="MS PGothic" w:cs="Arial"/>
          <w:color w:val="000000"/>
          <w:szCs w:val="18"/>
        </w:rPr>
        <w:t xml:space="preserve"> </w:t>
      </w:r>
      <w:r w:rsidRPr="000E22E3">
        <w:rPr>
          <w:rFonts w:eastAsia="MS PGothic" w:cs="Arial"/>
          <w:color w:val="000000"/>
          <w:szCs w:val="18"/>
        </w:rPr>
        <w:t>mg</w:t>
      </w:r>
      <w:r w:rsidR="00401D36" w:rsidRPr="000E22E3">
        <w:rPr>
          <w:rFonts w:eastAsia="MS PGothic" w:cs="Arial"/>
          <w:color w:val="000000"/>
          <w:szCs w:val="18"/>
          <w:vertAlign w:val="superscript"/>
        </w:rPr>
        <w:t xml:space="preserve">-1 </w:t>
      </w:r>
      <w:r w:rsidRPr="000E22E3">
        <w:rPr>
          <w:rFonts w:eastAsia="MS PGothic" w:cs="Arial"/>
          <w:color w:val="000000"/>
          <w:szCs w:val="18"/>
        </w:rPr>
        <w:t>min</w:t>
      </w:r>
      <w:r w:rsidR="00401D36" w:rsidRPr="000E22E3">
        <w:rPr>
          <w:rFonts w:eastAsia="MS PGothic" w:cs="Arial"/>
          <w:color w:val="000000"/>
          <w:szCs w:val="18"/>
          <w:vertAlign w:val="superscript"/>
        </w:rPr>
        <w:t>-1</w:t>
      </w:r>
      <w:r w:rsidRPr="000E22E3">
        <w:rPr>
          <w:rFonts w:eastAsia="MS PGothic" w:cs="Arial"/>
          <w:color w:val="000000"/>
          <w:szCs w:val="18"/>
        </w:rPr>
        <w:t>, a Km of 1.873 mg</w:t>
      </w:r>
      <w:r w:rsidR="00401D36" w:rsidRPr="000E22E3">
        <w:rPr>
          <w:rFonts w:eastAsia="MS PGothic" w:cs="Arial"/>
          <w:color w:val="000000"/>
          <w:szCs w:val="18"/>
        </w:rPr>
        <w:t xml:space="preserve"> </w:t>
      </w:r>
      <w:r w:rsidRPr="000E22E3">
        <w:rPr>
          <w:rFonts w:eastAsia="MS PGothic" w:cs="Arial"/>
          <w:color w:val="000000"/>
          <w:szCs w:val="18"/>
        </w:rPr>
        <w:t>mL</w:t>
      </w:r>
      <w:r w:rsidR="00401D36" w:rsidRPr="000E22E3">
        <w:rPr>
          <w:rFonts w:eastAsia="MS PGothic" w:cs="Arial"/>
          <w:color w:val="000000"/>
          <w:szCs w:val="18"/>
          <w:vertAlign w:val="superscript"/>
        </w:rPr>
        <w:t>-1</w:t>
      </w:r>
      <w:r w:rsidRPr="000E22E3">
        <w:rPr>
          <w:rFonts w:eastAsia="MS PGothic" w:cs="Arial"/>
          <w:color w:val="000000"/>
          <w:szCs w:val="18"/>
        </w:rPr>
        <w:t xml:space="preserve">, and a </w:t>
      </w:r>
      <w:proofErr w:type="spellStart"/>
      <w:r w:rsidRPr="000E22E3">
        <w:rPr>
          <w:rFonts w:eastAsia="MS PGothic" w:cs="Arial"/>
          <w:color w:val="000000"/>
          <w:szCs w:val="18"/>
        </w:rPr>
        <w:t>Kcat</w:t>
      </w:r>
      <w:proofErr w:type="spellEnd"/>
      <w:r w:rsidRPr="000E22E3">
        <w:rPr>
          <w:rFonts w:eastAsia="MS PGothic" w:cs="Arial"/>
          <w:color w:val="000000"/>
          <w:szCs w:val="18"/>
        </w:rPr>
        <w:t xml:space="preserve"> of </w:t>
      </w:r>
      <w:r w:rsidR="00401D36" w:rsidRPr="000E22E3">
        <w:rPr>
          <w:rFonts w:eastAsia="MS PGothic" w:cs="Arial"/>
          <w:color w:val="000000"/>
          <w:szCs w:val="18"/>
        </w:rPr>
        <w:t>161</w:t>
      </w:r>
      <w:r w:rsidRPr="000E22E3">
        <w:rPr>
          <w:rFonts w:eastAsia="MS PGothic" w:cs="Arial"/>
          <w:color w:val="000000"/>
          <w:szCs w:val="18"/>
        </w:rPr>
        <w:t xml:space="preserve"> sec</w:t>
      </w:r>
      <w:r w:rsidRPr="000E22E3">
        <w:rPr>
          <w:rFonts w:eastAsia="MS PGothic" w:cs="Arial"/>
          <w:color w:val="000000"/>
          <w:szCs w:val="18"/>
          <w:vertAlign w:val="superscript"/>
        </w:rPr>
        <w:t>-1</w:t>
      </w:r>
      <w:r w:rsidRPr="000E22E3">
        <w:rPr>
          <w:rFonts w:eastAsia="MS PGothic" w:cs="Arial"/>
          <w:color w:val="000000"/>
          <w:szCs w:val="18"/>
        </w:rPr>
        <w:t xml:space="preserve">. </w:t>
      </w:r>
      <w:r w:rsidR="00EF4A4E" w:rsidRPr="000E22E3">
        <w:rPr>
          <w:rFonts w:eastAsia="MS PGothic" w:cs="Arial"/>
          <w:color w:val="000000"/>
          <w:szCs w:val="18"/>
        </w:rPr>
        <w:t>Finally, a</w:t>
      </w:r>
      <w:r w:rsidR="00F677EF" w:rsidRPr="000E22E3">
        <w:rPr>
          <w:rFonts w:eastAsia="MS PGothic" w:cs="Arial"/>
          <w:color w:val="000000"/>
          <w:szCs w:val="18"/>
        </w:rPr>
        <w:t xml:space="preserve">nalysis of hydrolysis products </w:t>
      </w:r>
      <w:r w:rsidR="005E3209" w:rsidRPr="000E22E3">
        <w:rPr>
          <w:rFonts w:eastAsia="MS PGothic" w:cs="Arial"/>
          <w:color w:val="000000"/>
          <w:szCs w:val="18"/>
        </w:rPr>
        <w:t xml:space="preserve">revealed Tvir30 to have an endolytic mode of action, capable of generating </w:t>
      </w:r>
      <w:proofErr w:type="spellStart"/>
      <w:r w:rsidR="005E3209" w:rsidRPr="000E22E3">
        <w:rPr>
          <w:rFonts w:eastAsia="MS PGothic" w:cs="Arial"/>
          <w:color w:val="000000"/>
          <w:szCs w:val="18"/>
        </w:rPr>
        <w:t>GnOS</w:t>
      </w:r>
      <w:proofErr w:type="spellEnd"/>
      <w:r w:rsidR="005E3209" w:rsidRPr="000E22E3">
        <w:rPr>
          <w:rFonts w:eastAsia="MS PGothic" w:cs="Arial"/>
          <w:color w:val="000000"/>
          <w:szCs w:val="18"/>
        </w:rPr>
        <w:t xml:space="preserve"> with DP&gt;2, including from </w:t>
      </w:r>
      <w:r w:rsidR="00EF4A4E" w:rsidRPr="000E22E3">
        <w:rPr>
          <w:rFonts w:eastAsia="MS PGothic" w:cs="Arial"/>
          <w:color w:val="000000"/>
          <w:szCs w:val="18"/>
        </w:rPr>
        <w:t xml:space="preserve">yeast β-glucan. </w:t>
      </w:r>
    </w:p>
    <w:p w14:paraId="476B2F2E" w14:textId="51CAF220" w:rsidR="00600535" w:rsidRDefault="00600535" w:rsidP="00600535">
      <w:pPr>
        <w:pStyle w:val="CETHeading1"/>
        <w:rPr>
          <w:lang w:val="en-GB"/>
        </w:rPr>
      </w:pPr>
      <w:r w:rsidRPr="00B57B36">
        <w:rPr>
          <w:lang w:val="en-GB"/>
        </w:rPr>
        <w:t>Introduction</w:t>
      </w:r>
    </w:p>
    <w:p w14:paraId="16CDA1AF" w14:textId="6ABE3109" w:rsidR="00922D8C" w:rsidRDefault="00CA51DD" w:rsidP="00CA51DD">
      <w:r>
        <w:t xml:space="preserve">Prebiotics are an emerging class of health-promoting food additives that function </w:t>
      </w:r>
      <w:r w:rsidRPr="002C7DAB">
        <w:t>primarily as energy sources for probiotic micro-organisms</w:t>
      </w:r>
      <w:r>
        <w:t xml:space="preserve">. </w:t>
      </w:r>
      <w:r w:rsidRPr="00425BC9">
        <w:t xml:space="preserve">The International Scientific Association for Probiotics and Prebiotics (ISAPP) defines the term prebiotic as “a substrate that is selectively utilised by host microorganisms conferring a health benefit” </w:t>
      </w:r>
      <w:r w:rsidR="00C54839">
        <w:fldChar w:fldCharType="begin"/>
      </w:r>
      <w:r w:rsidR="00B464EF">
        <w:instrText xml:space="preserve"> ADDIN ZOTERO_ITEM CSL_CITATION {"citationID":"XpUvfmue","properties":{"formattedCitation":"(Gibson et al., 2017)","plainCitation":"(Gibson et al., 2017)","noteIndex":0},"citationItems":[{"id":443,"uris":["http://zotero.org/users/7038461/items/R3NHAW3T"],"itemData":{"id":443,"type":"article-journal","container-title":"Nature Reviews Gastroenterology &amp; Hepatology","DOI":"10.1038/nrgastro.2017.75","ISSN":"1759-5045, 1759-5053","issue":"8","journalAbbreviation":"Nat Rev Gastroenterol Hepatol","language":"en","page":"491-502","source":"DOI.org (Crossref)","title":"Expert consensus document: The International Scientific Association for Probiotics and Prebiotics (ISAPP) consensus statement on the definition and scope of prebiotics","title-short":"Expert consensus document","volume":"14","author":[{"family":"Gibson","given":"Glenn R."},{"family":"Hutkins","given":"Robert"},{"family":"Sanders","given":"Mary Ellen"},{"family":"Prescott","given":"Susan L."},{"family":"Reimer","given":"Raylene A."},{"family":"Salminen","given":"Seppo J."},{"family":"Scott","given":"Karen"},{"family":"Stanton","given":"Catherine"},{"family":"Swanson","given":"Kelly S."},{"family":"Cani","given":"Patrice D."},{"family":"Verbeke","given":"Kristin"},{"family":"Reid","given":"Gregor"}],"issued":{"date-parts":[["2017",8]]}}}],"schema":"https://github.com/citation-style-language/schema/raw/master/csl-citation.json"} </w:instrText>
      </w:r>
      <w:r w:rsidR="00C54839">
        <w:fldChar w:fldCharType="separate"/>
      </w:r>
      <w:r w:rsidR="00B464EF" w:rsidRPr="00B464EF">
        <w:rPr>
          <w:rFonts w:cs="Arial"/>
        </w:rPr>
        <w:t>(Gibson et al., 2017)</w:t>
      </w:r>
      <w:r w:rsidR="00C54839">
        <w:fldChar w:fldCharType="end"/>
      </w:r>
      <w:r w:rsidRPr="00425BC9">
        <w:t>.</w:t>
      </w:r>
      <w:r>
        <w:t xml:space="preserve"> Health-promoting effects include inhibition of pathogenic microorganisms, production of short-chain fatty acids, immune cell activation, and even anti-tumorigenic activity </w:t>
      </w:r>
      <w:r>
        <w:fldChar w:fldCharType="begin"/>
      </w:r>
      <w:r w:rsidR="00B464EF">
        <w:instrText xml:space="preserve"> ADDIN ZOTERO_ITEM CSL_CITATION {"citationID":"h1o4fCH1","properties":{"formattedCitation":"(Kim et al., 2006)","plainCitation":"(Kim et al., 2006)","noteIndex":0},"citationItems":[{"id":389,"uris":["http://zotero.org/users/7038461/items/QAFUFKGU"],"itemData":{"id":389,"type":"article-journal","abstract":"Laminarin polysaccharides (LP1) were prepared from Laminaria japonica, a marine brown alga with potential biological activities, by hot water extraction, ultrafiltration and gel chromatography; the molecular weights of the LP1s were between 5 and 10 kDa. Laminarin oligosaccharides (LO) derived by hydrolyzing LP1 with an endo-beta-(1--&gt;3)-glucanase from Bacillus circulans were mainly di- and penta-oligosaccharides. Treatment of mouse thymocytes with LO or LP1 (1-4 mg ml(-1)) suppressed apoptotic death around 3- or 2-fold and extended cell survival in culture at a rate of about 30 or 20%. A mouse cDNA microarray showing the genes coding for immune response proteins were induced and apoptotic cell death proteins were reduced significantly by LO provided preliminary information regarding the immunomodulatory mechanism of LO. These results suggest that laminarin oligosaccharides and polysaccharides can be utilized to develop new immunopotentiating substances and functional alternative medicines.","container-title":"Biotechnology Letters","DOI":"10.1007/s10529-005-6177-9","ISSN":"0141-5492","issue":"6","journalAbbreviation":"Biotechnol Lett","language":"eng","note":"PMID: 16614911","page":"439-446","source":"PubMed","title":"Anti-apoptotic activity of laminarin polysaccharides and their enzymatically hydrolyzed oligosaccharides from Laminaria japonica","volume":"28","author":[{"family":"Kim","given":"Ki-Hoon"},{"family":"Kim","given":"Yea-Woon"},{"family":"Kim","given":"Han Bok"},{"family":"Lee","given":"Burm Jong"},{"family":"Lee","given":"Dong Seok"}],"issued":{"date-parts":[["2006",3]]}}}],"schema":"https://github.com/citation-style-language/schema/raw/master/csl-citation.json"} </w:instrText>
      </w:r>
      <w:r>
        <w:fldChar w:fldCharType="separate"/>
      </w:r>
      <w:r w:rsidR="00B464EF" w:rsidRPr="00B464EF">
        <w:rPr>
          <w:rFonts w:cs="Arial"/>
        </w:rPr>
        <w:t>(Kim et al., 2006)</w:t>
      </w:r>
      <w:r>
        <w:fldChar w:fldCharType="end"/>
      </w:r>
      <w:r>
        <w:t xml:space="preserve">. Poly- and oligosaccharides are an important class of prebiotics, with well-characterised examples such as inulin, whereas oligosaccharides derived from </w:t>
      </w:r>
      <w:r w:rsidRPr="008D46A2">
        <w:t>β-1,6-glucan</w:t>
      </w:r>
      <w:r>
        <w:t xml:space="preserve"> are considered an emerging class </w:t>
      </w:r>
      <w:r w:rsidR="00C54839">
        <w:fldChar w:fldCharType="begin"/>
      </w:r>
      <w:r w:rsidR="00B464EF">
        <w:instrText xml:space="preserve"> ADDIN ZOTERO_ITEM CSL_CITATION {"citationID":"lIp2bWV0","properties":{"formattedCitation":"(Wang et al., 2020)","plainCitation":"(Wang et al., 2020)","noteIndex":0},"citationItems":[{"id":347,"uris":["http://zotero.org/users/7038461/items/PQ3TFU9I"],"itemData":{"id":347,"type":"article-journal","abstract":"Prebiotics play a widely recognized role in the regulation of intestinal microbiota, but most related studies have not been explored beyond the genus level. In recent years, some newly publicized findings have opened a window of opportunity regarding the dietary tuning of colonization by specific groups of gut bacteria. For example, seaweed polysaccharides were shown to enrich specific Bacteroides spp., while galacto-oligosaccharides (GOS) could specifically enrich certain strains of Bifidobacterium adolescentis. This review was written with the aim of collecting all available studies of the effects of prebiotics on gut microbiota that attempted to mine the enriching effects of these prebiotics on bacteria at the species or strain level, analyze the possible underlying mechanisms and finally use and/or design tailored prebiotics for the directional enrichment of specific gut bacterial populations. This review also addresses the updated definition evolution of prebiotics considering the important revisions to definitions made by field experts.","container-title":"Journal of Functional Foods","DOI":"10.1016/j.jff.2020.103838","ISSN":"1756-4646","journalAbbreviation":"Journal of Functional Foods","language":"en","page":"103838","source":"ScienceDirect","title":"Rational use of prebiotics for gut microbiota alterations: Specific bacterial phylotypes and related mechanisms","title-short":"Rational use of prebiotics for gut microbiota alterations","volume":"66","author":[{"family":"Wang","given":"Shumin"},{"family":"Xiao","given":"Yue"},{"family":"Tian","given":"Fengwei"},{"family":"Zhao","given":"Jianxin"},{"family":"Zhang","given":"Hao"},{"family":"Zhai","given":"Qixiao"},{"family":"Chen","given":"Wei"}],"issued":{"date-parts":[["2020",3,1]]}}}],"schema":"https://github.com/citation-style-language/schema/raw/master/csl-citation.json"} </w:instrText>
      </w:r>
      <w:r w:rsidR="00C54839">
        <w:fldChar w:fldCharType="separate"/>
      </w:r>
      <w:r w:rsidR="00B464EF" w:rsidRPr="00B464EF">
        <w:rPr>
          <w:rFonts w:cs="Arial"/>
        </w:rPr>
        <w:t>(Wang et al., 2020)</w:t>
      </w:r>
      <w:r w:rsidR="00C54839">
        <w:fldChar w:fldCharType="end"/>
      </w:r>
      <w:r>
        <w:t xml:space="preserve">. </w:t>
      </w:r>
    </w:p>
    <w:p w14:paraId="15D98496" w14:textId="77777777" w:rsidR="00922D8C" w:rsidRDefault="00922D8C" w:rsidP="00CA51DD"/>
    <w:p w14:paraId="71B7A232" w14:textId="1CA02C8F" w:rsidR="00CA51DD" w:rsidRPr="00CA51DD" w:rsidRDefault="00CA51DD" w:rsidP="00895E89">
      <w:r>
        <w:t xml:space="preserve">A polymer of D-glucose units joined by </w:t>
      </w:r>
      <w:r w:rsidRPr="008D46A2">
        <w:t>β-1,6</w:t>
      </w:r>
      <w:r>
        <w:t xml:space="preserve">-branching, </w:t>
      </w:r>
      <w:r w:rsidRPr="008D46A2">
        <w:t>β-1,6-glucan</w:t>
      </w:r>
      <w:r>
        <w:t xml:space="preserve"> is found within the cell walls of fungi such as </w:t>
      </w:r>
      <w:r w:rsidRPr="00CA51DD">
        <w:rPr>
          <w:i/>
          <w:iCs/>
        </w:rPr>
        <w:t>Saccharomyces cerevisiae</w:t>
      </w:r>
      <w:r>
        <w:t xml:space="preserve">, or Brewer’s yeast, and can be enzymatically digested to generate short-chain oligosaccharides called </w:t>
      </w:r>
      <w:proofErr w:type="spellStart"/>
      <w:r>
        <w:t>gentio</w:t>
      </w:r>
      <w:proofErr w:type="spellEnd"/>
      <w:r>
        <w:t>-oligosaccharides (</w:t>
      </w:r>
      <w:proofErr w:type="spellStart"/>
      <w:r>
        <w:t>GnOS</w:t>
      </w:r>
      <w:proofErr w:type="spellEnd"/>
      <w:r>
        <w:t xml:space="preserve">). </w:t>
      </w:r>
      <w:proofErr w:type="spellStart"/>
      <w:r>
        <w:t>GnOS</w:t>
      </w:r>
      <w:proofErr w:type="spellEnd"/>
      <w:r>
        <w:t xml:space="preserve"> have been found to be more resistant to digestion than oligosaccharides with </w:t>
      </w:r>
      <w:r w:rsidRPr="00175C21">
        <w:t>β-1,4- or β-1,3-linkages</w:t>
      </w:r>
      <w:r>
        <w:t>, which means they may be able to reach more distal parts of the colon</w:t>
      </w:r>
      <w:r w:rsidRPr="00175C21">
        <w:t xml:space="preserve"> </w:t>
      </w:r>
      <w:r w:rsidR="00C54839">
        <w:fldChar w:fldCharType="begin"/>
      </w:r>
      <w:r w:rsidR="00B464EF">
        <w:instrText xml:space="preserve"> ADDIN ZOTERO_ITEM CSL_CITATION {"citationID":"xcIB9SdW","properties":{"formattedCitation":"(Ferreira-Lazarte et al., 2019)","plainCitation":"(Ferreira-Lazarte et al., 2019)","noteIndex":0},"citationItems":[{"id":445,"uris":["http://zotero.org/users/7038461/items/A9SRZ2SE"],"itemData":{"id":445,"type":"article-journal","container-title":"Journal of Agricultural and Food Chemistry","DOI":"10.1021/acs.jafc.9b00417","ISSN":"0021-8561, 1520-5118","issue":"16","journalAbbreviation":"J. Agric. Food Chem.","language":"en","page":"4662-4670","source":"DOI.org (Crossref)","title":"&lt;i&gt;In Vitro&lt;/i&gt; Digestibility of Galactooligosaccharides: Effect of the Structural Features on Their Intestinal Degradation","title-short":"&lt;i&gt;In Vitro&lt;/i&gt; Digestibility of Galactooligosaccharides","volume":"67","author":[{"family":"Ferreira-Lazarte","given":"Alvaro"},{"family":"Gallego-Lobillo","given":"Pablo"},{"family":"Moreno","given":"F. Javier"},{"family":"Villamiel","given":"Mar"},{"family":"Hernandez-Hernandez","given":"Oswaldo"}],"issued":{"date-parts":[["2019",4,24]]}}}],"schema":"https://github.com/citation-style-language/schema/raw/master/csl-citation.json"} </w:instrText>
      </w:r>
      <w:r w:rsidR="00C54839">
        <w:fldChar w:fldCharType="separate"/>
      </w:r>
      <w:r w:rsidR="00B464EF" w:rsidRPr="00B464EF">
        <w:rPr>
          <w:rFonts w:cs="Arial"/>
        </w:rPr>
        <w:t>(Ferreira-</w:t>
      </w:r>
      <w:proofErr w:type="spellStart"/>
      <w:r w:rsidR="00B464EF" w:rsidRPr="00B464EF">
        <w:rPr>
          <w:rFonts w:cs="Arial"/>
        </w:rPr>
        <w:t>Lazarte</w:t>
      </w:r>
      <w:proofErr w:type="spellEnd"/>
      <w:r w:rsidR="00B464EF" w:rsidRPr="00B464EF">
        <w:rPr>
          <w:rFonts w:cs="Arial"/>
        </w:rPr>
        <w:t xml:space="preserve"> et al., 2019)</w:t>
      </w:r>
      <w:r w:rsidR="00C54839">
        <w:fldChar w:fldCharType="end"/>
      </w:r>
      <w:r>
        <w:t xml:space="preserve">. As such, spent Brewer’s yeast (BSY) represents a large untapped source of lucrative </w:t>
      </w:r>
      <w:r w:rsidRPr="008D46A2">
        <w:t>β-1,6-glucan</w:t>
      </w:r>
      <w:r>
        <w:t xml:space="preserve">s. </w:t>
      </w:r>
      <w:r w:rsidRPr="009F35B1">
        <w:t xml:space="preserve">In the production of 10,000 </w:t>
      </w:r>
      <w:commentRangeStart w:id="0"/>
      <w:proofErr w:type="spellStart"/>
      <w:r w:rsidRPr="009F35B1">
        <w:t>hL</w:t>
      </w:r>
      <w:commentRangeEnd w:id="0"/>
      <w:proofErr w:type="spellEnd"/>
      <w:r w:rsidR="00E84B3C">
        <w:rPr>
          <w:rStyle w:val="CommentReference"/>
        </w:rPr>
        <w:commentReference w:id="0"/>
      </w:r>
      <w:r w:rsidRPr="009F35B1">
        <w:t xml:space="preserve"> of beer, approximately 15-18 tons of </w:t>
      </w:r>
      <w:r w:rsidRPr="00CA51DD">
        <w:rPr>
          <w:i/>
          <w:iCs/>
        </w:rPr>
        <w:t>S. cerevisiae</w:t>
      </w:r>
      <w:r w:rsidRPr="009F35B1">
        <w:t xml:space="preserve"> is discarded as Brewer’s spent yeast (BSY) </w:t>
      </w:r>
      <w:r w:rsidR="00C54839">
        <w:fldChar w:fldCharType="begin"/>
      </w:r>
      <w:r w:rsidR="00C54839">
        <w:instrText xml:space="preserve"> ADDIN ZOTERO_ITEM CSL_CITATION {"citationID":"4qRLBq1W","properties":{"formattedCitation":"(Kunze, 1999)","plainCitation":"(Kunze, 1999)","noteIndex":0},"citationItems":[{"id":2060,"uris":["http://zotero.org/users/7038461/items/YUXBXWP2"],"itemData":{"id":2060,"type":"book","title":"Technology Brewing and Malting","author":[{"family":"Kunze","given":"Wolfgang"}],"issued":{"date-parts":[["1999"]]}}}],"schema":"https://github.com/citation-style-language/schema/raw/master/csl-citation.json"} </w:instrText>
      </w:r>
      <w:r w:rsidR="00C54839">
        <w:fldChar w:fldCharType="separate"/>
      </w:r>
      <w:r w:rsidR="00B464EF" w:rsidRPr="00B464EF">
        <w:rPr>
          <w:rFonts w:cs="Arial"/>
        </w:rPr>
        <w:t>(Kunze, 1999)</w:t>
      </w:r>
      <w:r w:rsidR="00C54839">
        <w:fldChar w:fldCharType="end"/>
      </w:r>
      <w:r w:rsidRPr="009F35B1">
        <w:t xml:space="preserve">. </w:t>
      </w:r>
      <w:r>
        <w:t xml:space="preserve">The yeast cell wall makes up 20-30% of the total cell weight, approx. 85% of the cell wall is polysaccharide, and a further 10-15% of that is </w:t>
      </w:r>
      <w:r w:rsidRPr="008D46A2">
        <w:t>β-1,6-glucan</w:t>
      </w:r>
      <w:r>
        <w:t xml:space="preserve"> </w:t>
      </w:r>
      <w:r w:rsidR="00C54839">
        <w:fldChar w:fldCharType="begin"/>
      </w:r>
      <w:r w:rsidR="00B464EF">
        <w:instrText xml:space="preserve"> ADDIN ZOTERO_ITEM CSL_CITATION {"citationID":"p9F1wmXg","properties":{"formattedCitation":"(Aimanianda et al., 2009)","plainCitation":"(Aimanianda et al., 2009)","noteIndex":0},"citationItems":[{"id":2057,"uris":["http://zotero.org/users/7038461/items/FFEFAKKG"],"itemData":{"id":2057,"type":"article-journal","abstract":"Despite its essential role in the yeast cell wall, the exact composition of the beta-(1,6)-glucan component is not well characterized. While solubilizing the cell wall alkali-insoluble fraction from a wild type strain of Saccharomyces cerevisiae using a recombinant beta-(1,3)-glucanase followed by chromatographic characterization of the digest on an anion exchange column, we observed a soluble polymer that eluted at the end of the solvent gradient run. Further characterization indicated this soluble polymer to have a molecular mass of approximately 38 kDa and could be hydrolyzed only by beta-(1,6)-glucanase. Gas chromatography mass spectrometry and NMR ((1)H and (13)C) analyses confirmed it to be a beta-(1,6)-glucan polymer with, on average, branching at every fifth residue with one or two beta-(1,3)-linked glucose units in the side chain. This polymer peak was significantly reduced in the corresponding digests from mutants of the kre genes (kre9 and kre5) that are known to play a crucial role in the beta-(1,6)-glucan biosynthesis. In the current study, we have developed a biochemical assay wherein incubation of UDP-[(14)C]glucose with permeabilized S. cerevisiae yeasts resulted in the synthesis of a polymer chemically identical to the branched beta-(1,6)-glucan isolated from the cell wall. Using this assay, parameters essential for beta-(1,6)-glucan synthetic activity were defined.","container-title":"The Journal of Biological Chemistry","DOI":"10.1074/jbc.M807667200","ISSN":"0021-9258","issue":"20","journalAbbreviation":"J Biol Chem","language":"eng","note":"PMID: 19279004\nPMCID: PMC2679440","page":"13401-13412","source":"PubMed","title":"Cell wall beta-(1,6)-glucan of Saccharomyces cerevisiae: structural characterization and in situ synthesis","title-short":"Cell wall beta-(1,6)-glucan of Saccharomyces cerevisiae","volume":"284","author":[{"family":"Aimanianda","given":"Vishukumar"},{"family":"Clavaud","given":"Cécile"},{"family":"Simenel","given":"Catherine"},{"family":"Fontaine","given":"Thierry"},{"family":"Delepierre","given":"Muriel"},{"family":"Latgé","given":"Jean-Paul"}],"issued":{"date-parts":[["2009",5,15]]}}}],"schema":"https://github.com/citation-style-language/schema/raw/master/csl-citation.json"} </w:instrText>
      </w:r>
      <w:r w:rsidR="00C54839">
        <w:fldChar w:fldCharType="separate"/>
      </w:r>
      <w:r w:rsidR="00B464EF" w:rsidRPr="00B464EF">
        <w:rPr>
          <w:rFonts w:cs="Arial"/>
        </w:rPr>
        <w:t>(</w:t>
      </w:r>
      <w:proofErr w:type="spellStart"/>
      <w:r w:rsidR="00B464EF" w:rsidRPr="00B464EF">
        <w:rPr>
          <w:rFonts w:cs="Arial"/>
        </w:rPr>
        <w:t>Aimanianda</w:t>
      </w:r>
      <w:proofErr w:type="spellEnd"/>
      <w:r w:rsidR="00B464EF" w:rsidRPr="00B464EF">
        <w:rPr>
          <w:rFonts w:cs="Arial"/>
        </w:rPr>
        <w:t xml:space="preserve"> et al., 2009)</w:t>
      </w:r>
      <w:r w:rsidR="00C54839">
        <w:fldChar w:fldCharType="end"/>
      </w:r>
      <w:r w:rsidR="00C54839">
        <w:t xml:space="preserve">. </w:t>
      </w:r>
      <w:r>
        <w:t xml:space="preserve">Therefore, at a conservative estimate, the amount of </w:t>
      </w:r>
      <w:r w:rsidRPr="008D46A2">
        <w:t>β-1,6-glucan</w:t>
      </w:r>
      <w:r>
        <w:t xml:space="preserve"> present in 15 tons of BSY is ~260 kg. </w:t>
      </w:r>
      <w:r w:rsidRPr="009F35B1">
        <w:t xml:space="preserve">The generation of </w:t>
      </w:r>
      <w:proofErr w:type="spellStart"/>
      <w:r w:rsidRPr="009F35B1">
        <w:t>GnOS</w:t>
      </w:r>
      <w:proofErr w:type="spellEnd"/>
      <w:r w:rsidRPr="009F35B1">
        <w:t xml:space="preserve"> from BSY by enzymatic hydrolysis could create functional food additives, as well as minimize waste and waste-disposal costs, thereby contributing to the circular economy. In this study, a β-1,6-glucanase from the mycoparasitic fungus </w:t>
      </w:r>
      <w:r w:rsidRPr="00CA51DD">
        <w:rPr>
          <w:i/>
          <w:iCs/>
        </w:rPr>
        <w:t xml:space="preserve">Trichoderma virens </w:t>
      </w:r>
      <w:r w:rsidRPr="002C41C8">
        <w:t>was cloned</w:t>
      </w:r>
      <w:r w:rsidRPr="009F35B1">
        <w:t xml:space="preserve"> and </w:t>
      </w:r>
      <w:r w:rsidRPr="009F35B1">
        <w:lastRenderedPageBreak/>
        <w:t xml:space="preserve">expressed in </w:t>
      </w:r>
      <w:r w:rsidRPr="00CA51DD">
        <w:rPr>
          <w:i/>
          <w:iCs/>
        </w:rPr>
        <w:t>Pichia pastoris</w:t>
      </w:r>
      <w:r w:rsidRPr="009F35B1">
        <w:t xml:space="preserve">, and subsequently purified and characterized in order to assess its suitability for the production of </w:t>
      </w:r>
      <w:proofErr w:type="spellStart"/>
      <w:r w:rsidRPr="009F35B1">
        <w:t>GnOS</w:t>
      </w:r>
      <w:proofErr w:type="spellEnd"/>
      <w:r w:rsidRPr="009F35B1">
        <w:t xml:space="preserve"> from BSY.</w:t>
      </w:r>
    </w:p>
    <w:p w14:paraId="5741900F" w14:textId="4EABCCA3" w:rsidR="00453E24" w:rsidRDefault="00CA51DD" w:rsidP="00453E24">
      <w:pPr>
        <w:pStyle w:val="CETHeading1"/>
      </w:pPr>
      <w:r>
        <w:t>Materials and Methods</w:t>
      </w:r>
    </w:p>
    <w:p w14:paraId="2FD673B0" w14:textId="4E6B43B0" w:rsidR="00CA51DD" w:rsidRPr="00CA51DD" w:rsidRDefault="00CA51DD" w:rsidP="00CA51DD">
      <w:r>
        <w:t xml:space="preserve">The fungal </w:t>
      </w:r>
      <w:r w:rsidRPr="00513050">
        <w:t>β</w:t>
      </w:r>
      <w:r w:rsidRPr="00CA51DD">
        <w:rPr>
          <w:i/>
          <w:iCs/>
        </w:rPr>
        <w:t>-</w:t>
      </w:r>
      <w:r>
        <w:t xml:space="preserve">1,6-glucanase gene </w:t>
      </w:r>
      <w:r w:rsidRPr="00CA51DD">
        <w:rPr>
          <w:i/>
          <w:iCs/>
        </w:rPr>
        <w:t>Tvir30</w:t>
      </w:r>
      <w:r>
        <w:t xml:space="preserve"> from</w:t>
      </w:r>
      <w:r w:rsidRPr="00CA51DD">
        <w:rPr>
          <w:i/>
          <w:iCs/>
        </w:rPr>
        <w:t xml:space="preserve"> Trichoderma virens </w:t>
      </w:r>
      <w:r>
        <w:t xml:space="preserve">was transformed into </w:t>
      </w:r>
      <w:r w:rsidRPr="00CA51DD">
        <w:rPr>
          <w:i/>
          <w:iCs/>
        </w:rPr>
        <w:t xml:space="preserve">Pichia pastoris </w:t>
      </w:r>
      <w:r>
        <w:t xml:space="preserve">via electroporation and the reaction was plated on YPD agar containing 100-1000 </w:t>
      </w:r>
      <w:proofErr w:type="spellStart"/>
      <w:r w:rsidRPr="00CA4A81">
        <w:t>μ</w:t>
      </w:r>
      <w:r>
        <w:t>g</w:t>
      </w:r>
      <w:proofErr w:type="spellEnd"/>
      <w:r>
        <w:t xml:space="preserve"> mL</w:t>
      </w:r>
      <w:r w:rsidRPr="00CA51DD">
        <w:rPr>
          <w:vertAlign w:val="superscript"/>
        </w:rPr>
        <w:t>-1</w:t>
      </w:r>
      <w:r>
        <w:t xml:space="preserve"> Zeocin antibiotic. Resultant clones were expressed in BMGY/BMMY media over 72 h in 2 mL cultures and screened for the presence of active, His-tagged protein.</w:t>
      </w:r>
      <w:r w:rsidR="003560ED">
        <w:t xml:space="preserve"> </w:t>
      </w:r>
      <w:r w:rsidR="000E25BC">
        <w:t>Proteins were visualised</w:t>
      </w:r>
      <w:r w:rsidR="003560ED">
        <w:t xml:space="preserve"> </w:t>
      </w:r>
      <w:r w:rsidR="00921652">
        <w:t xml:space="preserve">using a </w:t>
      </w:r>
      <w:r w:rsidR="00F16D88">
        <w:t xml:space="preserve">10% (w/v) SDS-PAGE gel </w:t>
      </w:r>
      <w:r w:rsidR="00FA68A5">
        <w:t>in a vertical electrophoretic system using 1X Tris-Glycine running buffer</w:t>
      </w:r>
      <w:r w:rsidR="00295F84">
        <w:t>.</w:t>
      </w:r>
      <w:r w:rsidR="00575FB3">
        <w:t xml:space="preserve"> </w:t>
      </w:r>
      <w:r w:rsidR="00EB2D98">
        <w:t>G</w:t>
      </w:r>
      <w:r w:rsidR="00575FB3">
        <w:t xml:space="preserve">els were stained using </w:t>
      </w:r>
      <w:r w:rsidR="001D1839">
        <w:t xml:space="preserve">a Coomassie stain </w:t>
      </w:r>
      <w:r w:rsidR="00514A7E">
        <w:t xml:space="preserve">for 1 hr at RT and destained </w:t>
      </w:r>
      <w:r w:rsidR="00746D40">
        <w:t>with</w:t>
      </w:r>
      <w:r w:rsidR="00514A7E">
        <w:t xml:space="preserve"> distilled water.</w:t>
      </w:r>
      <w:r w:rsidR="00295F84">
        <w:t xml:space="preserve"> </w:t>
      </w:r>
      <w:r>
        <w:t xml:space="preserve">The highest expressing clone was chosen for large-scale (150 mL) culture with 1% methanol induction every 24 h over a period of 48 h. The crude enzyme was harvested by centrifugation, equilibrated with IMAC equilibration buffer (50mM sodium phosphate, 300mM sodium chloride; pH 7.4), and applied onto a </w:t>
      </w:r>
      <w:proofErr w:type="spellStart"/>
      <w:r>
        <w:t>HisPur</w:t>
      </w:r>
      <w:proofErr w:type="spellEnd"/>
      <w:r>
        <w:t xml:space="preserve"> Cobalt resin </w:t>
      </w:r>
      <w:r w:rsidR="004153E3">
        <w:t xml:space="preserve">packed </w:t>
      </w:r>
      <w:r>
        <w:t xml:space="preserve">column. Bound enzyme was eluted using 50 mM sodium phosphate, 300 mM sodium chloride, 150 mM imidazole; pH 7.4, diafiltered with 50 mM citrate buffer pH 5.0, and used in characterisation studies. </w:t>
      </w:r>
      <w:r w:rsidR="00A14E05">
        <w:t>Each cha</w:t>
      </w:r>
      <w:r w:rsidR="004D53DF">
        <w:t xml:space="preserve">racterisation was performed at least twice. </w:t>
      </w:r>
      <w:r>
        <w:t>Enzyme activity</w:t>
      </w:r>
      <w:r w:rsidR="00EC6CF0">
        <w:t xml:space="preserve"> during </w:t>
      </w:r>
      <w:r w:rsidR="00351546">
        <w:t>characterisation studies (optimum pH, temperature, and substrate specificity)</w:t>
      </w:r>
      <w:r>
        <w:t xml:space="preserve"> was assessed by the amount of reducing sugar liberated during the incubation of enzyme with substrate via the </w:t>
      </w:r>
      <w:r w:rsidRPr="00EE39BC">
        <w:t>3,5-</w:t>
      </w:r>
      <w:r>
        <w:t>d</w:t>
      </w:r>
      <w:r w:rsidRPr="00EE39BC">
        <w:t>initrosalicylic acid</w:t>
      </w:r>
      <w:r>
        <w:t xml:space="preserve"> (DNS) assay </w:t>
      </w:r>
      <w:r w:rsidR="00C54839">
        <w:fldChar w:fldCharType="begin"/>
      </w:r>
      <w:r w:rsidR="00C54839">
        <w:instrText xml:space="preserve"> ADDIN ZOTERO_ITEM CSL_CITATION {"citationID":"9PGTWMWO","properties":{"formattedCitation":"(Miller, 1959)","plainCitation":"(Miller, 1959)","noteIndex":0},"citationItems":[{"id":760,"uris":["http://zotero.org/users/7038461/items/K7KVTHVS"],"itemData":{"id":760,"type":"article-journal","container-title":"Analytical Chemistry","DOI":"10.1021/ac60147a030","ISSN":"0003-2700","issue":"3","journalAbbreviation":"Anal. Chem.","note":"publisher: American Chemical Society","page":"426-428","source":"ACS Publications","title":"Use of Dinitrosalicylic Acid Reagent for Determination of Reducing Sugar","volume":"31","author":[{"family":"Miller","given":"G. L."}],"issued":{"date-parts":[["1959",3,1]]}}}],"schema":"https://github.com/citation-style-language/schema/raw/master/csl-citation.json"} </w:instrText>
      </w:r>
      <w:r w:rsidR="00C54839">
        <w:fldChar w:fldCharType="separate"/>
      </w:r>
      <w:r w:rsidR="00B464EF" w:rsidRPr="00B464EF">
        <w:rPr>
          <w:rFonts w:cs="Arial"/>
        </w:rPr>
        <w:t>(Miller, 1959)</w:t>
      </w:r>
      <w:r w:rsidR="00C54839">
        <w:fldChar w:fldCharType="end"/>
      </w:r>
      <w:r>
        <w:t>. A standard assay involved the addition of 0.25 mL of enzyme to 0.25 mL of 0.5% (w/v) substrate, pre-equilibrated to the desired temperature, and incubation of the reaction at that temperature for 15 min. The reaction was stopped by the addition of 0.75 mL DNS reagent and heated to 95</w:t>
      </w:r>
      <w:r w:rsidRPr="00CA51DD">
        <w:rPr>
          <w:vertAlign w:val="superscript"/>
        </w:rPr>
        <w:t>o</w:t>
      </w:r>
      <w:r>
        <w:t>C for 5 min, then placed on ice for 10 min. Once at room temperature, the absorbance of the reaction was recorded at 540 nm using a spectrophotometer. Every assay was performed in triplicate with an appropriate blank</w:t>
      </w:r>
      <w:r w:rsidR="0073530A">
        <w:t xml:space="preserve"> (n=3)</w:t>
      </w:r>
      <w:r>
        <w:t xml:space="preserve">. </w:t>
      </w:r>
      <w:r w:rsidR="00FF32FD">
        <w:t xml:space="preserve">The products of hydrolysis were analysed </w:t>
      </w:r>
      <w:r w:rsidR="00FC61F6">
        <w:t xml:space="preserve">by </w:t>
      </w:r>
      <w:r w:rsidR="00FC61F6" w:rsidRPr="00FC61F6">
        <w:t xml:space="preserve">High-Performance Anion-Exchange chromatography with Pulsed </w:t>
      </w:r>
      <w:proofErr w:type="spellStart"/>
      <w:r w:rsidR="00FC61F6" w:rsidRPr="00FC61F6">
        <w:t>Amperometric</w:t>
      </w:r>
      <w:proofErr w:type="spellEnd"/>
      <w:r w:rsidR="00FC61F6" w:rsidRPr="00FC61F6">
        <w:t xml:space="preserve"> Detection (HPAE-PAD)</w:t>
      </w:r>
      <w:r w:rsidR="00FF32FD">
        <w:t xml:space="preserve"> </w:t>
      </w:r>
      <w:r w:rsidR="00ED2C93">
        <w:t xml:space="preserve">using a </w:t>
      </w:r>
      <w:proofErr w:type="spellStart"/>
      <w:r w:rsidR="00ED2C93">
        <w:t>CarboPac</w:t>
      </w:r>
      <w:proofErr w:type="spellEnd"/>
      <w:r w:rsidR="00ED2C93">
        <w:t xml:space="preserve"> PA200 column</w:t>
      </w:r>
      <w:r w:rsidR="003A5124">
        <w:t xml:space="preserve">, 90% </w:t>
      </w:r>
      <w:r w:rsidR="00B63A13">
        <w:t xml:space="preserve">0.1M NaOH and 10% </w:t>
      </w:r>
      <w:r w:rsidR="009C2B89" w:rsidRPr="009C2B89">
        <w:t xml:space="preserve">0.1 M NaOH </w:t>
      </w:r>
      <w:r w:rsidR="009C2B89">
        <w:t>in</w:t>
      </w:r>
      <w:r w:rsidR="009C2B89" w:rsidRPr="009C2B89">
        <w:t xml:space="preserve"> 0.5 M </w:t>
      </w:r>
      <w:proofErr w:type="spellStart"/>
      <w:r w:rsidR="009C2B89" w:rsidRPr="009C2B89">
        <w:t>NaOAc</w:t>
      </w:r>
      <w:proofErr w:type="spellEnd"/>
      <w:r w:rsidR="00BA554E">
        <w:t>, at 30</w:t>
      </w:r>
      <w:r w:rsidR="00BA554E">
        <w:rPr>
          <w:vertAlign w:val="superscript"/>
        </w:rPr>
        <w:t>o</w:t>
      </w:r>
      <w:r w:rsidR="00BA554E">
        <w:t>C</w:t>
      </w:r>
      <w:r w:rsidR="006C7165">
        <w:t xml:space="preserve"> with a flow rate of 0.35 mL/min,</w:t>
      </w:r>
      <w:r w:rsidR="00BA554E">
        <w:t xml:space="preserve"> </w:t>
      </w:r>
      <w:r w:rsidR="00FF32FD">
        <w:t>and thin layer chromatography (TLC)</w:t>
      </w:r>
      <w:r w:rsidR="007900CF">
        <w:t xml:space="preserve">. During TLC, </w:t>
      </w:r>
      <w:r w:rsidR="00C94831">
        <w:t xml:space="preserve">0.5 mL of 1% (w/v) substrate was incubated with 0.5 mL of </w:t>
      </w:r>
      <w:r w:rsidR="005F20F0">
        <w:t xml:space="preserve">enzyme at specified reaction conditions. The hydrolysis reaction was then concentrated to 0.1 mL </w:t>
      </w:r>
      <w:r w:rsidR="00B57981">
        <w:t xml:space="preserve">by evaporation and </w:t>
      </w:r>
      <w:r w:rsidR="00FA5284">
        <w:t>0.</w:t>
      </w:r>
      <w:r w:rsidR="00B57981">
        <w:t xml:space="preserve">5 </w:t>
      </w:r>
      <w:r w:rsidR="00B57981">
        <w:rPr>
          <w:rFonts w:cs="Arial"/>
        </w:rPr>
        <w:t>µ</w:t>
      </w:r>
      <w:r w:rsidR="00B57981">
        <w:t>L was spotted onto silica-coated TLC plates</w:t>
      </w:r>
      <w:r w:rsidR="00453742">
        <w:t xml:space="preserve"> which </w:t>
      </w:r>
      <w:r w:rsidR="00FB14E7">
        <w:t xml:space="preserve">were placed into a chamber containing </w:t>
      </w:r>
      <w:r w:rsidR="00F435C2">
        <w:t>ethyl acetate: acetic acid: water (2:2:1</w:t>
      </w:r>
      <w:r w:rsidR="00453742">
        <w:t>)</w:t>
      </w:r>
      <w:r w:rsidR="00D26B0A">
        <w:t xml:space="preserve"> </w:t>
      </w:r>
      <w:r w:rsidR="00D26B0A">
        <w:t>(</w:t>
      </w:r>
      <w:r w:rsidR="00D26B0A">
        <w:fldChar w:fldCharType="begin"/>
      </w:r>
      <w:r w:rsidR="00E85724">
        <w:instrText xml:space="preserve"> ADDIN ZOTERO_ITEM CSL_CITATION {"citationID":"JLaFpcTQ","properties":{"formattedCitation":"(Kumar, Rajulapati and Goyal, 2020)","plainCitation":"(Kumar, Rajulapati and Goyal, 2020)","dontUpdate":true,"noteIndex":0},"citationItems":[{"id":437,"uris":["http://zotero.org/users/7038461/items/CL7APDJC"],"itemData":{"id":437,"type":"article-journal","container-title":"3 Biotech","DOI":"10.1007/s13205-020-02234-0","ISSN":"2190-572X, 2190-5738","issue":"6","journalAbbreviation":"3 Biotech","language":"en","page":"241","source":"DOI.org (Crossref)","title":"In vitro prebiotic potential, digestibility and biocompatibility properties of laminari-oligosaccharides produced from curdlan by β-1,3-endoglucanase from Clostridium thermocellum","volume":"10","author":[{"family":"Kumar","given":"Krishan"},{"family":"Rajulapati","given":"Vikky"},{"family":"Goyal","given":"Arun"}],"issued":{"date-parts":[["2020",6]]}}}],"schema":"https://github.com/citation-style-language/schema/raw/master/csl-citation.json"} </w:instrText>
      </w:r>
      <w:r w:rsidR="00D26B0A">
        <w:fldChar w:fldCharType="separate"/>
      </w:r>
      <w:r w:rsidR="00D26B0A" w:rsidRPr="009F66AB">
        <w:rPr>
          <w:rFonts w:cs="Arial"/>
        </w:rPr>
        <w:t>Kumar</w:t>
      </w:r>
      <w:r w:rsidR="00D26B0A">
        <w:rPr>
          <w:rFonts w:cs="Arial"/>
        </w:rPr>
        <w:t xml:space="preserve"> </w:t>
      </w:r>
      <w:r w:rsidR="00D26B0A">
        <w:rPr>
          <w:rFonts w:cs="Arial"/>
          <w:i/>
          <w:iCs/>
        </w:rPr>
        <w:t>et al.</w:t>
      </w:r>
      <w:r w:rsidR="00D26B0A" w:rsidRPr="009F66AB">
        <w:rPr>
          <w:rFonts w:cs="Arial"/>
        </w:rPr>
        <w:t>, 2020</w:t>
      </w:r>
      <w:r w:rsidR="00D26B0A">
        <w:rPr>
          <w:rFonts w:cs="Arial"/>
        </w:rPr>
        <w:t>).</w:t>
      </w:r>
      <w:r w:rsidR="00D26B0A">
        <w:fldChar w:fldCharType="end"/>
      </w:r>
      <w:r w:rsidR="00D26B0A">
        <w:t xml:space="preserve"> </w:t>
      </w:r>
      <w:r w:rsidR="00453742">
        <w:t>T</w:t>
      </w:r>
      <w:r w:rsidR="0001185B">
        <w:t xml:space="preserve">he </w:t>
      </w:r>
      <w:r w:rsidR="00DB4F12">
        <w:t>TLC plate</w:t>
      </w:r>
      <w:r w:rsidR="007C790C">
        <w:t xml:space="preserve">s were developed </w:t>
      </w:r>
      <w:r w:rsidR="0001185B">
        <w:t>in a 100</w:t>
      </w:r>
      <w:r w:rsidR="0001185B">
        <w:rPr>
          <w:vertAlign w:val="superscript"/>
        </w:rPr>
        <w:t>o</w:t>
      </w:r>
      <w:r w:rsidR="0001185B">
        <w:t>C oven after spraying with 10% (v/v) sulfuric acid</w:t>
      </w:r>
      <w:r w:rsidR="00D26B0A">
        <w:t>.</w:t>
      </w:r>
    </w:p>
    <w:p w14:paraId="677EBFF0" w14:textId="2F791AB3" w:rsidR="00600535" w:rsidRDefault="00CA51DD" w:rsidP="00600535">
      <w:pPr>
        <w:pStyle w:val="CETHeading1"/>
        <w:tabs>
          <w:tab w:val="clear" w:pos="360"/>
          <w:tab w:val="right" w:pos="7100"/>
        </w:tabs>
        <w:jc w:val="both"/>
        <w:rPr>
          <w:lang w:val="en-GB"/>
        </w:rPr>
      </w:pPr>
      <w:r>
        <w:rPr>
          <w:lang w:val="en-GB"/>
        </w:rPr>
        <w:t>Results and Discussion</w:t>
      </w:r>
      <w:r w:rsidR="00C94831">
        <w:rPr>
          <w:lang w:val="en-GB"/>
        </w:rPr>
        <w:t xml:space="preserve"> </w:t>
      </w:r>
    </w:p>
    <w:p w14:paraId="427319BA" w14:textId="47B2D2A2" w:rsidR="00CA51DD" w:rsidRDefault="00CA51DD" w:rsidP="00CA51DD">
      <w:pPr>
        <w:pStyle w:val="CETBodytext"/>
      </w:pPr>
      <w:r>
        <w:t xml:space="preserve">A 150 mL sample of crude enzyme was collected 48 h post-induction and purified by IMAC. The purified enzyme was then </w:t>
      </w:r>
      <w:proofErr w:type="spellStart"/>
      <w:r>
        <w:t>characterised</w:t>
      </w:r>
      <w:proofErr w:type="spellEnd"/>
      <w:r>
        <w:t xml:space="preserve"> to determine its optimum temperature, pH, substrate specificity, thermal stability, kinetic properties</w:t>
      </w:r>
      <w:r w:rsidR="00895E89">
        <w:t>, and products of substrate hydrolysis.</w:t>
      </w:r>
    </w:p>
    <w:p w14:paraId="7A867AD5" w14:textId="25BE17CA" w:rsidR="00CA51DD" w:rsidRDefault="00CA51DD" w:rsidP="00FF106D">
      <w:pPr>
        <w:pStyle w:val="CETheadingx"/>
      </w:pPr>
      <w:r>
        <w:t>IMAC purification</w:t>
      </w:r>
    </w:p>
    <w:p w14:paraId="1F9EF57D" w14:textId="77777777" w:rsidR="008C2C2C" w:rsidRDefault="00CA51DD" w:rsidP="00CA51DD">
      <w:r>
        <w:t xml:space="preserve">Tvir30 was purified using a one-step IMAC technique using </w:t>
      </w:r>
      <w:proofErr w:type="spellStart"/>
      <w:r>
        <w:t>HisPur</w:t>
      </w:r>
      <w:proofErr w:type="spellEnd"/>
      <w:r>
        <w:t xml:space="preserve"> Cobalt resin. The chromatogram </w:t>
      </w:r>
      <w:r w:rsidR="00AA254D">
        <w:t xml:space="preserve">(Figure 1) </w:t>
      </w:r>
      <w:r>
        <w:t xml:space="preserve">shows </w:t>
      </w:r>
      <w:r w:rsidR="00EB06A6">
        <w:t xml:space="preserve">that the </w:t>
      </w:r>
      <w:r w:rsidR="00704B6B">
        <w:t xml:space="preserve">elution </w:t>
      </w:r>
      <w:r>
        <w:t xml:space="preserve">of Tvir30 occurred over </w:t>
      </w:r>
      <w:r w:rsidR="00AB2DE3">
        <w:t>two fractions</w:t>
      </w:r>
      <w:r>
        <w:t>, as evidenced by</w:t>
      </w:r>
      <w:r w:rsidR="00AA254D">
        <w:t xml:space="preserve"> </w:t>
      </w:r>
      <w:r>
        <w:t xml:space="preserve">the peak in absorbance at 280 nm and the corresponding peak in </w:t>
      </w:r>
      <w:r w:rsidRPr="00C73E76">
        <w:rPr>
          <w:rFonts w:cs="Arial"/>
        </w:rPr>
        <w:t>β</w:t>
      </w:r>
      <w:r>
        <w:t>-1,6-glucanase activity. The protein-containing elution fractions show a pattern of two protein bands in the SDS-PAGE gel in the correct size range for Tvir30, which has a predicted molecular mass of 51.7 kDa, with no contaminants (Figure 1 B, lanes 2 and 3).</w:t>
      </w:r>
      <w:r w:rsidR="001A052F">
        <w:t xml:space="preserve"> </w:t>
      </w:r>
      <w:r>
        <w:t>The final yield of Tvir30 after purification was 47.5%</w:t>
      </w:r>
      <w:r w:rsidR="003F79E1">
        <w:t>, with a final specific activity of</w:t>
      </w:r>
      <w:r w:rsidR="00BA120B">
        <w:t xml:space="preserve"> 47.65</w:t>
      </w:r>
      <w:r w:rsidR="003F79E1">
        <w:t xml:space="preserve"> </w:t>
      </w:r>
      <w:proofErr w:type="spellStart"/>
      <w:r w:rsidR="003F79E1" w:rsidRPr="00874AE2">
        <w:t>μmol</w:t>
      </w:r>
      <w:proofErr w:type="spellEnd"/>
      <w:r w:rsidR="003F79E1" w:rsidRPr="00874AE2">
        <w:t xml:space="preserve"> min</w:t>
      </w:r>
      <w:r w:rsidR="003F79E1" w:rsidRPr="00874AE2">
        <w:rPr>
          <w:vertAlign w:val="superscript"/>
        </w:rPr>
        <w:t>-1</w:t>
      </w:r>
      <w:r w:rsidR="003F79E1" w:rsidRPr="00874AE2">
        <w:t>.mg</w:t>
      </w:r>
      <w:r w:rsidR="003F79E1" w:rsidRPr="00874AE2">
        <w:rPr>
          <w:vertAlign w:val="superscript"/>
        </w:rPr>
        <w:t>-1</w:t>
      </w:r>
      <w:r w:rsidR="003F79E1">
        <w:rPr>
          <w:vertAlign w:val="superscript"/>
        </w:rPr>
        <w:t xml:space="preserve"> </w:t>
      </w:r>
      <w:r>
        <w:t>and a purification factor of 5.63</w:t>
      </w:r>
      <w:r w:rsidR="003F79E1">
        <w:t>.</w:t>
      </w:r>
      <w:r>
        <w:t xml:space="preserve"> </w:t>
      </w:r>
    </w:p>
    <w:p w14:paraId="50C09B7B" w14:textId="26337868" w:rsidR="008C2C2C" w:rsidRDefault="00874AE2" w:rsidP="00CA51DD">
      <w:r w:rsidRPr="00CA474D">
        <w:t xml:space="preserve">The banding pattern of purified Tvir30 can be explained by heterologous glycosylation. </w:t>
      </w:r>
      <w:commentRangeStart w:id="1"/>
      <w:r w:rsidRPr="00CA474D">
        <w:t xml:space="preserve">Bioinformatic analysis </w:t>
      </w:r>
      <w:commentRangeEnd w:id="1"/>
      <w:r w:rsidR="00E84B3C">
        <w:rPr>
          <w:rStyle w:val="CommentReference"/>
        </w:rPr>
        <w:commentReference w:id="1"/>
      </w:r>
      <w:r w:rsidR="00937891">
        <w:rPr>
          <w:rStyle w:val="CommentReference"/>
        </w:rPr>
        <w:t xml:space="preserve"> </w:t>
      </w:r>
      <w:r w:rsidRPr="00CA474D">
        <w:t>of Tvir30</w:t>
      </w:r>
      <w:r w:rsidR="00323F21">
        <w:t xml:space="preserve"> using the Eukaryotic Linear Motif resource</w:t>
      </w:r>
      <w:r w:rsidRPr="00CA474D">
        <w:t xml:space="preserve"> revealed two potential </w:t>
      </w:r>
      <w:r w:rsidRPr="006A200A">
        <w:rPr>
          <w:i/>
          <w:iCs/>
        </w:rPr>
        <w:t>N</w:t>
      </w:r>
      <w:r w:rsidRPr="00CA474D">
        <w:t xml:space="preserve">-linked glycosylation sites </w:t>
      </w:r>
      <w:r w:rsidR="000422A5">
        <w:t>at Asn140 and Asn282 in the amino acid sequence</w:t>
      </w:r>
      <w:r w:rsidRPr="00CA474D">
        <w:t xml:space="preserve">. </w:t>
      </w:r>
      <w:r w:rsidRPr="006A200A">
        <w:rPr>
          <w:i/>
          <w:iCs/>
        </w:rPr>
        <w:t>Pichia pastoris</w:t>
      </w:r>
      <w:r w:rsidRPr="00CA474D">
        <w:t xml:space="preserve"> is known to glycosylate and occasionally hyperglycosylate recombinant enzymes. Incubation of Tvir30 with </w:t>
      </w:r>
      <w:proofErr w:type="spellStart"/>
      <w:r w:rsidRPr="00CA474D">
        <w:t>PNGase</w:t>
      </w:r>
      <w:proofErr w:type="spellEnd"/>
      <w:r w:rsidRPr="00CA474D">
        <w:t xml:space="preserve"> F, an amidase capable of cleaving most </w:t>
      </w:r>
      <w:r w:rsidRPr="006A200A">
        <w:rPr>
          <w:i/>
          <w:iCs/>
        </w:rPr>
        <w:t>N</w:t>
      </w:r>
      <w:r w:rsidRPr="00CA474D">
        <w:t xml:space="preserve">-linked oligosaccharides from proteins, revealed that the heavier 60 kDa band was a glycosylated version of the enzyme, as it could not be resolved post-digestion (Figure </w:t>
      </w:r>
      <w:r>
        <w:t>1, lane 4)</w:t>
      </w:r>
      <w:r w:rsidRPr="00CA474D">
        <w:t xml:space="preserve">. </w:t>
      </w:r>
    </w:p>
    <w:p w14:paraId="6CD4B25D" w14:textId="39335FDD" w:rsidR="00E23871" w:rsidRDefault="00E23871" w:rsidP="00CA51DD">
      <w:r w:rsidRPr="00AE5D0F">
        <w:t xml:space="preserve">In nature, the purpose of differential glycosylation in fungi is to expand the diversity of enzymes </w:t>
      </w:r>
      <w:r>
        <w:t>sec</w:t>
      </w:r>
      <w:r w:rsidRPr="00AE5D0F">
        <w:t xml:space="preserve">reted by a particular strain. </w:t>
      </w:r>
      <w:r>
        <w:t xml:space="preserve">For example, </w:t>
      </w:r>
      <w:r>
        <w:rPr>
          <w:i/>
        </w:rPr>
        <w:t xml:space="preserve">Saccharomyces cerevisiae </w:t>
      </w:r>
      <w:r>
        <w:t xml:space="preserve">was shown to produce two different </w:t>
      </w:r>
      <w:proofErr w:type="spellStart"/>
      <w:r>
        <w:t>exo</w:t>
      </w:r>
      <w:proofErr w:type="spellEnd"/>
      <w:r>
        <w:t xml:space="preserve">-β-glucanases, both products of the same gene, with different molecular masses and biochemical properties </w:t>
      </w:r>
      <w:r>
        <w:fldChar w:fldCharType="begin"/>
      </w:r>
      <w:r w:rsidR="00B464EF">
        <w:instrText xml:space="preserve"> ADDIN ZOTERO_ITEM CSL_CITATION {"citationID":"ut2INkvg","properties":{"formattedCitation":"(Soler et al., 1999)","plainCitation":"(Soler et al., 1999)","noteIndex":0},"citationItems":[{"id":857,"uris":["http://zotero.org/users/7038461/items/7UDJAZUG"],"itemData":{"id":857,"type":"article-journal","abstract":"The filamentous fungus Trichoderma produces, under specific growth conditions, several extracellular fungal cell wall degrading enzymes, amongst them β-1,6-glucanases. These enzymes seem to play an important role in the antagonistic action of Trichoderma against a wide range of fungal plant pathogens. In this report we describe two different methods for the specific detection of the activity of β-1,6-glucanase isozymes in gels. After sodium dodecyl sulphate–polyacrylamide gel electrophoresis, β-1,6-glucanase activity can be assayed in the gel by renaturation of the enzyme, incubation with an overlay agarose gel containing solubilized pustulan (a commercially available β-1,6-glucan), followed by the staining of the agarose gel with Congo Red. In native isoelectrofocusing gels, as little as 1 mU can be detected after incubation with solubilized pustulan followed by a detection reaction of the released reducing sugars with 2,3,5-triphenyltetrazolium chloride. The latter technique has been successfully applied to the screening of β-1,6-glucanase isozymes from different Trichoderma strains under different growth conditions.","container-title":"Journal of Microbiological Methods","DOI":"10.1016/S0167-7012(99)00021-4","ISSN":"0167-7012","issue":"3","journalAbbreviation":"Journal of Microbiological Methods","language":"en","page":"245-251","source":"ScienceDirect","title":"Detection of β-1,6-glucanase isozymes from Trichoderma strains in sodium dodecyl sulphate–polyacrylamide gel electrophoresis and isoelectrofocusing gels","volume":"35","author":[{"family":"Soler","given":"Andrés"},{"family":"Cruz","given":"Jesús","non-dropping-particle":"de la"},{"family":"Llobell","given":"Antonio"}],"issued":{"date-parts":[["1999",4,1]]}}}],"schema":"https://github.com/citation-style-language/schema/raw/master/csl-citation.json"} </w:instrText>
      </w:r>
      <w:r>
        <w:fldChar w:fldCharType="separate"/>
      </w:r>
      <w:r w:rsidR="00B464EF" w:rsidRPr="00B464EF">
        <w:rPr>
          <w:rFonts w:cs="Arial"/>
        </w:rPr>
        <w:t>(Soler et al., 1999)</w:t>
      </w:r>
      <w:r>
        <w:fldChar w:fldCharType="end"/>
      </w:r>
      <w:r>
        <w:t xml:space="preserve">. It was proposed that this heterogeneity arose from divergent protein folding, which could in turn mask certain glycosylation sites and alter the level of glycosylation at each site. </w:t>
      </w:r>
    </w:p>
    <w:p w14:paraId="7ED4ABBF" w14:textId="3FCDB2E7" w:rsidR="00CA51DD" w:rsidRDefault="00CA51DD" w:rsidP="00CA51DD">
      <w:pPr>
        <w:pStyle w:val="ListParagraph"/>
        <w:ind w:left="0"/>
      </w:pPr>
    </w:p>
    <w:tbl>
      <w:tblPr>
        <w:tblStyle w:val="TableGrid"/>
        <w:tblW w:w="81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7"/>
      </w:tblGrid>
      <w:tr w:rsidR="00CA51DD" w14:paraId="54D6F446" w14:textId="77777777" w:rsidTr="00874AE2">
        <w:trPr>
          <w:trHeight w:val="3590"/>
        </w:trPr>
        <w:tc>
          <w:tcPr>
            <w:tcW w:w="8184" w:type="dxa"/>
          </w:tcPr>
          <w:p w14:paraId="7C89FDB5" w14:textId="0AF0CE9B" w:rsidR="00CA51DD" w:rsidRPr="00CA51DD" w:rsidRDefault="008E2C12" w:rsidP="00CA51DD">
            <w:pPr>
              <w:pStyle w:val="Caption"/>
              <w:rPr>
                <w:noProof/>
              </w:rPr>
            </w:pPr>
            <w:r>
              <w:rPr>
                <w:rStyle w:val="CETCaptionCarattere"/>
                <w:b w:val="0"/>
                <w:bCs w:val="0"/>
                <w:noProof/>
                <w:color w:val="auto"/>
              </w:rPr>
              <w:lastRenderedPageBreak/>
              <w:drawing>
                <wp:inline distT="0" distB="0" distL="0" distR="0" wp14:anchorId="66A64336" wp14:editId="17BBCDB3">
                  <wp:extent cx="5452110" cy="1716687"/>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52110" cy="1716687"/>
                          </a:xfrm>
                          <a:prstGeom prst="rect">
                            <a:avLst/>
                          </a:prstGeom>
                          <a:noFill/>
                        </pic:spPr>
                      </pic:pic>
                    </a:graphicData>
                  </a:graphic>
                </wp:inline>
              </w:drawing>
            </w:r>
            <w:r w:rsidR="00CA51DD" w:rsidRPr="00CA51DD">
              <w:rPr>
                <w:rStyle w:val="CETCaptionCarattere"/>
                <w:b w:val="0"/>
                <w:bCs w:val="0"/>
                <w:color w:val="auto"/>
              </w:rPr>
              <w:t>Figure 1: A. Chromatogram of Tvir30 one-step IMAC purification. Absorbance at 280 nm is represented by blue points and enzyme activity against pustulan at 30</w:t>
            </w:r>
            <w:r w:rsidR="00CA51DD" w:rsidRPr="00CA51DD">
              <w:rPr>
                <w:rStyle w:val="CETCaptionCarattere"/>
                <w:b w:val="0"/>
                <w:bCs w:val="0"/>
                <w:color w:val="auto"/>
                <w:vertAlign w:val="superscript"/>
              </w:rPr>
              <w:t>o</w:t>
            </w:r>
            <w:r w:rsidR="00CA51DD" w:rsidRPr="00CA51DD">
              <w:rPr>
                <w:rStyle w:val="CETCaptionCarattere"/>
                <w:b w:val="0"/>
                <w:bCs w:val="0"/>
                <w:color w:val="auto"/>
              </w:rPr>
              <w:t>C, pH 6.0 by orange points. B. 10% SDS-PAGE gel of corresponding Tvir30 purification fractions and deglycosylation analysis</w:t>
            </w:r>
            <w:r w:rsidR="00CA51DD" w:rsidRPr="00CA51DD">
              <w:rPr>
                <w:i/>
                <w:iCs/>
                <w:color w:val="auto"/>
              </w:rPr>
              <w:t>.</w:t>
            </w:r>
          </w:p>
        </w:tc>
      </w:tr>
    </w:tbl>
    <w:p w14:paraId="4F91D2F8" w14:textId="0C549815" w:rsidR="00874AE2" w:rsidRDefault="00874AE2" w:rsidP="00FF106D">
      <w:pPr>
        <w:pStyle w:val="CETheadingx"/>
      </w:pPr>
      <w:r>
        <w:t>Determination of temperature and pH optima</w:t>
      </w:r>
    </w:p>
    <w:p w14:paraId="438574D4" w14:textId="77777777" w:rsidR="008C2C2C" w:rsidRDefault="00874AE2" w:rsidP="00A95BDA">
      <w:pPr>
        <w:pStyle w:val="CETBodytext"/>
      </w:pPr>
      <w:r>
        <w:t>The optimum temperature for activity of Tvir30 was initially determined in 50 mM potassium phosphate buffer, pH 6.0, against 0.5 % (w/v) pustulan in a standard assay. The enzyme had &gt;80 % mean relative activity between 40 and 50</w:t>
      </w:r>
      <w:r w:rsidRPr="00874AE2">
        <w:rPr>
          <w:vertAlign w:val="superscript"/>
        </w:rPr>
        <w:t>o</w:t>
      </w:r>
      <w:r>
        <w:t>C, with an optimum temperature of 45</w:t>
      </w:r>
      <w:r w:rsidRPr="00874AE2">
        <w:rPr>
          <w:vertAlign w:val="superscript"/>
        </w:rPr>
        <w:t>o</w:t>
      </w:r>
      <w:r>
        <w:t>C (Figure 2 A). Activity dropped sharply outside of this range, and at 65</w:t>
      </w:r>
      <w:r w:rsidRPr="00874AE2">
        <w:rPr>
          <w:vertAlign w:val="superscript"/>
        </w:rPr>
        <w:t>o</w:t>
      </w:r>
      <w:r>
        <w:t xml:space="preserve">C the enzyme was completely deactivated, as expected for an enzyme from a mesophilic organism. The optimum pH value of Tvir30 was determined in 100 mM phosphate-citrate buffer, pH 2.5 – 8, under standard assay conditions. The enzyme displayed &gt;80% activity in a narrow pH range of 4.5 to 5.5, with an optimal pH value of 5.0 (Figure 2 B). </w:t>
      </w:r>
    </w:p>
    <w:p w14:paraId="482E0A91" w14:textId="1BD79B97" w:rsidR="00874AE2" w:rsidRDefault="00874AE2" w:rsidP="00A95BDA">
      <w:pPr>
        <w:pStyle w:val="CETBodytext"/>
      </w:pPr>
      <w:r>
        <w:t xml:space="preserve">These optima are common among fungal </w:t>
      </w:r>
      <w:r w:rsidRPr="00874AE2">
        <w:rPr>
          <w:rFonts w:ascii="Times New Roman" w:hAnsi="Times New Roman"/>
        </w:rPr>
        <w:t>β</w:t>
      </w:r>
      <w:r>
        <w:t>-1,6</w:t>
      </w:r>
      <w:commentRangeStart w:id="2"/>
      <w:r>
        <w:t>-glucanases</w:t>
      </w:r>
      <w:commentRangeEnd w:id="2"/>
      <w:r>
        <w:rPr>
          <w:rStyle w:val="CommentReference"/>
        </w:rPr>
        <w:commentReference w:id="2"/>
      </w:r>
      <w:r>
        <w:t xml:space="preserve">. For example, BGN16.1, a glycoside hydrolase family 30 </w:t>
      </w:r>
      <w:r w:rsidRPr="006A200A">
        <w:t>β</w:t>
      </w:r>
      <w:r>
        <w:t xml:space="preserve">-1,6-glucanase from </w:t>
      </w:r>
      <w:r w:rsidRPr="00874AE2">
        <w:rPr>
          <w:i/>
          <w:iCs/>
        </w:rPr>
        <w:t xml:space="preserve">Trichoderma </w:t>
      </w:r>
      <w:proofErr w:type="spellStart"/>
      <w:r w:rsidRPr="00874AE2">
        <w:rPr>
          <w:i/>
          <w:iCs/>
        </w:rPr>
        <w:t>harzianum</w:t>
      </w:r>
      <w:proofErr w:type="spellEnd"/>
      <w:r>
        <w:t>, has temperature and pH optima of 50</w:t>
      </w:r>
      <w:r w:rsidRPr="00874AE2">
        <w:rPr>
          <w:vertAlign w:val="superscript"/>
        </w:rPr>
        <w:t>o</w:t>
      </w:r>
      <w:r>
        <w:t xml:space="preserve">C and pH 5.5 respectively </w:t>
      </w:r>
      <w:r>
        <w:fldChar w:fldCharType="begin"/>
      </w:r>
      <w:r>
        <w:instrText xml:space="preserve"> ADDIN ZOTERO_ITEM CSL_CITATION {"citationID":"hjkMVktY","properties":{"formattedCitation":"(Cruz and Llobell, 1999)","plainCitation":"(Cruz and Llobell, 1999)","noteIndex":0},"citationItems":[{"id":824,"uris":["http://zotero.org/users/7038461/items/ZMV3WGK4"],"itemData":{"id":824,"type":"article-journal","abstract":"The antagonistic fungus Trichoderma harzianum CECT 2413 produces at least two extracellular β-1,6-glucanases, among other hydrolases acting on polysaccharides from fungal cell walls, when grown in chitin as the sole carbon source. We have previously reported on the purification and biochemical characterization of the major activity, which corresponds to an acidic enzyme named BGN16.2 [de la Cruz, J., Pintor-Toro, J.A., Benítez, T. &amp; Llobell, A. (1995) J. Bacteriol.177, 1864–1871]. In this paper, we report on the purification to electrophoretical homogeneity of BGN16.1, the second β-1,6-glucanase enzyme. BGN16.1 was purified by ammonium sulfate precipitation followed by adsorption and digestion of pustulan (a β-1,6-glucan), chromatofocusing and gel-filtration chromatography. BGN16.1 is a non-glycosylated protein with an apparent molecular mass of 51 kDa and a basic isoelectric point (pI 7.4–7.7). The enzyme was active toward substrates containing β-1,6-glycosidic linkages, including yeast cell walls. The Km was 0.8 mg·mL−1 with pustulan as the substrate. Reaction product analysis by HPLC clearly indicated that BGN16.1 has an endo-hydrolytic mode of action. The probable role of this enzyme in the antagonistic action of T. harzianum is also discussed.","container-title":"European Journal of Biochemistry","DOI":"10.1046/j.1432-1327.1999.00698.x","ISSN":"1432-1033","issue":"1","language":"en","note":"_eprint: https://febs.onlinelibrary.wiley.com/doi/pdf/10.1046/j.1432-1327.1999.00698.x","page":"145-151","source":"Wiley Online Library","title":"Purification and properties of a basic endo-β-1,6-glucanase (BGN16.1) from the antagonistic fungus Trichoderma harzianum","volume":"265","author":[{"family":"Cruz","given":"Jesús","dropping-particle":"de la"},{"family":"Llobell","given":"Antonio"}],"issued":{"date-parts":[["1999"]]}}}],"schema":"https://github.com/citation-style-language/schema/raw/master/csl-citation.json"} </w:instrText>
      </w:r>
      <w:r>
        <w:fldChar w:fldCharType="separate"/>
      </w:r>
      <w:r w:rsidR="00B464EF" w:rsidRPr="00B464EF">
        <w:rPr>
          <w:rFonts w:cs="Arial"/>
        </w:rPr>
        <w:t xml:space="preserve">(Cruz and </w:t>
      </w:r>
      <w:proofErr w:type="spellStart"/>
      <w:r w:rsidR="00B464EF" w:rsidRPr="00B464EF">
        <w:rPr>
          <w:rFonts w:cs="Arial"/>
        </w:rPr>
        <w:t>Llobell</w:t>
      </w:r>
      <w:proofErr w:type="spellEnd"/>
      <w:r w:rsidR="00B464EF" w:rsidRPr="00B464EF">
        <w:rPr>
          <w:rFonts w:cs="Arial"/>
        </w:rPr>
        <w:t>, 1999)</w:t>
      </w:r>
      <w:r>
        <w:fldChar w:fldCharType="end"/>
      </w:r>
      <w:r>
        <w:t xml:space="preserve">. Similarly, BGN16.3, also from </w:t>
      </w:r>
      <w:r w:rsidRPr="00874AE2">
        <w:rPr>
          <w:i/>
          <w:iCs/>
        </w:rPr>
        <w:t xml:space="preserve">T. </w:t>
      </w:r>
      <w:proofErr w:type="spellStart"/>
      <w:r w:rsidRPr="00874AE2">
        <w:rPr>
          <w:i/>
          <w:iCs/>
        </w:rPr>
        <w:t>harzianum</w:t>
      </w:r>
      <w:proofErr w:type="spellEnd"/>
      <w:r w:rsidRPr="00874AE2">
        <w:rPr>
          <w:i/>
          <w:iCs/>
        </w:rPr>
        <w:t xml:space="preserve"> </w:t>
      </w:r>
      <w:r>
        <w:t xml:space="preserve">(a well </w:t>
      </w:r>
      <w:proofErr w:type="spellStart"/>
      <w:r>
        <w:t>characterised</w:t>
      </w:r>
      <w:proofErr w:type="spellEnd"/>
      <w:r>
        <w:t xml:space="preserve"> mycoparasite), displays optimum activity at 50</w:t>
      </w:r>
      <w:r w:rsidRPr="00874AE2">
        <w:rPr>
          <w:vertAlign w:val="superscript"/>
        </w:rPr>
        <w:t>o</w:t>
      </w:r>
      <w:r>
        <w:t xml:space="preserve">C and pH 5.0 </w:t>
      </w:r>
      <w:r>
        <w:fldChar w:fldCharType="begin"/>
      </w:r>
      <w:r w:rsidR="00B464EF">
        <w:instrText xml:space="preserve"> ADDIN ZOTERO_ITEM CSL_CITATION {"citationID":"zpbfosdP","properties":{"formattedCitation":"(Montero et al., 2005)","plainCitation":"(Montero et al., 2005)","noteIndex":0},"citationItems":[{"id":740,"uris":["http://zotero.org/users/7038461/items/J48HI3RU"],"itemData":{"id":740,"type":"article-journal","abstract":"A new component of the β-1,6-glucanase (EC 3.2.1.75) multienzymatic complex secreted by Trichoderma harzianum has been identified and fully characterized. The protein, namely BGN16.3, is the third isozyme displaying endo-β-1,6-glucanase activity described up to now in T. harzianum CECT 2413. BGN16.3 is an acidic β-1,6-glucanase that is specifically induced by the presence of fungal cell walls in T. harzianum growth media. The protein was purified to electrophoretical homogenity using its affinity to β-1,6-glucan as first purification step, followed by chomatofocusing and gel filtration. BGN16.3 has a molecular mass of 46 kDa in SDS/PAGE and a pI of 4.5. The enzyme only showed activity against substrates with β-1,6-glycosidic linkages, and it has an endohydrolytic mode of action as shown by HPLC analysis of the products of pustulan hydrolysis. The expression profile analysis of BGN16.3 showed a carbon source control of the accumulation of the enzyme, which is fast and strongly induced by fungal cell walls, a condition often regarded as mycoparasitic simulation. The likely involvement β-1,6-glucanases in this process is discussed.","container-title":"The FEBS Journal","DOI":"https://doi.org/10.1111/j.1742-4658.2005.04762.x","ISSN":"1742-4658","issue":"13","language":"en","note":"_eprint: https://febs.onlinelibrary.wiley.com/doi/pdf/10.1111/j.1742-4658.2005.04762.x","page":"3441-3448","source":"Wiley Online Library","title":"BGN16.3, a novel acidic β-1,6-glucanase from mycoparasitic fungus Trichoderma harzianum CECT 2413","volume":"272","author":[{"family":"Montero","given":"Manuel"},{"family":"Sanz","given":"Luis"},{"family":"Rey","given":"Manuel"},{"family":"Monte","given":"Enrique"},{"family":"Llobell","given":"Antonio"}],"issued":{"date-parts":[["2005"]]}}}],"schema":"https://github.com/citation-style-language/schema/raw/master/csl-citation.json"} </w:instrText>
      </w:r>
      <w:r>
        <w:fldChar w:fldCharType="separate"/>
      </w:r>
      <w:r w:rsidR="00B464EF" w:rsidRPr="00B464EF">
        <w:rPr>
          <w:rFonts w:cs="Arial"/>
        </w:rPr>
        <w:t>(Montero et al., 2005)</w:t>
      </w:r>
      <w:r>
        <w:fldChar w:fldCharType="end"/>
      </w:r>
      <w:r>
        <w:t xml:space="preserve">. Interestingly, Tvir30 is the only recombinant fungal </w:t>
      </w:r>
      <w:r w:rsidRPr="00874AE2">
        <w:rPr>
          <w:rFonts w:ascii="Times New Roman" w:hAnsi="Times New Roman"/>
        </w:rPr>
        <w:t>β</w:t>
      </w:r>
      <w:r>
        <w:t xml:space="preserve">-1,6-glucanase that appears to be glycosylated. Volkov et al., (2021) reported a </w:t>
      </w:r>
      <w:r w:rsidRPr="00874AE2">
        <w:rPr>
          <w:rFonts w:ascii="Times New Roman" w:hAnsi="Times New Roman"/>
        </w:rPr>
        <w:t>β</w:t>
      </w:r>
      <w:r>
        <w:t xml:space="preserve">-1,6-glucanase from </w:t>
      </w:r>
      <w:r w:rsidRPr="00874AE2">
        <w:rPr>
          <w:i/>
          <w:iCs/>
        </w:rPr>
        <w:t xml:space="preserve">T. </w:t>
      </w:r>
      <w:proofErr w:type="spellStart"/>
      <w:r w:rsidRPr="00874AE2">
        <w:rPr>
          <w:i/>
          <w:iCs/>
        </w:rPr>
        <w:t>harzianum</w:t>
      </w:r>
      <w:proofErr w:type="spellEnd"/>
      <w:r w:rsidRPr="00874AE2">
        <w:rPr>
          <w:i/>
          <w:iCs/>
        </w:rPr>
        <w:t xml:space="preserve"> </w:t>
      </w:r>
      <w:r>
        <w:t xml:space="preserve">expressed in </w:t>
      </w:r>
      <w:r w:rsidRPr="00874AE2">
        <w:rPr>
          <w:i/>
          <w:iCs/>
        </w:rPr>
        <w:t xml:space="preserve">Penicillium </w:t>
      </w:r>
      <w:proofErr w:type="spellStart"/>
      <w:r w:rsidRPr="00874AE2">
        <w:rPr>
          <w:i/>
          <w:iCs/>
        </w:rPr>
        <w:t>verruculosum</w:t>
      </w:r>
      <w:proofErr w:type="spellEnd"/>
      <w:r w:rsidRPr="00874AE2">
        <w:rPr>
          <w:i/>
          <w:iCs/>
        </w:rPr>
        <w:t xml:space="preserve"> </w:t>
      </w:r>
      <w:r>
        <w:t xml:space="preserve">with one predicted </w:t>
      </w:r>
      <w:r w:rsidRPr="00874AE2">
        <w:rPr>
          <w:i/>
          <w:iCs/>
        </w:rPr>
        <w:t>N</w:t>
      </w:r>
      <w:r>
        <w:t xml:space="preserve">-glycosylation site but did not detect any carbohydrate moieties within the recombinant protein </w:t>
      </w:r>
      <w:r>
        <w:fldChar w:fldCharType="begin"/>
      </w:r>
      <w:r w:rsidR="00B464EF">
        <w:instrText xml:space="preserve"> ADDIN ZOTERO_ITEM CSL_CITATION {"citationID":"kOoMfroy","properties":{"formattedCitation":"(Volkov et al., 2021)","plainCitation":"(Volkov et al., 2021)","noteIndex":0},"citationItems":[{"id":871,"uris":["http://zotero.org/users/7038461/items/AT6SFRSF"],"itemData":{"id":871,"type":"article-journal","abstract":"The gene encoding Trichoderma harzianum fungus pustulanase (ThBGL1.6, GH5 family, endo-β-1,6-glucanase, EC 3.2.1.75) was cloned and heterologously expressed by the highly productive Penicillium verruculosum fungus. The recombinant ThBGL1.6 was purified and its properties were studied. The ThBGL1.6 had an observed molecular mass of 46 kDa (SDS-PAGE data) and displayed maximum of the enzyme activity at pH 5.0 and 50 °C. At 45 °C, the ThBGL1.6 was stable for at least 3 h. The Km was 1.0 g/L with pustulan as the substrate. Reaction product analysis by HPLC clearly indicated that ThBGL1.6 has an endo-hydrolytic mode of action against pustulan as specific substrate. It was also identified that gentiobiose is the main reaction product at studying of long-term pustulan hydrolysis.","container-title":"Carbohydrate Research","DOI":"10.1016/j.carres.2020.108211","ISSN":"1873-426X","journalAbbreviation":"Carbohydr Res","language":"eng","note":"PMID: 33309029","page":"108211","source":"PubMed","title":"Properties of recombinant endo-β-1,6-glucanase from Trichoderma harzianum and its application in the pustulan hydrolysis","volume":"499","author":[{"family":"Volkov","given":"P. V."},{"family":"Rubtsova","given":"E. A."},{"family":"Rozhkova","given":"A. M."},{"family":"Sinitsyna","given":"O. A."},{"family":"Zorov","given":"I. N."},{"family":"Kondratyeva","given":"E. G."},{"family":"Sinitsyn","given":"A. P."}],"issued":{"date-parts":[["2021",1]]}}}],"schema":"https://github.com/citation-style-language/schema/raw/master/csl-citation.json"} </w:instrText>
      </w:r>
      <w:r>
        <w:fldChar w:fldCharType="separate"/>
      </w:r>
      <w:r w:rsidR="00B464EF" w:rsidRPr="00B464EF">
        <w:rPr>
          <w:rFonts w:cs="Arial"/>
        </w:rPr>
        <w:t>(Volkov et al., 2021)</w:t>
      </w:r>
      <w:r>
        <w:fldChar w:fldCharType="end"/>
      </w:r>
      <w:r>
        <w:t>.</w:t>
      </w:r>
    </w:p>
    <w:p w14:paraId="277F3ACA" w14:textId="77777777" w:rsidR="00E23871" w:rsidRDefault="00E23871" w:rsidP="00874AE2"/>
    <w:tbl>
      <w:tblPr>
        <w:tblStyle w:val="TableGrid"/>
        <w:tblW w:w="89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41"/>
      </w:tblGrid>
      <w:tr w:rsidR="00D01194" w14:paraId="61FA9E3B" w14:textId="77777777" w:rsidTr="008B7A10">
        <w:trPr>
          <w:trHeight w:val="275"/>
        </w:trPr>
        <w:tc>
          <w:tcPr>
            <w:tcW w:w="8941" w:type="dxa"/>
          </w:tcPr>
          <w:p w14:paraId="7F664ABE" w14:textId="263EC4CA" w:rsidR="00D01194" w:rsidRDefault="00F37655" w:rsidP="00FA2AB1">
            <w:pPr>
              <w:rPr>
                <w:i/>
                <w:iCs/>
                <w:noProof/>
              </w:rPr>
            </w:pPr>
            <w:r w:rsidRPr="006A200A">
              <w:rPr>
                <w:noProof/>
                <w:lang w:val="en-IE" w:eastAsia="ja-JP"/>
              </w:rPr>
              <w:drawing>
                <wp:anchor distT="0" distB="0" distL="114300" distR="114300" simplePos="0" relativeHeight="251602944" behindDoc="0" locked="0" layoutInCell="1" allowOverlap="1" wp14:anchorId="73B453F9" wp14:editId="7163E126">
                  <wp:simplePos x="0" y="0"/>
                  <wp:positionH relativeFrom="column">
                    <wp:posOffset>-65405</wp:posOffset>
                  </wp:positionH>
                  <wp:positionV relativeFrom="paragraph">
                    <wp:posOffset>136525</wp:posOffset>
                  </wp:positionV>
                  <wp:extent cx="2476500" cy="1564005"/>
                  <wp:effectExtent l="0" t="0" r="0" b="0"/>
                  <wp:wrapSquare wrapText="bothSides"/>
                  <wp:docPr id="14" name="Chart 14">
                    <a:extLst xmlns:a="http://schemas.openxmlformats.org/drawingml/2006/main">
                      <a:ext uri="{FF2B5EF4-FFF2-40B4-BE49-F238E27FC236}">
                        <a16:creationId xmlns:a16="http://schemas.microsoft.com/office/drawing/2014/main" id="{A9DB18D3-CF06-456E-B47F-D3BE912D0B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r>
              <w:rPr>
                <w:noProof/>
                <w:lang w:val="en-IE" w:eastAsia="ja-JP"/>
              </w:rPr>
              <w:drawing>
                <wp:anchor distT="0" distB="0" distL="114300" distR="114300" simplePos="0" relativeHeight="251598848" behindDoc="0" locked="0" layoutInCell="1" allowOverlap="1" wp14:anchorId="669529C7" wp14:editId="2280E39E">
                  <wp:simplePos x="0" y="0"/>
                  <wp:positionH relativeFrom="column">
                    <wp:posOffset>2455545</wp:posOffset>
                  </wp:positionH>
                  <wp:positionV relativeFrom="paragraph">
                    <wp:posOffset>125730</wp:posOffset>
                  </wp:positionV>
                  <wp:extent cx="2546350" cy="1595755"/>
                  <wp:effectExtent l="0" t="0" r="6350" b="4445"/>
                  <wp:wrapSquare wrapText="bothSides"/>
                  <wp:docPr id="16" name="Chart 16">
                    <a:extLst xmlns:a="http://schemas.openxmlformats.org/drawingml/2006/main">
                      <a:ext uri="{FF2B5EF4-FFF2-40B4-BE49-F238E27FC236}">
                        <a16:creationId xmlns:a16="http://schemas.microsoft.com/office/drawing/2014/main" id="{9346DA82-16DC-4691-A3E2-E556F32F9F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r w:rsidR="008B7A10" w:rsidRPr="009E54DB">
              <w:rPr>
                <w:i/>
                <w:iCs/>
                <w:noProof/>
                <w:lang w:val="en-IE" w:eastAsia="ja-JP"/>
              </w:rPr>
              <mc:AlternateContent>
                <mc:Choice Requires="wps">
                  <w:drawing>
                    <wp:anchor distT="0" distB="0" distL="114300" distR="114300" simplePos="0" relativeHeight="251621376" behindDoc="0" locked="0" layoutInCell="1" allowOverlap="1" wp14:anchorId="01E34F8F" wp14:editId="72C81B06">
                      <wp:simplePos x="0" y="0"/>
                      <wp:positionH relativeFrom="column">
                        <wp:posOffset>2558415</wp:posOffset>
                      </wp:positionH>
                      <wp:positionV relativeFrom="paragraph">
                        <wp:posOffset>-17651</wp:posOffset>
                      </wp:positionV>
                      <wp:extent cx="318304" cy="219919"/>
                      <wp:effectExtent l="0" t="0" r="0" b="0"/>
                      <wp:wrapNone/>
                      <wp:docPr id="9" name="TextBox 12"/>
                      <wp:cNvGraphicFramePr/>
                      <a:graphic xmlns:a="http://schemas.openxmlformats.org/drawingml/2006/main">
                        <a:graphicData uri="http://schemas.microsoft.com/office/word/2010/wordprocessingShape">
                          <wps:wsp>
                            <wps:cNvSpPr txBox="1"/>
                            <wps:spPr>
                              <a:xfrm>
                                <a:off x="0" y="0"/>
                                <a:ext cx="318304" cy="219919"/>
                              </a:xfrm>
                              <a:prstGeom prst="rect">
                                <a:avLst/>
                              </a:prstGeom>
                              <a:noFill/>
                            </wps:spPr>
                            <wps:txbx>
                              <w:txbxContent>
                                <w:p w14:paraId="7E2D29A2" w14:textId="329850F7" w:rsidR="008B7A10" w:rsidRPr="009E54DB" w:rsidRDefault="008B7A10" w:rsidP="008B7A10">
                                  <w:pPr>
                                    <w:rPr>
                                      <w:rFonts w:asciiTheme="minorHAnsi" w:hAnsi="Calibri" w:cstheme="minorBidi"/>
                                      <w:b/>
                                      <w:bCs/>
                                      <w:color w:val="000000" w:themeColor="text1"/>
                                      <w:kern w:val="24"/>
                                      <w:sz w:val="21"/>
                                      <w:szCs w:val="21"/>
                                    </w:rPr>
                                  </w:pPr>
                                  <w:r>
                                    <w:rPr>
                                      <w:b/>
                                      <w:bCs/>
                                      <w:color w:val="000000" w:themeColor="text1"/>
                                      <w:kern w:val="24"/>
                                    </w:rPr>
                                    <w:t>B</w:t>
                                  </w:r>
                                  <w:r w:rsidRPr="009E54DB">
                                    <w:rPr>
                                      <w:rFonts w:asciiTheme="minorHAnsi" w:hAnsi="Calibri" w:cstheme="minorBidi"/>
                                      <w:b/>
                                      <w:bCs/>
                                      <w:color w:val="000000" w:themeColor="text1"/>
                                      <w:kern w:val="24"/>
                                      <w:sz w:val="21"/>
                                      <w:szCs w:val="21"/>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01E34F8F" id="_x0000_t202" coordsize="21600,21600" o:spt="202" path="m,l,21600r21600,l21600,xe">
                      <v:stroke joinstyle="miter"/>
                      <v:path gradientshapeok="t" o:connecttype="rect"/>
                    </v:shapetype>
                    <v:shape id="TextBox 12" o:spid="_x0000_s1026" type="#_x0000_t202" style="position:absolute;left:0;text-align:left;margin-left:201.45pt;margin-top:-1.4pt;width:25.05pt;height:17.3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" filled="f" stroked="f">
                      <v:textbox>
                        <w:txbxContent>
                          <w:p w14:paraId="7E2D29A2" w14:textId="329850F7" w:rsidR="008B7A10" w:rsidRPr="009E54DB" w:rsidRDefault="008B7A10" w:rsidP="008B7A10">
                            <w:pPr>
                              <w:rPr>
                                <w:rFonts w:asciiTheme="minorHAnsi" w:hAnsi="Calibri" w:cstheme="minorBidi"/>
                                <w:b/>
                                <w:bCs/>
                                <w:color w:val="000000" w:themeColor="text1"/>
                                <w:kern w:val="24"/>
                                <w:sz w:val="21"/>
                                <w:szCs w:val="21"/>
                              </w:rPr>
                            </w:pPr>
                            <w:r>
                              <w:rPr>
                                <w:b/>
                                <w:bCs/>
                                <w:color w:val="000000" w:themeColor="text1"/>
                                <w:kern w:val="24"/>
                              </w:rPr>
                              <w:t>B</w:t>
                            </w:r>
                            <w:r w:rsidRPr="009E54DB">
                              <w:rPr>
                                <w:rFonts w:asciiTheme="minorHAnsi" w:hAnsi="Calibri" w:cstheme="minorBidi"/>
                                <w:b/>
                                <w:bCs/>
                                <w:color w:val="000000" w:themeColor="text1"/>
                                <w:kern w:val="24"/>
                                <w:sz w:val="21"/>
                                <w:szCs w:val="21"/>
                              </w:rPr>
                              <w:t xml:space="preserve">. </w:t>
                            </w:r>
                          </w:p>
                        </w:txbxContent>
                      </v:textbox>
                    </v:shape>
                  </w:pict>
                </mc:Fallback>
              </mc:AlternateContent>
            </w:r>
            <w:r w:rsidR="008B7A10" w:rsidRPr="009E54DB">
              <w:rPr>
                <w:i/>
                <w:iCs/>
                <w:noProof/>
                <w:lang w:val="en-IE" w:eastAsia="ja-JP"/>
              </w:rPr>
              <mc:AlternateContent>
                <mc:Choice Requires="wps">
                  <w:drawing>
                    <wp:anchor distT="0" distB="0" distL="114300" distR="114300" simplePos="0" relativeHeight="251615232" behindDoc="0" locked="0" layoutInCell="1" allowOverlap="1" wp14:anchorId="6994216E" wp14:editId="72D36395">
                      <wp:simplePos x="0" y="0"/>
                      <wp:positionH relativeFrom="column">
                        <wp:posOffset>0</wp:posOffset>
                      </wp:positionH>
                      <wp:positionV relativeFrom="paragraph">
                        <wp:posOffset>2540</wp:posOffset>
                      </wp:positionV>
                      <wp:extent cx="318304" cy="219919"/>
                      <wp:effectExtent l="0" t="0" r="0" b="0"/>
                      <wp:wrapNone/>
                      <wp:docPr id="19" name="TextBox 12"/>
                      <wp:cNvGraphicFramePr/>
                      <a:graphic xmlns:a="http://schemas.openxmlformats.org/drawingml/2006/main">
                        <a:graphicData uri="http://schemas.microsoft.com/office/word/2010/wordprocessingShape">
                          <wps:wsp>
                            <wps:cNvSpPr txBox="1"/>
                            <wps:spPr>
                              <a:xfrm>
                                <a:off x="0" y="0"/>
                                <a:ext cx="318304" cy="219919"/>
                              </a:xfrm>
                              <a:prstGeom prst="rect">
                                <a:avLst/>
                              </a:prstGeom>
                              <a:noFill/>
                            </wps:spPr>
                            <wps:txbx>
                              <w:txbxContent>
                                <w:p w14:paraId="6DEAFFB2" w14:textId="77777777" w:rsidR="008B7A10" w:rsidRPr="009E54DB" w:rsidRDefault="008B7A10" w:rsidP="008B7A10">
                                  <w:pPr>
                                    <w:rPr>
                                      <w:rFonts w:asciiTheme="minorHAnsi" w:hAnsi="Calibri" w:cstheme="minorBidi"/>
                                      <w:b/>
                                      <w:bCs/>
                                      <w:color w:val="000000" w:themeColor="text1"/>
                                      <w:kern w:val="24"/>
                                      <w:sz w:val="21"/>
                                      <w:szCs w:val="21"/>
                                    </w:rPr>
                                  </w:pPr>
                                  <w:r w:rsidRPr="009E54DB">
                                    <w:rPr>
                                      <w:b/>
                                      <w:bCs/>
                                      <w:color w:val="000000" w:themeColor="text1"/>
                                      <w:kern w:val="24"/>
                                    </w:rPr>
                                    <w:t>A</w:t>
                                  </w:r>
                                  <w:r w:rsidRPr="009E54DB">
                                    <w:rPr>
                                      <w:rFonts w:asciiTheme="minorHAnsi" w:hAnsi="Calibri" w:cstheme="minorBidi"/>
                                      <w:b/>
                                      <w:bCs/>
                                      <w:color w:val="000000" w:themeColor="text1"/>
                                      <w:kern w:val="24"/>
                                      <w:sz w:val="21"/>
                                      <w:szCs w:val="21"/>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994216E" id="_x0000_s1027" type="#_x0000_t202" style="position:absolute;left:0;text-align:left;margin-left:0;margin-top:.2pt;width:25.05pt;height:17.3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" filled="f" stroked="f">
                      <v:textbox>
                        <w:txbxContent>
                          <w:p w14:paraId="6DEAFFB2" w14:textId="77777777" w:rsidR="008B7A10" w:rsidRPr="009E54DB" w:rsidRDefault="008B7A10" w:rsidP="008B7A10">
                            <w:pPr>
                              <w:rPr>
                                <w:rFonts w:asciiTheme="minorHAnsi" w:hAnsi="Calibri" w:cstheme="minorBidi"/>
                                <w:b/>
                                <w:bCs/>
                                <w:color w:val="000000" w:themeColor="text1"/>
                                <w:kern w:val="24"/>
                                <w:sz w:val="21"/>
                                <w:szCs w:val="21"/>
                              </w:rPr>
                            </w:pPr>
                            <w:r w:rsidRPr="009E54DB">
                              <w:rPr>
                                <w:b/>
                                <w:bCs/>
                                <w:color w:val="000000" w:themeColor="text1"/>
                                <w:kern w:val="24"/>
                              </w:rPr>
                              <w:t>A</w:t>
                            </w:r>
                            <w:r w:rsidRPr="009E54DB">
                              <w:rPr>
                                <w:rFonts w:asciiTheme="minorHAnsi" w:hAnsi="Calibri" w:cstheme="minorBidi"/>
                                <w:b/>
                                <w:bCs/>
                                <w:color w:val="000000" w:themeColor="text1"/>
                                <w:kern w:val="24"/>
                                <w:sz w:val="21"/>
                                <w:szCs w:val="21"/>
                              </w:rPr>
                              <w:t xml:space="preserve">. </w:t>
                            </w:r>
                          </w:p>
                        </w:txbxContent>
                      </v:textbox>
                    </v:shape>
                  </w:pict>
                </mc:Fallback>
              </mc:AlternateContent>
            </w:r>
            <w:r w:rsidR="00D01194">
              <w:rPr>
                <w:i/>
                <w:iCs/>
                <w:noProof/>
              </w:rPr>
              <w:t xml:space="preserve"> </w:t>
            </w:r>
          </w:p>
          <w:p w14:paraId="1F4012F2" w14:textId="7BE6128E" w:rsidR="00730DB5" w:rsidRDefault="00730DB5" w:rsidP="00FA2AB1">
            <w:pPr>
              <w:rPr>
                <w:i/>
                <w:iCs/>
                <w:noProof/>
              </w:rPr>
            </w:pPr>
          </w:p>
          <w:p w14:paraId="058C467A" w14:textId="48060CE6" w:rsidR="00730DB5" w:rsidRDefault="00730DB5" w:rsidP="00FA2AB1">
            <w:pPr>
              <w:rPr>
                <w:i/>
                <w:iCs/>
                <w:noProof/>
              </w:rPr>
            </w:pPr>
          </w:p>
          <w:p w14:paraId="34D2B986" w14:textId="1B83D6DA" w:rsidR="00730DB5" w:rsidRDefault="00730DB5" w:rsidP="00FA2AB1">
            <w:pPr>
              <w:rPr>
                <w:i/>
                <w:iCs/>
                <w:noProof/>
              </w:rPr>
            </w:pPr>
          </w:p>
          <w:p w14:paraId="687FA482" w14:textId="77777777" w:rsidR="00730DB5" w:rsidRDefault="00730DB5" w:rsidP="00FA2AB1">
            <w:pPr>
              <w:rPr>
                <w:i/>
                <w:iCs/>
                <w:noProof/>
              </w:rPr>
            </w:pPr>
          </w:p>
          <w:p w14:paraId="6B528DD2" w14:textId="77777777" w:rsidR="00730DB5" w:rsidRDefault="00730DB5" w:rsidP="00FA2AB1">
            <w:pPr>
              <w:rPr>
                <w:i/>
                <w:iCs/>
                <w:noProof/>
              </w:rPr>
            </w:pPr>
          </w:p>
          <w:p w14:paraId="7CB08423" w14:textId="77777777" w:rsidR="00730DB5" w:rsidRDefault="00730DB5" w:rsidP="00FA2AB1">
            <w:pPr>
              <w:rPr>
                <w:i/>
                <w:iCs/>
                <w:noProof/>
              </w:rPr>
            </w:pPr>
          </w:p>
          <w:p w14:paraId="5B15C76C" w14:textId="77777777" w:rsidR="00730DB5" w:rsidRDefault="00730DB5" w:rsidP="00FA2AB1">
            <w:pPr>
              <w:rPr>
                <w:i/>
                <w:iCs/>
                <w:noProof/>
              </w:rPr>
            </w:pPr>
          </w:p>
          <w:p w14:paraId="7A1F00E7" w14:textId="77777777" w:rsidR="00E23871" w:rsidRDefault="00E23871" w:rsidP="00FA2AB1">
            <w:pPr>
              <w:rPr>
                <w:i/>
                <w:iCs/>
                <w:noProof/>
              </w:rPr>
            </w:pPr>
          </w:p>
          <w:p w14:paraId="4EE46E1B" w14:textId="77777777" w:rsidR="00E23871" w:rsidRDefault="00E23871" w:rsidP="00FA2AB1">
            <w:pPr>
              <w:rPr>
                <w:i/>
                <w:iCs/>
                <w:noProof/>
              </w:rPr>
            </w:pPr>
          </w:p>
          <w:p w14:paraId="1C1C125D" w14:textId="77777777" w:rsidR="00E23871" w:rsidRDefault="00E23871" w:rsidP="00FA2AB1">
            <w:pPr>
              <w:rPr>
                <w:i/>
                <w:iCs/>
                <w:noProof/>
              </w:rPr>
            </w:pPr>
          </w:p>
          <w:p w14:paraId="32590B9F" w14:textId="77777777" w:rsidR="008B7A10" w:rsidRDefault="008B7A10" w:rsidP="00FA2AB1">
            <w:pPr>
              <w:rPr>
                <w:i/>
                <w:iCs/>
                <w:noProof/>
              </w:rPr>
            </w:pPr>
          </w:p>
          <w:p w14:paraId="124E5409" w14:textId="7B7FBA78" w:rsidR="008B7A10" w:rsidRPr="008B7A10" w:rsidRDefault="00D01194" w:rsidP="008B7A10">
            <w:pPr>
              <w:rPr>
                <w:i/>
                <w:iCs/>
                <w:noProof/>
              </w:rPr>
            </w:pPr>
            <w:r>
              <w:rPr>
                <w:i/>
                <w:iCs/>
                <w:noProof/>
              </w:rPr>
              <w:t>Figure 2: A. Temperature profile of purified Tvir30 showing an optimum temperature of 45</w:t>
            </w:r>
            <w:r>
              <w:rPr>
                <w:i/>
                <w:iCs/>
                <w:noProof/>
                <w:vertAlign w:val="superscript"/>
              </w:rPr>
              <w:t>o</w:t>
            </w:r>
            <w:r>
              <w:rPr>
                <w:i/>
                <w:iCs/>
                <w:noProof/>
              </w:rPr>
              <w:t>C</w:t>
            </w:r>
            <w:r w:rsidR="003D769E">
              <w:rPr>
                <w:i/>
                <w:iCs/>
                <w:noProof/>
              </w:rPr>
              <w:t xml:space="preserve"> </w:t>
            </w:r>
            <w:r w:rsidR="003D769E">
              <w:rPr>
                <w:rFonts w:ascii="Times New Roman" w:hAnsi="Times New Roman"/>
                <w:i/>
                <w:iCs/>
                <w:noProof/>
              </w:rPr>
              <w:t>±</w:t>
            </w:r>
            <w:r w:rsidR="003D769E">
              <w:rPr>
                <w:i/>
                <w:iCs/>
                <w:noProof/>
              </w:rPr>
              <w:t>SD, n = 3</w:t>
            </w:r>
            <w:r>
              <w:rPr>
                <w:i/>
                <w:iCs/>
                <w:noProof/>
              </w:rPr>
              <w:t>. B. pH profile of Tvir30,</w:t>
            </w:r>
            <w:r w:rsidR="008B7A10">
              <w:rPr>
                <w:i/>
                <w:iCs/>
                <w:noProof/>
              </w:rPr>
              <w:t xml:space="preserve"> </w:t>
            </w:r>
            <w:r>
              <w:rPr>
                <w:i/>
                <w:iCs/>
                <w:noProof/>
              </w:rPr>
              <w:t>showing optimal activity at pH 5.</w:t>
            </w:r>
            <w:commentRangeStart w:id="3"/>
            <w:r>
              <w:rPr>
                <w:i/>
                <w:iCs/>
                <w:noProof/>
              </w:rPr>
              <w:t>0</w:t>
            </w:r>
            <w:commentRangeEnd w:id="3"/>
            <w:r w:rsidR="004766E7">
              <w:rPr>
                <w:rStyle w:val="CommentReference"/>
              </w:rPr>
              <w:commentReference w:id="3"/>
            </w:r>
            <w:r w:rsidR="008012A9">
              <w:rPr>
                <w:i/>
                <w:iCs/>
                <w:noProof/>
              </w:rPr>
              <w:t xml:space="preserve"> </w:t>
            </w:r>
            <w:r w:rsidR="003D769E">
              <w:rPr>
                <w:rFonts w:ascii="Times New Roman" w:hAnsi="Times New Roman"/>
                <w:i/>
                <w:iCs/>
                <w:noProof/>
              </w:rPr>
              <w:t>±</w:t>
            </w:r>
            <w:r w:rsidR="003D769E">
              <w:rPr>
                <w:i/>
                <w:iCs/>
                <w:noProof/>
              </w:rPr>
              <w:t>SD, n = 3</w:t>
            </w:r>
            <w:r>
              <w:rPr>
                <w:i/>
                <w:iCs/>
                <w:noProof/>
              </w:rPr>
              <w:t xml:space="preserve">. </w:t>
            </w:r>
          </w:p>
        </w:tc>
      </w:tr>
    </w:tbl>
    <w:p w14:paraId="17522CBC" w14:textId="5E35CC1B" w:rsidR="00D01194" w:rsidRDefault="00D01194" w:rsidP="00874AE2"/>
    <w:p w14:paraId="044E9D20" w14:textId="6FEAD73D" w:rsidR="00D01194" w:rsidRPr="00D01194" w:rsidRDefault="00D01194" w:rsidP="00FF106D">
      <w:pPr>
        <w:pStyle w:val="CETheadingx"/>
      </w:pPr>
      <w:r w:rsidRPr="00D01194">
        <w:t>Substrate specificity</w:t>
      </w:r>
      <w:r w:rsidR="00F70F5D">
        <w:t xml:space="preserve"> and thermal stability </w:t>
      </w:r>
    </w:p>
    <w:p w14:paraId="19256999" w14:textId="7A67A654" w:rsidR="00D01194" w:rsidRDefault="00D01194" w:rsidP="00D01194">
      <w:r>
        <w:t>Substrate specificity analysis was performed to confirm the activity of Tvir30. Results revealed that at optimum assay conditions of pH 5.0 and 45</w:t>
      </w:r>
      <w:r w:rsidRPr="00D01194">
        <w:rPr>
          <w:vertAlign w:val="superscript"/>
        </w:rPr>
        <w:t>o</w:t>
      </w:r>
      <w:r>
        <w:t xml:space="preserve">C, Tvir30 had the highest activity on pustulan, a polysaccharide of D-glucose units joined by </w:t>
      </w:r>
      <w:r w:rsidRPr="00D01194">
        <w:rPr>
          <w:rFonts w:ascii="Times New Roman" w:hAnsi="Times New Roman"/>
        </w:rPr>
        <w:t>β</w:t>
      </w:r>
      <w:r>
        <w:t xml:space="preserve">-1,6-branching. As expected, the enzyme had negligible activity on </w:t>
      </w:r>
      <w:r w:rsidRPr="00D01194">
        <w:rPr>
          <w:rFonts w:ascii="Times New Roman" w:hAnsi="Times New Roman"/>
        </w:rPr>
        <w:t>β</w:t>
      </w:r>
      <w:r>
        <w:t xml:space="preserve">-1,3- and </w:t>
      </w:r>
      <w:r w:rsidRPr="00D01194">
        <w:rPr>
          <w:rFonts w:ascii="Times New Roman" w:hAnsi="Times New Roman"/>
        </w:rPr>
        <w:t>β</w:t>
      </w:r>
      <w:r>
        <w:t xml:space="preserve">-1,4-linked substrates, such as curdlan and cellulose. It did however exhibit 11.9 % activity on laminarin, a </w:t>
      </w:r>
      <w:r w:rsidRPr="00D01194">
        <w:rPr>
          <w:rFonts w:ascii="Times New Roman" w:hAnsi="Times New Roman"/>
        </w:rPr>
        <w:t>β</w:t>
      </w:r>
      <w:r>
        <w:t xml:space="preserve">-1,3-linked polysaccharide with </w:t>
      </w:r>
      <w:r w:rsidRPr="00D01194">
        <w:rPr>
          <w:rFonts w:ascii="Times New Roman" w:hAnsi="Times New Roman"/>
        </w:rPr>
        <w:t>β</w:t>
      </w:r>
      <w:r>
        <w:t xml:space="preserve">-1,6-branching (Figure 3). These results confirm Tvir30 is specific to </w:t>
      </w:r>
      <w:r w:rsidRPr="00D01194">
        <w:rPr>
          <w:rFonts w:ascii="Times New Roman" w:hAnsi="Times New Roman"/>
        </w:rPr>
        <w:t>β</w:t>
      </w:r>
      <w:r>
        <w:t>-1,6-linkages only.</w:t>
      </w:r>
    </w:p>
    <w:p w14:paraId="06B1C2D5" w14:textId="71058F3A" w:rsidR="00D01194" w:rsidRDefault="00D01194" w:rsidP="00D01194"/>
    <w:tbl>
      <w:tblPr>
        <w:tblStyle w:val="TableGrid"/>
        <w:tblW w:w="88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9"/>
      </w:tblGrid>
      <w:tr w:rsidR="00D01194" w14:paraId="1FA63FC4" w14:textId="77777777" w:rsidTr="00B0572F">
        <w:trPr>
          <w:trHeight w:val="5954"/>
        </w:trPr>
        <w:tc>
          <w:tcPr>
            <w:tcW w:w="8839" w:type="dxa"/>
          </w:tcPr>
          <w:p w14:paraId="4B50C250" w14:textId="112793FD" w:rsidR="00D01194" w:rsidRDefault="00942832" w:rsidP="00FA2AB1">
            <w:r>
              <w:rPr>
                <w:noProof/>
                <w:lang w:val="en-IE" w:eastAsia="ja-JP"/>
              </w:rPr>
              <w:lastRenderedPageBreak/>
              <w:drawing>
                <wp:anchor distT="0" distB="0" distL="114300" distR="114300" simplePos="0" relativeHeight="251604992" behindDoc="0" locked="0" layoutInCell="1" allowOverlap="1" wp14:anchorId="47E8FA66" wp14:editId="247F88B6">
                  <wp:simplePos x="0" y="0"/>
                  <wp:positionH relativeFrom="column">
                    <wp:posOffset>-66675</wp:posOffset>
                  </wp:positionH>
                  <wp:positionV relativeFrom="paragraph">
                    <wp:posOffset>1905</wp:posOffset>
                  </wp:positionV>
                  <wp:extent cx="3865880" cy="1753235"/>
                  <wp:effectExtent l="0" t="0" r="1270" b="0"/>
                  <wp:wrapSquare wrapText="bothSides"/>
                  <wp:docPr id="1" name="Chart 1">
                    <a:extLst xmlns:a="http://schemas.openxmlformats.org/drawingml/2006/main">
                      <a:ext uri="{FF2B5EF4-FFF2-40B4-BE49-F238E27FC236}">
                        <a16:creationId xmlns:a16="http://schemas.microsoft.com/office/drawing/2014/main" id="{4BB4A8C5-7EA0-4228-9C4B-6E43D2E9764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p>
          <w:p w14:paraId="743B4596" w14:textId="62504C7A" w:rsidR="00D01194" w:rsidRDefault="00D01194" w:rsidP="00FA2AB1">
            <w:pPr>
              <w:rPr>
                <w:i/>
                <w:iCs/>
              </w:rPr>
            </w:pPr>
          </w:p>
          <w:p w14:paraId="40AE9E47" w14:textId="77777777" w:rsidR="00942832" w:rsidRDefault="00942832" w:rsidP="00FA2AB1">
            <w:pPr>
              <w:rPr>
                <w:i/>
                <w:iCs/>
              </w:rPr>
            </w:pPr>
          </w:p>
          <w:p w14:paraId="06BEDB39" w14:textId="77777777" w:rsidR="00942832" w:rsidRDefault="00942832" w:rsidP="00FA2AB1">
            <w:pPr>
              <w:rPr>
                <w:i/>
                <w:iCs/>
              </w:rPr>
            </w:pPr>
          </w:p>
          <w:p w14:paraId="0F63C47F" w14:textId="77777777" w:rsidR="00942832" w:rsidRDefault="00942832" w:rsidP="00FA2AB1">
            <w:pPr>
              <w:rPr>
                <w:i/>
                <w:iCs/>
              </w:rPr>
            </w:pPr>
          </w:p>
          <w:p w14:paraId="255C215D" w14:textId="77777777" w:rsidR="00942832" w:rsidRDefault="00942832" w:rsidP="00FA2AB1">
            <w:pPr>
              <w:rPr>
                <w:i/>
                <w:iCs/>
              </w:rPr>
            </w:pPr>
          </w:p>
          <w:p w14:paraId="62EDAD63" w14:textId="77777777" w:rsidR="00942832" w:rsidRDefault="00942832" w:rsidP="00FA2AB1">
            <w:pPr>
              <w:rPr>
                <w:i/>
                <w:iCs/>
              </w:rPr>
            </w:pPr>
          </w:p>
          <w:p w14:paraId="4C640C26" w14:textId="77777777" w:rsidR="00942832" w:rsidRDefault="00942832" w:rsidP="00FA2AB1">
            <w:pPr>
              <w:rPr>
                <w:i/>
                <w:iCs/>
              </w:rPr>
            </w:pPr>
          </w:p>
          <w:p w14:paraId="2D19F916" w14:textId="77777777" w:rsidR="00942832" w:rsidRDefault="00942832" w:rsidP="00FA2AB1">
            <w:pPr>
              <w:rPr>
                <w:i/>
                <w:iCs/>
              </w:rPr>
            </w:pPr>
          </w:p>
          <w:p w14:paraId="2E3E230B" w14:textId="77777777" w:rsidR="00942832" w:rsidRDefault="00942832" w:rsidP="00FA2AB1">
            <w:pPr>
              <w:rPr>
                <w:i/>
                <w:iCs/>
              </w:rPr>
            </w:pPr>
          </w:p>
          <w:p w14:paraId="5D28B83F" w14:textId="013B3B32" w:rsidR="00942832" w:rsidRDefault="00942832" w:rsidP="00FA2AB1">
            <w:pPr>
              <w:rPr>
                <w:i/>
                <w:iCs/>
              </w:rPr>
            </w:pPr>
          </w:p>
          <w:p w14:paraId="62157EED" w14:textId="1D5DEB2C" w:rsidR="00D029E7" w:rsidRDefault="00517439" w:rsidP="00FA2AB1">
            <w:pPr>
              <w:rPr>
                <w:i/>
                <w:iCs/>
              </w:rPr>
            </w:pPr>
            <w:r>
              <w:rPr>
                <w:noProof/>
                <w:lang w:val="en-IE" w:eastAsia="ja-JP"/>
              </w:rPr>
              <w:drawing>
                <wp:anchor distT="0" distB="0" distL="114300" distR="114300" simplePos="0" relativeHeight="251607040" behindDoc="0" locked="0" layoutInCell="1" allowOverlap="1" wp14:anchorId="06352EF6" wp14:editId="23D3A472">
                  <wp:simplePos x="0" y="0"/>
                  <wp:positionH relativeFrom="column">
                    <wp:posOffset>155575</wp:posOffset>
                  </wp:positionH>
                  <wp:positionV relativeFrom="paragraph">
                    <wp:posOffset>136525</wp:posOffset>
                  </wp:positionV>
                  <wp:extent cx="2656205" cy="1666240"/>
                  <wp:effectExtent l="0" t="0" r="0" b="0"/>
                  <wp:wrapSquare wrapText="bothSides"/>
                  <wp:docPr id="17" name="Chart 17">
                    <a:extLst xmlns:a="http://schemas.openxmlformats.org/drawingml/2006/main">
                      <a:ext uri="{FF2B5EF4-FFF2-40B4-BE49-F238E27FC236}">
                        <a16:creationId xmlns:a16="http://schemas.microsoft.com/office/drawing/2014/main" id="{050B6533-9636-2909-AB9D-11607ADA63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r w:rsidR="007328C5">
              <w:rPr>
                <w:noProof/>
                <w:lang w:val="en-IE" w:eastAsia="ja-JP"/>
              </w:rPr>
              <mc:AlternateContent>
                <mc:Choice Requires="wps">
                  <w:drawing>
                    <wp:anchor distT="0" distB="0" distL="114300" distR="114300" simplePos="0" relativeHeight="251613184" behindDoc="0" locked="0" layoutInCell="1" allowOverlap="1" wp14:anchorId="1FA15A71" wp14:editId="618E6C0F">
                      <wp:simplePos x="0" y="0"/>
                      <wp:positionH relativeFrom="column">
                        <wp:posOffset>2612302</wp:posOffset>
                      </wp:positionH>
                      <wp:positionV relativeFrom="paragraph">
                        <wp:posOffset>62230</wp:posOffset>
                      </wp:positionV>
                      <wp:extent cx="456752" cy="277712"/>
                      <wp:effectExtent l="0" t="0" r="0" b="0"/>
                      <wp:wrapNone/>
                      <wp:docPr id="8" name="TextBox 12"/>
                      <wp:cNvGraphicFramePr/>
                      <a:graphic xmlns:a="http://schemas.openxmlformats.org/drawingml/2006/main">
                        <a:graphicData uri="http://schemas.microsoft.com/office/word/2010/wordprocessingShape">
                          <wps:wsp>
                            <wps:cNvSpPr txBox="1"/>
                            <wps:spPr>
                              <a:xfrm>
                                <a:off x="0" y="0"/>
                                <a:ext cx="456752" cy="277712"/>
                              </a:xfrm>
                              <a:prstGeom prst="rect">
                                <a:avLst/>
                              </a:prstGeom>
                              <a:noFill/>
                            </wps:spPr>
                            <wps:txbx>
                              <w:txbxContent>
                                <w:p w14:paraId="7F34430E" w14:textId="54A1F3D3" w:rsidR="007328C5" w:rsidRDefault="007328C5" w:rsidP="007328C5">
                                  <w:pPr>
                                    <w:rPr>
                                      <w:b/>
                                      <w:bCs/>
                                      <w:color w:val="000000"/>
                                      <w:kern w:val="24"/>
                                      <w:szCs w:val="18"/>
                                    </w:rPr>
                                  </w:pPr>
                                  <w:r>
                                    <w:rPr>
                                      <w:b/>
                                      <w:bCs/>
                                      <w:color w:val="000000"/>
                                      <w:kern w:val="24"/>
                                      <w:szCs w:val="18"/>
                                    </w:rPr>
                                    <w:t>C</w:t>
                                  </w:r>
                                  <w:r>
                                    <w:rPr>
                                      <w:rFonts w:ascii="Calibri" w:hAnsi="Calibri"/>
                                      <w:b/>
                                      <w:bCs/>
                                      <w:color w:val="000000"/>
                                      <w:kern w:val="24"/>
                                      <w:sz w:val="21"/>
                                      <w:szCs w:val="21"/>
                                    </w:rPr>
                                    <w:t xml:space="preserve">. </w:t>
                                  </w:r>
                                </w:p>
                              </w:txbxContent>
                            </wps:txbx>
                            <wps:bodyPr wrap="square" rtlCol="0">
                              <a:noAutofit/>
                            </wps:bodyPr>
                          </wps:wsp>
                        </a:graphicData>
                      </a:graphic>
                      <wp14:sizeRelV relativeFrom="margin">
                        <wp14:pctHeight>0</wp14:pctHeight>
                      </wp14:sizeRelV>
                    </wp:anchor>
                  </w:drawing>
                </mc:Choice>
                <mc:Fallback>
                  <w:pict>
                    <v:shape w14:anchorId="1FA15A71" id="_x0000_s1028" type="#_x0000_t202" style="position:absolute;left:0;text-align:left;margin-left:205.7pt;margin-top:4.9pt;width:35.95pt;height:21.85pt;z-index:251613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" filled="f" stroked="f">
                      <v:textbox>
                        <w:txbxContent>
                          <w:p w14:paraId="7F34430E" w14:textId="54A1F3D3" w:rsidR="007328C5" w:rsidRDefault="007328C5" w:rsidP="007328C5">
                            <w:pPr>
                              <w:rPr>
                                <w:b/>
                                <w:bCs/>
                                <w:color w:val="000000"/>
                                <w:kern w:val="24"/>
                                <w:szCs w:val="18"/>
                              </w:rPr>
                            </w:pPr>
                            <w:r>
                              <w:rPr>
                                <w:b/>
                                <w:bCs/>
                                <w:color w:val="000000"/>
                                <w:kern w:val="24"/>
                                <w:szCs w:val="18"/>
                              </w:rPr>
                              <w:t>C</w:t>
                            </w:r>
                            <w:r>
                              <w:rPr>
                                <w:rFonts w:ascii="Calibri" w:hAnsi="Calibri"/>
                                <w:b/>
                                <w:bCs/>
                                <w:color w:val="000000"/>
                                <w:kern w:val="24"/>
                                <w:sz w:val="21"/>
                                <w:szCs w:val="21"/>
                              </w:rPr>
                              <w:t xml:space="preserve">. </w:t>
                            </w:r>
                          </w:p>
                        </w:txbxContent>
                      </v:textbox>
                    </v:shape>
                  </w:pict>
                </mc:Fallback>
              </mc:AlternateContent>
            </w:r>
            <w:r w:rsidR="007328C5">
              <w:rPr>
                <w:noProof/>
                <w:lang w:val="en-IE" w:eastAsia="ja-JP"/>
              </w:rPr>
              <mc:AlternateContent>
                <mc:Choice Requires="wps">
                  <w:drawing>
                    <wp:anchor distT="0" distB="0" distL="114300" distR="114300" simplePos="0" relativeHeight="251611136" behindDoc="0" locked="0" layoutInCell="1" allowOverlap="1" wp14:anchorId="3EFA6729" wp14:editId="3F8A861C">
                      <wp:simplePos x="0" y="0"/>
                      <wp:positionH relativeFrom="column">
                        <wp:posOffset>158750</wp:posOffset>
                      </wp:positionH>
                      <wp:positionV relativeFrom="paragraph">
                        <wp:posOffset>96102</wp:posOffset>
                      </wp:positionV>
                      <wp:extent cx="456752" cy="260430"/>
                      <wp:effectExtent l="0" t="0" r="0" b="0"/>
                      <wp:wrapNone/>
                      <wp:docPr id="2" name="TextBox 12"/>
                      <wp:cNvGraphicFramePr/>
                      <a:graphic xmlns:a="http://schemas.openxmlformats.org/drawingml/2006/main">
                        <a:graphicData uri="http://schemas.microsoft.com/office/word/2010/wordprocessingShape">
                          <wps:wsp>
                            <wps:cNvSpPr txBox="1"/>
                            <wps:spPr>
                              <a:xfrm>
                                <a:off x="0" y="0"/>
                                <a:ext cx="456752" cy="260430"/>
                              </a:xfrm>
                              <a:prstGeom prst="rect">
                                <a:avLst/>
                              </a:prstGeom>
                              <a:noFill/>
                            </wps:spPr>
                            <wps:txbx>
                              <w:txbxContent>
                                <w:p w14:paraId="4B09B618" w14:textId="7E29768F" w:rsidR="007328C5" w:rsidRDefault="007328C5" w:rsidP="007328C5">
                                  <w:pPr>
                                    <w:rPr>
                                      <w:b/>
                                      <w:bCs/>
                                      <w:color w:val="000000"/>
                                      <w:kern w:val="24"/>
                                      <w:szCs w:val="18"/>
                                    </w:rPr>
                                  </w:pPr>
                                  <w:r>
                                    <w:rPr>
                                      <w:b/>
                                      <w:bCs/>
                                      <w:color w:val="000000"/>
                                      <w:kern w:val="24"/>
                                      <w:szCs w:val="18"/>
                                    </w:rPr>
                                    <w:t>B</w:t>
                                  </w:r>
                                  <w:r>
                                    <w:rPr>
                                      <w:rFonts w:ascii="Calibri" w:hAnsi="Calibri"/>
                                      <w:b/>
                                      <w:bCs/>
                                      <w:color w:val="000000"/>
                                      <w:kern w:val="24"/>
                                      <w:sz w:val="21"/>
                                      <w:szCs w:val="21"/>
                                    </w:rPr>
                                    <w:t xml:space="preserve">. </w:t>
                                  </w:r>
                                </w:p>
                              </w:txbxContent>
                            </wps:txbx>
                            <wps:bodyPr wrap="square" rtlCol="0">
                              <a:noAutofit/>
                            </wps:bodyPr>
                          </wps:wsp>
                        </a:graphicData>
                      </a:graphic>
                      <wp14:sizeRelV relativeFrom="margin">
                        <wp14:pctHeight>0</wp14:pctHeight>
                      </wp14:sizeRelV>
                    </wp:anchor>
                  </w:drawing>
                </mc:Choice>
                <mc:Fallback>
                  <w:pict>
                    <v:shape w14:anchorId="3EFA6729" id="_x0000_s1029" type="#_x0000_t202" style="position:absolute;left:0;text-align:left;margin-left:12.5pt;margin-top:7.55pt;width:35.95pt;height:20.5pt;z-index:251611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" filled="f" stroked="f">
                      <v:textbox>
                        <w:txbxContent>
                          <w:p w14:paraId="4B09B618" w14:textId="7E29768F" w:rsidR="007328C5" w:rsidRDefault="007328C5" w:rsidP="007328C5">
                            <w:pPr>
                              <w:rPr>
                                <w:b/>
                                <w:bCs/>
                                <w:color w:val="000000"/>
                                <w:kern w:val="24"/>
                                <w:szCs w:val="18"/>
                              </w:rPr>
                            </w:pPr>
                            <w:r>
                              <w:rPr>
                                <w:b/>
                                <w:bCs/>
                                <w:color w:val="000000"/>
                                <w:kern w:val="24"/>
                                <w:szCs w:val="18"/>
                              </w:rPr>
                              <w:t>B</w:t>
                            </w:r>
                            <w:r>
                              <w:rPr>
                                <w:rFonts w:ascii="Calibri" w:hAnsi="Calibri"/>
                                <w:b/>
                                <w:bCs/>
                                <w:color w:val="000000"/>
                                <w:kern w:val="24"/>
                                <w:sz w:val="21"/>
                                <w:szCs w:val="21"/>
                              </w:rPr>
                              <w:t xml:space="preserve">. </w:t>
                            </w:r>
                          </w:p>
                        </w:txbxContent>
                      </v:textbox>
                    </v:shape>
                  </w:pict>
                </mc:Fallback>
              </mc:AlternateContent>
            </w:r>
            <w:r w:rsidR="00B248CD">
              <w:rPr>
                <w:noProof/>
                <w:lang w:val="en-IE" w:eastAsia="ja-JP"/>
              </w:rPr>
              <w:drawing>
                <wp:anchor distT="0" distB="0" distL="114300" distR="114300" simplePos="0" relativeHeight="251609088" behindDoc="0" locked="0" layoutInCell="1" allowOverlap="1" wp14:anchorId="3E9699C5" wp14:editId="44427981">
                  <wp:simplePos x="0" y="0"/>
                  <wp:positionH relativeFrom="column">
                    <wp:posOffset>2740025</wp:posOffset>
                  </wp:positionH>
                  <wp:positionV relativeFrom="paragraph">
                    <wp:posOffset>165735</wp:posOffset>
                  </wp:positionV>
                  <wp:extent cx="2771775" cy="1753235"/>
                  <wp:effectExtent l="0" t="0" r="0" b="0"/>
                  <wp:wrapSquare wrapText="bothSides"/>
                  <wp:docPr id="22" name="Chart 22">
                    <a:extLst xmlns:a="http://schemas.openxmlformats.org/drawingml/2006/main">
                      <a:ext uri="{FF2B5EF4-FFF2-40B4-BE49-F238E27FC236}">
                        <a16:creationId xmlns:a16="http://schemas.microsoft.com/office/drawing/2014/main" id="{2336E1CB-D7BF-4833-AC38-28A0E302FBD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p>
          <w:p w14:paraId="43C6AF99" w14:textId="7CC42064" w:rsidR="00B248CD" w:rsidRDefault="00B248CD" w:rsidP="00FA2AB1">
            <w:pPr>
              <w:rPr>
                <w:i/>
                <w:iCs/>
              </w:rPr>
            </w:pPr>
          </w:p>
          <w:p w14:paraId="0C65276D" w14:textId="43EC910F" w:rsidR="00D01194" w:rsidRPr="00942832" w:rsidRDefault="00D01194" w:rsidP="00FA2AB1">
            <w:pPr>
              <w:rPr>
                <w:i/>
                <w:iCs/>
              </w:rPr>
            </w:pPr>
            <w:r>
              <w:rPr>
                <w:i/>
                <w:iCs/>
              </w:rPr>
              <w:t xml:space="preserve">Figure 3: </w:t>
            </w:r>
            <w:r w:rsidR="00AF795D">
              <w:rPr>
                <w:i/>
                <w:iCs/>
              </w:rPr>
              <w:t xml:space="preserve">A. </w:t>
            </w:r>
            <w:r>
              <w:rPr>
                <w:i/>
                <w:iCs/>
              </w:rPr>
              <w:t>Substrate specificity of Tvir30 at 50</w:t>
            </w:r>
            <w:r>
              <w:rPr>
                <w:i/>
                <w:iCs/>
                <w:vertAlign w:val="superscript"/>
              </w:rPr>
              <w:t>o</w:t>
            </w:r>
            <w:r>
              <w:rPr>
                <w:i/>
                <w:iCs/>
              </w:rPr>
              <w:t xml:space="preserve">C, pH 5.0, on 0.5% (w/v) substrate. </w:t>
            </w:r>
            <w:r w:rsidR="00AF795D">
              <w:rPr>
                <w:i/>
                <w:iCs/>
              </w:rPr>
              <w:t>B. Thermal stability of Tvir30 assessed at 50</w:t>
            </w:r>
            <w:r w:rsidR="00AF795D">
              <w:rPr>
                <w:i/>
                <w:iCs/>
                <w:vertAlign w:val="superscript"/>
              </w:rPr>
              <w:t>o</w:t>
            </w:r>
            <w:r w:rsidR="00AF795D">
              <w:rPr>
                <w:i/>
                <w:iCs/>
              </w:rPr>
              <w:t>C in 100 mM phosphate-citrate buffer pH 5.0 over 1 hour</w:t>
            </w:r>
            <w:r w:rsidR="00942832">
              <w:rPr>
                <w:i/>
                <w:iCs/>
              </w:rPr>
              <w:t xml:space="preserve"> and C. 40</w:t>
            </w:r>
            <w:r w:rsidR="00942832">
              <w:rPr>
                <w:i/>
                <w:iCs/>
                <w:vertAlign w:val="superscript"/>
              </w:rPr>
              <w:t>o</w:t>
            </w:r>
            <w:r w:rsidR="00942832">
              <w:rPr>
                <w:i/>
                <w:iCs/>
              </w:rPr>
              <w:t>C over 100 h</w:t>
            </w:r>
            <w:r w:rsidR="007124CD">
              <w:rPr>
                <w:i/>
                <w:iCs/>
              </w:rPr>
              <w:t>r</w:t>
            </w:r>
            <w:r w:rsidR="00222C25">
              <w:rPr>
                <w:i/>
                <w:iCs/>
              </w:rPr>
              <w:t xml:space="preserve">. </w:t>
            </w:r>
          </w:p>
        </w:tc>
      </w:tr>
    </w:tbl>
    <w:p w14:paraId="12753FE2" w14:textId="77777777" w:rsidR="00AF795D" w:rsidRDefault="00AF795D" w:rsidP="00D01194">
      <w:pPr>
        <w:pStyle w:val="ListParagraph"/>
        <w:ind w:left="0"/>
      </w:pPr>
    </w:p>
    <w:p w14:paraId="448CBF76" w14:textId="1CB450E2" w:rsidR="00D01194" w:rsidRDefault="00D01194" w:rsidP="008B7A10">
      <w:pPr>
        <w:pStyle w:val="ListParagraph"/>
        <w:ind w:left="0"/>
      </w:pPr>
      <w:r>
        <w:t>The thermal stability of Tvir30 was assessed by incubation at 50</w:t>
      </w:r>
      <w:r w:rsidRPr="00D01194">
        <w:rPr>
          <w:vertAlign w:val="superscript"/>
        </w:rPr>
        <w:t>o</w:t>
      </w:r>
      <w:r>
        <w:t>C in 100 mM phosphate-citrate buffer pH 5.0 over 1 hour. It was revealed that at 15 min of incubation at 50</w:t>
      </w:r>
      <w:r w:rsidRPr="00D01194">
        <w:rPr>
          <w:vertAlign w:val="superscript"/>
        </w:rPr>
        <w:t>o</w:t>
      </w:r>
      <w:r>
        <w:t>C, the enzyme retained 50 % of its original activity under standard assay conditions</w:t>
      </w:r>
      <w:r w:rsidR="00AC7EF5">
        <w:t xml:space="preserve"> (Figure 3B)</w:t>
      </w:r>
      <w:r>
        <w:t xml:space="preserve">. The </w:t>
      </w:r>
      <w:r w:rsidRPr="00D01194">
        <w:rPr>
          <w:i/>
          <w:iCs/>
        </w:rPr>
        <w:t>D</w:t>
      </w:r>
      <w:r>
        <w:t xml:space="preserve">-value, i.e., the time it takes for the enzyme to be reduced to 10% of its original activity, was calculated to be 18.4 min. This small </w:t>
      </w:r>
      <w:r w:rsidRPr="00D01194">
        <w:rPr>
          <w:i/>
          <w:iCs/>
        </w:rPr>
        <w:t>D-</w:t>
      </w:r>
      <w:r>
        <w:t>value indicates that Tvir30 is highly liable to heat inactivation</w:t>
      </w:r>
      <w:r w:rsidR="00596365">
        <w:t xml:space="preserve"> at 50</w:t>
      </w:r>
      <w:r w:rsidR="00596365">
        <w:rPr>
          <w:vertAlign w:val="superscript"/>
        </w:rPr>
        <w:t>o</w:t>
      </w:r>
      <w:r w:rsidR="00596365">
        <w:t>C</w:t>
      </w:r>
      <w:r>
        <w:t>.</w:t>
      </w:r>
      <w:r w:rsidR="00F13E8E">
        <w:t xml:space="preserve"> Conversely,</w:t>
      </w:r>
      <w:r w:rsidR="00AC7EF5">
        <w:t xml:space="preserve"> at 40</w:t>
      </w:r>
      <w:r w:rsidR="00AC7EF5">
        <w:rPr>
          <w:vertAlign w:val="superscript"/>
        </w:rPr>
        <w:t>o</w:t>
      </w:r>
      <w:r w:rsidR="00AC7EF5">
        <w:t xml:space="preserve">C the activity of Tvir30 dropped below 90% after 72 h of incubation only (Figure 3C). </w:t>
      </w:r>
      <w:r>
        <w:t xml:space="preserve"> For the enzyme to effectively hydrolyse yeast cell walls, </w:t>
      </w:r>
      <w:r w:rsidR="00AC7EF5">
        <w:t>the reaction temperature must be below 50</w:t>
      </w:r>
      <w:r w:rsidR="00AC7EF5">
        <w:rPr>
          <w:vertAlign w:val="superscript"/>
        </w:rPr>
        <w:t>o</w:t>
      </w:r>
      <w:r w:rsidR="00AC7EF5">
        <w:t>C, and 40</w:t>
      </w:r>
      <w:r w:rsidR="00AC7EF5">
        <w:rPr>
          <w:vertAlign w:val="superscript"/>
        </w:rPr>
        <w:t>o</w:t>
      </w:r>
      <w:r w:rsidR="00AC7EF5">
        <w:t>C is suitable as the enzyme</w:t>
      </w:r>
      <w:r w:rsidR="007817D1">
        <w:t xml:space="preserve"> maintains</w:t>
      </w:r>
      <w:r w:rsidR="00AC7EF5">
        <w:t xml:space="preserve"> high activity for a </w:t>
      </w:r>
      <w:r w:rsidR="00AC734B">
        <w:t>period of ~ 72 h</w:t>
      </w:r>
      <w:r w:rsidR="007817D1">
        <w:t xml:space="preserve"> at this temperature</w:t>
      </w:r>
      <w:r w:rsidR="00AC734B">
        <w:t xml:space="preserve">. </w:t>
      </w:r>
      <w:r w:rsidR="00AC7EF5">
        <w:t xml:space="preserve"> </w:t>
      </w:r>
      <w:r>
        <w:t xml:space="preserve"> </w:t>
      </w:r>
    </w:p>
    <w:p w14:paraId="656344C8" w14:textId="111FD164" w:rsidR="00D01194" w:rsidRDefault="00D01194" w:rsidP="00FF106D">
      <w:pPr>
        <w:pStyle w:val="CETheadingx"/>
      </w:pPr>
      <w:r>
        <w:t>Enzyme kinetics</w:t>
      </w:r>
    </w:p>
    <w:p w14:paraId="20BE4C1C" w14:textId="77777777" w:rsidR="008C2C2C" w:rsidRDefault="00D01194" w:rsidP="008C2C2C">
      <w:r>
        <w:t>Assessment of Tvir30 kinetics was carried out on pustulan at a range of concentrations from 0.5 to 10 mg mL</w:t>
      </w:r>
      <w:r w:rsidRPr="00D01194">
        <w:rPr>
          <w:vertAlign w:val="superscript"/>
        </w:rPr>
        <w:t>-1</w:t>
      </w:r>
      <w:r w:rsidR="00B3415C">
        <w:rPr>
          <w:vertAlign w:val="superscript"/>
        </w:rPr>
        <w:t xml:space="preserve"> </w:t>
      </w:r>
      <w:r w:rsidR="006C1E85">
        <w:t xml:space="preserve">via the DNS assay, </w:t>
      </w:r>
      <w:r w:rsidR="00B3415C">
        <w:t xml:space="preserve">as described in </w:t>
      </w:r>
      <w:r w:rsidR="006C1E85">
        <w:t xml:space="preserve">the </w:t>
      </w:r>
      <w:r w:rsidR="00D374E8">
        <w:t>Materials and Methods</w:t>
      </w:r>
      <w:r w:rsidR="006C1E85">
        <w:t xml:space="preserve"> section</w:t>
      </w:r>
      <w:r>
        <w:t xml:space="preserve">. The assay was performed at optimal conditions over 10 minutes, during which the hydrolysis reaction was in the linear phase. </w:t>
      </w:r>
      <w:proofErr w:type="spellStart"/>
      <w:r>
        <w:t>GprahPad</w:t>
      </w:r>
      <w:proofErr w:type="spellEnd"/>
      <w:r>
        <w:t xml:space="preserve"> Prism 9 was used to plot the reaction and to determine the kinetic parameters for</w:t>
      </w:r>
      <w:r w:rsidR="00EB21AE">
        <w:t xml:space="preserve"> Tvir30</w:t>
      </w:r>
      <w:r w:rsidR="00F536D8">
        <w:t>.</w:t>
      </w:r>
    </w:p>
    <w:p w14:paraId="1BAA62E4" w14:textId="77777777" w:rsidR="008C2C2C" w:rsidRDefault="00D01194" w:rsidP="008C2C2C">
      <w:r>
        <w:t>The Michaelis-Menten constant (Km) was determined to be 1.87 mg mL</w:t>
      </w:r>
      <w:r w:rsidRPr="00D01194">
        <w:rPr>
          <w:vertAlign w:val="superscript"/>
        </w:rPr>
        <w:t>-1</w:t>
      </w:r>
      <w:r w:rsidR="00447E7A">
        <w:t>, the maximal velocity (</w:t>
      </w:r>
      <w:r>
        <w:t>Vmax</w:t>
      </w:r>
      <w:r w:rsidR="00447E7A">
        <w:t>)</w:t>
      </w:r>
      <w:r>
        <w:t xml:space="preserve"> was calculated as 214.4 </w:t>
      </w:r>
      <w:proofErr w:type="spellStart"/>
      <w:r w:rsidRPr="00BC7DD9">
        <w:t>μ</w:t>
      </w:r>
      <w:r>
        <w:t>mol</w:t>
      </w:r>
      <w:proofErr w:type="spellEnd"/>
      <w:r>
        <w:t xml:space="preserve"> min</w:t>
      </w:r>
      <w:r w:rsidRPr="00D01194">
        <w:rPr>
          <w:vertAlign w:val="superscript"/>
        </w:rPr>
        <w:t>-1</w:t>
      </w:r>
      <w:r>
        <w:t>.mg</w:t>
      </w:r>
      <w:r w:rsidRPr="00D01194">
        <w:rPr>
          <w:vertAlign w:val="superscript"/>
        </w:rPr>
        <w:t>-1</w:t>
      </w:r>
      <w:r>
        <w:t xml:space="preserve">, and </w:t>
      </w:r>
      <w:proofErr w:type="spellStart"/>
      <w:r>
        <w:t>Kcat</w:t>
      </w:r>
      <w:proofErr w:type="spellEnd"/>
      <w:r>
        <w:t xml:space="preserve"> as 161 s</w:t>
      </w:r>
      <w:r w:rsidRPr="00D01194">
        <w:rPr>
          <w:vertAlign w:val="superscript"/>
        </w:rPr>
        <w:t>-1</w:t>
      </w:r>
      <w:r>
        <w:t xml:space="preserve">, indicating that a single Tvir30 enzyme can convert 161 substrate molecules per second at saturation under optimal conditions. Finally, the specificity constant, or </w:t>
      </w:r>
      <w:proofErr w:type="spellStart"/>
      <w:r>
        <w:t>Kcat</w:t>
      </w:r>
      <w:proofErr w:type="spellEnd"/>
      <w:r>
        <w:t xml:space="preserve">/Km, was determined to be 85.85 </w:t>
      </w:r>
      <w:r w:rsidRPr="007311AE">
        <w:t>m</w:t>
      </w:r>
      <w:r>
        <w:t>L</w:t>
      </w:r>
      <w:r w:rsidRPr="007311AE">
        <w:t xml:space="preserve"> mg</w:t>
      </w:r>
      <w:r w:rsidRPr="00D01194">
        <w:rPr>
          <w:vertAlign w:val="superscript"/>
        </w:rPr>
        <w:t>-1</w:t>
      </w:r>
      <w:r>
        <w:t>.</w:t>
      </w:r>
      <w:r w:rsidRPr="007311AE">
        <w:t>s</w:t>
      </w:r>
      <w:r w:rsidRPr="00D01194">
        <w:rPr>
          <w:vertAlign w:val="superscript"/>
        </w:rPr>
        <w:t>-1</w:t>
      </w:r>
      <w:r w:rsidR="00A01DB7">
        <w:t>.</w:t>
      </w:r>
    </w:p>
    <w:p w14:paraId="3E6405C4" w14:textId="4103FAF6" w:rsidR="00FF106D" w:rsidRPr="008C2C2C" w:rsidRDefault="00D01194" w:rsidP="008C2C2C">
      <w:r>
        <w:t>The relatively low Km of Tvir30 indicates that the enzyme has high affinity for its substrate</w:t>
      </w:r>
      <w:r w:rsidR="007900CF">
        <w:t>,</w:t>
      </w:r>
      <w:r>
        <w:t xml:space="preserve"> a common feature of enzymes that exist in environments with a low abundance of their substrates</w:t>
      </w:r>
      <w:r w:rsidR="00BC02BA">
        <w:t xml:space="preserve"> </w:t>
      </w:r>
      <w:r w:rsidR="0023330D">
        <w:fldChar w:fldCharType="begin"/>
      </w:r>
      <w:r w:rsidR="0023330D">
        <w:instrText xml:space="preserve"> ADDIN ZOTERO_ITEM CSL_CITATION {"citationID":"pYJ2Kf7p","properties":{"formattedCitation":"(Nelson and Cox, 2008)","plainCitation":"(Nelson and Cox, 2008)","noteIndex":0},"citationItems":[{"id":2069,"uris":["http://zotero.org/users/7038461/items/CLRPJQ9Y"],"itemData":{"id":2069,"type":"book","edition":"4th","publisher":"Palgrave Macmillan","title":"Lehninger Principles of Biochemistry","author":[{"family":"Nelson","given":"David L."},{"family":"Cox","given":"Michael M."}],"issued":{"date-parts":[["2008"]]}}}],"schema":"https://github.com/citation-style-language/schema/raw/master/csl-citation.json"} </w:instrText>
      </w:r>
      <w:r w:rsidR="0023330D">
        <w:fldChar w:fldCharType="separate"/>
      </w:r>
      <w:r w:rsidR="00B464EF" w:rsidRPr="00B464EF">
        <w:rPr>
          <w:rFonts w:cs="Arial"/>
        </w:rPr>
        <w:t>(Nelson and Cox, 2008)</w:t>
      </w:r>
      <w:r w:rsidR="0023330D">
        <w:fldChar w:fldCharType="end"/>
      </w:r>
      <w:r w:rsidR="009D5F20">
        <w:t>.</w:t>
      </w:r>
      <w:r>
        <w:t xml:space="preserve"> In the degradation of BSY, the high affinity of Tvir30 for </w:t>
      </w:r>
      <w:r w:rsidRPr="00D01194">
        <w:rPr>
          <w:rFonts w:ascii="Times New Roman" w:hAnsi="Times New Roman"/>
        </w:rPr>
        <w:t>β</w:t>
      </w:r>
      <w:r>
        <w:t xml:space="preserve">-1,6-glucan could be advantageous as </w:t>
      </w:r>
      <w:r w:rsidR="00B933E8">
        <w:t>it</w:t>
      </w:r>
      <w:r w:rsidR="009763CC">
        <w:t xml:space="preserve"> accounts for only 10-15%</w:t>
      </w:r>
      <w:r w:rsidR="00B933E8">
        <w:t xml:space="preserve"> of total polysaccharide</w:t>
      </w:r>
      <w:r w:rsidR="004D5EDB">
        <w:t xml:space="preserve"> within the </w:t>
      </w:r>
      <w:r w:rsidR="004D5EDB" w:rsidRPr="00D01194">
        <w:rPr>
          <w:i/>
          <w:iCs/>
        </w:rPr>
        <w:t xml:space="preserve">S. cerevisiae </w:t>
      </w:r>
      <w:r w:rsidR="004D5EDB">
        <w:t>cell wall</w:t>
      </w:r>
      <w:r w:rsidR="00B933E8">
        <w:t>, and</w:t>
      </w:r>
      <w:r>
        <w:t xml:space="preserve"> is in complex with other cell wall components</w:t>
      </w:r>
      <w:r w:rsidR="004D5EDB">
        <w:t xml:space="preserve"> </w:t>
      </w:r>
      <w:r w:rsidR="00C62A7E">
        <w:fldChar w:fldCharType="begin"/>
      </w:r>
      <w:r w:rsidR="00B464EF">
        <w:instrText xml:space="preserve"> ADDIN ZOTERO_ITEM CSL_CITATION {"citationID":"UeBvEs7R","properties":{"formattedCitation":"(Aimanianda et al., 2009)","plainCitation":"(Aimanianda et al., 2009)","noteIndex":0},"citationItems":[{"id":2057,"uris":["http://zotero.org/users/7038461/items/FFEFAKKG"],"itemData":{"id":2057,"type":"article-journal","abstract":"Despite its essential role in the yeast cell wall, the exact composition of the beta-(1,6)-glucan component is not well characterized. While solubilizing the cell wall alkali-insoluble fraction from a wild type strain of Saccharomyces cerevisiae using a recombinant beta-(1,3)-glucanase followed by chromatographic characterization of the digest on an anion exchange column, we observed a soluble polymer that eluted at the end of the solvent gradient run. Further characterization indicated this soluble polymer to have a molecular mass of approximately 38 kDa and could be hydrolyzed only by beta-(1,6)-glucanase. Gas chromatography mass spectrometry and NMR ((1)H and (13)C) analyses confirmed it to be a beta-(1,6)-glucan polymer with, on average, branching at every fifth residue with one or two beta-(1,3)-linked glucose units in the side chain. This polymer peak was significantly reduced in the corresponding digests from mutants of the kre genes (kre9 and kre5) that are known to play a crucial role in the beta-(1,6)-glucan biosynthesis. In the current study, we have developed a biochemical assay wherein incubation of UDP-[(14)C]glucose with permeabilized S. cerevisiae yeasts resulted in the synthesis of a polymer chemically identical to the branched beta-(1,6)-glucan isolated from the cell wall. Using this assay, parameters essential for beta-(1,6)-glucan synthetic activity were defined.","container-title":"The Journal of Biological Chemistry","DOI":"10.1074/jbc.M807667200","ISSN":"0021-9258","issue":"20","journalAbbreviation":"J Biol Chem","language":"eng","note":"PMID: 19279004\nPMCID: PMC2679440","page":"13401-13412","source":"PubMed","title":"Cell wall beta-(1,6)-glucan of Saccharomyces cerevisiae: structural characterization and in situ synthesis","title-short":"Cell wall beta-(1,6)-glucan of Saccharomyces cerevisiae","volume":"284","author":[{"family":"Aimanianda","given":"Vishukumar"},{"family":"Clavaud","given":"Cécile"},{"family":"Simenel","given":"Catherine"},{"family":"Fontaine","given":"Thierry"},{"family":"Delepierre","given":"Muriel"},{"family":"Latgé","given":"Jean-Paul"}],"issued":{"date-parts":[["2009",5,15]]}}}],"schema":"https://github.com/citation-style-language/schema/raw/master/csl-citation.json"} </w:instrText>
      </w:r>
      <w:r w:rsidR="00C62A7E">
        <w:fldChar w:fldCharType="separate"/>
      </w:r>
      <w:r w:rsidR="00B464EF" w:rsidRPr="00B464EF">
        <w:rPr>
          <w:rFonts w:cs="Arial"/>
        </w:rPr>
        <w:t>(</w:t>
      </w:r>
      <w:proofErr w:type="spellStart"/>
      <w:r w:rsidR="00B464EF" w:rsidRPr="00B464EF">
        <w:rPr>
          <w:rFonts w:cs="Arial"/>
        </w:rPr>
        <w:t>Aimanianda</w:t>
      </w:r>
      <w:proofErr w:type="spellEnd"/>
      <w:r w:rsidR="00B464EF" w:rsidRPr="00B464EF">
        <w:rPr>
          <w:rFonts w:cs="Arial"/>
        </w:rPr>
        <w:t xml:space="preserve"> et al., 2009)</w:t>
      </w:r>
      <w:r w:rsidR="00C62A7E">
        <w:fldChar w:fldCharType="end"/>
      </w:r>
      <w:r w:rsidR="007A050F">
        <w:t>. T</w:t>
      </w:r>
      <w:r w:rsidR="00F70F5D">
        <w:t xml:space="preserve">he </w:t>
      </w:r>
      <w:proofErr w:type="spellStart"/>
      <w:r w:rsidR="00F70F5D">
        <w:t>Kcat</w:t>
      </w:r>
      <w:proofErr w:type="spellEnd"/>
      <w:r w:rsidR="00F70F5D">
        <w:t xml:space="preserve"> </w:t>
      </w:r>
      <w:r w:rsidR="00440B40">
        <w:t xml:space="preserve">values </w:t>
      </w:r>
      <w:r w:rsidR="00F70F5D">
        <w:t>of other fungal glucanases have been found to be as low as 0.016 s</w:t>
      </w:r>
      <w:r w:rsidR="00F70F5D">
        <w:rPr>
          <w:vertAlign w:val="superscript"/>
        </w:rPr>
        <w:t>-1</w:t>
      </w:r>
      <w:r w:rsidR="00F70F5D">
        <w:t xml:space="preserve"> </w:t>
      </w:r>
      <w:r w:rsidR="00F70F5D">
        <w:rPr>
          <w:rFonts w:ascii="Helvetica" w:hAnsi="Helvetica"/>
        </w:rPr>
        <w:t xml:space="preserve">and as high as </w:t>
      </w:r>
      <w:r w:rsidR="00F70F5D" w:rsidRPr="006D7178">
        <w:rPr>
          <w:rFonts w:ascii="Helvetica" w:hAnsi="Helvetica" w:cs="Helvetica"/>
        </w:rPr>
        <w:t xml:space="preserve">15,601 </w:t>
      </w:r>
      <w:r w:rsidR="00F70F5D">
        <w:rPr>
          <w:rFonts w:ascii="Helvetica" w:hAnsi="Helvetica" w:cs="Helvetica"/>
        </w:rPr>
        <w:t>s</w:t>
      </w:r>
      <w:r w:rsidR="00F70F5D" w:rsidRPr="006D7178">
        <w:rPr>
          <w:rFonts w:ascii="Helvetica" w:hAnsi="Helvetica" w:cs="Helvetica"/>
          <w:vertAlign w:val="superscript"/>
        </w:rPr>
        <w:t>-</w:t>
      </w:r>
      <w:r w:rsidR="00F70F5D">
        <w:rPr>
          <w:rFonts w:ascii="Helvetica" w:hAnsi="Helvetica" w:cs="Helvetica"/>
          <w:vertAlign w:val="superscript"/>
        </w:rPr>
        <w:t xml:space="preserve">1 </w:t>
      </w:r>
      <w:r w:rsidR="009D5F20">
        <w:rPr>
          <w:rFonts w:ascii="Helvetica" w:hAnsi="Helvetica" w:cs="Helvetica"/>
          <w:vertAlign w:val="superscript"/>
        </w:rPr>
        <w:fldChar w:fldCharType="begin"/>
      </w:r>
      <w:r w:rsidR="00B464EF">
        <w:rPr>
          <w:rFonts w:ascii="Helvetica" w:hAnsi="Helvetica" w:cs="Helvetica"/>
          <w:vertAlign w:val="superscript"/>
        </w:rPr>
        <w:instrText xml:space="preserve"> ADDIN ZOTERO_ITEM CSL_CITATION {"citationID":"weqvKLEW","properties":{"formattedCitation":"(Boyce and Walsh, 2007; Yang et al., 2014)","plainCitation":"(Boyce and Walsh, 2007; Yang et al., 2014)","noteIndex":0},"citationItems":[{"id":2065,"uris":["http://zotero.org/users/7038461/items/4U3GGYMY"],"itemData":{"id":2065,"type":"article-journal","abstract":"Growth on a wheat bran media induced production of an extracellular beta-glucanase by Rhizomucor miehei (DSM 1330). The enzyme was purified to homogeneity. Substrate specificity studies coupled with protein database similarity searching using mass spectrometry-derived sequence data indicate it to be an endo-1,3(4)-beta-glucanase (EC 3.2.1.6). The enzyme was characterised in terms of potential suitability for use in animal (poultry) feed. Significant activity was observed over the entire pH range typical of the avian upper digestive tract (pH 2.6-6.5). The enzyme was also found to be more thermostable than current commercialized beta-glucanases, particularly when heated at a high enzyme concentration, and retained twice as much residual activity as the latter upon exposure to simulated avian digestive tract conditions. There are no previous reports of the production, purification or characterization of a beta-glucanase from a Rhizomucor, and the enzyme's application-relevant physicochemical characteristics render it potentially suited for use in animal feed.","container-title":"Applied Microbiology and Biotechnology","DOI":"10.1007/s00253-007-1058-x","ISSN":"0175-7598","issue":"4","journalAbbreviation":"Appl Microbiol Biotechnol","language":"eng","note":"PMID: 17589838","page":"835-841","source":"PubMed","title":"Production, purification and application-relevant characterisation of an endo-1,3(4)-beta-glucanase from Rhizomucor miehei","volume":"76","author":[{"family":"Boyce","given":"A."},{"family":"Walsh","given":"G."}],"issued":{"date-parts":[["2007",9]]}}},{"id":2062,"uris":["http://zotero.org/users/7038461/items/EMDMZ63T"],"itemData":{"id":2062,"type":"article-journal","abstract":"A novel alkaline β-1,3-1,4-glucanase (McLic1) from a thermophilic fungus, Malbranchea cinnamomea, was purified and biochemically characterized. McLic1 was purified to homogeneity with a purification fold of 3.1 and a recovery yield of 3.7 %. The purified enzyme was most active at pH 10.0 and 55 °C, and exhibited a wide range of pH stability (pH 4.0–10.0). McLic1 displayed strict substrate specificity for barley β-glucan, oat β-glucan and lichenan, but did not show activity towards other tested polysaccharides and synthetic p-nitrophenyl derivates, suggesting that it is a specific β-1,3-1,4-glucanase. The K  m values for barley β-glucan, oat β-glucan and lichenan were determined to be 0.69, 1.11 and 0.63 mg mL−1, respectively. Moreover, the enzyme was stable in various non ionic surfactants, oxidizing agents and several commercial detergents. Thus, the alkaline β-1,3-1,4-glucanase may have potential in industrial applications, such as detergent, paper and pulp industries.","container-title":"Journal of Industrial Microbiology and Biotechnology","DOI":"10.1007/s10295-014-1494-4","ISSN":"1367-5435","issue":"10","journalAbbreviation":"Journal of Industrial Microbiology and Biotechnology","page":"1487-1495","source":"Silverchair","title":"Purification and characterization of a novel alkaline β-1,3-1,4-glucanase (lichenase) from thermophilic fungus Malbranchea cinnamomea","volume":"41","author":[{"family":"Yang","given":"Shaoqing"},{"family":"Xiong","given":"Hao"},{"family":"Yan","given":"Qiaojuan"},{"family":"Yang","given":"Hongye"},{"family":"Jiang","given":"Zhengqiang"}],"issued":{"date-parts":[["2014",10,1]]}}}],"schema":"https://github.com/citation-style-language/schema/raw/master/csl-citation.json"} </w:instrText>
      </w:r>
      <w:r w:rsidR="009D5F20">
        <w:rPr>
          <w:rFonts w:ascii="Helvetica" w:hAnsi="Helvetica" w:cs="Helvetica"/>
          <w:vertAlign w:val="superscript"/>
        </w:rPr>
        <w:fldChar w:fldCharType="separate"/>
      </w:r>
      <w:r w:rsidR="00B464EF" w:rsidRPr="00B464EF">
        <w:rPr>
          <w:rFonts w:ascii="Helvetica" w:hAnsi="Helvetica" w:cs="Helvetica"/>
        </w:rPr>
        <w:t>(Boyce and Walsh, 2007; Yang et al., 2014)</w:t>
      </w:r>
      <w:r w:rsidR="009D5F20">
        <w:rPr>
          <w:rFonts w:ascii="Helvetica" w:hAnsi="Helvetica" w:cs="Helvetica"/>
          <w:vertAlign w:val="superscript"/>
        </w:rPr>
        <w:fldChar w:fldCharType="end"/>
      </w:r>
      <w:r w:rsidR="00F70F5D">
        <w:rPr>
          <w:rFonts w:ascii="Helvetica" w:hAnsi="Helvetica" w:cs="Helvetica"/>
        </w:rPr>
        <w:t xml:space="preserve">. The catalytic efficiency of Tvir30 is therefore within the normal range and is acceptable for industrial application. </w:t>
      </w:r>
    </w:p>
    <w:p w14:paraId="6C31BA86" w14:textId="77777777" w:rsidR="00FF106D" w:rsidRDefault="00FF106D" w:rsidP="00FF106D">
      <w:pPr>
        <w:pStyle w:val="CETheadingx"/>
        <w:rPr>
          <w:bCs/>
          <w:i/>
          <w:iCs/>
        </w:rPr>
      </w:pPr>
      <w:r>
        <w:t>Products of hydrolysis</w:t>
      </w:r>
    </w:p>
    <w:p w14:paraId="19F1CC27" w14:textId="2AB540F9" w:rsidR="00FF106D" w:rsidRPr="00FF106D" w:rsidRDefault="00FF106D" w:rsidP="00FF106D">
      <w:pPr>
        <w:pStyle w:val="CETBodytext"/>
        <w:rPr>
          <w:sz w:val="16"/>
          <w:szCs w:val="16"/>
          <w:lang w:val="en-GB"/>
        </w:rPr>
      </w:pPr>
      <w:r>
        <w:t xml:space="preserve">Tvir30 was incubated with 1% (w/v) pustulan and 1% (w/v) alkali-soluble yeast </w:t>
      </w:r>
      <w:r>
        <w:rPr>
          <w:rFonts w:ascii="Times New Roman" w:hAnsi="Times New Roman"/>
        </w:rPr>
        <w:t>β</w:t>
      </w:r>
      <w:r>
        <w:t>-glucan (YBG) for 1 hour and 18 h respectively</w:t>
      </w:r>
      <w:r w:rsidRPr="0036660D">
        <w:t xml:space="preserve"> </w:t>
      </w:r>
      <w:r>
        <w:t>at 40</w:t>
      </w:r>
      <w:r>
        <w:rPr>
          <w:vertAlign w:val="superscript"/>
        </w:rPr>
        <w:t>o</w:t>
      </w:r>
      <w:r>
        <w:t xml:space="preserve">C at an appropriate dilution. The products of hydrolysis were resolved by high </w:t>
      </w:r>
      <w:r w:rsidR="00DB72D4">
        <w:t>HPAE-PAD</w:t>
      </w:r>
      <w:r>
        <w:t xml:space="preserve"> </w:t>
      </w:r>
      <w:proofErr w:type="spellStart"/>
      <w:r>
        <w:t>visualised</w:t>
      </w:r>
      <w:proofErr w:type="spellEnd"/>
      <w:r>
        <w:t xml:space="preserve"> by TLC as described in Materials and Methods.</w:t>
      </w:r>
    </w:p>
    <w:p w14:paraId="104C5FB0" w14:textId="77777777" w:rsidR="009106FA" w:rsidRDefault="009106FA" w:rsidP="00451BAE">
      <w:pPr>
        <w:pStyle w:val="CETBodytext"/>
        <w:rPr>
          <w:rStyle w:val="CommentReference"/>
          <w:lang w:val="en-GB"/>
        </w:rPr>
      </w:pPr>
    </w:p>
    <w:p w14:paraId="7CA7E42B" w14:textId="7998B6F4" w:rsidR="0017535D" w:rsidRDefault="009106FA" w:rsidP="0000429B">
      <w:pPr>
        <w:pStyle w:val="CETBodytext"/>
      </w:pPr>
      <w:r w:rsidRPr="009106FA">
        <w:lastRenderedPageBreak/>
        <w:t>Hy</w:t>
      </w:r>
      <w:r w:rsidR="00451BAE">
        <w:t>drolysis of pustulan</w:t>
      </w:r>
      <w:r w:rsidR="001075ED">
        <w:t xml:space="preserve"> </w:t>
      </w:r>
      <w:r w:rsidR="00E24A6A">
        <w:t>determined</w:t>
      </w:r>
      <w:r w:rsidR="00451BAE">
        <w:t xml:space="preserve"> </w:t>
      </w:r>
      <w:r w:rsidR="007851F3">
        <w:t xml:space="preserve">that Tvir30 has an endolytic mode of action, </w:t>
      </w:r>
      <w:r w:rsidR="00B40E20">
        <w:t>as it can liberate</w:t>
      </w:r>
      <w:r w:rsidR="00F76B9F">
        <w:t xml:space="preserve"> a range of</w:t>
      </w:r>
      <w:r w:rsidR="00B40E20">
        <w:t xml:space="preserve"> sugars with a</w:t>
      </w:r>
      <w:r>
        <w:t xml:space="preserve"> DP </w:t>
      </w:r>
      <w:r w:rsidR="00F76B9F">
        <w:rPr>
          <w:rFonts w:cs="Arial"/>
        </w:rPr>
        <w:t>&gt;</w:t>
      </w:r>
      <w:r>
        <w:t xml:space="preserve"> 2</w:t>
      </w:r>
      <w:r w:rsidR="00526B6C">
        <w:t xml:space="preserve">. </w:t>
      </w:r>
      <w:r w:rsidR="00F76B9F">
        <w:t xml:space="preserve">HPAEC analysis </w:t>
      </w:r>
      <w:r w:rsidR="00E24A6A">
        <w:t>revealed</w:t>
      </w:r>
      <w:r w:rsidR="00644158">
        <w:t xml:space="preserve"> the main products of hydrolysis as glucose (peak 2) and gentiobiose (peak 3)</w:t>
      </w:r>
      <w:r w:rsidR="0000429B">
        <w:t xml:space="preserve"> (Figure 4A)</w:t>
      </w:r>
      <w:r w:rsidR="00644158">
        <w:t xml:space="preserve">. The peak with the largest area, peak 1, </w:t>
      </w:r>
      <w:r w:rsidR="00D4704F">
        <w:t xml:space="preserve">likely arises from the elution of glycerol within the enzyme sample. </w:t>
      </w:r>
      <w:r w:rsidR="001F50F1">
        <w:t xml:space="preserve">Besides glucose and gentiobiose, </w:t>
      </w:r>
      <w:r w:rsidR="0000429B">
        <w:t>five</w:t>
      </w:r>
      <w:r w:rsidR="001F50F1">
        <w:t xml:space="preserve"> additional distinct peaks are visible, and the TLC plate in Figure 4B</w:t>
      </w:r>
      <w:r w:rsidR="00BB062C">
        <w:t xml:space="preserve"> indicates that these may be gentiotriose, </w:t>
      </w:r>
      <w:proofErr w:type="spellStart"/>
      <w:r w:rsidR="00EE4C22">
        <w:t>gentio</w:t>
      </w:r>
      <w:r w:rsidR="00BB062C">
        <w:t>tetraose</w:t>
      </w:r>
      <w:proofErr w:type="spellEnd"/>
      <w:r w:rsidR="00BB062C">
        <w:t xml:space="preserve">, </w:t>
      </w:r>
      <w:proofErr w:type="spellStart"/>
      <w:r w:rsidR="00EE4C22">
        <w:t>gentio</w:t>
      </w:r>
      <w:r w:rsidR="00BB062C">
        <w:t>pentaose</w:t>
      </w:r>
      <w:proofErr w:type="spellEnd"/>
      <w:r w:rsidR="00BB062C">
        <w:t xml:space="preserve">, and so on. </w:t>
      </w:r>
    </w:p>
    <w:p w14:paraId="55E89B4A" w14:textId="5FAB199B" w:rsidR="0000429B" w:rsidRDefault="00A9272D" w:rsidP="0000429B">
      <w:pPr>
        <w:pStyle w:val="CETBodytext"/>
      </w:pPr>
      <w:r>
        <w:rPr>
          <w:noProof/>
          <w:lang w:val="en-IE" w:eastAsia="ja-JP"/>
        </w:rPr>
        <mc:AlternateContent>
          <mc:Choice Requires="wps">
            <w:drawing>
              <wp:anchor distT="0" distB="0" distL="114300" distR="114300" simplePos="0" relativeHeight="251631616" behindDoc="0" locked="0" layoutInCell="1" allowOverlap="1" wp14:anchorId="30C54432" wp14:editId="45484157">
                <wp:simplePos x="0" y="0"/>
                <wp:positionH relativeFrom="column">
                  <wp:posOffset>2974694</wp:posOffset>
                </wp:positionH>
                <wp:positionV relativeFrom="paragraph">
                  <wp:posOffset>178829</wp:posOffset>
                </wp:positionV>
                <wp:extent cx="456752" cy="260430"/>
                <wp:effectExtent l="0" t="0" r="0" b="0"/>
                <wp:wrapNone/>
                <wp:docPr id="7" name="TextBox 12"/>
                <wp:cNvGraphicFramePr/>
                <a:graphic xmlns:a="http://schemas.openxmlformats.org/drawingml/2006/main">
                  <a:graphicData uri="http://schemas.microsoft.com/office/word/2010/wordprocessingShape">
                    <wps:wsp>
                      <wps:cNvSpPr txBox="1"/>
                      <wps:spPr>
                        <a:xfrm>
                          <a:off x="0" y="0"/>
                          <a:ext cx="456752" cy="260430"/>
                        </a:xfrm>
                        <a:prstGeom prst="rect">
                          <a:avLst/>
                        </a:prstGeom>
                        <a:noFill/>
                      </wps:spPr>
                      <wps:txbx>
                        <w:txbxContent>
                          <w:p w14:paraId="064EC826" w14:textId="77777777" w:rsidR="00A9272D" w:rsidRDefault="00A9272D" w:rsidP="00A9272D">
                            <w:pPr>
                              <w:rPr>
                                <w:b/>
                                <w:bCs/>
                                <w:color w:val="000000"/>
                                <w:kern w:val="24"/>
                                <w:szCs w:val="18"/>
                              </w:rPr>
                            </w:pPr>
                            <w:r>
                              <w:rPr>
                                <w:b/>
                                <w:bCs/>
                                <w:color w:val="000000"/>
                                <w:kern w:val="24"/>
                                <w:szCs w:val="18"/>
                              </w:rPr>
                              <w:t>B</w:t>
                            </w:r>
                            <w:r>
                              <w:rPr>
                                <w:rFonts w:ascii="Calibri" w:hAnsi="Calibri"/>
                                <w:b/>
                                <w:bCs/>
                                <w:color w:val="000000"/>
                                <w:kern w:val="24"/>
                                <w:sz w:val="21"/>
                                <w:szCs w:val="21"/>
                              </w:rPr>
                              <w:t xml:space="preserve">. </w:t>
                            </w:r>
                          </w:p>
                        </w:txbxContent>
                      </wps:txbx>
                      <wps:bodyPr wrap="square" rtlCol="0">
                        <a:noAutofit/>
                      </wps:bodyPr>
                    </wps:wsp>
                  </a:graphicData>
                </a:graphic>
                <wp14:sizeRelV relativeFrom="margin">
                  <wp14:pctHeight>0</wp14:pctHeight>
                </wp14:sizeRelV>
              </wp:anchor>
            </w:drawing>
          </mc:Choice>
          <mc:Fallback>
            <w:pict>
              <v:shape w14:anchorId="30C54432" id="_x0000_s1030" type="#_x0000_t202" style="position:absolute;left:0;text-align:left;margin-left:234.25pt;margin-top:14.1pt;width:35.95pt;height:20.5pt;z-index:251631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" filled="f" stroked="f">
                <v:textbox>
                  <w:txbxContent>
                    <w:p w14:paraId="064EC826" w14:textId="77777777" w:rsidR="00A9272D" w:rsidRDefault="00A9272D" w:rsidP="00A9272D">
                      <w:pPr>
                        <w:rPr>
                          <w:b/>
                          <w:bCs/>
                          <w:color w:val="000000"/>
                          <w:kern w:val="24"/>
                          <w:szCs w:val="18"/>
                        </w:rPr>
                      </w:pPr>
                      <w:r>
                        <w:rPr>
                          <w:b/>
                          <w:bCs/>
                          <w:color w:val="000000"/>
                          <w:kern w:val="24"/>
                          <w:szCs w:val="18"/>
                        </w:rPr>
                        <w:t>B</w:t>
                      </w:r>
                      <w:r>
                        <w:rPr>
                          <w:rFonts w:ascii="Calibri" w:hAnsi="Calibri"/>
                          <w:b/>
                          <w:bCs/>
                          <w:color w:val="000000"/>
                          <w:kern w:val="24"/>
                          <w:sz w:val="21"/>
                          <w:szCs w:val="21"/>
                        </w:rPr>
                        <w:t xml:space="preserve">. </w:t>
                      </w:r>
                    </w:p>
                  </w:txbxContent>
                </v:textbox>
              </v:shape>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77"/>
      </w:tblGrid>
      <w:tr w:rsidR="0000429B" w14:paraId="756A1973" w14:textId="77777777" w:rsidTr="00C07C7D">
        <w:trPr>
          <w:trHeight w:val="3683"/>
        </w:trPr>
        <w:tc>
          <w:tcPr>
            <w:tcW w:w="8777" w:type="dxa"/>
          </w:tcPr>
          <w:p w14:paraId="68D45EF8" w14:textId="72784498" w:rsidR="0000429B" w:rsidRDefault="00A9272D" w:rsidP="0000429B">
            <w:pPr>
              <w:pStyle w:val="CETBodytext"/>
            </w:pPr>
            <w:r>
              <w:rPr>
                <w:noProof/>
                <w:lang w:val="en-IE" w:eastAsia="ja-JP"/>
              </w:rPr>
              <mc:AlternateContent>
                <mc:Choice Requires="wps">
                  <w:drawing>
                    <wp:anchor distT="0" distB="0" distL="114300" distR="114300" simplePos="0" relativeHeight="251633664" behindDoc="0" locked="0" layoutInCell="1" allowOverlap="1" wp14:anchorId="47CA9034" wp14:editId="2BD4E0BE">
                      <wp:simplePos x="0" y="0"/>
                      <wp:positionH relativeFrom="column">
                        <wp:posOffset>-56700</wp:posOffset>
                      </wp:positionH>
                      <wp:positionV relativeFrom="paragraph">
                        <wp:posOffset>14412</wp:posOffset>
                      </wp:positionV>
                      <wp:extent cx="456752" cy="260430"/>
                      <wp:effectExtent l="0" t="0" r="0" b="0"/>
                      <wp:wrapNone/>
                      <wp:docPr id="10" name="TextBox 12"/>
                      <wp:cNvGraphicFramePr/>
                      <a:graphic xmlns:a="http://schemas.openxmlformats.org/drawingml/2006/main">
                        <a:graphicData uri="http://schemas.microsoft.com/office/word/2010/wordprocessingShape">
                          <wps:wsp>
                            <wps:cNvSpPr txBox="1"/>
                            <wps:spPr>
                              <a:xfrm>
                                <a:off x="0" y="0"/>
                                <a:ext cx="456752" cy="260430"/>
                              </a:xfrm>
                              <a:prstGeom prst="rect">
                                <a:avLst/>
                              </a:prstGeom>
                              <a:noFill/>
                            </wps:spPr>
                            <wps:txbx>
                              <w:txbxContent>
                                <w:p w14:paraId="04C481DB" w14:textId="495C79EB" w:rsidR="00A9272D" w:rsidRDefault="00A9272D" w:rsidP="00A9272D">
                                  <w:pPr>
                                    <w:rPr>
                                      <w:b/>
                                      <w:bCs/>
                                      <w:color w:val="000000"/>
                                      <w:kern w:val="24"/>
                                      <w:szCs w:val="18"/>
                                    </w:rPr>
                                  </w:pPr>
                                  <w:r>
                                    <w:rPr>
                                      <w:b/>
                                      <w:bCs/>
                                      <w:color w:val="000000"/>
                                      <w:kern w:val="24"/>
                                      <w:szCs w:val="18"/>
                                    </w:rPr>
                                    <w:t>A</w:t>
                                  </w:r>
                                  <w:r>
                                    <w:rPr>
                                      <w:rFonts w:ascii="Calibri" w:hAnsi="Calibri"/>
                                      <w:b/>
                                      <w:bCs/>
                                      <w:color w:val="000000"/>
                                      <w:kern w:val="24"/>
                                      <w:sz w:val="21"/>
                                      <w:szCs w:val="21"/>
                                    </w:rPr>
                                    <w:t xml:space="preserve">. </w:t>
                                  </w:r>
                                </w:p>
                              </w:txbxContent>
                            </wps:txbx>
                            <wps:bodyPr wrap="square" rtlCol="0">
                              <a:noAutofit/>
                            </wps:bodyPr>
                          </wps:wsp>
                        </a:graphicData>
                      </a:graphic>
                      <wp14:sizeRelV relativeFrom="margin">
                        <wp14:pctHeight>0</wp14:pctHeight>
                      </wp14:sizeRelV>
                    </wp:anchor>
                  </w:drawing>
                </mc:Choice>
                <mc:Fallback>
                  <w:pict>
                    <v:shape w14:anchorId="47CA9034" id="_x0000_s1031" type="#_x0000_t202" style="position:absolute;left:0;text-align:left;margin-left:-4.45pt;margin-top:1.15pt;width:35.95pt;height:20.5pt;z-index:251633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" filled="f" stroked="f">
                      <v:textbox>
                        <w:txbxContent>
                          <w:p w14:paraId="04C481DB" w14:textId="495C79EB" w:rsidR="00A9272D" w:rsidRDefault="00A9272D" w:rsidP="00A9272D">
                            <w:pPr>
                              <w:rPr>
                                <w:b/>
                                <w:bCs/>
                                <w:color w:val="000000"/>
                                <w:kern w:val="24"/>
                                <w:szCs w:val="18"/>
                              </w:rPr>
                            </w:pPr>
                            <w:r>
                              <w:rPr>
                                <w:b/>
                                <w:bCs/>
                                <w:color w:val="000000"/>
                                <w:kern w:val="24"/>
                                <w:szCs w:val="18"/>
                              </w:rPr>
                              <w:t>A</w:t>
                            </w:r>
                            <w:r>
                              <w:rPr>
                                <w:rFonts w:ascii="Calibri" w:hAnsi="Calibri"/>
                                <w:b/>
                                <w:bCs/>
                                <w:color w:val="000000"/>
                                <w:kern w:val="24"/>
                                <w:sz w:val="21"/>
                                <w:szCs w:val="21"/>
                              </w:rPr>
                              <w:t xml:space="preserve">. </w:t>
                            </w:r>
                          </w:p>
                        </w:txbxContent>
                      </v:textbox>
                    </v:shape>
                  </w:pict>
                </mc:Fallback>
              </mc:AlternateContent>
            </w:r>
            <w:r>
              <w:rPr>
                <w:noProof/>
                <w:lang w:val="en-IE" w:eastAsia="ja-JP"/>
              </w:rPr>
              <w:drawing>
                <wp:anchor distT="0" distB="0" distL="114300" distR="114300" simplePos="0" relativeHeight="251629568" behindDoc="0" locked="0" layoutInCell="1" allowOverlap="1" wp14:anchorId="019C0F32" wp14:editId="5F11C739">
                  <wp:simplePos x="0" y="0"/>
                  <wp:positionH relativeFrom="column">
                    <wp:posOffset>39876</wp:posOffset>
                  </wp:positionH>
                  <wp:positionV relativeFrom="paragraph">
                    <wp:posOffset>75871</wp:posOffset>
                  </wp:positionV>
                  <wp:extent cx="2961640" cy="175323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253" t="7620" r="17253" b="1513"/>
                          <a:stretch/>
                        </pic:blipFill>
                        <pic:spPr bwMode="auto">
                          <a:xfrm>
                            <a:off x="0" y="0"/>
                            <a:ext cx="2961640" cy="1753235"/>
                          </a:xfrm>
                          <a:prstGeom prst="rect">
                            <a:avLst/>
                          </a:prstGeom>
                          <a:ln>
                            <a:noFill/>
                          </a:ln>
                          <a:extLst>
                            <a:ext uri="{53640926-AAD7-44D8-BBD7-CCE9431645EC}">
                              <a14:shadowObscured xmlns:a14="http://schemas.microsoft.com/office/drawing/2010/main"/>
                            </a:ext>
                          </a:extLst>
                        </pic:spPr>
                      </pic:pic>
                    </a:graphicData>
                  </a:graphic>
                </wp:anchor>
              </w:drawing>
            </w:r>
            <w:r w:rsidR="00FD5B73" w:rsidRPr="00FD5B73">
              <w:rPr>
                <w:rFonts w:ascii="Helvetica" w:hAnsi="Helvetica" w:cs="Helvetica"/>
                <w:noProof/>
                <w:lang w:val="en-IE" w:eastAsia="ja-JP"/>
              </w:rPr>
              <mc:AlternateContent>
                <mc:Choice Requires="wps">
                  <w:drawing>
                    <wp:anchor distT="45720" distB="45720" distL="114300" distR="114300" simplePos="0" relativeHeight="251627520" behindDoc="0" locked="0" layoutInCell="1" allowOverlap="1" wp14:anchorId="4170FC5F" wp14:editId="672BD9DB">
                      <wp:simplePos x="0" y="0"/>
                      <wp:positionH relativeFrom="column">
                        <wp:posOffset>4241712</wp:posOffset>
                      </wp:positionH>
                      <wp:positionV relativeFrom="paragraph">
                        <wp:posOffset>180340</wp:posOffset>
                      </wp:positionV>
                      <wp:extent cx="1188720" cy="1249680"/>
                      <wp:effectExtent l="0" t="0" r="0" b="76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1249680"/>
                              </a:xfrm>
                              <a:prstGeom prst="rect">
                                <a:avLst/>
                              </a:prstGeom>
                              <a:solidFill>
                                <a:srgbClr val="FFFFFF"/>
                              </a:solidFill>
                              <a:ln w="9525">
                                <a:noFill/>
                                <a:miter lim="800000"/>
                                <a:headEnd/>
                                <a:tailEnd/>
                              </a:ln>
                            </wps:spPr>
                            <wps:txbx>
                              <w:txbxContent>
                                <w:p w14:paraId="513046FA" w14:textId="2FFDA24D" w:rsidR="00FD5B73" w:rsidRPr="00A9272D" w:rsidRDefault="00FD5B73" w:rsidP="00A9272D">
                                  <w:pPr>
                                    <w:pStyle w:val="ListParagraph"/>
                                    <w:numPr>
                                      <w:ilvl w:val="0"/>
                                      <w:numId w:val="27"/>
                                    </w:numPr>
                                    <w:spacing w:after="60"/>
                                    <w:ind w:left="357" w:hanging="357"/>
                                    <w:contextualSpacing w:val="0"/>
                                    <w:jc w:val="left"/>
                                    <w:rPr>
                                      <w:sz w:val="14"/>
                                      <w:szCs w:val="16"/>
                                    </w:rPr>
                                  </w:pPr>
                                  <w:r w:rsidRPr="00A9272D">
                                    <w:rPr>
                                      <w:sz w:val="14"/>
                                      <w:szCs w:val="16"/>
                                    </w:rPr>
                                    <w:t>Glucose</w:t>
                                  </w:r>
                                </w:p>
                                <w:p w14:paraId="304838DE" w14:textId="11E242F2" w:rsidR="00FD5B73" w:rsidRPr="00A9272D" w:rsidRDefault="00FD5B73" w:rsidP="00A9272D">
                                  <w:pPr>
                                    <w:pStyle w:val="ListParagraph"/>
                                    <w:numPr>
                                      <w:ilvl w:val="0"/>
                                      <w:numId w:val="27"/>
                                    </w:numPr>
                                    <w:spacing w:after="60"/>
                                    <w:ind w:left="357" w:hanging="357"/>
                                    <w:contextualSpacing w:val="0"/>
                                    <w:jc w:val="left"/>
                                    <w:rPr>
                                      <w:sz w:val="14"/>
                                      <w:szCs w:val="16"/>
                                    </w:rPr>
                                  </w:pPr>
                                  <w:r w:rsidRPr="00A9272D">
                                    <w:rPr>
                                      <w:sz w:val="14"/>
                                      <w:szCs w:val="16"/>
                                    </w:rPr>
                                    <w:t>Gentiobiose</w:t>
                                  </w:r>
                                </w:p>
                                <w:p w14:paraId="302EEF71" w14:textId="13E81694" w:rsidR="00FD5B73" w:rsidRPr="00A9272D" w:rsidRDefault="00BE7650" w:rsidP="00A9272D">
                                  <w:pPr>
                                    <w:pStyle w:val="ListParagraph"/>
                                    <w:numPr>
                                      <w:ilvl w:val="0"/>
                                      <w:numId w:val="27"/>
                                    </w:numPr>
                                    <w:spacing w:after="60"/>
                                    <w:ind w:left="357" w:hanging="357"/>
                                    <w:contextualSpacing w:val="0"/>
                                    <w:jc w:val="left"/>
                                    <w:rPr>
                                      <w:sz w:val="14"/>
                                      <w:szCs w:val="16"/>
                                    </w:rPr>
                                  </w:pPr>
                                  <w:r w:rsidRPr="00A9272D">
                                    <w:rPr>
                                      <w:sz w:val="14"/>
                                      <w:szCs w:val="16"/>
                                    </w:rPr>
                                    <w:t>Pustulan hydrolysis, 1 h</w:t>
                                  </w:r>
                                </w:p>
                                <w:p w14:paraId="49B6F21F" w14:textId="0E3E069D" w:rsidR="00BE7650" w:rsidRPr="00A9272D" w:rsidRDefault="00BE7650" w:rsidP="00A9272D">
                                  <w:pPr>
                                    <w:pStyle w:val="ListParagraph"/>
                                    <w:numPr>
                                      <w:ilvl w:val="0"/>
                                      <w:numId w:val="27"/>
                                    </w:numPr>
                                    <w:spacing w:after="60"/>
                                    <w:ind w:left="357" w:hanging="357"/>
                                    <w:contextualSpacing w:val="0"/>
                                    <w:jc w:val="left"/>
                                    <w:rPr>
                                      <w:sz w:val="14"/>
                                      <w:szCs w:val="16"/>
                                    </w:rPr>
                                  </w:pPr>
                                  <w:r w:rsidRPr="00A9272D">
                                    <w:rPr>
                                      <w:sz w:val="14"/>
                                      <w:szCs w:val="16"/>
                                    </w:rPr>
                                    <w:t>Pustulan hydrolysis</w:t>
                                  </w:r>
                                  <w:r w:rsidR="00A9272D" w:rsidRPr="00A9272D">
                                    <w:rPr>
                                      <w:sz w:val="14"/>
                                      <w:szCs w:val="16"/>
                                    </w:rPr>
                                    <w:t xml:space="preserve"> Blank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70FC5F" id="Text Box 2" o:spid="_x0000_s1032" type="#_x0000_t202" style="position:absolute;left:0;text-align:left;margin-left:334pt;margin-top:14.2pt;width:93.6pt;height:98.4pt;z-index:251627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" stroked="f">
                      <v:textbox>
                        <w:txbxContent>
                          <w:p w14:paraId="513046FA" w14:textId="2FFDA24D" w:rsidR="00FD5B73" w:rsidRPr="00A9272D" w:rsidRDefault="00FD5B73" w:rsidP="00A9272D">
                            <w:pPr>
                              <w:pStyle w:val="ListParagraph"/>
                              <w:numPr>
                                <w:ilvl w:val="0"/>
                                <w:numId w:val="27"/>
                              </w:numPr>
                              <w:spacing w:after="60"/>
                              <w:ind w:left="357" w:hanging="357"/>
                              <w:contextualSpacing w:val="0"/>
                              <w:jc w:val="left"/>
                              <w:rPr>
                                <w:sz w:val="14"/>
                                <w:szCs w:val="16"/>
                              </w:rPr>
                            </w:pPr>
                            <w:r w:rsidRPr="00A9272D">
                              <w:rPr>
                                <w:sz w:val="14"/>
                                <w:szCs w:val="16"/>
                              </w:rPr>
                              <w:t>Glucose</w:t>
                            </w:r>
                          </w:p>
                          <w:p w14:paraId="304838DE" w14:textId="11E242F2" w:rsidR="00FD5B73" w:rsidRPr="00A9272D" w:rsidRDefault="00FD5B73" w:rsidP="00A9272D">
                            <w:pPr>
                              <w:pStyle w:val="ListParagraph"/>
                              <w:numPr>
                                <w:ilvl w:val="0"/>
                                <w:numId w:val="27"/>
                              </w:numPr>
                              <w:spacing w:after="60"/>
                              <w:ind w:left="357" w:hanging="357"/>
                              <w:contextualSpacing w:val="0"/>
                              <w:jc w:val="left"/>
                              <w:rPr>
                                <w:sz w:val="14"/>
                                <w:szCs w:val="16"/>
                              </w:rPr>
                            </w:pPr>
                            <w:r w:rsidRPr="00A9272D">
                              <w:rPr>
                                <w:sz w:val="14"/>
                                <w:szCs w:val="16"/>
                              </w:rPr>
                              <w:t>Gentiobiose</w:t>
                            </w:r>
                          </w:p>
                          <w:p w14:paraId="302EEF71" w14:textId="13E81694" w:rsidR="00FD5B73" w:rsidRPr="00A9272D" w:rsidRDefault="00BE7650" w:rsidP="00A9272D">
                            <w:pPr>
                              <w:pStyle w:val="ListParagraph"/>
                              <w:numPr>
                                <w:ilvl w:val="0"/>
                                <w:numId w:val="27"/>
                              </w:numPr>
                              <w:spacing w:after="60"/>
                              <w:ind w:left="357" w:hanging="357"/>
                              <w:contextualSpacing w:val="0"/>
                              <w:jc w:val="left"/>
                              <w:rPr>
                                <w:sz w:val="14"/>
                                <w:szCs w:val="16"/>
                              </w:rPr>
                            </w:pPr>
                            <w:r w:rsidRPr="00A9272D">
                              <w:rPr>
                                <w:sz w:val="14"/>
                                <w:szCs w:val="16"/>
                              </w:rPr>
                              <w:t>Pustulan hydrolysis, 1 h</w:t>
                            </w:r>
                          </w:p>
                          <w:p w14:paraId="49B6F21F" w14:textId="0E3E069D" w:rsidR="00BE7650" w:rsidRPr="00A9272D" w:rsidRDefault="00BE7650" w:rsidP="00A9272D">
                            <w:pPr>
                              <w:pStyle w:val="ListParagraph"/>
                              <w:numPr>
                                <w:ilvl w:val="0"/>
                                <w:numId w:val="27"/>
                              </w:numPr>
                              <w:spacing w:after="60"/>
                              <w:ind w:left="357" w:hanging="357"/>
                              <w:contextualSpacing w:val="0"/>
                              <w:jc w:val="left"/>
                              <w:rPr>
                                <w:sz w:val="14"/>
                                <w:szCs w:val="16"/>
                              </w:rPr>
                            </w:pPr>
                            <w:r w:rsidRPr="00A9272D">
                              <w:rPr>
                                <w:sz w:val="14"/>
                                <w:szCs w:val="16"/>
                              </w:rPr>
                              <w:t>Pustulan hydrolysis</w:t>
                            </w:r>
                            <w:r w:rsidR="00A9272D" w:rsidRPr="00A9272D">
                              <w:rPr>
                                <w:sz w:val="14"/>
                                <w:szCs w:val="16"/>
                              </w:rPr>
                              <w:t xml:space="preserve"> Blank</w:t>
                            </w:r>
                          </w:p>
                        </w:txbxContent>
                      </v:textbox>
                      <w10:wrap type="square"/>
                    </v:shape>
                  </w:pict>
                </mc:Fallback>
              </mc:AlternateContent>
            </w:r>
            <w:r w:rsidR="00FD5B73" w:rsidRPr="00FD5B73">
              <w:rPr>
                <w:rFonts w:ascii="Helvetica" w:hAnsi="Helvetica" w:cs="Helvetica"/>
                <w:noProof/>
                <w:lang w:val="en-IE" w:eastAsia="ja-JP"/>
              </w:rPr>
              <mc:AlternateContent>
                <mc:Choice Requires="wps">
                  <w:drawing>
                    <wp:anchor distT="0" distB="0" distL="114300" distR="114300" simplePos="0" relativeHeight="251625472" behindDoc="0" locked="0" layoutInCell="1" allowOverlap="1" wp14:anchorId="79B2C911" wp14:editId="6E9923B3">
                      <wp:simplePos x="0" y="0"/>
                      <wp:positionH relativeFrom="margin">
                        <wp:posOffset>3153741</wp:posOffset>
                      </wp:positionH>
                      <wp:positionV relativeFrom="paragraph">
                        <wp:posOffset>1518782</wp:posOffset>
                      </wp:positionV>
                      <wp:extent cx="1120389" cy="190831"/>
                      <wp:effectExtent l="0" t="0" r="0" b="0"/>
                      <wp:wrapNone/>
                      <wp:docPr id="11" name="TextBox 10">
                        <a:extLst xmlns:a="http://schemas.openxmlformats.org/drawingml/2006/main">
                          <a:ext uri="{FF2B5EF4-FFF2-40B4-BE49-F238E27FC236}">
                            <a16:creationId xmlns:a16="http://schemas.microsoft.com/office/drawing/2014/main" id="{6D78B248-5C8D-0A76-DCE4-FF881FF4E5E3}"/>
                          </a:ext>
                        </a:extLst>
                      </wp:docPr>
                      <wp:cNvGraphicFramePr/>
                      <a:graphic xmlns:a="http://schemas.openxmlformats.org/drawingml/2006/main">
                        <a:graphicData uri="http://schemas.microsoft.com/office/word/2010/wordprocessingShape">
                          <wps:wsp>
                            <wps:cNvSpPr txBox="1"/>
                            <wps:spPr>
                              <a:xfrm>
                                <a:off x="0" y="0"/>
                                <a:ext cx="1120389" cy="190831"/>
                              </a:xfrm>
                              <a:prstGeom prst="rect">
                                <a:avLst/>
                              </a:prstGeom>
                              <a:noFill/>
                            </wps:spPr>
                            <wps:txbx>
                              <w:txbxContent>
                                <w:p w14:paraId="1030FC8D" w14:textId="4A813C8F" w:rsidR="00FD5B73" w:rsidRPr="00FD5B73" w:rsidRDefault="00FD5B73" w:rsidP="00FD5B73">
                                  <w:pPr>
                                    <w:rPr>
                                      <w:rFonts w:cs="Arial"/>
                                      <w:b/>
                                      <w:bCs/>
                                      <w:color w:val="000000" w:themeColor="text1"/>
                                      <w:kern w:val="24"/>
                                      <w:sz w:val="14"/>
                                      <w:szCs w:val="14"/>
                                    </w:rPr>
                                  </w:pPr>
                                  <w:r w:rsidRPr="00FD5B73">
                                    <w:rPr>
                                      <w:rFonts w:cs="Arial"/>
                                      <w:b/>
                                      <w:bCs/>
                                      <w:color w:val="000000" w:themeColor="text1"/>
                                      <w:kern w:val="24"/>
                                      <w:sz w:val="14"/>
                                      <w:szCs w:val="14"/>
                                    </w:rPr>
                                    <w:t xml:space="preserve">1       </w:t>
                                  </w:r>
                                  <w:r>
                                    <w:rPr>
                                      <w:rFonts w:cs="Arial"/>
                                      <w:b/>
                                      <w:bCs/>
                                      <w:color w:val="000000" w:themeColor="text1"/>
                                      <w:kern w:val="24"/>
                                      <w:sz w:val="14"/>
                                      <w:szCs w:val="14"/>
                                    </w:rPr>
                                    <w:t xml:space="preserve">  </w:t>
                                  </w:r>
                                  <w:r w:rsidRPr="00FD5B73">
                                    <w:rPr>
                                      <w:rFonts w:cs="Arial"/>
                                      <w:b/>
                                      <w:bCs/>
                                      <w:color w:val="000000" w:themeColor="text1"/>
                                      <w:kern w:val="24"/>
                                      <w:sz w:val="14"/>
                                      <w:szCs w:val="14"/>
                                    </w:rPr>
                                    <w:t xml:space="preserve">2       </w:t>
                                  </w:r>
                                  <w:r>
                                    <w:rPr>
                                      <w:rFonts w:cs="Arial"/>
                                      <w:b/>
                                      <w:bCs/>
                                      <w:color w:val="000000" w:themeColor="text1"/>
                                      <w:kern w:val="24"/>
                                      <w:sz w:val="14"/>
                                      <w:szCs w:val="14"/>
                                    </w:rPr>
                                    <w:t xml:space="preserve"> </w:t>
                                  </w:r>
                                  <w:r w:rsidRPr="00FD5B73">
                                    <w:rPr>
                                      <w:rFonts w:cs="Arial"/>
                                      <w:b/>
                                      <w:bCs/>
                                      <w:color w:val="000000" w:themeColor="text1"/>
                                      <w:kern w:val="24"/>
                                      <w:sz w:val="14"/>
                                      <w:szCs w:val="14"/>
                                    </w:rPr>
                                    <w:t xml:space="preserve"> 3     </w:t>
                                  </w:r>
                                  <w:r>
                                    <w:rPr>
                                      <w:rFonts w:cs="Arial"/>
                                      <w:b/>
                                      <w:bCs/>
                                      <w:color w:val="000000" w:themeColor="text1"/>
                                      <w:kern w:val="24"/>
                                      <w:sz w:val="14"/>
                                      <w:szCs w:val="14"/>
                                    </w:rPr>
                                    <w:t xml:space="preserve"> 4</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9B2C911" id="TextBox 10" o:spid="_x0000_s1033" type="#_x0000_t202" style="position:absolute;left:0;text-align:left;margin-left:248.35pt;margin-top:119.6pt;width:88.2pt;height:15.05pt;z-index:251625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" filled="f" stroked="f">
                      <v:textbox>
                        <w:txbxContent>
                          <w:p w14:paraId="1030FC8D" w14:textId="4A813C8F" w:rsidR="00FD5B73" w:rsidRPr="00FD5B73" w:rsidRDefault="00FD5B73" w:rsidP="00FD5B73">
                            <w:pPr>
                              <w:rPr>
                                <w:rFonts w:cs="Arial"/>
                                <w:b/>
                                <w:bCs/>
                                <w:color w:val="000000" w:themeColor="text1"/>
                                <w:kern w:val="24"/>
                                <w:sz w:val="14"/>
                                <w:szCs w:val="14"/>
                              </w:rPr>
                            </w:pPr>
                            <w:r w:rsidRPr="00FD5B73">
                              <w:rPr>
                                <w:rFonts w:cs="Arial"/>
                                <w:b/>
                                <w:bCs/>
                                <w:color w:val="000000" w:themeColor="text1"/>
                                <w:kern w:val="24"/>
                                <w:sz w:val="14"/>
                                <w:szCs w:val="14"/>
                              </w:rPr>
                              <w:t xml:space="preserve">1       </w:t>
                            </w:r>
                            <w:r>
                              <w:rPr>
                                <w:rFonts w:cs="Arial"/>
                                <w:b/>
                                <w:bCs/>
                                <w:color w:val="000000" w:themeColor="text1"/>
                                <w:kern w:val="24"/>
                                <w:sz w:val="14"/>
                                <w:szCs w:val="14"/>
                              </w:rPr>
                              <w:t xml:space="preserve">  </w:t>
                            </w:r>
                            <w:r w:rsidRPr="00FD5B73">
                              <w:rPr>
                                <w:rFonts w:cs="Arial"/>
                                <w:b/>
                                <w:bCs/>
                                <w:color w:val="000000" w:themeColor="text1"/>
                                <w:kern w:val="24"/>
                                <w:sz w:val="14"/>
                                <w:szCs w:val="14"/>
                              </w:rPr>
                              <w:t xml:space="preserve">2       </w:t>
                            </w:r>
                            <w:r>
                              <w:rPr>
                                <w:rFonts w:cs="Arial"/>
                                <w:b/>
                                <w:bCs/>
                                <w:color w:val="000000" w:themeColor="text1"/>
                                <w:kern w:val="24"/>
                                <w:sz w:val="14"/>
                                <w:szCs w:val="14"/>
                              </w:rPr>
                              <w:t xml:space="preserve"> </w:t>
                            </w:r>
                            <w:r w:rsidRPr="00FD5B73">
                              <w:rPr>
                                <w:rFonts w:cs="Arial"/>
                                <w:b/>
                                <w:bCs/>
                                <w:color w:val="000000" w:themeColor="text1"/>
                                <w:kern w:val="24"/>
                                <w:sz w:val="14"/>
                                <w:szCs w:val="14"/>
                              </w:rPr>
                              <w:t xml:space="preserve"> 3     </w:t>
                            </w:r>
                            <w:r>
                              <w:rPr>
                                <w:rFonts w:cs="Arial"/>
                                <w:b/>
                                <w:bCs/>
                                <w:color w:val="000000" w:themeColor="text1"/>
                                <w:kern w:val="24"/>
                                <w:sz w:val="14"/>
                                <w:szCs w:val="14"/>
                              </w:rPr>
                              <w:t xml:space="preserve"> 4</w:t>
                            </w:r>
                          </w:p>
                        </w:txbxContent>
                      </v:textbox>
                      <w10:wrap anchorx="margin"/>
                    </v:shape>
                  </w:pict>
                </mc:Fallback>
              </mc:AlternateContent>
            </w:r>
            <w:r w:rsidR="00B450E9">
              <w:rPr>
                <w:noProof/>
                <w:lang w:val="en-IE" w:eastAsia="ja-JP"/>
              </w:rPr>
              <w:drawing>
                <wp:anchor distT="0" distB="0" distL="114300" distR="114300" simplePos="0" relativeHeight="251623424" behindDoc="0" locked="0" layoutInCell="1" allowOverlap="1" wp14:anchorId="6623CE76" wp14:editId="38B68F5F">
                  <wp:simplePos x="0" y="0"/>
                  <wp:positionH relativeFrom="column">
                    <wp:posOffset>3216275</wp:posOffset>
                  </wp:positionH>
                  <wp:positionV relativeFrom="paragraph">
                    <wp:posOffset>129540</wp:posOffset>
                  </wp:positionV>
                  <wp:extent cx="1018540" cy="139636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a:extLst>
                              <a:ext uri="{28A0092B-C50C-407E-A947-70E740481C1C}">
                                <a14:useLocalDpi xmlns:a14="http://schemas.microsoft.com/office/drawing/2010/main" val="0"/>
                              </a:ext>
                            </a:extLst>
                          </a:blip>
                          <a:srcRect t="9945" b="8082"/>
                          <a:stretch/>
                        </pic:blipFill>
                        <pic:spPr bwMode="auto">
                          <a:xfrm>
                            <a:off x="0" y="0"/>
                            <a:ext cx="1018540" cy="13963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88361CE" w14:textId="77777777" w:rsidR="00A9272D" w:rsidRDefault="00A9272D" w:rsidP="0000429B">
            <w:pPr>
              <w:pStyle w:val="CETBodytext"/>
            </w:pPr>
          </w:p>
          <w:p w14:paraId="0C3FB9D4" w14:textId="1BA687AF" w:rsidR="00B61DDF" w:rsidRDefault="00B61DDF" w:rsidP="00C07C7D">
            <w:pPr>
              <w:pStyle w:val="CETCaption"/>
              <w:spacing w:after="0"/>
            </w:pPr>
          </w:p>
          <w:p w14:paraId="69E0F028" w14:textId="05288DCA" w:rsidR="000F188C" w:rsidRPr="00C07C7D" w:rsidRDefault="000F188C" w:rsidP="00C07C7D">
            <w:pPr>
              <w:pStyle w:val="CETCaption"/>
              <w:spacing w:after="0"/>
            </w:pPr>
            <w:r>
              <w:t xml:space="preserve">Figure 4: A. </w:t>
            </w:r>
            <w:r w:rsidR="00DB72D4">
              <w:t>HPAE-PAD</w:t>
            </w:r>
            <w:r w:rsidR="00062160">
              <w:t xml:space="preserve"> analysis</w:t>
            </w:r>
            <w:r w:rsidR="00C07C7D">
              <w:t xml:space="preserve"> and B. TLC analysis</w:t>
            </w:r>
            <w:r w:rsidR="00062160">
              <w:t xml:space="preserve"> of a sample of pustulan hydrolysed by Tvir30</w:t>
            </w:r>
            <w:r w:rsidR="00C07C7D">
              <w:t xml:space="preserve"> for 1 h at 40</w:t>
            </w:r>
            <w:r w:rsidR="00C07C7D">
              <w:rPr>
                <w:vertAlign w:val="superscript"/>
              </w:rPr>
              <w:t>o</w:t>
            </w:r>
            <w:r w:rsidR="00C07C7D">
              <w:t>C.</w:t>
            </w:r>
          </w:p>
        </w:tc>
      </w:tr>
    </w:tbl>
    <w:p w14:paraId="13FF6C08" w14:textId="18DBF29E" w:rsidR="00274C3D" w:rsidRDefault="00E82DF6" w:rsidP="00274C3D">
      <w:pPr>
        <w:spacing w:before="240" w:after="120"/>
      </w:pPr>
      <w:r w:rsidRPr="00FD5B73">
        <w:rPr>
          <w:rFonts w:ascii="Helvetica" w:hAnsi="Helvetica" w:cs="Helvetica"/>
          <w:noProof/>
          <w:lang w:val="en-IE" w:eastAsia="ja-JP"/>
        </w:rPr>
        <mc:AlternateContent>
          <mc:Choice Requires="wps">
            <w:drawing>
              <wp:anchor distT="0" distB="0" distL="114300" distR="114300" simplePos="0" relativeHeight="251701248" behindDoc="0" locked="0" layoutInCell="1" allowOverlap="1" wp14:anchorId="512646AB" wp14:editId="5007B34E">
                <wp:simplePos x="0" y="0"/>
                <wp:positionH relativeFrom="margin">
                  <wp:posOffset>3259669</wp:posOffset>
                </wp:positionH>
                <wp:positionV relativeFrom="paragraph">
                  <wp:posOffset>2166026</wp:posOffset>
                </wp:positionV>
                <wp:extent cx="1120389" cy="190831"/>
                <wp:effectExtent l="0" t="0" r="0" b="0"/>
                <wp:wrapNone/>
                <wp:docPr id="23" name="TextBox 10"/>
                <wp:cNvGraphicFramePr/>
                <a:graphic xmlns:a="http://schemas.openxmlformats.org/drawingml/2006/main">
                  <a:graphicData uri="http://schemas.microsoft.com/office/word/2010/wordprocessingShape">
                    <wps:wsp>
                      <wps:cNvSpPr txBox="1"/>
                      <wps:spPr>
                        <a:xfrm>
                          <a:off x="0" y="0"/>
                          <a:ext cx="1120389" cy="190831"/>
                        </a:xfrm>
                        <a:prstGeom prst="rect">
                          <a:avLst/>
                        </a:prstGeom>
                        <a:noFill/>
                      </wps:spPr>
                      <wps:txbx>
                        <w:txbxContent>
                          <w:p w14:paraId="2E9FC581" w14:textId="7C0AC95A" w:rsidR="00E82DF6" w:rsidRPr="00FD5B73" w:rsidRDefault="00E82DF6" w:rsidP="00E82DF6">
                            <w:pPr>
                              <w:rPr>
                                <w:rFonts w:cs="Arial"/>
                                <w:b/>
                                <w:bCs/>
                                <w:color w:val="000000" w:themeColor="text1"/>
                                <w:kern w:val="24"/>
                                <w:sz w:val="14"/>
                                <w:szCs w:val="14"/>
                              </w:rPr>
                            </w:pPr>
                            <w:r w:rsidRPr="00FD5B73">
                              <w:rPr>
                                <w:rFonts w:cs="Arial"/>
                                <w:b/>
                                <w:bCs/>
                                <w:color w:val="000000" w:themeColor="text1"/>
                                <w:kern w:val="24"/>
                                <w:sz w:val="14"/>
                                <w:szCs w:val="14"/>
                              </w:rPr>
                              <w:t xml:space="preserve">1     </w:t>
                            </w:r>
                            <w:r>
                              <w:rPr>
                                <w:rFonts w:cs="Arial"/>
                                <w:b/>
                                <w:bCs/>
                                <w:color w:val="000000" w:themeColor="text1"/>
                                <w:kern w:val="24"/>
                                <w:sz w:val="14"/>
                                <w:szCs w:val="14"/>
                              </w:rPr>
                              <w:t xml:space="preserve"> </w:t>
                            </w:r>
                            <w:r w:rsidRPr="00FD5B73">
                              <w:rPr>
                                <w:rFonts w:cs="Arial"/>
                                <w:b/>
                                <w:bCs/>
                                <w:color w:val="000000" w:themeColor="text1"/>
                                <w:kern w:val="24"/>
                                <w:sz w:val="14"/>
                                <w:szCs w:val="14"/>
                              </w:rPr>
                              <w:t xml:space="preserve">2     </w:t>
                            </w:r>
                            <w:r>
                              <w:rPr>
                                <w:rFonts w:cs="Arial"/>
                                <w:b/>
                                <w:bCs/>
                                <w:color w:val="000000" w:themeColor="text1"/>
                                <w:kern w:val="24"/>
                                <w:sz w:val="14"/>
                                <w:szCs w:val="14"/>
                              </w:rPr>
                              <w:t xml:space="preserve"> </w:t>
                            </w:r>
                            <w:r w:rsidRPr="00FD5B73">
                              <w:rPr>
                                <w:rFonts w:cs="Arial"/>
                                <w:b/>
                                <w:bCs/>
                                <w:color w:val="000000" w:themeColor="text1"/>
                                <w:kern w:val="24"/>
                                <w:sz w:val="14"/>
                                <w:szCs w:val="14"/>
                              </w:rPr>
                              <w:t xml:space="preserve"> 3    </w:t>
                            </w:r>
                            <w:r>
                              <w:rPr>
                                <w:rFonts w:cs="Arial"/>
                                <w:b/>
                                <w:bCs/>
                                <w:color w:val="000000" w:themeColor="text1"/>
                                <w:kern w:val="24"/>
                                <w:sz w:val="14"/>
                                <w:szCs w:val="14"/>
                              </w:rPr>
                              <w:t>4</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12646AB" id="_x0000_s1034" type="#_x0000_t202" style="position:absolute;left:0;text-align:left;margin-left:256.65pt;margin-top:170.55pt;width:88.2pt;height:15.0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" filled="f" stroked="f">
                <v:textbox>
                  <w:txbxContent>
                    <w:p w14:paraId="2E9FC581" w14:textId="7C0AC95A" w:rsidR="00E82DF6" w:rsidRPr="00FD5B73" w:rsidRDefault="00E82DF6" w:rsidP="00E82DF6">
                      <w:pPr>
                        <w:rPr>
                          <w:rFonts w:cs="Arial"/>
                          <w:b/>
                          <w:bCs/>
                          <w:color w:val="000000" w:themeColor="text1"/>
                          <w:kern w:val="24"/>
                          <w:sz w:val="14"/>
                          <w:szCs w:val="14"/>
                        </w:rPr>
                      </w:pPr>
                      <w:r w:rsidRPr="00FD5B73">
                        <w:rPr>
                          <w:rFonts w:cs="Arial"/>
                          <w:b/>
                          <w:bCs/>
                          <w:color w:val="000000" w:themeColor="text1"/>
                          <w:kern w:val="24"/>
                          <w:sz w:val="14"/>
                          <w:szCs w:val="14"/>
                        </w:rPr>
                        <w:t xml:space="preserve">1     </w:t>
                      </w:r>
                      <w:r>
                        <w:rPr>
                          <w:rFonts w:cs="Arial"/>
                          <w:b/>
                          <w:bCs/>
                          <w:color w:val="000000" w:themeColor="text1"/>
                          <w:kern w:val="24"/>
                          <w:sz w:val="14"/>
                          <w:szCs w:val="14"/>
                        </w:rPr>
                        <w:t xml:space="preserve"> </w:t>
                      </w:r>
                      <w:r w:rsidRPr="00FD5B73">
                        <w:rPr>
                          <w:rFonts w:cs="Arial"/>
                          <w:b/>
                          <w:bCs/>
                          <w:color w:val="000000" w:themeColor="text1"/>
                          <w:kern w:val="24"/>
                          <w:sz w:val="14"/>
                          <w:szCs w:val="14"/>
                        </w:rPr>
                        <w:t xml:space="preserve">2     </w:t>
                      </w:r>
                      <w:r>
                        <w:rPr>
                          <w:rFonts w:cs="Arial"/>
                          <w:b/>
                          <w:bCs/>
                          <w:color w:val="000000" w:themeColor="text1"/>
                          <w:kern w:val="24"/>
                          <w:sz w:val="14"/>
                          <w:szCs w:val="14"/>
                        </w:rPr>
                        <w:t xml:space="preserve"> </w:t>
                      </w:r>
                      <w:r w:rsidRPr="00FD5B73">
                        <w:rPr>
                          <w:rFonts w:cs="Arial"/>
                          <w:b/>
                          <w:bCs/>
                          <w:color w:val="000000" w:themeColor="text1"/>
                          <w:kern w:val="24"/>
                          <w:sz w:val="14"/>
                          <w:szCs w:val="14"/>
                        </w:rPr>
                        <w:t xml:space="preserve"> 3    </w:t>
                      </w:r>
                      <w:r>
                        <w:rPr>
                          <w:rFonts w:cs="Arial"/>
                          <w:b/>
                          <w:bCs/>
                          <w:color w:val="000000" w:themeColor="text1"/>
                          <w:kern w:val="24"/>
                          <w:sz w:val="14"/>
                          <w:szCs w:val="14"/>
                        </w:rPr>
                        <w:t>4</w:t>
                      </w:r>
                    </w:p>
                  </w:txbxContent>
                </v:textbox>
                <w10:wrap anchorx="margin"/>
              </v:shape>
            </w:pict>
          </mc:Fallback>
        </mc:AlternateContent>
      </w:r>
      <w:r w:rsidR="006E4BD5">
        <w:t xml:space="preserve">To determine if Tvir30 could be used to generate </w:t>
      </w:r>
      <w:proofErr w:type="spellStart"/>
      <w:r w:rsidR="0013684F">
        <w:t>GnOS</w:t>
      </w:r>
      <w:proofErr w:type="spellEnd"/>
      <w:r w:rsidR="0013684F">
        <w:t xml:space="preserve"> </w:t>
      </w:r>
      <w:r w:rsidR="006E4BD5">
        <w:t xml:space="preserve">from Brewer’s spent yeast, the enzyme was incubated with 1% (w/v) alkali-soluble yeast </w:t>
      </w:r>
      <w:r w:rsidR="006E4BD5" w:rsidRPr="006E4BD5">
        <w:rPr>
          <w:rFonts w:cs="Arial"/>
        </w:rPr>
        <w:t>β</w:t>
      </w:r>
      <w:r w:rsidR="006E4BD5">
        <w:t>-gluc</w:t>
      </w:r>
      <w:r w:rsidR="001B6714">
        <w:t>an</w:t>
      </w:r>
      <w:r w:rsidR="000D5CCE">
        <w:t xml:space="preserve">. </w:t>
      </w:r>
      <w:r w:rsidR="00A70024">
        <w:t xml:space="preserve">The reaction was analysed by HPAEC </w:t>
      </w:r>
      <w:r w:rsidR="00274C3D">
        <w:t xml:space="preserve">and TLC </w:t>
      </w:r>
      <w:r w:rsidR="00A70024">
        <w:t>as shown in Figure 5</w:t>
      </w:r>
      <w:r w:rsidR="00274C3D">
        <w:t xml:space="preserve">. </w:t>
      </w:r>
    </w:p>
    <w:tbl>
      <w:tblPr>
        <w:tblStyle w:val="TableGrid"/>
        <w:tblW w:w="87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4"/>
      </w:tblGrid>
      <w:tr w:rsidR="00A70024" w14:paraId="1790D5AA" w14:textId="77777777" w:rsidTr="00B0572F">
        <w:trPr>
          <w:trHeight w:val="3567"/>
        </w:trPr>
        <w:tc>
          <w:tcPr>
            <w:tcW w:w="8724" w:type="dxa"/>
            <w:shd w:val="clear" w:color="auto" w:fill="auto"/>
          </w:tcPr>
          <w:p w14:paraId="6CB930C5" w14:textId="40273796" w:rsidR="00A70024" w:rsidRDefault="00862D1F" w:rsidP="00F70F5D">
            <w:pPr>
              <w:spacing w:before="360"/>
            </w:pPr>
            <w:r>
              <w:rPr>
                <w:noProof/>
                <w:lang w:val="en-IE" w:eastAsia="ja-JP"/>
              </w:rPr>
              <mc:AlternateContent>
                <mc:Choice Requires="wps">
                  <w:drawing>
                    <wp:anchor distT="0" distB="0" distL="114300" distR="114300" simplePos="0" relativeHeight="251711488" behindDoc="0" locked="0" layoutInCell="1" allowOverlap="1" wp14:anchorId="55CD2475" wp14:editId="56B0C7EE">
                      <wp:simplePos x="0" y="0"/>
                      <wp:positionH relativeFrom="column">
                        <wp:posOffset>-9525</wp:posOffset>
                      </wp:positionH>
                      <wp:positionV relativeFrom="paragraph">
                        <wp:posOffset>1761490</wp:posOffset>
                      </wp:positionV>
                      <wp:extent cx="5378450" cy="454660"/>
                      <wp:effectExtent l="0" t="0" r="0" b="2540"/>
                      <wp:wrapSquare wrapText="bothSides"/>
                      <wp:docPr id="25" name="Text Box 25"/>
                      <wp:cNvGraphicFramePr/>
                      <a:graphic xmlns:a="http://schemas.openxmlformats.org/drawingml/2006/main">
                        <a:graphicData uri="http://schemas.microsoft.com/office/word/2010/wordprocessingShape">
                          <wps:wsp>
                            <wps:cNvSpPr txBox="1"/>
                            <wps:spPr>
                              <a:xfrm>
                                <a:off x="0" y="0"/>
                                <a:ext cx="5378450" cy="454660"/>
                              </a:xfrm>
                              <a:prstGeom prst="rect">
                                <a:avLst/>
                              </a:prstGeom>
                              <a:solidFill>
                                <a:prstClr val="white"/>
                              </a:solidFill>
                              <a:ln>
                                <a:noFill/>
                              </a:ln>
                            </wps:spPr>
                            <wps:txbx>
                              <w:txbxContent>
                                <w:p w14:paraId="1AB309B9" w14:textId="08B22BCF" w:rsidR="00C44B63" w:rsidRPr="0091547F" w:rsidRDefault="00C44B63" w:rsidP="00C44B63">
                                  <w:pPr>
                                    <w:pStyle w:val="CETCaption"/>
                                    <w:rPr>
                                      <w:noProof/>
                                    </w:rPr>
                                  </w:pPr>
                                  <w:r>
                                    <w:t xml:space="preserve">Figure 5: A. </w:t>
                                  </w:r>
                                  <w:r w:rsidR="00DB72D4">
                                    <w:t>HPAE-PAD</w:t>
                                  </w:r>
                                  <w:r>
                                    <w:t xml:space="preserve"> analysis and B. TLC analysis of a sample of yeast </w:t>
                                  </w:r>
                                  <w:r>
                                    <w:rPr>
                                      <w:rFonts w:ascii="Times New Roman" w:hAnsi="Times New Roman"/>
                                    </w:rPr>
                                    <w:t>β</w:t>
                                  </w:r>
                                  <w:r>
                                    <w:t>-glucan hydrolysed by Tvir30 for 18 h at 40</w:t>
                                  </w:r>
                                  <w:r>
                                    <w:rPr>
                                      <w:vertAlign w:val="superscript"/>
                                    </w:rPr>
                                    <w:t>o</w:t>
                                  </w:r>
                                  <w:r>
                                    <w:t>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CD2475" id="Text Box 25" o:spid="_x0000_s1035" type="#_x0000_t202" style="position:absolute;left:0;text-align:left;margin-left:-.75pt;margin-top:138.7pt;width:423.5pt;height:35.8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" stroked="f">
                      <v:textbox inset="0,0,0,0">
                        <w:txbxContent>
                          <w:p w14:paraId="1AB309B9" w14:textId="08B22BCF" w:rsidR="00C44B63" w:rsidRPr="0091547F" w:rsidRDefault="00C44B63" w:rsidP="00C44B63">
                            <w:pPr>
                              <w:pStyle w:val="CETCaption"/>
                              <w:rPr>
                                <w:noProof/>
                              </w:rPr>
                            </w:pPr>
                            <w:r>
                              <w:t xml:space="preserve">Figure 5: A. </w:t>
                            </w:r>
                            <w:r w:rsidR="00DB72D4">
                              <w:t>HPAE-PAD</w:t>
                            </w:r>
                            <w:r>
                              <w:t xml:space="preserve"> analysis and B. TLC analysis of a sample of yeast </w:t>
                            </w:r>
                            <w:r>
                              <w:rPr>
                                <w:rFonts w:ascii="Times New Roman" w:hAnsi="Times New Roman"/>
                              </w:rPr>
                              <w:t>β</w:t>
                            </w:r>
                            <w:r>
                              <w:t>-glucan hydrolysed by Tvir30 for 18 h at 40</w:t>
                            </w:r>
                            <w:r>
                              <w:rPr>
                                <w:vertAlign w:val="superscript"/>
                              </w:rPr>
                              <w:t>o</w:t>
                            </w:r>
                            <w:r>
                              <w:t>C.</w:t>
                            </w:r>
                          </w:p>
                        </w:txbxContent>
                      </v:textbox>
                      <w10:wrap type="square"/>
                    </v:shape>
                  </w:pict>
                </mc:Fallback>
              </mc:AlternateContent>
            </w:r>
            <w:r w:rsidR="005703D3">
              <w:rPr>
                <w:noProof/>
                <w:lang w:val="en-IE" w:eastAsia="ja-JP"/>
              </w:rPr>
              <mc:AlternateContent>
                <mc:Choice Requires="wps">
                  <w:drawing>
                    <wp:anchor distT="0" distB="0" distL="114300" distR="114300" simplePos="0" relativeHeight="251723776" behindDoc="0" locked="0" layoutInCell="1" allowOverlap="1" wp14:anchorId="570E9D97" wp14:editId="23432BC4">
                      <wp:simplePos x="0" y="0"/>
                      <wp:positionH relativeFrom="column">
                        <wp:posOffset>3594489</wp:posOffset>
                      </wp:positionH>
                      <wp:positionV relativeFrom="paragraph">
                        <wp:posOffset>925195</wp:posOffset>
                      </wp:positionV>
                      <wp:extent cx="179148" cy="362028"/>
                      <wp:effectExtent l="0" t="0" r="11430" b="19050"/>
                      <wp:wrapNone/>
                      <wp:docPr id="27" name="Rectangle 27"/>
                      <wp:cNvGraphicFramePr/>
                      <a:graphic xmlns:a="http://schemas.openxmlformats.org/drawingml/2006/main">
                        <a:graphicData uri="http://schemas.microsoft.com/office/word/2010/wordprocessingShape">
                          <wps:wsp>
                            <wps:cNvSpPr/>
                            <wps:spPr>
                              <a:xfrm>
                                <a:off x="0" y="0"/>
                                <a:ext cx="179148" cy="362028"/>
                              </a:xfrm>
                              <a:prstGeom prst="rect">
                                <a:avLst/>
                              </a:prstGeom>
                              <a:noFill/>
                              <a:ln w="6350" cap="flat" cmpd="sng" algn="ctr">
                                <a:solidFill>
                                  <a:schemeClr val="bg1"/>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5"/>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7C33A43" id="Rectangle 27" o:spid="_x0000_s1026" style="position:absolute;margin-left:283.05pt;margin-top:72.85pt;width:14.1pt;height:28.5pt;z-index:251723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" filled="f" strokecolor="white [3212]" strokeweight=".5pt">
                      <v:stroke joinstyle="round"/>
                    </v:rect>
                  </w:pict>
                </mc:Fallback>
              </mc:AlternateContent>
            </w:r>
            <w:r w:rsidR="00E82DF6">
              <w:rPr>
                <w:noProof/>
                <w:lang w:val="en-IE" w:eastAsia="ja-JP"/>
              </w:rPr>
              <w:drawing>
                <wp:anchor distT="0" distB="0" distL="114300" distR="114300" simplePos="0" relativeHeight="251683840" behindDoc="0" locked="0" layoutInCell="1" allowOverlap="1" wp14:anchorId="50727BD1" wp14:editId="2D44A022">
                  <wp:simplePos x="0" y="0"/>
                  <wp:positionH relativeFrom="column">
                    <wp:posOffset>3217545</wp:posOffset>
                  </wp:positionH>
                  <wp:positionV relativeFrom="paragraph">
                    <wp:posOffset>138430</wp:posOffset>
                  </wp:positionV>
                  <wp:extent cx="811530" cy="1332865"/>
                  <wp:effectExtent l="0" t="0" r="7620" b="63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11530" cy="1332865"/>
                          </a:xfrm>
                          <a:prstGeom prst="rect">
                            <a:avLst/>
                          </a:prstGeom>
                          <a:noFill/>
                        </pic:spPr>
                      </pic:pic>
                    </a:graphicData>
                  </a:graphic>
                  <wp14:sizeRelH relativeFrom="margin">
                    <wp14:pctWidth>0</wp14:pctWidth>
                  </wp14:sizeRelH>
                  <wp14:sizeRelV relativeFrom="margin">
                    <wp14:pctHeight>0</wp14:pctHeight>
                  </wp14:sizeRelV>
                </wp:anchor>
              </w:drawing>
            </w:r>
            <w:r w:rsidR="00E82DF6" w:rsidRPr="00FD5B73">
              <w:rPr>
                <w:rFonts w:ascii="Helvetica" w:hAnsi="Helvetica" w:cs="Helvetica"/>
                <w:noProof/>
                <w:lang w:val="en-IE" w:eastAsia="ja-JP"/>
              </w:rPr>
              <mc:AlternateContent>
                <mc:Choice Requires="wps">
                  <w:drawing>
                    <wp:anchor distT="45720" distB="45720" distL="114300" distR="114300" simplePos="0" relativeHeight="251697152" behindDoc="0" locked="0" layoutInCell="1" allowOverlap="1" wp14:anchorId="3F6DC147" wp14:editId="346DF172">
                      <wp:simplePos x="0" y="0"/>
                      <wp:positionH relativeFrom="column">
                        <wp:posOffset>4193506</wp:posOffset>
                      </wp:positionH>
                      <wp:positionV relativeFrom="paragraph">
                        <wp:posOffset>185023</wp:posOffset>
                      </wp:positionV>
                      <wp:extent cx="1188720" cy="1249680"/>
                      <wp:effectExtent l="0" t="0" r="0" b="762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1249680"/>
                              </a:xfrm>
                              <a:prstGeom prst="rect">
                                <a:avLst/>
                              </a:prstGeom>
                              <a:solidFill>
                                <a:srgbClr val="FFFFFF"/>
                              </a:solidFill>
                              <a:ln w="9525">
                                <a:noFill/>
                                <a:miter lim="800000"/>
                                <a:headEnd/>
                                <a:tailEnd/>
                              </a:ln>
                            </wps:spPr>
                            <wps:txbx>
                              <w:txbxContent>
                                <w:p w14:paraId="3E205365" w14:textId="6BF1B796" w:rsidR="00E82DF6" w:rsidRPr="00E82DF6" w:rsidRDefault="00E82DF6" w:rsidP="00E82DF6">
                                  <w:pPr>
                                    <w:pStyle w:val="ListParagraph"/>
                                    <w:numPr>
                                      <w:ilvl w:val="0"/>
                                      <w:numId w:val="28"/>
                                    </w:numPr>
                                    <w:spacing w:after="60"/>
                                    <w:ind w:left="357" w:hanging="357"/>
                                    <w:contextualSpacing w:val="0"/>
                                    <w:jc w:val="left"/>
                                    <w:rPr>
                                      <w:sz w:val="14"/>
                                      <w:szCs w:val="16"/>
                                    </w:rPr>
                                  </w:pPr>
                                  <w:r>
                                    <w:rPr>
                                      <w:sz w:val="14"/>
                                      <w:szCs w:val="16"/>
                                    </w:rPr>
                                    <w:t xml:space="preserve">YBG spiked </w:t>
                                  </w:r>
                                  <w:r w:rsidR="00C44B63">
                                    <w:rPr>
                                      <w:sz w:val="14"/>
                                      <w:szCs w:val="16"/>
                                    </w:rPr>
                                    <w:t>with g</w:t>
                                  </w:r>
                                  <w:r w:rsidRPr="00E82DF6">
                                    <w:rPr>
                                      <w:sz w:val="14"/>
                                      <w:szCs w:val="16"/>
                                    </w:rPr>
                                    <w:t>lucose</w:t>
                                  </w:r>
                                </w:p>
                                <w:p w14:paraId="792C2699" w14:textId="4E155E8D" w:rsidR="00E82DF6" w:rsidRPr="00E82DF6" w:rsidRDefault="00C44B63" w:rsidP="00E82DF6">
                                  <w:pPr>
                                    <w:pStyle w:val="ListParagraph"/>
                                    <w:numPr>
                                      <w:ilvl w:val="0"/>
                                      <w:numId w:val="28"/>
                                    </w:numPr>
                                    <w:spacing w:after="60"/>
                                    <w:ind w:left="357" w:hanging="357"/>
                                    <w:contextualSpacing w:val="0"/>
                                    <w:jc w:val="left"/>
                                    <w:rPr>
                                      <w:sz w:val="14"/>
                                      <w:szCs w:val="16"/>
                                    </w:rPr>
                                  </w:pPr>
                                  <w:r>
                                    <w:rPr>
                                      <w:sz w:val="14"/>
                                      <w:szCs w:val="16"/>
                                    </w:rPr>
                                    <w:t>YBG spiked with g</w:t>
                                  </w:r>
                                  <w:r w:rsidR="00E82DF6" w:rsidRPr="00E82DF6">
                                    <w:rPr>
                                      <w:sz w:val="14"/>
                                      <w:szCs w:val="16"/>
                                    </w:rPr>
                                    <w:t>entiobiose</w:t>
                                  </w:r>
                                </w:p>
                                <w:p w14:paraId="2DD1C4C7" w14:textId="6CCC6FBB" w:rsidR="00E82DF6" w:rsidRPr="00E82DF6" w:rsidRDefault="00C44B63" w:rsidP="00E82DF6">
                                  <w:pPr>
                                    <w:pStyle w:val="ListParagraph"/>
                                    <w:numPr>
                                      <w:ilvl w:val="0"/>
                                      <w:numId w:val="28"/>
                                    </w:numPr>
                                    <w:spacing w:after="60"/>
                                    <w:ind w:left="357" w:hanging="357"/>
                                    <w:contextualSpacing w:val="0"/>
                                    <w:jc w:val="left"/>
                                    <w:rPr>
                                      <w:sz w:val="14"/>
                                      <w:szCs w:val="16"/>
                                    </w:rPr>
                                  </w:pPr>
                                  <w:r>
                                    <w:rPr>
                                      <w:sz w:val="14"/>
                                      <w:szCs w:val="16"/>
                                    </w:rPr>
                                    <w:t>YBG</w:t>
                                  </w:r>
                                  <w:r w:rsidR="00E82DF6" w:rsidRPr="00E82DF6">
                                    <w:rPr>
                                      <w:sz w:val="14"/>
                                      <w:szCs w:val="16"/>
                                    </w:rPr>
                                    <w:t xml:space="preserve"> hydrolysis, 1</w:t>
                                  </w:r>
                                  <w:r>
                                    <w:rPr>
                                      <w:sz w:val="14"/>
                                      <w:szCs w:val="16"/>
                                    </w:rPr>
                                    <w:t>8</w:t>
                                  </w:r>
                                  <w:r w:rsidR="00E82DF6" w:rsidRPr="00E82DF6">
                                    <w:rPr>
                                      <w:sz w:val="14"/>
                                      <w:szCs w:val="16"/>
                                    </w:rPr>
                                    <w:t xml:space="preserve"> h</w:t>
                                  </w:r>
                                </w:p>
                                <w:p w14:paraId="6376D03F" w14:textId="342018A0" w:rsidR="00E82DF6" w:rsidRPr="00E82DF6" w:rsidRDefault="00C44B63" w:rsidP="00E82DF6">
                                  <w:pPr>
                                    <w:pStyle w:val="ListParagraph"/>
                                    <w:numPr>
                                      <w:ilvl w:val="0"/>
                                      <w:numId w:val="28"/>
                                    </w:numPr>
                                    <w:spacing w:after="60"/>
                                    <w:jc w:val="left"/>
                                    <w:rPr>
                                      <w:sz w:val="14"/>
                                      <w:szCs w:val="16"/>
                                    </w:rPr>
                                  </w:pPr>
                                  <w:r>
                                    <w:rPr>
                                      <w:sz w:val="14"/>
                                      <w:szCs w:val="16"/>
                                    </w:rPr>
                                    <w:t>YBG</w:t>
                                  </w:r>
                                  <w:r w:rsidR="00E82DF6" w:rsidRPr="00E82DF6">
                                    <w:rPr>
                                      <w:sz w:val="14"/>
                                      <w:szCs w:val="16"/>
                                    </w:rPr>
                                    <w:t xml:space="preserve"> hydrolysis </w:t>
                                  </w:r>
                                  <w:r>
                                    <w:rPr>
                                      <w:sz w:val="14"/>
                                      <w:szCs w:val="16"/>
                                    </w:rPr>
                                    <w:t>b</w:t>
                                  </w:r>
                                  <w:r w:rsidR="00E82DF6" w:rsidRPr="00E82DF6">
                                    <w:rPr>
                                      <w:sz w:val="14"/>
                                      <w:szCs w:val="16"/>
                                    </w:rPr>
                                    <w:t>lank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6DC147" id="_x0000_s1036" type="#_x0000_t202" style="position:absolute;left:0;text-align:left;margin-left:330.2pt;margin-top:14.55pt;width:93.6pt;height:98.4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" stroked="f">
                      <v:textbox>
                        <w:txbxContent>
                          <w:p w14:paraId="3E205365" w14:textId="6BF1B796" w:rsidR="00E82DF6" w:rsidRPr="00E82DF6" w:rsidRDefault="00E82DF6" w:rsidP="00E82DF6">
                            <w:pPr>
                              <w:pStyle w:val="ListParagraph"/>
                              <w:numPr>
                                <w:ilvl w:val="0"/>
                                <w:numId w:val="28"/>
                              </w:numPr>
                              <w:spacing w:after="60"/>
                              <w:ind w:left="357" w:hanging="357"/>
                              <w:contextualSpacing w:val="0"/>
                              <w:jc w:val="left"/>
                              <w:rPr>
                                <w:sz w:val="14"/>
                                <w:szCs w:val="16"/>
                              </w:rPr>
                            </w:pPr>
                            <w:r>
                              <w:rPr>
                                <w:sz w:val="14"/>
                                <w:szCs w:val="16"/>
                              </w:rPr>
                              <w:t xml:space="preserve">YBG spiked </w:t>
                            </w:r>
                            <w:r w:rsidR="00C44B63">
                              <w:rPr>
                                <w:sz w:val="14"/>
                                <w:szCs w:val="16"/>
                              </w:rPr>
                              <w:t>with g</w:t>
                            </w:r>
                            <w:r w:rsidRPr="00E82DF6">
                              <w:rPr>
                                <w:sz w:val="14"/>
                                <w:szCs w:val="16"/>
                              </w:rPr>
                              <w:t>lucose</w:t>
                            </w:r>
                          </w:p>
                          <w:p w14:paraId="792C2699" w14:textId="4E155E8D" w:rsidR="00E82DF6" w:rsidRPr="00E82DF6" w:rsidRDefault="00C44B63" w:rsidP="00E82DF6">
                            <w:pPr>
                              <w:pStyle w:val="ListParagraph"/>
                              <w:numPr>
                                <w:ilvl w:val="0"/>
                                <w:numId w:val="28"/>
                              </w:numPr>
                              <w:spacing w:after="60"/>
                              <w:ind w:left="357" w:hanging="357"/>
                              <w:contextualSpacing w:val="0"/>
                              <w:jc w:val="left"/>
                              <w:rPr>
                                <w:sz w:val="14"/>
                                <w:szCs w:val="16"/>
                              </w:rPr>
                            </w:pPr>
                            <w:r>
                              <w:rPr>
                                <w:sz w:val="14"/>
                                <w:szCs w:val="16"/>
                              </w:rPr>
                              <w:t>YBG spiked with g</w:t>
                            </w:r>
                            <w:r w:rsidR="00E82DF6" w:rsidRPr="00E82DF6">
                              <w:rPr>
                                <w:sz w:val="14"/>
                                <w:szCs w:val="16"/>
                              </w:rPr>
                              <w:t>entiobiose</w:t>
                            </w:r>
                          </w:p>
                          <w:p w14:paraId="2DD1C4C7" w14:textId="6CCC6FBB" w:rsidR="00E82DF6" w:rsidRPr="00E82DF6" w:rsidRDefault="00C44B63" w:rsidP="00E82DF6">
                            <w:pPr>
                              <w:pStyle w:val="ListParagraph"/>
                              <w:numPr>
                                <w:ilvl w:val="0"/>
                                <w:numId w:val="28"/>
                              </w:numPr>
                              <w:spacing w:after="60"/>
                              <w:ind w:left="357" w:hanging="357"/>
                              <w:contextualSpacing w:val="0"/>
                              <w:jc w:val="left"/>
                              <w:rPr>
                                <w:sz w:val="14"/>
                                <w:szCs w:val="16"/>
                              </w:rPr>
                            </w:pPr>
                            <w:r>
                              <w:rPr>
                                <w:sz w:val="14"/>
                                <w:szCs w:val="16"/>
                              </w:rPr>
                              <w:t>YBG</w:t>
                            </w:r>
                            <w:r w:rsidR="00E82DF6" w:rsidRPr="00E82DF6">
                              <w:rPr>
                                <w:sz w:val="14"/>
                                <w:szCs w:val="16"/>
                              </w:rPr>
                              <w:t xml:space="preserve"> hydrolysis, 1</w:t>
                            </w:r>
                            <w:r>
                              <w:rPr>
                                <w:sz w:val="14"/>
                                <w:szCs w:val="16"/>
                              </w:rPr>
                              <w:t>8</w:t>
                            </w:r>
                            <w:r w:rsidR="00E82DF6" w:rsidRPr="00E82DF6">
                              <w:rPr>
                                <w:sz w:val="14"/>
                                <w:szCs w:val="16"/>
                              </w:rPr>
                              <w:t xml:space="preserve"> h</w:t>
                            </w:r>
                          </w:p>
                          <w:p w14:paraId="6376D03F" w14:textId="342018A0" w:rsidR="00E82DF6" w:rsidRPr="00E82DF6" w:rsidRDefault="00C44B63" w:rsidP="00E82DF6">
                            <w:pPr>
                              <w:pStyle w:val="ListParagraph"/>
                              <w:numPr>
                                <w:ilvl w:val="0"/>
                                <w:numId w:val="28"/>
                              </w:numPr>
                              <w:spacing w:after="60"/>
                              <w:jc w:val="left"/>
                              <w:rPr>
                                <w:sz w:val="14"/>
                                <w:szCs w:val="16"/>
                              </w:rPr>
                            </w:pPr>
                            <w:r>
                              <w:rPr>
                                <w:sz w:val="14"/>
                                <w:szCs w:val="16"/>
                              </w:rPr>
                              <w:t>YBG</w:t>
                            </w:r>
                            <w:r w:rsidR="00E82DF6" w:rsidRPr="00E82DF6">
                              <w:rPr>
                                <w:sz w:val="14"/>
                                <w:szCs w:val="16"/>
                              </w:rPr>
                              <w:t xml:space="preserve"> hydrolysis </w:t>
                            </w:r>
                            <w:r>
                              <w:rPr>
                                <w:sz w:val="14"/>
                                <w:szCs w:val="16"/>
                              </w:rPr>
                              <w:t>b</w:t>
                            </w:r>
                            <w:r w:rsidR="00E82DF6" w:rsidRPr="00E82DF6">
                              <w:rPr>
                                <w:sz w:val="14"/>
                                <w:szCs w:val="16"/>
                              </w:rPr>
                              <w:t>lank</w:t>
                            </w:r>
                          </w:p>
                        </w:txbxContent>
                      </v:textbox>
                      <w10:wrap type="square"/>
                    </v:shape>
                  </w:pict>
                </mc:Fallback>
              </mc:AlternateContent>
            </w:r>
            <w:r w:rsidR="004F07C9">
              <w:rPr>
                <w:noProof/>
                <w:lang w:val="en-IE" w:eastAsia="ja-JP"/>
              </w:rPr>
              <mc:AlternateContent>
                <mc:Choice Requires="wps">
                  <w:drawing>
                    <wp:anchor distT="0" distB="0" distL="114300" distR="114300" simplePos="0" relativeHeight="251669504" behindDoc="0" locked="0" layoutInCell="1" allowOverlap="1" wp14:anchorId="6F5299AF" wp14:editId="5588FE79">
                      <wp:simplePos x="0" y="0"/>
                      <wp:positionH relativeFrom="column">
                        <wp:posOffset>2840818</wp:posOffset>
                      </wp:positionH>
                      <wp:positionV relativeFrom="paragraph">
                        <wp:posOffset>36459</wp:posOffset>
                      </wp:positionV>
                      <wp:extent cx="456752" cy="260430"/>
                      <wp:effectExtent l="0" t="0" r="0" b="0"/>
                      <wp:wrapNone/>
                      <wp:docPr id="18" name="TextBox 12"/>
                      <wp:cNvGraphicFramePr/>
                      <a:graphic xmlns:a="http://schemas.openxmlformats.org/drawingml/2006/main">
                        <a:graphicData uri="http://schemas.microsoft.com/office/word/2010/wordprocessingShape">
                          <wps:wsp>
                            <wps:cNvSpPr txBox="1"/>
                            <wps:spPr>
                              <a:xfrm>
                                <a:off x="0" y="0"/>
                                <a:ext cx="456752" cy="260430"/>
                              </a:xfrm>
                              <a:prstGeom prst="rect">
                                <a:avLst/>
                              </a:prstGeom>
                              <a:noFill/>
                            </wps:spPr>
                            <wps:txbx>
                              <w:txbxContent>
                                <w:p w14:paraId="5E5227BF" w14:textId="77777777" w:rsidR="004F07C9" w:rsidRDefault="004F07C9" w:rsidP="004F07C9">
                                  <w:pPr>
                                    <w:rPr>
                                      <w:b/>
                                      <w:bCs/>
                                      <w:color w:val="000000"/>
                                      <w:kern w:val="24"/>
                                      <w:szCs w:val="18"/>
                                    </w:rPr>
                                  </w:pPr>
                                  <w:r>
                                    <w:rPr>
                                      <w:b/>
                                      <w:bCs/>
                                      <w:color w:val="000000"/>
                                      <w:kern w:val="24"/>
                                      <w:szCs w:val="18"/>
                                    </w:rPr>
                                    <w:t>B</w:t>
                                  </w:r>
                                  <w:r>
                                    <w:rPr>
                                      <w:rFonts w:ascii="Calibri" w:hAnsi="Calibri"/>
                                      <w:b/>
                                      <w:bCs/>
                                      <w:color w:val="000000"/>
                                      <w:kern w:val="24"/>
                                      <w:sz w:val="21"/>
                                      <w:szCs w:val="21"/>
                                    </w:rPr>
                                    <w:t xml:space="preserve">. </w:t>
                                  </w:r>
                                </w:p>
                              </w:txbxContent>
                            </wps:txbx>
                            <wps:bodyPr wrap="square" rtlCol="0">
                              <a:noAutofit/>
                            </wps:bodyPr>
                          </wps:wsp>
                        </a:graphicData>
                      </a:graphic>
                      <wp14:sizeRelV relativeFrom="margin">
                        <wp14:pctHeight>0</wp14:pctHeight>
                      </wp14:sizeRelV>
                    </wp:anchor>
                  </w:drawing>
                </mc:Choice>
                <mc:Fallback>
                  <w:pict>
                    <v:shape w14:anchorId="6F5299AF" id="_x0000_s1037" type="#_x0000_t202" style="position:absolute;left:0;text-align:left;margin-left:223.7pt;margin-top:2.85pt;width:35.95pt;height:20.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" filled="f" stroked="f">
                      <v:textbox>
                        <w:txbxContent>
                          <w:p w14:paraId="5E5227BF" w14:textId="77777777" w:rsidR="004F07C9" w:rsidRDefault="004F07C9" w:rsidP="004F07C9">
                            <w:pPr>
                              <w:rPr>
                                <w:b/>
                                <w:bCs/>
                                <w:color w:val="000000"/>
                                <w:kern w:val="24"/>
                                <w:szCs w:val="18"/>
                              </w:rPr>
                            </w:pPr>
                            <w:r>
                              <w:rPr>
                                <w:b/>
                                <w:bCs/>
                                <w:color w:val="000000"/>
                                <w:kern w:val="24"/>
                                <w:szCs w:val="18"/>
                              </w:rPr>
                              <w:t>B</w:t>
                            </w:r>
                            <w:r>
                              <w:rPr>
                                <w:rFonts w:ascii="Calibri" w:hAnsi="Calibri"/>
                                <w:b/>
                                <w:bCs/>
                                <w:color w:val="000000"/>
                                <w:kern w:val="24"/>
                                <w:sz w:val="21"/>
                                <w:szCs w:val="21"/>
                              </w:rPr>
                              <w:t xml:space="preserve">. </w:t>
                            </w:r>
                          </w:p>
                        </w:txbxContent>
                      </v:textbox>
                    </v:shape>
                  </w:pict>
                </mc:Fallback>
              </mc:AlternateContent>
            </w:r>
            <w:r w:rsidR="004F07C9">
              <w:rPr>
                <w:noProof/>
                <w:lang w:val="en-IE" w:eastAsia="ja-JP"/>
              </w:rPr>
              <w:drawing>
                <wp:anchor distT="0" distB="0" distL="114300" distR="114300" simplePos="0" relativeHeight="251644928" behindDoc="0" locked="0" layoutInCell="1" allowOverlap="1" wp14:anchorId="3173B918" wp14:editId="0491DC2B">
                  <wp:simplePos x="0" y="0"/>
                  <wp:positionH relativeFrom="column">
                    <wp:posOffset>-27697</wp:posOffset>
                  </wp:positionH>
                  <wp:positionV relativeFrom="paragraph">
                    <wp:posOffset>187270</wp:posOffset>
                  </wp:positionV>
                  <wp:extent cx="2767054" cy="1463456"/>
                  <wp:effectExtent l="0" t="0" r="0" b="381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630" t="2446" r="1509" b="439"/>
                          <a:stretch/>
                        </pic:blipFill>
                        <pic:spPr bwMode="auto">
                          <a:xfrm>
                            <a:off x="0" y="0"/>
                            <a:ext cx="2767054" cy="1463456"/>
                          </a:xfrm>
                          <a:prstGeom prst="rect">
                            <a:avLst/>
                          </a:prstGeom>
                          <a:ln>
                            <a:noFill/>
                          </a:ln>
                          <a:extLst>
                            <a:ext uri="{53640926-AAD7-44D8-BBD7-CCE9431645EC}">
                              <a14:shadowObscured xmlns:a14="http://schemas.microsoft.com/office/drawing/2010/main"/>
                            </a:ext>
                          </a:extLst>
                        </pic:spPr>
                      </pic:pic>
                    </a:graphicData>
                  </a:graphic>
                </wp:anchor>
              </w:drawing>
            </w:r>
            <w:r w:rsidR="004F07C9">
              <w:rPr>
                <w:noProof/>
                <w:lang w:val="en-IE" w:eastAsia="ja-JP"/>
              </w:rPr>
              <mc:AlternateContent>
                <mc:Choice Requires="wps">
                  <w:drawing>
                    <wp:anchor distT="0" distB="0" distL="114300" distR="114300" simplePos="0" relativeHeight="251656192" behindDoc="0" locked="0" layoutInCell="1" allowOverlap="1" wp14:anchorId="42205A31" wp14:editId="6B3734BB">
                      <wp:simplePos x="0" y="0"/>
                      <wp:positionH relativeFrom="column">
                        <wp:posOffset>-69611</wp:posOffset>
                      </wp:positionH>
                      <wp:positionV relativeFrom="paragraph">
                        <wp:posOffset>-39744</wp:posOffset>
                      </wp:positionV>
                      <wp:extent cx="456752" cy="260430"/>
                      <wp:effectExtent l="0" t="0" r="0" b="0"/>
                      <wp:wrapNone/>
                      <wp:docPr id="15" name="TextBox 12"/>
                      <wp:cNvGraphicFramePr/>
                      <a:graphic xmlns:a="http://schemas.openxmlformats.org/drawingml/2006/main">
                        <a:graphicData uri="http://schemas.microsoft.com/office/word/2010/wordprocessingShape">
                          <wps:wsp>
                            <wps:cNvSpPr txBox="1"/>
                            <wps:spPr>
                              <a:xfrm>
                                <a:off x="0" y="0"/>
                                <a:ext cx="456752" cy="260430"/>
                              </a:xfrm>
                              <a:prstGeom prst="rect">
                                <a:avLst/>
                              </a:prstGeom>
                              <a:noFill/>
                            </wps:spPr>
                            <wps:txbx>
                              <w:txbxContent>
                                <w:p w14:paraId="77E821BA" w14:textId="77777777" w:rsidR="004F07C9" w:rsidRDefault="004F07C9" w:rsidP="004F07C9">
                                  <w:pPr>
                                    <w:rPr>
                                      <w:b/>
                                      <w:bCs/>
                                      <w:color w:val="000000"/>
                                      <w:kern w:val="24"/>
                                      <w:szCs w:val="18"/>
                                    </w:rPr>
                                  </w:pPr>
                                  <w:r>
                                    <w:rPr>
                                      <w:b/>
                                      <w:bCs/>
                                      <w:color w:val="000000"/>
                                      <w:kern w:val="24"/>
                                      <w:szCs w:val="18"/>
                                    </w:rPr>
                                    <w:t>A</w:t>
                                  </w:r>
                                  <w:r>
                                    <w:rPr>
                                      <w:rFonts w:ascii="Calibri" w:hAnsi="Calibri"/>
                                      <w:b/>
                                      <w:bCs/>
                                      <w:color w:val="000000"/>
                                      <w:kern w:val="24"/>
                                      <w:sz w:val="21"/>
                                      <w:szCs w:val="21"/>
                                    </w:rPr>
                                    <w:t xml:space="preserve">. </w:t>
                                  </w:r>
                                </w:p>
                              </w:txbxContent>
                            </wps:txbx>
                            <wps:bodyPr wrap="square" rtlCol="0">
                              <a:noAutofit/>
                            </wps:bodyPr>
                          </wps:wsp>
                        </a:graphicData>
                      </a:graphic>
                      <wp14:sizeRelV relativeFrom="margin">
                        <wp14:pctHeight>0</wp14:pctHeight>
                      </wp14:sizeRelV>
                    </wp:anchor>
                  </w:drawing>
                </mc:Choice>
                <mc:Fallback>
                  <w:pict>
                    <v:shape w14:anchorId="42205A31" id="_x0000_s1038" type="#_x0000_t202" style="position:absolute;left:0;text-align:left;margin-left:-5.5pt;margin-top:-3.15pt;width:35.95pt;height:20.5pt;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" filled="f" stroked="f">
                      <v:textbox>
                        <w:txbxContent>
                          <w:p w14:paraId="77E821BA" w14:textId="77777777" w:rsidR="004F07C9" w:rsidRDefault="004F07C9" w:rsidP="004F07C9">
                            <w:pPr>
                              <w:rPr>
                                <w:b/>
                                <w:bCs/>
                                <w:color w:val="000000"/>
                                <w:kern w:val="24"/>
                                <w:szCs w:val="18"/>
                              </w:rPr>
                            </w:pPr>
                            <w:r>
                              <w:rPr>
                                <w:b/>
                                <w:bCs/>
                                <w:color w:val="000000"/>
                                <w:kern w:val="24"/>
                                <w:szCs w:val="18"/>
                              </w:rPr>
                              <w:t>A</w:t>
                            </w:r>
                            <w:r>
                              <w:rPr>
                                <w:rFonts w:ascii="Calibri" w:hAnsi="Calibri"/>
                                <w:b/>
                                <w:bCs/>
                                <w:color w:val="000000"/>
                                <w:kern w:val="24"/>
                                <w:sz w:val="21"/>
                                <w:szCs w:val="21"/>
                              </w:rPr>
                              <w:t xml:space="preserve">. </w:t>
                            </w:r>
                          </w:p>
                        </w:txbxContent>
                      </v:textbox>
                    </v:shape>
                  </w:pict>
                </mc:Fallback>
              </mc:AlternateContent>
            </w:r>
          </w:p>
        </w:tc>
      </w:tr>
    </w:tbl>
    <w:p w14:paraId="2EFD603E" w14:textId="03090FEB" w:rsidR="00A70024" w:rsidRPr="00302982" w:rsidRDefault="00A51B4E" w:rsidP="00F70F5D">
      <w:pPr>
        <w:spacing w:before="360"/>
        <w:rPr>
          <w:i/>
          <w:iCs/>
        </w:rPr>
      </w:pPr>
      <w:r>
        <w:t>P</w:t>
      </w:r>
      <w:r w:rsidR="008418F8">
        <w:t>eak 1</w:t>
      </w:r>
      <w:r>
        <w:t xml:space="preserve"> in Figure 5A</w:t>
      </w:r>
      <w:r w:rsidR="008418F8">
        <w:t xml:space="preserve"> is presumed to be glycerol within the sample eluting from the column. </w:t>
      </w:r>
      <w:r w:rsidR="002C43DA">
        <w:t xml:space="preserve">Peaks 2 and 3 are glucose and gentiobiose respectively. </w:t>
      </w:r>
      <w:r w:rsidR="005A2EF2">
        <w:t xml:space="preserve">There is one more distinct peak, labelled peak 5, as well as additional smaller peaks. </w:t>
      </w:r>
      <w:r w:rsidR="003A46CE">
        <w:t>These are presumed to be larger oligosaccharides generated by Tvir30 digestion</w:t>
      </w:r>
      <w:r w:rsidR="00AE1F74">
        <w:t xml:space="preserve"> as TLC analysis </w:t>
      </w:r>
      <w:r w:rsidR="00F135CE" w:rsidRPr="00D96A2A">
        <w:t>indicated the presence of</w:t>
      </w:r>
      <w:r w:rsidR="00A1460A" w:rsidRPr="00D96A2A">
        <w:t xml:space="preserve"> sugars larger than gentiobiose</w:t>
      </w:r>
      <w:r w:rsidR="00F135CE" w:rsidRPr="00D96A2A">
        <w:t xml:space="preserve"> (in the boxed region of Figure 5B)</w:t>
      </w:r>
      <w:r w:rsidR="00A1460A" w:rsidRPr="00D96A2A">
        <w:t>.</w:t>
      </w:r>
      <w:r w:rsidR="005B23BA" w:rsidRPr="00D96A2A">
        <w:t xml:space="preserve"> The poor resolution of oligosaccharides DP&gt;2</w:t>
      </w:r>
      <w:r w:rsidR="006F4637">
        <w:t xml:space="preserve"> on the TLC plate</w:t>
      </w:r>
      <w:r w:rsidR="005B23BA" w:rsidRPr="00D96A2A">
        <w:t xml:space="preserve"> is </w:t>
      </w:r>
      <w:r w:rsidR="000D580A" w:rsidRPr="00D96A2A">
        <w:t>likely the result of their low concentration.</w:t>
      </w:r>
      <w:r w:rsidR="00A1460A" w:rsidRPr="00D96A2A">
        <w:t xml:space="preserve"> </w:t>
      </w:r>
      <w:r w:rsidR="003E44B3" w:rsidRPr="00D96A2A">
        <w:t xml:space="preserve">These results </w:t>
      </w:r>
      <w:r w:rsidR="00D96A2A" w:rsidRPr="00D96A2A">
        <w:t>demonstrate that</w:t>
      </w:r>
      <w:r w:rsidR="00D00077" w:rsidRPr="00D96A2A">
        <w:t xml:space="preserve"> Tvir30 may be employed in the utilisation of BSY by generating value-added products in the form of prebiotic </w:t>
      </w:r>
      <w:proofErr w:type="spellStart"/>
      <w:r w:rsidR="00AC461A">
        <w:t>GnOS</w:t>
      </w:r>
      <w:proofErr w:type="spellEnd"/>
      <w:r w:rsidR="008C3824" w:rsidRPr="00D96A2A">
        <w:t>.</w:t>
      </w:r>
    </w:p>
    <w:p w14:paraId="68D26B83" w14:textId="0A21D916" w:rsidR="00600535" w:rsidRDefault="00600535" w:rsidP="00874AE2">
      <w:pPr>
        <w:pStyle w:val="CETHeading1"/>
        <w:rPr>
          <w:lang w:val="en-GB"/>
        </w:rPr>
      </w:pPr>
      <w:r w:rsidRPr="00B57B36">
        <w:rPr>
          <w:lang w:val="en-GB"/>
        </w:rPr>
        <w:t>Conclusions</w:t>
      </w:r>
    </w:p>
    <w:p w14:paraId="75599E7B" w14:textId="42277E5A" w:rsidR="00874AE2" w:rsidRPr="006D0F38" w:rsidRDefault="00A738FF" w:rsidP="00874AE2">
      <w:pPr>
        <w:pStyle w:val="CETBodytext"/>
        <w:rPr>
          <w:i/>
          <w:iCs/>
          <w:lang w:val="en-GB"/>
        </w:rPr>
      </w:pPr>
      <w:r>
        <w:rPr>
          <w:lang w:val="en-GB"/>
        </w:rPr>
        <w:t xml:space="preserve">In conclusion, a fungal </w:t>
      </w:r>
      <w:r>
        <w:rPr>
          <w:rFonts w:ascii="Times New Roman" w:hAnsi="Times New Roman"/>
          <w:lang w:val="en-GB"/>
        </w:rPr>
        <w:t>β</w:t>
      </w:r>
      <w:r>
        <w:rPr>
          <w:lang w:val="en-GB"/>
        </w:rPr>
        <w:t xml:space="preserve">-1,6-glucanase from the glycoside hydrolase 30 family was successfully cloned, expressed, and purified. </w:t>
      </w:r>
      <w:r w:rsidR="000A2D51">
        <w:rPr>
          <w:lang w:val="en-GB"/>
        </w:rPr>
        <w:t xml:space="preserve">The enzyme, Tvir30, exhibited predicted substrate specificity to </w:t>
      </w:r>
      <w:r w:rsidR="000A2D51">
        <w:rPr>
          <w:rFonts w:ascii="Times New Roman" w:hAnsi="Times New Roman"/>
          <w:lang w:val="en-GB"/>
        </w:rPr>
        <w:t>β</w:t>
      </w:r>
      <w:r w:rsidR="000A2D51">
        <w:rPr>
          <w:lang w:val="en-GB"/>
        </w:rPr>
        <w:t xml:space="preserve">-1,6-linkages only and had kinetic properties similar to those of other purified fungal </w:t>
      </w:r>
      <w:r w:rsidR="000A2D51">
        <w:rPr>
          <w:rFonts w:ascii="Times New Roman" w:hAnsi="Times New Roman"/>
          <w:lang w:val="en-GB"/>
        </w:rPr>
        <w:t>β</w:t>
      </w:r>
      <w:r w:rsidR="000A2D51">
        <w:rPr>
          <w:lang w:val="en-GB"/>
        </w:rPr>
        <w:t xml:space="preserve">-1,6-glucanases. A unique feature of Tvir30 is its expression as two isoforms, one of which appears glycosylated. Whether native expression in </w:t>
      </w:r>
      <w:r w:rsidR="000A2D51">
        <w:rPr>
          <w:i/>
          <w:iCs/>
          <w:lang w:val="en-GB"/>
        </w:rPr>
        <w:t xml:space="preserve">Trichoderma virens </w:t>
      </w:r>
      <w:r w:rsidR="000A2D51">
        <w:rPr>
          <w:lang w:val="en-GB"/>
        </w:rPr>
        <w:t xml:space="preserve">would produce a glycosylated variant is unclear, but the amino acid sequence does encode for two </w:t>
      </w:r>
      <w:r w:rsidR="000A2D51">
        <w:rPr>
          <w:i/>
          <w:iCs/>
          <w:lang w:val="en-GB"/>
        </w:rPr>
        <w:t>N</w:t>
      </w:r>
      <w:r w:rsidR="000A2D51">
        <w:rPr>
          <w:lang w:val="en-GB"/>
        </w:rPr>
        <w:t>-</w:t>
      </w:r>
      <w:r w:rsidR="000A2D51">
        <w:rPr>
          <w:lang w:val="en-GB"/>
        </w:rPr>
        <w:lastRenderedPageBreak/>
        <w:t>linked glycosylation sites</w:t>
      </w:r>
      <w:r w:rsidR="00EB2B80">
        <w:rPr>
          <w:lang w:val="en-GB"/>
        </w:rPr>
        <w:t>, and fungal mycoparasites are known to produce a diverse range of hydrolytic enzymes, often in one glycoside hydrolase family, to efficiently break down the cell walls of their hosts</w:t>
      </w:r>
      <w:r w:rsidR="000A2D51">
        <w:rPr>
          <w:lang w:val="en-GB"/>
        </w:rPr>
        <w:t xml:space="preserve">. </w:t>
      </w:r>
      <w:r w:rsidR="00A01DB7">
        <w:rPr>
          <w:lang w:val="en-GB"/>
        </w:rPr>
        <w:t xml:space="preserve">For an industrial application, resolution of isoforms may be unnecessary if batch-to-batch variability is negligible. Tvir30 demonstrates both high affinity and </w:t>
      </w:r>
      <w:r w:rsidR="00EB2B80">
        <w:rPr>
          <w:lang w:val="en-GB"/>
        </w:rPr>
        <w:t>activity</w:t>
      </w:r>
      <w:r w:rsidR="00A01DB7">
        <w:rPr>
          <w:lang w:val="en-GB"/>
        </w:rPr>
        <w:t xml:space="preserve"> against </w:t>
      </w:r>
      <w:r w:rsidR="00A01DB7">
        <w:rPr>
          <w:rFonts w:ascii="Times New Roman" w:hAnsi="Times New Roman"/>
          <w:lang w:val="en-GB"/>
        </w:rPr>
        <w:t>β</w:t>
      </w:r>
      <w:r w:rsidR="00A01DB7">
        <w:rPr>
          <w:lang w:val="en-GB"/>
        </w:rPr>
        <w:t>-1,6-linkages,</w:t>
      </w:r>
      <w:r w:rsidR="00C03E21">
        <w:rPr>
          <w:lang w:val="en-GB"/>
        </w:rPr>
        <w:t xml:space="preserve"> as well as</w:t>
      </w:r>
      <w:r w:rsidR="004F5DDF">
        <w:rPr>
          <w:lang w:val="en-GB"/>
        </w:rPr>
        <w:t xml:space="preserve"> an</w:t>
      </w:r>
      <w:r w:rsidR="00C03E21">
        <w:rPr>
          <w:lang w:val="en-GB"/>
        </w:rPr>
        <w:t xml:space="preserve"> endolytic mode of action,</w:t>
      </w:r>
      <w:r w:rsidR="00A01DB7">
        <w:rPr>
          <w:lang w:val="en-GB"/>
        </w:rPr>
        <w:t xml:space="preserve"> making it a favourable candidate in the degradation of BSY for the production of </w:t>
      </w:r>
      <w:proofErr w:type="spellStart"/>
      <w:r w:rsidR="00A01DB7">
        <w:rPr>
          <w:lang w:val="en-GB"/>
        </w:rPr>
        <w:t>GnOS</w:t>
      </w:r>
      <w:proofErr w:type="spellEnd"/>
      <w:r w:rsidR="00A01DB7">
        <w:rPr>
          <w:lang w:val="en-GB"/>
        </w:rPr>
        <w:t>.</w:t>
      </w:r>
      <w:r w:rsidR="004F5DDF">
        <w:rPr>
          <w:lang w:val="en-GB"/>
        </w:rPr>
        <w:t xml:space="preserve"> The enzyme</w:t>
      </w:r>
      <w:r w:rsidR="00A01DB7">
        <w:rPr>
          <w:lang w:val="en-GB"/>
        </w:rPr>
        <w:t xml:space="preserve"> is thermally inactivated by only 30 min incubation at </w:t>
      </w:r>
      <w:r w:rsidR="004F5DDF">
        <w:rPr>
          <w:lang w:val="en-GB"/>
        </w:rPr>
        <w:t>50</w:t>
      </w:r>
      <w:r w:rsidR="004F5DDF">
        <w:rPr>
          <w:vertAlign w:val="superscript"/>
          <w:lang w:val="en-GB"/>
        </w:rPr>
        <w:t>o</w:t>
      </w:r>
      <w:r w:rsidR="004F5DDF">
        <w:rPr>
          <w:lang w:val="en-GB"/>
        </w:rPr>
        <w:t>C but</w:t>
      </w:r>
      <w:r w:rsidR="009F4242">
        <w:rPr>
          <w:lang w:val="en-GB"/>
        </w:rPr>
        <w:t xml:space="preserve"> was found to be highly stable at 40</w:t>
      </w:r>
      <w:r w:rsidR="009F4242">
        <w:rPr>
          <w:vertAlign w:val="superscript"/>
          <w:lang w:val="en-GB"/>
        </w:rPr>
        <w:t>o</w:t>
      </w:r>
      <w:r w:rsidR="009F4242">
        <w:rPr>
          <w:lang w:val="en-GB"/>
        </w:rPr>
        <w:t>C</w:t>
      </w:r>
      <w:r w:rsidR="00A01DB7">
        <w:rPr>
          <w:lang w:val="en-GB"/>
        </w:rPr>
        <w:t xml:space="preserve">. </w:t>
      </w:r>
      <w:r w:rsidR="00EB2B80">
        <w:rPr>
          <w:lang w:val="en-GB"/>
        </w:rPr>
        <w:t>From the characterisation performed in this study, a novel and efficient method for the enzymatic degradation of BSY could be developed to generate value-added oligosaccharides, while reducing waste and waste-disposal costs.</w:t>
      </w:r>
      <w:r w:rsidR="006D0F38">
        <w:rPr>
          <w:lang w:val="en-GB"/>
        </w:rPr>
        <w:t xml:space="preserve"> </w:t>
      </w:r>
    </w:p>
    <w:p w14:paraId="459D05E6" w14:textId="77777777" w:rsidR="00600535" w:rsidRPr="00B57B36" w:rsidRDefault="00600535" w:rsidP="00600535">
      <w:pPr>
        <w:pStyle w:val="CETAcknowledgementstitle"/>
      </w:pPr>
      <w:r w:rsidRPr="00B57B36">
        <w:t>Acknowledgments</w:t>
      </w:r>
    </w:p>
    <w:p w14:paraId="33F8138F" w14:textId="57D161E8" w:rsidR="00600535" w:rsidRPr="00B57B36" w:rsidRDefault="00A738FF" w:rsidP="00600535">
      <w:pPr>
        <w:pStyle w:val="CETBodytext"/>
        <w:rPr>
          <w:lang w:val="en-GB"/>
        </w:rPr>
      </w:pPr>
      <w:r>
        <w:rPr>
          <w:lang w:val="en-GB"/>
        </w:rPr>
        <w:t xml:space="preserve">This study was funded by the Irish Research Council and Monaghan Mushrooms. </w:t>
      </w:r>
    </w:p>
    <w:p w14:paraId="538B78B3" w14:textId="77777777" w:rsidR="00E36AC5" w:rsidRDefault="00600535" w:rsidP="004D1771">
      <w:pPr>
        <w:pStyle w:val="CETReference"/>
        <w:tabs>
          <w:tab w:val="left" w:pos="7910"/>
        </w:tabs>
        <w:rPr>
          <w:lang w:val="fr-FR"/>
        </w:rPr>
      </w:pPr>
      <w:proofErr w:type="spellStart"/>
      <w:r w:rsidRPr="00E84B3C">
        <w:rPr>
          <w:lang w:val="fr-FR"/>
        </w:rPr>
        <w:t>References</w:t>
      </w:r>
      <w:proofErr w:type="spellEnd"/>
    </w:p>
    <w:p w14:paraId="4E603C5D" w14:textId="77777777" w:rsidR="00B464EF" w:rsidRPr="00B464EF" w:rsidRDefault="00E36AC5" w:rsidP="00B464EF">
      <w:pPr>
        <w:pStyle w:val="CETReferencetext"/>
      </w:pPr>
      <w:r>
        <w:rPr>
          <w:lang w:val="fr-FR"/>
        </w:rPr>
        <w:fldChar w:fldCharType="begin"/>
      </w:r>
      <w:r w:rsidR="00B464EF">
        <w:rPr>
          <w:lang w:val="fr-FR"/>
        </w:rPr>
        <w:instrText xml:space="preserve"> ADDIN ZOTERO_BIBL {"uncited":[],"omitted":[],"custom":[]} CSL_BIBLIOGRAPHY </w:instrText>
      </w:r>
      <w:r>
        <w:rPr>
          <w:lang w:val="fr-FR"/>
        </w:rPr>
        <w:fldChar w:fldCharType="separate"/>
      </w:r>
      <w:proofErr w:type="spellStart"/>
      <w:r w:rsidR="00B464EF" w:rsidRPr="00B464EF">
        <w:t>Aimanianda</w:t>
      </w:r>
      <w:proofErr w:type="spellEnd"/>
      <w:r w:rsidR="00B464EF" w:rsidRPr="00B464EF">
        <w:t xml:space="preserve">, V., </w:t>
      </w:r>
      <w:proofErr w:type="spellStart"/>
      <w:r w:rsidR="00B464EF" w:rsidRPr="00B464EF">
        <w:t>Clavaud</w:t>
      </w:r>
      <w:proofErr w:type="spellEnd"/>
      <w:r w:rsidR="00B464EF" w:rsidRPr="00B464EF">
        <w:t xml:space="preserve">, C., </w:t>
      </w:r>
      <w:proofErr w:type="spellStart"/>
      <w:r w:rsidR="00B464EF" w:rsidRPr="00B464EF">
        <w:t>Simenel</w:t>
      </w:r>
      <w:proofErr w:type="spellEnd"/>
      <w:r w:rsidR="00B464EF" w:rsidRPr="00B464EF">
        <w:t xml:space="preserve">, C., Fontaine, T., </w:t>
      </w:r>
      <w:proofErr w:type="spellStart"/>
      <w:r w:rsidR="00B464EF" w:rsidRPr="00B464EF">
        <w:t>Delepierre</w:t>
      </w:r>
      <w:proofErr w:type="spellEnd"/>
      <w:r w:rsidR="00B464EF" w:rsidRPr="00B464EF">
        <w:t xml:space="preserve">, M., </w:t>
      </w:r>
      <w:proofErr w:type="spellStart"/>
      <w:r w:rsidR="00B464EF" w:rsidRPr="00B464EF">
        <w:t>Latgé</w:t>
      </w:r>
      <w:proofErr w:type="spellEnd"/>
      <w:r w:rsidR="00B464EF" w:rsidRPr="00B464EF">
        <w:t xml:space="preserve">, J.-P., 2009. Cell wall beta-(1,6)-glucan of Saccharomyces cerevisiae: structural characterization and in situ synthesis. J </w:t>
      </w:r>
      <w:proofErr w:type="spellStart"/>
      <w:r w:rsidR="00B464EF" w:rsidRPr="00B464EF">
        <w:t>Biol</w:t>
      </w:r>
      <w:proofErr w:type="spellEnd"/>
      <w:r w:rsidR="00B464EF" w:rsidRPr="00B464EF">
        <w:t xml:space="preserve"> Chem 284, 13401–13412. https://doi.org/10.1074/jbc.M807667200</w:t>
      </w:r>
    </w:p>
    <w:p w14:paraId="5CF895D9" w14:textId="77777777" w:rsidR="00B464EF" w:rsidRPr="00B464EF" w:rsidRDefault="00B464EF" w:rsidP="00B464EF">
      <w:pPr>
        <w:pStyle w:val="CETReferencetext"/>
      </w:pPr>
      <w:r w:rsidRPr="00B464EF">
        <w:t xml:space="preserve">Boyce, A., Walsh, G., 2007. Production, purification and application-relevant characterisation of an endo-1,3(4)-beta-glucanase from </w:t>
      </w:r>
      <w:proofErr w:type="spellStart"/>
      <w:r w:rsidRPr="00B464EF">
        <w:t>Rhizomucor</w:t>
      </w:r>
      <w:proofErr w:type="spellEnd"/>
      <w:r w:rsidRPr="00B464EF">
        <w:t xml:space="preserve"> </w:t>
      </w:r>
      <w:proofErr w:type="spellStart"/>
      <w:r w:rsidRPr="00B464EF">
        <w:t>miehei</w:t>
      </w:r>
      <w:proofErr w:type="spellEnd"/>
      <w:r w:rsidRPr="00B464EF">
        <w:t xml:space="preserve">. </w:t>
      </w:r>
      <w:proofErr w:type="spellStart"/>
      <w:r w:rsidRPr="00B464EF">
        <w:t>Appl</w:t>
      </w:r>
      <w:proofErr w:type="spellEnd"/>
      <w:r w:rsidRPr="00B464EF">
        <w:t xml:space="preserve"> </w:t>
      </w:r>
      <w:proofErr w:type="spellStart"/>
      <w:r w:rsidRPr="00B464EF">
        <w:t>Microbiol</w:t>
      </w:r>
      <w:proofErr w:type="spellEnd"/>
      <w:r w:rsidRPr="00B464EF">
        <w:t xml:space="preserve"> </w:t>
      </w:r>
      <w:proofErr w:type="spellStart"/>
      <w:r w:rsidRPr="00B464EF">
        <w:t>Biotechnol</w:t>
      </w:r>
      <w:proofErr w:type="spellEnd"/>
      <w:r w:rsidRPr="00B464EF">
        <w:t xml:space="preserve"> 76, 835–841. https://doi.org/10.1007/s00253-007-1058-x</w:t>
      </w:r>
    </w:p>
    <w:p w14:paraId="47998C69" w14:textId="77777777" w:rsidR="00B464EF" w:rsidRPr="00B464EF" w:rsidRDefault="00B464EF" w:rsidP="00B464EF">
      <w:pPr>
        <w:pStyle w:val="CETReferencetext"/>
      </w:pPr>
      <w:r w:rsidRPr="00B464EF">
        <w:t xml:space="preserve">Cruz, J. de la, </w:t>
      </w:r>
      <w:proofErr w:type="spellStart"/>
      <w:r w:rsidRPr="00B464EF">
        <w:t>Llobell</w:t>
      </w:r>
      <w:proofErr w:type="spellEnd"/>
      <w:r w:rsidRPr="00B464EF">
        <w:t xml:space="preserve">, A., 1999. Purification and properties of a basic endo-β-1,6-glucanase (BGN16.1) from the antagonistic fungus Trichoderma </w:t>
      </w:r>
      <w:proofErr w:type="spellStart"/>
      <w:r w:rsidRPr="00B464EF">
        <w:t>harzianum</w:t>
      </w:r>
      <w:proofErr w:type="spellEnd"/>
      <w:r w:rsidRPr="00B464EF">
        <w:t>. European Journal of Biochemistry 265, 145–151. https://doi.org/10.1046/j.1432-1327.1999.00698.x</w:t>
      </w:r>
    </w:p>
    <w:p w14:paraId="68AC652B" w14:textId="77777777" w:rsidR="00B464EF" w:rsidRPr="00B464EF" w:rsidRDefault="00B464EF" w:rsidP="00B464EF">
      <w:pPr>
        <w:pStyle w:val="CETReferencetext"/>
      </w:pPr>
      <w:r w:rsidRPr="00B464EF">
        <w:t>Ferreira-</w:t>
      </w:r>
      <w:proofErr w:type="spellStart"/>
      <w:r w:rsidRPr="00B464EF">
        <w:t>Lazarte</w:t>
      </w:r>
      <w:proofErr w:type="spellEnd"/>
      <w:r w:rsidRPr="00B464EF">
        <w:t>, A., Gallego-</w:t>
      </w:r>
      <w:proofErr w:type="spellStart"/>
      <w:r w:rsidRPr="00B464EF">
        <w:t>Lobillo</w:t>
      </w:r>
      <w:proofErr w:type="spellEnd"/>
      <w:r w:rsidRPr="00B464EF">
        <w:t xml:space="preserve">, P., Moreno, F.J., </w:t>
      </w:r>
      <w:proofErr w:type="spellStart"/>
      <w:r w:rsidRPr="00B464EF">
        <w:t>Villamiel</w:t>
      </w:r>
      <w:proofErr w:type="spellEnd"/>
      <w:r w:rsidRPr="00B464EF">
        <w:t xml:space="preserve">, M., Hernandez-Hernandez, O., 2019. </w:t>
      </w:r>
      <w:r w:rsidRPr="00B464EF">
        <w:rPr>
          <w:i/>
          <w:iCs/>
        </w:rPr>
        <w:t>In Vitro</w:t>
      </w:r>
      <w:r w:rsidRPr="00B464EF">
        <w:t xml:space="preserve"> Digestibility of </w:t>
      </w:r>
      <w:proofErr w:type="spellStart"/>
      <w:r w:rsidRPr="00B464EF">
        <w:t>Galactooligosaccharides</w:t>
      </w:r>
      <w:proofErr w:type="spellEnd"/>
      <w:r w:rsidRPr="00B464EF">
        <w:t>: Effect of the Structural Features on Their Intestinal Degradation. J. Agric. Food Chem. 67, 4662–4670. https://doi.org/10.1021/acs.jafc.9b00417</w:t>
      </w:r>
    </w:p>
    <w:p w14:paraId="38B21856" w14:textId="77777777" w:rsidR="00B464EF" w:rsidRPr="00B464EF" w:rsidRDefault="00B464EF" w:rsidP="00B464EF">
      <w:pPr>
        <w:pStyle w:val="CETReferencetext"/>
      </w:pPr>
      <w:r w:rsidRPr="00B464EF">
        <w:t xml:space="preserve">Gibson, G.R., </w:t>
      </w:r>
      <w:proofErr w:type="spellStart"/>
      <w:r w:rsidRPr="00B464EF">
        <w:t>Hutkins</w:t>
      </w:r>
      <w:proofErr w:type="spellEnd"/>
      <w:r w:rsidRPr="00B464EF">
        <w:t xml:space="preserve">, R., Sanders, M.E., Prescott, S.L., Reimer, R.A., </w:t>
      </w:r>
      <w:proofErr w:type="spellStart"/>
      <w:r w:rsidRPr="00B464EF">
        <w:t>Salminen</w:t>
      </w:r>
      <w:proofErr w:type="spellEnd"/>
      <w:r w:rsidRPr="00B464EF">
        <w:t xml:space="preserve">, S.J., Scott, K., Stanton, C., Swanson, K.S., </w:t>
      </w:r>
      <w:proofErr w:type="spellStart"/>
      <w:r w:rsidRPr="00B464EF">
        <w:t>Cani</w:t>
      </w:r>
      <w:proofErr w:type="spellEnd"/>
      <w:r w:rsidRPr="00B464EF">
        <w:t>, P.D., Verbeke, K., Reid, G., 2017. Expert consensus document: The International Scientific Association for Probiotics and Prebiotics (ISAPP) consensus statement on the definition and scope of prebiotics. Nat Rev Gastroenterol Hepatol 14, 491–502. https://doi.org/10.1038/nrgastro.2017.75</w:t>
      </w:r>
    </w:p>
    <w:p w14:paraId="235C5C6F" w14:textId="77777777" w:rsidR="00B464EF" w:rsidRPr="00B464EF" w:rsidRDefault="00B464EF" w:rsidP="00B464EF">
      <w:pPr>
        <w:pStyle w:val="CETReferencetext"/>
      </w:pPr>
      <w:r w:rsidRPr="00B464EF">
        <w:t xml:space="preserve">Kim, K.-H., Kim, Y.-W., Kim, H.B., Lee, B.J., Lee, D.S., 2006. Anti-apoptotic activity of laminarin polysaccharides and their enzymatically </w:t>
      </w:r>
      <w:proofErr w:type="spellStart"/>
      <w:r w:rsidRPr="00B464EF">
        <w:t>hydrolyzed</w:t>
      </w:r>
      <w:proofErr w:type="spellEnd"/>
      <w:r w:rsidRPr="00B464EF">
        <w:t xml:space="preserve"> oligosaccharides from Laminaria japonica. </w:t>
      </w:r>
      <w:proofErr w:type="spellStart"/>
      <w:r w:rsidRPr="00B464EF">
        <w:t>Biotechnol</w:t>
      </w:r>
      <w:proofErr w:type="spellEnd"/>
      <w:r w:rsidRPr="00B464EF">
        <w:t xml:space="preserve"> Lett 28, 439–446. https://doi.org/10.1007/s10529-005-6177-9</w:t>
      </w:r>
    </w:p>
    <w:p w14:paraId="2952C2DA" w14:textId="77777777" w:rsidR="00B464EF" w:rsidRPr="00B464EF" w:rsidRDefault="00B464EF" w:rsidP="00B464EF">
      <w:pPr>
        <w:pStyle w:val="CETReferencetext"/>
      </w:pPr>
      <w:r w:rsidRPr="00B464EF">
        <w:t xml:space="preserve">Kumar, K., </w:t>
      </w:r>
      <w:proofErr w:type="spellStart"/>
      <w:r w:rsidRPr="00B464EF">
        <w:t>Rajulapati</w:t>
      </w:r>
      <w:proofErr w:type="spellEnd"/>
      <w:r w:rsidRPr="00B464EF">
        <w:t xml:space="preserve">, V., Goyal, A., 2020. In vitro prebiotic potential, digestibility and biocompatibility properties of </w:t>
      </w:r>
      <w:proofErr w:type="spellStart"/>
      <w:r w:rsidRPr="00B464EF">
        <w:t>laminari</w:t>
      </w:r>
      <w:proofErr w:type="spellEnd"/>
      <w:r w:rsidRPr="00B464EF">
        <w:t xml:space="preserve">-oligosaccharides produced from curdlan by β-1,3-endoglucanase from Clostridium </w:t>
      </w:r>
      <w:proofErr w:type="spellStart"/>
      <w:r w:rsidRPr="00B464EF">
        <w:t>thermocellum</w:t>
      </w:r>
      <w:proofErr w:type="spellEnd"/>
      <w:r w:rsidRPr="00B464EF">
        <w:t>. 3 Biotech 10, 241. https://doi.org/10.1007/s13205-020-02234-0</w:t>
      </w:r>
    </w:p>
    <w:p w14:paraId="6709E555" w14:textId="77777777" w:rsidR="00B464EF" w:rsidRPr="00B464EF" w:rsidRDefault="00B464EF" w:rsidP="00B464EF">
      <w:pPr>
        <w:pStyle w:val="CETReferencetext"/>
      </w:pPr>
      <w:r w:rsidRPr="00B464EF">
        <w:t>Kunze, W., 1999. Technology Brewing and Malting.</w:t>
      </w:r>
    </w:p>
    <w:p w14:paraId="01AFDA4E" w14:textId="77777777" w:rsidR="00B464EF" w:rsidRPr="00B464EF" w:rsidRDefault="00B464EF" w:rsidP="00B464EF">
      <w:pPr>
        <w:pStyle w:val="CETReferencetext"/>
      </w:pPr>
      <w:r w:rsidRPr="00B464EF">
        <w:t xml:space="preserve">Miller, G.L., 1959. Use of </w:t>
      </w:r>
      <w:proofErr w:type="spellStart"/>
      <w:r w:rsidRPr="00B464EF">
        <w:t>Dinitrosalicylic</w:t>
      </w:r>
      <w:proofErr w:type="spellEnd"/>
      <w:r w:rsidRPr="00B464EF">
        <w:t xml:space="preserve"> Acid Reagent for Determination of Reducing Sugar. Anal. Chem. 31, 426–428. https://doi.org/10.1021/ac60147a030</w:t>
      </w:r>
    </w:p>
    <w:p w14:paraId="52568F71" w14:textId="77777777" w:rsidR="00B464EF" w:rsidRPr="00B464EF" w:rsidRDefault="00B464EF" w:rsidP="00B464EF">
      <w:pPr>
        <w:pStyle w:val="CETReferencetext"/>
      </w:pPr>
      <w:r w:rsidRPr="00B464EF">
        <w:t xml:space="preserve">Montero, M., Sanz, L., Rey, M., Monte, E., </w:t>
      </w:r>
      <w:proofErr w:type="spellStart"/>
      <w:r w:rsidRPr="00B464EF">
        <w:t>Llobell</w:t>
      </w:r>
      <w:proofErr w:type="spellEnd"/>
      <w:r w:rsidRPr="00B464EF">
        <w:t xml:space="preserve">, A., 2005. BGN16.3, a novel acidic β-1,6-glucanase from mycoparasitic fungus Trichoderma </w:t>
      </w:r>
      <w:proofErr w:type="spellStart"/>
      <w:r w:rsidRPr="00B464EF">
        <w:t>harzianum</w:t>
      </w:r>
      <w:proofErr w:type="spellEnd"/>
      <w:r w:rsidRPr="00B464EF">
        <w:t xml:space="preserve"> CECT 2413. The FEBS Journal 272, 3441–3448. https://doi.org/10.1111/j.1742-4658.2005.04762.x</w:t>
      </w:r>
    </w:p>
    <w:p w14:paraId="5DC9C93A" w14:textId="77777777" w:rsidR="00B464EF" w:rsidRPr="00B464EF" w:rsidRDefault="00B464EF" w:rsidP="00B464EF">
      <w:pPr>
        <w:pStyle w:val="CETReferencetext"/>
      </w:pPr>
      <w:r w:rsidRPr="00B464EF">
        <w:t xml:space="preserve">Nelson, D.L., Cox, M.M., 2008. </w:t>
      </w:r>
      <w:proofErr w:type="spellStart"/>
      <w:r w:rsidRPr="00B464EF">
        <w:t>Lehninger</w:t>
      </w:r>
      <w:proofErr w:type="spellEnd"/>
      <w:r w:rsidRPr="00B464EF">
        <w:t xml:space="preserve"> Principles of Biochemistry, 4th ed. Palgrave Macmillan.</w:t>
      </w:r>
    </w:p>
    <w:p w14:paraId="2139AB7C" w14:textId="77777777" w:rsidR="00B464EF" w:rsidRPr="00B464EF" w:rsidRDefault="00B464EF" w:rsidP="00B464EF">
      <w:pPr>
        <w:pStyle w:val="CETReferencetext"/>
      </w:pPr>
      <w:r w:rsidRPr="00B464EF">
        <w:t xml:space="preserve">Soler, A., de la Cruz, J., </w:t>
      </w:r>
      <w:proofErr w:type="spellStart"/>
      <w:r w:rsidRPr="00B464EF">
        <w:t>Llobell</w:t>
      </w:r>
      <w:proofErr w:type="spellEnd"/>
      <w:r w:rsidRPr="00B464EF">
        <w:t xml:space="preserve">, A., 1999. Detection of β-1,6-glucanase isozymes from Trichoderma strains in sodium dodecyl sulphate–polyacrylamide gel electrophoresis and </w:t>
      </w:r>
      <w:proofErr w:type="spellStart"/>
      <w:r w:rsidRPr="00B464EF">
        <w:t>isoelectrofocusing</w:t>
      </w:r>
      <w:proofErr w:type="spellEnd"/>
      <w:r w:rsidRPr="00B464EF">
        <w:t xml:space="preserve"> gels. Journal of Microbiological Methods 35, 245–251. https://doi.org/10.1016/S0167-7012(99)00021-4</w:t>
      </w:r>
    </w:p>
    <w:p w14:paraId="3C747FBA" w14:textId="77777777" w:rsidR="00B464EF" w:rsidRPr="00B464EF" w:rsidRDefault="00B464EF" w:rsidP="00B464EF">
      <w:pPr>
        <w:pStyle w:val="CETReferencetext"/>
      </w:pPr>
      <w:r w:rsidRPr="00B464EF">
        <w:t xml:space="preserve">Volkov, P.V., </w:t>
      </w:r>
      <w:proofErr w:type="spellStart"/>
      <w:r w:rsidRPr="00B464EF">
        <w:t>Rubtsova</w:t>
      </w:r>
      <w:proofErr w:type="spellEnd"/>
      <w:r w:rsidRPr="00B464EF">
        <w:t xml:space="preserve">, E.A., Rozhkova, A.M., </w:t>
      </w:r>
      <w:proofErr w:type="spellStart"/>
      <w:r w:rsidRPr="00B464EF">
        <w:t>Sinitsyna</w:t>
      </w:r>
      <w:proofErr w:type="spellEnd"/>
      <w:r w:rsidRPr="00B464EF">
        <w:t xml:space="preserve">, O.A., </w:t>
      </w:r>
      <w:proofErr w:type="spellStart"/>
      <w:r w:rsidRPr="00B464EF">
        <w:t>Zorov</w:t>
      </w:r>
      <w:proofErr w:type="spellEnd"/>
      <w:r w:rsidRPr="00B464EF">
        <w:t xml:space="preserve">, I.N., Kondratyeva, E.G., </w:t>
      </w:r>
      <w:proofErr w:type="spellStart"/>
      <w:r w:rsidRPr="00B464EF">
        <w:t>Sinitsyn</w:t>
      </w:r>
      <w:proofErr w:type="spellEnd"/>
      <w:r w:rsidRPr="00B464EF">
        <w:t xml:space="preserve">, A.P., 2021. Properties of recombinant endo-β-1,6-glucanase from Trichoderma </w:t>
      </w:r>
      <w:proofErr w:type="spellStart"/>
      <w:r w:rsidRPr="00B464EF">
        <w:t>harzianum</w:t>
      </w:r>
      <w:proofErr w:type="spellEnd"/>
      <w:r w:rsidRPr="00B464EF">
        <w:t xml:space="preserve"> and its application in the pustulan hydrolysis. </w:t>
      </w:r>
      <w:proofErr w:type="spellStart"/>
      <w:r w:rsidRPr="00B464EF">
        <w:t>Carbohydr</w:t>
      </w:r>
      <w:proofErr w:type="spellEnd"/>
      <w:r w:rsidRPr="00B464EF">
        <w:t xml:space="preserve"> Res 499, 108211. https://doi.org/10.1016/j.carres.2020.108211</w:t>
      </w:r>
    </w:p>
    <w:p w14:paraId="5C54C794" w14:textId="77777777" w:rsidR="00B464EF" w:rsidRPr="00B464EF" w:rsidRDefault="00B464EF" w:rsidP="00B464EF">
      <w:pPr>
        <w:pStyle w:val="CETReferencetext"/>
      </w:pPr>
      <w:r w:rsidRPr="00B464EF">
        <w:t xml:space="preserve">Wang, S., Xiao, Y., Tian, F., Zhao, J., Zhang, H., </w:t>
      </w:r>
      <w:proofErr w:type="spellStart"/>
      <w:r w:rsidRPr="00B464EF">
        <w:t>Zhai</w:t>
      </w:r>
      <w:proofErr w:type="spellEnd"/>
      <w:r w:rsidRPr="00B464EF">
        <w:t>, Q., Chen, W., 2020. Rational use of prebiotics for gut microbiota alterations: Specific bacterial phylotypes and related mechanisms. Journal of Functional Foods 66, 103838. https://doi.org/10.1016/j.jff.2020.103838</w:t>
      </w:r>
    </w:p>
    <w:p w14:paraId="3B795DC5" w14:textId="77777777" w:rsidR="00B464EF" w:rsidRPr="00B464EF" w:rsidRDefault="00B464EF" w:rsidP="00B464EF">
      <w:pPr>
        <w:pStyle w:val="CETReferencetext"/>
      </w:pPr>
      <w:r w:rsidRPr="00B464EF">
        <w:t xml:space="preserve">Yang, S., Xiong, H., Yan, Q., Yang, H., Jiang, Z., 2014. Purification and characterization of a novel alkaline β-1,3-1,4-glucanase (lichenase) from thermophilic fungus </w:t>
      </w:r>
      <w:proofErr w:type="spellStart"/>
      <w:r w:rsidRPr="00B464EF">
        <w:t>Malbranchea</w:t>
      </w:r>
      <w:proofErr w:type="spellEnd"/>
      <w:r w:rsidRPr="00B464EF">
        <w:t xml:space="preserve"> </w:t>
      </w:r>
      <w:proofErr w:type="spellStart"/>
      <w:r w:rsidRPr="00B464EF">
        <w:t>cinnamomea</w:t>
      </w:r>
      <w:proofErr w:type="spellEnd"/>
      <w:r w:rsidRPr="00B464EF">
        <w:t>. Journal of Industrial Microbiology and Biotechnology 41, 1487–1495. https://doi.org/10.1007/s10295-014-1494-4</w:t>
      </w:r>
    </w:p>
    <w:p w14:paraId="4F1327F8" w14:textId="71B37947" w:rsidR="00600535" w:rsidRPr="00E84B3C" w:rsidRDefault="00E36AC5" w:rsidP="00B464EF">
      <w:pPr>
        <w:pStyle w:val="CETReferencetext"/>
        <w:rPr>
          <w:lang w:val="fr-FR"/>
        </w:rPr>
      </w:pPr>
      <w:r>
        <w:rPr>
          <w:lang w:val="fr-FR"/>
        </w:rPr>
        <w:fldChar w:fldCharType="end"/>
      </w:r>
      <w:r w:rsidR="004D1771" w:rsidRPr="00E84B3C">
        <w:rPr>
          <w:lang w:val="fr-FR"/>
        </w:rPr>
        <w:tab/>
      </w:r>
    </w:p>
    <w:p w14:paraId="5149A88A" w14:textId="01E7AD93" w:rsidR="006B4888" w:rsidRPr="0090149D" w:rsidRDefault="006B4888" w:rsidP="009F66AB">
      <w:pPr>
        <w:pStyle w:val="CETReferencetext"/>
        <w:rPr>
          <w:sz w:val="4"/>
          <w:szCs w:val="6"/>
        </w:rPr>
      </w:pPr>
    </w:p>
    <w:sectPr w:rsidR="006B4888" w:rsidRPr="0090149D" w:rsidSect="00EF06D9">
      <w:type w:val="continuous"/>
      <w:pgSz w:w="11906" w:h="16838" w:code="9"/>
      <w:pgMar w:top="1701" w:right="1418" w:bottom="1701" w:left="1701" w:header="1701" w:footer="0" w:gutter="0"/>
      <w:cols w:space="708"/>
      <w:formProt w:val="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Gary.Walsh" w:date="2023-03-03T13:01:00Z" w:initials="G">
    <w:p w14:paraId="6F805071" w14:textId="108A0D35" w:rsidR="00E84B3C" w:rsidRDefault="00E84B3C">
      <w:pPr>
        <w:pStyle w:val="CommentText"/>
      </w:pPr>
      <w:r>
        <w:rPr>
          <w:rStyle w:val="CommentReference"/>
        </w:rPr>
        <w:annotationRef/>
      </w:r>
      <w:r>
        <w:t>hL or L?</w:t>
      </w:r>
    </w:p>
  </w:comment>
  <w:comment w:id="1" w:author="Gary.Walsh" w:date="2023-03-03T13:04:00Z" w:initials="G">
    <w:p w14:paraId="1B296321" w14:textId="63B28620" w:rsidR="00E84B3C" w:rsidRDefault="00E84B3C">
      <w:pPr>
        <w:pStyle w:val="CommentText"/>
      </w:pPr>
      <w:r>
        <w:rPr>
          <w:rStyle w:val="CommentReference"/>
        </w:rPr>
        <w:annotationRef/>
      </w:r>
      <w:r>
        <w:t>mention the package used</w:t>
      </w:r>
    </w:p>
  </w:comment>
  <w:comment w:id="2" w:author="Anastasia.Klemanska" w:date="2022-11-22T14:03:00Z" w:initials="A">
    <w:p w14:paraId="295829C7" w14:textId="77777777" w:rsidR="00874AE2" w:rsidRDefault="00874AE2" w:rsidP="00874AE2">
      <w:pPr>
        <w:pStyle w:val="CommentText"/>
      </w:pPr>
      <w:r>
        <w:rPr>
          <w:rStyle w:val="CommentReference"/>
        </w:rPr>
        <w:annotationRef/>
      </w:r>
      <w:r>
        <w:t xml:space="preserve">Finish with examples and appropriate sources. </w:t>
      </w:r>
    </w:p>
  </w:comment>
  <w:comment w:id="3" w:author="Gary.Walsh" w:date="2023-03-03T13:07:00Z" w:initials="G">
    <w:p w14:paraId="6F37CBC1" w14:textId="276E51F2" w:rsidR="004766E7" w:rsidRDefault="004766E7">
      <w:pPr>
        <w:pStyle w:val="CommentText"/>
      </w:pPr>
      <w:r>
        <w:rPr>
          <w:rStyle w:val="CommentReference"/>
        </w:rPr>
        <w:annotationRef/>
      </w:r>
      <w:r>
        <w:t>Maybe include statistics ,e.g. +_ SD, n = 3 or whatever)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F805071" w15:done="1"/>
  <w15:commentEx w15:paraId="1B296321" w15:done="1"/>
  <w15:commentEx w15:paraId="295829C7" w15:done="1"/>
  <w15:commentEx w15:paraId="6F37CBC1"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275517" w16cex:dateUtc="2022-11-22T14:0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F805071" w16cid:durableId="27AC74A3"/>
  <w16cid:commentId w16cid:paraId="1B296321" w16cid:durableId="27AC74A4"/>
  <w16cid:commentId w16cid:paraId="295829C7" w16cid:durableId="27275517"/>
  <w16cid:commentId w16cid:paraId="6F37CBC1" w16cid:durableId="27AC74A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678910" w14:textId="77777777" w:rsidR="00445BF0" w:rsidRDefault="00445BF0" w:rsidP="004F5E36">
      <w:r>
        <w:separator/>
      </w:r>
    </w:p>
  </w:endnote>
  <w:endnote w:type="continuationSeparator" w:id="0">
    <w:p w14:paraId="6AE760F9" w14:textId="77777777" w:rsidR="00445BF0" w:rsidRDefault="00445BF0"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CC2898" w14:textId="77777777" w:rsidR="00445BF0" w:rsidRDefault="00445BF0" w:rsidP="004F5E36">
      <w:r>
        <w:separator/>
      </w:r>
    </w:p>
  </w:footnote>
  <w:footnote w:type="continuationSeparator" w:id="0">
    <w:p w14:paraId="0ED6324D" w14:textId="77777777" w:rsidR="00445BF0" w:rsidRDefault="00445BF0"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58AF15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94F8843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283" w:firstLine="0"/>
      </w:pPr>
      <w:rPr>
        <w:rFonts w:hint="default"/>
        <w:b/>
        <w:bCs w:val="0"/>
        <w:i w:val="0"/>
        <w:iCs w:val="0"/>
      </w:rPr>
    </w:lvl>
    <w:lvl w:ilvl="3">
      <w:start w:val="1"/>
      <w:numFmt w:val="decimal"/>
      <w:pStyle w:val="TableSimpl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2E122A59"/>
    <w:multiLevelType w:val="hybridMultilevel"/>
    <w:tmpl w:val="433CB4FC"/>
    <w:lvl w:ilvl="0" w:tplc="BF466B4A">
      <w:start w:val="1"/>
      <w:numFmt w:val="decimal"/>
      <w:lvlText w:val="%1."/>
      <w:lvlJc w:val="left"/>
      <w:pPr>
        <w:ind w:left="360" w:hanging="360"/>
      </w:pPr>
      <w:rPr>
        <w:rFonts w:hint="default"/>
        <w:b/>
        <w:bCs/>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2"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B1262BA"/>
    <w:multiLevelType w:val="hybridMultilevel"/>
    <w:tmpl w:val="3A6497E2"/>
    <w:lvl w:ilvl="0" w:tplc="5720BEB6">
      <w:start w:val="1"/>
      <w:numFmt w:val="decimal"/>
      <w:lvlText w:val="%1."/>
      <w:lvlJc w:val="left"/>
      <w:pPr>
        <w:ind w:left="360" w:hanging="360"/>
      </w:pPr>
      <w:rPr>
        <w:rFonts w:hint="default"/>
        <w:b/>
        <w:bCs/>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6"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15:restartNumberingAfterBreak="0">
    <w:nsid w:val="4A0570B8"/>
    <w:multiLevelType w:val="hybridMultilevel"/>
    <w:tmpl w:val="AFD634B2"/>
    <w:lvl w:ilvl="0" w:tplc="106681BA">
      <w:start w:val="4"/>
      <w:numFmt w:val="decimal"/>
      <w:lvlText w:val="%1"/>
      <w:lvlJc w:val="left"/>
      <w:pPr>
        <w:ind w:left="360" w:hanging="360"/>
      </w:pPr>
      <w:rPr>
        <w:rFonts w:hint="default"/>
        <w:b/>
        <w:bCs/>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8"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21"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7C825119"/>
    <w:multiLevelType w:val="hybridMultilevel"/>
    <w:tmpl w:val="DAC8B6D8"/>
    <w:lvl w:ilvl="0" w:tplc="327664F0">
      <w:start w:val="1"/>
      <w:numFmt w:val="upp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16cid:durableId="1619488044">
    <w:abstractNumId w:val="10"/>
  </w:num>
  <w:num w:numId="2" w16cid:durableId="1847936463">
    <w:abstractNumId w:val="8"/>
  </w:num>
  <w:num w:numId="3" w16cid:durableId="1288506158">
    <w:abstractNumId w:val="3"/>
  </w:num>
  <w:num w:numId="4" w16cid:durableId="2019501858">
    <w:abstractNumId w:val="2"/>
  </w:num>
  <w:num w:numId="5" w16cid:durableId="1177576948">
    <w:abstractNumId w:val="1"/>
  </w:num>
  <w:num w:numId="6" w16cid:durableId="2092197021">
    <w:abstractNumId w:val="0"/>
  </w:num>
  <w:num w:numId="7" w16cid:durableId="13582160">
    <w:abstractNumId w:val="9"/>
  </w:num>
  <w:num w:numId="8" w16cid:durableId="2075349933">
    <w:abstractNumId w:val="7"/>
  </w:num>
  <w:num w:numId="9" w16cid:durableId="1491025234">
    <w:abstractNumId w:val="6"/>
  </w:num>
  <w:num w:numId="10" w16cid:durableId="1946498098">
    <w:abstractNumId w:val="5"/>
  </w:num>
  <w:num w:numId="11" w16cid:durableId="1208295965">
    <w:abstractNumId w:val="4"/>
  </w:num>
  <w:num w:numId="12" w16cid:durableId="127629699">
    <w:abstractNumId w:val="20"/>
  </w:num>
  <w:num w:numId="13" w16cid:durableId="251665878">
    <w:abstractNumId w:val="13"/>
  </w:num>
  <w:num w:numId="14" w16cid:durableId="1027757696">
    <w:abstractNumId w:val="21"/>
  </w:num>
  <w:num w:numId="15" w16cid:durableId="458642881">
    <w:abstractNumId w:val="23"/>
  </w:num>
  <w:num w:numId="16" w16cid:durableId="1260673826">
    <w:abstractNumId w:val="22"/>
  </w:num>
  <w:num w:numId="17" w16cid:durableId="844124836">
    <w:abstractNumId w:val="12"/>
  </w:num>
  <w:num w:numId="18" w16cid:durableId="39865652">
    <w:abstractNumId w:val="13"/>
    <w:lvlOverride w:ilvl="0">
      <w:startOverride w:val="1"/>
    </w:lvlOverride>
  </w:num>
  <w:num w:numId="19" w16cid:durableId="2096433351">
    <w:abstractNumId w:val="19"/>
  </w:num>
  <w:num w:numId="20" w16cid:durableId="231350339">
    <w:abstractNumId w:val="18"/>
  </w:num>
  <w:num w:numId="21" w16cid:durableId="1463959732">
    <w:abstractNumId w:val="16"/>
  </w:num>
  <w:num w:numId="22" w16cid:durableId="2064671187">
    <w:abstractNumId w:val="14"/>
  </w:num>
  <w:num w:numId="23" w16cid:durableId="906260887">
    <w:abstractNumId w:val="24"/>
  </w:num>
  <w:num w:numId="24" w16cid:durableId="1359426584">
    <w:abstractNumId w:val="10"/>
    <w:lvlOverride w:ilvl="0">
      <w:startOverride w:val="1"/>
    </w:lvlOverride>
    <w:lvlOverride w:ilvl="1">
      <w:startOverride w:val="3"/>
    </w:lvlOverride>
    <w:lvlOverride w:ilvl="2">
      <w:startOverride w:val="4"/>
    </w:lvlOverride>
  </w:num>
  <w:num w:numId="25" w16cid:durableId="189689417">
    <w:abstractNumId w:val="10"/>
    <w:lvlOverride w:ilvl="0">
      <w:startOverride w:val="1"/>
    </w:lvlOverride>
    <w:lvlOverride w:ilvl="1">
      <w:startOverride w:val="3"/>
    </w:lvlOverride>
    <w:lvlOverride w:ilvl="2">
      <w:startOverride w:val="4"/>
    </w:lvlOverride>
  </w:num>
  <w:num w:numId="26" w16cid:durableId="1653020105">
    <w:abstractNumId w:val="10"/>
    <w:lvlOverride w:ilvl="0">
      <w:startOverride w:val="1"/>
    </w:lvlOverride>
    <w:lvlOverride w:ilvl="1">
      <w:startOverride w:val="3"/>
    </w:lvlOverride>
    <w:lvlOverride w:ilvl="2">
      <w:startOverride w:val="4"/>
    </w:lvlOverride>
  </w:num>
  <w:num w:numId="27" w16cid:durableId="321472405">
    <w:abstractNumId w:val="11"/>
  </w:num>
  <w:num w:numId="28" w16cid:durableId="1270509411">
    <w:abstractNumId w:val="15"/>
  </w:num>
  <w:num w:numId="29" w16cid:durableId="685864665">
    <w:abstractNumId w:val="1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Gary.Walsh">
    <w15:presenceInfo w15:providerId="AD" w15:userId="S-1-5-21-1758683218-2981183267-2764312846-21939"/>
  </w15:person>
  <w15:person w15:author="Anastasia.Klemanska">
    <w15:presenceInfo w15:providerId="AD" w15:userId="S::Anastasia.Klemanska@ul.ie::5154fba9-e552-4fea-b6ed-020a4da9496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429B"/>
    <w:rsid w:val="000052FB"/>
    <w:rsid w:val="000117CB"/>
    <w:rsid w:val="0001185B"/>
    <w:rsid w:val="00022DF2"/>
    <w:rsid w:val="0003148D"/>
    <w:rsid w:val="00031EEC"/>
    <w:rsid w:val="00036A7C"/>
    <w:rsid w:val="000422A5"/>
    <w:rsid w:val="00051566"/>
    <w:rsid w:val="000562A9"/>
    <w:rsid w:val="00062160"/>
    <w:rsid w:val="00062A9A"/>
    <w:rsid w:val="00065058"/>
    <w:rsid w:val="00071C5F"/>
    <w:rsid w:val="00077852"/>
    <w:rsid w:val="00086C39"/>
    <w:rsid w:val="000A03B2"/>
    <w:rsid w:val="000A2D51"/>
    <w:rsid w:val="000B233F"/>
    <w:rsid w:val="000B4D72"/>
    <w:rsid w:val="000B4DF7"/>
    <w:rsid w:val="000C1A2A"/>
    <w:rsid w:val="000D021D"/>
    <w:rsid w:val="000D0268"/>
    <w:rsid w:val="000D153B"/>
    <w:rsid w:val="000D34BE"/>
    <w:rsid w:val="000D580A"/>
    <w:rsid w:val="000D5CCE"/>
    <w:rsid w:val="000E102F"/>
    <w:rsid w:val="000E22E3"/>
    <w:rsid w:val="000E25BC"/>
    <w:rsid w:val="000E36F1"/>
    <w:rsid w:val="000E3A73"/>
    <w:rsid w:val="000E414A"/>
    <w:rsid w:val="000F093C"/>
    <w:rsid w:val="000F188C"/>
    <w:rsid w:val="000F787B"/>
    <w:rsid w:val="00100995"/>
    <w:rsid w:val="001017BD"/>
    <w:rsid w:val="001075ED"/>
    <w:rsid w:val="0012091F"/>
    <w:rsid w:val="00125C98"/>
    <w:rsid w:val="00126BC2"/>
    <w:rsid w:val="001308B6"/>
    <w:rsid w:val="0013121F"/>
    <w:rsid w:val="00131FE6"/>
    <w:rsid w:val="0013263F"/>
    <w:rsid w:val="001331DF"/>
    <w:rsid w:val="00134DE4"/>
    <w:rsid w:val="0013684F"/>
    <w:rsid w:val="0014034D"/>
    <w:rsid w:val="00144D16"/>
    <w:rsid w:val="00150E59"/>
    <w:rsid w:val="00152DE3"/>
    <w:rsid w:val="00157CA1"/>
    <w:rsid w:val="00164CF9"/>
    <w:rsid w:val="001667A6"/>
    <w:rsid w:val="0017535D"/>
    <w:rsid w:val="00183515"/>
    <w:rsid w:val="00184AD6"/>
    <w:rsid w:val="001966D3"/>
    <w:rsid w:val="001A052F"/>
    <w:rsid w:val="001A4AF7"/>
    <w:rsid w:val="001B0349"/>
    <w:rsid w:val="001B1E93"/>
    <w:rsid w:val="001B65C1"/>
    <w:rsid w:val="001B6714"/>
    <w:rsid w:val="001B7F3C"/>
    <w:rsid w:val="001C684B"/>
    <w:rsid w:val="001D0CFB"/>
    <w:rsid w:val="001D1839"/>
    <w:rsid w:val="001D21AF"/>
    <w:rsid w:val="001D53FC"/>
    <w:rsid w:val="001E215A"/>
    <w:rsid w:val="001E2694"/>
    <w:rsid w:val="001F42A5"/>
    <w:rsid w:val="001F50F1"/>
    <w:rsid w:val="001F7B9D"/>
    <w:rsid w:val="00201C93"/>
    <w:rsid w:val="002224B4"/>
    <w:rsid w:val="00222C25"/>
    <w:rsid w:val="0023330D"/>
    <w:rsid w:val="002447EF"/>
    <w:rsid w:val="00251550"/>
    <w:rsid w:val="00251E45"/>
    <w:rsid w:val="002558D2"/>
    <w:rsid w:val="002562F7"/>
    <w:rsid w:val="0026360F"/>
    <w:rsid w:val="00263B05"/>
    <w:rsid w:val="0027221A"/>
    <w:rsid w:val="00274C3D"/>
    <w:rsid w:val="002754B4"/>
    <w:rsid w:val="00275B61"/>
    <w:rsid w:val="00280FAF"/>
    <w:rsid w:val="00282656"/>
    <w:rsid w:val="0028445D"/>
    <w:rsid w:val="00285941"/>
    <w:rsid w:val="00295F84"/>
    <w:rsid w:val="00296B83"/>
    <w:rsid w:val="002A46B6"/>
    <w:rsid w:val="002B4015"/>
    <w:rsid w:val="002B5BE3"/>
    <w:rsid w:val="002B6D39"/>
    <w:rsid w:val="002B78CE"/>
    <w:rsid w:val="002C2FB6"/>
    <w:rsid w:val="002C43DA"/>
    <w:rsid w:val="002D20C5"/>
    <w:rsid w:val="002E5FA7"/>
    <w:rsid w:val="002F3309"/>
    <w:rsid w:val="002F61DA"/>
    <w:rsid w:val="003008CE"/>
    <w:rsid w:val="003009B7"/>
    <w:rsid w:val="00300E56"/>
    <w:rsid w:val="0030152C"/>
    <w:rsid w:val="00302982"/>
    <w:rsid w:val="0030469C"/>
    <w:rsid w:val="00321CA6"/>
    <w:rsid w:val="00323763"/>
    <w:rsid w:val="00323C5F"/>
    <w:rsid w:val="00323F21"/>
    <w:rsid w:val="00332A15"/>
    <w:rsid w:val="00334C09"/>
    <w:rsid w:val="00342780"/>
    <w:rsid w:val="00345354"/>
    <w:rsid w:val="00351546"/>
    <w:rsid w:val="0035287A"/>
    <w:rsid w:val="003560ED"/>
    <w:rsid w:val="0036660D"/>
    <w:rsid w:val="00371F72"/>
    <w:rsid w:val="003723D4"/>
    <w:rsid w:val="00381905"/>
    <w:rsid w:val="00384CC8"/>
    <w:rsid w:val="003871FD"/>
    <w:rsid w:val="00391C13"/>
    <w:rsid w:val="003A1E30"/>
    <w:rsid w:val="003A2829"/>
    <w:rsid w:val="003A46CE"/>
    <w:rsid w:val="003A5124"/>
    <w:rsid w:val="003A6FC6"/>
    <w:rsid w:val="003A7D1C"/>
    <w:rsid w:val="003B304B"/>
    <w:rsid w:val="003B3146"/>
    <w:rsid w:val="003D395E"/>
    <w:rsid w:val="003D769E"/>
    <w:rsid w:val="003E44B3"/>
    <w:rsid w:val="003F015E"/>
    <w:rsid w:val="003F03A3"/>
    <w:rsid w:val="003F71EA"/>
    <w:rsid w:val="003F79E1"/>
    <w:rsid w:val="00400414"/>
    <w:rsid w:val="00401D36"/>
    <w:rsid w:val="0041446B"/>
    <w:rsid w:val="004153E3"/>
    <w:rsid w:val="00415946"/>
    <w:rsid w:val="0044071E"/>
    <w:rsid w:val="00440B40"/>
    <w:rsid w:val="0044236F"/>
    <w:rsid w:val="0044329C"/>
    <w:rsid w:val="00445BF0"/>
    <w:rsid w:val="00447E7A"/>
    <w:rsid w:val="00451BAE"/>
    <w:rsid w:val="00453742"/>
    <w:rsid w:val="00453E24"/>
    <w:rsid w:val="00457456"/>
    <w:rsid w:val="004577FE"/>
    <w:rsid w:val="00457B9C"/>
    <w:rsid w:val="0046164A"/>
    <w:rsid w:val="004628D2"/>
    <w:rsid w:val="00462DCD"/>
    <w:rsid w:val="004648AD"/>
    <w:rsid w:val="0046771C"/>
    <w:rsid w:val="004703A9"/>
    <w:rsid w:val="004760DE"/>
    <w:rsid w:val="004763D7"/>
    <w:rsid w:val="004766E7"/>
    <w:rsid w:val="004A004E"/>
    <w:rsid w:val="004A24CF"/>
    <w:rsid w:val="004B0B5C"/>
    <w:rsid w:val="004C1C94"/>
    <w:rsid w:val="004C3D1D"/>
    <w:rsid w:val="004C3D84"/>
    <w:rsid w:val="004C7913"/>
    <w:rsid w:val="004C7C5A"/>
    <w:rsid w:val="004D1771"/>
    <w:rsid w:val="004D4988"/>
    <w:rsid w:val="004D53DF"/>
    <w:rsid w:val="004D5EDB"/>
    <w:rsid w:val="004E4DD6"/>
    <w:rsid w:val="004E6ADD"/>
    <w:rsid w:val="004F07C9"/>
    <w:rsid w:val="004F5DDF"/>
    <w:rsid w:val="004F5E36"/>
    <w:rsid w:val="00507B47"/>
    <w:rsid w:val="00507BEF"/>
    <w:rsid w:val="00507CC9"/>
    <w:rsid w:val="005119A5"/>
    <w:rsid w:val="00514A7E"/>
    <w:rsid w:val="00516AAC"/>
    <w:rsid w:val="00517439"/>
    <w:rsid w:val="00525DEA"/>
    <w:rsid w:val="00526B6C"/>
    <w:rsid w:val="005278B7"/>
    <w:rsid w:val="00532016"/>
    <w:rsid w:val="005346C8"/>
    <w:rsid w:val="00543E7D"/>
    <w:rsid w:val="00547A68"/>
    <w:rsid w:val="005531C9"/>
    <w:rsid w:val="005703D3"/>
    <w:rsid w:val="00570C43"/>
    <w:rsid w:val="00574B02"/>
    <w:rsid w:val="00575FB3"/>
    <w:rsid w:val="005831B6"/>
    <w:rsid w:val="00593A93"/>
    <w:rsid w:val="00596365"/>
    <w:rsid w:val="005A182D"/>
    <w:rsid w:val="005A2EF2"/>
    <w:rsid w:val="005B2110"/>
    <w:rsid w:val="005B23BA"/>
    <w:rsid w:val="005B61E6"/>
    <w:rsid w:val="005C77E1"/>
    <w:rsid w:val="005D668A"/>
    <w:rsid w:val="005D6A2F"/>
    <w:rsid w:val="005E1A82"/>
    <w:rsid w:val="005E3209"/>
    <w:rsid w:val="005E794C"/>
    <w:rsid w:val="005F0A28"/>
    <w:rsid w:val="005F0E5E"/>
    <w:rsid w:val="005F20F0"/>
    <w:rsid w:val="00600535"/>
    <w:rsid w:val="00601CCD"/>
    <w:rsid w:val="00610CD6"/>
    <w:rsid w:val="00620DEE"/>
    <w:rsid w:val="00621F92"/>
    <w:rsid w:val="0062280A"/>
    <w:rsid w:val="00625639"/>
    <w:rsid w:val="00631B33"/>
    <w:rsid w:val="0064184D"/>
    <w:rsid w:val="006422CC"/>
    <w:rsid w:val="00644158"/>
    <w:rsid w:val="00660E3E"/>
    <w:rsid w:val="00662E74"/>
    <w:rsid w:val="00680C23"/>
    <w:rsid w:val="006865E3"/>
    <w:rsid w:val="00693766"/>
    <w:rsid w:val="006A3281"/>
    <w:rsid w:val="006B4888"/>
    <w:rsid w:val="006C1E85"/>
    <w:rsid w:val="006C2E45"/>
    <w:rsid w:val="006C359C"/>
    <w:rsid w:val="006C5579"/>
    <w:rsid w:val="006C7165"/>
    <w:rsid w:val="006D0F38"/>
    <w:rsid w:val="006D6E8B"/>
    <w:rsid w:val="006E4BD5"/>
    <w:rsid w:val="006E737D"/>
    <w:rsid w:val="006F4637"/>
    <w:rsid w:val="00704B6B"/>
    <w:rsid w:val="007124CD"/>
    <w:rsid w:val="00713973"/>
    <w:rsid w:val="007149A8"/>
    <w:rsid w:val="00720A24"/>
    <w:rsid w:val="00730DB5"/>
    <w:rsid w:val="00732386"/>
    <w:rsid w:val="007328C5"/>
    <w:rsid w:val="0073514D"/>
    <w:rsid w:val="0073530A"/>
    <w:rsid w:val="007359D1"/>
    <w:rsid w:val="007447F3"/>
    <w:rsid w:val="0074695B"/>
    <w:rsid w:val="00746D40"/>
    <w:rsid w:val="00750AF9"/>
    <w:rsid w:val="0075499F"/>
    <w:rsid w:val="007661C8"/>
    <w:rsid w:val="007701D5"/>
    <w:rsid w:val="0077098D"/>
    <w:rsid w:val="00770D30"/>
    <w:rsid w:val="007817D1"/>
    <w:rsid w:val="007851F3"/>
    <w:rsid w:val="007900CF"/>
    <w:rsid w:val="007931FA"/>
    <w:rsid w:val="00793918"/>
    <w:rsid w:val="007A050F"/>
    <w:rsid w:val="007A4861"/>
    <w:rsid w:val="007A7BBA"/>
    <w:rsid w:val="007B0C50"/>
    <w:rsid w:val="007B48F9"/>
    <w:rsid w:val="007C1A43"/>
    <w:rsid w:val="007C477A"/>
    <w:rsid w:val="007C790C"/>
    <w:rsid w:val="007D0164"/>
    <w:rsid w:val="007D0951"/>
    <w:rsid w:val="0080013E"/>
    <w:rsid w:val="008012A9"/>
    <w:rsid w:val="00813288"/>
    <w:rsid w:val="00816866"/>
    <w:rsid w:val="008168E3"/>
    <w:rsid w:val="008168FC"/>
    <w:rsid w:val="00830996"/>
    <w:rsid w:val="008345F1"/>
    <w:rsid w:val="008418F8"/>
    <w:rsid w:val="00860EE6"/>
    <w:rsid w:val="00862D1F"/>
    <w:rsid w:val="008641E1"/>
    <w:rsid w:val="00865B07"/>
    <w:rsid w:val="008667EA"/>
    <w:rsid w:val="00874AE2"/>
    <w:rsid w:val="0087637F"/>
    <w:rsid w:val="00892AD5"/>
    <w:rsid w:val="00895E89"/>
    <w:rsid w:val="008A1512"/>
    <w:rsid w:val="008B1822"/>
    <w:rsid w:val="008B7A10"/>
    <w:rsid w:val="008C2C2C"/>
    <w:rsid w:val="008C3824"/>
    <w:rsid w:val="008D157F"/>
    <w:rsid w:val="008D32B9"/>
    <w:rsid w:val="008D433B"/>
    <w:rsid w:val="008D4A16"/>
    <w:rsid w:val="008E2C12"/>
    <w:rsid w:val="008E566E"/>
    <w:rsid w:val="0090149D"/>
    <w:rsid w:val="0090161A"/>
    <w:rsid w:val="00901EB6"/>
    <w:rsid w:val="00904C62"/>
    <w:rsid w:val="009106FA"/>
    <w:rsid w:val="00921652"/>
    <w:rsid w:val="00922BA8"/>
    <w:rsid w:val="00922D8C"/>
    <w:rsid w:val="00923F20"/>
    <w:rsid w:val="00924DAC"/>
    <w:rsid w:val="00927058"/>
    <w:rsid w:val="00937891"/>
    <w:rsid w:val="00942750"/>
    <w:rsid w:val="00942832"/>
    <w:rsid w:val="009450CE"/>
    <w:rsid w:val="009459BB"/>
    <w:rsid w:val="00947179"/>
    <w:rsid w:val="0095164B"/>
    <w:rsid w:val="00953C97"/>
    <w:rsid w:val="00954090"/>
    <w:rsid w:val="009544AD"/>
    <w:rsid w:val="009573E7"/>
    <w:rsid w:val="00963E05"/>
    <w:rsid w:val="00964A45"/>
    <w:rsid w:val="00965BA6"/>
    <w:rsid w:val="00967843"/>
    <w:rsid w:val="00967D54"/>
    <w:rsid w:val="00971028"/>
    <w:rsid w:val="009715DF"/>
    <w:rsid w:val="009763CC"/>
    <w:rsid w:val="00993B84"/>
    <w:rsid w:val="00996483"/>
    <w:rsid w:val="00996F5A"/>
    <w:rsid w:val="009B041A"/>
    <w:rsid w:val="009C2B89"/>
    <w:rsid w:val="009C37C3"/>
    <w:rsid w:val="009C7C86"/>
    <w:rsid w:val="009D2FF7"/>
    <w:rsid w:val="009D5F20"/>
    <w:rsid w:val="009E7884"/>
    <w:rsid w:val="009E788A"/>
    <w:rsid w:val="009F0E08"/>
    <w:rsid w:val="009F4242"/>
    <w:rsid w:val="009F574D"/>
    <w:rsid w:val="009F66AB"/>
    <w:rsid w:val="009F7173"/>
    <w:rsid w:val="00A01DB7"/>
    <w:rsid w:val="00A021A5"/>
    <w:rsid w:val="00A1460A"/>
    <w:rsid w:val="00A14E05"/>
    <w:rsid w:val="00A1763D"/>
    <w:rsid w:val="00A17CEC"/>
    <w:rsid w:val="00A20B86"/>
    <w:rsid w:val="00A23FAC"/>
    <w:rsid w:val="00A27EF0"/>
    <w:rsid w:val="00A42361"/>
    <w:rsid w:val="00A50B20"/>
    <w:rsid w:val="00A51390"/>
    <w:rsid w:val="00A51B4E"/>
    <w:rsid w:val="00A52F22"/>
    <w:rsid w:val="00A538A2"/>
    <w:rsid w:val="00A57D5F"/>
    <w:rsid w:val="00A60D13"/>
    <w:rsid w:val="00A70024"/>
    <w:rsid w:val="00A7223D"/>
    <w:rsid w:val="00A72745"/>
    <w:rsid w:val="00A738FF"/>
    <w:rsid w:val="00A76EFC"/>
    <w:rsid w:val="00A87D50"/>
    <w:rsid w:val="00A91010"/>
    <w:rsid w:val="00A9272D"/>
    <w:rsid w:val="00A95BDA"/>
    <w:rsid w:val="00A96A06"/>
    <w:rsid w:val="00A97F29"/>
    <w:rsid w:val="00AA254D"/>
    <w:rsid w:val="00AA702E"/>
    <w:rsid w:val="00AA7C85"/>
    <w:rsid w:val="00AA7D26"/>
    <w:rsid w:val="00AB0964"/>
    <w:rsid w:val="00AB2DE3"/>
    <w:rsid w:val="00AB5011"/>
    <w:rsid w:val="00AC461A"/>
    <w:rsid w:val="00AC734B"/>
    <w:rsid w:val="00AC7368"/>
    <w:rsid w:val="00AC7EF5"/>
    <w:rsid w:val="00AD16B9"/>
    <w:rsid w:val="00AE1F74"/>
    <w:rsid w:val="00AE377D"/>
    <w:rsid w:val="00AF0EBA"/>
    <w:rsid w:val="00AF58BD"/>
    <w:rsid w:val="00AF5D91"/>
    <w:rsid w:val="00AF795D"/>
    <w:rsid w:val="00B02C8A"/>
    <w:rsid w:val="00B0536D"/>
    <w:rsid w:val="00B0572F"/>
    <w:rsid w:val="00B1325F"/>
    <w:rsid w:val="00B17FBD"/>
    <w:rsid w:val="00B21BEB"/>
    <w:rsid w:val="00B248CD"/>
    <w:rsid w:val="00B315A6"/>
    <w:rsid w:val="00B31813"/>
    <w:rsid w:val="00B33365"/>
    <w:rsid w:val="00B3415C"/>
    <w:rsid w:val="00B36324"/>
    <w:rsid w:val="00B40E20"/>
    <w:rsid w:val="00B450E9"/>
    <w:rsid w:val="00B464EF"/>
    <w:rsid w:val="00B57981"/>
    <w:rsid w:val="00B57B36"/>
    <w:rsid w:val="00B57E6F"/>
    <w:rsid w:val="00B61DDF"/>
    <w:rsid w:val="00B63A13"/>
    <w:rsid w:val="00B8686D"/>
    <w:rsid w:val="00B912A1"/>
    <w:rsid w:val="00B927A9"/>
    <w:rsid w:val="00B933E8"/>
    <w:rsid w:val="00B93F69"/>
    <w:rsid w:val="00BA120B"/>
    <w:rsid w:val="00BA554E"/>
    <w:rsid w:val="00BB062C"/>
    <w:rsid w:val="00BB1DDC"/>
    <w:rsid w:val="00BC00A9"/>
    <w:rsid w:val="00BC02BA"/>
    <w:rsid w:val="00BC30C9"/>
    <w:rsid w:val="00BD077D"/>
    <w:rsid w:val="00BE3E58"/>
    <w:rsid w:val="00BE54F8"/>
    <w:rsid w:val="00BE711B"/>
    <w:rsid w:val="00BE7650"/>
    <w:rsid w:val="00C01616"/>
    <w:rsid w:val="00C0162B"/>
    <w:rsid w:val="00C03E21"/>
    <w:rsid w:val="00C068ED"/>
    <w:rsid w:val="00C07C7D"/>
    <w:rsid w:val="00C1177D"/>
    <w:rsid w:val="00C12BA5"/>
    <w:rsid w:val="00C22E0C"/>
    <w:rsid w:val="00C305BC"/>
    <w:rsid w:val="00C345B1"/>
    <w:rsid w:val="00C40142"/>
    <w:rsid w:val="00C44B63"/>
    <w:rsid w:val="00C52C3C"/>
    <w:rsid w:val="00C54839"/>
    <w:rsid w:val="00C557D0"/>
    <w:rsid w:val="00C56442"/>
    <w:rsid w:val="00C57182"/>
    <w:rsid w:val="00C57863"/>
    <w:rsid w:val="00C62A7E"/>
    <w:rsid w:val="00C640AF"/>
    <w:rsid w:val="00C655FD"/>
    <w:rsid w:val="00C73E76"/>
    <w:rsid w:val="00C75407"/>
    <w:rsid w:val="00C77C0D"/>
    <w:rsid w:val="00C81128"/>
    <w:rsid w:val="00C870A8"/>
    <w:rsid w:val="00C90B62"/>
    <w:rsid w:val="00C94434"/>
    <w:rsid w:val="00C94831"/>
    <w:rsid w:val="00CA0D75"/>
    <w:rsid w:val="00CA1C95"/>
    <w:rsid w:val="00CA51DD"/>
    <w:rsid w:val="00CA55C4"/>
    <w:rsid w:val="00CA5A9C"/>
    <w:rsid w:val="00CB5C26"/>
    <w:rsid w:val="00CC4C20"/>
    <w:rsid w:val="00CD3517"/>
    <w:rsid w:val="00CD37B3"/>
    <w:rsid w:val="00CD5FE2"/>
    <w:rsid w:val="00CE7C68"/>
    <w:rsid w:val="00D00077"/>
    <w:rsid w:val="00D01194"/>
    <w:rsid w:val="00D029E7"/>
    <w:rsid w:val="00D02B4C"/>
    <w:rsid w:val="00D040C4"/>
    <w:rsid w:val="00D17FFA"/>
    <w:rsid w:val="00D2080D"/>
    <w:rsid w:val="00D20AD1"/>
    <w:rsid w:val="00D26B0A"/>
    <w:rsid w:val="00D374E8"/>
    <w:rsid w:val="00D45B3B"/>
    <w:rsid w:val="00D460D6"/>
    <w:rsid w:val="00D46B7E"/>
    <w:rsid w:val="00D4704F"/>
    <w:rsid w:val="00D57C84"/>
    <w:rsid w:val="00D6057D"/>
    <w:rsid w:val="00D648EC"/>
    <w:rsid w:val="00D71640"/>
    <w:rsid w:val="00D72272"/>
    <w:rsid w:val="00D836C5"/>
    <w:rsid w:val="00D84576"/>
    <w:rsid w:val="00D96A2A"/>
    <w:rsid w:val="00DA1399"/>
    <w:rsid w:val="00DA24C6"/>
    <w:rsid w:val="00DA4D7B"/>
    <w:rsid w:val="00DB4F12"/>
    <w:rsid w:val="00DB72D4"/>
    <w:rsid w:val="00DD271C"/>
    <w:rsid w:val="00DE264A"/>
    <w:rsid w:val="00DF5072"/>
    <w:rsid w:val="00DF61E8"/>
    <w:rsid w:val="00DF6530"/>
    <w:rsid w:val="00E02D18"/>
    <w:rsid w:val="00E041E7"/>
    <w:rsid w:val="00E0460F"/>
    <w:rsid w:val="00E23871"/>
    <w:rsid w:val="00E23CA1"/>
    <w:rsid w:val="00E24A6A"/>
    <w:rsid w:val="00E33DD7"/>
    <w:rsid w:val="00E36AC5"/>
    <w:rsid w:val="00E409A8"/>
    <w:rsid w:val="00E50C12"/>
    <w:rsid w:val="00E65B91"/>
    <w:rsid w:val="00E7209D"/>
    <w:rsid w:val="00E72EAD"/>
    <w:rsid w:val="00E77223"/>
    <w:rsid w:val="00E80C54"/>
    <w:rsid w:val="00E82DF6"/>
    <w:rsid w:val="00E84B3C"/>
    <w:rsid w:val="00E8528B"/>
    <w:rsid w:val="00E85724"/>
    <w:rsid w:val="00E85B94"/>
    <w:rsid w:val="00E978D0"/>
    <w:rsid w:val="00EA4613"/>
    <w:rsid w:val="00EA7F91"/>
    <w:rsid w:val="00EB06A6"/>
    <w:rsid w:val="00EB1523"/>
    <w:rsid w:val="00EB21AE"/>
    <w:rsid w:val="00EB2B80"/>
    <w:rsid w:val="00EB2D98"/>
    <w:rsid w:val="00EC0E49"/>
    <w:rsid w:val="00EC101F"/>
    <w:rsid w:val="00EC1D9F"/>
    <w:rsid w:val="00EC4C35"/>
    <w:rsid w:val="00EC6CF0"/>
    <w:rsid w:val="00EC743D"/>
    <w:rsid w:val="00ED2C93"/>
    <w:rsid w:val="00EE0131"/>
    <w:rsid w:val="00EE17B0"/>
    <w:rsid w:val="00EE4C22"/>
    <w:rsid w:val="00EF06D9"/>
    <w:rsid w:val="00EF4A4E"/>
    <w:rsid w:val="00F127DA"/>
    <w:rsid w:val="00F135CE"/>
    <w:rsid w:val="00F13E8E"/>
    <w:rsid w:val="00F16D88"/>
    <w:rsid w:val="00F224EC"/>
    <w:rsid w:val="00F24AE8"/>
    <w:rsid w:val="00F25B04"/>
    <w:rsid w:val="00F3049E"/>
    <w:rsid w:val="00F30C64"/>
    <w:rsid w:val="00F32BA2"/>
    <w:rsid w:val="00F32CDB"/>
    <w:rsid w:val="00F37655"/>
    <w:rsid w:val="00F435C2"/>
    <w:rsid w:val="00F444BC"/>
    <w:rsid w:val="00F536D8"/>
    <w:rsid w:val="00F565FE"/>
    <w:rsid w:val="00F63A70"/>
    <w:rsid w:val="00F63D8C"/>
    <w:rsid w:val="00F677EF"/>
    <w:rsid w:val="00F70F5D"/>
    <w:rsid w:val="00F7534E"/>
    <w:rsid w:val="00F76B9F"/>
    <w:rsid w:val="00F93EDF"/>
    <w:rsid w:val="00FA1802"/>
    <w:rsid w:val="00FA21D0"/>
    <w:rsid w:val="00FA3C49"/>
    <w:rsid w:val="00FA5284"/>
    <w:rsid w:val="00FA5F5F"/>
    <w:rsid w:val="00FA68A5"/>
    <w:rsid w:val="00FB14E7"/>
    <w:rsid w:val="00FB2998"/>
    <w:rsid w:val="00FB730C"/>
    <w:rsid w:val="00FC2695"/>
    <w:rsid w:val="00FC3E03"/>
    <w:rsid w:val="00FC3FC1"/>
    <w:rsid w:val="00FC61F6"/>
    <w:rsid w:val="00FD5B73"/>
    <w:rsid w:val="00FE0AA9"/>
    <w:rsid w:val="00FF106D"/>
    <w:rsid w:val="00FF32FD"/>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Heading1">
    <w:name w:val="heading 1"/>
    <w:basedOn w:val="CETHeading1"/>
    <w:next w:val="Normal"/>
    <w:link w:val="Heading1Char"/>
    <w:uiPriority w:val="9"/>
    <w:rsid w:val="004F5E36"/>
    <w:pPr>
      <w:tabs>
        <w:tab w:val="clear" w:pos="360"/>
        <w:tab w:val="right" w:pos="7100"/>
      </w:tabs>
      <w:jc w:val="both"/>
      <w:outlineLvl w:val="0"/>
    </w:pPr>
    <w:rPr>
      <w:lang w:val="en-GB"/>
    </w:rPr>
  </w:style>
  <w:style w:type="paragraph" w:styleId="Heading2">
    <w:name w:val="heading 2"/>
    <w:basedOn w:val="Normal"/>
    <w:next w:val="Normal"/>
    <w:link w:val="Heading2Ch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F106D"/>
    <w:pPr>
      <w:keepNext/>
      <w:numPr>
        <w:ilvl w:val="2"/>
        <w:numId w:val="1"/>
      </w:numPr>
      <w:suppressAutoHyphens/>
      <w:spacing w:before="120" w:after="120" w:line="240" w:lineRule="auto"/>
      <w:ind w:left="0"/>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leSimple1">
    <w:name w:val="Table Simple 1"/>
    <w:basedOn w:val="Table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F106D"/>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CommentReference">
    <w:name w:val="annotation reference"/>
    <w:basedOn w:val="DefaultParagraphFont"/>
    <w:uiPriority w:val="99"/>
    <w:semiHidden/>
    <w:unhideWhenUsed/>
    <w:rsid w:val="004577FE"/>
    <w:rPr>
      <w:sz w:val="16"/>
      <w:szCs w:val="16"/>
    </w:rPr>
  </w:style>
  <w:style w:type="paragraph" w:styleId="BalloonText">
    <w:name w:val="Balloon Text"/>
    <w:basedOn w:val="Normal"/>
    <w:link w:val="BalloonTextChar"/>
    <w:uiPriority w:val="99"/>
    <w:semiHidden/>
    <w:unhideWhenUsed/>
    <w:rsid w:val="000D34B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34BE"/>
    <w:rPr>
      <w:rFonts w:ascii="Tahoma" w:hAnsi="Tahoma" w:cs="Tahoma"/>
      <w:sz w:val="16"/>
      <w:szCs w:val="16"/>
    </w:rPr>
  </w:style>
  <w:style w:type="paragraph" w:styleId="Bibliography">
    <w:name w:val="Bibliography"/>
    <w:basedOn w:val="CETReferencetext"/>
    <w:uiPriority w:val="37"/>
    <w:unhideWhenUsed/>
    <w:rsid w:val="00631B33"/>
    <w:pPr>
      <w:spacing w:line="240" w:lineRule="auto"/>
      <w:ind w:left="720" w:hanging="720"/>
    </w:pPr>
  </w:style>
  <w:style w:type="paragraph" w:styleId="BodyText2">
    <w:name w:val="Body Text 2"/>
    <w:basedOn w:val="Normal"/>
    <w:link w:val="BodyText2Char"/>
    <w:uiPriority w:val="99"/>
    <w:semiHidden/>
    <w:unhideWhenUsed/>
    <w:rsid w:val="0003148D"/>
    <w:pPr>
      <w:spacing w:after="120" w:line="480" w:lineRule="auto"/>
    </w:pPr>
  </w:style>
  <w:style w:type="character" w:customStyle="1" w:styleId="BodyText2Char">
    <w:name w:val="Body Text 2 Char"/>
    <w:basedOn w:val="DefaultParagraphFont"/>
    <w:link w:val="BodyText2"/>
    <w:uiPriority w:val="99"/>
    <w:semiHidden/>
    <w:rsid w:val="0003148D"/>
  </w:style>
  <w:style w:type="paragraph" w:styleId="BodyText3">
    <w:name w:val="Body Text 3"/>
    <w:basedOn w:val="Normal"/>
    <w:link w:val="BodyText3Char"/>
    <w:uiPriority w:val="99"/>
    <w:semiHidden/>
    <w:unhideWhenUsed/>
    <w:rsid w:val="0003148D"/>
    <w:pPr>
      <w:spacing w:after="120"/>
    </w:pPr>
    <w:rPr>
      <w:sz w:val="16"/>
      <w:szCs w:val="16"/>
    </w:rPr>
  </w:style>
  <w:style w:type="character" w:customStyle="1" w:styleId="BodyText3Char">
    <w:name w:val="Body Text 3 Char"/>
    <w:basedOn w:val="DefaultParagraphFont"/>
    <w:link w:val="BodyText3"/>
    <w:uiPriority w:val="99"/>
    <w:semiHidden/>
    <w:rsid w:val="0003148D"/>
    <w:rPr>
      <w:sz w:val="16"/>
      <w:szCs w:val="16"/>
    </w:rPr>
  </w:style>
  <w:style w:type="paragraph" w:styleId="BodyText">
    <w:name w:val="Body Text"/>
    <w:basedOn w:val="Normal"/>
    <w:link w:val="BodyTextChar"/>
    <w:uiPriority w:val="99"/>
    <w:semiHidden/>
    <w:unhideWhenUsed/>
    <w:rsid w:val="0003148D"/>
    <w:pPr>
      <w:spacing w:after="120"/>
    </w:pPr>
  </w:style>
  <w:style w:type="character" w:customStyle="1" w:styleId="BodyTextChar">
    <w:name w:val="Body Text Char"/>
    <w:basedOn w:val="DefaultParagraphFont"/>
    <w:link w:val="BodyText"/>
    <w:uiPriority w:val="99"/>
    <w:semiHidden/>
    <w:rsid w:val="0003148D"/>
  </w:style>
  <w:style w:type="paragraph" w:styleId="Date">
    <w:name w:val="Date"/>
    <w:basedOn w:val="Normal"/>
    <w:next w:val="Normal"/>
    <w:link w:val="DateChar"/>
    <w:uiPriority w:val="99"/>
    <w:semiHidden/>
    <w:unhideWhenUsed/>
    <w:rsid w:val="0003148D"/>
  </w:style>
  <w:style w:type="character" w:customStyle="1" w:styleId="DateChar">
    <w:name w:val="Date Char"/>
    <w:basedOn w:val="DefaultParagraphFont"/>
    <w:link w:val="Date"/>
    <w:uiPriority w:val="99"/>
    <w:semiHidden/>
    <w:rsid w:val="0003148D"/>
  </w:style>
  <w:style w:type="paragraph" w:styleId="Caption">
    <w:name w:val="caption"/>
    <w:basedOn w:val="Normal"/>
    <w:next w:val="Normal"/>
    <w:uiPriority w:val="35"/>
    <w:unhideWhenUsed/>
    <w:qFormat/>
    <w:rsid w:val="0003148D"/>
    <w:pPr>
      <w:spacing w:line="240" w:lineRule="auto"/>
    </w:pPr>
    <w:rPr>
      <w:b/>
      <w:bCs/>
      <w:color w:val="4F81BD" w:themeColor="accent1"/>
      <w:szCs w:val="18"/>
    </w:rPr>
  </w:style>
  <w:style w:type="paragraph" w:styleId="List">
    <w:name w:val="List"/>
    <w:basedOn w:val="Normal"/>
    <w:uiPriority w:val="99"/>
    <w:semiHidden/>
    <w:unhideWhenUsed/>
    <w:rsid w:val="0003148D"/>
    <w:pPr>
      <w:ind w:left="283" w:hanging="283"/>
      <w:contextualSpacing/>
    </w:pPr>
  </w:style>
  <w:style w:type="paragraph" w:styleId="List2">
    <w:name w:val="List 2"/>
    <w:basedOn w:val="Normal"/>
    <w:uiPriority w:val="99"/>
    <w:semiHidden/>
    <w:unhideWhenUsed/>
    <w:rsid w:val="0003148D"/>
    <w:pPr>
      <w:ind w:left="566" w:hanging="283"/>
      <w:contextualSpacing/>
    </w:pPr>
  </w:style>
  <w:style w:type="paragraph" w:styleId="List3">
    <w:name w:val="List 3"/>
    <w:basedOn w:val="Normal"/>
    <w:uiPriority w:val="99"/>
    <w:semiHidden/>
    <w:unhideWhenUsed/>
    <w:rsid w:val="0003148D"/>
    <w:pPr>
      <w:ind w:left="849" w:hanging="283"/>
      <w:contextualSpacing/>
    </w:pPr>
  </w:style>
  <w:style w:type="paragraph" w:styleId="List4">
    <w:name w:val="List 4"/>
    <w:basedOn w:val="Normal"/>
    <w:uiPriority w:val="99"/>
    <w:semiHidden/>
    <w:unhideWhenUsed/>
    <w:rsid w:val="0003148D"/>
    <w:pPr>
      <w:ind w:left="1132" w:hanging="283"/>
      <w:contextualSpacing/>
    </w:pPr>
  </w:style>
  <w:style w:type="paragraph" w:styleId="List5">
    <w:name w:val="List 5"/>
    <w:basedOn w:val="Normal"/>
    <w:uiPriority w:val="99"/>
    <w:semiHidden/>
    <w:unhideWhenUsed/>
    <w:rsid w:val="0003148D"/>
    <w:pPr>
      <w:ind w:left="1415" w:hanging="283"/>
      <w:contextualSpacing/>
    </w:pPr>
  </w:style>
  <w:style w:type="paragraph" w:styleId="ListContinue">
    <w:name w:val="List Continue"/>
    <w:basedOn w:val="Normal"/>
    <w:uiPriority w:val="99"/>
    <w:semiHidden/>
    <w:unhideWhenUsed/>
    <w:rsid w:val="0003148D"/>
    <w:pPr>
      <w:spacing w:after="120"/>
      <w:ind w:left="283"/>
      <w:contextualSpacing/>
    </w:pPr>
  </w:style>
  <w:style w:type="paragraph" w:styleId="ListContinue2">
    <w:name w:val="List Continue 2"/>
    <w:basedOn w:val="Normal"/>
    <w:uiPriority w:val="99"/>
    <w:semiHidden/>
    <w:unhideWhenUsed/>
    <w:rsid w:val="0003148D"/>
    <w:pPr>
      <w:spacing w:after="120"/>
      <w:ind w:left="566"/>
      <w:contextualSpacing/>
    </w:pPr>
  </w:style>
  <w:style w:type="paragraph" w:styleId="ListContinue3">
    <w:name w:val="List Continue 3"/>
    <w:basedOn w:val="Normal"/>
    <w:uiPriority w:val="99"/>
    <w:semiHidden/>
    <w:unhideWhenUsed/>
    <w:rsid w:val="0003148D"/>
    <w:pPr>
      <w:spacing w:after="120"/>
      <w:ind w:left="849"/>
      <w:contextualSpacing/>
    </w:pPr>
  </w:style>
  <w:style w:type="paragraph" w:styleId="ListContinue4">
    <w:name w:val="List Continue 4"/>
    <w:basedOn w:val="Normal"/>
    <w:uiPriority w:val="99"/>
    <w:semiHidden/>
    <w:unhideWhenUsed/>
    <w:rsid w:val="0003148D"/>
    <w:pPr>
      <w:spacing w:after="120"/>
      <w:ind w:left="1132"/>
      <w:contextualSpacing/>
    </w:pPr>
  </w:style>
  <w:style w:type="paragraph" w:styleId="ListContinue5">
    <w:name w:val="List Continue 5"/>
    <w:basedOn w:val="Normal"/>
    <w:uiPriority w:val="99"/>
    <w:semiHidden/>
    <w:unhideWhenUsed/>
    <w:rsid w:val="0003148D"/>
    <w:pPr>
      <w:spacing w:after="120"/>
      <w:ind w:left="1415"/>
      <w:contextualSpacing/>
    </w:pPr>
  </w:style>
  <w:style w:type="paragraph" w:styleId="Signature">
    <w:name w:val="Signature"/>
    <w:basedOn w:val="Normal"/>
    <w:link w:val="SignatureChar"/>
    <w:uiPriority w:val="99"/>
    <w:semiHidden/>
    <w:unhideWhenUsed/>
    <w:rsid w:val="0003148D"/>
    <w:pPr>
      <w:spacing w:line="240" w:lineRule="auto"/>
      <w:ind w:left="4252"/>
    </w:pPr>
  </w:style>
  <w:style w:type="character" w:customStyle="1" w:styleId="SignatureChar">
    <w:name w:val="Signature Char"/>
    <w:basedOn w:val="DefaultParagraphFont"/>
    <w:link w:val="Signature"/>
    <w:uiPriority w:val="99"/>
    <w:semiHidden/>
    <w:rsid w:val="0003148D"/>
  </w:style>
  <w:style w:type="paragraph" w:styleId="E-mailSignature">
    <w:name w:val="E-mail Signature"/>
    <w:basedOn w:val="Normal"/>
    <w:link w:val="E-mailSignatureChar"/>
    <w:uiPriority w:val="99"/>
    <w:semiHidden/>
    <w:unhideWhenUsed/>
    <w:rsid w:val="0003148D"/>
    <w:pPr>
      <w:spacing w:line="240" w:lineRule="auto"/>
    </w:pPr>
  </w:style>
  <w:style w:type="character" w:customStyle="1" w:styleId="E-mailSignatureChar">
    <w:name w:val="E-mail Signature Char"/>
    <w:basedOn w:val="DefaultParagraphFont"/>
    <w:link w:val="E-mailSignature"/>
    <w:uiPriority w:val="99"/>
    <w:semiHidden/>
    <w:rsid w:val="0003148D"/>
  </w:style>
  <w:style w:type="paragraph" w:styleId="Salutation">
    <w:name w:val="Salutation"/>
    <w:basedOn w:val="Normal"/>
    <w:next w:val="Normal"/>
    <w:link w:val="SalutationChar"/>
    <w:uiPriority w:val="99"/>
    <w:semiHidden/>
    <w:unhideWhenUsed/>
    <w:rsid w:val="0003148D"/>
  </w:style>
  <w:style w:type="character" w:customStyle="1" w:styleId="SalutationChar">
    <w:name w:val="Salutation Char"/>
    <w:basedOn w:val="DefaultParagraphFont"/>
    <w:link w:val="Salutation"/>
    <w:uiPriority w:val="99"/>
    <w:semiHidden/>
    <w:rsid w:val="0003148D"/>
  </w:style>
  <w:style w:type="paragraph" w:styleId="Closing">
    <w:name w:val="Closing"/>
    <w:basedOn w:val="Normal"/>
    <w:link w:val="ClosingChar"/>
    <w:uiPriority w:val="99"/>
    <w:semiHidden/>
    <w:unhideWhenUsed/>
    <w:rsid w:val="0003148D"/>
    <w:pPr>
      <w:spacing w:line="240" w:lineRule="auto"/>
      <w:ind w:left="4252"/>
    </w:pPr>
  </w:style>
  <w:style w:type="character" w:customStyle="1" w:styleId="ClosingChar">
    <w:name w:val="Closing Char"/>
    <w:basedOn w:val="DefaultParagraphFont"/>
    <w:link w:val="Closing"/>
    <w:uiPriority w:val="99"/>
    <w:semiHidden/>
    <w:rsid w:val="0003148D"/>
  </w:style>
  <w:style w:type="paragraph" w:styleId="Index1">
    <w:name w:val="index 1"/>
    <w:basedOn w:val="Normal"/>
    <w:next w:val="Normal"/>
    <w:autoRedefine/>
    <w:uiPriority w:val="99"/>
    <w:semiHidden/>
    <w:unhideWhenUsed/>
    <w:rsid w:val="0003148D"/>
    <w:pPr>
      <w:spacing w:line="240" w:lineRule="auto"/>
      <w:ind w:left="220" w:hanging="220"/>
    </w:pPr>
  </w:style>
  <w:style w:type="paragraph" w:styleId="Index2">
    <w:name w:val="index 2"/>
    <w:basedOn w:val="Normal"/>
    <w:next w:val="Normal"/>
    <w:autoRedefine/>
    <w:uiPriority w:val="99"/>
    <w:semiHidden/>
    <w:unhideWhenUsed/>
    <w:rsid w:val="0003148D"/>
    <w:pPr>
      <w:spacing w:line="240" w:lineRule="auto"/>
      <w:ind w:left="440" w:hanging="220"/>
    </w:pPr>
  </w:style>
  <w:style w:type="paragraph" w:styleId="Index3">
    <w:name w:val="index 3"/>
    <w:basedOn w:val="Normal"/>
    <w:next w:val="Normal"/>
    <w:autoRedefine/>
    <w:uiPriority w:val="99"/>
    <w:semiHidden/>
    <w:unhideWhenUsed/>
    <w:rsid w:val="0003148D"/>
    <w:pPr>
      <w:spacing w:line="240" w:lineRule="auto"/>
      <w:ind w:left="660" w:hanging="220"/>
    </w:pPr>
  </w:style>
  <w:style w:type="paragraph" w:styleId="Index4">
    <w:name w:val="index 4"/>
    <w:basedOn w:val="Normal"/>
    <w:next w:val="Normal"/>
    <w:autoRedefine/>
    <w:uiPriority w:val="99"/>
    <w:semiHidden/>
    <w:unhideWhenUsed/>
    <w:rsid w:val="0003148D"/>
    <w:pPr>
      <w:spacing w:line="240" w:lineRule="auto"/>
      <w:ind w:left="880" w:hanging="220"/>
    </w:pPr>
  </w:style>
  <w:style w:type="paragraph" w:styleId="Index5">
    <w:name w:val="index 5"/>
    <w:basedOn w:val="Normal"/>
    <w:next w:val="Normal"/>
    <w:autoRedefine/>
    <w:uiPriority w:val="99"/>
    <w:semiHidden/>
    <w:unhideWhenUsed/>
    <w:rsid w:val="0003148D"/>
    <w:pPr>
      <w:spacing w:line="240" w:lineRule="auto"/>
      <w:ind w:left="1100" w:hanging="220"/>
    </w:pPr>
  </w:style>
  <w:style w:type="paragraph" w:styleId="Index6">
    <w:name w:val="index 6"/>
    <w:basedOn w:val="Normal"/>
    <w:next w:val="Normal"/>
    <w:autoRedefine/>
    <w:uiPriority w:val="99"/>
    <w:semiHidden/>
    <w:unhideWhenUsed/>
    <w:rsid w:val="0003148D"/>
    <w:pPr>
      <w:spacing w:line="240" w:lineRule="auto"/>
      <w:ind w:left="1320" w:hanging="220"/>
    </w:pPr>
  </w:style>
  <w:style w:type="paragraph" w:styleId="Index7">
    <w:name w:val="index 7"/>
    <w:basedOn w:val="Normal"/>
    <w:next w:val="Normal"/>
    <w:autoRedefine/>
    <w:uiPriority w:val="99"/>
    <w:semiHidden/>
    <w:unhideWhenUsed/>
    <w:rsid w:val="0003148D"/>
    <w:pPr>
      <w:spacing w:line="240" w:lineRule="auto"/>
      <w:ind w:left="1540" w:hanging="220"/>
    </w:pPr>
  </w:style>
  <w:style w:type="paragraph" w:styleId="Index8">
    <w:name w:val="index 8"/>
    <w:basedOn w:val="Normal"/>
    <w:next w:val="Normal"/>
    <w:autoRedefine/>
    <w:uiPriority w:val="99"/>
    <w:semiHidden/>
    <w:unhideWhenUsed/>
    <w:rsid w:val="0003148D"/>
    <w:pPr>
      <w:spacing w:line="240" w:lineRule="auto"/>
      <w:ind w:left="1760" w:hanging="220"/>
    </w:pPr>
  </w:style>
  <w:style w:type="paragraph" w:styleId="Index9">
    <w:name w:val="index 9"/>
    <w:basedOn w:val="Normal"/>
    <w:next w:val="Normal"/>
    <w:autoRedefine/>
    <w:uiPriority w:val="99"/>
    <w:semiHidden/>
    <w:unhideWhenUsed/>
    <w:rsid w:val="0003148D"/>
    <w:pPr>
      <w:spacing w:line="240" w:lineRule="auto"/>
      <w:ind w:left="1980" w:hanging="220"/>
    </w:pPr>
  </w:style>
  <w:style w:type="paragraph" w:styleId="TableofFigures">
    <w:name w:val="table of figures"/>
    <w:basedOn w:val="Normal"/>
    <w:next w:val="Normal"/>
    <w:uiPriority w:val="99"/>
    <w:semiHidden/>
    <w:unhideWhenUsed/>
    <w:rsid w:val="0003148D"/>
  </w:style>
  <w:style w:type="paragraph" w:styleId="TableofAuthorities">
    <w:name w:val="table of authorities"/>
    <w:basedOn w:val="Normal"/>
    <w:next w:val="Normal"/>
    <w:uiPriority w:val="99"/>
    <w:semiHidden/>
    <w:unhideWhenUsed/>
    <w:rsid w:val="0003148D"/>
    <w:pPr>
      <w:ind w:left="220" w:hanging="220"/>
    </w:pPr>
  </w:style>
  <w:style w:type="paragraph" w:styleId="EnvelopeAddress">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HTMLAddress">
    <w:name w:val="HTML Address"/>
    <w:basedOn w:val="Normal"/>
    <w:link w:val="HTMLAddressChar"/>
    <w:uiPriority w:val="99"/>
    <w:semiHidden/>
    <w:unhideWhenUsed/>
    <w:rsid w:val="0003148D"/>
    <w:pPr>
      <w:spacing w:line="240" w:lineRule="auto"/>
    </w:pPr>
    <w:rPr>
      <w:i/>
      <w:iCs/>
    </w:rPr>
  </w:style>
  <w:style w:type="character" w:customStyle="1" w:styleId="HTMLAddressChar">
    <w:name w:val="HTML Address Char"/>
    <w:basedOn w:val="DefaultParagraphFont"/>
    <w:link w:val="HTMLAddress"/>
    <w:uiPriority w:val="99"/>
    <w:semiHidden/>
    <w:rsid w:val="0003148D"/>
    <w:rPr>
      <w:i/>
      <w:iCs/>
    </w:rPr>
  </w:style>
  <w:style w:type="paragraph" w:styleId="EnvelopeReturn">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MessageHeader">
    <w:name w:val="Message Header"/>
    <w:basedOn w:val="Normal"/>
    <w:link w:val="MessageHeaderCh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03148D"/>
    <w:rPr>
      <w:rFonts w:asciiTheme="majorHAnsi" w:eastAsiaTheme="majorEastAsia" w:hAnsiTheme="majorHAnsi" w:cstheme="majorBidi"/>
      <w:sz w:val="24"/>
      <w:szCs w:val="24"/>
      <w:shd w:val="pct20" w:color="auto" w:fill="auto"/>
    </w:rPr>
  </w:style>
  <w:style w:type="paragraph" w:styleId="NoteHeading">
    <w:name w:val="Note Heading"/>
    <w:basedOn w:val="Normal"/>
    <w:next w:val="Normal"/>
    <w:link w:val="NoteHeadingChar"/>
    <w:uiPriority w:val="99"/>
    <w:semiHidden/>
    <w:unhideWhenUsed/>
    <w:rsid w:val="0003148D"/>
    <w:pPr>
      <w:spacing w:line="240" w:lineRule="auto"/>
    </w:pPr>
  </w:style>
  <w:style w:type="character" w:customStyle="1" w:styleId="NoteHeadingChar">
    <w:name w:val="Note Heading Char"/>
    <w:basedOn w:val="DefaultParagraphFont"/>
    <w:link w:val="NoteHeading"/>
    <w:uiPriority w:val="99"/>
    <w:semiHidden/>
    <w:rsid w:val="0003148D"/>
  </w:style>
  <w:style w:type="paragraph" w:styleId="DocumentMap">
    <w:name w:val="Document Map"/>
    <w:basedOn w:val="Normal"/>
    <w:link w:val="DocumentMapChar"/>
    <w:uiPriority w:val="99"/>
    <w:semiHidden/>
    <w:unhideWhenUsed/>
    <w:rsid w:val="0003148D"/>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ListNumber">
    <w:name w:val="List Number"/>
    <w:basedOn w:val="Normal"/>
    <w:uiPriority w:val="99"/>
    <w:semiHidden/>
    <w:unhideWhenUsed/>
    <w:rsid w:val="0003148D"/>
    <w:pPr>
      <w:numPr>
        <w:numId w:val="2"/>
      </w:numPr>
      <w:contextualSpacing/>
    </w:pPr>
  </w:style>
  <w:style w:type="paragraph" w:styleId="ListNumber2">
    <w:name w:val="List Number 2"/>
    <w:basedOn w:val="Normal"/>
    <w:uiPriority w:val="99"/>
    <w:semiHidden/>
    <w:unhideWhenUsed/>
    <w:rsid w:val="0003148D"/>
    <w:pPr>
      <w:numPr>
        <w:numId w:val="3"/>
      </w:numPr>
      <w:contextualSpacing/>
    </w:pPr>
  </w:style>
  <w:style w:type="paragraph" w:styleId="ListNumber3">
    <w:name w:val="List Number 3"/>
    <w:basedOn w:val="Normal"/>
    <w:uiPriority w:val="99"/>
    <w:semiHidden/>
    <w:unhideWhenUsed/>
    <w:rsid w:val="0003148D"/>
    <w:pPr>
      <w:numPr>
        <w:numId w:val="4"/>
      </w:numPr>
      <w:contextualSpacing/>
    </w:pPr>
  </w:style>
  <w:style w:type="paragraph" w:styleId="ListNumber4">
    <w:name w:val="List Number 4"/>
    <w:basedOn w:val="Normal"/>
    <w:uiPriority w:val="99"/>
    <w:semiHidden/>
    <w:unhideWhenUsed/>
    <w:rsid w:val="0003148D"/>
    <w:pPr>
      <w:numPr>
        <w:numId w:val="5"/>
      </w:numPr>
      <w:contextualSpacing/>
    </w:pPr>
  </w:style>
  <w:style w:type="paragraph" w:styleId="ListNumber5">
    <w:name w:val="List Number 5"/>
    <w:basedOn w:val="Normal"/>
    <w:uiPriority w:val="99"/>
    <w:semiHidden/>
    <w:unhideWhenUsed/>
    <w:rsid w:val="0003148D"/>
    <w:pPr>
      <w:numPr>
        <w:numId w:val="6"/>
      </w:numPr>
      <w:contextualSpacing/>
    </w:pPr>
  </w:style>
  <w:style w:type="paragraph" w:styleId="HTMLPreformatted">
    <w:name w:val="HTML Preformatted"/>
    <w:basedOn w:val="Normal"/>
    <w:link w:val="HTMLPreformattedChar"/>
    <w:uiPriority w:val="99"/>
    <w:semiHidden/>
    <w:unhideWhenUsed/>
    <w:rsid w:val="0003148D"/>
    <w:pPr>
      <w:spacing w:line="240" w:lineRule="auto"/>
    </w:pPr>
    <w:rPr>
      <w:rFonts w:ascii="Consolas" w:hAnsi="Consolas" w:cs="Consolas"/>
    </w:rPr>
  </w:style>
  <w:style w:type="character" w:customStyle="1" w:styleId="HTMLPreformattedChar">
    <w:name w:val="HTML Preformatted Char"/>
    <w:basedOn w:val="DefaultParagraphFont"/>
    <w:link w:val="HTMLPreformatted"/>
    <w:uiPriority w:val="99"/>
    <w:semiHidden/>
    <w:rsid w:val="0003148D"/>
    <w:rPr>
      <w:rFonts w:ascii="Consolas" w:hAnsi="Consolas" w:cs="Consolas"/>
      <w:sz w:val="20"/>
      <w:szCs w:val="20"/>
    </w:rPr>
  </w:style>
  <w:style w:type="paragraph" w:styleId="BodyTextFirstIndent">
    <w:name w:val="Body Text First Indent"/>
    <w:basedOn w:val="BodyText"/>
    <w:link w:val="BodyTextFirstIndentChar"/>
    <w:uiPriority w:val="99"/>
    <w:semiHidden/>
    <w:unhideWhenUsed/>
    <w:rsid w:val="0003148D"/>
    <w:pPr>
      <w:spacing w:after="200"/>
      <w:ind w:firstLine="360"/>
    </w:pPr>
  </w:style>
  <w:style w:type="character" w:customStyle="1" w:styleId="BodyTextFirstIndentChar">
    <w:name w:val="Body Text First Indent Char"/>
    <w:basedOn w:val="BodyTextChar"/>
    <w:link w:val="BodyTextFirstIndent"/>
    <w:uiPriority w:val="99"/>
    <w:semiHidden/>
    <w:rsid w:val="0003148D"/>
  </w:style>
  <w:style w:type="paragraph" w:styleId="BodyTextIndent">
    <w:name w:val="Body Text Indent"/>
    <w:basedOn w:val="Normal"/>
    <w:link w:val="BodyTextIndentChar"/>
    <w:uiPriority w:val="99"/>
    <w:semiHidden/>
    <w:unhideWhenUsed/>
    <w:rsid w:val="0003148D"/>
    <w:pPr>
      <w:spacing w:after="120"/>
      <w:ind w:left="283"/>
    </w:pPr>
  </w:style>
  <w:style w:type="character" w:customStyle="1" w:styleId="BodyTextIndentChar">
    <w:name w:val="Body Text Indent Char"/>
    <w:basedOn w:val="DefaultParagraphFont"/>
    <w:link w:val="BodyTextIndent"/>
    <w:uiPriority w:val="99"/>
    <w:semiHidden/>
    <w:rsid w:val="0003148D"/>
  </w:style>
  <w:style w:type="paragraph" w:styleId="BodyTextFirstIndent2">
    <w:name w:val="Body Text First Indent 2"/>
    <w:basedOn w:val="BodyTextIndent"/>
    <w:link w:val="BodyTextFirstIndent2Char"/>
    <w:uiPriority w:val="99"/>
    <w:semiHidden/>
    <w:unhideWhenUsed/>
    <w:rsid w:val="0003148D"/>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03148D"/>
  </w:style>
  <w:style w:type="paragraph" w:styleId="ListBullet">
    <w:name w:val="List Bullet"/>
    <w:basedOn w:val="Normal"/>
    <w:uiPriority w:val="99"/>
    <w:semiHidden/>
    <w:unhideWhenUsed/>
    <w:rsid w:val="0003148D"/>
    <w:pPr>
      <w:numPr>
        <w:numId w:val="7"/>
      </w:numPr>
      <w:contextualSpacing/>
    </w:pPr>
  </w:style>
  <w:style w:type="paragraph" w:styleId="ListBullet2">
    <w:name w:val="List Bullet 2"/>
    <w:basedOn w:val="Normal"/>
    <w:uiPriority w:val="99"/>
    <w:semiHidden/>
    <w:unhideWhenUsed/>
    <w:rsid w:val="0003148D"/>
    <w:pPr>
      <w:numPr>
        <w:numId w:val="8"/>
      </w:numPr>
      <w:contextualSpacing/>
    </w:pPr>
  </w:style>
  <w:style w:type="paragraph" w:styleId="ListBullet3">
    <w:name w:val="List Bullet 3"/>
    <w:basedOn w:val="Normal"/>
    <w:uiPriority w:val="99"/>
    <w:semiHidden/>
    <w:unhideWhenUsed/>
    <w:rsid w:val="0003148D"/>
    <w:pPr>
      <w:numPr>
        <w:numId w:val="9"/>
      </w:numPr>
      <w:contextualSpacing/>
    </w:pPr>
  </w:style>
  <w:style w:type="paragraph" w:styleId="ListBullet4">
    <w:name w:val="List Bullet 4"/>
    <w:basedOn w:val="Normal"/>
    <w:uiPriority w:val="99"/>
    <w:semiHidden/>
    <w:unhideWhenUsed/>
    <w:rsid w:val="0003148D"/>
    <w:pPr>
      <w:numPr>
        <w:numId w:val="10"/>
      </w:numPr>
      <w:contextualSpacing/>
    </w:pPr>
  </w:style>
  <w:style w:type="paragraph" w:styleId="ListBullet5">
    <w:name w:val="List Bullet 5"/>
    <w:basedOn w:val="Normal"/>
    <w:uiPriority w:val="99"/>
    <w:semiHidden/>
    <w:unhideWhenUsed/>
    <w:rsid w:val="0003148D"/>
    <w:pPr>
      <w:numPr>
        <w:numId w:val="11"/>
      </w:numPr>
      <w:contextualSpacing/>
    </w:pPr>
  </w:style>
  <w:style w:type="paragraph" w:styleId="BodyTextIndent2">
    <w:name w:val="Body Text Indent 2"/>
    <w:basedOn w:val="Normal"/>
    <w:link w:val="BodyTextIndent2Char"/>
    <w:uiPriority w:val="99"/>
    <w:semiHidden/>
    <w:unhideWhenUsed/>
    <w:rsid w:val="0003148D"/>
    <w:pPr>
      <w:spacing w:after="120" w:line="480" w:lineRule="auto"/>
      <w:ind w:left="283"/>
    </w:pPr>
  </w:style>
  <w:style w:type="character" w:customStyle="1" w:styleId="BodyTextIndent2Char">
    <w:name w:val="Body Text Indent 2 Char"/>
    <w:basedOn w:val="DefaultParagraphFont"/>
    <w:link w:val="BodyTextIndent2"/>
    <w:uiPriority w:val="99"/>
    <w:semiHidden/>
    <w:rsid w:val="0003148D"/>
  </w:style>
  <w:style w:type="paragraph" w:styleId="BodyTextIndent3">
    <w:name w:val="Body Text Indent 3"/>
    <w:basedOn w:val="Normal"/>
    <w:link w:val="BodyTextIndent3Char"/>
    <w:uiPriority w:val="99"/>
    <w:semiHidden/>
    <w:unhideWhenUsed/>
    <w:rsid w:val="0003148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03148D"/>
    <w:rPr>
      <w:sz w:val="16"/>
      <w:szCs w:val="16"/>
    </w:rPr>
  </w:style>
  <w:style w:type="paragraph" w:styleId="NormalIndent">
    <w:name w:val="Normal Indent"/>
    <w:basedOn w:val="Normal"/>
    <w:uiPriority w:val="99"/>
    <w:semiHidden/>
    <w:unhideWhenUsed/>
    <w:rsid w:val="0003148D"/>
    <w:pPr>
      <w:ind w:left="720"/>
    </w:pPr>
  </w:style>
  <w:style w:type="paragraph" w:styleId="CommentText">
    <w:name w:val="annotation text"/>
    <w:basedOn w:val="Normal"/>
    <w:link w:val="CommentTextChar"/>
    <w:uiPriority w:val="99"/>
    <w:unhideWhenUsed/>
    <w:rsid w:val="0003148D"/>
    <w:pPr>
      <w:spacing w:line="240" w:lineRule="auto"/>
    </w:pPr>
  </w:style>
  <w:style w:type="character" w:customStyle="1" w:styleId="CommentTextChar">
    <w:name w:val="Comment Text Char"/>
    <w:basedOn w:val="DefaultParagraphFont"/>
    <w:link w:val="CommentText"/>
    <w:uiPriority w:val="99"/>
    <w:rsid w:val="0003148D"/>
    <w:rPr>
      <w:sz w:val="20"/>
      <w:szCs w:val="20"/>
    </w:rPr>
  </w:style>
  <w:style w:type="paragraph" w:styleId="CommentSubject">
    <w:name w:val="annotation subject"/>
    <w:basedOn w:val="CommentText"/>
    <w:next w:val="CommentText"/>
    <w:link w:val="CommentSubjectChar"/>
    <w:uiPriority w:val="99"/>
    <w:semiHidden/>
    <w:unhideWhenUsed/>
    <w:rsid w:val="0003148D"/>
    <w:rPr>
      <w:b/>
      <w:bCs/>
    </w:rPr>
  </w:style>
  <w:style w:type="character" w:customStyle="1" w:styleId="CommentSubjectChar">
    <w:name w:val="Comment Subject Char"/>
    <w:basedOn w:val="CommentTextChar"/>
    <w:link w:val="CommentSubject"/>
    <w:uiPriority w:val="99"/>
    <w:semiHidden/>
    <w:rsid w:val="0003148D"/>
    <w:rPr>
      <w:b/>
      <w:bCs/>
      <w:sz w:val="20"/>
      <w:szCs w:val="20"/>
    </w:rPr>
  </w:style>
  <w:style w:type="paragraph" w:styleId="TOC1">
    <w:name w:val="toc 1"/>
    <w:basedOn w:val="Normal"/>
    <w:next w:val="Normal"/>
    <w:autoRedefine/>
    <w:uiPriority w:val="39"/>
    <w:semiHidden/>
    <w:unhideWhenUsed/>
    <w:rsid w:val="0003148D"/>
    <w:pPr>
      <w:spacing w:after="100"/>
    </w:pPr>
  </w:style>
  <w:style w:type="paragraph" w:styleId="TOC2">
    <w:name w:val="toc 2"/>
    <w:basedOn w:val="Normal"/>
    <w:next w:val="Normal"/>
    <w:autoRedefine/>
    <w:uiPriority w:val="39"/>
    <w:semiHidden/>
    <w:unhideWhenUsed/>
    <w:rsid w:val="0003148D"/>
    <w:pPr>
      <w:spacing w:after="100"/>
      <w:ind w:left="220"/>
    </w:pPr>
  </w:style>
  <w:style w:type="paragraph" w:styleId="TOC3">
    <w:name w:val="toc 3"/>
    <w:basedOn w:val="Normal"/>
    <w:next w:val="Normal"/>
    <w:autoRedefine/>
    <w:uiPriority w:val="39"/>
    <w:semiHidden/>
    <w:unhideWhenUsed/>
    <w:rsid w:val="0003148D"/>
    <w:pPr>
      <w:spacing w:after="100"/>
      <w:ind w:left="440"/>
    </w:pPr>
  </w:style>
  <w:style w:type="paragraph" w:styleId="TOC4">
    <w:name w:val="toc 4"/>
    <w:basedOn w:val="Normal"/>
    <w:next w:val="Normal"/>
    <w:autoRedefine/>
    <w:uiPriority w:val="39"/>
    <w:semiHidden/>
    <w:unhideWhenUsed/>
    <w:rsid w:val="0003148D"/>
    <w:pPr>
      <w:spacing w:after="100"/>
      <w:ind w:left="660"/>
    </w:pPr>
  </w:style>
  <w:style w:type="paragraph" w:styleId="TOC5">
    <w:name w:val="toc 5"/>
    <w:basedOn w:val="Normal"/>
    <w:next w:val="Normal"/>
    <w:autoRedefine/>
    <w:uiPriority w:val="39"/>
    <w:semiHidden/>
    <w:unhideWhenUsed/>
    <w:rsid w:val="0003148D"/>
    <w:pPr>
      <w:spacing w:after="100"/>
      <w:ind w:left="880"/>
    </w:pPr>
  </w:style>
  <w:style w:type="paragraph" w:styleId="TOC6">
    <w:name w:val="toc 6"/>
    <w:basedOn w:val="Normal"/>
    <w:next w:val="Normal"/>
    <w:autoRedefine/>
    <w:uiPriority w:val="39"/>
    <w:semiHidden/>
    <w:unhideWhenUsed/>
    <w:rsid w:val="0003148D"/>
    <w:pPr>
      <w:spacing w:after="100"/>
      <w:ind w:left="1100"/>
    </w:pPr>
  </w:style>
  <w:style w:type="paragraph" w:styleId="TOC7">
    <w:name w:val="toc 7"/>
    <w:basedOn w:val="Normal"/>
    <w:next w:val="Normal"/>
    <w:autoRedefine/>
    <w:uiPriority w:val="39"/>
    <w:semiHidden/>
    <w:unhideWhenUsed/>
    <w:rsid w:val="0003148D"/>
    <w:pPr>
      <w:spacing w:after="100"/>
      <w:ind w:left="1320"/>
    </w:pPr>
  </w:style>
  <w:style w:type="paragraph" w:styleId="TOC8">
    <w:name w:val="toc 8"/>
    <w:basedOn w:val="Normal"/>
    <w:next w:val="Normal"/>
    <w:autoRedefine/>
    <w:uiPriority w:val="39"/>
    <w:semiHidden/>
    <w:unhideWhenUsed/>
    <w:rsid w:val="0003148D"/>
    <w:pPr>
      <w:spacing w:after="100"/>
      <w:ind w:left="1540"/>
    </w:pPr>
  </w:style>
  <w:style w:type="paragraph" w:styleId="TOC9">
    <w:name w:val="toc 9"/>
    <w:basedOn w:val="Normal"/>
    <w:next w:val="Normal"/>
    <w:autoRedefine/>
    <w:uiPriority w:val="39"/>
    <w:semiHidden/>
    <w:unhideWhenUsed/>
    <w:rsid w:val="0003148D"/>
    <w:pPr>
      <w:spacing w:after="100"/>
      <w:ind w:left="1760"/>
    </w:pPr>
  </w:style>
  <w:style w:type="paragraph" w:styleId="BlockText">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MacroText">
    <w:name w:val="macro"/>
    <w:link w:val="MacroTextCh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03148D"/>
    <w:rPr>
      <w:rFonts w:ascii="Consolas" w:hAnsi="Consolas" w:cs="Consolas"/>
      <w:sz w:val="20"/>
      <w:szCs w:val="20"/>
    </w:rPr>
  </w:style>
  <w:style w:type="paragraph" w:styleId="PlainText">
    <w:name w:val="Plain Text"/>
    <w:basedOn w:val="Normal"/>
    <w:link w:val="PlainTextChar"/>
    <w:uiPriority w:val="99"/>
    <w:semiHidden/>
    <w:unhideWhenUsed/>
    <w:rsid w:val="0003148D"/>
    <w:pPr>
      <w:spacing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03148D"/>
    <w:rPr>
      <w:rFonts w:ascii="Consolas" w:hAnsi="Consolas" w:cs="Consolas"/>
      <w:sz w:val="21"/>
      <w:szCs w:val="21"/>
    </w:rPr>
  </w:style>
  <w:style w:type="paragraph" w:styleId="FootnoteText">
    <w:name w:val="footnote text"/>
    <w:basedOn w:val="Normal"/>
    <w:link w:val="FootnoteTextChar"/>
    <w:uiPriority w:val="99"/>
    <w:semiHidden/>
    <w:unhideWhenUsed/>
    <w:rsid w:val="0003148D"/>
    <w:pPr>
      <w:spacing w:line="240" w:lineRule="auto"/>
    </w:pPr>
  </w:style>
  <w:style w:type="character" w:customStyle="1" w:styleId="FootnoteTextChar">
    <w:name w:val="Footnote Text Char"/>
    <w:basedOn w:val="DefaultParagraphFont"/>
    <w:link w:val="FootnoteText"/>
    <w:uiPriority w:val="99"/>
    <w:semiHidden/>
    <w:rsid w:val="0003148D"/>
    <w:rPr>
      <w:sz w:val="20"/>
      <w:szCs w:val="20"/>
    </w:rPr>
  </w:style>
  <w:style w:type="paragraph" w:styleId="EndnoteText">
    <w:name w:val="endnote text"/>
    <w:basedOn w:val="Normal"/>
    <w:link w:val="EndnoteTextChar"/>
    <w:uiPriority w:val="99"/>
    <w:semiHidden/>
    <w:unhideWhenUsed/>
    <w:rsid w:val="0003148D"/>
    <w:pPr>
      <w:spacing w:line="240" w:lineRule="auto"/>
    </w:pPr>
  </w:style>
  <w:style w:type="character" w:customStyle="1" w:styleId="EndnoteTextChar">
    <w:name w:val="Endnote Text Char"/>
    <w:basedOn w:val="DefaultParagraphFont"/>
    <w:link w:val="EndnoteText"/>
    <w:uiPriority w:val="99"/>
    <w:semiHidden/>
    <w:rsid w:val="0003148D"/>
    <w:rPr>
      <w:sz w:val="20"/>
      <w:szCs w:val="20"/>
    </w:rPr>
  </w:style>
  <w:style w:type="character" w:customStyle="1" w:styleId="Heading1Char">
    <w:name w:val="Heading 1 Char"/>
    <w:basedOn w:val="DefaultParagraphFont"/>
    <w:link w:val="Heading1"/>
    <w:uiPriority w:val="9"/>
    <w:rsid w:val="004F5E36"/>
    <w:rPr>
      <w:rFonts w:ascii="Arial" w:eastAsia="Times New Roman" w:hAnsi="Arial" w:cs="Times New Roman"/>
      <w:b/>
      <w:sz w:val="20"/>
      <w:szCs w:val="20"/>
      <w:lang w:val="en-GB"/>
    </w:rPr>
  </w:style>
  <w:style w:type="character" w:customStyle="1" w:styleId="Heading2Char">
    <w:name w:val="Heading 2 Char"/>
    <w:basedOn w:val="DefaultParagraphFont"/>
    <w:link w:val="Heading2"/>
    <w:uiPriority w:val="9"/>
    <w:semiHidden/>
    <w:rsid w:val="0003148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03148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03148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03148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03148D"/>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03148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3148D"/>
    <w:rPr>
      <w:rFonts w:asciiTheme="majorHAnsi" w:eastAsiaTheme="majorEastAsia" w:hAnsiTheme="majorHAnsi" w:cstheme="majorBidi"/>
      <w:i/>
      <w:iCs/>
      <w:color w:val="404040" w:themeColor="text1" w:themeTint="BF"/>
      <w:sz w:val="20"/>
      <w:szCs w:val="20"/>
    </w:rPr>
  </w:style>
  <w:style w:type="paragraph" w:styleId="IndexHeading">
    <w:name w:val="index heading"/>
    <w:basedOn w:val="Normal"/>
    <w:next w:val="Index1"/>
    <w:uiPriority w:val="99"/>
    <w:semiHidden/>
    <w:unhideWhenUsed/>
    <w:rsid w:val="0003148D"/>
    <w:rPr>
      <w:rFonts w:asciiTheme="majorHAnsi" w:eastAsiaTheme="majorEastAsia" w:hAnsiTheme="majorHAnsi" w:cstheme="majorBidi"/>
      <w:b/>
      <w:bCs/>
    </w:rPr>
  </w:style>
  <w:style w:type="paragraph" w:styleId="TOAHeading">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DefaultParagraphFont"/>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Header">
    <w:name w:val="header"/>
    <w:basedOn w:val="Normal"/>
    <w:link w:val="HeaderChar"/>
    <w:uiPriority w:val="99"/>
    <w:unhideWhenUsed/>
    <w:rsid w:val="005278B7"/>
    <w:pPr>
      <w:tabs>
        <w:tab w:val="clear" w:pos="7100"/>
        <w:tab w:val="center" w:pos="4819"/>
        <w:tab w:val="right" w:pos="9638"/>
      </w:tabs>
      <w:spacing w:line="240" w:lineRule="auto"/>
    </w:pPr>
  </w:style>
  <w:style w:type="character" w:customStyle="1" w:styleId="HeaderChar">
    <w:name w:val="Header Char"/>
    <w:basedOn w:val="DefaultParagraphFont"/>
    <w:link w:val="Header"/>
    <w:uiPriority w:val="99"/>
    <w:rsid w:val="005278B7"/>
    <w:rPr>
      <w:rFonts w:ascii="Arial" w:eastAsia="Times New Roman" w:hAnsi="Arial" w:cs="Times New Roman"/>
      <w:sz w:val="18"/>
      <w:szCs w:val="20"/>
      <w:lang w:val="en-GB"/>
    </w:rPr>
  </w:style>
  <w:style w:type="paragraph" w:styleId="Footer">
    <w:name w:val="footer"/>
    <w:basedOn w:val="Normal"/>
    <w:link w:val="FooterChar"/>
    <w:uiPriority w:val="99"/>
    <w:unhideWhenUsed/>
    <w:rsid w:val="005278B7"/>
    <w:pPr>
      <w:tabs>
        <w:tab w:val="clear" w:pos="7100"/>
        <w:tab w:val="center" w:pos="4819"/>
        <w:tab w:val="right" w:pos="9638"/>
      </w:tabs>
      <w:spacing w:line="240" w:lineRule="auto"/>
    </w:pPr>
  </w:style>
  <w:style w:type="character" w:customStyle="1" w:styleId="FooterChar">
    <w:name w:val="Footer Char"/>
    <w:basedOn w:val="DefaultParagraphFont"/>
    <w:link w:val="Footer"/>
    <w:uiPriority w:val="99"/>
    <w:rsid w:val="005278B7"/>
    <w:rPr>
      <w:rFonts w:ascii="Arial" w:eastAsia="Times New Roman" w:hAnsi="Arial" w:cs="Times New Roman"/>
      <w:sz w:val="18"/>
      <w:szCs w:val="20"/>
      <w:lang w:val="en-GB"/>
    </w:rPr>
  </w:style>
  <w:style w:type="table" w:styleId="TableGrid">
    <w:name w:val="Table Grid"/>
    <w:basedOn w:val="TableNormal"/>
    <w:uiPriority w:val="3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04C62"/>
    <w:rPr>
      <w:color w:val="0000FF" w:themeColor="hyperlink"/>
      <w:u w:val="single"/>
    </w:rPr>
  </w:style>
  <w:style w:type="character" w:customStyle="1" w:styleId="eudoraheader">
    <w:name w:val="eudoraheader"/>
    <w:basedOn w:val="DefaultParagraphFont"/>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ListParagraph">
    <w:name w:val="List Paragraph"/>
    <w:basedOn w:val="Normal"/>
    <w:uiPriority w:val="34"/>
    <w:rsid w:val="00280FAF"/>
    <w:pPr>
      <w:ind w:left="720"/>
      <w:contextualSpacing/>
    </w:pPr>
  </w:style>
  <w:style w:type="table" w:styleId="PlainTable2">
    <w:name w:val="Plain Table 2"/>
    <w:basedOn w:val="TableNormal"/>
    <w:uiPriority w:val="42"/>
    <w:rsid w:val="00D01194"/>
    <w:pPr>
      <w:spacing w:after="0" w:line="240" w:lineRule="auto"/>
    </w:pPr>
    <w:rPr>
      <w:rFonts w:eastAsiaTheme="minorEastAsia"/>
      <w:lang w:val="en-IE" w:eastAsia="ja-JP"/>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omments" Target="comments.xml"/><Relationship Id="rId18" Type="http://schemas.openxmlformats.org/officeDocument/2006/relationships/chart" Target="charts/chart1.xml"/><Relationship Id="rId26"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chart" Target="charts/chart4.xml"/><Relationship Id="rId7" Type="http://schemas.openxmlformats.org/officeDocument/2006/relationships/settings" Target="settings.xml"/><Relationship Id="rId12" Type="http://schemas.openxmlformats.org/officeDocument/2006/relationships/image" Target="media/image2.jpeg"/><Relationship Id="rId17" Type="http://schemas.microsoft.com/office/2018/08/relationships/commentsExtensible" Target="commentsExtensible.xml"/><Relationship Id="rId25"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chart" Target="charts/chart3.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5.png"/><Relationship Id="rId5" Type="http://schemas.openxmlformats.org/officeDocument/2006/relationships/numbering" Target="numbering.xml"/><Relationship Id="rId15" Type="http://schemas.microsoft.com/office/2016/09/relationships/commentsIds" Target="commentsIds.xml"/><Relationship Id="rId23" Type="http://schemas.openxmlformats.org/officeDocument/2006/relationships/image" Target="media/image4.png"/><Relationship Id="rId28" Type="http://schemas.microsoft.com/office/2011/relationships/people" Target="people.xml"/><Relationship Id="rId10" Type="http://schemas.openxmlformats.org/officeDocument/2006/relationships/endnotes" Target="endnotes.xml"/><Relationship Id="rId19" Type="http://schemas.openxmlformats.org/officeDocument/2006/relationships/chart" Target="charts/chart2.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1/relationships/commentsExtended" Target="commentsExtended.xml"/><Relationship Id="rId22" Type="http://schemas.openxmlformats.org/officeDocument/2006/relationships/chart" Target="charts/chart5.xm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1.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0.2409399440971334"/>
          <c:y val="6.9182389937106917E-2"/>
          <c:w val="0.70648330223334199"/>
          <c:h val="0.75090130243153563"/>
        </c:manualLayout>
      </c:layout>
      <c:scatterChart>
        <c:scatterStyle val="lineMarker"/>
        <c:varyColors val="0"/>
        <c:ser>
          <c:idx val="0"/>
          <c:order val="0"/>
          <c:spPr>
            <a:ln w="19050" cap="rnd">
              <a:solidFill>
                <a:schemeClr val="dk1">
                  <a:tint val="88500"/>
                </a:schemeClr>
              </a:solidFill>
              <a:round/>
            </a:ln>
            <a:effectLst/>
          </c:spPr>
          <c:marker>
            <c:symbol val="circle"/>
            <c:size val="4"/>
            <c:spPr>
              <a:solidFill>
                <a:schemeClr val="dk1">
                  <a:tint val="88500"/>
                </a:schemeClr>
              </a:solidFill>
              <a:ln w="9525">
                <a:solidFill>
                  <a:schemeClr val="dk1">
                    <a:tint val="88500"/>
                  </a:schemeClr>
                </a:solidFill>
              </a:ln>
              <a:effectLst/>
            </c:spPr>
          </c:marker>
          <c:errBars>
            <c:errDir val="y"/>
            <c:errBarType val="both"/>
            <c:errValType val="cust"/>
            <c:noEndCap val="0"/>
            <c:plus>
              <c:numRef>
                <c:f>'Tvir30 Temp'!$U$3:$U$14</c:f>
                <c:numCache>
                  <c:formatCode>General</c:formatCode>
                  <c:ptCount val="12"/>
                  <c:pt idx="0">
                    <c:v>0.93343783948887837</c:v>
                  </c:pt>
                  <c:pt idx="1">
                    <c:v>1.0495782454875016</c:v>
                  </c:pt>
                  <c:pt idx="2">
                    <c:v>1.7031136358017989</c:v>
                  </c:pt>
                  <c:pt idx="3">
                    <c:v>1.5010516178517574</c:v>
                  </c:pt>
                  <c:pt idx="4">
                    <c:v>3.2915274669892205</c:v>
                  </c:pt>
                  <c:pt idx="5">
                    <c:v>0.45226047044972612</c:v>
                  </c:pt>
                  <c:pt idx="6">
                    <c:v>3.0226868835035319</c:v>
                  </c:pt>
                  <c:pt idx="7">
                    <c:v>2.1315146050461555</c:v>
                  </c:pt>
                  <c:pt idx="8">
                    <c:v>0.24411115845850315</c:v>
                  </c:pt>
                  <c:pt idx="9">
                    <c:v>6.9510017370987776E-2</c:v>
                  </c:pt>
                  <c:pt idx="10">
                    <c:v>0.59389384875480655</c:v>
                  </c:pt>
                  <c:pt idx="11">
                    <c:v>0.20065813620257686</c:v>
                  </c:pt>
                </c:numCache>
              </c:numRef>
            </c:plus>
            <c:minus>
              <c:numRef>
                <c:f>'Tvir30 Temp'!$U$3:$U$14</c:f>
                <c:numCache>
                  <c:formatCode>General</c:formatCode>
                  <c:ptCount val="12"/>
                  <c:pt idx="0">
                    <c:v>0.93343783948887837</c:v>
                  </c:pt>
                  <c:pt idx="1">
                    <c:v>1.0495782454875016</c:v>
                  </c:pt>
                  <c:pt idx="2">
                    <c:v>1.7031136358017989</c:v>
                  </c:pt>
                  <c:pt idx="3">
                    <c:v>1.5010516178517574</c:v>
                  </c:pt>
                  <c:pt idx="4">
                    <c:v>3.2915274669892205</c:v>
                  </c:pt>
                  <c:pt idx="5">
                    <c:v>0.45226047044972612</c:v>
                  </c:pt>
                  <c:pt idx="6">
                    <c:v>3.0226868835035319</c:v>
                  </c:pt>
                  <c:pt idx="7">
                    <c:v>2.1315146050461555</c:v>
                  </c:pt>
                  <c:pt idx="8">
                    <c:v>0.24411115845850315</c:v>
                  </c:pt>
                  <c:pt idx="9">
                    <c:v>6.9510017370987776E-2</c:v>
                  </c:pt>
                  <c:pt idx="10">
                    <c:v>0.59389384875480655</c:v>
                  </c:pt>
                  <c:pt idx="11">
                    <c:v>0.20065813620257686</c:v>
                  </c:pt>
                </c:numCache>
              </c:numRef>
            </c:minus>
            <c:spPr>
              <a:noFill/>
              <a:ln w="9525" cap="flat" cmpd="sng" algn="ctr">
                <a:solidFill>
                  <a:schemeClr val="tx1">
                    <a:lumMod val="65000"/>
                    <a:lumOff val="35000"/>
                  </a:schemeClr>
                </a:solidFill>
                <a:round/>
              </a:ln>
              <a:effectLst/>
            </c:spPr>
          </c:errBars>
          <c:xVal>
            <c:numRef>
              <c:f>'Tvir30 Temp'!$A$3:$A$12</c:f>
              <c:numCache>
                <c:formatCode>General</c:formatCode>
                <c:ptCount val="10"/>
                <c:pt idx="0">
                  <c:v>25</c:v>
                </c:pt>
                <c:pt idx="1">
                  <c:v>30</c:v>
                </c:pt>
                <c:pt idx="2">
                  <c:v>35</c:v>
                </c:pt>
                <c:pt idx="3">
                  <c:v>40</c:v>
                </c:pt>
                <c:pt idx="4">
                  <c:v>45</c:v>
                </c:pt>
                <c:pt idx="5">
                  <c:v>50</c:v>
                </c:pt>
                <c:pt idx="6">
                  <c:v>55</c:v>
                </c:pt>
                <c:pt idx="7">
                  <c:v>60</c:v>
                </c:pt>
                <c:pt idx="8">
                  <c:v>65</c:v>
                </c:pt>
                <c:pt idx="9">
                  <c:v>70</c:v>
                </c:pt>
              </c:numCache>
            </c:numRef>
          </c:xVal>
          <c:yVal>
            <c:numRef>
              <c:f>'Tvir30 Temp'!$T$3:$T$12</c:f>
              <c:numCache>
                <c:formatCode>0.00</c:formatCode>
                <c:ptCount val="10"/>
                <c:pt idx="0">
                  <c:v>26.715016676249636</c:v>
                </c:pt>
                <c:pt idx="1">
                  <c:v>36.979329241365498</c:v>
                </c:pt>
                <c:pt idx="2">
                  <c:v>54.472683613064099</c:v>
                </c:pt>
                <c:pt idx="3">
                  <c:v>94.209243543478763</c:v>
                </c:pt>
                <c:pt idx="4">
                  <c:v>100.00174499106107</c:v>
                </c:pt>
                <c:pt idx="5">
                  <c:v>81.002340242991082</c:v>
                </c:pt>
                <c:pt idx="6">
                  <c:v>45.181511291142066</c:v>
                </c:pt>
                <c:pt idx="7">
                  <c:v>34.847688708655205</c:v>
                </c:pt>
                <c:pt idx="8">
                  <c:v>1.853600463226341</c:v>
                </c:pt>
                <c:pt idx="9">
                  <c:v>0.76461019108086681</c:v>
                </c:pt>
              </c:numCache>
            </c:numRef>
          </c:yVal>
          <c:smooth val="0"/>
          <c:extLst>
            <c:ext xmlns:c16="http://schemas.microsoft.com/office/drawing/2014/chart" uri="{C3380CC4-5D6E-409C-BE32-E72D297353CC}">
              <c16:uniqueId val="{00000000-9AF6-4AC3-A901-BAF46D58C8FE}"/>
            </c:ext>
          </c:extLst>
        </c:ser>
        <c:dLbls>
          <c:showLegendKey val="0"/>
          <c:showVal val="0"/>
          <c:showCatName val="0"/>
          <c:showSerName val="0"/>
          <c:showPercent val="0"/>
          <c:showBubbleSize val="0"/>
        </c:dLbls>
        <c:axId val="1450690224"/>
        <c:axId val="1802314672"/>
      </c:scatterChart>
      <c:valAx>
        <c:axId val="1450690224"/>
        <c:scaling>
          <c:orientation val="minMax"/>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IE" sz="800"/>
                  <a:t>Temperature (</a:t>
                </a:r>
                <a:r>
                  <a:rPr lang="en-IE" sz="800" baseline="30000"/>
                  <a:t>o</a:t>
                </a:r>
                <a:r>
                  <a:rPr lang="en-IE" sz="800"/>
                  <a:t>C)</a:t>
                </a:r>
              </a:p>
            </c:rich>
          </c:tx>
          <c:layout>
            <c:manualLayout>
              <c:xMode val="edge"/>
              <c:yMode val="edge"/>
              <c:x val="0.38999773926545406"/>
              <c:y val="0.90362006635962955"/>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802314672"/>
        <c:crosses val="autoZero"/>
        <c:crossBetween val="midCat"/>
      </c:valAx>
      <c:valAx>
        <c:axId val="1802314672"/>
        <c:scaling>
          <c:orientation val="minMax"/>
          <c:max val="11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IE" sz="800">
                    <a:latin typeface="Arial" panose="020B0604020202020204" pitchFamily="34" charset="0"/>
                    <a:cs typeface="Arial" panose="020B0604020202020204" pitchFamily="34" charset="0"/>
                  </a:rPr>
                  <a:t>Mean Relative Enzyme Activity </a:t>
                </a:r>
                <a:r>
                  <a:rPr lang="en-IE" sz="800"/>
                  <a:t>(%)</a:t>
                </a:r>
              </a:p>
            </c:rich>
          </c:tx>
          <c:layout>
            <c:manualLayout>
              <c:xMode val="edge"/>
              <c:yMode val="edge"/>
              <c:x val="1.5379107846681542E-2"/>
              <c:y val="0.14009261671460546"/>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450690224"/>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0.14499359870133133"/>
          <c:y val="7.4324324324324328E-2"/>
          <c:w val="0.78572761428200855"/>
          <c:h val="0.75714791523542779"/>
        </c:manualLayout>
      </c:layout>
      <c:scatterChart>
        <c:scatterStyle val="lineMarker"/>
        <c:varyColors val="0"/>
        <c:ser>
          <c:idx val="0"/>
          <c:order val="0"/>
          <c:tx>
            <c:v>Tvir30</c:v>
          </c:tx>
          <c:spPr>
            <a:ln w="19050" cap="rnd">
              <a:solidFill>
                <a:schemeClr val="dk1">
                  <a:tint val="88500"/>
                </a:schemeClr>
              </a:solidFill>
              <a:round/>
            </a:ln>
            <a:effectLst/>
          </c:spPr>
          <c:marker>
            <c:symbol val="circle"/>
            <c:size val="4"/>
            <c:spPr>
              <a:solidFill>
                <a:schemeClr val="dk1">
                  <a:tint val="88500"/>
                </a:schemeClr>
              </a:solidFill>
              <a:ln w="9525">
                <a:solidFill>
                  <a:schemeClr val="dk1">
                    <a:tint val="88500"/>
                  </a:schemeClr>
                </a:solidFill>
              </a:ln>
              <a:effectLst/>
            </c:spPr>
          </c:marker>
          <c:errBars>
            <c:errDir val="y"/>
            <c:errBarType val="both"/>
            <c:errValType val="cust"/>
            <c:noEndCap val="0"/>
            <c:plus>
              <c:numRef>
                <c:f>'Tvir30 pH'!$U$19:$U$30</c:f>
                <c:numCache>
                  <c:formatCode>General</c:formatCode>
                  <c:ptCount val="12"/>
                  <c:pt idx="0">
                    <c:v>6.7676234928706017E-2</c:v>
                  </c:pt>
                  <c:pt idx="1">
                    <c:v>0.24616637856251533</c:v>
                  </c:pt>
                  <c:pt idx="2">
                    <c:v>1.2082989179317625</c:v>
                  </c:pt>
                  <c:pt idx="3">
                    <c:v>8.1276529167098488E-2</c:v>
                  </c:pt>
                  <c:pt idx="4">
                    <c:v>2.2791268227363553</c:v>
                  </c:pt>
                  <c:pt idx="5">
                    <c:v>2.0324550004786852</c:v>
                  </c:pt>
                  <c:pt idx="6">
                    <c:v>1.1731256498355613</c:v>
                  </c:pt>
                  <c:pt idx="7">
                    <c:v>0.94201332261640824</c:v>
                  </c:pt>
                  <c:pt idx="8">
                    <c:v>0.58368394850027816</c:v>
                  </c:pt>
                  <c:pt idx="9">
                    <c:v>0.83605595984336734</c:v>
                  </c:pt>
                  <c:pt idx="10">
                    <c:v>0.18486316334192227</c:v>
                  </c:pt>
                  <c:pt idx="11">
                    <c:v>0.17202998688210369</c:v>
                  </c:pt>
                </c:numCache>
              </c:numRef>
            </c:plus>
            <c:minus>
              <c:numRef>
                <c:f>'Tvir30 pH'!$U$19:$U$30</c:f>
                <c:numCache>
                  <c:formatCode>General</c:formatCode>
                  <c:ptCount val="12"/>
                  <c:pt idx="0">
                    <c:v>6.7676234928706017E-2</c:v>
                  </c:pt>
                  <c:pt idx="1">
                    <c:v>0.24616637856251533</c:v>
                  </c:pt>
                  <c:pt idx="2">
                    <c:v>1.2082989179317625</c:v>
                  </c:pt>
                  <c:pt idx="3">
                    <c:v>8.1276529167098488E-2</c:v>
                  </c:pt>
                  <c:pt idx="4">
                    <c:v>2.2791268227363553</c:v>
                  </c:pt>
                  <c:pt idx="5">
                    <c:v>2.0324550004786852</c:v>
                  </c:pt>
                  <c:pt idx="6">
                    <c:v>1.1731256498355613</c:v>
                  </c:pt>
                  <c:pt idx="7">
                    <c:v>0.94201332261640824</c:v>
                  </c:pt>
                  <c:pt idx="8">
                    <c:v>0.58368394850027816</c:v>
                  </c:pt>
                  <c:pt idx="9">
                    <c:v>0.83605595984336734</c:v>
                  </c:pt>
                  <c:pt idx="10">
                    <c:v>0.18486316334192227</c:v>
                  </c:pt>
                  <c:pt idx="11">
                    <c:v>0.17202998688210369</c:v>
                  </c:pt>
                </c:numCache>
              </c:numRef>
            </c:minus>
            <c:spPr>
              <a:noFill/>
              <a:ln w="9525" cap="flat" cmpd="sng" algn="ctr">
                <a:solidFill>
                  <a:schemeClr val="tx1">
                    <a:lumMod val="65000"/>
                    <a:lumOff val="35000"/>
                  </a:schemeClr>
                </a:solidFill>
                <a:round/>
              </a:ln>
              <a:effectLst/>
            </c:spPr>
          </c:errBars>
          <c:xVal>
            <c:numRef>
              <c:f>'Tvir30 pH'!$A$2:$A$13</c:f>
              <c:numCache>
                <c:formatCode>General</c:formatCode>
                <c:ptCount val="12"/>
                <c:pt idx="0">
                  <c:v>2.5</c:v>
                </c:pt>
                <c:pt idx="1">
                  <c:v>3</c:v>
                </c:pt>
                <c:pt idx="2">
                  <c:v>3.5</c:v>
                </c:pt>
                <c:pt idx="3">
                  <c:v>4</c:v>
                </c:pt>
                <c:pt idx="4">
                  <c:v>4.5</c:v>
                </c:pt>
                <c:pt idx="5">
                  <c:v>5</c:v>
                </c:pt>
                <c:pt idx="6">
                  <c:v>5.5</c:v>
                </c:pt>
                <c:pt idx="7">
                  <c:v>6</c:v>
                </c:pt>
                <c:pt idx="8">
                  <c:v>6.5</c:v>
                </c:pt>
                <c:pt idx="9">
                  <c:v>7</c:v>
                </c:pt>
                <c:pt idx="10">
                  <c:v>7.5</c:v>
                </c:pt>
                <c:pt idx="11">
                  <c:v>8</c:v>
                </c:pt>
              </c:numCache>
            </c:numRef>
          </c:xVal>
          <c:yVal>
            <c:numRef>
              <c:f>'Tvir30 pH'!$T$19:$T$30</c:f>
              <c:numCache>
                <c:formatCode>0.000</c:formatCode>
                <c:ptCount val="12"/>
                <c:pt idx="0">
                  <c:v>1.4413037838965461</c:v>
                </c:pt>
                <c:pt idx="1">
                  <c:v>5.1150029022493966</c:v>
                </c:pt>
                <c:pt idx="2">
                  <c:v>30.960939177386706</c:v>
                </c:pt>
                <c:pt idx="3" formatCode="0.00">
                  <c:v>32.673164725173578</c:v>
                </c:pt>
                <c:pt idx="4" formatCode="0.00">
                  <c:v>83.091704985163645</c:v>
                </c:pt>
                <c:pt idx="5" formatCode="0.00">
                  <c:v>99.997223051920116</c:v>
                </c:pt>
                <c:pt idx="6" formatCode="0.00">
                  <c:v>91.734109253265103</c:v>
                </c:pt>
                <c:pt idx="7" formatCode="0.00">
                  <c:v>68.868312380921409</c:v>
                </c:pt>
                <c:pt idx="8">
                  <c:v>47.974825949699301</c:v>
                </c:pt>
                <c:pt idx="9">
                  <c:v>22.345627085674266</c:v>
                </c:pt>
                <c:pt idx="10">
                  <c:v>6.3937536278117442</c:v>
                </c:pt>
                <c:pt idx="11">
                  <c:v>2.1782109816782387</c:v>
                </c:pt>
              </c:numCache>
            </c:numRef>
          </c:yVal>
          <c:smooth val="0"/>
          <c:extLst>
            <c:ext xmlns:c16="http://schemas.microsoft.com/office/drawing/2014/chart" uri="{C3380CC4-5D6E-409C-BE32-E72D297353CC}">
              <c16:uniqueId val="{00000000-7DE9-41E3-BAEC-0FD0ABDD2F2C}"/>
            </c:ext>
          </c:extLst>
        </c:ser>
        <c:dLbls>
          <c:showLegendKey val="0"/>
          <c:showVal val="0"/>
          <c:showCatName val="0"/>
          <c:showSerName val="0"/>
          <c:showPercent val="0"/>
          <c:showBubbleSize val="0"/>
        </c:dLbls>
        <c:axId val="575156144"/>
        <c:axId val="575159056"/>
      </c:scatterChart>
      <c:valAx>
        <c:axId val="575156144"/>
        <c:scaling>
          <c:orientation val="minMax"/>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IE" sz="800"/>
                  <a:t>pH</a:t>
                </a:r>
              </a:p>
            </c:rich>
          </c:tx>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575159056"/>
        <c:crosses val="autoZero"/>
        <c:crossBetween val="midCat"/>
      </c:valAx>
      <c:valAx>
        <c:axId val="575159056"/>
        <c:scaling>
          <c:orientation val="minMax"/>
          <c:max val="110"/>
          <c:min val="0"/>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575156144"/>
        <c:crosses val="autoZero"/>
        <c:crossBetween val="midCat"/>
        <c:majorUnit val="20"/>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0.22405088276728624"/>
          <c:y val="6.0362820931584779E-2"/>
          <c:w val="0.69466820515076355"/>
          <c:h val="0.72304716055055451"/>
        </c:manualLayout>
      </c:layout>
      <c:barChart>
        <c:barDir val="col"/>
        <c:grouping val="clustered"/>
        <c:varyColors val="0"/>
        <c:ser>
          <c:idx val="0"/>
          <c:order val="0"/>
          <c:tx>
            <c:v>Tvir30</c:v>
          </c:tx>
          <c:spPr>
            <a:solidFill>
              <a:schemeClr val="dk1">
                <a:tint val="88500"/>
              </a:schemeClr>
            </a:solidFill>
            <a:ln>
              <a:noFill/>
            </a:ln>
            <a:effectLst/>
          </c:spPr>
          <c:invertIfNegative val="0"/>
          <c:errBars>
            <c:errBarType val="both"/>
            <c:errValType val="cust"/>
            <c:noEndCap val="0"/>
            <c:plus>
              <c:numRef>
                <c:f>'Tvir30 substrate specificity'!$J$19:$J$24</c:f>
                <c:numCache>
                  <c:formatCode>General</c:formatCode>
                  <c:ptCount val="6"/>
                  <c:pt idx="0">
                    <c:v>0.2306317494966959</c:v>
                  </c:pt>
                  <c:pt idx="1">
                    <c:v>0.1141331165619357</c:v>
                  </c:pt>
                  <c:pt idx="2">
                    <c:v>3.2947392785242322E-2</c:v>
                  </c:pt>
                  <c:pt idx="3">
                    <c:v>0.53937206572130358</c:v>
                  </c:pt>
                  <c:pt idx="4">
                    <c:v>3.2947392785242322E-2</c:v>
                  </c:pt>
                  <c:pt idx="5">
                    <c:v>0.23063174949669468</c:v>
                  </c:pt>
                </c:numCache>
              </c:numRef>
            </c:plus>
            <c:minus>
              <c:numRef>
                <c:f>'Tvir30 substrate specificity'!$J$19:$J$24</c:f>
                <c:numCache>
                  <c:formatCode>General</c:formatCode>
                  <c:ptCount val="6"/>
                  <c:pt idx="0">
                    <c:v>0.2306317494966959</c:v>
                  </c:pt>
                  <c:pt idx="1">
                    <c:v>0.1141331165619357</c:v>
                  </c:pt>
                  <c:pt idx="2">
                    <c:v>3.2947392785242322E-2</c:v>
                  </c:pt>
                  <c:pt idx="3">
                    <c:v>0.53937206572130358</c:v>
                  </c:pt>
                  <c:pt idx="4">
                    <c:v>3.2947392785242322E-2</c:v>
                  </c:pt>
                  <c:pt idx="5">
                    <c:v>0.23063174949669468</c:v>
                  </c:pt>
                </c:numCache>
              </c:numRef>
            </c:minus>
            <c:spPr>
              <a:noFill/>
              <a:ln w="9525" cap="flat" cmpd="sng" algn="ctr">
                <a:solidFill>
                  <a:schemeClr val="tx1">
                    <a:lumMod val="65000"/>
                    <a:lumOff val="35000"/>
                  </a:schemeClr>
                </a:solidFill>
                <a:round/>
              </a:ln>
              <a:effectLst/>
            </c:spPr>
          </c:errBars>
          <c:cat>
            <c:strRef>
              <c:f>'Tvir30 substrate specificity'!$A$2:$A$7</c:f>
              <c:strCache>
                <c:ptCount val="6"/>
                <c:pt idx="0">
                  <c:v>Curdlan</c:v>
                </c:pt>
                <c:pt idx="1">
                  <c:v>Cellulose</c:v>
                </c:pt>
                <c:pt idx="2">
                  <c:v>Barley β-glucan</c:v>
                </c:pt>
                <c:pt idx="3">
                  <c:v>Pustulan</c:v>
                </c:pt>
                <c:pt idx="4">
                  <c:v>Lichenan</c:v>
                </c:pt>
                <c:pt idx="5">
                  <c:v>Laminarin</c:v>
                </c:pt>
              </c:strCache>
            </c:strRef>
          </c:cat>
          <c:val>
            <c:numRef>
              <c:f>'Tvir30 substrate specificity'!$I$19:$I$24</c:f>
              <c:numCache>
                <c:formatCode>0.0</c:formatCode>
                <c:ptCount val="6"/>
                <c:pt idx="0">
                  <c:v>1.731018934522689</c:v>
                </c:pt>
                <c:pt idx="1">
                  <c:v>1.7690633067100012</c:v>
                </c:pt>
                <c:pt idx="2">
                  <c:v>1.4647083292115062</c:v>
                </c:pt>
                <c:pt idx="3">
                  <c:v>99.999632294349169</c:v>
                </c:pt>
                <c:pt idx="4">
                  <c:v>1.3886195848368823</c:v>
                </c:pt>
                <c:pt idx="5">
                  <c:v>11.850821936347637</c:v>
                </c:pt>
              </c:numCache>
            </c:numRef>
          </c:val>
          <c:extLst>
            <c:ext xmlns:c16="http://schemas.microsoft.com/office/drawing/2014/chart" uri="{C3380CC4-5D6E-409C-BE32-E72D297353CC}">
              <c16:uniqueId val="{00000000-B358-42A2-BBE7-7966BF1EB365}"/>
            </c:ext>
          </c:extLst>
        </c:ser>
        <c:dLbls>
          <c:showLegendKey val="0"/>
          <c:showVal val="0"/>
          <c:showCatName val="0"/>
          <c:showSerName val="0"/>
          <c:showPercent val="0"/>
          <c:showBubbleSize val="0"/>
        </c:dLbls>
        <c:gapWidth val="219"/>
        <c:overlap val="-27"/>
        <c:axId val="1407679711"/>
        <c:axId val="1407680543"/>
      </c:barChart>
      <c:catAx>
        <c:axId val="14076797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407680543"/>
        <c:crosses val="autoZero"/>
        <c:auto val="1"/>
        <c:lblAlgn val="ctr"/>
        <c:lblOffset val="100"/>
        <c:noMultiLvlLbl val="0"/>
      </c:catAx>
      <c:valAx>
        <c:axId val="1407680543"/>
        <c:scaling>
          <c:orientation val="minMax"/>
          <c:max val="11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IE" sz="800"/>
                  <a:t>Mean Relative Enzyme Activity (%)</a:t>
                </a:r>
              </a:p>
            </c:rich>
          </c:tx>
          <c:layout>
            <c:manualLayout>
              <c:xMode val="edge"/>
              <c:yMode val="edge"/>
              <c:x val="6.8245263691578628E-2"/>
              <c:y val="8.9948010392217809E-2"/>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407679711"/>
        <c:crosses val="autoZero"/>
        <c:crossBetween val="between"/>
        <c:majorUnit val="20"/>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0.21400361263969253"/>
          <c:y val="0.13189814643793848"/>
          <c:w val="0.70646956842563002"/>
          <c:h val="0.68679753572470104"/>
        </c:manualLayout>
      </c:layout>
      <c:scatterChart>
        <c:scatterStyle val="lineMarker"/>
        <c:varyColors val="0"/>
        <c:ser>
          <c:idx val="0"/>
          <c:order val="0"/>
          <c:tx>
            <c:strRef>
              <c:f>'Tvir30 Thermal Stability'!$B$64</c:f>
              <c:strCache>
                <c:ptCount val="1"/>
                <c:pt idx="0">
                  <c:v>50°C</c:v>
                </c:pt>
              </c:strCache>
            </c:strRef>
          </c:tx>
          <c:spPr>
            <a:ln w="19050" cap="rnd">
              <a:solidFill>
                <a:schemeClr val="dk1">
                  <a:tint val="88500"/>
                </a:schemeClr>
              </a:solidFill>
              <a:round/>
            </a:ln>
            <a:effectLst/>
          </c:spPr>
          <c:marker>
            <c:symbol val="circle"/>
            <c:size val="3"/>
            <c:spPr>
              <a:solidFill>
                <a:schemeClr val="dk1">
                  <a:tint val="88500"/>
                </a:schemeClr>
              </a:solidFill>
              <a:ln w="9525">
                <a:solidFill>
                  <a:schemeClr val="dk1">
                    <a:tint val="88500"/>
                  </a:schemeClr>
                </a:solidFill>
              </a:ln>
              <a:effectLst/>
            </c:spPr>
          </c:marker>
          <c:errBars>
            <c:errDir val="y"/>
            <c:errBarType val="both"/>
            <c:errValType val="cust"/>
            <c:noEndCap val="0"/>
            <c:plus>
              <c:numRef>
                <c:f>'Tvir30 Thermal Stability'!$C$65:$C$69</c:f>
                <c:numCache>
                  <c:formatCode>General</c:formatCode>
                  <c:ptCount val="5"/>
                  <c:pt idx="0">
                    <c:v>0.86546438293294947</c:v>
                  </c:pt>
                  <c:pt idx="1">
                    <c:v>0.35794316984300878</c:v>
                  </c:pt>
                  <c:pt idx="2">
                    <c:v>3.1014680559766368</c:v>
                  </c:pt>
                  <c:pt idx="3">
                    <c:v>0</c:v>
                  </c:pt>
                  <c:pt idx="4">
                    <c:v>0.13528980155696441</c:v>
                  </c:pt>
                </c:numCache>
              </c:numRef>
            </c:plus>
            <c:minus>
              <c:numRef>
                <c:f>'Tvir30 Thermal Stability'!$C$65:$C$69</c:f>
                <c:numCache>
                  <c:formatCode>General</c:formatCode>
                  <c:ptCount val="5"/>
                  <c:pt idx="0">
                    <c:v>0.86546438293294947</c:v>
                  </c:pt>
                  <c:pt idx="1">
                    <c:v>0.35794316984300878</c:v>
                  </c:pt>
                  <c:pt idx="2">
                    <c:v>3.1014680559766368</c:v>
                  </c:pt>
                  <c:pt idx="3">
                    <c:v>0</c:v>
                  </c:pt>
                  <c:pt idx="4">
                    <c:v>0.13528980155696441</c:v>
                  </c:pt>
                </c:numCache>
              </c:numRef>
            </c:minus>
            <c:spPr>
              <a:noFill/>
              <a:ln w="9525" cap="flat" cmpd="sng" algn="ctr">
                <a:solidFill>
                  <a:schemeClr val="tx1">
                    <a:lumMod val="65000"/>
                    <a:lumOff val="35000"/>
                  </a:schemeClr>
                </a:solidFill>
                <a:round/>
              </a:ln>
              <a:effectLst/>
            </c:spPr>
          </c:errBars>
          <c:xVal>
            <c:numRef>
              <c:f>'Tvir30 Thermal Stability'!$A$65:$A$69</c:f>
              <c:numCache>
                <c:formatCode>General</c:formatCode>
                <c:ptCount val="5"/>
                <c:pt idx="0">
                  <c:v>0</c:v>
                </c:pt>
                <c:pt idx="1">
                  <c:v>8.3333333333333329E-2</c:v>
                </c:pt>
                <c:pt idx="2">
                  <c:v>0.25</c:v>
                </c:pt>
                <c:pt idx="3">
                  <c:v>0.5</c:v>
                </c:pt>
                <c:pt idx="4">
                  <c:v>1</c:v>
                </c:pt>
              </c:numCache>
            </c:numRef>
          </c:xVal>
          <c:yVal>
            <c:numRef>
              <c:f>'Tvir30 Thermal Stability'!$B$65:$B$69</c:f>
              <c:numCache>
                <c:formatCode>0.00</c:formatCode>
                <c:ptCount val="5"/>
                <c:pt idx="0">
                  <c:v>99.999667597508719</c:v>
                </c:pt>
                <c:pt idx="1">
                  <c:v>99.544729768317282</c:v>
                </c:pt>
                <c:pt idx="2">
                  <c:v>49.609887088018858</c:v>
                </c:pt>
                <c:pt idx="3">
                  <c:v>2.3396802644131167</c:v>
                </c:pt>
                <c:pt idx="4">
                  <c:v>2.0363883782854901</c:v>
                </c:pt>
              </c:numCache>
            </c:numRef>
          </c:yVal>
          <c:smooth val="0"/>
          <c:extLst>
            <c:ext xmlns:c16="http://schemas.microsoft.com/office/drawing/2014/chart" uri="{C3380CC4-5D6E-409C-BE32-E72D297353CC}">
              <c16:uniqueId val="{00000000-1293-4F6B-A0C2-21602ECF3ECB}"/>
            </c:ext>
          </c:extLst>
        </c:ser>
        <c:dLbls>
          <c:showLegendKey val="0"/>
          <c:showVal val="0"/>
          <c:showCatName val="0"/>
          <c:showSerName val="0"/>
          <c:showPercent val="0"/>
          <c:showBubbleSize val="0"/>
        </c:dLbls>
        <c:axId val="1226006959"/>
        <c:axId val="1226016527"/>
      </c:scatterChart>
      <c:valAx>
        <c:axId val="1226006959"/>
        <c:scaling>
          <c:orientation val="minMax"/>
          <c:max val="1"/>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IE" sz="800"/>
                  <a:t>Time (h)</a:t>
                </a:r>
              </a:p>
            </c:rich>
          </c:tx>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226016527"/>
        <c:crosses val="autoZero"/>
        <c:crossBetween val="midCat"/>
        <c:majorUnit val="0.25"/>
      </c:valAx>
      <c:valAx>
        <c:axId val="122601652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IE" sz="800"/>
                  <a:t>Mean relative enzyme activity (%)</a:t>
                </a:r>
              </a:p>
            </c:rich>
          </c:tx>
          <c:layout>
            <c:manualLayout>
              <c:xMode val="edge"/>
              <c:yMode val="edge"/>
              <c:x val="1.186995196553129E-2"/>
              <c:y val="0.15519000218801593"/>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226006959"/>
        <c:crosses val="autoZero"/>
        <c:crossBetween val="midCat"/>
      </c:valAx>
      <c:spPr>
        <a:noFill/>
        <a:ln>
          <a:noFill/>
        </a:ln>
        <a:effectLst/>
      </c:spPr>
    </c:plotArea>
    <c:legend>
      <c:legendPos val="r"/>
      <c:layout>
        <c:manualLayout>
          <c:xMode val="edge"/>
          <c:yMode val="edge"/>
          <c:x val="0.40937879418192497"/>
          <c:y val="4.9836758210101877E-3"/>
          <c:w val="0.19846331666902731"/>
          <c:h val="0.1315821628395332"/>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7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0.12531129166555774"/>
          <c:y val="0.10236273478268937"/>
          <c:w val="0.72148923406615384"/>
          <c:h val="0.64835562670115576"/>
        </c:manualLayout>
      </c:layout>
      <c:scatterChart>
        <c:scatterStyle val="lineMarker"/>
        <c:varyColors val="0"/>
        <c:ser>
          <c:idx val="0"/>
          <c:order val="0"/>
          <c:tx>
            <c:strRef>
              <c:f>'Thermal stability 40'!$B$90:$C$90</c:f>
              <c:strCache>
                <c:ptCount val="1"/>
                <c:pt idx="0">
                  <c:v>40°C</c:v>
                </c:pt>
              </c:strCache>
            </c:strRef>
          </c:tx>
          <c:spPr>
            <a:ln w="19050" cap="rnd">
              <a:solidFill>
                <a:schemeClr val="dk1">
                  <a:tint val="88500"/>
                </a:schemeClr>
              </a:solidFill>
              <a:round/>
            </a:ln>
            <a:effectLst/>
          </c:spPr>
          <c:marker>
            <c:symbol val="triangle"/>
            <c:size val="5"/>
            <c:spPr>
              <a:solidFill>
                <a:schemeClr val="dk1">
                  <a:tint val="88500"/>
                </a:schemeClr>
              </a:solidFill>
              <a:ln w="9525">
                <a:solidFill>
                  <a:schemeClr val="dk1">
                    <a:tint val="88500"/>
                  </a:schemeClr>
                </a:solidFill>
              </a:ln>
              <a:effectLst/>
            </c:spPr>
          </c:marker>
          <c:errBars>
            <c:errDir val="y"/>
            <c:errBarType val="both"/>
            <c:errValType val="cust"/>
            <c:noEndCap val="0"/>
            <c:plus>
              <c:numRef>
                <c:f>'Thermal stability 40'!$C$92:$C$97</c:f>
                <c:numCache>
                  <c:formatCode>General</c:formatCode>
                  <c:ptCount val="6"/>
                  <c:pt idx="0">
                    <c:v>6.2169653995376626</c:v>
                  </c:pt>
                  <c:pt idx="1">
                    <c:v>3.5274113449650546</c:v>
                  </c:pt>
                  <c:pt idx="2">
                    <c:v>6.3315439138189369</c:v>
                  </c:pt>
                  <c:pt idx="3">
                    <c:v>3.1669766672490312</c:v>
                  </c:pt>
                  <c:pt idx="4">
                    <c:v>1.7561312290385922</c:v>
                  </c:pt>
                  <c:pt idx="5">
                    <c:v>3.0134627222072941</c:v>
                  </c:pt>
                </c:numCache>
              </c:numRef>
            </c:plus>
            <c:minus>
              <c:numRef>
                <c:f>'Thermal stability 40'!$C$92:$C$97</c:f>
                <c:numCache>
                  <c:formatCode>General</c:formatCode>
                  <c:ptCount val="6"/>
                  <c:pt idx="0">
                    <c:v>6.2169653995376626</c:v>
                  </c:pt>
                  <c:pt idx="1">
                    <c:v>3.5274113449650546</c:v>
                  </c:pt>
                  <c:pt idx="2">
                    <c:v>6.3315439138189369</c:v>
                  </c:pt>
                  <c:pt idx="3">
                    <c:v>3.1669766672490312</c:v>
                  </c:pt>
                  <c:pt idx="4">
                    <c:v>1.7561312290385922</c:v>
                  </c:pt>
                  <c:pt idx="5">
                    <c:v>3.0134627222072941</c:v>
                  </c:pt>
                </c:numCache>
              </c:numRef>
            </c:minus>
            <c:spPr>
              <a:noFill/>
              <a:ln w="9525" cap="flat" cmpd="sng" algn="ctr">
                <a:solidFill>
                  <a:schemeClr val="tx1">
                    <a:lumMod val="65000"/>
                    <a:lumOff val="35000"/>
                  </a:schemeClr>
                </a:solidFill>
                <a:round/>
              </a:ln>
              <a:effectLst/>
            </c:spPr>
          </c:errBars>
          <c:xVal>
            <c:numRef>
              <c:f>'Thermal stability 40'!$A$92:$A$98</c:f>
              <c:numCache>
                <c:formatCode>General</c:formatCode>
                <c:ptCount val="7"/>
                <c:pt idx="0">
                  <c:v>0</c:v>
                </c:pt>
                <c:pt idx="1">
                  <c:v>6</c:v>
                </c:pt>
                <c:pt idx="2">
                  <c:v>18</c:v>
                </c:pt>
                <c:pt idx="3">
                  <c:v>24</c:v>
                </c:pt>
                <c:pt idx="4">
                  <c:v>48</c:v>
                </c:pt>
                <c:pt idx="5">
                  <c:v>72</c:v>
                </c:pt>
                <c:pt idx="6">
                  <c:v>100</c:v>
                </c:pt>
              </c:numCache>
            </c:numRef>
          </c:xVal>
          <c:yVal>
            <c:numRef>
              <c:f>'Thermal stability 40'!$B$92:$B$98</c:f>
              <c:numCache>
                <c:formatCode>0.00</c:formatCode>
                <c:ptCount val="7"/>
                <c:pt idx="0">
                  <c:v>100.00104877260905</c:v>
                </c:pt>
                <c:pt idx="1">
                  <c:v>92.632550441995747</c:v>
                </c:pt>
                <c:pt idx="2">
                  <c:v>100.58929023597733</c:v>
                </c:pt>
                <c:pt idx="3">
                  <c:v>96.862198502742274</c:v>
                </c:pt>
                <c:pt idx="4">
                  <c:v>91.276821350839086</c:v>
                </c:pt>
                <c:pt idx="5">
                  <c:v>93.898029049319959</c:v>
                </c:pt>
                <c:pt idx="6">
                  <c:v>67.636957528090917</c:v>
                </c:pt>
              </c:numCache>
            </c:numRef>
          </c:yVal>
          <c:smooth val="0"/>
          <c:extLst>
            <c:ext xmlns:c16="http://schemas.microsoft.com/office/drawing/2014/chart" uri="{C3380CC4-5D6E-409C-BE32-E72D297353CC}">
              <c16:uniqueId val="{00000000-D87B-4723-8B2D-1A9EE4901E7B}"/>
            </c:ext>
          </c:extLst>
        </c:ser>
        <c:dLbls>
          <c:showLegendKey val="0"/>
          <c:showVal val="0"/>
          <c:showCatName val="0"/>
          <c:showSerName val="0"/>
          <c:showPercent val="0"/>
          <c:showBubbleSize val="0"/>
        </c:dLbls>
        <c:axId val="1130730608"/>
        <c:axId val="1130714384"/>
      </c:scatterChart>
      <c:valAx>
        <c:axId val="1130730608"/>
        <c:scaling>
          <c:orientation val="minMax"/>
          <c:max val="1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IE"/>
                  <a:t>Time (h)</a:t>
                </a:r>
              </a:p>
            </c:rich>
          </c:tx>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130714384"/>
        <c:crosses val="autoZero"/>
        <c:crossBetween val="midCat"/>
      </c:valAx>
      <c:valAx>
        <c:axId val="1130714384"/>
        <c:scaling>
          <c:orientation val="minMax"/>
          <c:max val="120"/>
          <c:min val="0"/>
        </c:scaling>
        <c:delete val="0"/>
        <c:axPos val="l"/>
        <c:majorGridlines>
          <c:spPr>
            <a:ln w="9525" cap="flat" cmpd="sng" algn="ctr">
              <a:solidFill>
                <a:schemeClr val="tx1">
                  <a:lumMod val="15000"/>
                  <a:lumOff val="85000"/>
                </a:schemeClr>
              </a:solidFill>
              <a:round/>
            </a:ln>
            <a:effectLst/>
          </c:spPr>
        </c:majorGridlines>
        <c:numFmt formatCode="0.0" sourceLinked="0"/>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130730608"/>
        <c:crosses val="autoZero"/>
        <c:crossBetween val="midCat"/>
      </c:valAx>
      <c:spPr>
        <a:noFill/>
        <a:ln>
          <a:noFill/>
        </a:ln>
        <a:effectLst/>
      </c:spPr>
    </c:plotArea>
    <c:legend>
      <c:legendPos val="r"/>
      <c:layout>
        <c:manualLayout>
          <c:xMode val="edge"/>
          <c:yMode val="edge"/>
          <c:x val="0.37328003501239393"/>
          <c:y val="2.7052848020944131E-3"/>
          <c:w val="0.2098536160995659"/>
          <c:h val="9.9436283019317978E-2"/>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2.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3.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4.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5.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0.01416</cdr:x>
      <cdr:y>0</cdr:y>
    </cdr:from>
    <cdr:to>
      <cdr:x>0.13231</cdr:x>
      <cdr:y>0.11238</cdr:y>
    </cdr:to>
    <cdr:sp macro="" textlink="">
      <cdr:nvSpPr>
        <cdr:cNvPr id="2" name="TextBox 12"/>
        <cdr:cNvSpPr txBox="1"/>
      </cdr:nvSpPr>
      <cdr:spPr>
        <a:xfrm xmlns:a="http://schemas.openxmlformats.org/drawingml/2006/main">
          <a:off x="62776" y="-4699322"/>
          <a:ext cx="523750" cy="278947"/>
        </a:xfrm>
        <a:prstGeom xmlns:a="http://schemas.openxmlformats.org/drawingml/2006/main" prst="rect">
          <a:avLst/>
        </a:prstGeom>
        <a:noFill xmlns:a="http://schemas.openxmlformats.org/drawingml/2006/main"/>
      </cdr:spPr>
      <cdr:txBody>
        <a:bodyPr xmlns:a="http://schemas.openxmlformats.org/drawingml/2006/main" wrap="square" rtlCol="0">
          <a:noAutofit/>
        </a:bodyPr>
        <a:lstStyle xmlns:a="http://schemas.openxmlformats.org/drawingml/2006/main"/>
        <a:p xmlns:a="http://schemas.openxmlformats.org/drawingml/2006/main">
          <a:pPr algn="just">
            <a:lnSpc>
              <a:spcPct val="110000"/>
            </a:lnSpc>
            <a:tabLst>
              <a:tab pos="4508500" algn="r"/>
            </a:tabLst>
          </a:pPr>
          <a:r>
            <a:rPr lang="en-GB" sz="900" b="1" kern="1200">
              <a:solidFill>
                <a:srgbClr val="000000"/>
              </a:solidFill>
              <a:effectLst/>
              <a:latin typeface="Arial" panose="020B0604020202020204" pitchFamily="34" charset="0"/>
              <a:ea typeface="Times New Roman" panose="02020603050405020304" pitchFamily="18" charset="0"/>
              <a:cs typeface="Times New Roman" panose="02020603050405020304" pitchFamily="18" charset="0"/>
            </a:rPr>
            <a:t>A</a:t>
          </a:r>
          <a:r>
            <a:rPr lang="en-GB" sz="1050" b="1" kern="1200">
              <a:solidFill>
                <a:srgbClr val="000000"/>
              </a:solidFill>
              <a:effectLst/>
              <a:latin typeface="Calibri" panose="020F0502020204030204" pitchFamily="34" charset="0"/>
              <a:ea typeface="Times New Roman" panose="02020603050405020304" pitchFamily="18" charset="0"/>
              <a:cs typeface="Times New Roman" panose="02020603050405020304" pitchFamily="18" charset="0"/>
            </a:rPr>
            <a:t>. </a:t>
          </a:r>
          <a:endParaRPr lang="en-IE" sz="900">
            <a:effectLst/>
            <a:latin typeface="Arial" panose="020B0604020202020204" pitchFamily="34" charset="0"/>
            <a:ea typeface="Times New Roman" panose="02020603050405020304" pitchFamily="18" charset="0"/>
            <a:cs typeface="Times New Roman" panose="02020603050405020304" pitchFamily="18" charset="0"/>
          </a:endParaRPr>
        </a:p>
      </cdr:txBody>
    </cdr:sp>
  </cdr:relSizeAnchor>
</c:userShape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E8F09B4C47EAC4F816B3E70F2FA0E7D" ma:contentTypeVersion="15" ma:contentTypeDescription="Create a new document." ma:contentTypeScope="" ma:versionID="f8ea7d60574926f02add66f0b91001d2">
  <xsd:schema xmlns:xsd="http://www.w3.org/2001/XMLSchema" xmlns:xs="http://www.w3.org/2001/XMLSchema" xmlns:p="http://schemas.microsoft.com/office/2006/metadata/properties" xmlns:ns3="59bff8c8-be01-4662-8e59-3d4a552e5b4e" xmlns:ns4="db860ae3-8be0-4521-8b11-146f57e0dde0" targetNamespace="http://schemas.microsoft.com/office/2006/metadata/properties" ma:root="true" ma:fieldsID="c17c9f6116def872099a9e49da23e6ac" ns3:_="" ns4:_="">
    <xsd:import namespace="59bff8c8-be01-4662-8e59-3d4a552e5b4e"/>
    <xsd:import namespace="db860ae3-8be0-4521-8b11-146f57e0dde0"/>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4:SharedWithUsers" minOccurs="0"/>
                <xsd:element ref="ns4:SharedWithDetails" minOccurs="0"/>
                <xsd:element ref="ns4:SharingHintHash" minOccurs="0"/>
                <xsd:element ref="ns3:MediaLengthInSecond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bff8c8-be01-4662-8e59-3d4a552e5b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b860ae3-8be0-4521-8b11-146f57e0dde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activity xmlns="59bff8c8-be01-4662-8e59-3d4a552e5b4e" xsi:nil="true"/>
  </documentManagement>
</p:properties>
</file>

<file path=customXml/itemProps1.xml><?xml version="1.0" encoding="utf-8"?>
<ds:datastoreItem xmlns:ds="http://schemas.openxmlformats.org/officeDocument/2006/customXml" ds:itemID="{B12F5151-45D9-4050-B4BF-0FD36FCB0FBD}">
  <ds:schemaRefs>
    <ds:schemaRef ds:uri="http://schemas.microsoft.com/sharepoint/v3/contenttype/forms"/>
  </ds:schemaRefs>
</ds:datastoreItem>
</file>

<file path=customXml/itemProps2.xml><?xml version="1.0" encoding="utf-8"?>
<ds:datastoreItem xmlns:ds="http://schemas.openxmlformats.org/officeDocument/2006/customXml" ds:itemID="{D447796D-B4FA-4131-B990-81C0DB118E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bff8c8-be01-4662-8e59-3d4a552e5b4e"/>
    <ds:schemaRef ds:uri="db860ae3-8be0-4521-8b11-146f57e0dde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6A21A8D-98D3-47FA-A2C3-862D78A1A2C2}">
  <ds:schemaRefs>
    <ds:schemaRef ds:uri="http://schemas.openxmlformats.org/officeDocument/2006/bibliography"/>
  </ds:schemaRefs>
</ds:datastoreItem>
</file>

<file path=customXml/itemProps4.xml><?xml version="1.0" encoding="utf-8"?>
<ds:datastoreItem xmlns:ds="http://schemas.openxmlformats.org/officeDocument/2006/customXml" ds:itemID="{18FB5926-A9EA-4406-A055-80853A2503D8}">
  <ds:schemaRefs>
    <ds:schemaRef ds:uri="http://schemas.microsoft.com/office/2006/metadata/properties"/>
    <ds:schemaRef ds:uri="http://schemas.microsoft.com/office/infopath/2007/PartnerControls"/>
    <ds:schemaRef ds:uri="59bff8c8-be01-4662-8e59-3d4a552e5b4e"/>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6</Pages>
  <Words>7257</Words>
  <Characters>41367</Characters>
  <Application>Microsoft Office Word</Application>
  <DocSecurity>0</DocSecurity>
  <Lines>344</Lines>
  <Paragraphs>97</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Dipartimento CMIC - Politecnico di Milano</Company>
  <LinksUpToDate>false</LinksUpToDate>
  <CharactersWithSpaces>48527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raffaella</dc:creator>
  <cp:lastModifiedBy>Anastasia.Klemanska</cp:lastModifiedBy>
  <cp:revision>56</cp:revision>
  <cp:lastPrinted>2023-03-03T13:38:00Z</cp:lastPrinted>
  <dcterms:created xsi:type="dcterms:W3CDTF">2023-03-03T13:38:00Z</dcterms:created>
  <dcterms:modified xsi:type="dcterms:W3CDTF">2023-03-14T14:29:00Z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zotero-version="6.0.22"&gt;&lt;session id="39uVLGBr"/&gt;&lt;style id="http://www.zotero.org/styles/elsevier-harvard" hasBibliography="1" bibliographyStyleHasBeenSet="1"/&gt;&lt;prefs&gt;&lt;pref name="fieldType" value="Field"/&gt;&lt;pref name="storeReferences"</vt:lpwstr>
  </property>
  <property fmtid="{D5CDD505-2E9C-101B-9397-08002B2CF9AE}" pid="3" name="ZOTERO_PREF_2">
    <vt:lpwstr> value="true"/&gt;&lt;/prefs&gt;&lt;/data&gt;</vt:lpwstr>
  </property>
  <property fmtid="{D5CDD505-2E9C-101B-9397-08002B2CF9AE}" pid="4" name="ContentTypeId">
    <vt:lpwstr>0x0101008E8F09B4C47EAC4F816B3E70F2FA0E7D</vt:lpwstr>
  </property>
</Properties>
</file>