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pt-BR" w:eastAsia="pt-BR"/>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530285EB"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30152C">
              <w:rPr>
                <w:rFonts w:cs="Arial"/>
                <w:b/>
                <w:bCs/>
                <w:i/>
                <w:iCs/>
                <w:color w:val="000066"/>
                <w:sz w:val="22"/>
                <w:szCs w:val="22"/>
                <w:lang w:eastAsia="it-IT"/>
              </w:rPr>
              <w:t xml:space="preserve">   </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2023</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310C1156" w:rsidR="000A03B2" w:rsidRPr="00B57B36" w:rsidRDefault="000A03B2" w:rsidP="00CD5FE2">
            <w:pPr>
              <w:jc w:val="right"/>
            </w:pPr>
            <w:r w:rsidRPr="00B57B36">
              <w:rPr>
                <w:noProof/>
                <w:lang w:val="pt-BR" w:eastAsia="pt-BR"/>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0475E8"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475E8" w:rsidRDefault="000D0268" w:rsidP="00CD5FE2">
            <w:pPr>
              <w:spacing w:line="140" w:lineRule="atLeast"/>
              <w:jc w:val="right"/>
              <w:rPr>
                <w:rFonts w:cs="Arial"/>
                <w:sz w:val="13"/>
                <w:szCs w:val="13"/>
                <w:lang w:val="da-DK"/>
              </w:rPr>
            </w:pPr>
            <w:r w:rsidRPr="000475E8">
              <w:rPr>
                <w:rFonts w:cs="Arial"/>
                <w:sz w:val="13"/>
                <w:szCs w:val="13"/>
                <w:lang w:val="da-DK"/>
              </w:rPr>
              <w:t>Online at www.cetjournal.it</w:t>
            </w:r>
          </w:p>
        </w:tc>
      </w:tr>
      <w:tr w:rsidR="000A03B2" w:rsidRPr="000475E8" w14:paraId="2D1B7169" w14:textId="77777777" w:rsidTr="00DE264A">
        <w:trPr>
          <w:trHeight w:val="68"/>
          <w:jc w:val="center"/>
        </w:trPr>
        <w:tc>
          <w:tcPr>
            <w:tcW w:w="8789" w:type="dxa"/>
            <w:gridSpan w:val="2"/>
          </w:tcPr>
          <w:p w14:paraId="1D8DD3C9" w14:textId="06DCB7F6" w:rsidR="00AA7D26" w:rsidRPr="003A6FC6" w:rsidRDefault="00AA7D26" w:rsidP="00AA7D26">
            <w:pPr>
              <w:ind w:left="-107"/>
              <w:outlineLvl w:val="2"/>
              <w:rPr>
                <w:rFonts w:ascii="Tahoma" w:hAnsi="Tahoma" w:cs="Tahoma"/>
                <w:bCs/>
                <w:color w:val="000000"/>
                <w:sz w:val="14"/>
                <w:szCs w:val="14"/>
                <w:lang w:val="it-IT" w:eastAsia="it-IT"/>
              </w:rPr>
            </w:pPr>
            <w:r w:rsidRPr="003A6FC6">
              <w:rPr>
                <w:rFonts w:ascii="Tahoma" w:hAnsi="Tahoma" w:cs="Tahoma"/>
                <w:iCs/>
                <w:color w:val="333333"/>
                <w:sz w:val="14"/>
                <w:szCs w:val="14"/>
                <w:lang w:val="it-IT" w:eastAsia="it-IT"/>
              </w:rPr>
              <w:t>Guest Editors:</w:t>
            </w:r>
            <w:r w:rsidRPr="003A6FC6">
              <w:rPr>
                <w:rFonts w:ascii="Tahoma" w:hAnsi="Tahoma" w:cs="Tahoma"/>
                <w:color w:val="000000"/>
                <w:sz w:val="14"/>
                <w:szCs w:val="14"/>
                <w:shd w:val="clear" w:color="auto" w:fill="FFFFFF"/>
                <w:lang w:val="it-IT"/>
              </w:rPr>
              <w:t xml:space="preserve"> </w:t>
            </w:r>
            <w:r w:rsidR="003A6FC6" w:rsidRPr="003A6FC6">
              <w:rPr>
                <w:rFonts w:ascii="Tahoma" w:hAnsi="Tahoma" w:cs="Tahoma"/>
                <w:color w:val="000000"/>
                <w:sz w:val="14"/>
                <w:szCs w:val="14"/>
                <w:shd w:val="clear" w:color="auto" w:fill="FFFFFF"/>
                <w:lang w:val="it-IT"/>
              </w:rPr>
              <w:t>Laura Piazza, M</w:t>
            </w:r>
            <w:r w:rsidR="003A6FC6">
              <w:rPr>
                <w:rFonts w:ascii="Tahoma" w:hAnsi="Tahoma" w:cs="Tahoma"/>
                <w:color w:val="000000"/>
                <w:sz w:val="14"/>
                <w:szCs w:val="14"/>
                <w:shd w:val="clear" w:color="auto" w:fill="FFFFFF"/>
                <w:lang w:val="it-IT"/>
              </w:rPr>
              <w:t>auro Moresi, Francesco Donsì</w:t>
            </w:r>
          </w:p>
          <w:p w14:paraId="1B0F1814" w14:textId="13B76356" w:rsidR="000A03B2" w:rsidRPr="000475E8" w:rsidRDefault="00AA7D26" w:rsidP="00AA7D26">
            <w:pPr>
              <w:tabs>
                <w:tab w:val="left" w:pos="-108"/>
              </w:tabs>
              <w:spacing w:line="140" w:lineRule="atLeast"/>
              <w:ind w:left="-107"/>
              <w:jc w:val="left"/>
              <w:rPr>
                <w:lang w:val="it-IT"/>
              </w:rPr>
            </w:pPr>
            <w:r w:rsidRPr="000475E8">
              <w:rPr>
                <w:rFonts w:ascii="Tahoma" w:hAnsi="Tahoma" w:cs="Tahoma"/>
                <w:iCs/>
                <w:color w:val="333333"/>
                <w:sz w:val="14"/>
                <w:szCs w:val="14"/>
                <w:lang w:val="it-IT" w:eastAsia="it-IT"/>
              </w:rPr>
              <w:t>Copyright © 2023, AIDIC Servizi S.r.l.</w:t>
            </w:r>
            <w:r w:rsidRPr="000475E8">
              <w:rPr>
                <w:rFonts w:ascii="Tahoma" w:hAnsi="Tahoma" w:cs="Tahoma"/>
                <w:iCs/>
                <w:color w:val="333333"/>
                <w:sz w:val="14"/>
                <w:szCs w:val="14"/>
                <w:lang w:val="it-IT" w:eastAsia="it-IT"/>
              </w:rPr>
              <w:br/>
            </w:r>
            <w:r w:rsidRPr="000475E8">
              <w:rPr>
                <w:rFonts w:ascii="Tahoma" w:hAnsi="Tahoma" w:cs="Tahoma"/>
                <w:b/>
                <w:iCs/>
                <w:color w:val="000000"/>
                <w:sz w:val="14"/>
                <w:szCs w:val="14"/>
                <w:lang w:val="it-IT" w:eastAsia="it-IT"/>
              </w:rPr>
              <w:t>ISBN</w:t>
            </w:r>
            <w:r w:rsidRPr="000475E8">
              <w:rPr>
                <w:rFonts w:ascii="Tahoma" w:hAnsi="Tahoma" w:cs="Tahoma"/>
                <w:iCs/>
                <w:color w:val="000000"/>
                <w:sz w:val="14"/>
                <w:szCs w:val="14"/>
                <w:lang w:val="it-IT" w:eastAsia="it-IT"/>
              </w:rPr>
              <w:t xml:space="preserve"> </w:t>
            </w:r>
            <w:r w:rsidRPr="000475E8">
              <w:rPr>
                <w:rFonts w:ascii="Tahoma" w:hAnsi="Tahoma" w:cs="Tahoma"/>
                <w:sz w:val="14"/>
                <w:szCs w:val="14"/>
                <w:lang w:val="it-IT"/>
              </w:rPr>
              <w:t>978-88-</w:t>
            </w:r>
            <w:r w:rsidR="00E33DD7" w:rsidRPr="000475E8">
              <w:rPr>
                <w:rFonts w:ascii="Tahoma" w:hAnsi="Tahoma" w:cs="Tahoma"/>
                <w:sz w:val="14"/>
                <w:szCs w:val="14"/>
                <w:lang w:val="it-IT"/>
              </w:rPr>
              <w:t>81206</w:t>
            </w:r>
            <w:r w:rsidRPr="000475E8">
              <w:rPr>
                <w:rFonts w:ascii="Tahoma" w:hAnsi="Tahoma" w:cs="Tahoma"/>
                <w:sz w:val="14"/>
                <w:szCs w:val="14"/>
                <w:lang w:val="it-IT"/>
              </w:rPr>
              <w:t>-</w:t>
            </w:r>
            <w:r w:rsidR="00E33DD7" w:rsidRPr="000475E8">
              <w:rPr>
                <w:rFonts w:ascii="Tahoma" w:hAnsi="Tahoma" w:cs="Tahoma"/>
                <w:sz w:val="14"/>
                <w:szCs w:val="14"/>
                <w:lang w:val="it-IT"/>
              </w:rPr>
              <w:t>0</w:t>
            </w:r>
            <w:r w:rsidR="003A6FC6" w:rsidRPr="000475E8">
              <w:rPr>
                <w:rFonts w:ascii="Tahoma" w:hAnsi="Tahoma" w:cs="Tahoma"/>
                <w:sz w:val="14"/>
                <w:szCs w:val="14"/>
                <w:lang w:val="it-IT"/>
              </w:rPr>
              <w:t>1</w:t>
            </w:r>
            <w:r w:rsidRPr="000475E8">
              <w:rPr>
                <w:rFonts w:ascii="Tahoma" w:hAnsi="Tahoma" w:cs="Tahoma"/>
                <w:sz w:val="14"/>
                <w:szCs w:val="14"/>
                <w:lang w:val="it-IT"/>
              </w:rPr>
              <w:t>-</w:t>
            </w:r>
            <w:r w:rsidR="003A6FC6" w:rsidRPr="000475E8">
              <w:rPr>
                <w:rFonts w:ascii="Tahoma" w:hAnsi="Tahoma" w:cs="Tahoma"/>
                <w:sz w:val="14"/>
                <w:szCs w:val="14"/>
                <w:lang w:val="it-IT"/>
              </w:rPr>
              <w:t>4</w:t>
            </w:r>
            <w:r w:rsidRPr="000475E8">
              <w:rPr>
                <w:rFonts w:ascii="Tahoma" w:hAnsi="Tahoma" w:cs="Tahoma"/>
                <w:iCs/>
                <w:color w:val="333333"/>
                <w:sz w:val="14"/>
                <w:szCs w:val="14"/>
                <w:lang w:val="it-IT" w:eastAsia="it-IT"/>
              </w:rPr>
              <w:t xml:space="preserve">; </w:t>
            </w:r>
            <w:r w:rsidRPr="000475E8">
              <w:rPr>
                <w:rFonts w:ascii="Tahoma" w:hAnsi="Tahoma" w:cs="Tahoma"/>
                <w:b/>
                <w:iCs/>
                <w:color w:val="333333"/>
                <w:sz w:val="14"/>
                <w:szCs w:val="14"/>
                <w:lang w:val="it-IT" w:eastAsia="it-IT"/>
              </w:rPr>
              <w:t>ISSN</w:t>
            </w:r>
            <w:r w:rsidRPr="000475E8">
              <w:rPr>
                <w:rFonts w:ascii="Tahoma" w:hAnsi="Tahoma" w:cs="Tahoma"/>
                <w:iCs/>
                <w:color w:val="333333"/>
                <w:sz w:val="14"/>
                <w:szCs w:val="14"/>
                <w:lang w:val="it-IT" w:eastAsia="it-IT"/>
              </w:rPr>
              <w:t xml:space="preserve"> 2283-9216</w:t>
            </w:r>
          </w:p>
        </w:tc>
      </w:tr>
    </w:tbl>
    <w:p w14:paraId="2E667253" w14:textId="7D504F7B" w:rsidR="00E978D0" w:rsidRPr="008E66C2" w:rsidRDefault="008E66C2" w:rsidP="00E978D0">
      <w:pPr>
        <w:pStyle w:val="CETTitle"/>
      </w:pPr>
      <w:r w:rsidRPr="008E66C2">
        <w:t>Photocatalytic Activity of Composites for Ethylene Degradation under UV-A and Visible</w:t>
      </w:r>
      <w:r w:rsidR="00BD436F">
        <w:t xml:space="preserve"> Light</w:t>
      </w:r>
    </w:p>
    <w:p w14:paraId="0488FED2" w14:textId="0650F1E9" w:rsidR="00B57E6F" w:rsidRPr="008E66C2" w:rsidRDefault="00F75AD4" w:rsidP="00B57E6F">
      <w:pPr>
        <w:pStyle w:val="CETAuthors"/>
        <w:rPr>
          <w:lang w:val="pt-BR"/>
        </w:rPr>
      </w:pPr>
      <w:r w:rsidRPr="008E66C2">
        <w:rPr>
          <w:lang w:val="pt-BR"/>
        </w:rPr>
        <w:t>Fernanda C. Fraga</w:t>
      </w:r>
      <w:r w:rsidR="00B57E6F" w:rsidRPr="008E66C2">
        <w:rPr>
          <w:vertAlign w:val="superscript"/>
          <w:lang w:val="pt-BR"/>
        </w:rPr>
        <w:t>a</w:t>
      </w:r>
      <w:r w:rsidR="00B57E6F" w:rsidRPr="008E66C2">
        <w:rPr>
          <w:lang w:val="pt-BR"/>
        </w:rPr>
        <w:t xml:space="preserve">, </w:t>
      </w:r>
      <w:r w:rsidR="00267F05" w:rsidRPr="008E66C2">
        <w:rPr>
          <w:lang w:val="pt-BR"/>
        </w:rPr>
        <w:t>Juan A. Cecilia</w:t>
      </w:r>
      <w:r w:rsidR="00267F05" w:rsidRPr="008E66C2">
        <w:rPr>
          <w:vertAlign w:val="superscript"/>
          <w:lang w:val="pt-BR"/>
        </w:rPr>
        <w:t>b</w:t>
      </w:r>
      <w:r w:rsidR="00267F05" w:rsidRPr="008E66C2">
        <w:rPr>
          <w:lang w:val="pt-BR"/>
        </w:rPr>
        <w:t>, Enrique Rodr</w:t>
      </w:r>
      <w:r w:rsidR="000475E8">
        <w:rPr>
          <w:lang w:val="pt-BR"/>
        </w:rPr>
        <w:t>í</w:t>
      </w:r>
      <w:r w:rsidR="00267F05" w:rsidRPr="008E66C2">
        <w:rPr>
          <w:lang w:val="pt-BR"/>
        </w:rPr>
        <w:t>guez-Castell</w:t>
      </w:r>
      <w:r w:rsidR="000475E8">
        <w:rPr>
          <w:lang w:val="pt-BR"/>
        </w:rPr>
        <w:t>ó</w:t>
      </w:r>
      <w:r w:rsidR="00267F05" w:rsidRPr="008E66C2">
        <w:rPr>
          <w:lang w:val="pt-BR"/>
        </w:rPr>
        <w:t>n</w:t>
      </w:r>
      <w:r w:rsidR="00267F05" w:rsidRPr="008E66C2">
        <w:rPr>
          <w:vertAlign w:val="superscript"/>
          <w:lang w:val="pt-BR"/>
        </w:rPr>
        <w:t>b</w:t>
      </w:r>
      <w:r w:rsidR="00267F05" w:rsidRPr="008E66C2">
        <w:rPr>
          <w:lang w:val="pt-BR"/>
        </w:rPr>
        <w:t>, Regina F. P. M. Moreira</w:t>
      </w:r>
      <w:r w:rsidR="00267F05" w:rsidRPr="008E66C2">
        <w:rPr>
          <w:vertAlign w:val="superscript"/>
          <w:lang w:val="pt-BR"/>
        </w:rPr>
        <w:t>a,</w:t>
      </w:r>
      <w:r w:rsidR="00267F05" w:rsidRPr="008E66C2">
        <w:rPr>
          <w:lang w:val="pt-BR"/>
        </w:rPr>
        <w:t>*</w:t>
      </w:r>
    </w:p>
    <w:p w14:paraId="6B2D21B3" w14:textId="56880A6B" w:rsidR="00B57E6F" w:rsidRPr="008E66C2" w:rsidRDefault="00B57E6F" w:rsidP="00B57E6F">
      <w:pPr>
        <w:pStyle w:val="CETAddress"/>
      </w:pPr>
      <w:r w:rsidRPr="008E66C2">
        <w:rPr>
          <w:vertAlign w:val="superscript"/>
        </w:rPr>
        <w:t>a</w:t>
      </w:r>
      <w:r w:rsidR="00267F05" w:rsidRPr="008E66C2">
        <w:t>Laboratory of Energy and Evironment (LEMA), Department os Chemical and Food Engineering, Federal University of Santa Catarina (UFSC), 88040-900 Florianópolis, SC, Brazil</w:t>
      </w:r>
      <w:r w:rsidRPr="008E66C2">
        <w:t xml:space="preserve"> </w:t>
      </w:r>
    </w:p>
    <w:p w14:paraId="3D72B0B0" w14:textId="522A2421" w:rsidR="00B57E6F" w:rsidRPr="008E66C2" w:rsidRDefault="00B57E6F" w:rsidP="00B57E6F">
      <w:pPr>
        <w:pStyle w:val="CETAddress"/>
      </w:pPr>
      <w:r w:rsidRPr="008E66C2">
        <w:rPr>
          <w:vertAlign w:val="superscript"/>
        </w:rPr>
        <w:t>b</w:t>
      </w:r>
      <w:r w:rsidR="00267F05" w:rsidRPr="008E66C2">
        <w:t>Department of Inorganic Chemistry, Faculty of Sciences, University of Malaga</w:t>
      </w:r>
      <w:r w:rsidR="006A7FC6">
        <w:t xml:space="preserve">, </w:t>
      </w:r>
      <w:r w:rsidR="000475E8">
        <w:t>29071 Málaga, Spain</w:t>
      </w:r>
    </w:p>
    <w:p w14:paraId="73F1267A" w14:textId="4898A0DD" w:rsidR="00B57E6F" w:rsidRPr="008E66C2" w:rsidRDefault="00267F05" w:rsidP="00B57E6F">
      <w:pPr>
        <w:pStyle w:val="CETemail"/>
      </w:pPr>
      <w:r w:rsidRPr="008E66C2">
        <w:t>regina.moreira@ufsc.br</w:t>
      </w:r>
    </w:p>
    <w:p w14:paraId="3C61F449" w14:textId="1F4F8FE3" w:rsidR="00710051" w:rsidRPr="00BE38C7" w:rsidRDefault="00710051" w:rsidP="00600535">
      <w:pPr>
        <w:pStyle w:val="CETBodytext"/>
        <w:rPr>
          <w:lang w:val="en-GB"/>
        </w:rPr>
      </w:pPr>
      <w:r w:rsidRPr="00827BD1">
        <w:rPr>
          <w:lang w:val="en-GB"/>
        </w:rPr>
        <w:t>Ethylene is a natural hormone responsible for many processes, includ</w:t>
      </w:r>
      <w:r w:rsidR="002D3980">
        <w:rPr>
          <w:lang w:val="en-GB"/>
        </w:rPr>
        <w:t>ing</w:t>
      </w:r>
      <w:r w:rsidRPr="00827BD1">
        <w:rPr>
          <w:lang w:val="en-GB"/>
        </w:rPr>
        <w:t xml:space="preserve"> ripening. One way to extend the shelf life of several fruits and vegetables is to remove ethylene from the atmosphere of storage and transport, for which photocatalysis processes can be an efficient technology. In this study, we investigated the </w:t>
      </w:r>
      <w:r w:rsidR="00C870E2" w:rsidRPr="00827BD1">
        <w:rPr>
          <w:lang w:val="en-GB"/>
        </w:rPr>
        <w:t>ethylene photodegradation</w:t>
      </w:r>
      <w:r w:rsidRPr="00827BD1">
        <w:rPr>
          <w:lang w:val="en-GB"/>
        </w:rPr>
        <w:t xml:space="preserve"> of four different composites</w:t>
      </w:r>
      <w:r w:rsidR="00C870E2">
        <w:rPr>
          <w:lang w:val="en-GB"/>
        </w:rPr>
        <w:t xml:space="preserve"> (</w:t>
      </w:r>
      <w:r w:rsidR="00C870E2" w:rsidRPr="00BD0558">
        <w:t>Cu/C</w:t>
      </w:r>
      <w:r w:rsidR="00C870E2" w:rsidRPr="00BD0558">
        <w:rPr>
          <w:vertAlign w:val="subscript"/>
        </w:rPr>
        <w:t>3</w:t>
      </w:r>
      <w:r w:rsidR="00C870E2" w:rsidRPr="00BD0558">
        <w:t>N</w:t>
      </w:r>
      <w:r w:rsidR="00C870E2" w:rsidRPr="00BD0558">
        <w:rPr>
          <w:vertAlign w:val="subscript"/>
        </w:rPr>
        <w:t>4</w:t>
      </w:r>
      <w:r w:rsidR="00C870E2" w:rsidRPr="00BD0558">
        <w:t>, Cu/TiO</w:t>
      </w:r>
      <w:r w:rsidR="00C870E2" w:rsidRPr="00BD0558">
        <w:rPr>
          <w:vertAlign w:val="subscript"/>
        </w:rPr>
        <w:t>2</w:t>
      </w:r>
      <w:r w:rsidR="00C870E2" w:rsidRPr="00BD0558">
        <w:t>, Ni/C</w:t>
      </w:r>
      <w:r w:rsidR="00C870E2" w:rsidRPr="00BD0558">
        <w:rPr>
          <w:vertAlign w:val="subscript"/>
        </w:rPr>
        <w:t>3</w:t>
      </w:r>
      <w:r w:rsidR="00C870E2" w:rsidRPr="00BD0558">
        <w:t>N</w:t>
      </w:r>
      <w:r w:rsidR="00C870E2" w:rsidRPr="00BD0558">
        <w:rPr>
          <w:vertAlign w:val="subscript"/>
        </w:rPr>
        <w:t>4</w:t>
      </w:r>
      <w:r w:rsidR="00C870E2" w:rsidRPr="00BD0558">
        <w:t>, Ni/TiO</w:t>
      </w:r>
      <w:r w:rsidR="00C870E2" w:rsidRPr="00BD0558">
        <w:rPr>
          <w:vertAlign w:val="subscript"/>
        </w:rPr>
        <w:t>2</w:t>
      </w:r>
      <w:r w:rsidR="00C870E2" w:rsidRPr="00BD0558">
        <w:t>)</w:t>
      </w:r>
      <w:r w:rsidRPr="00827BD1">
        <w:rPr>
          <w:lang w:val="en-GB"/>
        </w:rPr>
        <w:t xml:space="preserve"> under UV-A and visible illumination. The photocatalytic composites were </w:t>
      </w:r>
      <w:r w:rsidR="00236302" w:rsidRPr="00827BD1">
        <w:rPr>
          <w:lang w:val="en-GB"/>
        </w:rPr>
        <w:t>characterized,</w:t>
      </w:r>
      <w:r w:rsidR="00C870E2">
        <w:rPr>
          <w:lang w:val="en-GB"/>
        </w:rPr>
        <w:t xml:space="preserve"> and t</w:t>
      </w:r>
      <w:r w:rsidRPr="00827BD1">
        <w:rPr>
          <w:lang w:val="en-GB"/>
        </w:rPr>
        <w:t xml:space="preserve">he photocatalytic assay was performed in a </w:t>
      </w:r>
      <w:r w:rsidR="00511F71">
        <w:rPr>
          <w:lang w:val="en-GB"/>
        </w:rPr>
        <w:t xml:space="preserve">continuous </w:t>
      </w:r>
      <w:r w:rsidRPr="00827BD1">
        <w:rPr>
          <w:lang w:val="en-GB"/>
        </w:rPr>
        <w:t>system</w:t>
      </w:r>
      <w:r w:rsidR="00716460">
        <w:rPr>
          <w:lang w:val="en-GB"/>
        </w:rPr>
        <w:t xml:space="preserve"> for 1 h</w:t>
      </w:r>
      <w:r w:rsidR="00236302">
        <w:rPr>
          <w:lang w:val="en-GB"/>
        </w:rPr>
        <w:t xml:space="preserve"> (</w:t>
      </w:r>
      <w:r w:rsidR="00FC4880">
        <w:rPr>
          <w:lang w:val="en-GB"/>
        </w:rPr>
        <w:t>ethylene concentration at 1.</w:t>
      </w:r>
      <w:r w:rsidRPr="00827BD1">
        <w:rPr>
          <w:lang w:val="en-GB"/>
        </w:rPr>
        <w:t>0</w:t>
      </w:r>
      <w:r w:rsidR="00AF5C04">
        <w:rPr>
          <w:lang w:val="en-GB"/>
        </w:rPr>
        <w:t xml:space="preserve"> </w:t>
      </w:r>
      <w:r w:rsidRPr="00827BD1">
        <w:rPr>
          <w:lang w:val="en-GB"/>
        </w:rPr>
        <w:t>% in synthetic air</w:t>
      </w:r>
      <w:r w:rsidR="00716460">
        <w:rPr>
          <w:lang w:val="en-GB"/>
        </w:rPr>
        <w:t xml:space="preserve">, </w:t>
      </w:r>
      <w:r w:rsidR="00716460" w:rsidRPr="00827BD1">
        <w:rPr>
          <w:lang w:val="en-GB"/>
        </w:rPr>
        <w:t>50 mL.min</w:t>
      </w:r>
      <w:r w:rsidR="00716460" w:rsidRPr="00511F71">
        <w:rPr>
          <w:vertAlign w:val="superscript"/>
          <w:lang w:val="en-GB"/>
        </w:rPr>
        <w:t>-1</w:t>
      </w:r>
      <w:r w:rsidR="003D2F35">
        <w:rPr>
          <w:lang w:val="en-GB"/>
        </w:rPr>
        <w:t xml:space="preserve">, </w:t>
      </w:r>
      <w:r w:rsidR="00716460">
        <w:rPr>
          <w:lang w:val="en-GB"/>
        </w:rPr>
        <w:t xml:space="preserve">and </w:t>
      </w:r>
      <w:r w:rsidRPr="00827BD1">
        <w:rPr>
          <w:lang w:val="en-GB"/>
        </w:rPr>
        <w:t>400 mg of photocatalyst</w:t>
      </w:r>
      <w:r w:rsidR="00716460">
        <w:rPr>
          <w:lang w:val="en-GB"/>
        </w:rPr>
        <w:t>)</w:t>
      </w:r>
      <w:r w:rsidRPr="00827BD1">
        <w:rPr>
          <w:lang w:val="en-GB"/>
        </w:rPr>
        <w:t xml:space="preserve">. The results </w:t>
      </w:r>
      <w:r w:rsidR="00645812">
        <w:rPr>
          <w:lang w:val="en-GB"/>
        </w:rPr>
        <w:t>indicated t</w:t>
      </w:r>
      <w:r w:rsidR="002D3980">
        <w:rPr>
          <w:lang w:val="en-GB"/>
        </w:rPr>
        <w:t xml:space="preserve">hat the </w:t>
      </w:r>
      <w:r w:rsidRPr="00827BD1">
        <w:rPr>
          <w:lang w:val="en-GB"/>
        </w:rPr>
        <w:t>Cu/C</w:t>
      </w:r>
      <w:r w:rsidRPr="00645812">
        <w:rPr>
          <w:vertAlign w:val="subscript"/>
          <w:lang w:val="en-GB"/>
        </w:rPr>
        <w:t>3</w:t>
      </w:r>
      <w:r w:rsidRPr="00827BD1">
        <w:rPr>
          <w:lang w:val="en-GB"/>
        </w:rPr>
        <w:t>N</w:t>
      </w:r>
      <w:r w:rsidRPr="00645812">
        <w:rPr>
          <w:vertAlign w:val="subscript"/>
          <w:lang w:val="en-GB"/>
        </w:rPr>
        <w:t>4</w:t>
      </w:r>
      <w:r w:rsidRPr="00827BD1">
        <w:rPr>
          <w:lang w:val="en-GB"/>
        </w:rPr>
        <w:t xml:space="preserve"> sample did not produce carbon dioxide under visible light or UV-A illumination, so ethylene was not degraded. The Ni/TiO</w:t>
      </w:r>
      <w:r w:rsidRPr="00645812">
        <w:rPr>
          <w:vertAlign w:val="subscript"/>
          <w:lang w:val="en-GB"/>
        </w:rPr>
        <w:t>2</w:t>
      </w:r>
      <w:r w:rsidRPr="00827BD1">
        <w:rPr>
          <w:lang w:val="en-GB"/>
        </w:rPr>
        <w:t xml:space="preserve"> sample had the best performance for ethylene degradation under visible light and UV-A illumination, showing higher CO</w:t>
      </w:r>
      <w:r w:rsidRPr="00D76B0F">
        <w:rPr>
          <w:vertAlign w:val="subscript"/>
          <w:lang w:val="en-GB"/>
        </w:rPr>
        <w:t>2</w:t>
      </w:r>
      <w:r w:rsidRPr="00827BD1">
        <w:rPr>
          <w:lang w:val="en-GB"/>
        </w:rPr>
        <w:t xml:space="preserve"> production with UV-A. After illumination for 1 h, the light was turned off, and 5 min later, the CO</w:t>
      </w:r>
      <w:r w:rsidRPr="00D76B0F">
        <w:rPr>
          <w:vertAlign w:val="subscript"/>
          <w:lang w:val="en-GB"/>
        </w:rPr>
        <w:t>2</w:t>
      </w:r>
      <w:r w:rsidRPr="00827BD1">
        <w:rPr>
          <w:lang w:val="en-GB"/>
        </w:rPr>
        <w:t xml:space="preserve"> concentration at the outlet was equal to the initial. Thus, the composites Ni/C</w:t>
      </w:r>
      <w:r w:rsidRPr="001E03A4">
        <w:rPr>
          <w:vertAlign w:val="subscript"/>
          <w:lang w:val="en-GB"/>
        </w:rPr>
        <w:t>3</w:t>
      </w:r>
      <w:r w:rsidRPr="00827BD1">
        <w:rPr>
          <w:lang w:val="en-GB"/>
        </w:rPr>
        <w:t>N</w:t>
      </w:r>
      <w:r w:rsidRPr="001E03A4">
        <w:rPr>
          <w:vertAlign w:val="subscript"/>
          <w:lang w:val="en-GB"/>
        </w:rPr>
        <w:t>4</w:t>
      </w:r>
      <w:r w:rsidRPr="00827BD1">
        <w:rPr>
          <w:lang w:val="en-GB"/>
        </w:rPr>
        <w:t>, Cu/TiO</w:t>
      </w:r>
      <w:r w:rsidRPr="001E03A4">
        <w:rPr>
          <w:vertAlign w:val="subscript"/>
          <w:lang w:val="en-GB"/>
        </w:rPr>
        <w:t>2</w:t>
      </w:r>
      <w:r w:rsidR="002D3980" w:rsidRPr="002D3980">
        <w:rPr>
          <w:lang w:val="en-GB"/>
        </w:rPr>
        <w:t>,</w:t>
      </w:r>
      <w:r w:rsidRPr="00827BD1">
        <w:rPr>
          <w:lang w:val="en-GB"/>
        </w:rPr>
        <w:t xml:space="preserve"> and Ni/TiO</w:t>
      </w:r>
      <w:r w:rsidRPr="001E03A4">
        <w:rPr>
          <w:vertAlign w:val="subscript"/>
          <w:lang w:val="en-GB"/>
        </w:rPr>
        <w:t>2</w:t>
      </w:r>
      <w:r w:rsidRPr="00827BD1">
        <w:rPr>
          <w:lang w:val="en-GB"/>
        </w:rPr>
        <w:t xml:space="preserve"> proved</w:t>
      </w:r>
      <w:r w:rsidR="003D2F35">
        <w:rPr>
          <w:lang w:val="en-GB"/>
        </w:rPr>
        <w:t xml:space="preserve"> to be</w:t>
      </w:r>
      <w:r w:rsidRPr="00827BD1">
        <w:rPr>
          <w:lang w:val="en-GB"/>
        </w:rPr>
        <w:t xml:space="preserve"> efficient in ethylene degradation. Therefore, they can </w:t>
      </w:r>
      <w:r w:rsidR="00D43567">
        <w:rPr>
          <w:lang w:val="en-GB"/>
        </w:rPr>
        <w:t>increase</w:t>
      </w:r>
      <w:r w:rsidRPr="00827BD1">
        <w:rPr>
          <w:lang w:val="en-GB"/>
        </w:rPr>
        <w:t xml:space="preserve"> the shelf life of fruits and vegetables, using photocatalysis to remove ethylene from the atmosphere </w:t>
      </w:r>
      <w:r w:rsidR="003D2F35">
        <w:rPr>
          <w:lang w:val="en-GB"/>
        </w:rPr>
        <w:t>while</w:t>
      </w:r>
      <w:r w:rsidRPr="00827BD1">
        <w:rPr>
          <w:lang w:val="en-GB"/>
        </w:rPr>
        <w:t xml:space="preserve"> </w:t>
      </w:r>
      <w:r w:rsidR="002D3980">
        <w:rPr>
          <w:lang w:val="en-GB"/>
        </w:rPr>
        <w:t xml:space="preserve">storing and </w:t>
      </w:r>
      <w:r w:rsidRPr="00827BD1">
        <w:rPr>
          <w:lang w:val="en-GB"/>
        </w:rPr>
        <w:t>transport</w:t>
      </w:r>
      <w:r w:rsidR="002D3980">
        <w:rPr>
          <w:lang w:val="en-GB"/>
        </w:rPr>
        <w:t>ing</w:t>
      </w:r>
      <w:r w:rsidRPr="00827BD1">
        <w:rPr>
          <w:lang w:val="en-GB"/>
        </w:rPr>
        <w:t xml:space="preserve"> these foods.</w:t>
      </w:r>
    </w:p>
    <w:p w14:paraId="476B2F2E" w14:textId="77777777" w:rsidR="00600535" w:rsidRPr="00666AD1" w:rsidRDefault="00600535" w:rsidP="00666AD1">
      <w:pPr>
        <w:pStyle w:val="CETHeading1"/>
      </w:pPr>
      <w:r w:rsidRPr="00666AD1">
        <w:t>Introduction</w:t>
      </w:r>
    </w:p>
    <w:p w14:paraId="723D57B2" w14:textId="618DB765" w:rsidR="002D3980" w:rsidRPr="002D3980" w:rsidRDefault="002D3980" w:rsidP="002D3980">
      <w:pPr>
        <w:pStyle w:val="CETBodytext"/>
        <w:rPr>
          <w:lang w:val="en-GB"/>
        </w:rPr>
      </w:pPr>
      <w:r w:rsidRPr="002D3980">
        <w:rPr>
          <w:lang w:val="en-GB"/>
        </w:rPr>
        <w:t>Ethylene is a vegetal hormone responsible for many processes, including ripening, and in climacteric fruits, the effects of this compound are pronounced</w:t>
      </w:r>
      <w:r w:rsidR="003A384B">
        <w:rPr>
          <w:lang w:val="en-GB"/>
        </w:rPr>
        <w:t xml:space="preserve"> </w:t>
      </w:r>
      <w:r w:rsidR="003A384B" w:rsidRPr="00FF407A">
        <w:rPr>
          <w:szCs w:val="24"/>
        </w:rPr>
        <w:fldChar w:fldCharType="begin" w:fldLock="1"/>
      </w:r>
      <w:r w:rsidR="00462ED2">
        <w:rPr>
          <w:szCs w:val="24"/>
        </w:rPr>
        <w:instrText>ADDIN CSL_CITATION {"citationItems":[{"id":"ITEM-1","itemData":{"DOI":"10.1007/s10311-019-00938-1","ISBN":"0123456789","ISSN":"16103661","abstract":"Many fruits and vegetables are sensitive to ethylene, which upon prolonged exposure induces the deterioration of food quality, such as change in taste, odour and colour, or microbial growth. Therefore, ethylene scavengers in packages can be used to limit ethylene accumulation. Ethylene scavengers extend the shelf life and retain the original food quality. Here, we review ethylene scavenging systems such as potassium carbonate, palladium, natural clays, titanium dioxide-based, electron-deficient dienes and trienes. Ethylene scavenging is done by chemical reactions and physical adsorption. We then discuss the applications and benefits of ethylene scavengers in packages. The efficiency of ethylene scavengers is improved using atmospheric packaging tools.","author":[{"dropping-particle":"","family":"Gaikwad","given":"Kirtiraj K.","non-dropping-particle":"","parse-names":false,"suffix":""},{"dropping-particle":"","family":"Singh","given":"Suman","non-dropping-particle":"","parse-names":false,"suffix":""},{"dropping-particle":"","family":"Negi","given":"Yuvraj Singh","non-dropping-particle":"","parse-names":false,"suffix":""}],"container-title":"Environmental Chemistry Letters","id":"ITEM-1","issued":{"date-parts":[["2020"]]},"page":"269-284","publisher":"Springer International Publishing","title":"Ethylene scavengers for active packaging of fresh food produce","type":"article-journal","volume":"18"},"uris":["http://www.mendeley.com/documents/?uuid=5408c1cd-af9b-42b6-88a6-0c0aab33a325"]}],"mendeley":{"formattedCitation":"(Gaikwad et al., 2020)","plainTextFormattedCitation":"(Gaikwad et al., 2020)","previouslyFormattedCitation":"(Gaikwad et al., 2020)"},"properties":{"noteIndex":0},"schema":"https://github.com/citation-style-language/schema/raw/master/csl-citation.json"}</w:instrText>
      </w:r>
      <w:r w:rsidR="003A384B" w:rsidRPr="00FF407A">
        <w:rPr>
          <w:szCs w:val="24"/>
        </w:rPr>
        <w:fldChar w:fldCharType="separate"/>
      </w:r>
      <w:r w:rsidR="00D33139" w:rsidRPr="00D33139">
        <w:rPr>
          <w:noProof/>
          <w:szCs w:val="24"/>
        </w:rPr>
        <w:t>(Gaikwad et al., 2020)</w:t>
      </w:r>
      <w:r w:rsidR="003A384B" w:rsidRPr="00FF407A">
        <w:rPr>
          <w:szCs w:val="24"/>
        </w:rPr>
        <w:fldChar w:fldCharType="end"/>
      </w:r>
      <w:r w:rsidRPr="002D3980">
        <w:rPr>
          <w:lang w:val="en-GB"/>
        </w:rPr>
        <w:t xml:space="preserve">. During transport and storage of these fruits, ripening is accelerated due to ethylene. Therefore, its removal from the atmosphere is crucial to </w:t>
      </w:r>
      <w:r w:rsidR="00D43567">
        <w:rPr>
          <w:lang w:val="en-GB"/>
        </w:rPr>
        <w:t>increase</w:t>
      </w:r>
      <w:r w:rsidRPr="002D3980">
        <w:rPr>
          <w:lang w:val="en-GB"/>
        </w:rPr>
        <w:t xml:space="preserve"> the post-harvest storage time of climacteric fruits</w:t>
      </w:r>
      <w:r w:rsidR="008C1AD3">
        <w:rPr>
          <w:lang w:val="en-GB"/>
        </w:rPr>
        <w:t xml:space="preserve"> </w:t>
      </w:r>
      <w:r w:rsidR="008C1AD3" w:rsidRPr="00FF407A">
        <w:rPr>
          <w:szCs w:val="24"/>
        </w:rPr>
        <w:fldChar w:fldCharType="begin" w:fldLock="1"/>
      </w:r>
      <w:r w:rsidR="00462ED2">
        <w:rPr>
          <w:szCs w:val="24"/>
        </w:rPr>
        <w:instrText>ADDIN CSL_CITATION {"citationItems":[{"id":"ITEM-1","itemData":{"DOI":"10.1016/j.tifs.2019.06.010","ISSN":"09242244","abstract":"Background: Fresh fruit are important for a healthy diet, however, their shelf-life can be shortened because of ethylene, a key phytohormone associated with the ripening process. Therefore, detecting ethylene concentration on trace level and regulating its activity by safe and effective approaches are of paramount importance in extending postharvest shelf-life and controlling maturity of fruit. Scope and approach: In this review, ethylene detection technologies as well as ethylene regulating strategies are discussed, aiming to develop more innovative and effective approaches. Effects of ethylene on quality and shelf-life of fruit are presented. Ethylene detection and monitoring technologies available such as gas chromatography, electrochemical, optical, chemical methods, especially novel methods such as those based on colorimetric, luminescence, metal-organic frameworks, organic field effect transistors and surface enhanced Raman spectroscopy are described. In addition, shelf-life extending technologies for ethylene control, removal or inhibition such as suppressing ethylene synthesis, scavenging or oxidizing or adsorbing ethylene, and blocking ethylene receptor are summarized. Finally, future perspectives on developing strategies that can simultaneously satisfy the requirements of sensitivity, rapidness and on-line for wide utilization in ethylene monitoring of fresh products are also given. Key findings and conclusions: It is expected that miniature and sensitive ethylene detection techniques combined with feasible ethylene control methods should be an effective solution for fruit quality maintenance and shelf-life extension. However, each type of sensors and ethylene control strategies currently available has their own advantages and limitations. Therefore, attempts should be made to exploit more effective ethylene detection and controlling technologies.","author":[{"dropping-particle":"","family":"Hu","given":"Bingxue","non-dropping-particle":"","parse-names":false,"suffix":""},{"dropping-particle":"","family":"Sun","given":"Da-Wen","non-dropping-particle":"","parse-names":false,"suffix":""},{"dropping-particle":"","family":"Pu","given":"Hongbin","non-dropping-particle":"","parse-names":false,"suffix":""},{"dropping-particle":"","family":"Wei","given":"Qingyi","non-dropping-particle":"","parse-names":false,"suffix":""}],"container-title":"Trends in Food Science and Technology","id":"ITEM-1","issue":"December 2018","issued":{"date-parts":[["2019","9"]]},"page":"66-82","publisher":"Elsevier","title":"Recent advances in detecting and regulating ethylene concentrations for shelf-life extension and maturity control of fruit: A review","type":"article-journal","volume":"91"},"uris":["http://www.mendeley.com/documents/?uuid=9128a670-87db-467d-900a-28c2bce18c95"]}],"mendeley":{"formattedCitation":"(Hu et al., 2019)","plainTextFormattedCitation":"(Hu et al., 2019)","previouslyFormattedCitation":"(Hu et al., 2019)"},"properties":{"noteIndex":0},"schema":"https://github.com/citation-style-language/schema/raw/master/csl-citation.json"}</w:instrText>
      </w:r>
      <w:r w:rsidR="008C1AD3" w:rsidRPr="00FF407A">
        <w:rPr>
          <w:szCs w:val="24"/>
        </w:rPr>
        <w:fldChar w:fldCharType="separate"/>
      </w:r>
      <w:r w:rsidR="00D33139" w:rsidRPr="00D33139">
        <w:rPr>
          <w:noProof/>
          <w:szCs w:val="24"/>
        </w:rPr>
        <w:t>(Hu et al., 2019)</w:t>
      </w:r>
      <w:r w:rsidR="008C1AD3" w:rsidRPr="00FF407A">
        <w:rPr>
          <w:szCs w:val="24"/>
        </w:rPr>
        <w:fldChar w:fldCharType="end"/>
      </w:r>
      <w:r w:rsidRPr="002D3980">
        <w:rPr>
          <w:lang w:val="en-GB"/>
        </w:rPr>
        <w:t>. On the other hand, it can be used as a fruit ripening stimulator</w:t>
      </w:r>
      <w:r w:rsidR="00B8738C">
        <w:rPr>
          <w:lang w:val="en-GB"/>
        </w:rPr>
        <w:t xml:space="preserve"> </w:t>
      </w:r>
      <w:r w:rsidR="00B8738C" w:rsidRPr="00FF407A">
        <w:rPr>
          <w:szCs w:val="24"/>
        </w:rPr>
        <w:fldChar w:fldCharType="begin" w:fldLock="1"/>
      </w:r>
      <w:r w:rsidR="00462ED2">
        <w:rPr>
          <w:szCs w:val="24"/>
        </w:rPr>
        <w:instrText>ADDIN CSL_CITATION {"citationItems":[{"id":"ITEM-1","itemData":{"DOI":"10.1016/j.tifs.2019.06.010","ISSN":"09242244","abstract":"Background: Fresh fruit are important for a healthy diet, however, their shelf-life can be shortened because of ethylene, a key phytohormone associated with the ripening process. Therefore, detecting ethylene concentration on trace level and regulating its activity by safe and effective approaches are of paramount importance in extending postharvest shelf-life and controlling maturity of fruit. Scope and approach: In this review, ethylene detection technologies as well as ethylene regulating strategies are discussed, aiming to develop more innovative and effective approaches. Effects of ethylene on quality and shelf-life of fruit are presented. Ethylene detection and monitoring technologies available such as gas chromatography, electrochemical, optical, chemical methods, especially novel methods such as those based on colorimetric, luminescence, metal-organic frameworks, organic field effect transistors and surface enhanced Raman spectroscopy are described. In addition, shelf-life extending technologies for ethylene control, removal or inhibition such as suppressing ethylene synthesis, scavenging or oxidizing or adsorbing ethylene, and blocking ethylene receptor are summarized. Finally, future perspectives on developing strategies that can simultaneously satisfy the requirements of sensitivity, rapidness and on-line for wide utilization in ethylene monitoring of fresh products are also given. Key findings and conclusions: It is expected that miniature and sensitive ethylene detection techniques combined with feasible ethylene control methods should be an effective solution for fruit quality maintenance and shelf-life extension. However, each type of sensors and ethylene control strategies currently available has their own advantages and limitations. Therefore, attempts should be made to exploit more effective ethylene detection and controlling technologies.","author":[{"dropping-particle":"","family":"Hu","given":"Bingxue","non-dropping-particle":"","parse-names":false,"suffix":""},{"dropping-particle":"","family":"Sun","given":"Da-Wen","non-dropping-particle":"","parse-names":false,"suffix":""},{"dropping-particle":"","family":"Pu","given":"Hongbin","non-dropping-particle":"","parse-names":false,"suffix":""},{"dropping-particle":"","family":"Wei","given":"Qingyi","non-dropping-particle":"","parse-names":false,"suffix":""}],"container-title":"Trends in Food Science and Technology","id":"ITEM-1","issue":"December 2018","issued":{"date-parts":[["2019","9"]]},"page":"66-82","publisher":"Elsevier","title":"Recent advances in detecting and regulating ethylene concentrations for shelf-life extension and maturity control of fruit: A review","type":"article-journal","volume":"91"},"uris":["http://www.mendeley.com/documents/?uuid=9128a670-87db-467d-900a-28c2bce18c95"]}],"mendeley":{"formattedCitation":"(Hu et al., 2019)","plainTextFormattedCitation":"(Hu et al., 2019)","previouslyFormattedCitation":"(Hu et al., 2019)"},"properties":{"noteIndex":0},"schema":"https://github.com/citation-style-language/schema/raw/master/csl-citation.json"}</w:instrText>
      </w:r>
      <w:r w:rsidR="00B8738C" w:rsidRPr="00FF407A">
        <w:rPr>
          <w:szCs w:val="24"/>
        </w:rPr>
        <w:fldChar w:fldCharType="separate"/>
      </w:r>
      <w:r w:rsidR="00D33139" w:rsidRPr="00D33139">
        <w:rPr>
          <w:noProof/>
          <w:szCs w:val="24"/>
        </w:rPr>
        <w:t>(Hu et al., 2019)</w:t>
      </w:r>
      <w:r w:rsidR="00B8738C" w:rsidRPr="00FF407A">
        <w:rPr>
          <w:szCs w:val="24"/>
        </w:rPr>
        <w:fldChar w:fldCharType="end"/>
      </w:r>
      <w:r w:rsidRPr="002D3980">
        <w:rPr>
          <w:lang w:val="en-GB"/>
        </w:rPr>
        <w:t>. For that, it is necessary to modulate the ethylene concentration, and different techniques have been applied for the removal and oxidation of ethylene, such as adsorption</w:t>
      </w:r>
      <w:r w:rsidR="00E83E09">
        <w:rPr>
          <w:lang w:val="en-GB"/>
        </w:rPr>
        <w:t xml:space="preserve"> </w:t>
      </w:r>
      <w:r w:rsidR="00E83E09">
        <w:rPr>
          <w:szCs w:val="24"/>
        </w:rPr>
        <w:fldChar w:fldCharType="begin" w:fldLock="1"/>
      </w:r>
      <w:r w:rsidR="00462ED2">
        <w:rPr>
          <w:szCs w:val="24"/>
        </w:rPr>
        <w:instrText>ADDIN CSL_CITATION {"citationItems":[{"id":"ITEM-1","itemData":{"DOI":"10.1021/acs.jafc.7b05037","ISSN":"0021-8561","abstract":"Ethylene is a natural aging hormone in plants, and controlling its concentration has long been a subject of research aimed at reducing wastage during packaging, transport, and storage. We report on packaging membranes, produced by electrospinning, that act as efficient carriers for potassium permanganate (PPM), a widely used ethylene oxidant. PPM salt loaded on membranes composed of alumina nanofibers incorporating alumina nanoparticles outperform other absorber systems and oxidize up to 73% of ethylene within 25 min. Membrane absorption of ethylene generated by avocados was totally quenched in 21 h, and a nearly zero ethylene concentration was observed for more than 5 days. By comparison, the control experiments exhibited a concentration of 53% of the initial value after 21 h and 31% on day 5. A high surface area of the alumina nanofiber membranes provides high capacity for ethylene absorption over a long period of time. In combination with other properties, such as planar form, flexibility, ease of handling, and lightweight, these membranes are a highly desirable component of packaging materials engineered to enhance product lifetime.","author":[{"dropping-particle":"","family":"Tirgar","given":"Ashkan","non-dropping-particle":"","parse-names":false,"suffix":""},{"dropping-particle":"","family":"Han","given":"Daewoo","non-dropping-particle":"","parse-names":false,"suffix":""},{"dropping-particle":"","family":"Steckl","given":"Andrew J.","non-dropping-particle":"","parse-names":false,"suffix":""}],"container-title":"Journal of Agricultural and Food Chemistry","genre":"research-article","id":"ITEM-1","issued":{"date-parts":[["2018","6"]]},"page":"5635-5643","publisher":"American Chemical Society","title":"Absorption of Ethylene on Membranes Containing Potassium Permanganate Loaded into Alumina-Nanoparticle-Incorporated Alumina/Carbon Nanofibers","type":"article-journal","volume":"66"},"uris":["http://www.mendeley.com/documents/?uuid=d3817dbc-fb03-47e4-8106-2d55700c6a70"]}],"mendeley":{"formattedCitation":"(Tirgar et al., 2018)","plainTextFormattedCitation":"(Tirgar et al., 2018)","previouslyFormattedCitation":"(Tirgar et al., 2018)"},"properties":{"noteIndex":0},"schema":"https://github.com/citation-style-language/schema/raw/master/csl-citation.json"}</w:instrText>
      </w:r>
      <w:r w:rsidR="00E83E09">
        <w:rPr>
          <w:szCs w:val="24"/>
        </w:rPr>
        <w:fldChar w:fldCharType="separate"/>
      </w:r>
      <w:r w:rsidR="00D33139" w:rsidRPr="00D33139">
        <w:rPr>
          <w:noProof/>
          <w:szCs w:val="24"/>
          <w:lang w:val="fr-FR"/>
        </w:rPr>
        <w:t>(Tirgar et al., 2018)</w:t>
      </w:r>
      <w:r w:rsidR="00E83E09">
        <w:rPr>
          <w:szCs w:val="24"/>
        </w:rPr>
        <w:fldChar w:fldCharType="end"/>
      </w:r>
      <w:r w:rsidR="00E83E09" w:rsidRPr="000475E8">
        <w:rPr>
          <w:lang w:val="fr-FR"/>
        </w:rPr>
        <w:t xml:space="preserve">, </w:t>
      </w:r>
      <w:r w:rsidRPr="000475E8">
        <w:rPr>
          <w:lang w:val="fr-FR"/>
        </w:rPr>
        <w:t xml:space="preserve">chemical oxidation </w:t>
      </w:r>
      <w:r w:rsidR="008A20CE">
        <w:rPr>
          <w:szCs w:val="24"/>
        </w:rPr>
        <w:fldChar w:fldCharType="begin" w:fldLock="1"/>
      </w:r>
      <w:r w:rsidR="00462ED2">
        <w:rPr>
          <w:szCs w:val="24"/>
          <w:lang w:val="fr-FR"/>
        </w:rPr>
        <w:instrText>ADDIN CSL_CITATION {"citationItems":[{"id":"ITEM-1","itemData":{"DOI":"10.22146/ajche.50875","ISSN":"26555409","abstract":"Climacteric fruits naturally can be over-ripened because of ripening hormone composed of ethylene gas. Removal of ethylene gas by potassium permanganate (KMnO4) has successfully preserved the fruit, but there is still a room for improvement through nano-confinement process. This study was conducted to compare the ethylene oxidation rate and fruit preservation ability of KMnO4 and nano-KMnO4. Ethylene oxidation experiment was conducted in a gas-tight vial filled with ethylene gas (~20%v) and either KMnO4 or nano-KMnO4. Ethylene gas concentration inside the vial was periodically measured using gas chromatography (GC). The result revealed that ethylene oxidation rate by nano-KMnO4 is higher than KMnO4. The ethylene oxidation rate kinetic was modeled with a gas-solid reaction model, which is fundamentally more accurate than first-order reaction model. Fruit preservation experiment was conducted in sealed containers filled with banana (Musa acuminata) samples and either KMnO4 or nano- KMnO4, and stored at room temperature. The result revealed that banana preservation duration by nano-KMnO4 is remarkably longer than KMnO4, where unpreserved fruit was ripened after 7 days and fruit preserved by KMnO4 and nano-KMnO4 were ripened after 13 and 16 days respectively.","author":[{"dropping-particle":"","family":"Hernando","given":"Addo","non-dropping-particle":"","parse-names":false,"suffix":""},{"dropping-particle":"","family":"Ariyanto","given":"Teguh","non-dropping-particle":"","parse-names":false,"suffix":""},{"dropping-particle":"","family":"Prasetyo","given":"Imam","non-dropping-particle":"","parse-names":false,"suffix":""}],"container-title":"ASEAN Journal of Chemical Engineering","id":"ITEM-1","issue":"1","issued":{"date-parts":[["2019"]]},"page":"54-65","title":"Preserving Climacteric Fruits by Ripening Hormone Oxidation using nano-KMnO&lt;sub&gt;4&lt;/sub&gt; Confined within Nanoporous Carbon","type":"article-journal","volume":"19"},"uris":["http://www.mendeley.com/documents/?uuid=37303184-978c-4e69-8507-b345c7ec1aaa"]}],"mendeley":{"formattedCitation":"(Hernando et al., 2019)","plainTextFormattedCitation":"(Hernando et al., 2019)","previouslyFormattedCitation":"(Hernando et al., 2019)"},"properties":{"noteIndex":0},"schema":"https://github.com/citation-style-language/schema/raw/master/csl-citation.json"}</w:instrText>
      </w:r>
      <w:r w:rsidR="008A20CE">
        <w:rPr>
          <w:szCs w:val="24"/>
        </w:rPr>
        <w:fldChar w:fldCharType="separate"/>
      </w:r>
      <w:r w:rsidR="00D33139" w:rsidRPr="00D33139">
        <w:rPr>
          <w:noProof/>
          <w:szCs w:val="24"/>
          <w:lang w:val="fr-FR"/>
        </w:rPr>
        <w:t>(Hernando et al., 2019)</w:t>
      </w:r>
      <w:r w:rsidR="008A20CE">
        <w:rPr>
          <w:szCs w:val="24"/>
        </w:rPr>
        <w:fldChar w:fldCharType="end"/>
      </w:r>
      <w:r w:rsidRPr="000475E8">
        <w:rPr>
          <w:lang w:val="fr-FR"/>
        </w:rPr>
        <w:t xml:space="preserve">, reduction temperature and modified atmosphere </w:t>
      </w:r>
      <w:r w:rsidR="0007741C">
        <w:rPr>
          <w:szCs w:val="24"/>
        </w:rPr>
        <w:fldChar w:fldCharType="begin" w:fldLock="1"/>
      </w:r>
      <w:r w:rsidR="00D33139">
        <w:rPr>
          <w:szCs w:val="24"/>
          <w:lang w:val="fr-FR"/>
        </w:rPr>
        <w:instrText>ADDIN CSL_CITATION {"citationItems":[{"id":"ITEM-1","itemData":{"DOI":"10.1080/15538362.2019.1653245","ISSN":"1553-8362","abstract":"Investigation of modified atmosphere packaging (MAP) on changes of fruit quality during cold storage and shelf life extension in mango was conducted with MAP using white ethylene absorbing bag (WEB) and green absorbing bag during storage at 15°C for 30 days. The results found that the mangoes kept in WEB maintained their texture and appearance better than those in package without a plastic bag. Mangoes stored in WEB were more firm than those stored in air (normal atmosphere) during 30 days of storage and could delay the ripening and maintained the quality of the fruits, while the fruit packed without plastic bags extended the shelf life for 24 days. The MAP retarded the ripening process and delayed color development of the mango fruit compared to the mangoes without packing during the cold storage. In particular, WEB effectively reduced respiration rate and weight loss of the fruits stored at 15°C for 30 days. This MAP maintained a higher titratable acidity and firmness of peel and pulp in the mango fruits, while the activities of polygalacturonases in the pulp were reduced. Comprehensive quality analysis indicated that this MAP was the most effective method for improving the quality of mango fruits and extension of shelf life under the cold storage.","author":[{"dropping-particle":"","family":"Phakdee","given":"Nutchanat","non-dropping-particle":"","parse-names":false,"suffix":""},{"dropping-particle":"","family":"Chaiprasart","given":"Peerasak","non-dropping-particle":"","parse-names":false,"suffix":""}],"container-title":"International Journal of Fruit Science","id":"ITEM-1","issue":"3","issued":{"date-parts":[["2020","7","2"]]},"page":"495-505","publisher":"Taylor &amp; Francis","title":"Modified Atmosphere Storage Extends the Shelf Life of ‘Nam Dok Mai Sri Tong’ Mango Fruit","type":"article-journal","volume":"20"},"uris":["http://www.mendeley.com/documents/?uuid=91fcab59-6176-4756-9864-dda884366d1f"]}],"mendeley":{"formattedCitation":"(Phakdee and Chaiprasart, 2020)","plainTextFormattedCitation":"(Phakdee and Chaiprasart, 2020)","previouslyFormattedCitation":"(Phakdee and Chaiprasart, 2020)"},"properties":{"noteIndex":0},"schema":"https://github.com/citation-style-language/schema/raw/master/csl-citation.json"}</w:instrText>
      </w:r>
      <w:r w:rsidR="0007741C">
        <w:rPr>
          <w:szCs w:val="24"/>
        </w:rPr>
        <w:fldChar w:fldCharType="separate"/>
      </w:r>
      <w:r w:rsidR="00D33139" w:rsidRPr="00D33139">
        <w:rPr>
          <w:noProof/>
          <w:szCs w:val="24"/>
        </w:rPr>
        <w:t>(Phakdee and Chaiprasart, 2020)</w:t>
      </w:r>
      <w:r w:rsidR="0007741C">
        <w:rPr>
          <w:szCs w:val="24"/>
        </w:rPr>
        <w:fldChar w:fldCharType="end"/>
      </w:r>
      <w:r w:rsidR="0007741C">
        <w:t xml:space="preserve">. </w:t>
      </w:r>
      <w:r w:rsidRPr="002D3980">
        <w:rPr>
          <w:lang w:val="en-GB"/>
        </w:rPr>
        <w:t xml:space="preserve">Besides that, photocatalytic ethylene degradation </w:t>
      </w:r>
      <w:r w:rsidR="002C1DB0">
        <w:rPr>
          <w:lang w:val="en-GB"/>
        </w:rPr>
        <w:t xml:space="preserve">can </w:t>
      </w:r>
      <w:r w:rsidRPr="002D3980">
        <w:rPr>
          <w:lang w:val="en-GB"/>
        </w:rPr>
        <w:t>increase the shelf life of climacteric fruits</w:t>
      </w:r>
      <w:r w:rsidR="002B160C">
        <w:rPr>
          <w:lang w:val="en-GB"/>
        </w:rPr>
        <w:t xml:space="preserve"> </w:t>
      </w:r>
      <w:r w:rsidR="002B160C">
        <w:rPr>
          <w:szCs w:val="24"/>
        </w:rPr>
        <w:fldChar w:fldCharType="begin" w:fldLock="1"/>
      </w:r>
      <w:r w:rsidR="00462ED2">
        <w:rPr>
          <w:szCs w:val="24"/>
        </w:rPr>
        <w:instrText>ADDIN CSL_CITATION {"citationItems":[{"id":"ITEM-1","itemData":{"DOI":"10.1016/j.postharvbio.2021.111602","ISSN":"09255214","abstract":"The efficacy of polyethylene foam nets coated with gelatin-TiO2 photocatalytic nanocomposite to postpone the climacteric fruit ripening was evaluated. The gelatin-TiO2 nanocomposite was deposited on the foam nets by dip-coating and used to degrade ethylene produced by papayas. Fruit treated with TiO2 photocatalysis showed an ethylene accumulation 60 % less than the control experiment fruit after four days under UV-A light. The photocatalytic degradation of ethylene produced by papayas over four days caused an effective delay of their ripening. It was characterized by the respiration rate reduction during the climacteric peak, absence of scalds and superficial fungi growth and more remarkable preservation of green color and firmness than control samples. The results showed that nanocomposite foam nets degraded ethylene under UV-A light and postponed the fruit ripeness and quality changes.","author":[{"dropping-particle":"","family":"Fonseca","given":"Jéssica de Matos","non-dropping-particle":"","parse-names":false,"suffix":""},{"dropping-particle":"","family":"Pabón","given":"Nelson Yurako Londoño","non-dropping-particle":"","parse-names":false,"suffix":""},{"dropping-particle":"","family":"Nandi","given":"Leandro Guarezi","non-dropping-particle":"","parse-names":false,"suffix":""},{"dropping-particle":"","family":"Valencia","given":"Germán Ayala","non-dropping-particle":"","parse-names":false,"suffix":""},{"dropping-particle":"","family":"Moreira","given":"Regina de Fátima Peralta Muniz","non-dropping-particle":"","parse-names":false,"suffix":""},{"dropping-particle":"","family":"Monteiro","given":"Alcilene Rodrigues","non-dropping-particle":"","parse-names":false,"suffix":""}],"container-title":"Postharvest Biology and Technology","id":"ITEM-1","issued":{"date-parts":[["2021"]]},"page":"111602","title":"Gelatin-TiO&lt;sub&gt;2&lt;/sub&gt;-coated expanded polyethylene foam nets as ethylene scavengers for fruit postharvest application","type":"article-journal","volume":"180"},"uris":["http://www.mendeley.com/documents/?uuid=e990ed32-3096-4767-b6dd-39935a2abd46"]}],"mendeley":{"formattedCitation":"(Fonseca et al., 2021)","plainTextFormattedCitation":"(Fonseca et al., 2021)","previouslyFormattedCitation":"(Fonseca et al., 2021)"},"properties":{"noteIndex":0},"schema":"https://github.com/citation-style-language/schema/raw/master/csl-citation.json"}</w:instrText>
      </w:r>
      <w:r w:rsidR="002B160C">
        <w:rPr>
          <w:szCs w:val="24"/>
        </w:rPr>
        <w:fldChar w:fldCharType="separate"/>
      </w:r>
      <w:r w:rsidR="00D33139" w:rsidRPr="00D33139">
        <w:rPr>
          <w:noProof/>
          <w:szCs w:val="24"/>
        </w:rPr>
        <w:t>(Fonseca et al., 2021)</w:t>
      </w:r>
      <w:r w:rsidR="002B160C">
        <w:rPr>
          <w:szCs w:val="24"/>
        </w:rPr>
        <w:fldChar w:fldCharType="end"/>
      </w:r>
      <w:r w:rsidRPr="002D3980">
        <w:rPr>
          <w:lang w:val="en-GB"/>
        </w:rPr>
        <w:t xml:space="preserve">. </w:t>
      </w:r>
    </w:p>
    <w:p w14:paraId="5AA94041" w14:textId="0FCC9B0D" w:rsidR="00646080" w:rsidRDefault="002D3980" w:rsidP="002D3980">
      <w:pPr>
        <w:pStyle w:val="CETBodytext"/>
        <w:rPr>
          <w:lang w:val="en-GB"/>
        </w:rPr>
      </w:pPr>
      <w:r w:rsidRPr="002D3980">
        <w:rPr>
          <w:lang w:val="en-GB"/>
        </w:rPr>
        <w:t>Titanium dioxide is the most used photocatalyst due to its advantages: physical and chemical stability, photostability, low toxicity, optical activity, and cost-effectiveness</w:t>
      </w:r>
      <w:r w:rsidR="009059AC">
        <w:rPr>
          <w:lang w:val="en-GB"/>
        </w:rPr>
        <w:t xml:space="preserve"> </w:t>
      </w:r>
      <w:r w:rsidR="009059AC" w:rsidRPr="00B43AC3">
        <w:fldChar w:fldCharType="begin" w:fldLock="1"/>
      </w:r>
      <w:r w:rsidR="00462ED2">
        <w:instrText>ADDIN CSL_CITATION {"citationItems":[{"id":"ITEM-1","itemData":{"DOI":"10.1016/j.jphotochemrev.2015.08.003","ISSN":"13895567","abstract":"The remarkable achievement by Fujishima and Honda (1972) in the photo-electrochemical water splitting results in the extensive use of TiO2 nanomaterials for environmental purification and energy storage/conversion applications. Though there are many advantages for the TiO2 compared to other semiconductor photocatalysts, its band gap of 3.2eV restrains application to the UV-region of the electromagnetic spectrum (λ≤387.5nm). As a result, development of visible-light active titanium dioxide is one of the key challenges in the field of semiconductor photocatalysis. In this review, advances in the strategies for the visible light activation, origin of visible-light activity, and electronic structure of various visible-light active TiO2 photocatalysts are discussed in detail. It has also been shown that if appropriate models are used, the theoretical insights can successfully be employed to develop novel catalysts to enhance the photocatalytic performance in the visible region. Recent developments in theory and experiments in visible-light induced water splitting, degradation of environmental pollutants, water and air purification and antibacterial applications are also reviewed. Various strategies to identify appropriate dopants for improved visible-light absorption and electron-hole separation to enhance the photocatalytic activity are discussed in detail, and a number of recommendations are also presented.","author":[{"dropping-particle":"","family":"Etacheri","given":"Vinodkumar","non-dropping-particle":"","parse-names":false,"suffix":""},{"dropping-particle":"","family":"Valentin","given":"Cristiana","non-dropping-particle":"Di","parse-names":false,"suffix":""},{"dropping-particle":"","family":"Schneider","given":"Jenny","non-dropping-particle":"","parse-names":false,"suffix":""},{"dropping-particle":"","family":"Bahnemann","given":"Detlef","non-dropping-particle":"","parse-names":false,"suffix":""},{"dropping-particle":"","family":"Pillai","given":"Suresh C.","non-dropping-particle":"","parse-names":false,"suffix":""}],"container-title":"Journal of Photochemistry and Photobiology C: Photochemistry Reviews","id":"ITEM-1","issued":{"date-parts":[["2015"]]},"page":"1-29","publisher":"Elsevier Ireland Ltd","title":"Visible-light activation of TiO2 photocatalysts: Advances in theory and experiments","type":"article-journal","volume":"25"},"uris":["http://www.mendeley.com/documents/?uuid=354717a4-6122-4938-8f4c-116668eabaff"]},{"id":"ITEM-2","itemData":{"DOI":"10.1016/j.jphotochemrev.2015.07.001","ISSN":"13895567","abstract":"TiO2-based photocatalysis has become a viable technology in various application fields such as (waste)water purification, photovoltaics/artificial photosynthesis, environmentally friendly organic synthesis and remediation of air pollution. Because of the increasing impact of bad air quality worldwide, this review focuses on the use and optimization of TiO2-based photocatalysts for gas phase applications. Over the past years various specific aspects of TiO2 photocatalysis have been reviewed individually. The intent of this review is to offer a broad tutorial on (recent) trends in TiO2 photocatalyst modification for the intensification of photocatalytic air treatment. After briefly introducing the fundamentals of photocatalysis, TiO2 photocatalyst modification is discussed both on a morphological and an electronic level from the perspective of gas phase applications. The main focus is laid on recent developments, but also possible opportunities to the field. This review is intended as a solid introduction for researchers new to the field, as well as a summarizing update for established investigators.","author":[{"dropping-particle":"","family":"Verbruggen","given":"Sammy W.","non-dropping-particle":"","parse-names":false,"suffix":""}],"container-title":"Journal of Photochemistry and Photobiology C: Photochemistry Reviews","id":"ITEM-2","issue":"2015","issued":{"date-parts":[["2015"]]},"page":"64-82","publisher":"Elsevier Ireland Ltd.","title":"TiO&lt;sub&gt;2&lt;/sub&gt; photocatalysis for the degradation of pollutants in gas phase: From morphological design to plasmonic enhancement","type":"article-journal","volume":"24"},"uris":["http://www.mendeley.com/documents/?uuid=1681c7bf-27e3-493e-957e-1bf41e647891"]}],"mendeley":{"formattedCitation":"(Etacheri et al., 2015; Verbruggen, 2015)","plainTextFormattedCitation":"(Etacheri et al., 2015; Verbruggen, 2015)","previouslyFormattedCitation":"(Etacheri et al., 2015; Verbruggen, 2015)"},"properties":{"noteIndex":0},"schema":"https://github.com/citation-style-language/schema/raw/master/csl-citation.json"}</w:instrText>
      </w:r>
      <w:r w:rsidR="009059AC" w:rsidRPr="00B43AC3">
        <w:fldChar w:fldCharType="separate"/>
      </w:r>
      <w:r w:rsidR="00D33139" w:rsidRPr="00D33139">
        <w:rPr>
          <w:noProof/>
        </w:rPr>
        <w:t>(Etacheri et al., 2015; Verbruggen, 2015)</w:t>
      </w:r>
      <w:r w:rsidR="009059AC" w:rsidRPr="00B43AC3">
        <w:fldChar w:fldCharType="end"/>
      </w:r>
      <w:r w:rsidRPr="002D3980">
        <w:rPr>
          <w:lang w:val="en-GB"/>
        </w:rPr>
        <w:t>. The TiO</w:t>
      </w:r>
      <w:r w:rsidRPr="00C43B8D">
        <w:rPr>
          <w:vertAlign w:val="subscript"/>
          <w:lang w:val="en-GB"/>
        </w:rPr>
        <w:t>2</w:t>
      </w:r>
      <w:r w:rsidRPr="002D3980">
        <w:rPr>
          <w:lang w:val="en-GB"/>
        </w:rPr>
        <w:t xml:space="preserve"> for ethylene degradation is well known, and its degradation mechanisms are proposed by Hauchecorne et al.</w:t>
      </w:r>
      <w:r w:rsidR="00477718" w:rsidRPr="00477718">
        <w:t xml:space="preserve"> </w:t>
      </w:r>
      <w:r w:rsidR="00477718" w:rsidRPr="00B43AC3">
        <w:fldChar w:fldCharType="begin" w:fldLock="1"/>
      </w:r>
      <w:r w:rsidR="00A45AAC">
        <w:instrText>ADDIN CSL_CITATION {"citationItems":[{"id":"ITEM-1","itemData":{"DOI":"10.1016/j.apcatb.2011.03.041","ISSN":"09263373","abstract":"In this paper, the reaction mechanism of the photocatalytic oxidation of ethylene is elucidated by means of an in-house developed FTIR in situ reactor. This reactor allowed us to look at the catalytic surface at the moment the reactions actually occur. This new approach gave some exciting new insights in how ethylene is photocatalytically oxidised. It was found that there is a change in dipole moment of the ethylene molecule when it is brought in the neighbourhood of the catalyst. From this finding, a hypothesis was formulated on how the CC-bond from ethylene will break. It was found that the aforementioned interaction between the catalyst and the molecule, allows the excited electrons from the UV irradiated catalyst to occupy the lowest unoccupied molecular orbital (LUMO) of the ethylene molecule through a process known as backdonation. Following this hypothesis, it was found that the degradation occurs through the formation of two intermediates: formaldehyde and formic acid, for which formaldehyde is bound in two different ways (coordinatively and as bidentate). Finally CO2 and H2O are found as end products, resulting in the complete mineralisation of the pollutant. © 2011 Elsevier B.V.","author":[{"dropping-particle":"","family":"Hauchecorne","given":"Birger","non-dropping-particle":"","parse-names":false,"suffix":""},{"dropping-particle":"","family":"Tytgat","given":"Tom","non-dropping-particle":"","parse-names":false,"suffix":""},{"dropping-particle":"","family":"Verbruggen","given":"Sammy W.","non-dropping-particle":"","parse-names":false,"suffix":""},{"dropping-particle":"","family":"Hauchecorne","given":"Dieter","non-dropping-particle":"","parse-names":false,"suffix":""},{"dropping-particle":"","family":"Terrens","given":"Dieter","non-dropping-particle":"","parse-names":false,"suffix":""},{"dropping-particle":"","family":"Smits","given":"Marianne","non-dropping-particle":"","parse-names":false,"suffix":""},{"dropping-particle":"","family":"Vinken","given":"Katrien","non-dropping-particle":"","parse-names":false,"suffix":""},{"dropping-particle":"","family":"Lenaerts","given":"Silvia","non-dropping-particle":"","parse-names":false,"suffix":""}],"container-title":"Applied Catalysis B: Environmental","id":"ITEM-1","issued":{"date-parts":[["2011","6"]]},"page":"111-116","publisher":"Elsevier B.V.","title":"Photocatalytic degradation of ethylene: An FTIR in situ study under atmospheric conditions","type":"article-journal","volume":"105"},"suppress-author":1,"uris":["http://www.mendeley.com/documents/?uuid=c878d4db-069c-44d1-8ed2-81db553b7e49"]}],"mendeley":{"formattedCitation":"(2011)","plainTextFormattedCitation":"(2011)","previouslyFormattedCitation":"(2011)"},"properties":{"noteIndex":0},"schema":"https://github.com/citation-style-language/schema/raw/master/csl-citation.json"}</w:instrText>
      </w:r>
      <w:r w:rsidR="00477718" w:rsidRPr="00B43AC3">
        <w:fldChar w:fldCharType="separate"/>
      </w:r>
      <w:r w:rsidR="00367E9C" w:rsidRPr="00367E9C">
        <w:rPr>
          <w:noProof/>
        </w:rPr>
        <w:t>(2011)</w:t>
      </w:r>
      <w:r w:rsidR="00477718" w:rsidRPr="00B43AC3">
        <w:fldChar w:fldCharType="end"/>
      </w:r>
      <w:r w:rsidRPr="002D3980">
        <w:rPr>
          <w:lang w:val="en-GB"/>
        </w:rPr>
        <w:t xml:space="preserve">. However, the absorption range limits the application </w:t>
      </w:r>
      <w:r w:rsidR="00F26F89">
        <w:rPr>
          <w:lang w:val="en-GB"/>
        </w:rPr>
        <w:t>with the use of</w:t>
      </w:r>
      <w:r w:rsidRPr="002D3980">
        <w:rPr>
          <w:lang w:val="en-GB"/>
        </w:rPr>
        <w:t xml:space="preserve"> UV light due to its band gap energy (~ 3.2 eV)</w:t>
      </w:r>
      <w:r w:rsidR="00117862">
        <w:rPr>
          <w:lang w:val="en-GB"/>
        </w:rPr>
        <w:t xml:space="preserve"> </w:t>
      </w:r>
      <w:r w:rsidR="00117862">
        <w:rPr>
          <w:lang w:val="en-GB"/>
        </w:rPr>
        <w:fldChar w:fldCharType="begin" w:fldLock="1"/>
      </w:r>
      <w:r w:rsidR="00462ED2">
        <w:rPr>
          <w:lang w:val="en-GB"/>
        </w:rPr>
        <w:instrText>ADDIN CSL_CITATION {"citationItems":[{"id":"ITEM-1","itemData":{"DOI":"10.1016/j.apcata.2015.10.045","ISSN":"0926860X","abstract":"Metal ion-modified TiO2 photocatalysts designated by combinations of various metal ions and TiO2 powders that respond to visible light and exhibit controllable photocatalytic oxidative performances were examined. The photocatalytic oxidative performances were evaluated by selective oxidation of benzyl alcohol in water in the presence of O2 under irradiation of visible light. The TiO2 samples modified with Ru3+, Pd2+ and Rh3+ (Ru3+/TiO2, Pd2+/TiO2 and Rh3+/TiO2) exhibited high levels of photocatalytic activity. The effects of metal ions and the kind of TiO2 on photocatalytic performances of Rh3+/TiO2 and Ru3+/TiO2 were investigated in detail.","author":[{"dropping-particle":"","family":"Kitano","given":"Sho","non-dropping-particle":"","parse-names":false,"suffix":""},{"dropping-particle":"","family":"Tanaka","given":"Atsuhiro","non-dropping-particle":"","parse-names":false,"suffix":""},{"dropping-particle":"","family":"Hashimoto","given":"Keiji","non-dropping-particle":"","parse-names":false,"suffix":""},{"dropping-particle":"","family":"Kominami","given":"Hiroshi","non-dropping-particle":"","parse-names":false,"suffix":""}],"container-title":"Applied Catalysis A: General","id":"ITEM-1","issued":{"date-parts":[["2016"]]},"page":"202-207","publisher":"Elsevier B.V.","title":"Metal ion-modified TiO&lt;sub&gt;2&lt;/sub&gt; photocatalysts having controllable oxidative performance under irradiation of visible light","type":"article-journal","volume":"521"},"uris":["http://www.mendeley.com/documents/?uuid=d9d5867a-9a8f-4208-b1d3-0f217aec2cb6"]}],"mendeley":{"formattedCitation":"(Kitano et al., 2016)","plainTextFormattedCitation":"(Kitano et al., 2016)","previouslyFormattedCitation":"(Kitano et al., 2016)"},"properties":{"noteIndex":0},"schema":"https://github.com/citation-style-language/schema/raw/master/csl-citation.json"}</w:instrText>
      </w:r>
      <w:r w:rsidR="00117862">
        <w:rPr>
          <w:lang w:val="en-GB"/>
        </w:rPr>
        <w:fldChar w:fldCharType="separate"/>
      </w:r>
      <w:r w:rsidR="00D33139" w:rsidRPr="00D33139">
        <w:rPr>
          <w:noProof/>
          <w:lang w:val="en-GB"/>
        </w:rPr>
        <w:t>(Kitano et al., 2016)</w:t>
      </w:r>
      <w:r w:rsidR="00117862">
        <w:rPr>
          <w:lang w:val="en-GB"/>
        </w:rPr>
        <w:fldChar w:fldCharType="end"/>
      </w:r>
      <w:r w:rsidRPr="002D3980">
        <w:rPr>
          <w:lang w:val="en-GB"/>
        </w:rPr>
        <w:t>. Nevertheless, titanium dioxide modification by metal or non-metallic doping, for example, can produce visible-light responsive photocatalysts</w:t>
      </w:r>
      <w:r w:rsidR="00801C6E">
        <w:rPr>
          <w:lang w:val="en-GB"/>
        </w:rPr>
        <w:t xml:space="preserve"> </w:t>
      </w:r>
      <w:r w:rsidR="00801C6E">
        <w:rPr>
          <w:lang w:val="en-GB"/>
        </w:rPr>
        <w:fldChar w:fldCharType="begin" w:fldLock="1"/>
      </w:r>
      <w:r w:rsidR="00462ED2">
        <w:rPr>
          <w:lang w:val="en-GB"/>
        </w:rPr>
        <w:instrText>ADDIN CSL_CITATION {"citationItems":[{"id":"ITEM-1","itemData":{"DOI":"10.1016/j.inoche.2022.109905","ISSN":"13877003","abstract":"Nickel-doped titanium dioxide nanoparticles (NDT) deposited on pine cone activated carbon (PAC) have been successfully synthesized by a hydrothermal method. The as synthesized nanocomposite was characterized by X-ray diffraction pattern (XRD), Scanning electron microscopy (SEM), Energy-dispersive X-ray spectroscopy (EDX), X-ray photoelectron (XPS), Fourier transform infrared (FT-IR), UV–visible diffuse reflectance spectra (UV–vis DRS), Photoluminescence (PL), BET surface area, and pHzpc. The characterization results of the prepared nanocomposite revealed that Ni-TiO2 was loaded on the surface of PAC, and had a higher surface area and narrower bandgap than TiO2 nanoparticles. The visible-light photocatalytic activity of the Ni-TiO2@C nanocomposite towards anthracene degradation was found to be 99.9% in 50 mins leading to end products of (1E, 3Z)-hexa-1,3,5-trien-1-ol (1a; m/z = 96), and (1E, 3E)-penta-1,3-dien-1-ol. The synthesized Ni-TiO2@C nanocomposite exhibited a better photocatalytic activity towards the photocatalytic degradation of anthracene as compared to the TiO2 nanomaterial (22.5%) and TiO2/activated carbon nanocomposite (31%) under similar conditions. The photodegradation of anthracene followed the pseudo first-order rate kinetics. The Ni-TiO2@C nanocomposite had excellent regeneration properties till the fifth cycle of use during which it degraded around 73% anthracene.","author":[{"dropping-particle":"","family":"Baruah","given":"Mridushmita","non-dropping-particle":"","parse-names":false,"suffix":""},{"dropping-particle":"","family":"Ezung","given":"Soremo L.","non-dropping-particle":"","parse-names":false,"suffix":""},{"dropping-particle":"","family":"Sharma","given":"Shisak","non-dropping-particle":"","parse-names":false,"suffix":""},{"dropping-particle":"","family":"Sinha","given":"Upasana Bora","non-dropping-particle":"","parse-names":false,"suffix":""},{"dropping-particle":"","family":"Sinha","given":"Dipak","non-dropping-particle":"","parse-names":false,"suffix":""}],"container-title":"Inorganic Chemistry Communications","id":"ITEM-1","issued":{"date-parts":[["2022"]]},"page":"109905","publisher":"Elsevier B.V.","title":"Synthesis and characterization of Ni-doped TiO2 activated carbon nanocomposite for the photocatalytic degradation of anthracene","type":"article-journal","volume":"144"},"uris":["http://www.mendeley.com/documents/?uuid=acf48117-7e33-4c8e-8957-6c40871c7192"]}],"mendeley":{"formattedCitation":"(Baruah et al., 2022)","plainTextFormattedCitation":"(Baruah et al., 2022)","previouslyFormattedCitation":"(Baruah et al., 2022)"},"properties":{"noteIndex":0},"schema":"https://github.com/citation-style-language/schema/raw/master/csl-citation.json"}</w:instrText>
      </w:r>
      <w:r w:rsidR="00801C6E">
        <w:rPr>
          <w:lang w:val="en-GB"/>
        </w:rPr>
        <w:fldChar w:fldCharType="separate"/>
      </w:r>
      <w:r w:rsidR="00D33139" w:rsidRPr="00D33139">
        <w:rPr>
          <w:noProof/>
          <w:lang w:val="en-GB"/>
        </w:rPr>
        <w:t>(Baruah et al., 2022)</w:t>
      </w:r>
      <w:r w:rsidR="00801C6E">
        <w:rPr>
          <w:lang w:val="en-GB"/>
        </w:rPr>
        <w:fldChar w:fldCharType="end"/>
      </w:r>
      <w:r w:rsidR="00801C6E">
        <w:rPr>
          <w:lang w:val="en-GB"/>
        </w:rPr>
        <w:t xml:space="preserve">. </w:t>
      </w:r>
    </w:p>
    <w:p w14:paraId="3FD39FE5" w14:textId="71A050BD" w:rsidR="00646080" w:rsidRDefault="00646080" w:rsidP="00646080">
      <w:pPr>
        <w:pStyle w:val="CETBodytext"/>
        <w:rPr>
          <w:lang w:val="en-GB"/>
        </w:rPr>
      </w:pPr>
      <w:r w:rsidRPr="00646080">
        <w:rPr>
          <w:lang w:val="en-GB"/>
        </w:rPr>
        <w:t>The semiconductor carbon nitride (C</w:t>
      </w:r>
      <w:r w:rsidRPr="00646080">
        <w:rPr>
          <w:vertAlign w:val="subscript"/>
          <w:lang w:val="en-GB"/>
        </w:rPr>
        <w:t>3</w:t>
      </w:r>
      <w:r w:rsidRPr="00646080">
        <w:rPr>
          <w:lang w:val="en-GB"/>
        </w:rPr>
        <w:t>N</w:t>
      </w:r>
      <w:r w:rsidRPr="00646080">
        <w:rPr>
          <w:vertAlign w:val="subscript"/>
          <w:lang w:val="en-GB"/>
        </w:rPr>
        <w:t>4</w:t>
      </w:r>
      <w:r w:rsidRPr="00646080">
        <w:rPr>
          <w:lang w:val="en-GB"/>
        </w:rPr>
        <w:t xml:space="preserve">) has gained prominence in several reports as a photocatalyst due to the light absorption in the visible range, with about 2.7 eV as optical band gap energy. Moreover, carbon nitride has chemical and thermal stability, low cost, good electrical properties, and can quickly be produced from urea, melamine, or other </w:t>
      </w:r>
      <w:r w:rsidR="00EC3E4C">
        <w:rPr>
          <w:lang w:val="en-GB"/>
        </w:rPr>
        <w:t xml:space="preserve">organic </w:t>
      </w:r>
      <w:r w:rsidRPr="00646080">
        <w:rPr>
          <w:lang w:val="en-GB"/>
        </w:rPr>
        <w:t>nitrogen</w:t>
      </w:r>
      <w:r w:rsidR="00EC3E4C">
        <w:rPr>
          <w:lang w:val="en-GB"/>
        </w:rPr>
        <w:t xml:space="preserve"> sources</w:t>
      </w:r>
      <w:r w:rsidRPr="00646080">
        <w:rPr>
          <w:lang w:val="en-GB"/>
        </w:rPr>
        <w:t xml:space="preserve"> </w:t>
      </w:r>
      <w:r w:rsidR="00810AFA">
        <w:rPr>
          <w:lang w:val="en-GB"/>
        </w:rPr>
        <w:fldChar w:fldCharType="begin" w:fldLock="1"/>
      </w:r>
      <w:r w:rsidR="00462ED2">
        <w:rPr>
          <w:lang w:val="en-GB"/>
        </w:rPr>
        <w:instrText>ADDIN CSL_CITATION {"citationItems":[{"id":"ITEM-1","itemData":{"DOI":"10.1016/j.jtice.2020.02.012","ISSN":"18761070","abstract":"Graphitic carbon nitride (g-C3N4) is an excellent polymer photocatalyst to revolutionize the semiconductor field and deprive solar photons from their energies for conversion into chemical energy resulting in degradation of a number of hazardous organic pollutants into harmless compounds. g-C3N4 has fortified its applications in the field of photocatalysis due to its unique nature including high chemical stability, non-toxic and suitable position of energy band. However, its relatively low visible light absorption, quick recombination of excited charges and low surface area have over shaded its full-fledged efficiency in the above mentioned fields. In this review, we have highlighted its advantages and applications in the field of photocatalysis and provided an updated discussion on the different ways to improve its efficiency, especially its visible light absorption and excited charge separation.","author":[{"dropping-particle":"","family":"Qi","given":"Kezhen","non-dropping-particle":"","parse-names":false,"suffix":""},{"dropping-particle":"","family":"Liu","given":"Shu-yuan","non-dropping-particle":"","parse-names":false,"suffix":""},{"dropping-particle":"","family":"Zada","given":"Amir","non-dropping-particle":"","parse-names":false,"suffix":""}],"container-title":"Journal of the Taiwan Institute of Chemical Engineers","id":"ITEM-1","issue":"April","issued":{"date-parts":[["2020"]]},"page":"111-123","publisher":"Elsevier B.V.","title":"Graphitic carbon nitride, a polymer photocatalyst","type":"article-journal","volume":"109"},"uris":["http://www.mendeley.com/documents/?uuid=110bc440-fb8a-4d66-a55c-1c6e6cfc22c4"]}],"mendeley":{"formattedCitation":"(Qi et al., 2020)","plainTextFormattedCitation":"(Qi et al., 2020)","previouslyFormattedCitation":"(Qi et al., 2020)"},"properties":{"noteIndex":0},"schema":"https://github.com/citation-style-language/schema/raw/master/csl-citation.json"}</w:instrText>
      </w:r>
      <w:r w:rsidR="00810AFA">
        <w:rPr>
          <w:lang w:val="en-GB"/>
        </w:rPr>
        <w:fldChar w:fldCharType="separate"/>
      </w:r>
      <w:r w:rsidR="00D33139" w:rsidRPr="00D33139">
        <w:rPr>
          <w:noProof/>
          <w:lang w:val="en-GB"/>
        </w:rPr>
        <w:t>(Qi et al., 2020)</w:t>
      </w:r>
      <w:r w:rsidR="00810AFA">
        <w:rPr>
          <w:lang w:val="en-GB"/>
        </w:rPr>
        <w:fldChar w:fldCharType="end"/>
      </w:r>
      <w:r w:rsidRPr="00646080">
        <w:rPr>
          <w:lang w:val="en-GB"/>
        </w:rPr>
        <w:t xml:space="preserve">. However, the electron-hole recombination rate is high when used pure, so the photocatalytic activity is relatively low </w:t>
      </w:r>
      <w:r w:rsidR="00810AFA">
        <w:rPr>
          <w:lang w:val="en-GB"/>
        </w:rPr>
        <w:fldChar w:fldCharType="begin" w:fldLock="1"/>
      </w:r>
      <w:r w:rsidR="00462ED2">
        <w:rPr>
          <w:lang w:val="en-GB"/>
        </w:rPr>
        <w:instrText>ADDIN CSL_CITATION {"citationItems":[{"id":"ITEM-1","itemData":{"DOI":"10.1016/j.jtice.2020.02.012","ISSN":"18761070","abstract":"Graphitic carbon nitride (g-C3N4) is an excellent polymer photocatalyst to revolutionize the semiconductor field and deprive solar photons from their energies for conversion into chemical energy resulting in degradation of a number of hazardous organic pollutants into harmless compounds. g-C3N4 has fortified its applications in the field of photocatalysis due to its unique nature including high chemical stability, non-toxic and suitable position of energy band. However, its relatively low visible light absorption, quick recombination of excited charges and low surface area have over shaded its full-fledged efficiency in the above mentioned fields. In this review, we have highlighted its advantages and applications in the field of photocatalysis and provided an updated discussion on the different ways to improve its efficiency, especially its visible light absorption and excited charge separation.","author":[{"dropping-particle":"","family":"Qi","given":"Kezhen","non-dropping-particle":"","parse-names":false,"suffix":""},{"dropping-particle":"","family":"Liu","given":"Shu-yuan","non-dropping-particle":"","parse-names":false,"suffix":""},{"dropping-particle":"","family":"Zada","given":"Amir","non-dropping-particle":"","parse-names":false,"suffix":""}],"container-title":"Journal of the Taiwan Institute of Chemical Engineers","id":"ITEM-1","issue":"April","issued":{"date-parts":[["2020"]]},"page":"111-123","publisher":"Elsevier B.V.","title":"Graphitic carbon nitride, a polymer photocatalyst","type":"article-journal","volume":"109"},"uris":["http://www.mendeley.com/documents/?uuid=110bc440-fb8a-4d66-a55c-1c6e6cfc22c4"]}],"mendeley":{"formattedCitation":"(Qi et al., 2020)","plainTextFormattedCitation":"(Qi et al., 2020)","previouslyFormattedCitation":"(Qi et al., 2020)"},"properties":{"noteIndex":0},"schema":"https://github.com/citation-style-language/schema/raw/master/csl-citation.json"}</w:instrText>
      </w:r>
      <w:r w:rsidR="00810AFA">
        <w:rPr>
          <w:lang w:val="en-GB"/>
        </w:rPr>
        <w:fldChar w:fldCharType="separate"/>
      </w:r>
      <w:r w:rsidR="00D33139" w:rsidRPr="00D33139">
        <w:rPr>
          <w:noProof/>
          <w:lang w:val="en-GB"/>
        </w:rPr>
        <w:t>(Qi et al., 2020)</w:t>
      </w:r>
      <w:r w:rsidR="00810AFA">
        <w:rPr>
          <w:lang w:val="en-GB"/>
        </w:rPr>
        <w:fldChar w:fldCharType="end"/>
      </w:r>
      <w:r w:rsidRPr="00646080">
        <w:rPr>
          <w:lang w:val="en-GB"/>
        </w:rPr>
        <w:t xml:space="preserve">. Metal doping can be </w:t>
      </w:r>
      <w:r w:rsidRPr="00646080">
        <w:rPr>
          <w:lang w:val="en-GB"/>
        </w:rPr>
        <w:lastRenderedPageBreak/>
        <w:t>promoted advantages like as: separation and transfer of charge efficiency, decrease in the band gap energy, visible light absorption, and reduction charge recombination for g-C</w:t>
      </w:r>
      <w:r w:rsidRPr="00646080">
        <w:rPr>
          <w:vertAlign w:val="subscript"/>
          <w:lang w:val="en-GB"/>
        </w:rPr>
        <w:t>3</w:t>
      </w:r>
      <w:r w:rsidRPr="00646080">
        <w:rPr>
          <w:lang w:val="en-GB"/>
        </w:rPr>
        <w:t>N</w:t>
      </w:r>
      <w:r w:rsidRPr="00646080">
        <w:rPr>
          <w:vertAlign w:val="subscript"/>
          <w:lang w:val="en-GB"/>
        </w:rPr>
        <w:t>4</w:t>
      </w:r>
      <w:r w:rsidR="00A04B49">
        <w:rPr>
          <w:vertAlign w:val="subscript"/>
          <w:lang w:val="en-GB"/>
        </w:rPr>
        <w:t xml:space="preserve"> </w:t>
      </w:r>
      <w:r w:rsidR="00A04B49">
        <w:rPr>
          <w:lang w:val="en-GB"/>
        </w:rPr>
        <w:fldChar w:fldCharType="begin" w:fldLock="1"/>
      </w:r>
      <w:r w:rsidR="00462ED2">
        <w:rPr>
          <w:lang w:val="en-GB"/>
        </w:rPr>
        <w:instrText xml:space="preserve">ADDIN CSL_CITATION {"citationItems":[{"id":"ITEM-1","itemData":{"DOI":"10.1039/d0qi01311k","ISSN":"20521553","abstract":"In order to improve the photocatalytic response of TiO2 to UV and visible light for hydrogen photoproduction, low cost M/TiO2 semiconductor catalysts were prepared by the impregnation method of five different first row transition metals (M = Fe, Co, Ni, Cu or Zn) on a commercial titania support. The maximum hydrogen production efficiency was achieved for the Cu/TiO2 photocatalyst, with </w:instrText>
      </w:r>
      <w:r w:rsidR="00462ED2">
        <w:rPr>
          <w:rFonts w:ascii="Cambria Math" w:hAnsi="Cambria Math" w:cs="Cambria Math"/>
          <w:lang w:val="en-GB"/>
        </w:rPr>
        <w:instrText>∼</w:instrText>
      </w:r>
      <w:r w:rsidR="00462ED2">
        <w:rPr>
          <w:lang w:val="en-GB"/>
        </w:rPr>
        <w:instrText xml:space="preserve">5000 and </w:instrText>
      </w:r>
      <w:r w:rsidR="00462ED2">
        <w:rPr>
          <w:rFonts w:ascii="Cambria Math" w:hAnsi="Cambria Math" w:cs="Cambria Math"/>
          <w:lang w:val="en-GB"/>
        </w:rPr>
        <w:instrText>∼</w:instrText>
      </w:r>
      <w:r w:rsidR="00462ED2">
        <w:rPr>
          <w:lang w:val="en-GB"/>
        </w:rPr>
        <w:instrText xml:space="preserve">220 </w:instrText>
      </w:r>
      <w:r w:rsidR="00462ED2">
        <w:rPr>
          <w:rFonts w:cs="Arial"/>
          <w:lang w:val="en-GB"/>
        </w:rPr>
        <w:instrText>μ</w:instrText>
      </w:r>
      <w:r w:rsidR="00462ED2">
        <w:rPr>
          <w:lang w:val="en-GB"/>
        </w:rPr>
        <w:instrText>mol h-1 g-1 H2 production rates for UV and visible irradiation, respectively. Ni/TiO2 and Co/TiO2 also showed a significant photocatalytic activity when UV light was used. The best performing catalyst, Cu/TiO2, was characterized by TEM and XPS measurements. The data showed that Cu was highly dispersed over the TiO2 support and the copper species existed as both reduced Cu0/Cu+ and oxidized Cu2+ on TiO2. Besides, during the hydrogen production reaction, the reduced Cu was partially oxidized to Cu2+ by the transfer of photogenerated holes under UV or visible light irradiation. With UV and visible lamps, the H2 production rates were higher than those obtained with non-impregnated TiO2 by factors of 16 and 3, respectively. These results demonstrated that a Cu/TiO2 photocatalyst could be considered a promising low-cost alternative to the well-known Pt/TiO2 system for hydrogen production, making the Cu-based catalyst an ideal cost-effective candidate for this reaction. This journal is","author":[{"dropping-particle":"","family":"Díaz","given":"L.","non-dropping-particle":"","parse-names":false,"suffix":""},{"dropping-particle":"","family":"Rodríguez","given":"V. D.","non-dropping-particle":"","parse-names":false,"suffix":""},{"dropping-particle":"","family":"González-Rodríguez","given":"M.","non-dropping-particle":"","parse-names":false,"suffix":""},{"dropping-particle":"","family":"Rodríguez-Castellón","given":"E.","non-dropping-particle":"","parse-names":false,"suffix":""},{"dropping-particle":"","family":"Algarra","given":"M.","non-dropping-particle":"","parse-names":false,"suffix":""},{"dropping-particle":"","family":"Núñez","given":"P.","non-dropping-particle":"","parse-names":false,"suffix":""},{"dropping-particle":"","family":"Moretti","given":"E.","non-dropping-particle":"","parse-names":false,"suffix":""}],"container-title":"Inorganic Chemistry Frontiers","id":"ITEM-1","issued":{"date-parts":[["2021"]]},"page":"3491-3500","publisher":"Royal Society of Chemistry","title":"M/TiO&lt;sub&gt;2&lt;/sub&gt; (M = Fe, Co, Ni, Cu, Zn) catalysts for photocatalytic hydrogen production under UV and visible light irradiation","type":"article-journal","volume":"8"},"uris":["http://www.mendeley.com/documents/?uuid=1b216c21-e32e-44c2-b61c-311485affbc2"]}],"mendeley":{"formattedCitation":"(Díaz et al., 2021)","plainTextFormattedCitation":"(Díaz et al., 2021)","previouslyFormattedCitation":"(Díaz et al., 2021)"},"properties":{"noteIndex":0},"schema":"https://github.com/citation-style-language/schema/raw/master/csl-citation.json"}</w:instrText>
      </w:r>
      <w:r w:rsidR="00A04B49">
        <w:rPr>
          <w:lang w:val="en-GB"/>
        </w:rPr>
        <w:fldChar w:fldCharType="separate"/>
      </w:r>
      <w:r w:rsidR="00D33139" w:rsidRPr="00D33139">
        <w:rPr>
          <w:noProof/>
          <w:lang w:val="en-GB"/>
        </w:rPr>
        <w:t>(Díaz et al., 2021)</w:t>
      </w:r>
      <w:r w:rsidR="00A04B49">
        <w:rPr>
          <w:lang w:val="en-GB"/>
        </w:rPr>
        <w:fldChar w:fldCharType="end"/>
      </w:r>
      <w:r w:rsidRPr="00646080">
        <w:rPr>
          <w:lang w:val="en-GB"/>
        </w:rPr>
        <w:t xml:space="preserve">. </w:t>
      </w:r>
    </w:p>
    <w:p w14:paraId="7CCD3C33" w14:textId="3B005EA6" w:rsidR="00646080" w:rsidRPr="00646080" w:rsidRDefault="00646080" w:rsidP="00646080">
      <w:pPr>
        <w:pStyle w:val="CETBodytext"/>
        <w:rPr>
          <w:lang w:val="en-GB"/>
        </w:rPr>
      </w:pPr>
      <w:r w:rsidRPr="00646080">
        <w:rPr>
          <w:lang w:val="en-GB"/>
        </w:rPr>
        <w:t xml:space="preserve">Considering </w:t>
      </w:r>
      <w:r w:rsidR="000F1057">
        <w:rPr>
          <w:lang w:val="en-GB"/>
        </w:rPr>
        <w:t xml:space="preserve">the </w:t>
      </w:r>
      <w:r w:rsidRPr="00646080">
        <w:rPr>
          <w:lang w:val="en-GB"/>
        </w:rPr>
        <w:t>g-C</w:t>
      </w:r>
      <w:r w:rsidRPr="00646080">
        <w:rPr>
          <w:vertAlign w:val="subscript"/>
          <w:lang w:val="en-GB"/>
        </w:rPr>
        <w:t>3</w:t>
      </w:r>
      <w:r w:rsidRPr="00646080">
        <w:rPr>
          <w:lang w:val="en-GB"/>
        </w:rPr>
        <w:t>N</w:t>
      </w:r>
      <w:r w:rsidRPr="00646080">
        <w:rPr>
          <w:vertAlign w:val="subscript"/>
          <w:lang w:val="en-GB"/>
        </w:rPr>
        <w:t>4</w:t>
      </w:r>
      <w:r w:rsidRPr="00646080">
        <w:rPr>
          <w:lang w:val="en-GB"/>
        </w:rPr>
        <w:t xml:space="preserve"> and TiO</w:t>
      </w:r>
      <w:r w:rsidRPr="00646080">
        <w:rPr>
          <w:vertAlign w:val="subscript"/>
          <w:lang w:val="en-GB"/>
        </w:rPr>
        <w:t>2</w:t>
      </w:r>
      <w:r w:rsidRPr="00646080">
        <w:rPr>
          <w:lang w:val="en-GB"/>
        </w:rPr>
        <w:t xml:space="preserve"> </w:t>
      </w:r>
      <w:r>
        <w:rPr>
          <w:lang w:val="en-GB"/>
        </w:rPr>
        <w:t>characteristics useful in the photocatalysis field</w:t>
      </w:r>
      <w:r w:rsidRPr="00646080">
        <w:rPr>
          <w:lang w:val="en-GB"/>
        </w:rPr>
        <w:t>, doping with transition metals, such as nickel and copper</w:t>
      </w:r>
      <w:r w:rsidR="0024298E">
        <w:rPr>
          <w:lang w:val="en-GB"/>
        </w:rPr>
        <w:t>,</w:t>
      </w:r>
      <w:r w:rsidRPr="00646080">
        <w:rPr>
          <w:lang w:val="en-GB"/>
        </w:rPr>
        <w:t xml:space="preserve"> can result in</w:t>
      </w:r>
      <w:r w:rsidR="002335FB">
        <w:rPr>
          <w:lang w:val="en-GB"/>
        </w:rPr>
        <w:t xml:space="preserve"> high </w:t>
      </w:r>
      <w:r w:rsidRPr="00646080">
        <w:rPr>
          <w:lang w:val="en-GB"/>
        </w:rPr>
        <w:t xml:space="preserve">photocatalytic activity under visible light and </w:t>
      </w:r>
      <w:r w:rsidR="0024298E">
        <w:rPr>
          <w:lang w:val="en-GB"/>
        </w:rPr>
        <w:t xml:space="preserve">a </w:t>
      </w:r>
      <w:r w:rsidR="002335FB">
        <w:rPr>
          <w:lang w:val="en-GB"/>
        </w:rPr>
        <w:t xml:space="preserve">low </w:t>
      </w:r>
      <w:r w:rsidRPr="00646080">
        <w:rPr>
          <w:lang w:val="en-GB"/>
        </w:rPr>
        <w:t>recombination</w:t>
      </w:r>
      <w:r w:rsidR="002335FB">
        <w:rPr>
          <w:lang w:val="en-GB"/>
        </w:rPr>
        <w:t xml:space="preserve"> rate</w:t>
      </w:r>
      <w:r w:rsidRPr="00646080">
        <w:rPr>
          <w:lang w:val="en-GB"/>
        </w:rPr>
        <w:t xml:space="preserve">, as </w:t>
      </w:r>
      <w:r w:rsidR="0024298E">
        <w:rPr>
          <w:lang w:val="en-GB"/>
        </w:rPr>
        <w:t>reported by</w:t>
      </w:r>
      <w:r w:rsidRPr="00646080">
        <w:rPr>
          <w:lang w:val="en-GB"/>
        </w:rPr>
        <w:t xml:space="preserve"> Muñoz-Batista et al. </w:t>
      </w:r>
      <w:r w:rsidR="00CD76C6">
        <w:rPr>
          <w:lang w:val="en-GB"/>
        </w:rPr>
        <w:fldChar w:fldCharType="begin" w:fldLock="1"/>
      </w:r>
      <w:r w:rsidR="00A45AAC">
        <w:rPr>
          <w:lang w:val="en-GB"/>
        </w:rPr>
        <w:instrText>ADDIN CSL_CITATION {"citationItems":[{"id":"ITEM-1","itemData":{"DOI":"10.1016/j.mcat.2019.110725","ISSN":"24688231","abstract":"In this work we analyze the photocatalytic performance of Mn+ (M[dbnd]Cu, Ni, Zn, Mn) - g-C3N4 materials in toluene photo-oxidation under UV and Sunlight-type illumination conditions. The characterization of the solids showed that Cu and Mn containing samples have an oxide type environment, while Ni has a hydroxide type and Zn shows an oxynitride type local order. The photo-activity of the samples under UV and sunlight excitation(s) was evaluated in terms of activity and selectivity, and the subsequent calculation of the quantum efficiency. Optimum activity was obtained with the Zn-containing catalyst. The charge carrier(s) handling and fate through interfaces and recombination was measured and correlated with the structural characterization of the solids. This indicates that the interface contact between the Zn oxynitride and carbon nitride components has significant influence in charge carrier processes and it is at the core of the good photocatalytic properties owned by this sample.","author":[{"dropping-particle":"","family":"Muñoz-Batista","given":"Mario J.","non-dropping-particle":"","parse-names":false,"suffix":""},{"dropping-particle":"","family":"Andrini","given":"Leandro","non-dropping-particle":"","parse-names":false,"suffix":""},{"dropping-particle":"","family":"Requejo","given":"Félix G.","non-dropping-particle":"","parse-names":false,"suffix":""},{"dropping-particle":"","family":"Gómez-Cerezo","given":"Maria N.","non-dropping-particle":"","parse-names":false,"suffix":""},{"dropping-particle":"","family":"Fernández-García","given":"Marcos","non-dropping-particle":"","parse-names":false,"suffix":""},{"dropping-particle":"","family":"Kubacka","given":"Anna","non-dropping-particle":"","parse-names":false,"suffix":""}],"container-title":"Molecular Catalysis","id":"ITEM-1","issue":"December 2019","issued":{"date-parts":[["2020"]]},"page":"110725","publisher":"Elsevier","title":"Sunlight active g-C&lt;sub&gt;3&lt;/sub&gt;N&lt;sub&gt;4&lt;/sub&gt;-based M&lt;sup&gt;n+&lt;/sup&gt; (M = Cu, Ni, Zn, Mn) – promoted catalysts: Sharing of nitrogen atoms as a door for optimizing photo-activity","type":"article-journal","volume":"484"},"suppress-author":1,"uris":["http://www.mendeley.com/documents/?uuid=3e3537f0-f91b-4153-913f-3e022546705c"]}],"mendeley":{"formattedCitation":"(2020)","plainTextFormattedCitation":"(2020)","previouslyFormattedCitation":"(2020)"},"properties":{"noteIndex":0},"schema":"https://github.com/citation-style-language/schema/raw/master/csl-citation.json"}</w:instrText>
      </w:r>
      <w:r w:rsidR="00CD76C6">
        <w:rPr>
          <w:lang w:val="en-GB"/>
        </w:rPr>
        <w:fldChar w:fldCharType="separate"/>
      </w:r>
      <w:r w:rsidR="00367E9C" w:rsidRPr="00367E9C">
        <w:rPr>
          <w:noProof/>
          <w:lang w:val="en-GB"/>
        </w:rPr>
        <w:t>(2020)</w:t>
      </w:r>
      <w:r w:rsidR="00CD76C6">
        <w:rPr>
          <w:lang w:val="en-GB"/>
        </w:rPr>
        <w:fldChar w:fldCharType="end"/>
      </w:r>
      <w:r w:rsidRPr="00646080">
        <w:rPr>
          <w:lang w:val="en-GB"/>
        </w:rPr>
        <w:t xml:space="preserve"> and Díaz et al. </w:t>
      </w:r>
      <w:r w:rsidR="00A922D2">
        <w:rPr>
          <w:lang w:val="en-GB"/>
        </w:rPr>
        <w:fldChar w:fldCharType="begin" w:fldLock="1"/>
      </w:r>
      <w:r w:rsidR="00A45AAC">
        <w:rPr>
          <w:lang w:val="en-GB"/>
        </w:rPr>
        <w:instrText xml:space="preserve">ADDIN CSL_CITATION {"citationItems":[{"id":"ITEM-1","itemData":{"DOI":"10.1039/d0qi01311k","ISSN":"20521553","abstract":"In order to improve the photocatalytic response of TiO2 to UV and visible light for hydrogen photoproduction, low cost M/TiO2 semiconductor catalysts were prepared by the impregnation method of five different first row transition metals (M = Fe, Co, Ni, Cu or Zn) on a commercial titania support. The maximum hydrogen production efficiency was achieved for the Cu/TiO2 photocatalyst, with </w:instrText>
      </w:r>
      <w:r w:rsidR="00A45AAC">
        <w:rPr>
          <w:rFonts w:ascii="Cambria Math" w:hAnsi="Cambria Math" w:cs="Cambria Math"/>
          <w:lang w:val="en-GB"/>
        </w:rPr>
        <w:instrText>∼</w:instrText>
      </w:r>
      <w:r w:rsidR="00A45AAC">
        <w:rPr>
          <w:lang w:val="en-GB"/>
        </w:rPr>
        <w:instrText xml:space="preserve">5000 and </w:instrText>
      </w:r>
      <w:r w:rsidR="00A45AAC">
        <w:rPr>
          <w:rFonts w:ascii="Cambria Math" w:hAnsi="Cambria Math" w:cs="Cambria Math"/>
          <w:lang w:val="en-GB"/>
        </w:rPr>
        <w:instrText>∼</w:instrText>
      </w:r>
      <w:r w:rsidR="00A45AAC">
        <w:rPr>
          <w:lang w:val="en-GB"/>
        </w:rPr>
        <w:instrText xml:space="preserve">220 </w:instrText>
      </w:r>
      <w:r w:rsidR="00A45AAC">
        <w:rPr>
          <w:rFonts w:cs="Arial"/>
          <w:lang w:val="en-GB"/>
        </w:rPr>
        <w:instrText>μ</w:instrText>
      </w:r>
      <w:r w:rsidR="00A45AAC">
        <w:rPr>
          <w:lang w:val="en-GB"/>
        </w:rPr>
        <w:instrText>mol h-1 g-1 H2 production rates for UV and visible irradiation, respectively. Ni/TiO2 and Co/TiO2 also showed a significant photocatalytic activity when UV light was used. The best performing catalyst, Cu/TiO2, was characterized by TEM and XPS measurements. The data showed that Cu was highly dispersed over the TiO2 support and the copper species existed as both reduced Cu0/Cu+ and oxidized Cu2+ on TiO2. Besides, during the hydrogen production reaction, the reduced Cu was partially oxidized to Cu2+ by the transfer of photogenerated holes under UV or visible light irradiation. With UV and visible lamps, the H2 production rates were higher than those obtained with non-impregnated TiO2 by factors of 16 and 3, respectively. These results demonstrated that a Cu/TiO2 photocatalyst could be considered a promising low-cost alternative to the well-known Pt/TiO2 system for hydrogen production, making the Cu-based catalyst an ideal cost-effective candidate for this reaction. This journal is","author":[{"dropping-particle":"","family":"Díaz","given":"L.","non-dropping-particle":"","parse-names":false,"suffix":""},{"dropping-particle":"","family":"Rodríguez","given":"V. D.","non-dropping-particle":"","parse-names":false,"suffix":""},{"dropping-particle":"","family":"González-Rodríguez","given":"M.","non-dropping-particle":"","parse-names":false,"suffix":""},{"dropping-particle":"","family":"Rodríguez-Castellón","given":"E.","non-dropping-particle":"","parse-names":false,"suffix":""},{"dropping-particle":"","family":"Algarra","given":"M.","non-dropping-particle":"","parse-names":false,"suffix":""},{"dropping-particle":"","family":"Núñez","given":"P.","non-dropping-particle":"","parse-names":false,"suffix":""},{"dropping-particle":"","family":"Moretti","given":"E.","non-dropping-particle":"","parse-names":false,"suffix":""}],"container-title":"Inorganic Chemistry Frontiers","id":"ITEM-1","issued":{"date-parts":[["2021"]]},"page":"3491-3500","publisher":"Royal Society of Chemistry","title":"M/TiO&lt;sub&gt;2&lt;/sub&gt; (M = Fe, Co, Ni, Cu, Zn) catalysts for photocatalytic hydrogen production under UV and visible light irradiation","type":"article-journal","volume":"8"},"suppress-author":1,"uris":["http://www.mendeley.com/documents/?uuid=1b216c21-e32e-44c2-b61c-311485affbc2"]}],"mendeley":{"formattedCitation":"(2021)","plainTextFormattedCitation":"(2021)","previouslyFormattedCitation":"(2021)"},"properties":{"noteIndex":0},"schema":"https://github.com/citation-style-language/schema/raw/master/csl-citation.json"}</w:instrText>
      </w:r>
      <w:r w:rsidR="00A922D2">
        <w:rPr>
          <w:lang w:val="en-GB"/>
        </w:rPr>
        <w:fldChar w:fldCharType="separate"/>
      </w:r>
      <w:r w:rsidR="00367E9C" w:rsidRPr="00367E9C">
        <w:rPr>
          <w:noProof/>
          <w:lang w:val="en-GB"/>
        </w:rPr>
        <w:t>(2021)</w:t>
      </w:r>
      <w:r w:rsidR="00A922D2">
        <w:rPr>
          <w:lang w:val="en-GB"/>
        </w:rPr>
        <w:fldChar w:fldCharType="end"/>
      </w:r>
      <w:r w:rsidRPr="00646080">
        <w:rPr>
          <w:lang w:val="en-GB"/>
        </w:rPr>
        <w:t>.</w:t>
      </w:r>
      <w:r w:rsidR="0024298E">
        <w:rPr>
          <w:lang w:val="en-GB"/>
        </w:rPr>
        <w:t xml:space="preserve"> As nickel and titanium atoms have</w:t>
      </w:r>
      <w:r w:rsidRPr="00646080">
        <w:rPr>
          <w:lang w:val="en-GB"/>
        </w:rPr>
        <w:t xml:space="preserve"> similar ionic radi</w:t>
      </w:r>
      <w:r w:rsidR="0024298E">
        <w:rPr>
          <w:lang w:val="en-GB"/>
        </w:rPr>
        <w:t xml:space="preserve">i, </w:t>
      </w:r>
      <w:r w:rsidR="0024298E" w:rsidRPr="00646080">
        <w:rPr>
          <w:lang w:val="en-GB"/>
        </w:rPr>
        <w:t>0.72</w:t>
      </w:r>
      <w:r w:rsidR="0024298E">
        <w:rPr>
          <w:lang w:val="en-GB"/>
        </w:rPr>
        <w:t xml:space="preserve"> and</w:t>
      </w:r>
      <w:r w:rsidRPr="00646080">
        <w:rPr>
          <w:lang w:val="en-GB"/>
        </w:rPr>
        <w:t xml:space="preserve"> 0.68 Å</w:t>
      </w:r>
      <w:r w:rsidR="0024298E">
        <w:rPr>
          <w:lang w:val="en-GB"/>
        </w:rPr>
        <w:t>, respectively, it is</w:t>
      </w:r>
      <w:r w:rsidRPr="00646080">
        <w:rPr>
          <w:lang w:val="en-GB"/>
        </w:rPr>
        <w:t xml:space="preserve"> possible to </w:t>
      </w:r>
      <w:r w:rsidR="002335FB">
        <w:rPr>
          <w:lang w:val="en-GB"/>
        </w:rPr>
        <w:t>introduce</w:t>
      </w:r>
      <w:r w:rsidRPr="00646080">
        <w:rPr>
          <w:lang w:val="en-GB"/>
        </w:rPr>
        <w:t xml:space="preserve"> Ni </w:t>
      </w:r>
      <w:r w:rsidR="002335FB">
        <w:rPr>
          <w:lang w:val="en-GB"/>
        </w:rPr>
        <w:t xml:space="preserve">atoms </w:t>
      </w:r>
      <w:r w:rsidRPr="00646080">
        <w:rPr>
          <w:lang w:val="en-GB"/>
        </w:rPr>
        <w:t>in the structure of TiO</w:t>
      </w:r>
      <w:r w:rsidRPr="002335FB">
        <w:rPr>
          <w:vertAlign w:val="subscript"/>
          <w:lang w:val="en-GB"/>
        </w:rPr>
        <w:t>2</w:t>
      </w:r>
      <w:r w:rsidRPr="00646080">
        <w:rPr>
          <w:lang w:val="en-GB"/>
        </w:rPr>
        <w:t xml:space="preserve"> </w:t>
      </w:r>
      <w:r w:rsidR="00801C6E">
        <w:rPr>
          <w:lang w:val="en-GB"/>
        </w:rPr>
        <w:fldChar w:fldCharType="begin" w:fldLock="1"/>
      </w:r>
      <w:r w:rsidR="00462ED2">
        <w:rPr>
          <w:lang w:val="en-GB"/>
        </w:rPr>
        <w:instrText>ADDIN CSL_CITATION {"citationItems":[{"id":"ITEM-1","itemData":{"DOI":"10.1016/j.inoche.2022.109905","ISSN":"13877003","abstract":"Nickel-doped titanium dioxide nanoparticles (NDT) deposited on pine cone activated carbon (PAC) have been successfully synthesized by a hydrothermal method. The as synthesized nanocomposite was characterized by X-ray diffraction pattern (XRD), Scanning electron microscopy (SEM), Energy-dispersive X-ray spectroscopy (EDX), X-ray photoelectron (XPS), Fourier transform infrared (FT-IR), UV–visible diffuse reflectance spectra (UV–vis DRS), Photoluminescence (PL), BET surface area, and pHzpc. The characterization results of the prepared nanocomposite revealed that Ni-TiO2 was loaded on the surface of PAC, and had a higher surface area and narrower bandgap than TiO2 nanoparticles. The visible-light photocatalytic activity of the Ni-TiO2@C nanocomposite towards anthracene degradation was found to be 99.9% in 50 mins leading to end products of (1E, 3Z)-hexa-1,3,5-trien-1-ol (1a; m/z = 96), and (1E, 3E)-penta-1,3-dien-1-ol. The synthesized Ni-TiO2@C nanocomposite exhibited a better photocatalytic activity towards the photocatalytic degradation of anthracene as compared to the TiO2 nanomaterial (22.5%) and TiO2/activated carbon nanocomposite (31%) under similar conditions. The photodegradation of anthracene followed the pseudo first-order rate kinetics. The Ni-TiO2@C nanocomposite had excellent regeneration properties till the fifth cycle of use during which it degraded around 73% anthracene.","author":[{"dropping-particle":"","family":"Baruah","given":"Mridushmita","non-dropping-particle":"","parse-names":false,"suffix":""},{"dropping-particle":"","family":"Ezung","given":"Soremo L.","non-dropping-particle":"","parse-names":false,"suffix":""},{"dropping-particle":"","family":"Sharma","given":"Shisak","non-dropping-particle":"","parse-names":false,"suffix":""},{"dropping-particle":"","family":"Sinha","given":"Upasana Bora","non-dropping-particle":"","parse-names":false,"suffix":""},{"dropping-particle":"","family":"Sinha","given":"Dipak","non-dropping-particle":"","parse-names":false,"suffix":""}],"container-title":"Inorganic Chemistry Communications","id":"ITEM-1","issued":{"date-parts":[["2022"]]},"page":"109905","publisher":"Elsevier B.V.","title":"Synthesis and characterization of Ni-doped TiO2 activated carbon nanocomposite for the photocatalytic degradation of anthracene","type":"article-journal","volume":"144"},"uris":["http://www.mendeley.com/documents/?uuid=acf48117-7e33-4c8e-8957-6c40871c7192"]}],"mendeley":{"formattedCitation":"(Baruah et al., 2022)","plainTextFormattedCitation":"(Baruah et al., 2022)","previouslyFormattedCitation":"(Baruah et al., 2022)"},"properties":{"noteIndex":0},"schema":"https://github.com/citation-style-language/schema/raw/master/csl-citation.json"}</w:instrText>
      </w:r>
      <w:r w:rsidR="00801C6E">
        <w:rPr>
          <w:lang w:val="en-GB"/>
        </w:rPr>
        <w:fldChar w:fldCharType="separate"/>
      </w:r>
      <w:r w:rsidR="00D33139" w:rsidRPr="00D33139">
        <w:rPr>
          <w:noProof/>
          <w:lang w:val="en-GB"/>
        </w:rPr>
        <w:t>(Baruah et al., 2022)</w:t>
      </w:r>
      <w:r w:rsidR="00801C6E">
        <w:rPr>
          <w:lang w:val="en-GB"/>
        </w:rPr>
        <w:fldChar w:fldCharType="end"/>
      </w:r>
      <w:r w:rsidR="00801C6E">
        <w:rPr>
          <w:lang w:val="en-GB"/>
        </w:rPr>
        <w:t>.</w:t>
      </w:r>
    </w:p>
    <w:p w14:paraId="14180F75" w14:textId="6F4385BF" w:rsidR="003F1FA9" w:rsidRPr="00BD0558" w:rsidRDefault="00646080" w:rsidP="00646080">
      <w:pPr>
        <w:pStyle w:val="CETBodytext"/>
      </w:pPr>
      <w:r w:rsidRPr="00646080">
        <w:rPr>
          <w:lang w:val="en-GB"/>
        </w:rPr>
        <w:t>In this work, we investigated</w:t>
      </w:r>
      <w:r w:rsidR="008461B7">
        <w:rPr>
          <w:lang w:val="en-GB"/>
        </w:rPr>
        <w:t xml:space="preserve"> </w:t>
      </w:r>
      <w:r w:rsidRPr="00646080">
        <w:rPr>
          <w:lang w:val="en-GB"/>
        </w:rPr>
        <w:t>ethylene degradation using copper, nickel, titanium dioxide, and carbon nitride composites. For that, photocatalytic composites (Cu/C</w:t>
      </w:r>
      <w:r w:rsidRPr="002335FB">
        <w:rPr>
          <w:vertAlign w:val="subscript"/>
          <w:lang w:val="en-GB"/>
        </w:rPr>
        <w:t>3</w:t>
      </w:r>
      <w:r w:rsidRPr="00646080">
        <w:rPr>
          <w:lang w:val="en-GB"/>
        </w:rPr>
        <w:t>N</w:t>
      </w:r>
      <w:r w:rsidRPr="002335FB">
        <w:rPr>
          <w:vertAlign w:val="subscript"/>
          <w:lang w:val="en-GB"/>
        </w:rPr>
        <w:t>4</w:t>
      </w:r>
      <w:r w:rsidRPr="00646080">
        <w:rPr>
          <w:lang w:val="en-GB"/>
        </w:rPr>
        <w:t>, Cu/TiO</w:t>
      </w:r>
      <w:r w:rsidRPr="002335FB">
        <w:rPr>
          <w:vertAlign w:val="subscript"/>
          <w:lang w:val="en-GB"/>
        </w:rPr>
        <w:t>2</w:t>
      </w:r>
      <w:r w:rsidRPr="00646080">
        <w:rPr>
          <w:lang w:val="en-GB"/>
        </w:rPr>
        <w:t>, Ni/C</w:t>
      </w:r>
      <w:r w:rsidRPr="002335FB">
        <w:rPr>
          <w:vertAlign w:val="subscript"/>
          <w:lang w:val="en-GB"/>
        </w:rPr>
        <w:t>3</w:t>
      </w:r>
      <w:r w:rsidRPr="00646080">
        <w:rPr>
          <w:lang w:val="en-GB"/>
        </w:rPr>
        <w:t>N</w:t>
      </w:r>
      <w:r w:rsidRPr="002335FB">
        <w:rPr>
          <w:vertAlign w:val="subscript"/>
          <w:lang w:val="en-GB"/>
        </w:rPr>
        <w:t>4</w:t>
      </w:r>
      <w:r w:rsidRPr="00646080">
        <w:rPr>
          <w:lang w:val="en-GB"/>
        </w:rPr>
        <w:t>, Ni/TiO</w:t>
      </w:r>
      <w:r w:rsidRPr="002335FB">
        <w:rPr>
          <w:vertAlign w:val="subscript"/>
          <w:lang w:val="en-GB"/>
        </w:rPr>
        <w:t>2</w:t>
      </w:r>
      <w:r w:rsidRPr="00646080">
        <w:rPr>
          <w:lang w:val="en-GB"/>
        </w:rPr>
        <w:t>) were characterized by X-ray Diffraction (XRD)</w:t>
      </w:r>
      <w:r w:rsidR="000073BF">
        <w:rPr>
          <w:lang w:val="en-GB"/>
        </w:rPr>
        <w:t xml:space="preserve">, </w:t>
      </w:r>
      <w:r w:rsidR="000073BF" w:rsidRPr="00FB610F">
        <w:rPr>
          <w:lang w:val="en-GB"/>
        </w:rPr>
        <w:t>s</w:t>
      </w:r>
      <w:r w:rsidR="00D22661" w:rsidRPr="00FB610F">
        <w:rPr>
          <w:lang w:val="en-GB"/>
        </w:rPr>
        <w:t>u</w:t>
      </w:r>
      <w:r w:rsidR="000073BF" w:rsidRPr="00FB610F">
        <w:rPr>
          <w:lang w:val="en-GB"/>
        </w:rPr>
        <w:t>rf</w:t>
      </w:r>
      <w:r w:rsidR="00D22661" w:rsidRPr="00FB610F">
        <w:rPr>
          <w:lang w:val="en-GB"/>
        </w:rPr>
        <w:t>a</w:t>
      </w:r>
      <w:r w:rsidR="000073BF" w:rsidRPr="00FB610F">
        <w:rPr>
          <w:lang w:val="en-GB"/>
        </w:rPr>
        <w:t>c</w:t>
      </w:r>
      <w:r w:rsidR="00D22661" w:rsidRPr="00FB610F">
        <w:rPr>
          <w:lang w:val="en-GB"/>
        </w:rPr>
        <w:t>e</w:t>
      </w:r>
      <w:r w:rsidR="000073BF" w:rsidRPr="00FB610F">
        <w:rPr>
          <w:lang w:val="en-GB"/>
        </w:rPr>
        <w:t xml:space="preserve"> area </w:t>
      </w:r>
      <w:r w:rsidR="00D22661" w:rsidRPr="00FB610F">
        <w:rPr>
          <w:lang w:val="en-GB"/>
        </w:rPr>
        <w:t>and pore volume by</w:t>
      </w:r>
      <w:r w:rsidR="000073BF" w:rsidRPr="00FB610F">
        <w:rPr>
          <w:lang w:val="en-GB"/>
        </w:rPr>
        <w:t xml:space="preserve"> </w:t>
      </w:r>
      <w:r w:rsidR="00D35454" w:rsidRPr="00FB610F">
        <w:rPr>
          <w:lang w:val="en-GB"/>
        </w:rPr>
        <w:t>nitrogen adsorption/</w:t>
      </w:r>
      <w:r w:rsidR="00A11A50">
        <w:rPr>
          <w:lang w:val="en-GB"/>
        </w:rPr>
        <w:t xml:space="preserve">desorption, </w:t>
      </w:r>
      <w:r w:rsidR="00A11A50" w:rsidRPr="00646080">
        <w:rPr>
          <w:lang w:val="en-GB"/>
        </w:rPr>
        <w:t>scanning electron microscopy (FEG-SEM) coupled with an energy dispersive spectrometer</w:t>
      </w:r>
      <w:r w:rsidR="00A11A50" w:rsidRPr="00FB610F">
        <w:rPr>
          <w:lang w:val="en-GB"/>
        </w:rPr>
        <w:t xml:space="preserve">, </w:t>
      </w:r>
      <w:r w:rsidR="00A11A50">
        <w:rPr>
          <w:lang w:val="en-GB"/>
        </w:rPr>
        <w:t>diffuse reflectance (DRS)</w:t>
      </w:r>
      <w:r w:rsidR="00D351E0">
        <w:rPr>
          <w:lang w:val="en-GB"/>
        </w:rPr>
        <w:t xml:space="preserve"> and </w:t>
      </w:r>
      <w:r w:rsidR="00D351E0">
        <w:t>X-ray photoelectron</w:t>
      </w:r>
      <w:r w:rsidR="005C2DDF">
        <w:t xml:space="preserve"> (XPS)</w:t>
      </w:r>
      <w:r w:rsidR="00D351E0">
        <w:t xml:space="preserve"> spectroscopy</w:t>
      </w:r>
      <w:r w:rsidRPr="00646080">
        <w:rPr>
          <w:lang w:val="en-GB"/>
        </w:rPr>
        <w:t xml:space="preserve">. </w:t>
      </w:r>
    </w:p>
    <w:p w14:paraId="5741900F" w14:textId="02A575D3" w:rsidR="00453E24" w:rsidRPr="00666AD1" w:rsidRDefault="00CA334A" w:rsidP="00666AD1">
      <w:pPr>
        <w:pStyle w:val="CETHeading1"/>
      </w:pPr>
      <w:r w:rsidRPr="00666AD1">
        <w:t>Experimental details</w:t>
      </w:r>
    </w:p>
    <w:p w14:paraId="7C7A44CC" w14:textId="2250002A" w:rsidR="002466AC" w:rsidRDefault="00DC03ED" w:rsidP="00453E24">
      <w:pPr>
        <w:pStyle w:val="CETBodytext"/>
      </w:pPr>
      <w:r w:rsidRPr="009A18D0">
        <w:t xml:space="preserve">The </w:t>
      </w:r>
      <w:r w:rsidR="006D5066" w:rsidRPr="009A18D0">
        <w:t xml:space="preserve">photocatalytic composites </w:t>
      </w:r>
      <w:r w:rsidR="002A0153">
        <w:t>with</w:t>
      </w:r>
      <w:r w:rsidR="00177F62">
        <w:t xml:space="preserve"> 5</w:t>
      </w:r>
      <w:r w:rsidR="00AF5C04">
        <w:t xml:space="preserve"> </w:t>
      </w:r>
      <w:r w:rsidR="00177F62">
        <w:t>% (% wt) Cu or Ni</w:t>
      </w:r>
      <w:r w:rsidR="0052539A">
        <w:t xml:space="preserve">, denominated </w:t>
      </w:r>
      <w:r w:rsidR="006D5066" w:rsidRPr="009A18D0">
        <w:t>Cu/C</w:t>
      </w:r>
      <w:r w:rsidR="006D5066" w:rsidRPr="009A18D0">
        <w:rPr>
          <w:vertAlign w:val="subscript"/>
        </w:rPr>
        <w:t>3</w:t>
      </w:r>
      <w:r w:rsidR="006D5066" w:rsidRPr="009A18D0">
        <w:t>N</w:t>
      </w:r>
      <w:r w:rsidR="006D5066" w:rsidRPr="009A18D0">
        <w:rPr>
          <w:vertAlign w:val="subscript"/>
        </w:rPr>
        <w:t>4</w:t>
      </w:r>
      <w:r w:rsidR="006D5066" w:rsidRPr="009A18D0">
        <w:t>, Cu/TiO</w:t>
      </w:r>
      <w:r w:rsidR="006D5066" w:rsidRPr="009A18D0">
        <w:rPr>
          <w:vertAlign w:val="subscript"/>
        </w:rPr>
        <w:t>2</w:t>
      </w:r>
      <w:r w:rsidR="006D5066" w:rsidRPr="009A18D0">
        <w:t>, Ni/C</w:t>
      </w:r>
      <w:r w:rsidR="006D5066" w:rsidRPr="009A18D0">
        <w:rPr>
          <w:vertAlign w:val="subscript"/>
        </w:rPr>
        <w:t>3</w:t>
      </w:r>
      <w:r w:rsidR="006D5066" w:rsidRPr="009A18D0">
        <w:t>N</w:t>
      </w:r>
      <w:r w:rsidR="006D5066" w:rsidRPr="009A18D0">
        <w:rPr>
          <w:vertAlign w:val="subscript"/>
        </w:rPr>
        <w:t>4</w:t>
      </w:r>
      <w:r w:rsidR="006D5066" w:rsidRPr="009A18D0">
        <w:t>, Ni/TiO</w:t>
      </w:r>
      <w:r w:rsidR="006D5066" w:rsidRPr="009A18D0">
        <w:rPr>
          <w:vertAlign w:val="subscript"/>
        </w:rPr>
        <w:t>2</w:t>
      </w:r>
      <w:r w:rsidR="0052539A">
        <w:t>,</w:t>
      </w:r>
      <w:r w:rsidR="006D5066" w:rsidRPr="009A18D0">
        <w:t xml:space="preserve"> </w:t>
      </w:r>
      <w:r w:rsidR="00B149B5" w:rsidRPr="009A18D0">
        <w:t>were synthesized and characterized in</w:t>
      </w:r>
      <w:r w:rsidR="003A4E80">
        <w:t xml:space="preserve"> </w:t>
      </w:r>
      <w:r w:rsidR="00B149B5">
        <w:t xml:space="preserve">previous work </w:t>
      </w:r>
      <w:r w:rsidR="00AA1107">
        <w:fldChar w:fldCharType="begin" w:fldLock="1"/>
      </w:r>
      <w:r w:rsidR="00462ED2">
        <w:instrText xml:space="preserve">ADDIN CSL_CITATION {"citationItems":[{"id":"ITEM-1","itemData":{"DOI":"10.1039/d0qi01311k","ISSN":"20521553","abstract":"In order to improve the photocatalytic response of TiO2 to UV and visible light for hydrogen photoproduction, low cost M/TiO2 semiconductor catalysts were prepared by the impregnation method of five different first row transition metals (M = Fe, Co, Ni, Cu or Zn) on a commercial titania support. The maximum hydrogen production efficiency was achieved for the Cu/TiO2 photocatalyst, with </w:instrText>
      </w:r>
      <w:r w:rsidR="00462ED2">
        <w:rPr>
          <w:rFonts w:ascii="Cambria Math" w:hAnsi="Cambria Math" w:cs="Cambria Math"/>
        </w:rPr>
        <w:instrText>∼</w:instrText>
      </w:r>
      <w:r w:rsidR="00462ED2">
        <w:instrText xml:space="preserve">5000 and </w:instrText>
      </w:r>
      <w:r w:rsidR="00462ED2">
        <w:rPr>
          <w:rFonts w:ascii="Cambria Math" w:hAnsi="Cambria Math" w:cs="Cambria Math"/>
        </w:rPr>
        <w:instrText>∼</w:instrText>
      </w:r>
      <w:r w:rsidR="00462ED2">
        <w:instrText xml:space="preserve">220 </w:instrText>
      </w:r>
      <w:r w:rsidR="00462ED2">
        <w:rPr>
          <w:rFonts w:cs="Arial"/>
        </w:rPr>
        <w:instrText>μ</w:instrText>
      </w:r>
      <w:r w:rsidR="00462ED2">
        <w:instrText>mol h-1 g-1 H2 production rates for UV and visible irradiation, respectively. Ni/TiO2 and Co/TiO2 also showed a significant photocatalytic activity when UV light was used. The best performing catalyst, Cu/TiO2, was characterized by TEM and XPS measurements. The data showed that Cu was highly dispersed over the TiO2 support and the copper species existed as both reduced Cu0/Cu+ and oxidized Cu2+ on TiO2. Besides, during the hydrogen production reaction, the reduced Cu was partially oxidized to Cu2+ by the transfer of photogenerated holes under UV or visible light irradiation. With UV and visible lamps, the H2 production rates were higher than those obtained with non-impregnated TiO2 by factors of 16 and 3, respectively. These results demonstrated that a Cu/TiO2 photocatalyst could be considered a promising low-cost alternative to the well-known Pt/TiO2 system for hydrogen production, making the Cu-based catalyst an ideal cost-effective candidate for this reaction. This journal is","author":[{"dropping-particle":"","family":"Díaz","given":"L.","non-dropping-particle":"","parse-names":false,"suffix":""},{"dropping-particle":"","family":"Rodríguez","given":"V. D.","non-dropping-particle":"","parse-names":false,"suffix":""},{"dropping-particle":"","family":"González-Rodríguez","given":"M.","non-dropping-particle":"","parse-names":false,"suffix":""},{"dropping-particle":"","family":"Rodríguez-Castellón","given":"E.","non-dropping-particle":"","parse-names":false,"suffix":""},{"dropping-particle":"","family":"Algarra","given":"M.","non-dropping-particle":"","parse-names":false,"suffix":""},{"dropping-particle":"","family":"Núñez","given":"P.","non-dropping-particle":"","parse-names":false,"suffix":""},{"dropping-particle":"","family":"Moretti","given":"E.","non-dropping-particle":"","parse-names":false,"suffix":""}],"container-title":"Inorganic Chemistry Frontiers","id":"ITEM-1","issued":{"date-parts":[["2021"]]},"page":"3491-3500","publisher":"Royal Society of Chemistry","title":"M/TiO&lt;sub&gt;2&lt;/sub&gt; (M = Fe, Co, Ni, Cu, Zn) catalysts for photocatalytic hydrogen production under UV and visible light irradiation","type":"article-journal","volume":"8"},"uris":["http://www.mendeley.com/documents/?uuid=1b216c21-e32e-44c2-b61c-311485affbc2"]}],"mendeley":{"formattedCitation":"(Díaz et al., 2021)","plainTextFormattedCitation":"(Díaz et al., 2021)","previouslyFormattedCitation":"(Díaz et al., 2021)"},"properties":{"noteIndex":0},"schema":"https://github.com/citation-style-language/schema/raw/master/csl-citation.json"}</w:instrText>
      </w:r>
      <w:r w:rsidR="00AA1107">
        <w:fldChar w:fldCharType="separate"/>
      </w:r>
      <w:r w:rsidR="00D33139" w:rsidRPr="00D33139">
        <w:rPr>
          <w:noProof/>
        </w:rPr>
        <w:t>(Díaz et al., 2021)</w:t>
      </w:r>
      <w:r w:rsidR="00AA1107">
        <w:fldChar w:fldCharType="end"/>
      </w:r>
      <w:r w:rsidR="00B149B5">
        <w:t xml:space="preserve">. </w:t>
      </w:r>
      <w:r w:rsidR="00503423">
        <w:t>M</w:t>
      </w:r>
      <w:r w:rsidR="00E02D45">
        <w:t>orpholo</w:t>
      </w:r>
      <w:r w:rsidR="00503423">
        <w:t xml:space="preserve">gies were investigated by scanning electron microscopy (FEG-SEM, model </w:t>
      </w:r>
      <w:r w:rsidR="00481A03">
        <w:t xml:space="preserve">JEOL JSM-6701F) coupled with </w:t>
      </w:r>
      <w:r w:rsidR="002335FB">
        <w:t xml:space="preserve">an </w:t>
      </w:r>
      <w:r w:rsidR="00481A03">
        <w:t>energy dispersive spectrometer (EDS)</w:t>
      </w:r>
      <w:r w:rsidR="00D22661">
        <w:t>,</w:t>
      </w:r>
      <w:r w:rsidR="00516677">
        <w:t xml:space="preserve"> </w:t>
      </w:r>
      <w:r w:rsidR="00D22661" w:rsidRPr="00D22661">
        <w:t>the nitrogen adsorption/desorption isotherm measurements were performed (MicroActive 5.02, micromeritics®) and the specific surface area and the pore volume were characterized by Brunauer-Emmett-Teller (BET</w:t>
      </w:r>
      <w:r w:rsidR="00D22661">
        <w:t>)</w:t>
      </w:r>
      <w:r w:rsidR="00516677">
        <w:t>.</w:t>
      </w:r>
      <w:r w:rsidR="00A31CB6">
        <w:t xml:space="preserve"> </w:t>
      </w:r>
      <w:r w:rsidR="00DD5DE9">
        <w:t>X-ray diffraction (XDR)</w:t>
      </w:r>
      <w:r w:rsidR="00DC0602">
        <w:t xml:space="preserve"> (</w:t>
      </w:r>
      <w:r w:rsidR="00F3073D">
        <w:t>Rigaku Miniflex II</w:t>
      </w:r>
      <w:r w:rsidR="004A720D">
        <w:t>)</w:t>
      </w:r>
      <w:r w:rsidR="00F3073D">
        <w:t xml:space="preserve"> with CuK</w:t>
      </w:r>
      <w:r w:rsidR="007653BD">
        <w:rPr>
          <w:rFonts w:cs="Arial"/>
        </w:rPr>
        <w:t>α</w:t>
      </w:r>
      <w:r w:rsidR="007653BD">
        <w:t xml:space="preserve"> radiation (1.5406 </w:t>
      </w:r>
      <w:r w:rsidR="007653BD">
        <w:rPr>
          <w:rFonts w:cs="Arial"/>
        </w:rPr>
        <w:t>Å</w:t>
      </w:r>
      <w:r w:rsidR="007653BD">
        <w:t>)</w:t>
      </w:r>
      <w:r w:rsidR="00DD5DE9">
        <w:t xml:space="preserve"> was us</w:t>
      </w:r>
      <w:r w:rsidR="00DC0602">
        <w:t xml:space="preserve">ed </w:t>
      </w:r>
      <w:r w:rsidR="00DD5DE9">
        <w:t>by crystallite structures investigation</w:t>
      </w:r>
      <w:r w:rsidR="00551AD3">
        <w:t xml:space="preserve"> under</w:t>
      </w:r>
      <w:r w:rsidR="003A4E80">
        <w:t xml:space="preserve"> the</w:t>
      </w:r>
      <w:r w:rsidR="00551AD3">
        <w:t xml:space="preserve"> follow</w:t>
      </w:r>
      <w:r w:rsidR="002335FB">
        <w:t>ing</w:t>
      </w:r>
      <w:r w:rsidR="00551AD3">
        <w:t xml:space="preserve"> conditions: </w:t>
      </w:r>
      <w:r w:rsidR="00A964C1">
        <w:t>15 mA electric current and 30 kV potential diffe</w:t>
      </w:r>
      <w:r w:rsidR="00A355F5">
        <w:t xml:space="preserve">rence </w:t>
      </w:r>
      <w:r w:rsidR="00A355F5" w:rsidRPr="00ED1DA7">
        <w:t>(10</w:t>
      </w:r>
      <w:r w:rsidR="00E95967" w:rsidRPr="00ED1DA7">
        <w:t xml:space="preserve"> </w:t>
      </w:r>
      <w:r w:rsidR="00A355F5" w:rsidRPr="00ED1DA7">
        <w:t xml:space="preserve">&lt; </w:t>
      </w:r>
      <w:r w:rsidR="00A355F5" w:rsidRPr="00ED1DA7">
        <w:rPr>
          <w:rFonts w:cs="Arial"/>
        </w:rPr>
        <w:t>θ</w:t>
      </w:r>
      <w:r w:rsidR="00A355F5" w:rsidRPr="00ED1DA7">
        <w:t xml:space="preserve"> &lt; 90</w:t>
      </w:r>
      <w:r w:rsidR="00E17AB6">
        <w:t xml:space="preserve"> </w:t>
      </w:r>
      <w:r w:rsidR="00E95967" w:rsidRPr="00ED1DA7">
        <w:t xml:space="preserve">°). </w:t>
      </w:r>
      <w:r w:rsidR="0047634F" w:rsidRPr="00ED1DA7">
        <w:t>Scherrer’s equation was utilized for c</w:t>
      </w:r>
      <w:r w:rsidR="00E95967" w:rsidRPr="00ED1DA7">
        <w:t>rystallite size</w:t>
      </w:r>
      <w:r w:rsidR="002C6FBA" w:rsidRPr="00ED1DA7">
        <w:t xml:space="preserve"> </w:t>
      </w:r>
      <w:r w:rsidR="00210F59" w:rsidRPr="00ED1DA7">
        <w:rPr>
          <w:rFonts w:cs="Arial"/>
          <w:i/>
          <w:iCs/>
        </w:rPr>
        <w:t>τ</w:t>
      </w:r>
      <w:r w:rsidR="00AC5C74" w:rsidRPr="00ED1DA7">
        <w:t xml:space="preserve"> </w:t>
      </w:r>
      <w:r w:rsidR="0047634F" w:rsidRPr="00ED1DA7">
        <w:t>estimation</w:t>
      </w:r>
      <w:r w:rsidR="00254016" w:rsidRPr="00ED1DA7">
        <w:t xml:space="preserve">: </w:t>
      </w:r>
      <w:r w:rsidR="00A05CB4" w:rsidRPr="00ED1DA7">
        <w:t>with</w:t>
      </w:r>
      <w:r w:rsidR="00BA04C1" w:rsidRPr="00ED1DA7">
        <w:t xml:space="preserve"> Bragg’s angle </w:t>
      </w:r>
      <w:r w:rsidR="00BA04C1" w:rsidRPr="00ED1DA7">
        <w:rPr>
          <w:rFonts w:cs="Arial"/>
        </w:rPr>
        <w:t>θ</w:t>
      </w:r>
      <w:r w:rsidR="00260864" w:rsidRPr="00ED1DA7">
        <w:rPr>
          <w:rFonts w:cs="Arial"/>
        </w:rPr>
        <w:t xml:space="preserve"> </w:t>
      </w:r>
      <w:r w:rsidR="00260864">
        <w:rPr>
          <w:rFonts w:cs="Arial"/>
        </w:rPr>
        <w:t>(rad)</w:t>
      </w:r>
      <w:r w:rsidR="00BA04C1">
        <w:t>,</w:t>
      </w:r>
      <w:r w:rsidR="00A05CB4">
        <w:t xml:space="preserve"> </w:t>
      </w:r>
      <w:r w:rsidR="002C6FBA">
        <w:t xml:space="preserve">form factor </w:t>
      </w:r>
      <w:r w:rsidR="00BA04C1">
        <w:t>K</w:t>
      </w:r>
      <w:r w:rsidR="005441B1">
        <w:t xml:space="preserve"> = 0.9, </w:t>
      </w:r>
      <w:r w:rsidR="001A129E">
        <w:t xml:space="preserve">wavelength </w:t>
      </w:r>
      <w:r w:rsidR="005441B1">
        <w:rPr>
          <w:rFonts w:cs="Arial"/>
        </w:rPr>
        <w:t>λ</w:t>
      </w:r>
      <w:r w:rsidR="001A129E">
        <w:rPr>
          <w:rFonts w:cs="Arial"/>
        </w:rPr>
        <w:t xml:space="preserve"> =</w:t>
      </w:r>
      <w:r w:rsidR="00BA04C1">
        <w:rPr>
          <w:rFonts w:cs="Arial"/>
        </w:rPr>
        <w:t xml:space="preserve"> 0.</w:t>
      </w:r>
      <w:r w:rsidR="001A129E">
        <w:t xml:space="preserve">15406 </w:t>
      </w:r>
      <w:r w:rsidR="00BA04C1">
        <w:t>nm,</w:t>
      </w:r>
      <w:r w:rsidR="00210F59">
        <w:t xml:space="preserve"> and </w:t>
      </w:r>
      <w:r w:rsidR="00260864">
        <w:rPr>
          <w:rFonts w:cs="Arial"/>
        </w:rPr>
        <w:t>β</w:t>
      </w:r>
      <w:r w:rsidR="00BA04C1">
        <w:t xml:space="preserve"> </w:t>
      </w:r>
      <w:r w:rsidR="00121981">
        <w:t xml:space="preserve">= </w:t>
      </w:r>
      <w:r w:rsidR="00DB79A0">
        <w:t>full width at half maximum</w:t>
      </w:r>
      <w:r w:rsidR="00875463">
        <w:t xml:space="preserve"> peak</w:t>
      </w:r>
      <w:r w:rsidR="00DB79A0">
        <w:t xml:space="preserve"> (FWHM)</w:t>
      </w:r>
      <w:r w:rsidR="0047634F">
        <w:t xml:space="preserve"> </w:t>
      </w:r>
      <w:r w:rsidR="000B4B1D">
        <w:fldChar w:fldCharType="begin" w:fldLock="1"/>
      </w:r>
      <w:r w:rsidR="00462ED2">
        <w:instrText>ADDIN CSL_CITATION {"citationItems":[{"id":"ITEM-1","itemData":{"DOI":"10.1007/978-3-662-33915-2_7","author":[{"dropping-particle":"","family":"Scherrer","given":"P.","non-dropping-particle":"","parse-names":false,"suffix":""}],"container-title":"Kolloidchemie Ein Lehrbuch","id":"ITEM-1","issued":{"date-parts":[["1912"]]},"page":"387-409","publisher":"Springer Berlin Heidelberg","publisher-place":"Berlin, Heidelberg","title":"Bestimmung der inneren Struktur und der Größe von Kolloidteilchen mittels Röntgenstrahlen","type":"chapter"},"uris":["http://www.mendeley.com/documents/?uuid=c619d3a6-f678-40fa-92de-a78669827f1e"]}],"mendeley":{"formattedCitation":"(Scherrer, 1912)","plainTextFormattedCitation":"(Scherrer, 1912)","previouslyFormattedCitation":"(Scherrer, 1912)"},"properties":{"noteIndex":0},"schema":"https://github.com/citation-style-language/schema/raw/master/csl-citation.json"}</w:instrText>
      </w:r>
      <w:r w:rsidR="000B4B1D">
        <w:fldChar w:fldCharType="separate"/>
      </w:r>
      <w:r w:rsidR="00D33139" w:rsidRPr="00D33139">
        <w:rPr>
          <w:noProof/>
        </w:rPr>
        <w:t>(Scherrer, 1912)</w:t>
      </w:r>
      <w:r w:rsidR="000B4B1D">
        <w:fldChar w:fldCharType="end"/>
      </w:r>
      <w:r w:rsidR="00F42E8B">
        <w:t>.</w:t>
      </w:r>
      <w:r w:rsidR="00CB411C">
        <w:t xml:space="preserve"> Optical proprieties were determined by Kubelka-Munk, through diffuse reflectance </w:t>
      </w:r>
      <w:r w:rsidR="008461B7">
        <w:t>spectroscopy</w:t>
      </w:r>
      <w:r w:rsidR="00CB411C">
        <w:t xml:space="preserve"> (DRS, UV</w:t>
      </w:r>
      <w:r w:rsidR="009F3823">
        <w:t>-</w:t>
      </w:r>
      <w:r w:rsidR="00CB411C">
        <w:t>Vis/NIR Cary 7000, Agilent) using BaSO</w:t>
      </w:r>
      <w:r w:rsidR="00CB411C" w:rsidRPr="009B0648">
        <w:rPr>
          <w:vertAlign w:val="subscript"/>
        </w:rPr>
        <w:t>4</w:t>
      </w:r>
      <w:r w:rsidR="00CB411C">
        <w:t xml:space="preserve"> and </w:t>
      </w:r>
      <w:r w:rsidR="00B0291F">
        <w:t xml:space="preserve">band gap estimated by </w:t>
      </w:r>
      <w:r w:rsidR="00CB411C">
        <w:t>Tauc’s plot</w:t>
      </w:r>
      <w:r w:rsidR="00B0291F">
        <w:t xml:space="preserve"> </w:t>
      </w:r>
      <w:r w:rsidR="00B0291F">
        <w:fldChar w:fldCharType="begin" w:fldLock="1"/>
      </w:r>
      <w:r w:rsidR="00D33139">
        <w:instrText>ADDIN CSL_CITATION {"citationItems":[{"id":"ITEM-1","itemData":{"DOI":"10.1016/0025-5408(68)90023-8","ISSN":"00255408","abstract":"Following the school health statistics from the Ministry of Education myopia prevalence rate in elementary school children and secondary school pupils for 10 years from 1955 to 1964 is revealed by 46 prefectures . On the geographic distribution of the prevalence rate, the correlations with natural environmental factors such as annual average temperature and annual insolation duration and with socio-economic factors such as promotion rate of pupils to higher school and living expenditures per person per month are calculated. 1. Myopia prevalence rate is higher in the area of Japan sea side slope from Hokkaido to Hokuriku and in the large cities of the Pacific side, lower in the area which extends from southern Kyushu through Shikoku to Wakayama and in the northern Kanto plain area . 2. The negative correlation with the geographic distribution of annual average temperature is recognized for female. The negative correlation with the geographic distribution of annual insolation duration is found for both sexes, but that for female is higher. 3. The positive correlation with the geogrophic distribution of the promotion rate to the senior secondary school is recognized only for junior secondary school pupils , but the correlation with the promotion rate to the college and the university is found in all male and female groups of all schools. 4. The highest grade positive correlation is found with the geographic distribution of living expenditures per person per month of all consumers for male and female groups of all schools.","author":[{"dropping-particle":"","family":"Tauc","given":"J.","non-dropping-particle":"","parse-names":false,"suffix":""}],"container-title":"Materials Research Bulletin","id":"ITEM-1","issue":"1","issued":{"date-parts":[["1968","1"]]},"page":"37-46","title":"Optical properties and electronic structure of amorphous Ge and Si","type":"article-journal","volume":"3"},"uris":["http://www.mendeley.com/documents/?uuid=a45c98d0-9f7e-4b36-91e7-8ec682ca7d45"]}],"mendeley":{"formattedCitation":"(Tauc, 1968)","plainTextFormattedCitation":"(Tauc, 1968)","previouslyFormattedCitation":"(Tauc, 1968)"},"properties":{"noteIndex":0},"schema":"https://github.com/citation-style-language/schema/raw/master/csl-citation.json"}</w:instrText>
      </w:r>
      <w:r w:rsidR="00B0291F">
        <w:fldChar w:fldCharType="separate"/>
      </w:r>
      <w:r w:rsidR="00D33139" w:rsidRPr="00D33139">
        <w:rPr>
          <w:noProof/>
        </w:rPr>
        <w:t>(Tauc, 1968)</w:t>
      </w:r>
      <w:r w:rsidR="00B0291F">
        <w:fldChar w:fldCharType="end"/>
      </w:r>
      <w:r w:rsidR="00CB411C">
        <w:t>.</w:t>
      </w:r>
      <w:r w:rsidR="00EB151F">
        <w:t xml:space="preserve"> X-ray photoelectron spectroscopy (XPS) spectra</w:t>
      </w:r>
      <w:r w:rsidR="0081024E">
        <w:t xml:space="preserve"> </w:t>
      </w:r>
      <w:r w:rsidR="00187A10">
        <w:t>were obtained (Physical Electronics PHI 5700</w:t>
      </w:r>
      <w:r w:rsidR="007C73D6">
        <w:t>, Al-K</w:t>
      </w:r>
      <w:r w:rsidR="007C73D6">
        <w:rPr>
          <w:rFonts w:cs="Arial"/>
        </w:rPr>
        <w:t>α</w:t>
      </w:r>
      <w:r w:rsidR="003964F4">
        <w:t xml:space="preserve"> radiation</w:t>
      </w:r>
      <w:r w:rsidR="00282CDF">
        <w:t>)</w:t>
      </w:r>
      <w:r w:rsidR="0047132C">
        <w:t>,</w:t>
      </w:r>
      <w:r w:rsidR="00282CDF">
        <w:t xml:space="preserve"> and adventitious carbon (C 1</w:t>
      </w:r>
      <w:r w:rsidR="00282CDF" w:rsidRPr="00792CC2">
        <w:rPr>
          <w:i/>
          <w:iCs/>
        </w:rPr>
        <w:t>s</w:t>
      </w:r>
      <w:r w:rsidR="00282CDF">
        <w:t xml:space="preserve"> at 284.8 eV) was used as</w:t>
      </w:r>
      <w:r w:rsidR="0047132C">
        <w:t xml:space="preserve"> </w:t>
      </w:r>
      <w:r w:rsidR="00282CDF">
        <w:t>reference</w:t>
      </w:r>
      <w:r w:rsidR="008D5506">
        <w:t>, the deconvolution curves were fitted using Gaussian-Lorentzian model in Multipak software.</w:t>
      </w:r>
    </w:p>
    <w:p w14:paraId="04156F3A" w14:textId="2075BDE7" w:rsidR="00DC03ED" w:rsidRPr="003F7626" w:rsidRDefault="002140CF" w:rsidP="00453E24">
      <w:pPr>
        <w:pStyle w:val="CETBodytext"/>
      </w:pPr>
      <w:r w:rsidRPr="002140CF">
        <w:t>The photocatalytic assay was performed in a previously described system</w:t>
      </w:r>
      <w:r w:rsidR="00FB013B">
        <w:t xml:space="preserve"> and</w:t>
      </w:r>
      <w:r w:rsidR="00862093">
        <w:t xml:space="preserve"> adapted</w:t>
      </w:r>
      <w:r w:rsidR="00FB013B">
        <w:t xml:space="preserve"> </w:t>
      </w:r>
      <w:r w:rsidR="00B622F1">
        <w:t>analysis conditions</w:t>
      </w:r>
      <w:r w:rsidR="00332D13">
        <w:t xml:space="preserve"> </w:t>
      </w:r>
      <w:r w:rsidR="00332D13">
        <w:fldChar w:fldCharType="begin" w:fldLock="1"/>
      </w:r>
      <w:r w:rsidR="00462ED2">
        <w:instrText>ADDIN CSL_CITATION {"citationItems":[{"id":"ITEM-1","itemData":{"DOI":"10.1016/j.jphotochem.2022.114102","ISSN":"10106030","abstract":"The photocatalytic degradation of ethylene is an efficient technology applied to the fruit ripening control. When photocatalytic reactions remove ethylene from the storage and transportation environment of fruits and vegetables, the respiration rate decreases, and the quality of food is preserved for a long time. It is well known that photocatalysis involves the photogeneration of electron-hole pairs (e−/h+) under light irradiation, separation, and migration of charges on the material surface, oxidation and reduction reactions involving electrons and holes pairs, and charge recombination on the catalyst surface. In this study, we report the syntheses, characterization, and evaluation of photocatalytic activity of the β-Ag2MoO4/g-C3N4 photocatalysts to degrade ethylene in the gas phase under UV-A irradiation. The effect of the β-Ag2MoO4:g-C3N4 ratio on reactive oxygen species (ROS) generation and increasing the electron/hole charge separation is evaluated in detail. Under UV-A illumination and the absence of water, superoxide radicals are most efficiently produced in hybrid samples containing a higher g-C3N4 percentage, but lower O2·− amount is formed in pure g-C3N4. The hybrid samples containing higher amounts of g-C3N4 are more efficient to degrade ethylene because of better e− and h+ charge separation and superoxide radicals’ formation, which participate in ethylene degradation.","author":[{"dropping-particle":"","family":"Fraga","given":"Fernanda Cristina","non-dropping-particle":"","parse-names":false,"suffix":""},{"dropping-particle":"","family":"Rocca","given":"Daniela Gier","non-dropping-particle":"Della","parse-names":false,"suffix":""},{"dropping-particle":"","family":"José","given":"Humberto Jorge","non-dropping-particle":"","parse-names":false,"suffix":""},{"dropping-particle":"","family":"Victória","given":"Henrique F.V.","non-dropping-particle":"","parse-names":false,"suffix":""},{"dropping-particle":"","family":"Gabriel Filho","given":"José Balena","non-dropping-particle":"","parse-names":false,"suffix":""},{"dropping-particle":"","family":"Krambrock","given":"Klaus","non-dropping-particle":"","parse-names":false,"suffix":""},{"dropping-particle":"","family":"Rodríguez-Castellón","given":"Enrique","non-dropping-particle":"","parse-names":false,"suffix":""},{"dropping-particle":"","family":"Moreira","given":"Regina de Fátima Peralta Muniz","non-dropping-particle":"","parse-names":false,"suffix":""}],"container-title":"Journal of Photochemistry and Photobiology A: Chemistry","id":"ITEM-1","issued":{"date-parts":[["2022","11"]]},"page":"114102","title":"Evaluation of reactive oxygen species and photocatalytic degradation of ethylene using β-Ag&lt;sub&gt;2&lt;/sub&gt;MoO&lt;sub&gt;4&lt;/sub&gt;/g-C&lt;sub&gt;3&lt;/sub&gt;N&lt;sub&gt;4&lt;/sub&gt; composites","type":"article-journal","volume":"432"},"uris":["http://www.mendeley.com/documents/?uuid=bf94f4c6-4b91-4262-bf10-d2ff127e1924"]}],"mendeley":{"formattedCitation":"(Fraga et al., 2022)","plainTextFormattedCitation":"(Fraga et al., 2022)","previouslyFormattedCitation":"(Fraga et al., 2022)"},"properties":{"noteIndex":0},"schema":"https://github.com/citation-style-language/schema/raw/master/csl-citation.json"}</w:instrText>
      </w:r>
      <w:r w:rsidR="00332D13">
        <w:fldChar w:fldCharType="separate"/>
      </w:r>
      <w:r w:rsidR="00D33139" w:rsidRPr="00D33139">
        <w:rPr>
          <w:noProof/>
        </w:rPr>
        <w:t>(Fraga et al., 2022)</w:t>
      </w:r>
      <w:r w:rsidR="00332D13">
        <w:fldChar w:fldCharType="end"/>
      </w:r>
      <w:r w:rsidRPr="002140CF">
        <w:t>, with inlet ethylene concentration at 1</w:t>
      </w:r>
      <w:r w:rsidR="0047132C">
        <w:t>.</w:t>
      </w:r>
      <w:r w:rsidRPr="002140CF">
        <w:t>0</w:t>
      </w:r>
      <w:r w:rsidR="00177F62">
        <w:t xml:space="preserve"> </w:t>
      </w:r>
      <w:r w:rsidRPr="002140CF">
        <w:t>%</w:t>
      </w:r>
      <w:r w:rsidR="00EC51E2">
        <w:t xml:space="preserve"> (mol/mol)</w:t>
      </w:r>
      <w:r w:rsidRPr="002140CF">
        <w:t xml:space="preserve"> in synthetic air, UV-A or visible lamp (10 W)</w:t>
      </w:r>
      <w:r w:rsidR="005F1520">
        <w:t xml:space="preserve"> was </w:t>
      </w:r>
      <w:r w:rsidR="002C687E">
        <w:t>placed on</w:t>
      </w:r>
      <w:r w:rsidR="0047132C">
        <w:t xml:space="preserve"> the</w:t>
      </w:r>
      <w:r w:rsidR="002C687E">
        <w:t xml:space="preserve"> top outside </w:t>
      </w:r>
      <w:r w:rsidRPr="002140CF">
        <w:t>reactor</w:t>
      </w:r>
      <w:r w:rsidR="00276108">
        <w:t xml:space="preserve"> </w:t>
      </w:r>
      <w:r w:rsidRPr="002140CF">
        <w:t>(</w:t>
      </w:r>
      <w:r w:rsidR="00276108">
        <w:t>borosilicate glass semi</w:t>
      </w:r>
      <w:r w:rsidR="0047132C">
        <w:t>-</w:t>
      </w:r>
      <w:r w:rsidR="00276108">
        <w:t>tubular</w:t>
      </w:r>
      <w:r w:rsidR="00517D5B">
        <w:t xml:space="preserve">, </w:t>
      </w:r>
      <w:r w:rsidRPr="002140CF">
        <w:t>100 mL volume)</w:t>
      </w:r>
      <w:r w:rsidR="00D869EA">
        <w:t xml:space="preserve">. </w:t>
      </w:r>
      <w:r w:rsidR="00C71721">
        <w:t>P</w:t>
      </w:r>
      <w:r w:rsidRPr="002140CF">
        <w:t>hotocatalyst</w:t>
      </w:r>
      <w:r w:rsidR="00D44496">
        <w:t xml:space="preserve"> </w:t>
      </w:r>
      <w:r w:rsidR="00C71721">
        <w:t>(</w:t>
      </w:r>
      <w:r w:rsidR="00C71721" w:rsidRPr="002140CF">
        <w:t>400 mg</w:t>
      </w:r>
      <w:r w:rsidR="00C71721">
        <w:t>) was</w:t>
      </w:r>
      <w:r w:rsidR="00E52D64">
        <w:t xml:space="preserve"> disposed </w:t>
      </w:r>
      <w:r w:rsidR="00F7472E">
        <w:t>on</w:t>
      </w:r>
      <w:r w:rsidR="0047132C">
        <w:t>to a</w:t>
      </w:r>
      <w:r w:rsidR="00F7472E">
        <w:t xml:space="preserve"> 26 x 76 mm glass slide, </w:t>
      </w:r>
      <w:r w:rsidR="00E52D64">
        <w:t>on the base of</w:t>
      </w:r>
      <w:r w:rsidR="00151FA1">
        <w:t xml:space="preserve"> the</w:t>
      </w:r>
      <w:r w:rsidR="00E52D64">
        <w:t xml:space="preserve"> reactor</w:t>
      </w:r>
      <w:r w:rsidR="00F7472E">
        <w:t>, in powder form</w:t>
      </w:r>
      <w:r w:rsidR="00E52D64">
        <w:t xml:space="preserve">. </w:t>
      </w:r>
      <w:r w:rsidRPr="002140CF">
        <w:t>The flow rate (50 mL.min</w:t>
      </w:r>
      <w:r w:rsidRPr="002140CF">
        <w:rPr>
          <w:vertAlign w:val="superscript"/>
        </w:rPr>
        <w:t>-1</w:t>
      </w:r>
      <w:r w:rsidRPr="002140CF">
        <w:t>) was kept continuous</w:t>
      </w:r>
      <w:r w:rsidR="00E52D64">
        <w:t xml:space="preserve"> all </w:t>
      </w:r>
      <w:r w:rsidR="00435D46">
        <w:t xml:space="preserve">the </w:t>
      </w:r>
      <w:r w:rsidR="00E52D64">
        <w:t>time</w:t>
      </w:r>
      <w:r w:rsidR="00310D3C">
        <w:t>. G</w:t>
      </w:r>
      <w:r w:rsidRPr="002140CF">
        <w:t>as samples</w:t>
      </w:r>
      <w:r w:rsidR="0047132C">
        <w:t xml:space="preserve"> were </w:t>
      </w:r>
      <w:r w:rsidRPr="002140CF">
        <w:t xml:space="preserve">collected at the inlet and outlet of the </w:t>
      </w:r>
      <w:r w:rsidR="003D56CB" w:rsidRPr="002140CF">
        <w:t>reactor</w:t>
      </w:r>
      <w:r w:rsidR="003D56CB">
        <w:t xml:space="preserve">, </w:t>
      </w:r>
      <w:r w:rsidR="0087199B">
        <w:t>injected</w:t>
      </w:r>
      <w:r w:rsidRPr="002140CF">
        <w:t xml:space="preserve"> in</w:t>
      </w:r>
      <w:r w:rsidR="00020E11">
        <w:t>to</w:t>
      </w:r>
      <w:r w:rsidRPr="002140CF">
        <w:t xml:space="preserve"> a gas chromatograph coupled to a mass spectrometer (GCMS, Shimadzu GC/QP 2010 Plus)</w:t>
      </w:r>
      <w:r w:rsidR="00A1596D">
        <w:t>,</w:t>
      </w:r>
      <w:r w:rsidR="00647841">
        <w:t xml:space="preserve"> </w:t>
      </w:r>
      <w:r w:rsidR="00970FAA">
        <w:t>monitoring the mass/ion charge ration (m/z): 44 m/z for carbon dioxide</w:t>
      </w:r>
      <w:r w:rsidR="00EF3559">
        <w:t xml:space="preserve"> ions </w:t>
      </w:r>
      <w:r w:rsidR="00970FAA">
        <w:t>identification, and 27, 26 and 25 m/z for ethylene ions identification</w:t>
      </w:r>
      <w:r w:rsidR="00952E20">
        <w:t xml:space="preserve">. </w:t>
      </w:r>
      <w:r w:rsidR="0047132C">
        <w:t>The c</w:t>
      </w:r>
      <w:r w:rsidR="00817D4D">
        <w:t xml:space="preserve">hromatograph </w:t>
      </w:r>
      <w:r w:rsidR="00F066D6">
        <w:t xml:space="preserve">operation temperature was maintained at 28 °C. </w:t>
      </w:r>
      <w:r w:rsidR="00CD4399">
        <w:t xml:space="preserve">The results are expressed </w:t>
      </w:r>
      <w:r w:rsidR="003F7626">
        <w:t xml:space="preserve">in terms of the </w:t>
      </w:r>
      <w:r w:rsidR="00CD124E">
        <w:t xml:space="preserve">carbon dioxide production </w:t>
      </w:r>
      <w:r w:rsidR="003F7626">
        <w:t>rate (</w:t>
      </w:r>
      <w:r w:rsidR="003F7626">
        <w:rPr>
          <w:rFonts w:cs="Arial"/>
        </w:rPr>
        <w:t>μ</w:t>
      </w:r>
      <w:r w:rsidR="003F7626">
        <w:t>mol.min</w:t>
      </w:r>
      <w:r w:rsidR="003F7626" w:rsidRPr="003F7626">
        <w:rPr>
          <w:vertAlign w:val="superscript"/>
        </w:rPr>
        <w:t>-1</w:t>
      </w:r>
      <w:r w:rsidR="003F7626">
        <w:t>.g</w:t>
      </w:r>
      <w:r w:rsidR="003F7626" w:rsidRPr="003F7626">
        <w:rPr>
          <w:vertAlign w:val="subscript"/>
        </w:rPr>
        <w:t>cat</w:t>
      </w:r>
      <w:r w:rsidR="003F7626" w:rsidRPr="003F7626">
        <w:rPr>
          <w:vertAlign w:val="superscript"/>
        </w:rPr>
        <w:t>-1</w:t>
      </w:r>
      <w:r w:rsidR="003F7626" w:rsidRPr="003F7626">
        <w:t>)</w:t>
      </w:r>
      <w:r w:rsidR="00952E20">
        <w:t>.</w:t>
      </w:r>
      <w:r w:rsidR="007175AC" w:rsidRPr="003F7626">
        <w:t xml:space="preserve"> </w:t>
      </w:r>
    </w:p>
    <w:p w14:paraId="677EBFF0" w14:textId="68FEAD35" w:rsidR="00600535" w:rsidRPr="00666AD1" w:rsidRDefault="001324A1" w:rsidP="00666AD1">
      <w:pPr>
        <w:pStyle w:val="CETHeading1"/>
      </w:pPr>
      <w:r w:rsidRPr="00666AD1">
        <w:t>Results and discussion</w:t>
      </w:r>
    </w:p>
    <w:p w14:paraId="04963A06" w14:textId="249DBDA8" w:rsidR="00600535" w:rsidRPr="002D05BE" w:rsidRDefault="00BB5206" w:rsidP="002D05BE">
      <w:pPr>
        <w:pStyle w:val="CETheadingx"/>
      </w:pPr>
      <w:r w:rsidRPr="002D05BE">
        <w:t>Structural, textual, and chemical characterization</w:t>
      </w:r>
    </w:p>
    <w:p w14:paraId="3FC66B51" w14:textId="53246FF9" w:rsidR="005C2DDF" w:rsidRDefault="008E295B" w:rsidP="008B1854">
      <w:pPr>
        <w:pStyle w:val="CETBodytext"/>
      </w:pPr>
      <w:r>
        <w:rPr>
          <w:lang w:val="en-GB"/>
        </w:rPr>
        <w:t>XRD patterns of all samples are shown</w:t>
      </w:r>
      <w:r w:rsidR="00080AC7">
        <w:rPr>
          <w:lang w:val="en-GB"/>
        </w:rPr>
        <w:t xml:space="preserve"> i</w:t>
      </w:r>
      <w:r w:rsidR="00FF0BF0">
        <w:rPr>
          <w:lang w:val="en-GB"/>
        </w:rPr>
        <w:t>n</w:t>
      </w:r>
      <w:r w:rsidR="00FF0BF0" w:rsidRPr="00FF0BF0">
        <w:rPr>
          <w:i/>
          <w:iCs/>
          <w:lang w:val="en-GB"/>
        </w:rPr>
        <w:t xml:space="preserve"> </w:t>
      </w:r>
      <w:r w:rsidR="001206CA" w:rsidRPr="00FF0BF0">
        <w:rPr>
          <w:i/>
          <w:iCs/>
          <w:lang w:val="en-GB"/>
        </w:rPr>
        <w:fldChar w:fldCharType="begin"/>
      </w:r>
      <w:r w:rsidR="001206CA" w:rsidRPr="00FF0BF0">
        <w:rPr>
          <w:i/>
          <w:iCs/>
          <w:lang w:val="en-GB"/>
        </w:rPr>
        <w:instrText xml:space="preserve"> REF _Ref125705849 \h </w:instrText>
      </w:r>
      <w:r w:rsidR="00FF0BF0" w:rsidRPr="00FF0BF0">
        <w:rPr>
          <w:i/>
          <w:iCs/>
          <w:lang w:val="en-GB"/>
        </w:rPr>
        <w:instrText xml:space="preserve"> \* MERGEFORMAT </w:instrText>
      </w:r>
      <w:r w:rsidR="001206CA" w:rsidRPr="00FF0BF0">
        <w:rPr>
          <w:i/>
          <w:iCs/>
          <w:lang w:val="en-GB"/>
        </w:rPr>
      </w:r>
      <w:r w:rsidR="001206CA" w:rsidRPr="00FF0BF0">
        <w:rPr>
          <w:i/>
          <w:iCs/>
          <w:lang w:val="en-GB"/>
        </w:rPr>
        <w:fldChar w:fldCharType="separate"/>
      </w:r>
      <w:r w:rsidR="007D2DE0" w:rsidRPr="007D2DE0">
        <w:rPr>
          <w:rStyle w:val="CETCaptionCarattere"/>
          <w:i w:val="0"/>
          <w:iCs/>
          <w:lang w:val="en-US"/>
        </w:rPr>
        <w:t xml:space="preserve">Figure </w:t>
      </w:r>
      <w:r w:rsidR="007D2DE0" w:rsidRPr="007D2DE0">
        <w:rPr>
          <w:rStyle w:val="CETCaptionCarattere"/>
          <w:i w:val="0"/>
          <w:iCs/>
          <w:noProof/>
          <w:lang w:val="en-US"/>
        </w:rPr>
        <w:t>1</w:t>
      </w:r>
      <w:r w:rsidR="001206CA" w:rsidRPr="00FF0BF0">
        <w:rPr>
          <w:i/>
          <w:iCs/>
          <w:lang w:val="en-GB"/>
        </w:rPr>
        <w:fldChar w:fldCharType="end"/>
      </w:r>
      <w:r w:rsidR="00CB7493">
        <w:rPr>
          <w:lang w:val="en-GB"/>
        </w:rPr>
        <w:t xml:space="preserve">. </w:t>
      </w:r>
      <w:r w:rsidR="00921E3B">
        <w:rPr>
          <w:lang w:val="en-GB"/>
        </w:rPr>
        <w:t>S</w:t>
      </w:r>
      <w:r w:rsidR="00EB3587">
        <w:rPr>
          <w:lang w:val="en-GB"/>
        </w:rPr>
        <w:t>amples contain</w:t>
      </w:r>
      <w:r w:rsidR="004C593C">
        <w:rPr>
          <w:lang w:val="en-GB"/>
        </w:rPr>
        <w:t>ing</w:t>
      </w:r>
      <w:r w:rsidR="00EB3587">
        <w:rPr>
          <w:lang w:val="en-GB"/>
        </w:rPr>
        <w:t xml:space="preserve"> TiO</w:t>
      </w:r>
      <w:r w:rsidR="00EB3587" w:rsidRPr="00EA55F6">
        <w:rPr>
          <w:vertAlign w:val="subscript"/>
          <w:lang w:val="en-GB"/>
        </w:rPr>
        <w:t>2</w:t>
      </w:r>
      <w:r w:rsidR="00EB3587">
        <w:rPr>
          <w:lang w:val="en-GB"/>
        </w:rPr>
        <w:t xml:space="preserve"> </w:t>
      </w:r>
      <w:r w:rsidR="00A073F6">
        <w:rPr>
          <w:lang w:val="en-GB"/>
        </w:rPr>
        <w:t>(</w:t>
      </w:r>
      <w:r w:rsidR="001206CA" w:rsidRPr="00F85116">
        <w:rPr>
          <w:i/>
          <w:iCs/>
          <w:lang w:val="en-GB"/>
        </w:rPr>
        <w:fldChar w:fldCharType="begin"/>
      </w:r>
      <w:r w:rsidR="001206CA" w:rsidRPr="00F85116">
        <w:rPr>
          <w:i/>
          <w:iCs/>
          <w:lang w:val="en-GB"/>
        </w:rPr>
        <w:instrText xml:space="preserve"> REF _Ref125705849 \h </w:instrText>
      </w:r>
      <w:r w:rsidR="00F85116" w:rsidRPr="00F85116">
        <w:rPr>
          <w:i/>
          <w:iCs/>
          <w:lang w:val="en-GB"/>
        </w:rPr>
        <w:instrText xml:space="preserve"> \* MERGEFORMAT </w:instrText>
      </w:r>
      <w:r w:rsidR="001206CA" w:rsidRPr="00F85116">
        <w:rPr>
          <w:i/>
          <w:iCs/>
          <w:lang w:val="en-GB"/>
        </w:rPr>
      </w:r>
      <w:r w:rsidR="001206CA" w:rsidRPr="00F85116">
        <w:rPr>
          <w:i/>
          <w:iCs/>
          <w:lang w:val="en-GB"/>
        </w:rPr>
        <w:fldChar w:fldCharType="separate"/>
      </w:r>
      <w:r w:rsidR="007D2DE0" w:rsidRPr="007D2DE0">
        <w:rPr>
          <w:rStyle w:val="CETCaptionCarattere"/>
          <w:i w:val="0"/>
          <w:iCs/>
          <w:lang w:val="en-US"/>
        </w:rPr>
        <w:t xml:space="preserve">Figure </w:t>
      </w:r>
      <w:r w:rsidR="007D2DE0" w:rsidRPr="007D2DE0">
        <w:rPr>
          <w:rStyle w:val="CETCaptionCarattere"/>
          <w:i w:val="0"/>
          <w:iCs/>
          <w:noProof/>
          <w:lang w:val="en-US"/>
        </w:rPr>
        <w:t>1</w:t>
      </w:r>
      <w:r w:rsidR="001206CA" w:rsidRPr="00F85116">
        <w:rPr>
          <w:i/>
          <w:iCs/>
          <w:lang w:val="en-GB"/>
        </w:rPr>
        <w:fldChar w:fldCharType="end"/>
      </w:r>
      <w:r w:rsidR="00A073F6" w:rsidRPr="00F85116">
        <w:rPr>
          <w:lang w:val="en-GB"/>
        </w:rPr>
        <w:t>a</w:t>
      </w:r>
      <w:r w:rsidR="00A073F6">
        <w:rPr>
          <w:lang w:val="en-GB"/>
        </w:rPr>
        <w:t>)</w:t>
      </w:r>
      <w:r w:rsidR="0031696E">
        <w:rPr>
          <w:lang w:val="en-GB"/>
        </w:rPr>
        <w:t xml:space="preserve"> </w:t>
      </w:r>
      <w:r w:rsidR="00220EF9">
        <w:rPr>
          <w:lang w:val="en-GB"/>
        </w:rPr>
        <w:t>showed</w:t>
      </w:r>
      <w:r w:rsidR="00EB3587">
        <w:rPr>
          <w:lang w:val="en-GB"/>
        </w:rPr>
        <w:t xml:space="preserve"> peaks</w:t>
      </w:r>
      <w:r w:rsidR="00F022DE">
        <w:rPr>
          <w:lang w:val="en-GB"/>
        </w:rPr>
        <w:t xml:space="preserve"> </w:t>
      </w:r>
      <w:r w:rsidR="000466B1">
        <w:rPr>
          <w:lang w:val="en-GB"/>
        </w:rPr>
        <w:t>characteristic</w:t>
      </w:r>
      <w:r w:rsidR="00F022DE">
        <w:rPr>
          <w:lang w:val="en-GB"/>
        </w:rPr>
        <w:t xml:space="preserve"> of the anatase </w:t>
      </w:r>
      <w:r w:rsidR="000073BF">
        <w:rPr>
          <w:lang w:val="en-GB"/>
        </w:rPr>
        <w:t xml:space="preserve">phase </w:t>
      </w:r>
      <w:r w:rsidR="00EB3587">
        <w:rPr>
          <w:lang w:val="en-GB"/>
        </w:rPr>
        <w:t>at</w:t>
      </w:r>
      <w:r w:rsidR="00E50527">
        <w:rPr>
          <w:lang w:val="en-GB"/>
        </w:rPr>
        <w:t>:</w:t>
      </w:r>
      <w:r w:rsidR="00EB3587">
        <w:rPr>
          <w:lang w:val="en-GB"/>
        </w:rPr>
        <w:t xml:space="preserve"> </w:t>
      </w:r>
      <w:r w:rsidR="00FC279D">
        <w:rPr>
          <w:lang w:val="en-GB"/>
        </w:rPr>
        <w:t>25.</w:t>
      </w:r>
      <w:r w:rsidR="00B235DE">
        <w:rPr>
          <w:lang w:val="en-GB"/>
        </w:rPr>
        <w:t>3</w:t>
      </w:r>
      <w:r w:rsidR="00FC279D">
        <w:rPr>
          <w:lang w:val="en-GB"/>
        </w:rPr>
        <w:t xml:space="preserve">, </w:t>
      </w:r>
      <w:r w:rsidR="00F022DE">
        <w:rPr>
          <w:lang w:val="en-GB"/>
        </w:rPr>
        <w:t>38,7</w:t>
      </w:r>
      <w:r w:rsidR="000466B1">
        <w:rPr>
          <w:lang w:val="en-GB"/>
        </w:rPr>
        <w:t xml:space="preserve">, </w:t>
      </w:r>
      <w:r w:rsidR="00FC279D">
        <w:rPr>
          <w:lang w:val="en-GB"/>
        </w:rPr>
        <w:t>48.</w:t>
      </w:r>
      <w:r w:rsidR="000466B1">
        <w:rPr>
          <w:lang w:val="en-GB"/>
        </w:rPr>
        <w:t>0</w:t>
      </w:r>
      <w:r w:rsidR="00FC279D">
        <w:rPr>
          <w:lang w:val="en-GB"/>
        </w:rPr>
        <w:t>, 53.</w:t>
      </w:r>
      <w:r w:rsidR="000466B1">
        <w:rPr>
          <w:lang w:val="en-GB"/>
        </w:rPr>
        <w:t>9</w:t>
      </w:r>
      <w:r w:rsidR="00FC279D">
        <w:rPr>
          <w:lang w:val="en-GB"/>
        </w:rPr>
        <w:t>, 55.</w:t>
      </w:r>
      <w:r w:rsidR="000466B1">
        <w:rPr>
          <w:lang w:val="en-GB"/>
        </w:rPr>
        <w:t>4</w:t>
      </w:r>
      <w:r w:rsidR="00FC279D">
        <w:rPr>
          <w:lang w:val="en-GB"/>
        </w:rPr>
        <w:t>, 62.</w:t>
      </w:r>
      <w:r w:rsidR="000466B1">
        <w:rPr>
          <w:lang w:val="en-GB"/>
        </w:rPr>
        <w:t>8</w:t>
      </w:r>
      <w:r w:rsidR="00FC279D">
        <w:rPr>
          <w:lang w:val="en-GB"/>
        </w:rPr>
        <w:t>,</w:t>
      </w:r>
      <w:r w:rsidR="000466B1">
        <w:rPr>
          <w:lang w:val="en-GB"/>
        </w:rPr>
        <w:t xml:space="preserve"> </w:t>
      </w:r>
      <w:r w:rsidR="00E66A45">
        <w:rPr>
          <w:lang w:val="en-GB"/>
        </w:rPr>
        <w:t>68.</w:t>
      </w:r>
      <w:r w:rsidR="000466B1">
        <w:rPr>
          <w:lang w:val="en-GB"/>
        </w:rPr>
        <w:t xml:space="preserve">7, </w:t>
      </w:r>
      <w:r w:rsidR="00E66A45">
        <w:rPr>
          <w:lang w:val="en-GB"/>
        </w:rPr>
        <w:t>70.</w:t>
      </w:r>
      <w:r w:rsidR="000466B1">
        <w:rPr>
          <w:lang w:val="en-GB"/>
        </w:rPr>
        <w:t>4,</w:t>
      </w:r>
      <w:r w:rsidR="00E66A45">
        <w:rPr>
          <w:lang w:val="en-GB"/>
        </w:rPr>
        <w:t xml:space="preserve"> </w:t>
      </w:r>
      <w:r w:rsidR="000466B1">
        <w:rPr>
          <w:lang w:val="en-GB"/>
        </w:rPr>
        <w:t>a</w:t>
      </w:r>
      <w:r w:rsidR="00E66A45">
        <w:rPr>
          <w:lang w:val="en-GB"/>
        </w:rPr>
        <w:t>nd 75</w:t>
      </w:r>
      <w:r w:rsidR="000466B1">
        <w:rPr>
          <w:lang w:val="en-GB"/>
        </w:rPr>
        <w:t>.3</w:t>
      </w:r>
      <w:r w:rsidR="00E17AB6">
        <w:rPr>
          <w:lang w:val="en-GB"/>
        </w:rPr>
        <w:t xml:space="preserve"> </w:t>
      </w:r>
      <w:r w:rsidR="00362DD6">
        <w:rPr>
          <w:lang w:val="en-GB"/>
        </w:rPr>
        <w:t>°</w:t>
      </w:r>
      <w:r w:rsidR="00171EAF">
        <w:rPr>
          <w:lang w:val="en-GB"/>
        </w:rPr>
        <w:t xml:space="preserve">, </w:t>
      </w:r>
      <w:r w:rsidR="00FE4F5D">
        <w:rPr>
          <w:lang w:val="en-GB"/>
        </w:rPr>
        <w:t xml:space="preserve">related </w:t>
      </w:r>
      <w:r w:rsidR="00FC7A48">
        <w:rPr>
          <w:lang w:val="en-GB"/>
        </w:rPr>
        <w:t>to the (1</w:t>
      </w:r>
      <w:r w:rsidR="004B0906">
        <w:rPr>
          <w:lang w:val="en-GB"/>
        </w:rPr>
        <w:t xml:space="preserve"> </w:t>
      </w:r>
      <w:r w:rsidR="00FC7A48">
        <w:rPr>
          <w:lang w:val="en-GB"/>
        </w:rPr>
        <w:t>0</w:t>
      </w:r>
      <w:r w:rsidR="004B0906">
        <w:rPr>
          <w:lang w:val="en-GB"/>
        </w:rPr>
        <w:t xml:space="preserve"> </w:t>
      </w:r>
      <w:r w:rsidR="00FC7A48">
        <w:rPr>
          <w:lang w:val="en-GB"/>
        </w:rPr>
        <w:t>1)</w:t>
      </w:r>
      <w:r w:rsidR="004B0906">
        <w:rPr>
          <w:lang w:val="en-GB"/>
        </w:rPr>
        <w:t>, (1 1 2), (2 0 0), (1 0 5), (2 1 1), (2 0 4)</w:t>
      </w:r>
      <w:r w:rsidR="00461AA9">
        <w:rPr>
          <w:lang w:val="en-GB"/>
        </w:rPr>
        <w:t>, (1 1 6), (2 2 0), and (2 1 5)</w:t>
      </w:r>
      <w:r w:rsidR="004B0906">
        <w:rPr>
          <w:lang w:val="en-GB"/>
        </w:rPr>
        <w:t xml:space="preserve"> planes,</w:t>
      </w:r>
      <w:r w:rsidR="00FC7A48">
        <w:rPr>
          <w:lang w:val="en-GB"/>
        </w:rPr>
        <w:t xml:space="preserve"> respectively</w:t>
      </w:r>
      <w:r w:rsidR="00D30535">
        <w:rPr>
          <w:lang w:val="en-GB"/>
        </w:rPr>
        <w:t xml:space="preserve"> (</w:t>
      </w:r>
      <w:r w:rsidR="00D30535" w:rsidRPr="00313895">
        <w:rPr>
          <w:lang w:val="en-GB"/>
        </w:rPr>
        <w:t>JCPDS</w:t>
      </w:r>
      <w:r w:rsidR="00D30535">
        <w:rPr>
          <w:lang w:val="en-GB"/>
        </w:rPr>
        <w:t xml:space="preserve"> cars n</w:t>
      </w:r>
      <w:r w:rsidR="002147DF">
        <w:rPr>
          <w:lang w:val="en-GB"/>
        </w:rPr>
        <w:t>º</w:t>
      </w:r>
      <w:r w:rsidR="00D30535">
        <w:rPr>
          <w:lang w:val="en-GB"/>
        </w:rPr>
        <w:t xml:space="preserve"> 00-021-1272)</w:t>
      </w:r>
      <w:r w:rsidR="00776CA1">
        <w:rPr>
          <w:lang w:val="en-GB"/>
        </w:rPr>
        <w:t>.</w:t>
      </w:r>
      <w:r w:rsidR="009B5632">
        <w:rPr>
          <w:lang w:val="en-GB"/>
        </w:rPr>
        <w:t xml:space="preserve"> </w:t>
      </w:r>
      <w:r w:rsidR="00FC4F73">
        <w:rPr>
          <w:lang w:val="en-GB"/>
        </w:rPr>
        <w:t>However</w:t>
      </w:r>
      <w:r w:rsidR="009704DD">
        <w:rPr>
          <w:lang w:val="en-GB"/>
        </w:rPr>
        <w:t xml:space="preserve">, characteristic </w:t>
      </w:r>
      <w:r w:rsidR="00E50527">
        <w:rPr>
          <w:lang w:val="en-GB"/>
        </w:rPr>
        <w:t xml:space="preserve">peaks </w:t>
      </w:r>
      <w:r w:rsidR="009704DD">
        <w:rPr>
          <w:lang w:val="en-GB"/>
        </w:rPr>
        <w:t>of the rutile phase</w:t>
      </w:r>
      <w:r w:rsidR="00974389">
        <w:rPr>
          <w:lang w:val="en-GB"/>
        </w:rPr>
        <w:t xml:space="preserve"> </w:t>
      </w:r>
      <w:r w:rsidR="00494C4B">
        <w:rPr>
          <w:lang w:val="en-GB"/>
        </w:rPr>
        <w:t>were</w:t>
      </w:r>
      <w:r w:rsidR="0024129D">
        <w:rPr>
          <w:lang w:val="en-GB"/>
        </w:rPr>
        <w:t xml:space="preserve"> also observed at</w:t>
      </w:r>
      <w:r w:rsidR="00E50527">
        <w:rPr>
          <w:lang w:val="en-GB"/>
        </w:rPr>
        <w:t>:</w:t>
      </w:r>
      <w:r w:rsidR="006B4B64">
        <w:rPr>
          <w:lang w:val="en-GB"/>
        </w:rPr>
        <w:t xml:space="preserve"> 27.4, 35.3, 41.3, 44.4, 56.7</w:t>
      </w:r>
      <w:r w:rsidR="00494C4B">
        <w:rPr>
          <w:lang w:val="en-GB"/>
        </w:rPr>
        <w:t>,</w:t>
      </w:r>
      <w:r w:rsidR="006B4B64">
        <w:rPr>
          <w:lang w:val="en-GB"/>
        </w:rPr>
        <w:t xml:space="preserve"> and 82.8</w:t>
      </w:r>
      <w:r w:rsidR="00E17AB6">
        <w:rPr>
          <w:lang w:val="en-GB"/>
        </w:rPr>
        <w:t xml:space="preserve"> </w:t>
      </w:r>
      <w:r w:rsidR="002147DF">
        <w:rPr>
          <w:lang w:val="en-GB"/>
        </w:rPr>
        <w:t>°</w:t>
      </w:r>
      <w:r w:rsidR="005D3B1B">
        <w:rPr>
          <w:lang w:val="en-GB"/>
        </w:rPr>
        <w:t xml:space="preserve">. </w:t>
      </w:r>
      <w:r w:rsidR="00E50527">
        <w:rPr>
          <w:lang w:val="en-GB"/>
        </w:rPr>
        <w:t>Th</w:t>
      </w:r>
      <w:r w:rsidR="00DB51D7">
        <w:rPr>
          <w:lang w:val="en-GB"/>
        </w:rPr>
        <w:t>ese</w:t>
      </w:r>
      <w:r w:rsidR="00E50527">
        <w:rPr>
          <w:lang w:val="en-GB"/>
        </w:rPr>
        <w:t xml:space="preserve"> peaks were </w:t>
      </w:r>
      <w:r w:rsidR="00F075B8">
        <w:rPr>
          <w:lang w:val="en-GB"/>
        </w:rPr>
        <w:t>ex</w:t>
      </w:r>
      <w:r w:rsidR="00E50527">
        <w:rPr>
          <w:lang w:val="en-GB"/>
        </w:rPr>
        <w:t>pec</w:t>
      </w:r>
      <w:r w:rsidR="00F075B8">
        <w:rPr>
          <w:lang w:val="en-GB"/>
        </w:rPr>
        <w:t>t</w:t>
      </w:r>
      <w:r w:rsidR="00E50527">
        <w:rPr>
          <w:lang w:val="en-GB"/>
        </w:rPr>
        <w:t>ed</w:t>
      </w:r>
      <w:r w:rsidR="00DB51D7">
        <w:rPr>
          <w:lang w:val="en-GB"/>
        </w:rPr>
        <w:t xml:space="preserve">, </w:t>
      </w:r>
      <w:r w:rsidR="0027524A">
        <w:rPr>
          <w:lang w:val="en-GB"/>
        </w:rPr>
        <w:t xml:space="preserve">and </w:t>
      </w:r>
      <w:r w:rsidR="00E50527">
        <w:rPr>
          <w:lang w:val="en-GB"/>
        </w:rPr>
        <w:t>s</w:t>
      </w:r>
      <w:r w:rsidR="00776CA1">
        <w:rPr>
          <w:lang w:val="en-GB"/>
        </w:rPr>
        <w:t xml:space="preserve">imilar results having diffraction peaks </w:t>
      </w:r>
      <w:r w:rsidR="00B7722D">
        <w:rPr>
          <w:lang w:val="en-GB"/>
        </w:rPr>
        <w:t>for TiO</w:t>
      </w:r>
      <w:r w:rsidR="00B7722D" w:rsidRPr="00B7722D">
        <w:rPr>
          <w:vertAlign w:val="subscript"/>
          <w:lang w:val="en-GB"/>
        </w:rPr>
        <w:t>2</w:t>
      </w:r>
      <w:r w:rsidR="00B7722D">
        <w:rPr>
          <w:lang w:val="en-GB"/>
        </w:rPr>
        <w:t xml:space="preserve"> </w:t>
      </w:r>
      <w:r w:rsidR="00776CA1">
        <w:rPr>
          <w:lang w:val="en-GB"/>
        </w:rPr>
        <w:t xml:space="preserve">were reported in the literature </w:t>
      </w:r>
      <w:r w:rsidR="00776CA1">
        <w:rPr>
          <w:lang w:val="en-GB"/>
        </w:rPr>
        <w:fldChar w:fldCharType="begin" w:fldLock="1"/>
      </w:r>
      <w:r w:rsidR="00462ED2">
        <w:rPr>
          <w:lang w:val="en-GB"/>
        </w:rPr>
        <w:instrText>ADDIN CSL_CITATION {"citationItems":[{"id":"ITEM-1","itemData":{"DOI":"10.1016/j.inoche.2022.109905","ISSN":"13877003","abstract":"Nickel-doped titanium dioxide nanoparticles (NDT) deposited on pine cone activated carbon (PAC) have been successfully synthesized by a hydrothermal method. The as synthesized nanocomposite was characterized by X-ray diffraction pattern (XRD), Scanning electron microscopy (SEM), Energy-dispersive X-ray spectroscopy (EDX), X-ray photoelectron (XPS), Fourier transform infrared (FT-IR), UV–visible diffuse reflectance spectra (UV–vis DRS), Photoluminescence (PL), BET surface area, and pHzpc. The characterization results of the prepared nanocomposite revealed that Ni-TiO2 was loaded on the surface of PAC, and had a higher surface area and narrower bandgap than TiO2 nanoparticles. The visible-light photocatalytic activity of the Ni-TiO2@C nanocomposite towards anthracene degradation was found to be 99.9% in 50 mins leading to end products of (1E, 3Z)-hexa-1,3,5-trien-1-ol (1a; m/z = 96), and (1E, 3E)-penta-1,3-dien-1-ol. The synthesized Ni-TiO2@C nanocomposite exhibited a better photocatalytic activity towards the photocatalytic degradation of anthracene as compared to the TiO2 nanomaterial (22.5%) and TiO2/activated carbon nanocomposite (31%) under similar conditions. The photodegradation of anthracene followed the pseudo first-order rate kinetics. The Ni-TiO2@C nanocomposite had excellent regeneration properties till the fifth cycle of use during which it degraded around 73% anthracene.","author":[{"dropping-particle":"","family":"Baruah","given":"Mridushmita","non-dropping-particle":"","parse-names":false,"suffix":""},{"dropping-particle":"","family":"Ezung","given":"Soremo L.","non-dropping-particle":"","parse-names":false,"suffix":""},{"dropping-particle":"","family":"Sharma","given":"Shisak","non-dropping-particle":"","parse-names":false,"suffix":""},{"dropping-particle":"","family":"Sinha","given":"Upasana Bora","non-dropping-particle":"","parse-names":false,"suffix":""},{"dropping-particle":"","family":"Sinha","given":"Dipak","non-dropping-particle":"","parse-names":false,"suffix":""}],"container-title":"Inorganic Chemistry Communications","id":"ITEM-1","issued":{"date-parts":[["2022"]]},"page":"109905","publisher":"Elsevier B.V.","title":"Synthesis and characterization of Ni-doped TiO2 activated carbon nanocomposite for the photocatalytic degradation of anthracene","type":"article-journal","volume":"144"},"uris":["http://www.mendeley.com/documents/?uuid=acf48117-7e33-4c8e-8957-6c40871c7192"]}],"mendeley":{"formattedCitation":"(Baruah et al., 2022)","plainTextFormattedCitation":"(Baruah et al., 2022)","previouslyFormattedCitation":"(Baruah et al., 2022)"},"properties":{"noteIndex":0},"schema":"https://github.com/citation-style-language/schema/raw/master/csl-citation.json"}</w:instrText>
      </w:r>
      <w:r w:rsidR="00776CA1">
        <w:rPr>
          <w:lang w:val="en-GB"/>
        </w:rPr>
        <w:fldChar w:fldCharType="separate"/>
      </w:r>
      <w:r w:rsidR="00D33139" w:rsidRPr="00D33139">
        <w:rPr>
          <w:noProof/>
          <w:lang w:val="en-GB"/>
        </w:rPr>
        <w:t>(Baruah et al., 2022)</w:t>
      </w:r>
      <w:r w:rsidR="00776CA1">
        <w:rPr>
          <w:lang w:val="en-GB"/>
        </w:rPr>
        <w:fldChar w:fldCharType="end"/>
      </w:r>
      <w:r w:rsidR="00776CA1">
        <w:rPr>
          <w:lang w:val="en-GB"/>
        </w:rPr>
        <w:t>.</w:t>
      </w:r>
      <w:r w:rsidR="00604E8E">
        <w:rPr>
          <w:lang w:val="en-GB"/>
        </w:rPr>
        <w:t xml:space="preserve"> </w:t>
      </w:r>
      <w:r w:rsidR="000A7CB2">
        <w:rPr>
          <w:lang w:val="en-GB"/>
        </w:rPr>
        <w:t xml:space="preserve">In addition, </w:t>
      </w:r>
      <w:r w:rsidR="00A90957">
        <w:rPr>
          <w:lang w:val="en-GB"/>
        </w:rPr>
        <w:t xml:space="preserve">weak peaks </w:t>
      </w:r>
      <w:r w:rsidR="001235B9">
        <w:rPr>
          <w:lang w:val="en-GB"/>
        </w:rPr>
        <w:t>around</w:t>
      </w:r>
      <w:r w:rsidR="00DB51D7">
        <w:rPr>
          <w:lang w:val="en-GB"/>
        </w:rPr>
        <w:t xml:space="preserve"> </w:t>
      </w:r>
      <w:r w:rsidR="005F681E">
        <w:rPr>
          <w:lang w:val="en-GB"/>
        </w:rPr>
        <w:t>17.5 and 21.5</w:t>
      </w:r>
      <w:r w:rsidR="002147DF">
        <w:rPr>
          <w:lang w:val="en-GB"/>
        </w:rPr>
        <w:t xml:space="preserve"> </w:t>
      </w:r>
      <w:r w:rsidR="005F681E">
        <w:rPr>
          <w:lang w:val="en-GB"/>
        </w:rPr>
        <w:t>°</w:t>
      </w:r>
      <w:r w:rsidR="00DB51D7">
        <w:rPr>
          <w:lang w:val="en-GB"/>
        </w:rPr>
        <w:t xml:space="preserve"> could</w:t>
      </w:r>
      <w:r w:rsidR="005F681E">
        <w:rPr>
          <w:lang w:val="en-GB"/>
        </w:rPr>
        <w:t xml:space="preserve"> be </w:t>
      </w:r>
      <w:r w:rsidR="00DB51D7">
        <w:rPr>
          <w:lang w:val="en-GB"/>
        </w:rPr>
        <w:t>ascribed</w:t>
      </w:r>
      <w:r w:rsidR="005F681E">
        <w:rPr>
          <w:lang w:val="en-GB"/>
        </w:rPr>
        <w:t xml:space="preserve"> </w:t>
      </w:r>
      <w:r w:rsidR="00DB51D7">
        <w:rPr>
          <w:lang w:val="en-GB"/>
        </w:rPr>
        <w:t xml:space="preserve">to </w:t>
      </w:r>
      <w:r w:rsidR="003C01BB">
        <w:rPr>
          <w:lang w:val="en-GB"/>
        </w:rPr>
        <w:t xml:space="preserve">the </w:t>
      </w:r>
      <w:r w:rsidR="00DB51D7">
        <w:rPr>
          <w:lang w:val="en-GB"/>
        </w:rPr>
        <w:t xml:space="preserve">presence of </w:t>
      </w:r>
      <w:r w:rsidR="003C01BB">
        <w:rPr>
          <w:lang w:val="en-GB"/>
        </w:rPr>
        <w:t xml:space="preserve">Cu </w:t>
      </w:r>
      <w:r w:rsidR="003C01BB">
        <w:rPr>
          <w:lang w:val="en-GB"/>
        </w:rPr>
        <w:fldChar w:fldCharType="begin" w:fldLock="1"/>
      </w:r>
      <w:r w:rsidR="00462ED2">
        <w:rPr>
          <w:lang w:val="en-GB"/>
        </w:rPr>
        <w:instrText>ADDIN CSL_CITATION {"citationItems":[{"id":"ITEM-1","itemData":{"DOI":"10.1016/j.cej.2022.138030","ISSN":"13858947","abstract":"Copper (Cu) clusters are incorporated into graphitic carbon nitride (g-C3N4) via a two-step thermal polymerization process, forming a superior thin black g-C3N4 nanosheets based Cu cluster composite (Cu-g-C3N4) with highly efficient charge transfer characteristic and enhanced photocatalytic activity. The Cu–N bonding is formed through intercalation of copper atoms (using Cu (II) acetylacetonate as Cu source) into dicyandiamide-based supramolecular precursor via mechano-chemical reaction, and the Cu atoms and the N atoms are bonded together in two ways: between one Cu atom and four coordinated N atoms (that comes from adjacent carbon nitride layers) and between one central Cu atom and the three N atoms from identical carbon nitride layer forming an in-plane system. Enhanced ferromagnetism of black Cu-g-C3N4 nanosheets is found for the first time, opening the way to deepen the understanding of the material in novel undiscovered applications and to generate fundamental knowledge of ferromagnetism of Cu incorporated g-C3N4 composite material. This black Cu-g-C3N4 nanosheets composite reveals enhanced visible-light-responsive photocatalytic hydrogen generation (526 μmolg-1h−1) as well as excellent CO (5.0 μmolg-1h−1) and CH4 generation (2.4 μmolg-1h−1) efficiency. Moreover, outstanding conversion rate (90.4 %) and high selectivity to phenol (99.1 %) are obtained in visible-light-driven benzene oxidation application.","author":[{"dropping-particle":"","family":"Zhang","given":"Xiao","non-dropping-particle":"","parse-names":false,"suffix":""},{"dropping-particle":"","family":"Zhang","given":"Xiao Ran","non-dropping-particle":"","parse-names":false,"suffix":""},{"dropping-particle":"","family":"Yang","given":"Ping","non-dropping-particle":"","parse-names":false,"suffix":""},{"dropping-particle":"","family":"Chen","given":"Hsueh-Shih","non-dropping-particle":"","parse-names":false,"suffix":""},{"dropping-particle":"","family":"Jiang","given":"San Ping","non-dropping-particle":"","parse-names":false,"suffix":""}],"container-title":"Chemical Engineering Journal","id":"ITEM-1","issue":"P2","issued":{"date-parts":[["2022"]]},"page":"138030","publisher":"Elsevier B.V.","title":"Black magnetic Cu-g-C3N4 nanosheets towards efficient photocatalytic H2 generation and CO2/benzene conversion","type":"article-journal","volume":"450"},"uris":["http://www.mendeley.com/documents/?uuid=13e5cbd1-dd73-4398-a42c-a38fbaad5859"]}],"mendeley":{"formattedCitation":"(Zhang et al., 2022)","plainTextFormattedCitation":"(Zhang et al., 2022)","previouslyFormattedCitation":"(Zhang et al., 2022)"},"properties":{"noteIndex":0},"schema":"https://github.com/citation-style-language/schema/raw/master/csl-citation.json"}</w:instrText>
      </w:r>
      <w:r w:rsidR="003C01BB">
        <w:rPr>
          <w:lang w:val="en-GB"/>
        </w:rPr>
        <w:fldChar w:fldCharType="separate"/>
      </w:r>
      <w:r w:rsidR="00D33139" w:rsidRPr="00D33139">
        <w:rPr>
          <w:noProof/>
          <w:lang w:val="en-GB"/>
        </w:rPr>
        <w:t>(Zhang et al., 2022)</w:t>
      </w:r>
      <w:r w:rsidR="003C01BB">
        <w:rPr>
          <w:lang w:val="en-GB"/>
        </w:rPr>
        <w:fldChar w:fldCharType="end"/>
      </w:r>
      <w:r w:rsidR="00F40B54">
        <w:rPr>
          <w:lang w:val="en-GB"/>
        </w:rPr>
        <w:t xml:space="preserve">. </w:t>
      </w:r>
      <w:r w:rsidR="002908CF">
        <w:rPr>
          <w:lang w:val="en-GB"/>
        </w:rPr>
        <w:t xml:space="preserve">However, the presence of </w:t>
      </w:r>
      <w:r w:rsidR="0055689E">
        <w:rPr>
          <w:lang w:val="en-GB"/>
        </w:rPr>
        <w:t xml:space="preserve">these </w:t>
      </w:r>
      <w:r w:rsidR="002908CF">
        <w:rPr>
          <w:lang w:val="en-GB"/>
        </w:rPr>
        <w:t>metals (Ni or Cu) was not detected clearly,</w:t>
      </w:r>
      <w:r w:rsidR="00DB51D7">
        <w:rPr>
          <w:lang w:val="en-GB"/>
        </w:rPr>
        <w:t xml:space="preserve"> due to the</w:t>
      </w:r>
      <w:r w:rsidR="002908CF">
        <w:rPr>
          <w:lang w:val="en-GB"/>
        </w:rPr>
        <w:t xml:space="preserve"> small percentage of Ni or Cu in the samples, </w:t>
      </w:r>
      <w:r w:rsidR="00DB51D7">
        <w:rPr>
          <w:lang w:val="en-GB"/>
        </w:rPr>
        <w:t>being</w:t>
      </w:r>
      <w:r w:rsidR="002908CF">
        <w:rPr>
          <w:lang w:val="en-GB"/>
        </w:rPr>
        <w:t xml:space="preserve"> the relative intensity of the peaks of TiO</w:t>
      </w:r>
      <w:r w:rsidR="002908CF" w:rsidRPr="000C6C7C">
        <w:rPr>
          <w:vertAlign w:val="subscript"/>
          <w:lang w:val="en-GB"/>
        </w:rPr>
        <w:t>2</w:t>
      </w:r>
      <w:r w:rsidR="002908CF">
        <w:rPr>
          <w:lang w:val="en-GB"/>
        </w:rPr>
        <w:t xml:space="preserve"> higher than that of Ni or Cu.</w:t>
      </w:r>
      <w:r w:rsidR="001F49C5">
        <w:rPr>
          <w:lang w:val="en-GB"/>
        </w:rPr>
        <w:t xml:space="preserve"> </w:t>
      </w:r>
      <w:r w:rsidR="006D56A9">
        <w:rPr>
          <w:lang w:val="en-GB"/>
        </w:rPr>
        <w:t xml:space="preserve">The peak </w:t>
      </w:r>
      <w:r w:rsidR="00F40B54">
        <w:rPr>
          <w:lang w:val="en-GB"/>
        </w:rPr>
        <w:t xml:space="preserve">around </w:t>
      </w:r>
      <w:r w:rsidR="006D56A9">
        <w:rPr>
          <w:lang w:val="en-GB"/>
        </w:rPr>
        <w:t xml:space="preserve">at </w:t>
      </w:r>
      <w:r w:rsidR="00012A73">
        <w:rPr>
          <w:lang w:val="en-GB"/>
        </w:rPr>
        <w:t>12.9</w:t>
      </w:r>
      <w:r w:rsidR="002147DF">
        <w:rPr>
          <w:lang w:val="en-GB"/>
        </w:rPr>
        <w:t xml:space="preserve"> </w:t>
      </w:r>
      <w:r w:rsidR="00012A73">
        <w:rPr>
          <w:lang w:val="en-GB"/>
        </w:rPr>
        <w:t>° present in s</w:t>
      </w:r>
      <w:r w:rsidR="00972553">
        <w:rPr>
          <w:lang w:val="en-GB"/>
        </w:rPr>
        <w:t>amples containing C</w:t>
      </w:r>
      <w:r w:rsidR="00972553" w:rsidRPr="00972553">
        <w:rPr>
          <w:vertAlign w:val="subscript"/>
          <w:lang w:val="en-GB"/>
        </w:rPr>
        <w:t>3</w:t>
      </w:r>
      <w:r w:rsidR="00972553">
        <w:rPr>
          <w:lang w:val="en-GB"/>
        </w:rPr>
        <w:t>N</w:t>
      </w:r>
      <w:r w:rsidR="00972553" w:rsidRPr="00972553">
        <w:rPr>
          <w:vertAlign w:val="subscript"/>
          <w:lang w:val="en-GB"/>
        </w:rPr>
        <w:t>4</w:t>
      </w:r>
      <w:r w:rsidR="00220EF9">
        <w:rPr>
          <w:vertAlign w:val="subscript"/>
          <w:lang w:val="en-GB"/>
        </w:rPr>
        <w:t xml:space="preserve"> </w:t>
      </w:r>
      <w:r w:rsidR="00972553">
        <w:rPr>
          <w:lang w:val="en-GB"/>
        </w:rPr>
        <w:t>(</w:t>
      </w:r>
      <w:r w:rsidR="001206CA" w:rsidRPr="00F85116">
        <w:rPr>
          <w:i/>
          <w:iCs/>
          <w:lang w:val="en-GB"/>
        </w:rPr>
        <w:fldChar w:fldCharType="begin"/>
      </w:r>
      <w:r w:rsidR="001206CA" w:rsidRPr="00F85116">
        <w:rPr>
          <w:i/>
          <w:iCs/>
          <w:lang w:val="en-GB"/>
        </w:rPr>
        <w:instrText xml:space="preserve"> REF _Ref125705849 \h </w:instrText>
      </w:r>
      <w:r w:rsidR="00F85116">
        <w:rPr>
          <w:i/>
          <w:iCs/>
          <w:lang w:val="en-GB"/>
        </w:rPr>
        <w:instrText xml:space="preserve"> \* MERGEFORMAT </w:instrText>
      </w:r>
      <w:r w:rsidR="001206CA" w:rsidRPr="00F85116">
        <w:rPr>
          <w:i/>
          <w:iCs/>
          <w:lang w:val="en-GB"/>
        </w:rPr>
      </w:r>
      <w:r w:rsidR="001206CA" w:rsidRPr="00F85116">
        <w:rPr>
          <w:i/>
          <w:iCs/>
          <w:lang w:val="en-GB"/>
        </w:rPr>
        <w:fldChar w:fldCharType="separate"/>
      </w:r>
      <w:r w:rsidR="007D2DE0" w:rsidRPr="007D2DE0">
        <w:rPr>
          <w:rStyle w:val="CETCaptionCarattere"/>
          <w:i w:val="0"/>
          <w:iCs/>
          <w:lang w:val="en-US"/>
        </w:rPr>
        <w:t xml:space="preserve">Figure </w:t>
      </w:r>
      <w:r w:rsidR="007D2DE0" w:rsidRPr="007D2DE0">
        <w:rPr>
          <w:rStyle w:val="CETCaptionCarattere"/>
          <w:i w:val="0"/>
          <w:iCs/>
          <w:noProof/>
          <w:lang w:val="en-US"/>
        </w:rPr>
        <w:t>1</w:t>
      </w:r>
      <w:r w:rsidR="001206CA" w:rsidRPr="00F85116">
        <w:rPr>
          <w:i/>
          <w:iCs/>
          <w:lang w:val="en-GB"/>
        </w:rPr>
        <w:fldChar w:fldCharType="end"/>
      </w:r>
      <w:r w:rsidR="00972553">
        <w:rPr>
          <w:lang w:val="en-GB"/>
        </w:rPr>
        <w:t>b)</w:t>
      </w:r>
      <w:r w:rsidR="00012A73">
        <w:rPr>
          <w:lang w:val="en-GB"/>
        </w:rPr>
        <w:t xml:space="preserve"> </w:t>
      </w:r>
      <w:r w:rsidR="00074FF7">
        <w:rPr>
          <w:lang w:val="en-GB"/>
        </w:rPr>
        <w:t xml:space="preserve">is identified as the (1 0 1) plane of </w:t>
      </w:r>
      <w:r w:rsidR="00147BBE">
        <w:rPr>
          <w:lang w:val="en-GB"/>
        </w:rPr>
        <w:t>graphitic carbon nitride (</w:t>
      </w:r>
      <w:r w:rsidR="00074FF7">
        <w:rPr>
          <w:lang w:val="en-GB"/>
        </w:rPr>
        <w:t>g-C</w:t>
      </w:r>
      <w:r w:rsidR="00074FF7" w:rsidRPr="00074FF7">
        <w:rPr>
          <w:vertAlign w:val="subscript"/>
          <w:lang w:val="en-GB"/>
        </w:rPr>
        <w:t>3</w:t>
      </w:r>
      <w:r w:rsidR="00074FF7">
        <w:rPr>
          <w:lang w:val="en-GB"/>
        </w:rPr>
        <w:t>N</w:t>
      </w:r>
      <w:r w:rsidR="00074FF7" w:rsidRPr="00074FF7">
        <w:rPr>
          <w:vertAlign w:val="subscript"/>
          <w:lang w:val="en-GB"/>
        </w:rPr>
        <w:t>4</w:t>
      </w:r>
      <w:r w:rsidR="00147BBE">
        <w:rPr>
          <w:lang w:val="en-GB"/>
        </w:rPr>
        <w:t>)</w:t>
      </w:r>
      <w:r w:rsidR="00E70B35">
        <w:rPr>
          <w:lang w:val="en-GB"/>
        </w:rPr>
        <w:t>, and the 27.5</w:t>
      </w:r>
      <w:r w:rsidR="002147DF">
        <w:rPr>
          <w:lang w:val="en-GB"/>
        </w:rPr>
        <w:t xml:space="preserve"> </w:t>
      </w:r>
      <w:r w:rsidR="00E70B35">
        <w:rPr>
          <w:lang w:val="en-GB"/>
        </w:rPr>
        <w:t xml:space="preserve">° peak is related to </w:t>
      </w:r>
      <w:r w:rsidR="00C14DE5">
        <w:rPr>
          <w:lang w:val="en-GB"/>
        </w:rPr>
        <w:t xml:space="preserve">the (0 0 2) plane, </w:t>
      </w:r>
      <w:r w:rsidR="008E002F">
        <w:rPr>
          <w:lang w:val="en-GB"/>
        </w:rPr>
        <w:t>associated t</w:t>
      </w:r>
      <w:r w:rsidR="00EB7BE5">
        <w:rPr>
          <w:lang w:val="en-GB"/>
        </w:rPr>
        <w:t>o the</w:t>
      </w:r>
      <w:r w:rsidR="001A72D3">
        <w:rPr>
          <w:lang w:val="en-GB"/>
        </w:rPr>
        <w:t xml:space="preserve"> </w:t>
      </w:r>
      <w:r w:rsidR="00D154D1">
        <w:rPr>
          <w:lang w:val="en-GB"/>
        </w:rPr>
        <w:t xml:space="preserve">stacking between layers of </w:t>
      </w:r>
      <w:r w:rsidR="001A72D3">
        <w:rPr>
          <w:lang w:val="en-GB"/>
        </w:rPr>
        <w:t>conjugated</w:t>
      </w:r>
      <w:r w:rsidR="00EB7BE5">
        <w:rPr>
          <w:lang w:val="en-GB"/>
        </w:rPr>
        <w:t xml:space="preserve"> aromatic of the graphitic materials</w:t>
      </w:r>
      <w:r w:rsidR="008C6A61">
        <w:rPr>
          <w:lang w:val="en-GB"/>
        </w:rPr>
        <w:t xml:space="preserve"> </w:t>
      </w:r>
      <w:r w:rsidR="008C6A61">
        <w:rPr>
          <w:lang w:val="en-GB"/>
        </w:rPr>
        <w:fldChar w:fldCharType="begin" w:fldLock="1"/>
      </w:r>
      <w:r w:rsidR="00462ED2">
        <w:rPr>
          <w:lang w:val="en-GB"/>
        </w:rPr>
        <w:instrText>ADDIN CSL_CITATION {"citationItems":[{"id":"ITEM-1","itemData":{"DOI":"10.1016/j.mcat.2019.110725","ISSN":"24688231","abstract":"In this work we analyze the photocatalytic performance of Mn+ (M[dbnd]Cu, Ni, Zn, Mn) - g-C3N4 materials in toluene photo-oxidation under UV and Sunlight-type illumination conditions. The characterization of the solids showed that Cu and Mn containing samples have an oxide type environment, while Ni has a hydroxide type and Zn shows an oxynitride type local order. The photo-activity of the samples under UV and sunlight excitation(s) was evaluated in terms of activity and selectivity, and the subsequent calculation of the quantum efficiency. Optimum activity was obtained with the Zn-containing catalyst. The charge carrier(s) handling and fate through interfaces and recombination was measured and correlated with the structural characterization of the solids. This indicates that the interface contact between the Zn oxynitride and carbon nitride components has significant influence in charge carrier processes and it is at the core of the good photocatalytic properties owned by this sample.","author":[{"dropping-particle":"","family":"Muñoz-Batista","given":"Mario J.","non-dropping-particle":"","parse-names":false,"suffix":""},{"dropping-particle":"","family":"Andrini","given":"Leandro","non-dropping-particle":"","parse-names":false,"suffix":""},{"dropping-particle":"","family":"Requejo","given":"Félix G.","non-dropping-particle":"","parse-names":false,"suffix":""},{"dropping-particle":"","family":"Gómez-Cerezo","given":"Maria N.","non-dropping-particle":"","parse-names":false,"suffix":""},{"dropping-particle":"","family":"Fernández-García","given":"Marcos","non-dropping-particle":"","parse-names":false,"suffix":""},{"dropping-particle":"","family":"Kubacka","given":"Anna","non-dropping-particle":"","parse-names":false,"suffix":""}],"container-title":"Molecular Catalysis","id":"ITEM-1","issue":"December 2019","issued":{"date-parts":[["2020"]]},"page":"110725","publisher":"Elsevier","title":"Sunlight active g-C&lt;sub&gt;3&lt;/sub&gt;N&lt;sub&gt;4&lt;/sub&gt;-based M&lt;sup&gt;n+&lt;/sup&gt; (M = Cu, Ni, Zn, Mn) – promoted catalysts: Sharing of nitrogen atoms as a door for optimizing photo-activity","type":"article-journal","volume":"484"},"uris":["http://www.mendeley.com/documents/?uuid=3e3537f0-f91b-4153-913f-3e022546705c"]}],"mendeley":{"formattedCitation":"(Muñoz-Batista et al., 2020)","plainTextFormattedCitation":"(Muñoz-Batista et al., 2020)","previouslyFormattedCitation":"(Muñoz-Batista et al., 2020)"},"properties":{"noteIndex":0},"schema":"https://github.com/citation-style-language/schema/raw/master/csl-citation.json"}</w:instrText>
      </w:r>
      <w:r w:rsidR="008C6A61">
        <w:rPr>
          <w:lang w:val="en-GB"/>
        </w:rPr>
        <w:fldChar w:fldCharType="separate"/>
      </w:r>
      <w:r w:rsidR="00D33139" w:rsidRPr="00D33139">
        <w:rPr>
          <w:noProof/>
          <w:lang w:val="en-GB"/>
        </w:rPr>
        <w:t>(Muñoz-Batista et al., 2020)</w:t>
      </w:r>
      <w:r w:rsidR="008C6A61">
        <w:rPr>
          <w:lang w:val="en-GB"/>
        </w:rPr>
        <w:fldChar w:fldCharType="end"/>
      </w:r>
      <w:r w:rsidR="00D154D1">
        <w:rPr>
          <w:lang w:val="en-GB"/>
        </w:rPr>
        <w:t xml:space="preserve">. </w:t>
      </w:r>
      <w:r w:rsidR="00757BEC">
        <w:rPr>
          <w:lang w:val="en-GB"/>
        </w:rPr>
        <w:t>Peaks observed</w:t>
      </w:r>
      <w:r w:rsidR="00656099">
        <w:rPr>
          <w:lang w:val="en-GB"/>
        </w:rPr>
        <w:t xml:space="preserve"> around </w:t>
      </w:r>
      <w:r w:rsidR="00307CA0">
        <w:rPr>
          <w:lang w:val="en-GB"/>
        </w:rPr>
        <w:t>43.</w:t>
      </w:r>
      <w:r w:rsidR="009F3BEC">
        <w:rPr>
          <w:lang w:val="en-GB"/>
        </w:rPr>
        <w:t>5</w:t>
      </w:r>
      <w:r w:rsidR="002147DF">
        <w:rPr>
          <w:lang w:val="en-GB"/>
        </w:rPr>
        <w:t xml:space="preserve"> </w:t>
      </w:r>
      <w:r w:rsidR="00307CA0">
        <w:rPr>
          <w:lang w:val="en-GB"/>
        </w:rPr>
        <w:t>º</w:t>
      </w:r>
      <w:r w:rsidR="00656099">
        <w:rPr>
          <w:lang w:val="en-GB"/>
        </w:rPr>
        <w:t xml:space="preserve"> are related to the metallic form of Cu</w:t>
      </w:r>
      <w:r w:rsidR="00931514">
        <w:rPr>
          <w:lang w:val="en-GB"/>
        </w:rPr>
        <w:t xml:space="preserve"> </w:t>
      </w:r>
      <w:r w:rsidR="00931514" w:rsidRPr="00F9242E">
        <w:t>or Ni</w:t>
      </w:r>
      <w:r w:rsidR="00D23E86">
        <w:rPr>
          <w:lang w:val="en-GB"/>
        </w:rPr>
        <w:t xml:space="preserve"> </w:t>
      </w:r>
      <w:r w:rsidR="00F9242E">
        <w:rPr>
          <w:lang w:val="en-GB"/>
        </w:rPr>
        <w:fldChar w:fldCharType="begin" w:fldLock="1"/>
      </w:r>
      <w:r w:rsidR="00462ED2">
        <w:rPr>
          <w:lang w:val="en-GB"/>
        </w:rPr>
        <w:instrText xml:space="preserve">ADDIN CSL_CITATION {"citationItems":[{"id":"ITEM-1","itemData":{"DOI":"10.1016/j.cattod.2020.05.032","ISSN":"09205861","abstract":"In this study, we assessed the effect of the incorporation of multi-walled carbon nanotubes (MWCNT) on a TiO2 support containing different active metals to obtain Metal/TiO2-MWCNT photocatalytic systems. The materials prepared in this work were characterized by ICP-OES, TEM, EDX, XRD, PL, UV–vis, and nitrogen physisorption techniques. Among those investigated metals, Cu was shown to be the most promising for the present application. The assessment of the photocatalytic performance of Cu/TiO2-MWCNT with various Cu contents revealed that the catalytic activity depends on the Cu loading and the photocatalyst with 1 wt.% of Cu displayed the best performance among investigated. The incorporation of MWCNT in the support enhanced the photocatalytic activity towards the production of H2 under visible and UV–vis light irradiation at room temperature.","author":[{"dropping-particle":"","family":"Fernández-Catalá","given":"Javier","non-dropping-particle":"","parse-names":false,"suffix":""},{"dropping-particle":"","family":"Navlani-García","given":"Miriam","non-dropping-particle":"","parse-names":false,"suffix":""},{"dropping-particle":"","family":"Verma","given":"Priyanka","non-dropping-particle":"","parse-names":false,"suffix":""},{"dropping-particle":"","family":"Berenguer-Murcia","given":"Ángel","non-dropping-particle":"","parse-names":false,"suffix":""},{"dropping-particle":"","family":"Mori","given":"Kohsuke","non-dropping-particle":"","parse-names":false,"suffix":""},{"dropping-particle":"","family":"Kuwahara","given":"Yasutaka","non-dropping-particle":"","parse-names":false,"suffix":""},{"dropping-particle":"","family":"Yamashita","given":"Hiromi","non-dropping-particle":"","parse-names":false,"suffix":""},{"dropping-particle":"","family":"Cazorla-Amorós","given":"Diego","non-dropping-particle":"","parse-names":false,"suffix":""}],"container-title":"Catalysis Today","id":"ITEM-1","issued":{"date-parts":[["2021"]]},"page":"182-189","title":"Photocatalytically-driven H&lt;sub&gt;2&lt;/sub&gt; production over Cu/TiO&lt;sub&gt;2&lt;/sub&gt; catalysts decorated with multi-walled carbon nanotubes","type":"article-journal","volume":"364"},"uris":["http://www.mendeley.com/documents/?uuid=1831b829-8938-40d3-96f9-602e40cb00a8"]},{"id":"ITEM-2","itemData":{"DOI":"10.1016/j.jcou.2021.101576","ISSN":"22129820","abstract":"The hydrogenation of CO2 to methanol over Cu-nanoparticles supported on TiO2 nanocrystals was studied at 30 bar pressure and 200-300 °C. 5 wt% Cu-TiO2 catalyst was synthesized by a modified hydrothermal method (Cu-TiO2HT) and by incipient wetness impregnation method (Cu-TiO2IMP). TEM analysis of the Cu-TiO2HT catalyst revealed the formation of Cu-nanoparticles (3-5 nm), while larger Cu particle sizes were observed on the Cu-TiO2IMP catalyst. The Cu-TiO2HT catalyst showed superior catalytic activity (CO2 conversion </w:instrText>
      </w:r>
      <w:r w:rsidR="00462ED2">
        <w:rPr>
          <w:rFonts w:ascii="Cambria Math" w:hAnsi="Cambria Math" w:cs="Cambria Math"/>
          <w:lang w:val="en-GB"/>
        </w:rPr>
        <w:instrText>∼</w:instrText>
      </w:r>
      <w:r w:rsidR="00462ED2">
        <w:rPr>
          <w:lang w:val="en-GB"/>
        </w:rPr>
        <w:instrText>9.4 %) and methanol selectivity (</w:instrText>
      </w:r>
      <w:r w:rsidR="00462ED2">
        <w:rPr>
          <w:rFonts w:ascii="Cambria Math" w:hAnsi="Cambria Math" w:cs="Cambria Math"/>
          <w:lang w:val="en-GB"/>
        </w:rPr>
        <w:instrText>∼</w:instrText>
      </w:r>
      <w:r w:rsidR="00462ED2">
        <w:rPr>
          <w:lang w:val="en-GB"/>
        </w:rPr>
        <w:instrText xml:space="preserve">96 %) at 200 </w:instrText>
      </w:r>
      <w:r w:rsidR="00462ED2">
        <w:rPr>
          <w:rFonts w:cs="Arial"/>
          <w:lang w:val="en-GB"/>
        </w:rPr>
        <w:instrText>°</w:instrText>
      </w:r>
      <w:r w:rsidR="00462ED2">
        <w:rPr>
          <w:lang w:val="en-GB"/>
        </w:rPr>
        <w:instrText>C and 30 bar pressure. Low CO2 conversions (</w:instrText>
      </w:r>
      <w:r w:rsidR="00462ED2">
        <w:rPr>
          <w:rFonts w:ascii="Cambria Math" w:hAnsi="Cambria Math" w:cs="Cambria Math"/>
          <w:lang w:val="en-GB"/>
        </w:rPr>
        <w:instrText>∼</w:instrText>
      </w:r>
      <w:r w:rsidR="00462ED2">
        <w:rPr>
          <w:lang w:val="en-GB"/>
        </w:rPr>
        <w:instrText>6%) and high CO selectivity (</w:instrText>
      </w:r>
      <w:r w:rsidR="00462ED2">
        <w:rPr>
          <w:rFonts w:ascii="Cambria Math" w:hAnsi="Cambria Math" w:cs="Cambria Math"/>
          <w:lang w:val="en-GB"/>
        </w:rPr>
        <w:instrText>∼</w:instrText>
      </w:r>
      <w:r w:rsidR="00462ED2">
        <w:rPr>
          <w:lang w:val="en-GB"/>
        </w:rPr>
        <w:instrText>40 %) was obtained on the Cu-TiO2IMP catalyst. Density functional theory (DFT) calculations indicated the CO2 activation to methanol to proceed via a reverse water gas shift pathway with a significantly lower (93 kJ/mol) CO2 activation barrier on the Cu-nanoparticles, relative to the larger Cu particles (127 kJ/mol). In addition, the higher selectivity towards methanol over the Cu-TiO2HT catalyst was attributed to the higher CO and HCO stability on the Cu nanoparticles. Time of stream (TOS) study of the Cu-TiO2 catalysts showed no significant deactivation even after 150 h with molar feed ratio 1:3:1 (CO2:H2: N2) at 200 °C.","author":[{"dropping-particle":"","family":"Sharma","given":"Sachin Kumar","non-dropping-particle":"","parse-names":false,"suffix":""},{"dropping-particle":"","family":"Banerjee","given":"Arghya","non-dropping-particle":"","parse-names":false,"suffix":""},{"dropping-particle":"","family":"Paul","given":"Bappi","non-dropping-particle":"","parse-names":false,"suffix":""},{"dropping-particle":"","family":"Poddar","given":"Mukesh Kumar","non-dropping-particle":"","parse-names":false,"suffix":""},{"dropping-particle":"","family":"Sasaki","given":"Takehiko","non-dropping-particle":"","parse-names":false,"suffix":""},{"dropping-particle":"","family":"Samanta","given":"Chanchal","non-dropping-particle":"","parse-names":false,"suffix":""},{"dropping-particle":"","family":"Bal","given":"Rajaram","non-dropping-particle":"","parse-names":false,"suffix":""}],"container-title":"Journal of CO2 Utilization","id":"ITEM-2","issue":"April","issued":{"date-parts":[["2021"]]},"page":"101576","publisher":"Elsevier Ltd","title":"Combined experimental and computational study to unravel the factors of the Cu/TiO&lt;sub&gt;2&lt;/sub&gt; catalyst for CO&lt;sub&gt;2&lt;/sub&gt; hydrogenation to methanol","type":"article-journal","volume":"50"},"uris":["http://www.mendeley.com/documents/?uuid=08365a7e-b5cb-461f-8636-b0a8501d447d"]}],"mendeley":{"formattedCitation":"(Fernández-Catalá et al., 2021; Sharma et al., 2021)","plainTextFormattedCitation":"(Fernández-Catalá et al., 2021; Sharma et al., 2021)","previouslyFormattedCitation":"(Fernández-Catalá et al., 2021; Sharma et al., 2021)"},"properties":{"noteIndex":0},"schema":"https://github.com/citation-style-language/schema/raw/master/csl-citation.json"}</w:instrText>
      </w:r>
      <w:r w:rsidR="00F9242E">
        <w:rPr>
          <w:lang w:val="en-GB"/>
        </w:rPr>
        <w:fldChar w:fldCharType="separate"/>
      </w:r>
      <w:r w:rsidR="00D33139" w:rsidRPr="00D33139">
        <w:rPr>
          <w:noProof/>
          <w:lang w:val="en-GB"/>
        </w:rPr>
        <w:t>(Fernández-Catalá et al., 2021; Sharma et al., 2021)</w:t>
      </w:r>
      <w:r w:rsidR="00F9242E">
        <w:rPr>
          <w:lang w:val="en-GB"/>
        </w:rPr>
        <w:fldChar w:fldCharType="end"/>
      </w:r>
      <w:r w:rsidR="00656099" w:rsidRPr="00F9242E">
        <w:t>.</w:t>
      </w:r>
      <w:r w:rsidR="00931514">
        <w:t xml:space="preserve"> </w:t>
      </w:r>
      <w:r w:rsidR="00A51585" w:rsidRPr="00F9242E">
        <w:t>Th</w:t>
      </w:r>
      <w:r w:rsidR="00C51D3A" w:rsidRPr="00F9242E">
        <w:t>e</w:t>
      </w:r>
      <w:r w:rsidR="00A51585" w:rsidRPr="00F9242E">
        <w:t xml:space="preserve"> </w:t>
      </w:r>
      <w:r w:rsidR="002B5FFA" w:rsidRPr="00F9242E">
        <w:t>value of the</w:t>
      </w:r>
      <w:r w:rsidR="007B1312" w:rsidRPr="00F9242E">
        <w:t xml:space="preserve"> </w:t>
      </w:r>
      <w:r w:rsidR="00A51585" w:rsidRPr="00F9242E">
        <w:t>crystallite size</w:t>
      </w:r>
      <w:r w:rsidR="009C0565" w:rsidRPr="00F9242E">
        <w:t>s</w:t>
      </w:r>
      <w:r w:rsidR="00A51585" w:rsidRPr="00F9242E">
        <w:t xml:space="preserve"> </w:t>
      </w:r>
      <w:r w:rsidR="00C51D3A" w:rsidRPr="00F9242E">
        <w:t>calculated</w:t>
      </w:r>
      <w:r w:rsidR="002B4DA9">
        <w:t xml:space="preserve"> </w:t>
      </w:r>
      <w:r w:rsidR="007B1312" w:rsidRPr="00F9242E">
        <w:t xml:space="preserve">were: </w:t>
      </w:r>
      <w:r w:rsidR="006E649E" w:rsidRPr="00F9242E">
        <w:t>16.</w:t>
      </w:r>
      <w:r w:rsidR="0073117B" w:rsidRPr="00F9242E">
        <w:t>1, 15.0, 7.</w:t>
      </w:r>
      <w:r w:rsidR="00D50A10" w:rsidRPr="00F9242E">
        <w:t>5, and 7.6</w:t>
      </w:r>
      <w:r w:rsidR="00263AF6" w:rsidRPr="00F9242E">
        <w:t xml:space="preserve"> nm</w:t>
      </w:r>
      <w:r w:rsidR="00D50A10" w:rsidRPr="00F9242E">
        <w:t xml:space="preserve">, for </w:t>
      </w:r>
      <w:r w:rsidR="00263AF6" w:rsidRPr="00F9242E">
        <w:t>Ni/TiO</w:t>
      </w:r>
      <w:r w:rsidR="00263AF6" w:rsidRPr="00F9242E">
        <w:rPr>
          <w:vertAlign w:val="subscript"/>
        </w:rPr>
        <w:t>2</w:t>
      </w:r>
      <w:r w:rsidR="00263AF6" w:rsidRPr="00F9242E">
        <w:t>, Cu/TiO</w:t>
      </w:r>
      <w:r w:rsidR="00263AF6" w:rsidRPr="00F9242E">
        <w:rPr>
          <w:vertAlign w:val="subscript"/>
        </w:rPr>
        <w:t>2</w:t>
      </w:r>
      <w:r w:rsidR="00263AF6" w:rsidRPr="00F9242E">
        <w:t>, Ni/C</w:t>
      </w:r>
      <w:r w:rsidR="00263AF6" w:rsidRPr="00F9242E">
        <w:rPr>
          <w:vertAlign w:val="subscript"/>
        </w:rPr>
        <w:t>3</w:t>
      </w:r>
      <w:r w:rsidR="00263AF6" w:rsidRPr="00F9242E">
        <w:t>N</w:t>
      </w:r>
      <w:r w:rsidR="00263AF6" w:rsidRPr="00F9242E">
        <w:rPr>
          <w:vertAlign w:val="subscript"/>
        </w:rPr>
        <w:t>4</w:t>
      </w:r>
      <w:r w:rsidR="00263AF6" w:rsidRPr="00F9242E">
        <w:t>, and Cu/C</w:t>
      </w:r>
      <w:r w:rsidR="00263AF6" w:rsidRPr="00F9242E">
        <w:rPr>
          <w:vertAlign w:val="subscript"/>
        </w:rPr>
        <w:t>3</w:t>
      </w:r>
      <w:r w:rsidR="00263AF6" w:rsidRPr="00F9242E">
        <w:t>N</w:t>
      </w:r>
      <w:r w:rsidR="00263AF6" w:rsidRPr="00F9242E">
        <w:rPr>
          <w:vertAlign w:val="subscript"/>
        </w:rPr>
        <w:t>4</w:t>
      </w:r>
      <w:r w:rsidR="00263AF6" w:rsidRPr="00F9242E">
        <w:t>, respectively.</w:t>
      </w:r>
      <w:r w:rsidR="001450F3" w:rsidRPr="00F9242E">
        <w:t xml:space="preserve"> </w:t>
      </w:r>
      <w:r w:rsidR="00B067A9">
        <w:t>Similar v</w:t>
      </w:r>
      <w:r w:rsidR="009F6424">
        <w:t>alue</w:t>
      </w:r>
      <w:r w:rsidR="00B067A9">
        <w:t xml:space="preserve">s are reported in the literature </w:t>
      </w:r>
      <w:r w:rsidR="00D07879">
        <w:fldChar w:fldCharType="begin" w:fldLock="1"/>
      </w:r>
      <w:r w:rsidR="00462ED2">
        <w:instrText>ADDIN CSL_CITATION {"citationItems":[{"id":"ITEM-1","itemData":{"DOI":"10.1016/j.inoche.2022.109905","ISSN":"13877003","abstract":"Nickel-doped titanium dioxide nanoparticles (NDT) deposited on pine cone activated carbon (PAC) have been successfully synthesized by a hydrothermal method. The as synthesized nanocomposite was characterized by X-ray diffraction pattern (XRD), Scanning electron microscopy (SEM), Energy-dispersive X-ray spectroscopy (EDX), X-ray photoelectron (XPS), Fourier transform infrared (FT-IR), UV–visible diffuse reflectance spectra (UV–vis DRS), Photoluminescence (PL), BET surface area, and pHzpc. The characterization results of the prepared nanocomposite revealed that Ni-TiO2 was loaded on the surface of PAC, and had a higher surface area and narrower bandgap than TiO2 nanoparticles. The visible-light photocatalytic activity of the Ni-TiO2@C nanocomposite towards anthracene degradation was found to be 99.9% in 50 mins leading to end products of (1E, 3Z)-hexa-1,3,5-trien-1-ol (1a; m/z = 96), and (1E, 3E)-penta-1,3-dien-1-ol. The synthesized Ni-TiO2@C nanocomposite exhibited a better photocatalytic activity towards the photocatalytic degradation of anthracene as compared to the TiO2 nanomaterial (22.5%) and TiO2/activated carbon nanocomposite (31%) under similar conditions. The photodegradation of anthracene followed the pseudo first-order rate kinetics. The Ni-TiO2@C nanocomposite had excellent regeneration properties till the fifth cycle of use during which it degraded around 73% anthracene.","author":[{"dropping-particle":"","family":"Baruah","given":"Mridushmita","non-dropping-particle":"","parse-names":false,"suffix":""},{"dropping-particle":"","family":"Ezung","given":"Soremo L.","non-dropping-particle":"","parse-names":false,"suffix":""},{"dropping-particle":"","family":"Sharma","given":"Shisak","non-dropping-particle":"","parse-names":false,"suffix":""},{"dropping-particle":"","family":"Sinha","given":"Upasana Bora","non-dropping-particle":"","parse-names":false,"suffix":""},{"dropping-particle":"","family":"Sinha","given":"Dipak","non-dropping-particle":"","parse-names":false,"suffix":""}],"container-title":"Inorganic Chemistry Communications","id":"ITEM-1","issued":{"date-parts":[["2022"]]},"page":"109905","publisher":"Elsevier B.V.","title":"Synthesis and characterization of Ni-doped TiO2 activated carbon nanocomposite for the photocatalytic degradation of anthracene","type":"article-journal","volume":"144"},"uris":["http://www.mendeley.com/documents/?uuid=acf48117-7e33-4c8e-8957-6c40871c7192"]},{"id":"ITEM-2","itemData":{"DOI":"10.1016/j.cattod.2020.05.032","ISSN":"09205861","abstract":"In this study, we assessed the effect of the incorporation of multi-walled carbon nanotubes (MWCNT) on a TiO2 support containing different active metals to obtain Metal/TiO2-MWCNT photocatalytic systems. The materials prepared in this work were characterized by ICP-OES, TEM, EDX, XRD, PL, UV–vis, and nitrogen physisorption techniques. Among those investigated metals, Cu was shown to be the most promising for the present application. The assessment of the photocatalytic performance of Cu/TiO2-MWCNT with various Cu contents revealed that the catalytic activity depends on the Cu loading and the photocatalyst with 1 wt.% of Cu displayed the best performance among investigated. The incorporation of MWCNT in the support enhanced the photocatalytic activity towards the production of H2 under visible and UV–vis light irradiation at room temperature.","author":[{"dropping-particle":"","family":"Fernández-Catalá","given":"Javier","non-dropping-particle":"","parse-names":false,"suffix":""},{"dropping-particle":"","family":"Navlani-García","given":"Miriam","non-dropping-particle":"","parse-names":false,"suffix":""},{"dropping-particle":"","family":"Verma","given":"Priyanka","non-dropping-particle":"","parse-names":false,"suffix":""},{"dropping-particle":"","family":"Berenguer-Murcia","given":"Ángel","non-dropping-particle":"","parse-names":false,"suffix":""},{"dropping-particle":"","family":"Mori","given":"Kohsuke","non-dropping-particle":"","parse-names":false,"suffix":""},{"dropping-particle":"","family":"Kuwahara","given":"Yasutaka","non-dropping-particle":"","parse-names":false,"suffix":""},{"dropping-particle":"","family":"Yamashita","given":"Hiromi","non-dropping-particle":"","parse-names":false,"suffix":""},{"dropping-particle":"","family":"Cazorla-Amorós","given":"Diego","non-dropping-particle":"","parse-names":false,"suffix":""}],"container-title":"Catalysis Today","id":"ITEM-2","issued":{"date-parts":[["2021"]]},"page":"182-189","title":"Photocatalytically-driven H&lt;sub&gt;2&lt;/sub&gt; production over Cu/TiO&lt;sub&gt;2&lt;/sub&gt; catalysts decorated with multi-walled carbon nanotubes","type":"article-journal","volume":"364"},"uris":["http://www.mendeley.com/documents/?uuid=1831b829-8938-40d3-96f9-602e40cb00a8"]}],"mendeley":{"formattedCitation":"(Baruah et al., 2022; Fernández-Catalá et al., 2021)","plainTextFormattedCitation":"(Baruah et al., 2022; Fernández-Catalá et al., 2021)","previouslyFormattedCitation":"(Baruah et al., 2022; Fernández-Catalá et al., 2021)"},"properties":{"noteIndex":0},"schema":"https://github.com/citation-style-language/schema/raw/master/csl-citation.json"}</w:instrText>
      </w:r>
      <w:r w:rsidR="00D07879">
        <w:fldChar w:fldCharType="separate"/>
      </w:r>
      <w:r w:rsidR="00D33139" w:rsidRPr="00D33139">
        <w:rPr>
          <w:noProof/>
        </w:rPr>
        <w:t>(Baruah et al., 2022; Fernández-Catalá et al., 2021)</w:t>
      </w:r>
      <w:r w:rsidR="00D07879">
        <w:fldChar w:fldCharType="end"/>
      </w:r>
      <w:r w:rsidR="00D07879">
        <w:t xml:space="preserve">. </w:t>
      </w:r>
    </w:p>
    <w:p w14:paraId="6810D8D6" w14:textId="77777777" w:rsidR="00C12067" w:rsidRPr="00F9242E" w:rsidRDefault="00C12067" w:rsidP="008B1854">
      <w:pPr>
        <w:pStyle w:val="CETBodytext"/>
      </w:pPr>
    </w:p>
    <w:p w14:paraId="629B8199" w14:textId="20152639" w:rsidR="00F43D89" w:rsidRDefault="0036629F" w:rsidP="00666AD1">
      <w:pPr>
        <w:pStyle w:val="CETBodytext"/>
        <w:spacing w:before="240" w:after="240"/>
        <w:jc w:val="left"/>
      </w:pPr>
      <w:r w:rsidRPr="00FB610F">
        <w:object w:dxaOrig="2786" w:dyaOrig="1402" w14:anchorId="0FD8B6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5pt;height:196.5pt" o:ole="">
            <v:imagedata r:id="rId10" o:title=""/>
          </v:shape>
          <o:OLEObject Type="Embed" ProgID="Origin95.Graph" ShapeID="_x0000_i1025" DrawAspect="Content" ObjectID="_1740890870" r:id="rId11"/>
        </w:object>
      </w:r>
    </w:p>
    <w:p w14:paraId="193E625D" w14:textId="6AB9EB87" w:rsidR="000A2422" w:rsidRPr="00EB3820" w:rsidRDefault="00ED1DA7" w:rsidP="00EB3820">
      <w:pPr>
        <w:pStyle w:val="CETCaption"/>
        <w:rPr>
          <w:rStyle w:val="CETCaptionCarattere"/>
          <w:i/>
        </w:rPr>
      </w:pPr>
      <w:bookmarkStart w:id="0" w:name="_Ref125705849"/>
      <w:bookmarkStart w:id="1" w:name="_Toc128932079"/>
      <w:r w:rsidRPr="00EB3820">
        <w:rPr>
          <w:rStyle w:val="CETCaptionCarattere"/>
          <w:i/>
        </w:rPr>
        <w:t xml:space="preserve">Figure </w:t>
      </w:r>
      <w:r w:rsidRPr="00EB3820">
        <w:rPr>
          <w:rStyle w:val="CETCaptionCarattere"/>
          <w:i/>
        </w:rPr>
        <w:fldChar w:fldCharType="begin"/>
      </w:r>
      <w:r w:rsidRPr="00EB3820">
        <w:rPr>
          <w:rStyle w:val="CETCaptionCarattere"/>
          <w:i/>
        </w:rPr>
        <w:instrText xml:space="preserve"> SEQ Figure \* ARABIC </w:instrText>
      </w:r>
      <w:r w:rsidRPr="00EB3820">
        <w:rPr>
          <w:rStyle w:val="CETCaptionCarattere"/>
          <w:i/>
        </w:rPr>
        <w:fldChar w:fldCharType="separate"/>
      </w:r>
      <w:r w:rsidR="007D2DE0">
        <w:rPr>
          <w:rStyle w:val="CETCaptionCarattere"/>
          <w:i/>
          <w:noProof/>
        </w:rPr>
        <w:t>1</w:t>
      </w:r>
      <w:r w:rsidRPr="00EB3820">
        <w:rPr>
          <w:rStyle w:val="CETCaptionCarattere"/>
          <w:i/>
        </w:rPr>
        <w:fldChar w:fldCharType="end"/>
      </w:r>
      <w:bookmarkEnd w:id="0"/>
      <w:r w:rsidR="000A2422" w:rsidRPr="00EB3820">
        <w:rPr>
          <w:rStyle w:val="CETCaptionCarattere"/>
          <w:i/>
        </w:rPr>
        <w:t>: X-ray diffractogram of samples Cu/TiO</w:t>
      </w:r>
      <w:r w:rsidR="000A2422" w:rsidRPr="004C1F7F">
        <w:rPr>
          <w:rStyle w:val="CETCaptionCarattere"/>
          <w:i/>
          <w:vertAlign w:val="subscript"/>
        </w:rPr>
        <w:t>2</w:t>
      </w:r>
      <w:r w:rsidR="000A2422" w:rsidRPr="00EB3820">
        <w:rPr>
          <w:rStyle w:val="CETCaptionCarattere"/>
          <w:i/>
        </w:rPr>
        <w:t xml:space="preserve"> and </w:t>
      </w:r>
      <w:bookmarkStart w:id="2" w:name="_Hlk125126611"/>
      <w:r w:rsidR="000A2422" w:rsidRPr="00EB3820">
        <w:rPr>
          <w:rStyle w:val="CETCaptionCarattere"/>
          <w:i/>
        </w:rPr>
        <w:t>Ni/TiO</w:t>
      </w:r>
      <w:r w:rsidR="000A2422" w:rsidRPr="004C1F7F">
        <w:rPr>
          <w:rStyle w:val="CETCaptionCarattere"/>
          <w:i/>
          <w:vertAlign w:val="subscript"/>
        </w:rPr>
        <w:t>2</w:t>
      </w:r>
      <w:r w:rsidR="000A2422" w:rsidRPr="00EB3820">
        <w:rPr>
          <w:rStyle w:val="CETCaptionCarattere"/>
          <w:i/>
        </w:rPr>
        <w:t xml:space="preserve"> (a)</w:t>
      </w:r>
      <w:bookmarkEnd w:id="2"/>
      <w:r w:rsidR="005729AA" w:rsidRPr="00EB3820">
        <w:rPr>
          <w:rStyle w:val="CETCaptionCarattere"/>
          <w:i/>
        </w:rPr>
        <w:t xml:space="preserve">, </w:t>
      </w:r>
      <w:r w:rsidR="000A2422" w:rsidRPr="00EB3820">
        <w:rPr>
          <w:rStyle w:val="CETCaptionCarattere"/>
          <w:i/>
        </w:rPr>
        <w:t>Cu/</w:t>
      </w:r>
      <w:r w:rsidR="00651DB8" w:rsidRPr="00EB3820">
        <w:rPr>
          <w:rStyle w:val="CETCaptionCarattere"/>
          <w:i/>
        </w:rPr>
        <w:t>C</w:t>
      </w:r>
      <w:r w:rsidR="00651DB8" w:rsidRPr="004C1F7F">
        <w:rPr>
          <w:rStyle w:val="CETCaptionCarattere"/>
          <w:i/>
          <w:vertAlign w:val="subscript"/>
        </w:rPr>
        <w:t>3</w:t>
      </w:r>
      <w:r w:rsidR="00651DB8" w:rsidRPr="00EB3820">
        <w:rPr>
          <w:rStyle w:val="CETCaptionCarattere"/>
          <w:i/>
        </w:rPr>
        <w:t>N</w:t>
      </w:r>
      <w:r w:rsidR="00651DB8" w:rsidRPr="004C1F7F">
        <w:rPr>
          <w:rStyle w:val="CETCaptionCarattere"/>
          <w:i/>
          <w:vertAlign w:val="subscript"/>
        </w:rPr>
        <w:t>4</w:t>
      </w:r>
      <w:r w:rsidR="000A2422" w:rsidRPr="00EB3820">
        <w:rPr>
          <w:rStyle w:val="CETCaptionCarattere"/>
          <w:i/>
        </w:rPr>
        <w:t xml:space="preserve"> and Ni/</w:t>
      </w:r>
      <w:r w:rsidR="00651DB8" w:rsidRPr="00EB3820">
        <w:rPr>
          <w:rStyle w:val="CETCaptionCarattere"/>
          <w:i/>
        </w:rPr>
        <w:t>C</w:t>
      </w:r>
      <w:r w:rsidR="00651DB8" w:rsidRPr="004C1F7F">
        <w:rPr>
          <w:rStyle w:val="CETCaptionCarattere"/>
          <w:i/>
          <w:vertAlign w:val="subscript"/>
        </w:rPr>
        <w:t>3</w:t>
      </w:r>
      <w:r w:rsidR="00651DB8" w:rsidRPr="00EB3820">
        <w:rPr>
          <w:rStyle w:val="CETCaptionCarattere"/>
          <w:i/>
        </w:rPr>
        <w:t>N</w:t>
      </w:r>
      <w:r w:rsidR="00651DB8" w:rsidRPr="004C1F7F">
        <w:rPr>
          <w:rStyle w:val="CETCaptionCarattere"/>
          <w:i/>
          <w:vertAlign w:val="subscript"/>
        </w:rPr>
        <w:t>4</w:t>
      </w:r>
      <w:r w:rsidR="000A2422" w:rsidRPr="00EB3820">
        <w:rPr>
          <w:rStyle w:val="CETCaptionCarattere"/>
          <w:i/>
        </w:rPr>
        <w:t xml:space="preserve"> (b)</w:t>
      </w:r>
      <w:r w:rsidR="005729AA" w:rsidRPr="00EB3820">
        <w:rPr>
          <w:rStyle w:val="CETCaptionCarattere"/>
          <w:i/>
        </w:rPr>
        <w:t xml:space="preserve"> and N</w:t>
      </w:r>
      <w:r w:rsidR="005729AA" w:rsidRPr="004C1F7F">
        <w:rPr>
          <w:rStyle w:val="CETCaptionCarattere"/>
          <w:i/>
          <w:vertAlign w:val="subscript"/>
        </w:rPr>
        <w:t>2</w:t>
      </w:r>
      <w:r w:rsidR="005729AA" w:rsidRPr="00EB3820">
        <w:rPr>
          <w:rStyle w:val="CETCaptionCarattere"/>
          <w:i/>
        </w:rPr>
        <w:t xml:space="preserve"> adsorption-desorption </w:t>
      </w:r>
      <w:r w:rsidR="005302E9" w:rsidRPr="00EB3820">
        <w:rPr>
          <w:rStyle w:val="CETCaptionCarattere"/>
          <w:i/>
        </w:rPr>
        <w:t xml:space="preserve">isotherms </w:t>
      </w:r>
      <w:r w:rsidR="005729AA" w:rsidRPr="00EB3820">
        <w:rPr>
          <w:rStyle w:val="CETCaptionCarattere"/>
          <w:i/>
        </w:rPr>
        <w:t>(</w:t>
      </w:r>
      <w:r w:rsidR="00FF0BF0" w:rsidRPr="00EB3820">
        <w:rPr>
          <w:rStyle w:val="CETCaptionCarattere"/>
          <w:i/>
        </w:rPr>
        <w:t>c</w:t>
      </w:r>
      <w:r w:rsidR="005729AA" w:rsidRPr="00EB3820">
        <w:rPr>
          <w:rStyle w:val="CETCaptionCarattere"/>
          <w:i/>
        </w:rPr>
        <w:t>)</w:t>
      </w:r>
      <w:bookmarkEnd w:id="1"/>
    </w:p>
    <w:p w14:paraId="5AB88195" w14:textId="698F0453" w:rsidR="005B59A2" w:rsidRPr="00D617C3" w:rsidRDefault="00734797" w:rsidP="008B1854">
      <w:pPr>
        <w:pStyle w:val="CETBodytext"/>
        <w:rPr>
          <w:lang w:val="en-GB"/>
        </w:rPr>
      </w:pPr>
      <w:r>
        <w:t>The nitrogen adsorption-desorption isotherms were indicated in</w:t>
      </w:r>
      <w:r>
        <w:rPr>
          <w:i/>
          <w:iCs/>
        </w:rPr>
        <w:t xml:space="preserve"> </w:t>
      </w:r>
      <w:r w:rsidRPr="00734797">
        <w:rPr>
          <w:i/>
          <w:iCs/>
        </w:rPr>
        <w:fldChar w:fldCharType="begin"/>
      </w:r>
      <w:r w:rsidRPr="00734797">
        <w:rPr>
          <w:i/>
          <w:iCs/>
        </w:rPr>
        <w:instrText xml:space="preserve"> REF _Ref125705849 \h </w:instrText>
      </w:r>
      <w:r>
        <w:rPr>
          <w:i/>
          <w:iCs/>
        </w:rPr>
        <w:instrText xml:space="preserve"> \* MERGEFORMAT </w:instrText>
      </w:r>
      <w:r w:rsidRPr="00734797">
        <w:rPr>
          <w:i/>
          <w:iCs/>
        </w:rPr>
      </w:r>
      <w:r w:rsidRPr="00734797">
        <w:rPr>
          <w:i/>
          <w:iCs/>
        </w:rPr>
        <w:fldChar w:fldCharType="separate"/>
      </w:r>
      <w:r w:rsidR="007D2DE0" w:rsidRPr="007D2DE0">
        <w:rPr>
          <w:rStyle w:val="CETCaptionCarattere"/>
          <w:i w:val="0"/>
          <w:iCs/>
        </w:rPr>
        <w:t xml:space="preserve">Figure </w:t>
      </w:r>
      <w:r w:rsidR="007D2DE0" w:rsidRPr="007D2DE0">
        <w:rPr>
          <w:rStyle w:val="CETCaptionCarattere"/>
          <w:i w:val="0"/>
          <w:iCs/>
          <w:noProof/>
        </w:rPr>
        <w:t>1</w:t>
      </w:r>
      <w:r w:rsidRPr="00734797">
        <w:rPr>
          <w:i/>
          <w:iCs/>
        </w:rPr>
        <w:fldChar w:fldCharType="end"/>
      </w:r>
      <w:r>
        <w:t xml:space="preserve">c, it is possible to observe that all samples have type III isotherms, indicated surface of a macropores solids, the type H3 hysteresis indicated that the macropores which are not entirely filled </w:t>
      </w:r>
      <w:r>
        <w:fldChar w:fldCharType="begin" w:fldLock="1"/>
      </w:r>
      <w:r w:rsidR="00462ED2">
        <w:instrText>ADDIN CSL_CITATION {"citationItems":[{"id":"ITEM-1","itemData":{"DOI":"10.1515/pac-2014-1117","ISSN":"13653075","abstract":"Gas adsorption is an important tool for the characterisation of porous solids and fine powders. Major advances in recent years have made it necessary to update the 1985 IUPAC manual on Reporting Physisorption Data for Gas/Solid Systems. The aims of the present document are to clarify and standardise the presentation, nomenclature and methodology associated with the application of physisorption for surface area assessment and pore size analysis and to draw attention to remaining problems in the interpretation of physisorption data.","author":[{"dropping-particle":"","family":"Thommes","given":"Matthias","non-dropping-particle":"","parse-names":false,"suffix":""},{"dropping-particle":"","family":"Kaneko","given":"Katsumi","non-dropping-particle":"","parse-names":false,"suffix":""},{"dropping-particle":"V.","family":"Neimark","given":"Alexander","non-dropping-particle":"","parse-names":false,"suffix":""},{"dropping-particle":"","family":"Olivier","given":"James P.","non-dropping-particle":"","parse-names":false,"suffix":""},{"dropping-particle":"","family":"Rodriguez-Reinoso","given":"Francisco","non-dropping-particle":"","parse-names":false,"suffix":""},{"dropping-particle":"","family":"Rouquerol","given":"Jean","non-dropping-particle":"","parse-names":false,"suffix":""},{"dropping-particle":"","family":"Sing","given":"Kenneth S. W.","non-dropping-particle":"","parse-names":false,"suffix":""}],"container-title":"Pure and Applied Chemistry","id":"ITEM-1","issue":"9-10","issued":{"date-parts":[["2015"]]},"page":"1051-1069","title":"Physisorption of gases, with special reference to the evaluation of surface area and pore size distribution (IUPAC Technical Report)","type":"article-journal","volume":"87"},"uris":["http://www.mendeley.com/documents/?uuid=5a5c2a24-a2f0-459f-bcc1-3d8ca6e7b294"]}],"mendeley":{"formattedCitation":"(Thommes et al., 2015)","plainTextFormattedCitation":"(Thommes et al., 2015)","previouslyFormattedCitation":"(Thommes et al., 2015)"},"properties":{"noteIndex":0},"schema":"https://github.com/citation-style-language/schema/raw/master/csl-citation.json"}</w:instrText>
      </w:r>
      <w:r>
        <w:fldChar w:fldCharType="separate"/>
      </w:r>
      <w:r w:rsidR="00D33139" w:rsidRPr="00D33139">
        <w:rPr>
          <w:noProof/>
        </w:rPr>
        <w:t>(Thommes et al., 2015)</w:t>
      </w:r>
      <w:r>
        <w:fldChar w:fldCharType="end"/>
      </w:r>
      <w:r>
        <w:t xml:space="preserve">. </w:t>
      </w:r>
      <w:r w:rsidR="00435C2E" w:rsidRPr="00FE637F">
        <w:rPr>
          <w:lang w:val="en-GB"/>
        </w:rPr>
        <w:t xml:space="preserve">The surface area obtained by </w:t>
      </w:r>
      <w:r w:rsidR="00516677" w:rsidRPr="00FE637F">
        <w:rPr>
          <w:lang w:val="en-GB"/>
        </w:rPr>
        <w:t>BET</w:t>
      </w:r>
      <w:r w:rsidR="00435C2E" w:rsidRPr="00FE637F">
        <w:rPr>
          <w:lang w:val="en-GB"/>
        </w:rPr>
        <w:t xml:space="preserve"> analysis indicated TiO</w:t>
      </w:r>
      <w:r w:rsidR="00435C2E" w:rsidRPr="00FE637F">
        <w:rPr>
          <w:vertAlign w:val="subscript"/>
          <w:lang w:val="en-GB"/>
        </w:rPr>
        <w:t>2</w:t>
      </w:r>
      <w:r w:rsidR="00435C2E" w:rsidRPr="00FE637F">
        <w:rPr>
          <w:lang w:val="en-GB"/>
        </w:rPr>
        <w:t xml:space="preserve"> compounds have </w:t>
      </w:r>
      <w:r w:rsidR="00484CAD">
        <w:rPr>
          <w:lang w:val="en-GB"/>
        </w:rPr>
        <w:t xml:space="preserve">a </w:t>
      </w:r>
      <w:r w:rsidR="00435C2E" w:rsidRPr="00FE637F">
        <w:rPr>
          <w:lang w:val="en-GB"/>
        </w:rPr>
        <w:t>higher surface area than C</w:t>
      </w:r>
      <w:r w:rsidR="00435C2E" w:rsidRPr="00FE637F">
        <w:rPr>
          <w:vertAlign w:val="subscript"/>
          <w:lang w:val="en-GB"/>
        </w:rPr>
        <w:t>3</w:t>
      </w:r>
      <w:r w:rsidR="00435C2E" w:rsidRPr="00FE637F">
        <w:rPr>
          <w:lang w:val="en-GB"/>
        </w:rPr>
        <w:t>N</w:t>
      </w:r>
      <w:r w:rsidR="00435C2E" w:rsidRPr="00FE637F">
        <w:rPr>
          <w:vertAlign w:val="subscript"/>
          <w:lang w:val="en-GB"/>
        </w:rPr>
        <w:t>4</w:t>
      </w:r>
      <w:r w:rsidR="00435C2E" w:rsidRPr="00FE637F">
        <w:rPr>
          <w:lang w:val="en-GB"/>
        </w:rPr>
        <w:t xml:space="preserve"> compounds</w:t>
      </w:r>
      <w:r w:rsidR="00484CAD">
        <w:rPr>
          <w:lang w:val="en-GB"/>
        </w:rPr>
        <w:t xml:space="preserve">, and the </w:t>
      </w:r>
      <w:r w:rsidR="00435C2E" w:rsidRPr="00FE637F">
        <w:rPr>
          <w:lang w:val="en-GB"/>
        </w:rPr>
        <w:t>average pore diameter for Cu</w:t>
      </w:r>
      <w:r w:rsidR="00484CAD">
        <w:rPr>
          <w:lang w:val="en-GB"/>
        </w:rPr>
        <w:t>-doped catalysts</w:t>
      </w:r>
      <w:r w:rsidR="00683AA3" w:rsidRPr="00FE637F">
        <w:rPr>
          <w:lang w:val="en-GB"/>
        </w:rPr>
        <w:t xml:space="preserve"> were like each other</w:t>
      </w:r>
      <w:r w:rsidR="005715C5">
        <w:rPr>
          <w:lang w:val="en-GB"/>
        </w:rPr>
        <w:t xml:space="preserve">. </w:t>
      </w:r>
      <w:r w:rsidR="00484CAD">
        <w:rPr>
          <w:lang w:val="en-GB"/>
        </w:rPr>
        <w:t>Similar behavior</w:t>
      </w:r>
      <w:r w:rsidR="00683AA3" w:rsidRPr="00FE637F">
        <w:rPr>
          <w:lang w:val="en-GB"/>
        </w:rPr>
        <w:t xml:space="preserve"> was observed for Ni</w:t>
      </w:r>
      <w:r w:rsidR="00484CAD">
        <w:rPr>
          <w:lang w:val="en-GB"/>
        </w:rPr>
        <w:t>-doped catalysts,</w:t>
      </w:r>
      <w:r w:rsidR="00D617C3">
        <w:rPr>
          <w:lang w:val="en-GB"/>
        </w:rPr>
        <w:t xml:space="preserve"> and the higher total pore volume was observed for the Ni/TiO</w:t>
      </w:r>
      <w:r w:rsidR="00D617C3" w:rsidRPr="00D617C3">
        <w:rPr>
          <w:vertAlign w:val="subscript"/>
          <w:lang w:val="en-GB"/>
        </w:rPr>
        <w:t>2</w:t>
      </w:r>
      <w:r w:rsidR="00D617C3">
        <w:rPr>
          <w:vertAlign w:val="subscript"/>
          <w:lang w:val="en-GB"/>
        </w:rPr>
        <w:t xml:space="preserve"> </w:t>
      </w:r>
      <w:r w:rsidR="00D617C3">
        <w:rPr>
          <w:lang w:val="en-GB"/>
        </w:rPr>
        <w:t>sample.</w:t>
      </w:r>
      <w:r w:rsidR="00BB788D">
        <w:rPr>
          <w:lang w:val="en-GB"/>
        </w:rPr>
        <w:t xml:space="preserve"> </w:t>
      </w:r>
      <w:r w:rsidR="00484CAD">
        <w:rPr>
          <w:lang w:val="en-GB"/>
        </w:rPr>
        <w:t>Then, it could be expected that Ni-doped catalysts have</w:t>
      </w:r>
      <w:r w:rsidR="00372D7B">
        <w:rPr>
          <w:lang w:val="en-GB"/>
        </w:rPr>
        <w:t xml:space="preserve"> a</w:t>
      </w:r>
      <w:r w:rsidR="00484CAD">
        <w:rPr>
          <w:lang w:val="en-GB"/>
        </w:rPr>
        <w:t xml:space="preserve"> higher catalytic activity since the number the active </w:t>
      </w:r>
      <w:r w:rsidR="00B3492D">
        <w:rPr>
          <w:lang w:val="en-GB"/>
        </w:rPr>
        <w:t>sites</w:t>
      </w:r>
      <w:r w:rsidR="00484CAD">
        <w:rPr>
          <w:lang w:val="en-GB"/>
        </w:rPr>
        <w:t xml:space="preserve"> would be higher than for Cu-doped catalysts. </w:t>
      </w:r>
      <w:r w:rsidR="005715C5" w:rsidRPr="00FE637F">
        <w:rPr>
          <w:lang w:val="en-GB"/>
        </w:rPr>
        <w:t xml:space="preserve">These results were summarized in </w:t>
      </w:r>
      <w:r w:rsidR="005715C5" w:rsidRPr="00FE637F">
        <w:rPr>
          <w:lang w:val="en-GB"/>
        </w:rPr>
        <w:fldChar w:fldCharType="begin"/>
      </w:r>
      <w:r w:rsidR="005715C5" w:rsidRPr="00FE637F">
        <w:rPr>
          <w:lang w:val="en-GB"/>
        </w:rPr>
        <w:instrText xml:space="preserve"> REF _Ref125705752 \h  \* MERGEFORMAT </w:instrText>
      </w:r>
      <w:r w:rsidR="005715C5" w:rsidRPr="00FE637F">
        <w:rPr>
          <w:lang w:val="en-GB"/>
        </w:rPr>
      </w:r>
      <w:r w:rsidR="005715C5" w:rsidRPr="00FE637F">
        <w:rPr>
          <w:lang w:val="en-GB"/>
        </w:rPr>
        <w:fldChar w:fldCharType="separate"/>
      </w:r>
      <w:r w:rsidR="007D2DE0" w:rsidRPr="007D2DE0">
        <w:rPr>
          <w:lang w:val="en-GB"/>
        </w:rPr>
        <w:t xml:space="preserve">Table </w:t>
      </w:r>
      <w:r w:rsidR="007D2DE0" w:rsidRPr="007D2DE0">
        <w:rPr>
          <w:noProof/>
          <w:lang w:val="en-GB"/>
        </w:rPr>
        <w:t>1</w:t>
      </w:r>
      <w:r w:rsidR="005715C5" w:rsidRPr="00FE637F">
        <w:rPr>
          <w:lang w:val="en-GB"/>
        </w:rPr>
        <w:fldChar w:fldCharType="end"/>
      </w:r>
      <w:r w:rsidR="005715C5" w:rsidRPr="00FE637F">
        <w:rPr>
          <w:lang w:val="en-GB"/>
        </w:rPr>
        <w:t>.</w:t>
      </w:r>
    </w:p>
    <w:p w14:paraId="3E817CA7" w14:textId="095D7F69" w:rsidR="000A25A2" w:rsidRPr="0089071B" w:rsidRDefault="000A25A2" w:rsidP="00666AD1">
      <w:pPr>
        <w:pStyle w:val="CETTabletitle"/>
      </w:pPr>
      <w:bookmarkStart w:id="3" w:name="_Ref125705752"/>
      <w:r w:rsidRPr="0089071B">
        <w:t xml:space="preserve">Table </w:t>
      </w:r>
      <w:r w:rsidRPr="0089071B">
        <w:fldChar w:fldCharType="begin"/>
      </w:r>
      <w:r w:rsidRPr="0089071B">
        <w:instrText xml:space="preserve"> SEQ Table \* ARABIC </w:instrText>
      </w:r>
      <w:r w:rsidRPr="0089071B">
        <w:fldChar w:fldCharType="separate"/>
      </w:r>
      <w:r w:rsidR="007D2DE0">
        <w:rPr>
          <w:noProof/>
        </w:rPr>
        <w:t>1</w:t>
      </w:r>
      <w:r w:rsidRPr="0089071B">
        <w:fldChar w:fldCharType="end"/>
      </w:r>
      <w:bookmarkEnd w:id="3"/>
      <w:r w:rsidRPr="0089071B">
        <w:t xml:space="preserve">: </w:t>
      </w:r>
      <w:r w:rsidR="006A497F">
        <w:t>Surface characterization, particle size, c</w:t>
      </w:r>
      <w:r w:rsidRPr="0089071B">
        <w:t xml:space="preserve">hemical </w:t>
      </w:r>
      <w:r w:rsidR="006A497F" w:rsidRPr="0089071B">
        <w:t>composition,</w:t>
      </w:r>
      <w:r w:rsidR="006A497F">
        <w:t xml:space="preserve"> </w:t>
      </w:r>
      <w:r w:rsidRPr="0089071B">
        <w:t xml:space="preserve">and </w:t>
      </w:r>
      <w:r w:rsidR="00567F9D" w:rsidRPr="0089071B">
        <w:t>carbon dioxide production rate</w:t>
      </w:r>
      <w:r w:rsidR="006A497F">
        <w:t xml:space="preserve"> of the samples</w:t>
      </w:r>
    </w:p>
    <w:tbl>
      <w:tblPr>
        <w:tblW w:w="8789" w:type="dxa"/>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706"/>
        <w:gridCol w:w="651"/>
        <w:gridCol w:w="701"/>
        <w:gridCol w:w="751"/>
        <w:gridCol w:w="671"/>
        <w:gridCol w:w="472"/>
        <w:gridCol w:w="616"/>
        <w:gridCol w:w="243"/>
        <w:gridCol w:w="434"/>
        <w:gridCol w:w="471"/>
        <w:gridCol w:w="595"/>
        <w:gridCol w:w="1387"/>
        <w:gridCol w:w="1091"/>
      </w:tblGrid>
      <w:tr w:rsidR="00E85C42" w:rsidRPr="00E85C42" w14:paraId="2D19900F" w14:textId="2F57B469" w:rsidTr="00E85C42">
        <w:trPr>
          <w:trHeight w:val="418"/>
        </w:trPr>
        <w:tc>
          <w:tcPr>
            <w:tcW w:w="706" w:type="dxa"/>
            <w:vMerge w:val="restart"/>
            <w:tcBorders>
              <w:top w:val="single" w:sz="12" w:space="0" w:color="008000"/>
            </w:tcBorders>
            <w:shd w:val="clear" w:color="auto" w:fill="FFFFFF"/>
            <w:vAlign w:val="center"/>
          </w:tcPr>
          <w:p w14:paraId="0B5C0BA4" w14:textId="1D5AC325" w:rsidR="00E85C42" w:rsidRPr="00E85C42" w:rsidRDefault="00E85C42" w:rsidP="00E85C42">
            <w:pPr>
              <w:pStyle w:val="CETBodytext"/>
              <w:jc w:val="center"/>
              <w:rPr>
                <w:szCs w:val="18"/>
                <w:lang w:val="en-GB"/>
              </w:rPr>
            </w:pPr>
            <w:r w:rsidRPr="00E85C42">
              <w:rPr>
                <w:szCs w:val="18"/>
                <w:lang w:val="en-GB"/>
              </w:rPr>
              <w:t>Sample</w:t>
            </w:r>
          </w:p>
        </w:tc>
        <w:tc>
          <w:tcPr>
            <w:tcW w:w="651" w:type="dxa"/>
            <w:vMerge w:val="restart"/>
            <w:tcBorders>
              <w:top w:val="single" w:sz="12" w:space="0" w:color="008000"/>
            </w:tcBorders>
            <w:shd w:val="clear" w:color="auto" w:fill="FFFFFF"/>
            <w:vAlign w:val="center"/>
          </w:tcPr>
          <w:p w14:paraId="5808F04E" w14:textId="4C2A5DA9" w:rsidR="00E85C42" w:rsidRPr="00E85C42" w:rsidRDefault="00E85C42" w:rsidP="00E85C42">
            <w:pPr>
              <w:pStyle w:val="CETBodytext"/>
              <w:ind w:right="-1"/>
              <w:jc w:val="center"/>
              <w:rPr>
                <w:rFonts w:cs="Arial"/>
                <w:szCs w:val="18"/>
                <w:lang w:val="en-GB"/>
              </w:rPr>
            </w:pPr>
            <w:r w:rsidRPr="00E85C42">
              <w:rPr>
                <w:szCs w:val="18"/>
                <w:lang w:val="en-GB"/>
              </w:rPr>
              <w:t>BET surface area (m².g</w:t>
            </w:r>
            <w:r w:rsidRPr="00E85C42">
              <w:rPr>
                <w:szCs w:val="18"/>
                <w:vertAlign w:val="superscript"/>
                <w:lang w:val="en-GB"/>
              </w:rPr>
              <w:t>-1</w:t>
            </w:r>
            <w:r w:rsidRPr="00E85C42">
              <w:rPr>
                <w:szCs w:val="18"/>
                <w:lang w:val="en-GB"/>
              </w:rPr>
              <w:t>)</w:t>
            </w:r>
          </w:p>
        </w:tc>
        <w:tc>
          <w:tcPr>
            <w:tcW w:w="701" w:type="dxa"/>
            <w:vMerge w:val="restart"/>
            <w:tcBorders>
              <w:top w:val="single" w:sz="12" w:space="0" w:color="008000"/>
            </w:tcBorders>
            <w:shd w:val="clear" w:color="auto" w:fill="FFFFFF"/>
            <w:vAlign w:val="center"/>
          </w:tcPr>
          <w:p w14:paraId="4C3DB311" w14:textId="7F3467C6" w:rsidR="00E85C42" w:rsidRPr="00E85C42" w:rsidRDefault="00E85C42" w:rsidP="00E85C42">
            <w:pPr>
              <w:pStyle w:val="CETBodytext"/>
              <w:ind w:right="-1"/>
              <w:jc w:val="center"/>
              <w:rPr>
                <w:rFonts w:cs="Arial"/>
                <w:szCs w:val="18"/>
                <w:lang w:val="en-GB"/>
              </w:rPr>
            </w:pPr>
            <w:r w:rsidRPr="00E85C42">
              <w:rPr>
                <w:szCs w:val="18"/>
                <w:lang w:val="en-GB"/>
              </w:rPr>
              <w:t>Average pore diameter (</w:t>
            </w:r>
            <w:r w:rsidRPr="00E85C42">
              <w:rPr>
                <w:rFonts w:cs="Arial"/>
                <w:szCs w:val="18"/>
                <w:lang w:val="en-GB"/>
              </w:rPr>
              <w:t>Å</w:t>
            </w:r>
            <w:r w:rsidRPr="00E85C42">
              <w:rPr>
                <w:szCs w:val="18"/>
                <w:lang w:val="en-GB"/>
              </w:rPr>
              <w:t>)</w:t>
            </w:r>
          </w:p>
        </w:tc>
        <w:tc>
          <w:tcPr>
            <w:tcW w:w="751" w:type="dxa"/>
            <w:vMerge w:val="restart"/>
            <w:tcBorders>
              <w:top w:val="single" w:sz="12" w:space="0" w:color="008000"/>
            </w:tcBorders>
            <w:shd w:val="clear" w:color="auto" w:fill="FFFFFF"/>
            <w:vAlign w:val="center"/>
          </w:tcPr>
          <w:p w14:paraId="5B8B0FAB" w14:textId="49C32753" w:rsidR="00E85C42" w:rsidRPr="00E85C42" w:rsidRDefault="00E85C42" w:rsidP="00E85C42">
            <w:pPr>
              <w:pStyle w:val="CETBodytext"/>
              <w:ind w:right="-1"/>
              <w:jc w:val="center"/>
              <w:rPr>
                <w:rFonts w:cs="Arial"/>
                <w:szCs w:val="18"/>
                <w:lang w:val="en-GB"/>
              </w:rPr>
            </w:pPr>
            <w:r w:rsidRPr="00E85C42">
              <w:rPr>
                <w:szCs w:val="18"/>
                <w:lang w:val="en-GB"/>
              </w:rPr>
              <w:t>Total pore volume (cm³.g</w:t>
            </w:r>
            <w:r w:rsidRPr="00E85C42">
              <w:rPr>
                <w:szCs w:val="18"/>
                <w:vertAlign w:val="superscript"/>
                <w:lang w:val="en-GB"/>
              </w:rPr>
              <w:t>-1</w:t>
            </w:r>
            <w:r w:rsidRPr="00E85C42">
              <w:rPr>
                <w:szCs w:val="18"/>
                <w:lang w:val="en-GB"/>
              </w:rPr>
              <w:t>)</w:t>
            </w:r>
          </w:p>
        </w:tc>
        <w:tc>
          <w:tcPr>
            <w:tcW w:w="671" w:type="dxa"/>
            <w:vMerge w:val="restart"/>
            <w:tcBorders>
              <w:top w:val="single" w:sz="12" w:space="0" w:color="008000"/>
            </w:tcBorders>
            <w:shd w:val="clear" w:color="auto" w:fill="FFFFFF"/>
            <w:vAlign w:val="center"/>
          </w:tcPr>
          <w:p w14:paraId="65374E25" w14:textId="3E2EA02A" w:rsidR="00E85C42" w:rsidRPr="00E85C42" w:rsidRDefault="00E85C42" w:rsidP="00E85C42">
            <w:pPr>
              <w:pStyle w:val="CETBodytext"/>
              <w:ind w:right="-1"/>
              <w:jc w:val="center"/>
              <w:rPr>
                <w:szCs w:val="18"/>
                <w:lang w:val="en-GB"/>
              </w:rPr>
            </w:pPr>
            <w:r w:rsidRPr="00E85C42">
              <w:rPr>
                <w:rFonts w:cs="Arial"/>
                <w:szCs w:val="18"/>
                <w:lang w:val="en-GB"/>
              </w:rPr>
              <w:t>Average particles size (µm)</w:t>
            </w:r>
          </w:p>
        </w:tc>
        <w:tc>
          <w:tcPr>
            <w:tcW w:w="2831" w:type="dxa"/>
            <w:gridSpan w:val="6"/>
            <w:tcBorders>
              <w:top w:val="single" w:sz="12" w:space="0" w:color="008000"/>
              <w:bottom w:val="single" w:sz="6" w:space="0" w:color="008000"/>
            </w:tcBorders>
            <w:shd w:val="clear" w:color="auto" w:fill="FFFFFF"/>
            <w:vAlign w:val="center"/>
          </w:tcPr>
          <w:p w14:paraId="15BDCACB" w14:textId="280B9DE6" w:rsidR="00E85C42" w:rsidRPr="00E85C42" w:rsidRDefault="00E85C42" w:rsidP="00E85C42">
            <w:pPr>
              <w:pStyle w:val="CETBodytext"/>
              <w:ind w:right="-1"/>
              <w:jc w:val="center"/>
              <w:rPr>
                <w:szCs w:val="18"/>
                <w:lang w:val="en-GB"/>
              </w:rPr>
            </w:pPr>
            <w:r w:rsidRPr="00E85C42">
              <w:rPr>
                <w:szCs w:val="18"/>
                <w:lang w:val="en-GB"/>
              </w:rPr>
              <w:t xml:space="preserve">Elemental analysis from EDS </w:t>
            </w:r>
            <w:r>
              <w:rPr>
                <w:szCs w:val="18"/>
                <w:lang w:val="en-GB"/>
              </w:rPr>
              <w:br/>
            </w:r>
            <w:r w:rsidRPr="00E85C42">
              <w:rPr>
                <w:szCs w:val="18"/>
                <w:lang w:val="en-GB"/>
              </w:rPr>
              <w:t>(wt, %)</w:t>
            </w:r>
          </w:p>
        </w:tc>
        <w:tc>
          <w:tcPr>
            <w:tcW w:w="1387" w:type="dxa"/>
            <w:vMerge w:val="restart"/>
            <w:tcBorders>
              <w:top w:val="single" w:sz="12" w:space="0" w:color="008000"/>
            </w:tcBorders>
            <w:shd w:val="clear" w:color="auto" w:fill="FFFFFF"/>
            <w:vAlign w:val="center"/>
          </w:tcPr>
          <w:p w14:paraId="535BDD70" w14:textId="0D4F1D02" w:rsidR="00E85C42" w:rsidRPr="00E85C42" w:rsidRDefault="00E85C42" w:rsidP="00E85C42">
            <w:pPr>
              <w:pStyle w:val="CETBodytext"/>
              <w:ind w:right="-1"/>
              <w:jc w:val="center"/>
              <w:rPr>
                <w:szCs w:val="18"/>
                <w:lang w:val="en-GB"/>
              </w:rPr>
            </w:pPr>
            <w:r w:rsidRPr="00E85C42">
              <w:rPr>
                <w:szCs w:val="18"/>
                <w:lang w:val="en-GB"/>
              </w:rPr>
              <w:t xml:space="preserve">Rate </w:t>
            </w:r>
            <w:r>
              <w:rPr>
                <w:szCs w:val="18"/>
                <w:lang w:val="en-GB"/>
              </w:rPr>
              <w:t>VIS</w:t>
            </w:r>
            <w:r w:rsidRPr="00E85C42">
              <w:rPr>
                <w:szCs w:val="18"/>
                <w:lang w:val="en-GB"/>
              </w:rPr>
              <w:t xml:space="preserve"> </w:t>
            </w:r>
            <w:r>
              <w:rPr>
                <w:szCs w:val="18"/>
                <w:lang w:val="en-GB"/>
              </w:rPr>
              <w:br/>
            </w:r>
            <w:r w:rsidRPr="00E85C42">
              <w:rPr>
                <w:rFonts w:cs="Arial"/>
                <w:szCs w:val="18"/>
              </w:rPr>
              <w:t>(μmol.</w:t>
            </w:r>
            <w:r>
              <w:rPr>
                <w:rFonts w:cs="Arial"/>
                <w:szCs w:val="18"/>
              </w:rPr>
              <w:br/>
            </w:r>
            <w:r w:rsidRPr="00E85C42">
              <w:rPr>
                <w:rFonts w:cs="Arial"/>
                <w:szCs w:val="18"/>
              </w:rPr>
              <w:t>min</w:t>
            </w:r>
            <w:r w:rsidRPr="00E85C42">
              <w:rPr>
                <w:rFonts w:cs="Arial"/>
                <w:szCs w:val="18"/>
                <w:vertAlign w:val="superscript"/>
              </w:rPr>
              <w:t>-1</w:t>
            </w:r>
            <w:r w:rsidRPr="00E85C42">
              <w:rPr>
                <w:rFonts w:cs="Arial"/>
                <w:szCs w:val="18"/>
              </w:rPr>
              <w:t>.g</w:t>
            </w:r>
            <w:r w:rsidRPr="00E85C42">
              <w:rPr>
                <w:rFonts w:cs="Arial"/>
                <w:szCs w:val="18"/>
                <w:vertAlign w:val="subscript"/>
              </w:rPr>
              <w:t>cat</w:t>
            </w:r>
            <w:r w:rsidRPr="00E85C42">
              <w:rPr>
                <w:rFonts w:cs="Arial"/>
                <w:szCs w:val="18"/>
                <w:vertAlign w:val="superscript"/>
              </w:rPr>
              <w:t>-1</w:t>
            </w:r>
            <w:r w:rsidRPr="00E85C42">
              <w:rPr>
                <w:rFonts w:cs="Arial"/>
                <w:szCs w:val="18"/>
              </w:rPr>
              <w:t>)</w:t>
            </w:r>
          </w:p>
        </w:tc>
        <w:tc>
          <w:tcPr>
            <w:tcW w:w="1091" w:type="dxa"/>
            <w:vMerge w:val="restart"/>
            <w:tcBorders>
              <w:top w:val="single" w:sz="12" w:space="0" w:color="008000"/>
            </w:tcBorders>
            <w:shd w:val="clear" w:color="auto" w:fill="FFFFFF"/>
            <w:vAlign w:val="center"/>
          </w:tcPr>
          <w:p w14:paraId="52B0E022" w14:textId="6C3A15FF" w:rsidR="00E85C42" w:rsidRPr="00E85C42" w:rsidRDefault="00E85C42" w:rsidP="00E85C42">
            <w:pPr>
              <w:pStyle w:val="CETBodytext"/>
              <w:ind w:right="-1"/>
              <w:jc w:val="center"/>
              <w:rPr>
                <w:szCs w:val="18"/>
                <w:lang w:val="en-GB"/>
              </w:rPr>
            </w:pPr>
            <w:r w:rsidRPr="00E85C42">
              <w:rPr>
                <w:szCs w:val="18"/>
                <w:lang w:val="en-GB"/>
              </w:rPr>
              <w:t xml:space="preserve">Rate UV-A </w:t>
            </w:r>
            <w:r w:rsidRPr="00E85C42">
              <w:rPr>
                <w:rFonts w:cs="Arial"/>
                <w:szCs w:val="18"/>
              </w:rPr>
              <w:t>(μmol.</w:t>
            </w:r>
            <w:r>
              <w:rPr>
                <w:rFonts w:cs="Arial"/>
                <w:szCs w:val="18"/>
              </w:rPr>
              <w:br/>
            </w:r>
            <w:r w:rsidRPr="00E85C42">
              <w:rPr>
                <w:rFonts w:cs="Arial"/>
                <w:szCs w:val="18"/>
              </w:rPr>
              <w:t>min</w:t>
            </w:r>
            <w:r w:rsidRPr="00E85C42">
              <w:rPr>
                <w:rFonts w:cs="Arial"/>
                <w:szCs w:val="18"/>
                <w:vertAlign w:val="superscript"/>
              </w:rPr>
              <w:t>-1</w:t>
            </w:r>
            <w:r w:rsidRPr="00E85C42">
              <w:rPr>
                <w:rFonts w:cs="Arial"/>
                <w:szCs w:val="18"/>
              </w:rPr>
              <w:t>.g</w:t>
            </w:r>
            <w:r w:rsidRPr="00E85C42">
              <w:rPr>
                <w:rFonts w:cs="Arial"/>
                <w:szCs w:val="18"/>
                <w:vertAlign w:val="subscript"/>
              </w:rPr>
              <w:t>cat</w:t>
            </w:r>
            <w:r w:rsidRPr="00E85C42">
              <w:rPr>
                <w:rFonts w:cs="Arial"/>
                <w:szCs w:val="18"/>
                <w:vertAlign w:val="superscript"/>
              </w:rPr>
              <w:t>-1</w:t>
            </w:r>
            <w:r w:rsidRPr="00E85C42">
              <w:rPr>
                <w:rFonts w:cs="Arial"/>
                <w:szCs w:val="18"/>
              </w:rPr>
              <w:t>)</w:t>
            </w:r>
          </w:p>
        </w:tc>
      </w:tr>
      <w:tr w:rsidR="00E85C42" w:rsidRPr="00E85C42" w14:paraId="3D7F6BA4" w14:textId="1FCAE792" w:rsidTr="00E85C42">
        <w:trPr>
          <w:trHeight w:val="112"/>
        </w:trPr>
        <w:tc>
          <w:tcPr>
            <w:tcW w:w="706" w:type="dxa"/>
            <w:vMerge/>
            <w:tcBorders>
              <w:bottom w:val="single" w:sz="6" w:space="0" w:color="008000"/>
            </w:tcBorders>
            <w:shd w:val="clear" w:color="auto" w:fill="FFFFFF"/>
            <w:vAlign w:val="center"/>
          </w:tcPr>
          <w:p w14:paraId="48B85FC6" w14:textId="77777777" w:rsidR="00E85C42" w:rsidRPr="00E85C42" w:rsidRDefault="00E85C42" w:rsidP="00E85C42">
            <w:pPr>
              <w:pStyle w:val="CETBodytext"/>
              <w:jc w:val="center"/>
              <w:rPr>
                <w:szCs w:val="18"/>
                <w:lang w:val="en-GB"/>
              </w:rPr>
            </w:pPr>
          </w:p>
        </w:tc>
        <w:tc>
          <w:tcPr>
            <w:tcW w:w="651" w:type="dxa"/>
            <w:vMerge/>
            <w:tcBorders>
              <w:bottom w:val="single" w:sz="6" w:space="0" w:color="008000"/>
            </w:tcBorders>
            <w:shd w:val="clear" w:color="auto" w:fill="FFFFFF"/>
            <w:vAlign w:val="center"/>
          </w:tcPr>
          <w:p w14:paraId="7150E547" w14:textId="77777777" w:rsidR="00E85C42" w:rsidRPr="00E85C42" w:rsidRDefault="00E85C42" w:rsidP="00E85C42">
            <w:pPr>
              <w:pStyle w:val="CETBodytext"/>
              <w:jc w:val="center"/>
              <w:rPr>
                <w:szCs w:val="18"/>
                <w:lang w:val="en-GB"/>
              </w:rPr>
            </w:pPr>
          </w:p>
        </w:tc>
        <w:tc>
          <w:tcPr>
            <w:tcW w:w="701" w:type="dxa"/>
            <w:vMerge/>
            <w:tcBorders>
              <w:bottom w:val="single" w:sz="6" w:space="0" w:color="008000"/>
            </w:tcBorders>
            <w:shd w:val="clear" w:color="auto" w:fill="FFFFFF"/>
            <w:vAlign w:val="center"/>
          </w:tcPr>
          <w:p w14:paraId="22A7157E" w14:textId="77777777" w:rsidR="00E85C42" w:rsidRPr="00E85C42" w:rsidRDefault="00E85C42" w:rsidP="00E85C42">
            <w:pPr>
              <w:pStyle w:val="CETBodytext"/>
              <w:jc w:val="center"/>
              <w:rPr>
                <w:szCs w:val="18"/>
                <w:lang w:val="en-GB"/>
              </w:rPr>
            </w:pPr>
          </w:p>
        </w:tc>
        <w:tc>
          <w:tcPr>
            <w:tcW w:w="751" w:type="dxa"/>
            <w:vMerge/>
            <w:tcBorders>
              <w:bottom w:val="single" w:sz="6" w:space="0" w:color="008000"/>
            </w:tcBorders>
            <w:shd w:val="clear" w:color="auto" w:fill="FFFFFF"/>
            <w:vAlign w:val="center"/>
          </w:tcPr>
          <w:p w14:paraId="44EF125C" w14:textId="2975AE29" w:rsidR="00E85C42" w:rsidRPr="00E85C42" w:rsidRDefault="00E85C42" w:rsidP="00E85C42">
            <w:pPr>
              <w:pStyle w:val="CETBodytext"/>
              <w:jc w:val="center"/>
              <w:rPr>
                <w:szCs w:val="18"/>
                <w:lang w:val="en-GB"/>
              </w:rPr>
            </w:pPr>
          </w:p>
        </w:tc>
        <w:tc>
          <w:tcPr>
            <w:tcW w:w="671" w:type="dxa"/>
            <w:vMerge/>
            <w:tcBorders>
              <w:bottom w:val="single" w:sz="6" w:space="0" w:color="008000"/>
            </w:tcBorders>
            <w:shd w:val="clear" w:color="auto" w:fill="FFFFFF"/>
            <w:vAlign w:val="center"/>
          </w:tcPr>
          <w:p w14:paraId="643EFDFA" w14:textId="77C433B9" w:rsidR="00E85C42" w:rsidRPr="00E85C42" w:rsidRDefault="00E85C42" w:rsidP="00E85C42">
            <w:pPr>
              <w:pStyle w:val="CETBodytext"/>
              <w:jc w:val="center"/>
              <w:rPr>
                <w:szCs w:val="18"/>
                <w:lang w:val="en-GB"/>
              </w:rPr>
            </w:pPr>
          </w:p>
        </w:tc>
        <w:tc>
          <w:tcPr>
            <w:tcW w:w="472" w:type="dxa"/>
            <w:tcBorders>
              <w:top w:val="single" w:sz="4" w:space="0" w:color="auto"/>
              <w:bottom w:val="single" w:sz="6" w:space="0" w:color="008000"/>
            </w:tcBorders>
            <w:shd w:val="clear" w:color="auto" w:fill="FFFFFF"/>
            <w:vAlign w:val="center"/>
          </w:tcPr>
          <w:p w14:paraId="5FA251DC" w14:textId="77777777" w:rsidR="00E85C42" w:rsidRPr="00E85C42" w:rsidRDefault="00E85C42" w:rsidP="00E85C42">
            <w:pPr>
              <w:pStyle w:val="CETBodytext"/>
              <w:jc w:val="center"/>
              <w:rPr>
                <w:szCs w:val="18"/>
                <w:lang w:val="en-GB"/>
              </w:rPr>
            </w:pPr>
            <w:r w:rsidRPr="00E85C42">
              <w:rPr>
                <w:szCs w:val="18"/>
                <w:lang w:val="en-GB"/>
              </w:rPr>
              <w:t>C</w:t>
            </w:r>
          </w:p>
        </w:tc>
        <w:tc>
          <w:tcPr>
            <w:tcW w:w="616" w:type="dxa"/>
            <w:tcBorders>
              <w:bottom w:val="single" w:sz="6" w:space="0" w:color="008000"/>
            </w:tcBorders>
            <w:shd w:val="clear" w:color="auto" w:fill="FFFFFF"/>
            <w:vAlign w:val="center"/>
          </w:tcPr>
          <w:p w14:paraId="712B504B"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N</w:t>
            </w:r>
          </w:p>
        </w:tc>
        <w:tc>
          <w:tcPr>
            <w:tcW w:w="243" w:type="dxa"/>
            <w:tcBorders>
              <w:bottom w:val="single" w:sz="6" w:space="0" w:color="008000"/>
            </w:tcBorders>
            <w:shd w:val="clear" w:color="auto" w:fill="FFFFFF"/>
            <w:vAlign w:val="center"/>
          </w:tcPr>
          <w:p w14:paraId="25B43240"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Ni</w:t>
            </w:r>
          </w:p>
        </w:tc>
        <w:tc>
          <w:tcPr>
            <w:tcW w:w="434" w:type="dxa"/>
            <w:tcBorders>
              <w:bottom w:val="single" w:sz="6" w:space="0" w:color="008000"/>
            </w:tcBorders>
            <w:shd w:val="clear" w:color="auto" w:fill="FFFFFF"/>
            <w:vAlign w:val="center"/>
          </w:tcPr>
          <w:p w14:paraId="0CF89566"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Cu</w:t>
            </w:r>
          </w:p>
        </w:tc>
        <w:tc>
          <w:tcPr>
            <w:tcW w:w="471" w:type="dxa"/>
            <w:tcBorders>
              <w:bottom w:val="single" w:sz="6" w:space="0" w:color="008000"/>
            </w:tcBorders>
            <w:shd w:val="clear" w:color="auto" w:fill="FFFFFF"/>
            <w:vAlign w:val="center"/>
          </w:tcPr>
          <w:p w14:paraId="37881CDB"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Ti</w:t>
            </w:r>
          </w:p>
        </w:tc>
        <w:tc>
          <w:tcPr>
            <w:tcW w:w="595" w:type="dxa"/>
            <w:tcBorders>
              <w:bottom w:val="single" w:sz="6" w:space="0" w:color="008000"/>
            </w:tcBorders>
            <w:shd w:val="clear" w:color="auto" w:fill="FFFFFF"/>
            <w:vAlign w:val="center"/>
          </w:tcPr>
          <w:p w14:paraId="7BC7DD3D"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O</w:t>
            </w:r>
          </w:p>
        </w:tc>
        <w:tc>
          <w:tcPr>
            <w:tcW w:w="1387" w:type="dxa"/>
            <w:vMerge/>
            <w:tcBorders>
              <w:bottom w:val="single" w:sz="6" w:space="0" w:color="008000"/>
            </w:tcBorders>
            <w:shd w:val="clear" w:color="auto" w:fill="FFFFFF"/>
          </w:tcPr>
          <w:p w14:paraId="0030C534" w14:textId="77777777" w:rsidR="00E85C42" w:rsidRPr="00E85C42" w:rsidRDefault="00E85C42" w:rsidP="00E85C42">
            <w:pPr>
              <w:pStyle w:val="CETBodytext"/>
              <w:ind w:right="-1"/>
              <w:rPr>
                <w:rFonts w:cs="Arial"/>
                <w:szCs w:val="18"/>
                <w:lang w:val="en-GB"/>
              </w:rPr>
            </w:pPr>
          </w:p>
        </w:tc>
        <w:tc>
          <w:tcPr>
            <w:tcW w:w="1091" w:type="dxa"/>
            <w:vMerge/>
            <w:tcBorders>
              <w:bottom w:val="single" w:sz="6" w:space="0" w:color="008000"/>
            </w:tcBorders>
            <w:shd w:val="clear" w:color="auto" w:fill="FFFFFF"/>
          </w:tcPr>
          <w:p w14:paraId="46228B21" w14:textId="572D4EB1" w:rsidR="00E85C42" w:rsidRPr="00E85C42" w:rsidRDefault="00E85C42" w:rsidP="00E85C42">
            <w:pPr>
              <w:pStyle w:val="CETBodytext"/>
              <w:ind w:right="-1"/>
              <w:rPr>
                <w:rFonts w:cs="Arial"/>
                <w:szCs w:val="18"/>
                <w:lang w:val="en-GB"/>
              </w:rPr>
            </w:pPr>
          </w:p>
        </w:tc>
      </w:tr>
      <w:tr w:rsidR="00E85C42" w:rsidRPr="00E85C42" w14:paraId="13459428" w14:textId="7179689B" w:rsidTr="00E85C42">
        <w:tc>
          <w:tcPr>
            <w:tcW w:w="706" w:type="dxa"/>
            <w:shd w:val="clear" w:color="auto" w:fill="FFFFFF"/>
          </w:tcPr>
          <w:p w14:paraId="5C513D6E" w14:textId="77777777" w:rsidR="00E85C42" w:rsidRPr="00E85C42" w:rsidRDefault="00E85C42" w:rsidP="00E85C42">
            <w:pPr>
              <w:pStyle w:val="CETBodytext"/>
              <w:ind w:right="-1"/>
              <w:rPr>
                <w:rFonts w:cs="Arial"/>
                <w:szCs w:val="18"/>
                <w:lang w:val="en-GB"/>
              </w:rPr>
            </w:pPr>
            <w:r w:rsidRPr="00E85C42">
              <w:rPr>
                <w:rFonts w:cs="Arial"/>
                <w:szCs w:val="18"/>
                <w:lang w:val="en-GB"/>
              </w:rPr>
              <w:t>Cu</w:t>
            </w:r>
            <w:r w:rsidRPr="00E85C42">
              <w:rPr>
                <w:szCs w:val="18"/>
                <w:lang w:val="en-GB"/>
              </w:rPr>
              <w:t>/TiO</w:t>
            </w:r>
            <w:r w:rsidRPr="00E85C42">
              <w:rPr>
                <w:szCs w:val="18"/>
                <w:vertAlign w:val="subscript"/>
                <w:lang w:val="en-GB"/>
              </w:rPr>
              <w:t>2</w:t>
            </w:r>
          </w:p>
        </w:tc>
        <w:tc>
          <w:tcPr>
            <w:tcW w:w="651" w:type="dxa"/>
            <w:shd w:val="clear" w:color="auto" w:fill="FFFFFF"/>
          </w:tcPr>
          <w:p w14:paraId="30AEA57C" w14:textId="79581CB9" w:rsidR="00E85C42" w:rsidRPr="00E85C42" w:rsidRDefault="00E85C42" w:rsidP="00E85C42">
            <w:pPr>
              <w:pStyle w:val="CETBodytext"/>
              <w:ind w:right="-1"/>
              <w:jc w:val="center"/>
              <w:rPr>
                <w:rFonts w:cs="Arial"/>
                <w:szCs w:val="18"/>
                <w:lang w:val="en-GB"/>
              </w:rPr>
            </w:pPr>
            <w:r w:rsidRPr="00E85C42">
              <w:rPr>
                <w:rFonts w:cs="Arial"/>
                <w:szCs w:val="18"/>
              </w:rPr>
              <w:t>44</w:t>
            </w:r>
          </w:p>
        </w:tc>
        <w:tc>
          <w:tcPr>
            <w:tcW w:w="701" w:type="dxa"/>
            <w:shd w:val="clear" w:color="auto" w:fill="FFFFFF"/>
          </w:tcPr>
          <w:p w14:paraId="7A8F2F4F" w14:textId="5407DF61" w:rsidR="00E85C42" w:rsidRPr="00E85C42" w:rsidRDefault="00E85C42" w:rsidP="00E85C42">
            <w:pPr>
              <w:pStyle w:val="CETBodytext"/>
              <w:ind w:right="-1"/>
              <w:jc w:val="center"/>
              <w:rPr>
                <w:rFonts w:cs="Arial"/>
                <w:szCs w:val="18"/>
                <w:lang w:val="en-GB"/>
              </w:rPr>
            </w:pPr>
            <w:r w:rsidRPr="00E85C42">
              <w:rPr>
                <w:rFonts w:cs="Arial"/>
                <w:szCs w:val="18"/>
              </w:rPr>
              <w:t>77.4</w:t>
            </w:r>
          </w:p>
        </w:tc>
        <w:tc>
          <w:tcPr>
            <w:tcW w:w="751" w:type="dxa"/>
            <w:shd w:val="clear" w:color="auto" w:fill="FFFFFF"/>
          </w:tcPr>
          <w:p w14:paraId="0B11FD58" w14:textId="695ED576" w:rsidR="00E85C42" w:rsidRPr="00E85C42" w:rsidRDefault="00E85C42" w:rsidP="00E85C42">
            <w:pPr>
              <w:pStyle w:val="CETBodytext"/>
              <w:ind w:right="-1"/>
              <w:jc w:val="center"/>
              <w:rPr>
                <w:rFonts w:cs="Arial"/>
                <w:szCs w:val="18"/>
                <w:lang w:val="en-GB"/>
              </w:rPr>
            </w:pPr>
            <w:r w:rsidRPr="00E85C42">
              <w:rPr>
                <w:rFonts w:cs="Arial"/>
                <w:szCs w:val="18"/>
              </w:rPr>
              <w:t>0.086</w:t>
            </w:r>
          </w:p>
        </w:tc>
        <w:tc>
          <w:tcPr>
            <w:tcW w:w="671" w:type="dxa"/>
            <w:shd w:val="clear" w:color="auto" w:fill="FFFFFF"/>
          </w:tcPr>
          <w:p w14:paraId="33AE9069" w14:textId="38902D2F" w:rsidR="00E85C42" w:rsidRPr="00E85C42" w:rsidRDefault="00E85C42" w:rsidP="00E85C42">
            <w:pPr>
              <w:pStyle w:val="CETBodytext"/>
              <w:ind w:right="-1"/>
              <w:jc w:val="center"/>
              <w:rPr>
                <w:rFonts w:cs="Arial"/>
                <w:szCs w:val="18"/>
                <w:lang w:val="en-GB"/>
              </w:rPr>
            </w:pPr>
            <w:r w:rsidRPr="00E85C42">
              <w:rPr>
                <w:rFonts w:cs="Arial"/>
                <w:szCs w:val="18"/>
                <w:lang w:val="en-GB"/>
              </w:rPr>
              <w:t>3.58</w:t>
            </w:r>
          </w:p>
        </w:tc>
        <w:tc>
          <w:tcPr>
            <w:tcW w:w="472" w:type="dxa"/>
            <w:shd w:val="clear" w:color="auto" w:fill="FFFFFF"/>
          </w:tcPr>
          <w:p w14:paraId="4AE6D1C1"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616" w:type="dxa"/>
            <w:shd w:val="clear" w:color="auto" w:fill="FFFFFF"/>
          </w:tcPr>
          <w:p w14:paraId="1409A924"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243" w:type="dxa"/>
            <w:shd w:val="clear" w:color="auto" w:fill="FFFFFF"/>
          </w:tcPr>
          <w:p w14:paraId="51AA7D41"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434" w:type="dxa"/>
            <w:shd w:val="clear" w:color="auto" w:fill="FFFFFF"/>
          </w:tcPr>
          <w:p w14:paraId="149402C7" w14:textId="23E0C8BF" w:rsidR="00E85C42" w:rsidRPr="00E85C42" w:rsidRDefault="00E85C42" w:rsidP="00E85C42">
            <w:pPr>
              <w:pStyle w:val="CETBodytext"/>
              <w:ind w:right="-1"/>
              <w:jc w:val="center"/>
              <w:rPr>
                <w:rFonts w:cs="Arial"/>
                <w:szCs w:val="18"/>
                <w:lang w:val="en-GB"/>
              </w:rPr>
            </w:pPr>
            <w:r w:rsidRPr="00E85C42">
              <w:rPr>
                <w:rFonts w:cs="Arial"/>
                <w:szCs w:val="18"/>
                <w:lang w:val="en-GB"/>
              </w:rPr>
              <w:t>4.</w:t>
            </w:r>
            <w:r w:rsidR="00484CAD">
              <w:rPr>
                <w:rFonts w:cs="Arial"/>
                <w:szCs w:val="18"/>
                <w:lang w:val="en-GB"/>
              </w:rPr>
              <w:t>2</w:t>
            </w:r>
          </w:p>
        </w:tc>
        <w:tc>
          <w:tcPr>
            <w:tcW w:w="471" w:type="dxa"/>
            <w:shd w:val="clear" w:color="auto" w:fill="FFFFFF"/>
          </w:tcPr>
          <w:p w14:paraId="0D3B4FCF" w14:textId="0631CDE9" w:rsidR="00E85C42" w:rsidRPr="00E85C42" w:rsidRDefault="00E85C42" w:rsidP="00E85C42">
            <w:pPr>
              <w:pStyle w:val="CETBodytext"/>
              <w:ind w:right="-1"/>
              <w:jc w:val="center"/>
              <w:rPr>
                <w:rFonts w:cs="Arial"/>
                <w:szCs w:val="18"/>
                <w:lang w:val="en-GB"/>
              </w:rPr>
            </w:pPr>
            <w:r w:rsidRPr="00E85C42">
              <w:rPr>
                <w:rFonts w:cs="Arial"/>
                <w:szCs w:val="18"/>
                <w:lang w:val="en-GB"/>
              </w:rPr>
              <w:t>52.</w:t>
            </w:r>
            <w:r w:rsidR="00484CAD">
              <w:rPr>
                <w:rFonts w:cs="Arial"/>
                <w:szCs w:val="18"/>
                <w:lang w:val="en-GB"/>
              </w:rPr>
              <w:t>4</w:t>
            </w:r>
          </w:p>
        </w:tc>
        <w:tc>
          <w:tcPr>
            <w:tcW w:w="595" w:type="dxa"/>
            <w:shd w:val="clear" w:color="auto" w:fill="FFFFFF"/>
          </w:tcPr>
          <w:p w14:paraId="37715E90" w14:textId="2030DE5A" w:rsidR="00E85C42" w:rsidRPr="00E85C42" w:rsidRDefault="00E85C42" w:rsidP="00E85C42">
            <w:pPr>
              <w:pStyle w:val="CETBodytext"/>
              <w:ind w:right="-1"/>
              <w:jc w:val="center"/>
              <w:rPr>
                <w:rFonts w:cs="Arial"/>
                <w:szCs w:val="18"/>
                <w:lang w:val="en-GB"/>
              </w:rPr>
            </w:pPr>
            <w:r w:rsidRPr="00E85C42">
              <w:rPr>
                <w:rFonts w:cs="Arial"/>
                <w:szCs w:val="18"/>
                <w:lang w:val="en-GB"/>
              </w:rPr>
              <w:t>43.3</w:t>
            </w:r>
          </w:p>
        </w:tc>
        <w:tc>
          <w:tcPr>
            <w:tcW w:w="1387" w:type="dxa"/>
            <w:shd w:val="clear" w:color="auto" w:fill="FFFFFF"/>
          </w:tcPr>
          <w:p w14:paraId="4E527E6D" w14:textId="5F9F3315" w:rsidR="00E85C42" w:rsidRPr="00E85C42" w:rsidRDefault="00E85C42" w:rsidP="00E85C42">
            <w:pPr>
              <w:pStyle w:val="CETBodytext"/>
              <w:ind w:right="-1"/>
              <w:rPr>
                <w:rFonts w:cs="Arial"/>
                <w:szCs w:val="18"/>
              </w:rPr>
            </w:pPr>
            <w:r w:rsidRPr="00E85C42">
              <w:rPr>
                <w:rFonts w:cs="Arial"/>
                <w:szCs w:val="18"/>
              </w:rPr>
              <w:t>0.0029 ± 0.0005</w:t>
            </w:r>
          </w:p>
        </w:tc>
        <w:tc>
          <w:tcPr>
            <w:tcW w:w="1091" w:type="dxa"/>
            <w:shd w:val="clear" w:color="auto" w:fill="FFFFFF"/>
          </w:tcPr>
          <w:p w14:paraId="202A85E4" w14:textId="43BC45A0" w:rsidR="00E85C42" w:rsidRPr="00E85C42" w:rsidRDefault="00E85C42" w:rsidP="00E85C42">
            <w:pPr>
              <w:pStyle w:val="CETBodytext"/>
              <w:ind w:right="-1"/>
              <w:rPr>
                <w:rFonts w:cs="Arial"/>
                <w:szCs w:val="18"/>
              </w:rPr>
            </w:pPr>
            <w:r w:rsidRPr="00E85C42">
              <w:rPr>
                <w:rFonts w:cs="Arial"/>
                <w:szCs w:val="18"/>
              </w:rPr>
              <w:t>0.056 ± 0.002</w:t>
            </w:r>
          </w:p>
        </w:tc>
      </w:tr>
      <w:tr w:rsidR="00E85C42" w:rsidRPr="00E85C42" w14:paraId="0094C220" w14:textId="7528E618" w:rsidTr="00E85C42">
        <w:tc>
          <w:tcPr>
            <w:tcW w:w="706" w:type="dxa"/>
            <w:shd w:val="clear" w:color="auto" w:fill="FFFFFF"/>
          </w:tcPr>
          <w:p w14:paraId="6F516DD6" w14:textId="77777777" w:rsidR="00E85C42" w:rsidRPr="00E85C42" w:rsidRDefault="00E85C42" w:rsidP="00E85C42">
            <w:pPr>
              <w:pStyle w:val="CETBodytext"/>
              <w:rPr>
                <w:szCs w:val="18"/>
                <w:lang w:val="en-GB"/>
              </w:rPr>
            </w:pPr>
            <w:r w:rsidRPr="00E85C42">
              <w:rPr>
                <w:szCs w:val="18"/>
                <w:lang w:val="en-GB"/>
              </w:rPr>
              <w:t>Ni/TiO</w:t>
            </w:r>
            <w:r w:rsidRPr="00E85C42">
              <w:rPr>
                <w:szCs w:val="18"/>
                <w:vertAlign w:val="subscript"/>
                <w:lang w:val="en-GB"/>
              </w:rPr>
              <w:t>2</w:t>
            </w:r>
          </w:p>
        </w:tc>
        <w:tc>
          <w:tcPr>
            <w:tcW w:w="651" w:type="dxa"/>
            <w:shd w:val="clear" w:color="auto" w:fill="FFFFFF"/>
          </w:tcPr>
          <w:p w14:paraId="13244272" w14:textId="2795B063" w:rsidR="00E85C42" w:rsidRPr="00E85C42" w:rsidRDefault="00E85C42" w:rsidP="00E85C42">
            <w:pPr>
              <w:pStyle w:val="CETBodytext"/>
              <w:jc w:val="center"/>
              <w:rPr>
                <w:rFonts w:cs="Arial"/>
                <w:szCs w:val="18"/>
                <w:lang w:val="en-GB"/>
              </w:rPr>
            </w:pPr>
            <w:r w:rsidRPr="00E85C42">
              <w:rPr>
                <w:rFonts w:cs="Arial"/>
                <w:szCs w:val="18"/>
              </w:rPr>
              <w:t>4</w:t>
            </w:r>
            <w:r w:rsidR="00484CAD">
              <w:rPr>
                <w:rFonts w:cs="Arial"/>
                <w:szCs w:val="18"/>
              </w:rPr>
              <w:t>8</w:t>
            </w:r>
          </w:p>
        </w:tc>
        <w:tc>
          <w:tcPr>
            <w:tcW w:w="701" w:type="dxa"/>
            <w:shd w:val="clear" w:color="auto" w:fill="FFFFFF"/>
          </w:tcPr>
          <w:p w14:paraId="2601A6DB" w14:textId="3040B688" w:rsidR="00E85C42" w:rsidRPr="00E85C42" w:rsidRDefault="00E85C42" w:rsidP="00E85C42">
            <w:pPr>
              <w:pStyle w:val="CETBodytext"/>
              <w:jc w:val="center"/>
              <w:rPr>
                <w:rFonts w:cs="Arial"/>
                <w:szCs w:val="18"/>
                <w:lang w:val="en-GB"/>
              </w:rPr>
            </w:pPr>
            <w:r w:rsidRPr="00E85C42">
              <w:rPr>
                <w:rFonts w:cs="Arial"/>
                <w:szCs w:val="18"/>
              </w:rPr>
              <w:t>90.6</w:t>
            </w:r>
          </w:p>
        </w:tc>
        <w:tc>
          <w:tcPr>
            <w:tcW w:w="751" w:type="dxa"/>
            <w:shd w:val="clear" w:color="auto" w:fill="FFFFFF"/>
          </w:tcPr>
          <w:p w14:paraId="6D2B33F2" w14:textId="09CC1422" w:rsidR="00E85C42" w:rsidRPr="00E85C42" w:rsidRDefault="00E85C42" w:rsidP="00E85C42">
            <w:pPr>
              <w:pStyle w:val="CETBodytext"/>
              <w:jc w:val="center"/>
              <w:rPr>
                <w:rFonts w:cs="Arial"/>
                <w:szCs w:val="18"/>
                <w:lang w:val="en-GB"/>
              </w:rPr>
            </w:pPr>
            <w:r w:rsidRPr="00E85C42">
              <w:rPr>
                <w:rFonts w:cs="Arial"/>
                <w:szCs w:val="18"/>
              </w:rPr>
              <w:t>0.108</w:t>
            </w:r>
          </w:p>
        </w:tc>
        <w:tc>
          <w:tcPr>
            <w:tcW w:w="671" w:type="dxa"/>
            <w:shd w:val="clear" w:color="auto" w:fill="FFFFFF"/>
          </w:tcPr>
          <w:p w14:paraId="21EFAA7F" w14:textId="22F80D57" w:rsidR="00E85C42" w:rsidRPr="00E85C42" w:rsidRDefault="00E85C42" w:rsidP="00E85C42">
            <w:pPr>
              <w:pStyle w:val="CETBodytext"/>
              <w:jc w:val="center"/>
              <w:rPr>
                <w:szCs w:val="18"/>
                <w:lang w:val="en-GB"/>
              </w:rPr>
            </w:pPr>
            <w:r w:rsidRPr="00E85C42">
              <w:rPr>
                <w:rFonts w:cs="Arial"/>
                <w:szCs w:val="18"/>
                <w:lang w:val="en-GB"/>
              </w:rPr>
              <w:t>4.30</w:t>
            </w:r>
          </w:p>
        </w:tc>
        <w:tc>
          <w:tcPr>
            <w:tcW w:w="472" w:type="dxa"/>
            <w:shd w:val="clear" w:color="auto" w:fill="FFFFFF"/>
          </w:tcPr>
          <w:p w14:paraId="026C9871" w14:textId="77777777" w:rsidR="00E85C42" w:rsidRPr="00E85C42" w:rsidRDefault="00E85C42" w:rsidP="00E85C42">
            <w:pPr>
              <w:pStyle w:val="CETBodytext"/>
              <w:jc w:val="center"/>
              <w:rPr>
                <w:szCs w:val="18"/>
                <w:lang w:val="en-GB"/>
              </w:rPr>
            </w:pPr>
            <w:r w:rsidRPr="00E85C42">
              <w:rPr>
                <w:szCs w:val="18"/>
                <w:lang w:val="en-GB"/>
              </w:rPr>
              <w:t>-</w:t>
            </w:r>
          </w:p>
        </w:tc>
        <w:tc>
          <w:tcPr>
            <w:tcW w:w="616" w:type="dxa"/>
            <w:shd w:val="clear" w:color="auto" w:fill="FFFFFF"/>
          </w:tcPr>
          <w:p w14:paraId="1B20D369"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243" w:type="dxa"/>
            <w:shd w:val="clear" w:color="auto" w:fill="FFFFFF"/>
          </w:tcPr>
          <w:p w14:paraId="555B2B01"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0</w:t>
            </w:r>
          </w:p>
        </w:tc>
        <w:tc>
          <w:tcPr>
            <w:tcW w:w="434" w:type="dxa"/>
            <w:shd w:val="clear" w:color="auto" w:fill="FFFFFF"/>
          </w:tcPr>
          <w:p w14:paraId="258D9743"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471" w:type="dxa"/>
            <w:shd w:val="clear" w:color="auto" w:fill="FFFFFF"/>
          </w:tcPr>
          <w:p w14:paraId="43F0AD45" w14:textId="3FB50FED" w:rsidR="00E85C42" w:rsidRPr="00E85C42" w:rsidRDefault="00E85C42" w:rsidP="00E85C42">
            <w:pPr>
              <w:pStyle w:val="CETBodytext"/>
              <w:ind w:right="-1"/>
              <w:jc w:val="center"/>
              <w:rPr>
                <w:rFonts w:cs="Arial"/>
                <w:szCs w:val="18"/>
                <w:lang w:val="en-GB"/>
              </w:rPr>
            </w:pPr>
            <w:r w:rsidRPr="00E85C42">
              <w:rPr>
                <w:rFonts w:cs="Arial"/>
                <w:szCs w:val="18"/>
                <w:lang w:val="en-GB"/>
              </w:rPr>
              <w:t>53.3</w:t>
            </w:r>
          </w:p>
        </w:tc>
        <w:tc>
          <w:tcPr>
            <w:tcW w:w="595" w:type="dxa"/>
            <w:shd w:val="clear" w:color="auto" w:fill="FFFFFF"/>
          </w:tcPr>
          <w:p w14:paraId="0334184C" w14:textId="5E88E495" w:rsidR="00E85C42" w:rsidRPr="00E85C42" w:rsidRDefault="00E85C42" w:rsidP="00E85C42">
            <w:pPr>
              <w:pStyle w:val="CETBodytext"/>
              <w:ind w:right="-1"/>
              <w:jc w:val="center"/>
              <w:rPr>
                <w:rFonts w:cs="Arial"/>
                <w:szCs w:val="18"/>
                <w:lang w:val="en-GB"/>
              </w:rPr>
            </w:pPr>
            <w:r w:rsidRPr="00E85C42">
              <w:rPr>
                <w:rFonts w:cs="Arial"/>
                <w:szCs w:val="18"/>
                <w:lang w:val="en-GB"/>
              </w:rPr>
              <w:t>46.</w:t>
            </w:r>
            <w:r w:rsidR="00484CAD">
              <w:rPr>
                <w:rFonts w:cs="Arial"/>
                <w:szCs w:val="18"/>
                <w:lang w:val="en-GB"/>
              </w:rPr>
              <w:t>7</w:t>
            </w:r>
          </w:p>
        </w:tc>
        <w:tc>
          <w:tcPr>
            <w:tcW w:w="1387" w:type="dxa"/>
            <w:shd w:val="clear" w:color="auto" w:fill="FFFFFF"/>
          </w:tcPr>
          <w:p w14:paraId="42824C77" w14:textId="79778FC2" w:rsidR="00E85C42" w:rsidRPr="00E85C42" w:rsidRDefault="00E85C42" w:rsidP="00E85C42">
            <w:pPr>
              <w:pStyle w:val="CETBodytext"/>
              <w:ind w:right="-1"/>
              <w:rPr>
                <w:rFonts w:cs="Arial"/>
                <w:szCs w:val="18"/>
              </w:rPr>
            </w:pPr>
            <w:r w:rsidRPr="00E85C42">
              <w:rPr>
                <w:rFonts w:cs="Arial"/>
                <w:szCs w:val="18"/>
              </w:rPr>
              <w:t>0.0070 ± 0.0010</w:t>
            </w:r>
          </w:p>
        </w:tc>
        <w:tc>
          <w:tcPr>
            <w:tcW w:w="1091" w:type="dxa"/>
            <w:shd w:val="clear" w:color="auto" w:fill="FFFFFF"/>
          </w:tcPr>
          <w:p w14:paraId="1EB35B6D" w14:textId="28C7DD66" w:rsidR="00E85C42" w:rsidRPr="00E85C42" w:rsidRDefault="00E85C42" w:rsidP="00E85C42">
            <w:pPr>
              <w:pStyle w:val="CETBodytext"/>
              <w:ind w:right="-1"/>
              <w:rPr>
                <w:rFonts w:cs="Arial"/>
                <w:szCs w:val="18"/>
              </w:rPr>
            </w:pPr>
            <w:r w:rsidRPr="00E85C42">
              <w:rPr>
                <w:rFonts w:cs="Arial"/>
                <w:szCs w:val="18"/>
              </w:rPr>
              <w:t>0.310 ± 0.010</w:t>
            </w:r>
          </w:p>
        </w:tc>
      </w:tr>
      <w:tr w:rsidR="00E85C42" w:rsidRPr="00E85C42" w14:paraId="7345FD18" w14:textId="28C5B03E" w:rsidTr="00E85C42">
        <w:tc>
          <w:tcPr>
            <w:tcW w:w="706" w:type="dxa"/>
            <w:shd w:val="clear" w:color="auto" w:fill="FFFFFF"/>
          </w:tcPr>
          <w:p w14:paraId="65E8070A" w14:textId="77777777" w:rsidR="00E85C42" w:rsidRPr="00E85C42" w:rsidRDefault="00E85C42" w:rsidP="00E85C42">
            <w:pPr>
              <w:pStyle w:val="CETBodytext"/>
              <w:rPr>
                <w:szCs w:val="18"/>
                <w:lang w:val="en-GB"/>
              </w:rPr>
            </w:pPr>
            <w:r w:rsidRPr="00E85C42">
              <w:rPr>
                <w:szCs w:val="18"/>
                <w:lang w:val="en-GB"/>
              </w:rPr>
              <w:t>Cu/C</w:t>
            </w:r>
            <w:r w:rsidRPr="00E85C42">
              <w:rPr>
                <w:szCs w:val="18"/>
                <w:vertAlign w:val="subscript"/>
                <w:lang w:val="en-GB"/>
              </w:rPr>
              <w:t>3</w:t>
            </w:r>
            <w:r w:rsidRPr="00E85C42">
              <w:rPr>
                <w:szCs w:val="18"/>
                <w:lang w:val="en-GB"/>
              </w:rPr>
              <w:t>N</w:t>
            </w:r>
            <w:r w:rsidRPr="00E85C42">
              <w:rPr>
                <w:szCs w:val="18"/>
                <w:vertAlign w:val="subscript"/>
                <w:lang w:val="en-GB"/>
              </w:rPr>
              <w:t>4</w:t>
            </w:r>
          </w:p>
        </w:tc>
        <w:tc>
          <w:tcPr>
            <w:tcW w:w="651" w:type="dxa"/>
            <w:shd w:val="clear" w:color="auto" w:fill="FFFFFF"/>
          </w:tcPr>
          <w:p w14:paraId="31F72E00" w14:textId="053A1588" w:rsidR="00E85C42" w:rsidRPr="00E85C42" w:rsidRDefault="00E85C42" w:rsidP="00E85C42">
            <w:pPr>
              <w:pStyle w:val="CETBodytext"/>
              <w:jc w:val="center"/>
              <w:rPr>
                <w:rFonts w:cs="Arial"/>
                <w:szCs w:val="18"/>
                <w:lang w:val="en-GB"/>
              </w:rPr>
            </w:pPr>
            <w:r w:rsidRPr="00E85C42">
              <w:rPr>
                <w:rFonts w:cs="Arial"/>
                <w:szCs w:val="18"/>
              </w:rPr>
              <w:t>2</w:t>
            </w:r>
            <w:r w:rsidR="00484CAD">
              <w:rPr>
                <w:rFonts w:cs="Arial"/>
                <w:szCs w:val="18"/>
              </w:rPr>
              <w:t>2</w:t>
            </w:r>
          </w:p>
        </w:tc>
        <w:tc>
          <w:tcPr>
            <w:tcW w:w="701" w:type="dxa"/>
            <w:shd w:val="clear" w:color="auto" w:fill="FFFFFF"/>
          </w:tcPr>
          <w:p w14:paraId="0C4412BF" w14:textId="54FD2270" w:rsidR="00E85C42" w:rsidRPr="00E85C42" w:rsidRDefault="00E85C42" w:rsidP="00E85C42">
            <w:pPr>
              <w:pStyle w:val="CETBodytext"/>
              <w:jc w:val="center"/>
              <w:rPr>
                <w:rFonts w:cs="Arial"/>
                <w:szCs w:val="18"/>
                <w:lang w:val="en-GB"/>
              </w:rPr>
            </w:pPr>
            <w:r w:rsidRPr="00E85C42">
              <w:rPr>
                <w:rFonts w:cs="Arial"/>
                <w:szCs w:val="18"/>
              </w:rPr>
              <w:t>76.</w:t>
            </w:r>
            <w:r w:rsidR="00484CAD">
              <w:rPr>
                <w:rFonts w:cs="Arial"/>
                <w:szCs w:val="18"/>
              </w:rPr>
              <w:t>4</w:t>
            </w:r>
          </w:p>
        </w:tc>
        <w:tc>
          <w:tcPr>
            <w:tcW w:w="751" w:type="dxa"/>
            <w:shd w:val="clear" w:color="auto" w:fill="FFFFFF"/>
          </w:tcPr>
          <w:p w14:paraId="14D4443C" w14:textId="259EDDBD" w:rsidR="00E85C42" w:rsidRPr="00E85C42" w:rsidRDefault="00E85C42" w:rsidP="00E85C42">
            <w:pPr>
              <w:pStyle w:val="CETBodytext"/>
              <w:jc w:val="center"/>
              <w:rPr>
                <w:rFonts w:cs="Arial"/>
                <w:szCs w:val="18"/>
                <w:lang w:val="en-GB"/>
              </w:rPr>
            </w:pPr>
            <w:r w:rsidRPr="00E85C42">
              <w:rPr>
                <w:rFonts w:cs="Arial"/>
                <w:szCs w:val="18"/>
              </w:rPr>
              <w:t>0.041</w:t>
            </w:r>
          </w:p>
        </w:tc>
        <w:tc>
          <w:tcPr>
            <w:tcW w:w="671" w:type="dxa"/>
            <w:shd w:val="clear" w:color="auto" w:fill="FFFFFF"/>
          </w:tcPr>
          <w:p w14:paraId="1162EB10" w14:textId="1A86FEFD" w:rsidR="00E85C42" w:rsidRPr="00E85C42" w:rsidRDefault="00E85C42" w:rsidP="00E85C42">
            <w:pPr>
              <w:pStyle w:val="CETBodytext"/>
              <w:jc w:val="center"/>
              <w:rPr>
                <w:szCs w:val="18"/>
                <w:lang w:val="en-GB"/>
              </w:rPr>
            </w:pPr>
            <w:r w:rsidRPr="00E85C42">
              <w:rPr>
                <w:rFonts w:cs="Arial"/>
                <w:szCs w:val="18"/>
                <w:lang w:val="en-GB"/>
              </w:rPr>
              <w:t>2.41</w:t>
            </w:r>
          </w:p>
        </w:tc>
        <w:tc>
          <w:tcPr>
            <w:tcW w:w="472" w:type="dxa"/>
            <w:shd w:val="clear" w:color="auto" w:fill="FFFFFF"/>
          </w:tcPr>
          <w:p w14:paraId="1AE082C8" w14:textId="1F1DCB92" w:rsidR="00E85C42" w:rsidRPr="00E85C42" w:rsidRDefault="00054A71" w:rsidP="00E85C42">
            <w:pPr>
              <w:pStyle w:val="CETBodytext"/>
              <w:jc w:val="center"/>
              <w:rPr>
                <w:szCs w:val="18"/>
                <w:lang w:val="en-GB"/>
              </w:rPr>
            </w:pPr>
            <w:r>
              <w:rPr>
                <w:szCs w:val="18"/>
                <w:lang w:val="en-GB"/>
              </w:rPr>
              <w:t>40</w:t>
            </w:r>
            <w:r w:rsidR="00E85C42" w:rsidRPr="00E85C42">
              <w:rPr>
                <w:szCs w:val="18"/>
                <w:lang w:val="en-GB"/>
              </w:rPr>
              <w:t>.</w:t>
            </w:r>
            <w:r>
              <w:rPr>
                <w:szCs w:val="18"/>
                <w:lang w:val="en-GB"/>
              </w:rPr>
              <w:t>1</w:t>
            </w:r>
          </w:p>
        </w:tc>
        <w:tc>
          <w:tcPr>
            <w:tcW w:w="616" w:type="dxa"/>
            <w:shd w:val="clear" w:color="auto" w:fill="FFFFFF"/>
          </w:tcPr>
          <w:p w14:paraId="3205EE73" w14:textId="136351FC" w:rsidR="00E85C42" w:rsidRPr="00E85C42" w:rsidRDefault="00E85C42" w:rsidP="00E85C42">
            <w:pPr>
              <w:pStyle w:val="CETBodytext"/>
              <w:ind w:right="-1"/>
              <w:jc w:val="center"/>
              <w:rPr>
                <w:rFonts w:cs="Arial"/>
                <w:szCs w:val="18"/>
                <w:lang w:val="en-GB"/>
              </w:rPr>
            </w:pPr>
            <w:r w:rsidRPr="00E85C42">
              <w:rPr>
                <w:rFonts w:cs="Arial"/>
                <w:szCs w:val="18"/>
                <w:lang w:val="en-GB"/>
              </w:rPr>
              <w:t>59.</w:t>
            </w:r>
            <w:r w:rsidR="00642698">
              <w:rPr>
                <w:rFonts w:cs="Arial"/>
                <w:szCs w:val="18"/>
                <w:lang w:val="en-GB"/>
              </w:rPr>
              <w:t>9</w:t>
            </w:r>
          </w:p>
        </w:tc>
        <w:tc>
          <w:tcPr>
            <w:tcW w:w="243" w:type="dxa"/>
            <w:shd w:val="clear" w:color="auto" w:fill="FFFFFF"/>
          </w:tcPr>
          <w:p w14:paraId="289989AC"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434" w:type="dxa"/>
            <w:shd w:val="clear" w:color="auto" w:fill="FFFFFF"/>
          </w:tcPr>
          <w:p w14:paraId="2543416F"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0</w:t>
            </w:r>
          </w:p>
        </w:tc>
        <w:tc>
          <w:tcPr>
            <w:tcW w:w="471" w:type="dxa"/>
            <w:shd w:val="clear" w:color="auto" w:fill="FFFFFF"/>
          </w:tcPr>
          <w:p w14:paraId="203210C6"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595" w:type="dxa"/>
            <w:shd w:val="clear" w:color="auto" w:fill="FFFFFF"/>
          </w:tcPr>
          <w:p w14:paraId="3BBA406A"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1387" w:type="dxa"/>
            <w:shd w:val="clear" w:color="auto" w:fill="FFFFFF"/>
          </w:tcPr>
          <w:p w14:paraId="1CE0C971" w14:textId="7AD3023B" w:rsidR="00E85C42" w:rsidRPr="00E85C42" w:rsidRDefault="00E85C42" w:rsidP="00E85C42">
            <w:pPr>
              <w:pStyle w:val="CETBodytext"/>
              <w:ind w:right="-1"/>
              <w:rPr>
                <w:rFonts w:cs="Arial"/>
                <w:szCs w:val="18"/>
                <w:lang w:val="en-GB"/>
              </w:rPr>
            </w:pPr>
            <w:r w:rsidRPr="00E85C42">
              <w:rPr>
                <w:rFonts w:cs="Arial"/>
                <w:szCs w:val="18"/>
                <w:lang w:val="en-GB"/>
              </w:rPr>
              <w:t>-</w:t>
            </w:r>
          </w:p>
        </w:tc>
        <w:tc>
          <w:tcPr>
            <w:tcW w:w="1091" w:type="dxa"/>
            <w:shd w:val="clear" w:color="auto" w:fill="FFFFFF"/>
          </w:tcPr>
          <w:p w14:paraId="36D6065A" w14:textId="16855678" w:rsidR="00E85C42" w:rsidRPr="00E85C42" w:rsidRDefault="00E85C42" w:rsidP="00E85C42">
            <w:pPr>
              <w:pStyle w:val="CETBodytext"/>
              <w:ind w:right="-1"/>
              <w:rPr>
                <w:rFonts w:cs="Arial"/>
                <w:szCs w:val="18"/>
              </w:rPr>
            </w:pPr>
            <w:r w:rsidRPr="00E85C42">
              <w:rPr>
                <w:rFonts w:cs="Arial"/>
                <w:szCs w:val="18"/>
                <w:lang w:val="en-GB"/>
              </w:rPr>
              <w:t>-</w:t>
            </w:r>
          </w:p>
        </w:tc>
      </w:tr>
      <w:tr w:rsidR="00E85C42" w:rsidRPr="00E85C42" w14:paraId="458ECAC7" w14:textId="57EEB103" w:rsidTr="00E85C42">
        <w:tc>
          <w:tcPr>
            <w:tcW w:w="706" w:type="dxa"/>
            <w:shd w:val="clear" w:color="auto" w:fill="FFFFFF"/>
          </w:tcPr>
          <w:p w14:paraId="5F0B72B6" w14:textId="77777777" w:rsidR="00E85C42" w:rsidRPr="00E85C42" w:rsidRDefault="00E85C42" w:rsidP="00E85C42">
            <w:pPr>
              <w:pStyle w:val="CETBodytext"/>
              <w:rPr>
                <w:szCs w:val="18"/>
                <w:lang w:val="en-GB"/>
              </w:rPr>
            </w:pPr>
            <w:r w:rsidRPr="00E85C42">
              <w:rPr>
                <w:szCs w:val="18"/>
                <w:lang w:val="en-GB"/>
              </w:rPr>
              <w:t>Ni/C</w:t>
            </w:r>
            <w:r w:rsidRPr="00E85C42">
              <w:rPr>
                <w:szCs w:val="18"/>
                <w:vertAlign w:val="subscript"/>
                <w:lang w:val="en-GB"/>
              </w:rPr>
              <w:t>3</w:t>
            </w:r>
            <w:r w:rsidRPr="00E85C42">
              <w:rPr>
                <w:szCs w:val="18"/>
                <w:lang w:val="en-GB"/>
              </w:rPr>
              <w:t>N</w:t>
            </w:r>
            <w:r w:rsidRPr="00E85C42">
              <w:rPr>
                <w:szCs w:val="18"/>
                <w:vertAlign w:val="subscript"/>
                <w:lang w:val="en-GB"/>
              </w:rPr>
              <w:t>4</w:t>
            </w:r>
          </w:p>
        </w:tc>
        <w:tc>
          <w:tcPr>
            <w:tcW w:w="651" w:type="dxa"/>
            <w:shd w:val="clear" w:color="auto" w:fill="FFFFFF"/>
          </w:tcPr>
          <w:p w14:paraId="69E0B952" w14:textId="70CE8BA5" w:rsidR="00E85C42" w:rsidRPr="00E85C42" w:rsidRDefault="00E85C42" w:rsidP="00E85C42">
            <w:pPr>
              <w:pStyle w:val="CETBodytext"/>
              <w:jc w:val="center"/>
              <w:rPr>
                <w:rFonts w:cs="Arial"/>
                <w:szCs w:val="18"/>
                <w:lang w:val="en-GB"/>
              </w:rPr>
            </w:pPr>
            <w:r w:rsidRPr="00E85C42">
              <w:rPr>
                <w:rFonts w:cs="Arial"/>
                <w:szCs w:val="18"/>
                <w:lang w:val="en-GB"/>
              </w:rPr>
              <w:t>1</w:t>
            </w:r>
            <w:r w:rsidR="00484CAD">
              <w:rPr>
                <w:rFonts w:cs="Arial"/>
                <w:szCs w:val="18"/>
                <w:lang w:val="en-GB"/>
              </w:rPr>
              <w:t>9</w:t>
            </w:r>
          </w:p>
        </w:tc>
        <w:tc>
          <w:tcPr>
            <w:tcW w:w="701" w:type="dxa"/>
            <w:shd w:val="clear" w:color="auto" w:fill="FFFFFF"/>
          </w:tcPr>
          <w:p w14:paraId="418B6895" w14:textId="57D8A10C" w:rsidR="00E85C42" w:rsidRPr="00E85C42" w:rsidRDefault="00E85C42" w:rsidP="00E85C42">
            <w:pPr>
              <w:pStyle w:val="CETBodytext"/>
              <w:jc w:val="center"/>
              <w:rPr>
                <w:rFonts w:cs="Arial"/>
                <w:szCs w:val="18"/>
                <w:lang w:val="en-GB"/>
              </w:rPr>
            </w:pPr>
            <w:r w:rsidRPr="00E85C42">
              <w:rPr>
                <w:rFonts w:cs="Arial"/>
                <w:szCs w:val="18"/>
                <w:lang w:val="en-GB"/>
              </w:rPr>
              <w:t>86.1</w:t>
            </w:r>
          </w:p>
        </w:tc>
        <w:tc>
          <w:tcPr>
            <w:tcW w:w="751" w:type="dxa"/>
            <w:shd w:val="clear" w:color="auto" w:fill="FFFFFF"/>
          </w:tcPr>
          <w:p w14:paraId="767E5B70" w14:textId="49B07B29" w:rsidR="00E85C42" w:rsidRPr="00E85C42" w:rsidRDefault="00E85C42" w:rsidP="00E85C42">
            <w:pPr>
              <w:pStyle w:val="CETBodytext"/>
              <w:jc w:val="center"/>
              <w:rPr>
                <w:rFonts w:cs="Arial"/>
                <w:szCs w:val="18"/>
                <w:lang w:val="en-GB"/>
              </w:rPr>
            </w:pPr>
            <w:r w:rsidRPr="00E85C42">
              <w:rPr>
                <w:rFonts w:cs="Arial"/>
                <w:szCs w:val="18"/>
                <w:lang w:val="en-GB"/>
              </w:rPr>
              <w:t>0.0</w:t>
            </w:r>
            <w:r w:rsidR="00484CAD">
              <w:rPr>
                <w:rFonts w:cs="Arial"/>
                <w:szCs w:val="18"/>
                <w:lang w:val="en-GB"/>
              </w:rPr>
              <w:t>40</w:t>
            </w:r>
          </w:p>
        </w:tc>
        <w:tc>
          <w:tcPr>
            <w:tcW w:w="671" w:type="dxa"/>
            <w:shd w:val="clear" w:color="auto" w:fill="FFFFFF"/>
          </w:tcPr>
          <w:p w14:paraId="553C86A9" w14:textId="7DC99334" w:rsidR="00E85C42" w:rsidRPr="00E85C42" w:rsidRDefault="00E85C42" w:rsidP="00E85C42">
            <w:pPr>
              <w:pStyle w:val="CETBodytext"/>
              <w:jc w:val="center"/>
              <w:rPr>
                <w:szCs w:val="18"/>
                <w:lang w:val="en-GB"/>
              </w:rPr>
            </w:pPr>
            <w:r w:rsidRPr="00E85C42">
              <w:rPr>
                <w:rFonts w:cs="Arial"/>
                <w:szCs w:val="18"/>
                <w:lang w:val="en-GB"/>
              </w:rPr>
              <w:t>2.05</w:t>
            </w:r>
          </w:p>
        </w:tc>
        <w:tc>
          <w:tcPr>
            <w:tcW w:w="472" w:type="dxa"/>
            <w:shd w:val="clear" w:color="auto" w:fill="FFFFFF"/>
          </w:tcPr>
          <w:p w14:paraId="0E06D35F" w14:textId="5151BF57" w:rsidR="00E85C42" w:rsidRPr="00E85C42" w:rsidRDefault="00E85C42" w:rsidP="00E85C42">
            <w:pPr>
              <w:pStyle w:val="CETBodytext"/>
              <w:jc w:val="center"/>
              <w:rPr>
                <w:szCs w:val="18"/>
                <w:lang w:val="en-GB"/>
              </w:rPr>
            </w:pPr>
            <w:r w:rsidRPr="00E85C42">
              <w:rPr>
                <w:szCs w:val="18"/>
                <w:lang w:val="en-GB"/>
              </w:rPr>
              <w:t>36.</w:t>
            </w:r>
            <w:r w:rsidR="00484CAD">
              <w:rPr>
                <w:szCs w:val="18"/>
                <w:lang w:val="en-GB"/>
              </w:rPr>
              <w:t>6</w:t>
            </w:r>
          </w:p>
        </w:tc>
        <w:tc>
          <w:tcPr>
            <w:tcW w:w="616" w:type="dxa"/>
            <w:shd w:val="clear" w:color="auto" w:fill="FFFFFF"/>
          </w:tcPr>
          <w:p w14:paraId="36E78C0C" w14:textId="7A96C9DB" w:rsidR="00E85C42" w:rsidRPr="00E85C42" w:rsidRDefault="00E85C42" w:rsidP="00E85C42">
            <w:pPr>
              <w:pStyle w:val="CETBodytext"/>
              <w:ind w:right="-1"/>
              <w:jc w:val="center"/>
              <w:rPr>
                <w:rFonts w:cs="Arial"/>
                <w:szCs w:val="18"/>
                <w:lang w:val="en-GB"/>
              </w:rPr>
            </w:pPr>
            <w:r w:rsidRPr="00E85C42">
              <w:rPr>
                <w:rFonts w:cs="Arial"/>
                <w:szCs w:val="18"/>
                <w:lang w:val="en-GB"/>
              </w:rPr>
              <w:t>63.4</w:t>
            </w:r>
          </w:p>
        </w:tc>
        <w:tc>
          <w:tcPr>
            <w:tcW w:w="243" w:type="dxa"/>
            <w:shd w:val="clear" w:color="auto" w:fill="FFFFFF"/>
          </w:tcPr>
          <w:p w14:paraId="6BF48C76"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0</w:t>
            </w:r>
          </w:p>
        </w:tc>
        <w:tc>
          <w:tcPr>
            <w:tcW w:w="434" w:type="dxa"/>
            <w:shd w:val="clear" w:color="auto" w:fill="FFFFFF"/>
          </w:tcPr>
          <w:p w14:paraId="1FBD7E7C"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471" w:type="dxa"/>
            <w:shd w:val="clear" w:color="auto" w:fill="FFFFFF"/>
          </w:tcPr>
          <w:p w14:paraId="43AA1903"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595" w:type="dxa"/>
            <w:shd w:val="clear" w:color="auto" w:fill="FFFFFF"/>
          </w:tcPr>
          <w:p w14:paraId="6F8E6A3E" w14:textId="77777777" w:rsidR="00E85C42" w:rsidRPr="00E85C42" w:rsidRDefault="00E85C42" w:rsidP="00E85C42">
            <w:pPr>
              <w:pStyle w:val="CETBodytext"/>
              <w:ind w:right="-1"/>
              <w:jc w:val="center"/>
              <w:rPr>
                <w:rFonts w:cs="Arial"/>
                <w:szCs w:val="18"/>
                <w:lang w:val="en-GB"/>
              </w:rPr>
            </w:pPr>
            <w:r w:rsidRPr="00E85C42">
              <w:rPr>
                <w:rFonts w:cs="Arial"/>
                <w:szCs w:val="18"/>
                <w:lang w:val="en-GB"/>
              </w:rPr>
              <w:t>-</w:t>
            </w:r>
          </w:p>
        </w:tc>
        <w:tc>
          <w:tcPr>
            <w:tcW w:w="1387" w:type="dxa"/>
            <w:shd w:val="clear" w:color="auto" w:fill="FFFFFF"/>
          </w:tcPr>
          <w:p w14:paraId="0888413E" w14:textId="0C097BE9" w:rsidR="00E85C42" w:rsidRPr="00E85C42" w:rsidRDefault="00E85C42" w:rsidP="00E85C42">
            <w:pPr>
              <w:pStyle w:val="CETBodytext"/>
              <w:ind w:right="-1"/>
              <w:rPr>
                <w:rFonts w:cs="Arial"/>
                <w:szCs w:val="18"/>
              </w:rPr>
            </w:pPr>
            <w:r w:rsidRPr="00E85C42">
              <w:rPr>
                <w:rFonts w:cs="Arial"/>
                <w:szCs w:val="18"/>
              </w:rPr>
              <w:t>0.0010 ± 0.0008</w:t>
            </w:r>
          </w:p>
        </w:tc>
        <w:tc>
          <w:tcPr>
            <w:tcW w:w="1091" w:type="dxa"/>
            <w:shd w:val="clear" w:color="auto" w:fill="FFFFFF"/>
          </w:tcPr>
          <w:p w14:paraId="2F4B8119" w14:textId="1452E6DA" w:rsidR="00E85C42" w:rsidRPr="00E85C42" w:rsidRDefault="00E85C42" w:rsidP="00E85C42">
            <w:pPr>
              <w:pStyle w:val="CETBodytext"/>
              <w:ind w:right="-1"/>
              <w:rPr>
                <w:rFonts w:cs="Arial"/>
                <w:szCs w:val="18"/>
                <w:lang w:val="en-GB"/>
              </w:rPr>
            </w:pPr>
            <w:r w:rsidRPr="00E85C42">
              <w:rPr>
                <w:rFonts w:cs="Arial"/>
                <w:szCs w:val="18"/>
              </w:rPr>
              <w:t>0.004 ± 0.001</w:t>
            </w:r>
          </w:p>
        </w:tc>
      </w:tr>
    </w:tbl>
    <w:p w14:paraId="36F5A7A1" w14:textId="764AE6BA" w:rsidR="0036629F" w:rsidRDefault="00372D7B" w:rsidP="002D05BE">
      <w:pPr>
        <w:pStyle w:val="CETBodytext"/>
        <w:spacing w:before="240"/>
        <w:rPr>
          <w:lang w:val="en-GB"/>
        </w:rPr>
      </w:pPr>
      <w:r>
        <w:rPr>
          <w:lang w:val="en-GB"/>
        </w:rPr>
        <w:fldChar w:fldCharType="begin"/>
      </w:r>
      <w:r>
        <w:rPr>
          <w:lang w:val="en-GB"/>
        </w:rPr>
        <w:instrText xml:space="preserve"> REF _Ref125705765 \h </w:instrText>
      </w:r>
      <w:r>
        <w:rPr>
          <w:lang w:val="en-GB"/>
        </w:rPr>
      </w:r>
      <w:r>
        <w:rPr>
          <w:lang w:val="en-GB"/>
        </w:rPr>
        <w:fldChar w:fldCharType="separate"/>
      </w:r>
      <w:r w:rsidR="007D2DE0" w:rsidRPr="00135E8C">
        <w:t xml:space="preserve">Figure </w:t>
      </w:r>
      <w:r w:rsidR="007D2DE0">
        <w:rPr>
          <w:noProof/>
        </w:rPr>
        <w:t>2</w:t>
      </w:r>
      <w:r>
        <w:rPr>
          <w:lang w:val="en-GB"/>
        </w:rPr>
        <w:fldChar w:fldCharType="end"/>
      </w:r>
      <w:r>
        <w:rPr>
          <w:lang w:val="en-GB"/>
        </w:rPr>
        <w:t xml:space="preserve"> shows that heterogeneous and agglomerated particles with micrometric sizes (Table 1) can be observed from the FEG-SEM analysis. </w:t>
      </w:r>
      <w:r w:rsidR="006A497F">
        <w:rPr>
          <w:lang w:val="en-GB"/>
        </w:rPr>
        <w:t xml:space="preserve">The average value was evaluated </w:t>
      </w:r>
      <w:r>
        <w:rPr>
          <w:lang w:val="en-GB"/>
        </w:rPr>
        <w:t>by measuring</w:t>
      </w:r>
      <w:r w:rsidR="006A497F">
        <w:rPr>
          <w:lang w:val="en-GB"/>
        </w:rPr>
        <w:t xml:space="preserve"> approximately 100 particles for each sample using open-source ImageJ software </w:t>
      </w:r>
      <w:r w:rsidR="006A497F">
        <w:rPr>
          <w:lang w:val="en-GB"/>
        </w:rPr>
        <w:fldChar w:fldCharType="begin" w:fldLock="1"/>
      </w:r>
      <w:r w:rsidR="00462ED2">
        <w:rPr>
          <w:lang w:val="en-GB"/>
        </w:rPr>
        <w:instrText>ADDIN CSL_CITATION {"citationItems":[{"id":"ITEM-1","itemData":{"DOI":"10.1016/j.surfin.2021.101644","ISSN":"24680230","abstract":"This is the first-time report on the optimization of pure TiO2 and Cu/TiO2 nanocomposite photocatalytic fibrous materials fabricated by electrospinning followed by removal of the organic components by calcination at high temperature. Morphological investigations of the fabricated nanocomposites performed using scanning electron microscopy (SEM) and transmission electron microscopy (TEM) were supported with spectroscopic investigations via X-ray diffraction (XRD), Energy-dispersive X-ray spectroscopy (EDS), Fourier-transform infrared spectroscopy (FT-IR), Raman spectroscopy, ultraviolet–visible spectroscopy (UV–Vis) and photoluminescence (PL) spectroscopy. These findings clearly indicate that the copper presence into TiO2 lattice triggers the sunlight-driven photocatalysis, as compared to pure TiO2 that use the ultraviolet light to achieve the photoactivation. As a result, remarkable photocatalytic activity on the degradation of Amaranth dye was obtained. The maximum color removal efficiency of 99.84% was observed for the degradation of Amaranth dye for an initial concentration of 25 mg/L, after 240 min of Vis-light irradiation. Excellent results were obtained for the case of 0.05%Cu/TiO2 nanocomposite (calcinated at 400 °C) that yielded to a maximum value for the constant rate (k = 2.089 × 10−2 min−1). As compared to the undoped material (TiO2/400 °C), the 0.05%Cu/TiO2 nanocomposite led an almost double reaction rate (the constant rate increasing from 1.015 × 10−2 to 2.089 × 10−2 min−1). In addition, the 0.05%Cu/TiO2 nanocomposite calcinated at 400 °C was tested for the degradation of Amaranth dye under visible-light irradiation. Thus, at catalyst doses of 0.4 to 0.8 g/L, the reaction rate constant attained the order of 10−2 min−1 under visible irradiation. These results are outstanding when compared with previously reported works.","author":[{"dropping-particle":"","family":"Pascariu","given":"Petronela","non-dropping-particle":"","parse-names":false,"suffix":""},{"dropping-particle":"","family":"Cojocaru","given":"Corneliu","non-dropping-particle":"","parse-names":false,"suffix":""},{"dropping-particle":"","family":"Samoila","given":"Petrisor","non-dropping-particle":"","parse-names":false,"suffix":""},{"dropping-particle":"","family":"Airinei","given":"Anton","non-dropping-particle":"","parse-names":false,"suffix":""},{"dropping-particle":"","family":"Olaru","given":"Niculae","non-dropping-particle":"","parse-names":false,"suffix":""},{"dropping-particle":"","family":"Rotaru","given":"Aurelian","non-dropping-particle":"","parse-names":false,"suffix":""},{"dropping-particle":"","family":"Romanitan","given":"Cosmin","non-dropping-particle":"","parse-names":false,"suffix":""},{"dropping-particle":"","family":"Tudoran","given":"Lucian Barbu","non-dropping-particle":"","parse-names":false,"suffix":""},{"dropping-particle":"","family":"Suchea","given":"Mirela","non-dropping-particle":"","parse-names":false,"suffix":""}],"container-title":"Surfaces and Interfaces","id":"ITEM-1","issue":"September 2021","issued":{"date-parts":[["2022"]]},"page":"101644","publisher":"Elsevier B.V.","title":"Cu/TiO&lt;sub&gt;2&lt;/sub&gt; composite nanofibers with improved photocatalytic performance under UV and UV–visible light irradiation","type":"article-journal","volume":"28"},"uris":["http://www.mendeley.com/documents/?uuid=3b4fe125-7bbd-41b8-b84f-48de361a6415"]}],"mendeley":{"formattedCitation":"(Pascariu et al., 2022)","plainTextFormattedCitation":"(Pascariu et al., 2022)","previouslyFormattedCitation":"(Pascariu et al., 2022)"},"properties":{"noteIndex":0},"schema":"https://github.com/citation-style-language/schema/raw/master/csl-citation.json"}</w:instrText>
      </w:r>
      <w:r w:rsidR="006A497F">
        <w:rPr>
          <w:lang w:val="en-GB"/>
        </w:rPr>
        <w:fldChar w:fldCharType="separate"/>
      </w:r>
      <w:r w:rsidR="00D33139" w:rsidRPr="00D33139">
        <w:rPr>
          <w:noProof/>
          <w:lang w:val="en-GB"/>
        </w:rPr>
        <w:t>(Pascariu et al., 2022)</w:t>
      </w:r>
      <w:r w:rsidR="006A497F">
        <w:rPr>
          <w:lang w:val="en-GB"/>
        </w:rPr>
        <w:fldChar w:fldCharType="end"/>
      </w:r>
      <w:r w:rsidR="006A497F">
        <w:rPr>
          <w:lang w:val="en-GB"/>
        </w:rPr>
        <w:t xml:space="preserve">. The chemical compositions obtained by EDS and the measurement results are presented in </w:t>
      </w:r>
      <w:r w:rsidR="006A497F" w:rsidRPr="00F85116">
        <w:rPr>
          <w:lang w:val="en-GB"/>
        </w:rPr>
        <w:fldChar w:fldCharType="begin"/>
      </w:r>
      <w:r w:rsidR="006A497F" w:rsidRPr="00F85116">
        <w:rPr>
          <w:lang w:val="en-GB"/>
        </w:rPr>
        <w:instrText xml:space="preserve"> REF _Ref125705752 \h  \* MERGEFORMAT </w:instrText>
      </w:r>
      <w:r w:rsidR="006A497F" w:rsidRPr="00F85116">
        <w:rPr>
          <w:lang w:val="en-GB"/>
        </w:rPr>
      </w:r>
      <w:r w:rsidR="006A497F" w:rsidRPr="00F85116">
        <w:rPr>
          <w:lang w:val="en-GB"/>
        </w:rPr>
        <w:fldChar w:fldCharType="separate"/>
      </w:r>
      <w:r w:rsidR="007D2DE0" w:rsidRPr="007D2DE0">
        <w:rPr>
          <w:lang w:val="en-GB"/>
        </w:rPr>
        <w:t xml:space="preserve">Table </w:t>
      </w:r>
      <w:r w:rsidR="007D2DE0" w:rsidRPr="007D2DE0">
        <w:rPr>
          <w:noProof/>
          <w:lang w:val="en-GB"/>
        </w:rPr>
        <w:t>1</w:t>
      </w:r>
      <w:r w:rsidR="006A497F" w:rsidRPr="00F85116">
        <w:rPr>
          <w:lang w:val="en-GB"/>
        </w:rPr>
        <w:fldChar w:fldCharType="end"/>
      </w:r>
      <w:r w:rsidR="006A497F">
        <w:rPr>
          <w:lang w:val="en-GB"/>
        </w:rPr>
        <w:t>. It is noted that no other impurities were presented. Micrometer agglomerate of TiO</w:t>
      </w:r>
      <w:r w:rsidR="006A497F" w:rsidRPr="00DA4F69">
        <w:rPr>
          <w:vertAlign w:val="subscript"/>
          <w:lang w:val="en-GB"/>
        </w:rPr>
        <w:t>2</w:t>
      </w:r>
      <w:r w:rsidR="006A497F">
        <w:rPr>
          <w:lang w:val="en-GB"/>
        </w:rPr>
        <w:t xml:space="preserve"> can be identified from the FEG-SEM (</w:t>
      </w:r>
      <w:r w:rsidR="006A497F">
        <w:rPr>
          <w:lang w:val="en-GB"/>
        </w:rPr>
        <w:fldChar w:fldCharType="begin"/>
      </w:r>
      <w:r w:rsidR="006A497F">
        <w:rPr>
          <w:lang w:val="en-GB"/>
        </w:rPr>
        <w:instrText xml:space="preserve"> REF _Ref125705765 \h </w:instrText>
      </w:r>
      <w:r w:rsidR="006A497F">
        <w:rPr>
          <w:lang w:val="en-GB"/>
        </w:rPr>
      </w:r>
      <w:r w:rsidR="006A497F">
        <w:rPr>
          <w:lang w:val="en-GB"/>
        </w:rPr>
        <w:fldChar w:fldCharType="separate"/>
      </w:r>
      <w:r w:rsidR="007D2DE0" w:rsidRPr="00135E8C">
        <w:t xml:space="preserve">Figure </w:t>
      </w:r>
      <w:r w:rsidR="007D2DE0">
        <w:rPr>
          <w:noProof/>
        </w:rPr>
        <w:t>2</w:t>
      </w:r>
      <w:r w:rsidR="006A497F">
        <w:rPr>
          <w:lang w:val="en-GB"/>
        </w:rPr>
        <w:fldChar w:fldCharType="end"/>
      </w:r>
      <w:r w:rsidR="006A497F">
        <w:rPr>
          <w:lang w:val="en-GB"/>
        </w:rPr>
        <w:t xml:space="preserve">a and </w:t>
      </w:r>
      <w:r w:rsidR="006A497F">
        <w:rPr>
          <w:lang w:val="en-GB"/>
        </w:rPr>
        <w:fldChar w:fldCharType="begin"/>
      </w:r>
      <w:r w:rsidR="006A497F">
        <w:rPr>
          <w:lang w:val="en-GB"/>
        </w:rPr>
        <w:instrText xml:space="preserve"> REF _Ref125705765 \h </w:instrText>
      </w:r>
      <w:r w:rsidR="006A497F">
        <w:rPr>
          <w:lang w:val="en-GB"/>
        </w:rPr>
      </w:r>
      <w:r w:rsidR="006A497F">
        <w:rPr>
          <w:lang w:val="en-GB"/>
        </w:rPr>
        <w:fldChar w:fldCharType="separate"/>
      </w:r>
      <w:r w:rsidR="007D2DE0" w:rsidRPr="00135E8C">
        <w:t xml:space="preserve">Figure </w:t>
      </w:r>
      <w:r w:rsidR="007D2DE0">
        <w:rPr>
          <w:noProof/>
        </w:rPr>
        <w:t>2</w:t>
      </w:r>
      <w:r w:rsidR="006A497F">
        <w:rPr>
          <w:lang w:val="en-GB"/>
        </w:rPr>
        <w:fldChar w:fldCharType="end"/>
      </w:r>
      <w:r w:rsidR="006A497F">
        <w:rPr>
          <w:lang w:val="en-GB"/>
        </w:rPr>
        <w:t>b).</w:t>
      </w:r>
      <w:r w:rsidR="005715C5">
        <w:rPr>
          <w:lang w:val="en-GB"/>
        </w:rPr>
        <w:t xml:space="preserve"> </w:t>
      </w:r>
      <w:r w:rsidR="006A497F">
        <w:rPr>
          <w:lang w:val="en-GB"/>
        </w:rPr>
        <w:t>The composition of the Cu/TiO</w:t>
      </w:r>
      <w:r w:rsidR="006A497F" w:rsidRPr="002B7D8F">
        <w:rPr>
          <w:vertAlign w:val="subscript"/>
          <w:lang w:val="en-GB"/>
        </w:rPr>
        <w:t>2</w:t>
      </w:r>
      <w:r w:rsidR="006A497F">
        <w:rPr>
          <w:lang w:val="en-GB"/>
        </w:rPr>
        <w:t xml:space="preserve"> sample obtained by EDS is very close to the theoretical value. Though, Ni was not detected</w:t>
      </w:r>
      <w:r w:rsidR="005715C5">
        <w:rPr>
          <w:lang w:val="en-GB"/>
        </w:rPr>
        <w:t xml:space="preserve"> in both samples</w:t>
      </w:r>
      <w:r w:rsidR="006A497F">
        <w:rPr>
          <w:lang w:val="en-GB"/>
        </w:rPr>
        <w:t>. Microsheets structures are observed in samples that have C</w:t>
      </w:r>
      <w:r w:rsidR="006A497F" w:rsidRPr="00325D54">
        <w:rPr>
          <w:vertAlign w:val="subscript"/>
          <w:lang w:val="en-GB"/>
        </w:rPr>
        <w:t>3</w:t>
      </w:r>
      <w:r w:rsidR="006A497F">
        <w:rPr>
          <w:lang w:val="en-GB"/>
        </w:rPr>
        <w:t>N</w:t>
      </w:r>
      <w:r w:rsidR="006A497F" w:rsidRPr="00325D54">
        <w:rPr>
          <w:vertAlign w:val="subscript"/>
          <w:lang w:val="en-GB"/>
        </w:rPr>
        <w:t>4</w:t>
      </w:r>
      <w:r w:rsidR="006A497F">
        <w:rPr>
          <w:lang w:val="en-GB"/>
        </w:rPr>
        <w:t xml:space="preserve"> in their composition (</w:t>
      </w:r>
      <w:r w:rsidR="006A497F">
        <w:rPr>
          <w:lang w:val="en-GB"/>
        </w:rPr>
        <w:fldChar w:fldCharType="begin"/>
      </w:r>
      <w:r w:rsidR="006A497F">
        <w:rPr>
          <w:lang w:val="en-GB"/>
        </w:rPr>
        <w:instrText xml:space="preserve"> REF _Ref125705765 \h </w:instrText>
      </w:r>
      <w:r w:rsidR="006A497F">
        <w:rPr>
          <w:lang w:val="en-GB"/>
        </w:rPr>
      </w:r>
      <w:r w:rsidR="006A497F">
        <w:rPr>
          <w:lang w:val="en-GB"/>
        </w:rPr>
        <w:fldChar w:fldCharType="separate"/>
      </w:r>
      <w:r w:rsidR="007D2DE0" w:rsidRPr="00135E8C">
        <w:t xml:space="preserve">Figure </w:t>
      </w:r>
      <w:r w:rsidR="007D2DE0">
        <w:rPr>
          <w:noProof/>
        </w:rPr>
        <w:t>2</w:t>
      </w:r>
      <w:r w:rsidR="006A497F">
        <w:rPr>
          <w:lang w:val="en-GB"/>
        </w:rPr>
        <w:fldChar w:fldCharType="end"/>
      </w:r>
      <w:r w:rsidR="006A497F">
        <w:rPr>
          <w:lang w:val="en-GB"/>
        </w:rPr>
        <w:t xml:space="preserve">c and </w:t>
      </w:r>
      <w:r w:rsidR="006A497F">
        <w:rPr>
          <w:lang w:val="en-GB"/>
        </w:rPr>
        <w:fldChar w:fldCharType="begin"/>
      </w:r>
      <w:r w:rsidR="006A497F">
        <w:rPr>
          <w:lang w:val="en-GB"/>
        </w:rPr>
        <w:instrText xml:space="preserve"> REF _Ref125705765 \h </w:instrText>
      </w:r>
      <w:r w:rsidR="006A497F">
        <w:rPr>
          <w:lang w:val="en-GB"/>
        </w:rPr>
      </w:r>
      <w:r w:rsidR="006A497F">
        <w:rPr>
          <w:lang w:val="en-GB"/>
        </w:rPr>
        <w:fldChar w:fldCharType="separate"/>
      </w:r>
      <w:r w:rsidR="007D2DE0" w:rsidRPr="00135E8C">
        <w:t xml:space="preserve">Figure </w:t>
      </w:r>
      <w:r w:rsidR="007D2DE0">
        <w:rPr>
          <w:noProof/>
        </w:rPr>
        <w:t>2</w:t>
      </w:r>
      <w:r w:rsidR="006A497F">
        <w:rPr>
          <w:lang w:val="en-GB"/>
        </w:rPr>
        <w:fldChar w:fldCharType="end"/>
      </w:r>
      <w:r w:rsidR="006A497F">
        <w:rPr>
          <w:lang w:val="en-GB"/>
        </w:rPr>
        <w:t xml:space="preserve">d), being a characteristic of this compound. The </w:t>
      </w:r>
      <w:r>
        <w:rPr>
          <w:lang w:val="en-GB"/>
        </w:rPr>
        <w:t xml:space="preserve">molar ratio C:N is nearly equal </w:t>
      </w:r>
      <w:r w:rsidR="00EA0A3D">
        <w:rPr>
          <w:lang w:val="en-GB"/>
        </w:rPr>
        <w:t>to</w:t>
      </w:r>
      <w:r w:rsidR="00842257">
        <w:rPr>
          <w:lang w:val="en-GB"/>
        </w:rPr>
        <w:t xml:space="preserve"> the</w:t>
      </w:r>
      <w:r>
        <w:rPr>
          <w:lang w:val="en-GB"/>
        </w:rPr>
        <w:t xml:space="preserve"> </w:t>
      </w:r>
      <w:r w:rsidR="006A497F">
        <w:rPr>
          <w:lang w:val="en-GB"/>
        </w:rPr>
        <w:t>theoretically expected. However, Ni or Cu was not detected by EDS</w:t>
      </w:r>
      <w:r w:rsidR="005715C5">
        <w:rPr>
          <w:lang w:val="en-GB"/>
        </w:rPr>
        <w:t xml:space="preserve"> in the C</w:t>
      </w:r>
      <w:r w:rsidR="005715C5" w:rsidRPr="005715C5">
        <w:rPr>
          <w:vertAlign w:val="subscript"/>
          <w:lang w:val="en-GB"/>
        </w:rPr>
        <w:t>3</w:t>
      </w:r>
      <w:r w:rsidR="005715C5">
        <w:rPr>
          <w:lang w:val="en-GB"/>
        </w:rPr>
        <w:t>N</w:t>
      </w:r>
      <w:r w:rsidR="005715C5" w:rsidRPr="005715C5">
        <w:rPr>
          <w:vertAlign w:val="subscript"/>
          <w:lang w:val="en-GB"/>
        </w:rPr>
        <w:t>4</w:t>
      </w:r>
      <w:r w:rsidR="005715C5">
        <w:rPr>
          <w:lang w:val="en-GB"/>
        </w:rPr>
        <w:t xml:space="preserve"> presence</w:t>
      </w:r>
      <w:r w:rsidR="006A497F">
        <w:rPr>
          <w:lang w:val="en-GB"/>
        </w:rPr>
        <w:t>, and as can be seen from the XRS results, the relative peaks confirm that</w:t>
      </w:r>
      <w:r>
        <w:rPr>
          <w:lang w:val="en-GB"/>
        </w:rPr>
        <w:t xml:space="preserve"> the</w:t>
      </w:r>
      <w:r w:rsidR="006A497F">
        <w:rPr>
          <w:lang w:val="en-GB"/>
        </w:rPr>
        <w:t xml:space="preserve"> percentage of nickel or copper was very small.</w:t>
      </w:r>
    </w:p>
    <w:p w14:paraId="137E8E9E" w14:textId="1CA31DC2" w:rsidR="00971C25" w:rsidRPr="00660D72" w:rsidRDefault="00971C25" w:rsidP="00971C25">
      <w:pPr>
        <w:pStyle w:val="CETBodytext"/>
        <w:rPr>
          <w:lang w:val="en-GB"/>
        </w:rPr>
      </w:pPr>
      <w:r>
        <w:rPr>
          <w:lang w:val="en-GB"/>
        </w:rPr>
        <w:t xml:space="preserve">Absorbance spectrums of the samples are presented in </w:t>
      </w:r>
      <w:r>
        <w:rPr>
          <w:lang w:val="en-GB"/>
        </w:rPr>
        <w:fldChar w:fldCharType="begin"/>
      </w:r>
      <w:r>
        <w:rPr>
          <w:lang w:val="en-GB"/>
        </w:rPr>
        <w:instrText xml:space="preserve"> REF _Ref125705765 \h </w:instrText>
      </w:r>
      <w:r>
        <w:rPr>
          <w:lang w:val="en-GB"/>
        </w:rPr>
      </w:r>
      <w:r>
        <w:rPr>
          <w:lang w:val="en-GB"/>
        </w:rPr>
        <w:fldChar w:fldCharType="separate"/>
      </w:r>
      <w:r w:rsidR="007D2DE0" w:rsidRPr="00135E8C">
        <w:t xml:space="preserve">Figure </w:t>
      </w:r>
      <w:r w:rsidR="007D2DE0">
        <w:rPr>
          <w:noProof/>
        </w:rPr>
        <w:t>2</w:t>
      </w:r>
      <w:r>
        <w:rPr>
          <w:lang w:val="en-GB"/>
        </w:rPr>
        <w:fldChar w:fldCharType="end"/>
      </w:r>
      <w:r w:rsidR="004A1E54">
        <w:rPr>
          <w:lang w:val="en-GB"/>
        </w:rPr>
        <w:t>e,</w:t>
      </w:r>
      <w:r>
        <w:rPr>
          <w:lang w:val="en-GB"/>
        </w:rPr>
        <w:t xml:space="preserve"> and all the photocatalysts synthesized absorb in the visible light</w:t>
      </w:r>
      <w:r w:rsidR="004A1E54">
        <w:rPr>
          <w:lang w:val="en-GB"/>
        </w:rPr>
        <w:t xml:space="preserve"> range</w:t>
      </w:r>
      <w:r>
        <w:rPr>
          <w:lang w:val="en-GB"/>
        </w:rPr>
        <w:t>. The band gap energies were estimated by Kubelka-Munk function and Tauc’s plot: (F(R)</w:t>
      </w:r>
      <w:r>
        <w:rPr>
          <w:i/>
          <w:iCs/>
          <w:lang w:val="en-GB"/>
        </w:rPr>
        <w:t>hv</w:t>
      </w:r>
      <w:r>
        <w:rPr>
          <w:lang w:val="en-GB"/>
        </w:rPr>
        <w:t>)</w:t>
      </w:r>
      <w:r>
        <w:rPr>
          <w:vertAlign w:val="superscript"/>
          <w:lang w:val="en-GB"/>
        </w:rPr>
        <w:t>2/n</w:t>
      </w:r>
      <w:r>
        <w:rPr>
          <w:lang w:val="en-GB"/>
        </w:rPr>
        <w:t xml:space="preserve"> </w:t>
      </w:r>
      <w:r w:rsidRPr="003A3ABC">
        <w:rPr>
          <w:i/>
          <w:iCs/>
          <w:lang w:val="en-GB"/>
        </w:rPr>
        <w:t>versus</w:t>
      </w:r>
      <w:r>
        <w:rPr>
          <w:lang w:val="en-GB"/>
        </w:rPr>
        <w:t xml:space="preserve"> Energy (eV), considering indirect allowed transition (n = 4) for TiO</w:t>
      </w:r>
      <w:r w:rsidRPr="00064D4E">
        <w:rPr>
          <w:vertAlign w:val="subscript"/>
          <w:lang w:val="en-GB"/>
        </w:rPr>
        <w:t>2</w:t>
      </w:r>
      <w:r>
        <w:rPr>
          <w:lang w:val="en-GB"/>
        </w:rPr>
        <w:t xml:space="preserve"> samples </w:t>
      </w:r>
      <w:r>
        <w:rPr>
          <w:lang w:val="en-GB"/>
        </w:rPr>
        <w:fldChar w:fldCharType="begin" w:fldLock="1"/>
      </w:r>
      <w:r w:rsidR="00D33139">
        <w:rPr>
          <w:lang w:val="en-GB"/>
        </w:rPr>
        <w:instrText>ADDIN CSL_CITATION {"citationItems":[{"id":"ITEM-1","itemData":{"DOI":"10.1007/s10971-011-2582-9","ISSN":"09280707","abstract":"A comparison of the band gap energy estimated from UV-vis reflectance spectra of TiO 2 powders prepared by sol-gel route versus commercial TiO 2 powders, nanopowder, bulkpowder and P25 is reported. The experimental results obtained from the optical absorption spectra were reported for all the TiO 2 samples. Graphic representations were used to calculate E g: absorbance versus λ; F(R) versus E; (F(R) hν) n versus E, with n = 1/2 for an indirect allowed transition and n = 2 for a direct allowed transition. From the results, it could be seen that E g strongly varied according to the equation used for the graphic representation. Differences in E g up to 0.5 eV for the same semiconductor depending on the transition chosen were observed. Accurate E g estimation in the four semiconductors studied was obtained by using the general equation α (hν) ≈ B (hν - E g) n (where α ~ F(R)) and indirect allowed transition. © 2011 Springer Science+Business Media, LLC.","author":[{"dropping-particle":"","family":"López","given":"Rosendo","non-dropping-particle":"","parse-names":false,"suffix":""},{"dropping-particle":"","family":"Gómez","given":"Ricardo","non-dropping-particle":"","parse-names":false,"suffix":""}],"container-title":"Journal of Sol-Gel Science and Technology","id":"ITEM-1","issue":"1","issued":{"date-parts":[["2012"]]},"page":"1-7","title":"Band-gap energy estimation from diffuse reflectance measurements on sol-gel and commercial TiO&lt;sub&gt;2&lt;/sub&gt;: A comparative study","type":"article-journal","volume":"61"},"uris":["http://www.mendeley.com/documents/?uuid=d1f44adb-05fe-4d86-9c18-8a0268c20211"]}],"mendeley":{"formattedCitation":"(López and Gómez, 2012)","plainTextFormattedCitation":"(López and Gómez, 2012)","previouslyFormattedCitation":"(López and Gómez, 2012)"},"properties":{"noteIndex":0},"schema":"https://github.com/citation-style-language/schema/raw/master/csl-citation.json"}</w:instrText>
      </w:r>
      <w:r>
        <w:rPr>
          <w:lang w:val="en-GB"/>
        </w:rPr>
        <w:fldChar w:fldCharType="separate"/>
      </w:r>
      <w:r w:rsidR="00D33139" w:rsidRPr="00D33139">
        <w:rPr>
          <w:noProof/>
          <w:lang w:val="en-GB"/>
        </w:rPr>
        <w:t>(López and Gómez, 2012)</w:t>
      </w:r>
      <w:r>
        <w:rPr>
          <w:lang w:val="en-GB"/>
        </w:rPr>
        <w:fldChar w:fldCharType="end"/>
      </w:r>
      <w:r>
        <w:rPr>
          <w:lang w:val="en-GB"/>
        </w:rPr>
        <w:t xml:space="preserve"> and direct transition (n = 1) for C</w:t>
      </w:r>
      <w:r w:rsidRPr="00064D4E">
        <w:rPr>
          <w:vertAlign w:val="subscript"/>
          <w:lang w:val="en-GB"/>
        </w:rPr>
        <w:t>3</w:t>
      </w:r>
      <w:r>
        <w:rPr>
          <w:lang w:val="en-GB"/>
        </w:rPr>
        <w:t>N</w:t>
      </w:r>
      <w:r w:rsidRPr="00064D4E">
        <w:rPr>
          <w:vertAlign w:val="subscript"/>
          <w:lang w:val="en-GB"/>
        </w:rPr>
        <w:t>4</w:t>
      </w:r>
      <w:r>
        <w:rPr>
          <w:lang w:val="en-GB"/>
        </w:rPr>
        <w:t xml:space="preserve"> composites </w:t>
      </w:r>
      <w:r>
        <w:rPr>
          <w:lang w:val="en-GB"/>
        </w:rPr>
        <w:fldChar w:fldCharType="begin" w:fldLock="1"/>
      </w:r>
      <w:r w:rsidR="00462ED2">
        <w:rPr>
          <w:lang w:val="en-GB"/>
        </w:rPr>
        <w:instrText>ADDIN CSL_CITATION {"citationItems":[{"id":"ITEM-1","itemData":{"DOI":"10.1016/j.apsusc.2018.08.005","ISSN":"01694332","abstract":"Rapid recombination of photogenerated carriers has always been an important factor limiting advanced photocatalyst design. In this work, two-dimensional (2D) composites were successfully synthesized. Besides, crystal structure, micromorphology, optical properties, electrochemical properties, along with the photocatalytic methylene blue (MB) performance and photostability have been systematically explored. Porous graphite carbon nitride (Pg-C3N4) was composited with Ag2MoO4forming a large-scale heterojunction interfaces, which is not only beneficial to supply more reaction active sites for catalytic reaction, but reduce the distance during the photoexcited carriers transfer. In addition, Ag surface plasmon resonance (SPR) effect acts as a very important role in photodegradation process, which makes great contributions to boosting the separation of photoexcited electron-hole pairs. The Pg-C3N4/Ag2MoO4composites exhibit an excellent photocatalytic MB degradation and photostability, which can degrade MB solution by 99.5% in 12 min. The kappof 40%Pg-C3N4/Ag2MoO4is 0.33065 min−1, which is much higher than that of Pg-C3N4(0.01606 min−1) and Ag2MoO4(0.00933 min−1). Moreover, trapping experiment was employed to determine the specific reactive species, indicating that hole plays a major role in MB photodegradation. This work provides an available method to conduct a 2D photocatalyst with large-scale heterojunction, which is a promising material for the application in photocatalytic water pollution treatment.","author":[{"dropping-particle":"","family":"Huo","given":"Yao","non-dropping-particle":"","parse-names":false,"suffix":""},{"dropping-particle":"","family":"Wang","given":"Zhongliao","non-dropping-particle":"","parse-names":false,"suffix":""},{"dropping-particle":"","family":"Zhang","given":"Jinfeng","non-dropping-particle":"","parse-names":false,"suffix":""},{"dropping-particle":"","family":"Liang","given":"Changhao","non-dropping-particle":"","parse-names":false,"suffix":""},{"dropping-particle":"","family":"Dai","given":"Kai","non-dropping-particle":"","parse-names":false,"suffix":""}],"container-title":"Applied Surface Science","id":"ITEM-1","issued":{"date-parts":[["2018","11"]]},"page":"271-280","publisher":"Elsevier","title":"Ag SPR-promoted 2D porous g-C&lt;sub&gt;3&lt;/sub&gt;N&lt;sub&gt;4&lt;/sub&gt;/Ag&lt;sub&gt;2&lt;/sub&gt;MoO&lt;sub&gt;4&lt;/sub&gt; composites for enhanced photocatalytic performance towards methylene blue degradation","type":"article-journal","volume":"459"},"uris":["http://www.mendeley.com/documents/?uuid=6f8d8e3d-2fab-41fb-b2d0-e829b5f962d3"]}],"mendeley":{"formattedCitation":"(Huo et al., 2018)","plainTextFormattedCitation":"(Huo et al., 2018)","previouslyFormattedCitation":"(Huo et al., 2018)"},"properties":{"noteIndex":0},"schema":"https://github.com/citation-style-language/schema/raw/master/csl-citation.json"}</w:instrText>
      </w:r>
      <w:r>
        <w:rPr>
          <w:lang w:val="en-GB"/>
        </w:rPr>
        <w:fldChar w:fldCharType="separate"/>
      </w:r>
      <w:r w:rsidR="00D33139" w:rsidRPr="00D33139">
        <w:rPr>
          <w:noProof/>
          <w:lang w:val="en-GB"/>
        </w:rPr>
        <w:t>(Huo et al., 2018)</w:t>
      </w:r>
      <w:r>
        <w:rPr>
          <w:lang w:val="en-GB"/>
        </w:rPr>
        <w:fldChar w:fldCharType="end"/>
      </w:r>
      <w:r>
        <w:rPr>
          <w:lang w:val="en-GB"/>
        </w:rPr>
        <w:t xml:space="preserve">, as shown in </w:t>
      </w:r>
      <w:r>
        <w:rPr>
          <w:lang w:val="en-GB"/>
        </w:rPr>
        <w:fldChar w:fldCharType="begin"/>
      </w:r>
      <w:r>
        <w:rPr>
          <w:lang w:val="en-GB"/>
        </w:rPr>
        <w:instrText xml:space="preserve"> REF _Ref125705765 \h </w:instrText>
      </w:r>
      <w:r>
        <w:rPr>
          <w:lang w:val="en-GB"/>
        </w:rPr>
      </w:r>
      <w:r>
        <w:rPr>
          <w:lang w:val="en-GB"/>
        </w:rPr>
        <w:fldChar w:fldCharType="separate"/>
      </w:r>
      <w:r w:rsidR="007D2DE0" w:rsidRPr="00135E8C">
        <w:t xml:space="preserve">Figure </w:t>
      </w:r>
      <w:r w:rsidR="007D2DE0">
        <w:rPr>
          <w:noProof/>
        </w:rPr>
        <w:t>2</w:t>
      </w:r>
      <w:r>
        <w:rPr>
          <w:lang w:val="en-GB"/>
        </w:rPr>
        <w:fldChar w:fldCharType="end"/>
      </w:r>
      <w:r>
        <w:rPr>
          <w:lang w:val="en-GB"/>
        </w:rPr>
        <w:t>f. The obtained band gap energy (E</w:t>
      </w:r>
      <w:r w:rsidRPr="00660D72">
        <w:rPr>
          <w:vertAlign w:val="subscript"/>
          <w:lang w:val="en-GB"/>
        </w:rPr>
        <w:t>g</w:t>
      </w:r>
      <w:r>
        <w:rPr>
          <w:lang w:val="en-GB"/>
        </w:rPr>
        <w:t>) values were: 2.74 (dashed red line), 2.94 (dashed black line), 2.84 (dashed blue line), and 2.63 eV (dashed green line) for Cu/TiO</w:t>
      </w:r>
      <w:r w:rsidRPr="00660D72">
        <w:rPr>
          <w:vertAlign w:val="subscript"/>
          <w:lang w:val="en-GB"/>
        </w:rPr>
        <w:t>2</w:t>
      </w:r>
      <w:r>
        <w:rPr>
          <w:lang w:val="en-GB"/>
        </w:rPr>
        <w:t>, Ni/TiO</w:t>
      </w:r>
      <w:r w:rsidRPr="00660D72">
        <w:rPr>
          <w:vertAlign w:val="subscript"/>
          <w:lang w:val="en-GB"/>
        </w:rPr>
        <w:t>2</w:t>
      </w:r>
      <w:r>
        <w:rPr>
          <w:lang w:val="en-GB"/>
        </w:rPr>
        <w:t>, Cu/C</w:t>
      </w:r>
      <w:r w:rsidRPr="00660D72">
        <w:rPr>
          <w:vertAlign w:val="subscript"/>
          <w:lang w:val="en-GB"/>
        </w:rPr>
        <w:t>3</w:t>
      </w:r>
      <w:r>
        <w:rPr>
          <w:lang w:val="en-GB"/>
        </w:rPr>
        <w:t>N</w:t>
      </w:r>
      <w:r w:rsidRPr="00660D72">
        <w:rPr>
          <w:vertAlign w:val="subscript"/>
          <w:lang w:val="en-GB"/>
        </w:rPr>
        <w:t>4</w:t>
      </w:r>
      <w:r w:rsidR="004A1E54">
        <w:rPr>
          <w:lang w:val="en-GB"/>
        </w:rPr>
        <w:t xml:space="preserve">, </w:t>
      </w:r>
      <w:r>
        <w:rPr>
          <w:lang w:val="en-GB"/>
        </w:rPr>
        <w:t>and Ni/</w:t>
      </w:r>
      <w:r w:rsidRPr="00660D72">
        <w:rPr>
          <w:lang w:val="en-GB"/>
        </w:rPr>
        <w:t>C</w:t>
      </w:r>
      <w:r w:rsidRPr="00660D72">
        <w:rPr>
          <w:vertAlign w:val="subscript"/>
          <w:lang w:val="en-GB"/>
        </w:rPr>
        <w:t>3</w:t>
      </w:r>
      <w:r w:rsidRPr="00660D72">
        <w:rPr>
          <w:lang w:val="en-GB"/>
        </w:rPr>
        <w:t>N</w:t>
      </w:r>
      <w:r w:rsidRPr="00660D72">
        <w:rPr>
          <w:vertAlign w:val="subscript"/>
          <w:lang w:val="en-GB"/>
        </w:rPr>
        <w:t>4</w:t>
      </w:r>
      <w:r>
        <w:rPr>
          <w:lang w:val="en-GB"/>
        </w:rPr>
        <w:t xml:space="preserve">, respectively. These results show a reduction in the band gap energy due </w:t>
      </w:r>
      <w:r w:rsidR="004A1E54">
        <w:rPr>
          <w:lang w:val="en-GB"/>
        </w:rPr>
        <w:t xml:space="preserve">to </w:t>
      </w:r>
      <w:r>
        <w:rPr>
          <w:lang w:val="en-GB"/>
        </w:rPr>
        <w:t>the use of metals (copper and nickel), compared to pure TiO</w:t>
      </w:r>
      <w:r w:rsidRPr="00F50E57">
        <w:rPr>
          <w:vertAlign w:val="subscript"/>
          <w:lang w:val="en-GB"/>
        </w:rPr>
        <w:t>2</w:t>
      </w:r>
      <w:r>
        <w:rPr>
          <w:lang w:val="en-GB"/>
        </w:rPr>
        <w:t xml:space="preserve">, whose value is around 3.2 eV </w:t>
      </w:r>
      <w:r>
        <w:rPr>
          <w:lang w:val="en-GB"/>
        </w:rPr>
        <w:fldChar w:fldCharType="begin" w:fldLock="1"/>
      </w:r>
      <w:r w:rsidR="00D33139">
        <w:rPr>
          <w:lang w:val="en-GB"/>
        </w:rPr>
        <w:instrText>ADDIN CSL_CITATION {"citationItems":[{"id":"ITEM-1","itemData":{"DOI":"10.1007/s10971-011-2582-9","ISSN":"09280707","abstract":"A comparison of the band gap energy estimated from UV-vis reflectance spectra of TiO 2 powders prepared by sol-gel route versus commercial TiO 2 powders, nanopowder, bulkpowder and P25 is reported. The experimental results obtained from the optical absorption spectra were reported for all the TiO 2 samples. Graphic representations were used to calculate E g: absorbance versus λ; F(R) versus E; (F(R) hν) n versus E, with n = 1/2 for an indirect allowed transition and n = 2 for a direct allowed transition. From the results, it could be seen that E g strongly varied according to the equation used for the graphic representation. Differences in E g up to 0.5 eV for the same semiconductor depending on the transition chosen were observed. Accurate E g estimation in the four semiconductors studied was obtained by using the general equation α (hν) ≈ B (hν - E g) n (where α ~ F(R)) and indirect allowed transition. © 2011 Springer Science+Business Media, LLC.","author":[{"dropping-particle":"","family":"López","given":"Rosendo","non-dropping-particle":"","parse-names":false,"suffix":""},{"dropping-particle":"","family":"Gómez","given":"Ricardo","non-dropping-particle":"","parse-names":false,"suffix":""}],"container-title":"Journal of Sol-Gel Science and Technology","id":"ITEM-1","issue":"1","issued":{"date-parts":[["2012"]]},"page":"1-7","title":"Band-gap energy estimation from diffuse reflectance measurements on sol-gel and commercial TiO&lt;sub&gt;2&lt;/sub&gt;: A comparative study","type":"article-journal","volume":"61"},"uris":["http://www.mendeley.com/documents/?uuid=d1f44adb-05fe-4d86-9c18-8a0268c20211"]}],"mendeley":{"formattedCitation":"(López and Gómez, 2012)","plainTextFormattedCitation":"(López and Gómez, 2012)","previouslyFormattedCitation":"(López and Gómez, 2012)"},"properties":{"noteIndex":0},"schema":"https://github.com/citation-style-language/schema/raw/master/csl-citation.json"}</w:instrText>
      </w:r>
      <w:r>
        <w:rPr>
          <w:lang w:val="en-GB"/>
        </w:rPr>
        <w:fldChar w:fldCharType="separate"/>
      </w:r>
      <w:r w:rsidR="00D33139" w:rsidRPr="00D33139">
        <w:rPr>
          <w:noProof/>
          <w:lang w:val="en-GB"/>
        </w:rPr>
        <w:t>(López and Gómez, 2012)</w:t>
      </w:r>
      <w:r>
        <w:rPr>
          <w:lang w:val="en-GB"/>
        </w:rPr>
        <w:fldChar w:fldCharType="end"/>
      </w:r>
      <w:r>
        <w:rPr>
          <w:lang w:val="en-GB"/>
        </w:rPr>
        <w:t>. Furthermore, these results suggests that these composites have activation under visible light (E</w:t>
      </w:r>
      <w:r w:rsidRPr="00010888">
        <w:rPr>
          <w:vertAlign w:val="subscript"/>
          <w:lang w:val="en-GB"/>
        </w:rPr>
        <w:t>g</w:t>
      </w:r>
      <w:r>
        <w:rPr>
          <w:lang w:val="en-GB"/>
        </w:rPr>
        <w:t xml:space="preserve"> &lt; 3.11 eV).</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7"/>
        <w:gridCol w:w="2940"/>
        <w:gridCol w:w="2940"/>
      </w:tblGrid>
      <w:tr w:rsidR="006A5D95" w14:paraId="3ADF0AD4" w14:textId="3097DFC5" w:rsidTr="007156B3">
        <w:tc>
          <w:tcPr>
            <w:tcW w:w="2903" w:type="dxa"/>
          </w:tcPr>
          <w:p w14:paraId="45BE4361" w14:textId="5018E8A7" w:rsidR="006A5D95" w:rsidRDefault="009E1BED" w:rsidP="00601948">
            <w:pPr>
              <w:pStyle w:val="CETBodytext"/>
              <w:spacing w:before="240" w:line="240" w:lineRule="auto"/>
              <w:ind w:left="-117"/>
              <w:jc w:val="left"/>
              <w:rPr>
                <w:noProof/>
              </w:rPr>
            </w:pPr>
            <w:r>
              <w:rPr>
                <w:noProof/>
                <w:lang w:val="pt-BR" w:eastAsia="pt-BR"/>
              </w:rPr>
              <mc:AlternateContent>
                <mc:Choice Requires="wps">
                  <w:drawing>
                    <wp:anchor distT="0" distB="0" distL="114300" distR="114300" simplePos="0" relativeHeight="251640832" behindDoc="0" locked="0" layoutInCell="1" allowOverlap="1" wp14:anchorId="176A6AA6" wp14:editId="4BCC17AA">
                      <wp:simplePos x="0" y="0"/>
                      <wp:positionH relativeFrom="column">
                        <wp:posOffset>-71120</wp:posOffset>
                      </wp:positionH>
                      <wp:positionV relativeFrom="paragraph">
                        <wp:posOffset>1185545</wp:posOffset>
                      </wp:positionV>
                      <wp:extent cx="533400" cy="409575"/>
                      <wp:effectExtent l="0" t="0" r="0" b="0"/>
                      <wp:wrapNone/>
                      <wp:docPr id="3" name="Caixa de Texto 3"/>
                      <wp:cNvGraphicFramePr/>
                      <a:graphic xmlns:a="http://schemas.openxmlformats.org/drawingml/2006/main">
                        <a:graphicData uri="http://schemas.microsoft.com/office/word/2010/wordprocessingShape">
                          <wps:wsp>
                            <wps:cNvSpPr txBox="1"/>
                            <wps:spPr>
                              <a:xfrm>
                                <a:off x="0" y="0"/>
                                <a:ext cx="533400" cy="409575"/>
                              </a:xfrm>
                              <a:prstGeom prst="rect">
                                <a:avLst/>
                              </a:prstGeom>
                              <a:noFill/>
                              <a:ln w="6350">
                                <a:noFill/>
                              </a:ln>
                            </wps:spPr>
                            <wps:txbx>
                              <w:txbxContent>
                                <w:p w14:paraId="46692AFA" w14:textId="434A088B" w:rsidR="00B873A5" w:rsidRPr="00A70CB3" w:rsidRDefault="00A70CB3">
                                  <w:pPr>
                                    <w:rPr>
                                      <w:color w:val="FFFFFF" w:themeColor="background1"/>
                                      <w:sz w:val="24"/>
                                      <w:szCs w:val="28"/>
                                    </w:rPr>
                                  </w:pPr>
                                  <w:r w:rsidRPr="006272B7">
                                    <w:rPr>
                                      <w:color w:val="FFFFFF" w:themeColor="background1"/>
                                      <w:sz w:val="24"/>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76A6AA6" id="_x0000_t202" coordsize="21600,21600" o:spt="202" path="m,l,21600r21600,l21600,xe">
                      <v:stroke joinstyle="miter"/>
                      <v:path gradientshapeok="t" o:connecttype="rect"/>
                    </v:shapetype>
                    <v:shape id="Caixa de Texto 3" o:spid="_x0000_s1026" type="#_x0000_t202" style="position:absolute;left:0;text-align:left;margin-left:-5.6pt;margin-top:93.35pt;width:42pt;height:32.2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" filled="f" stroked="f" strokeweight=".5pt">
                      <v:textbox>
                        <w:txbxContent>
                          <w:p w14:paraId="46692AFA" w14:textId="434A088B" w:rsidR="00B873A5" w:rsidRPr="00A70CB3" w:rsidRDefault="00A70CB3">
                            <w:pPr>
                              <w:rPr>
                                <w:color w:val="FFFFFF" w:themeColor="background1"/>
                                <w:sz w:val="24"/>
                                <w:szCs w:val="28"/>
                              </w:rPr>
                            </w:pPr>
                            <w:r w:rsidRPr="006272B7">
                              <w:rPr>
                                <w:color w:val="FFFFFF" w:themeColor="background1"/>
                                <w:sz w:val="24"/>
                                <w:szCs w:val="28"/>
                              </w:rPr>
                              <w:t>(a)</w:t>
                            </w:r>
                          </w:p>
                        </w:txbxContent>
                      </v:textbox>
                    </v:shape>
                  </w:pict>
                </mc:Fallback>
              </mc:AlternateContent>
            </w:r>
            <w:r w:rsidR="006A5D95">
              <w:rPr>
                <w:noProof/>
                <w:lang w:val="pt-BR" w:eastAsia="pt-BR"/>
              </w:rPr>
              <w:drawing>
                <wp:inline distT="0" distB="0" distL="0" distR="0" wp14:anchorId="3ADAD408" wp14:editId="150CB271">
                  <wp:extent cx="1801181" cy="1440000"/>
                  <wp:effectExtent l="0" t="0" r="8890" b="825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1181" cy="1440000"/>
                          </a:xfrm>
                          <a:prstGeom prst="rect">
                            <a:avLst/>
                          </a:prstGeom>
                          <a:noFill/>
                          <a:ln>
                            <a:noFill/>
                          </a:ln>
                        </pic:spPr>
                      </pic:pic>
                    </a:graphicData>
                  </a:graphic>
                </wp:inline>
              </w:drawing>
            </w:r>
          </w:p>
        </w:tc>
        <w:tc>
          <w:tcPr>
            <w:tcW w:w="2937" w:type="dxa"/>
          </w:tcPr>
          <w:p w14:paraId="2F2BB582" w14:textId="1B73DC63" w:rsidR="006A5D95" w:rsidRDefault="006A5D95" w:rsidP="00601948">
            <w:pPr>
              <w:pStyle w:val="CETBodytext"/>
              <w:spacing w:before="240" w:line="240" w:lineRule="auto"/>
              <w:ind w:left="-82" w:right="-4"/>
              <w:jc w:val="left"/>
              <w:rPr>
                <w:noProof/>
              </w:rPr>
            </w:pPr>
            <w:r>
              <w:rPr>
                <w:noProof/>
                <w:lang w:val="pt-BR" w:eastAsia="pt-BR"/>
              </w:rPr>
              <mc:AlternateContent>
                <mc:Choice Requires="wps">
                  <w:drawing>
                    <wp:anchor distT="0" distB="0" distL="114300" distR="114300" simplePos="0" relativeHeight="251696128" behindDoc="0" locked="0" layoutInCell="1" allowOverlap="1" wp14:anchorId="72BCC79B" wp14:editId="2326531F">
                      <wp:simplePos x="0" y="0"/>
                      <wp:positionH relativeFrom="column">
                        <wp:posOffset>-11430</wp:posOffset>
                      </wp:positionH>
                      <wp:positionV relativeFrom="paragraph">
                        <wp:posOffset>1151890</wp:posOffset>
                      </wp:positionV>
                      <wp:extent cx="542925" cy="400050"/>
                      <wp:effectExtent l="0" t="0" r="0" b="0"/>
                      <wp:wrapNone/>
                      <wp:docPr id="7" name="Caixa de Texto 7"/>
                      <wp:cNvGraphicFramePr/>
                      <a:graphic xmlns:a="http://schemas.openxmlformats.org/drawingml/2006/main">
                        <a:graphicData uri="http://schemas.microsoft.com/office/word/2010/wordprocessingShape">
                          <wps:wsp>
                            <wps:cNvSpPr txBox="1"/>
                            <wps:spPr>
                              <a:xfrm>
                                <a:off x="0" y="0"/>
                                <a:ext cx="542925" cy="400050"/>
                              </a:xfrm>
                              <a:prstGeom prst="rect">
                                <a:avLst/>
                              </a:prstGeom>
                              <a:noFill/>
                              <a:ln w="6350">
                                <a:noFill/>
                              </a:ln>
                            </wps:spPr>
                            <wps:txbx>
                              <w:txbxContent>
                                <w:p w14:paraId="464241C0" w14:textId="64977273" w:rsidR="006A5D95" w:rsidRPr="00A70CB3" w:rsidRDefault="006A5D95">
                                  <w:pPr>
                                    <w:rPr>
                                      <w:color w:val="FFFFFF" w:themeColor="background1"/>
                                      <w:sz w:val="24"/>
                                      <w:szCs w:val="24"/>
                                    </w:rPr>
                                  </w:pPr>
                                  <w:r w:rsidRPr="006272B7">
                                    <w:rPr>
                                      <w:color w:val="FFFFFF" w:themeColor="background1"/>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BCC79B" id="Caixa de Texto 7" o:spid="_x0000_s1027" type="#_x0000_t202" style="position:absolute;left:0;text-align:left;margin-left:-.9pt;margin-top:90.7pt;width:42.75pt;height:3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" filled="f" stroked="f" strokeweight=".5pt">
                      <v:textbox>
                        <w:txbxContent>
                          <w:p w14:paraId="464241C0" w14:textId="64977273" w:rsidR="006A5D95" w:rsidRPr="00A70CB3" w:rsidRDefault="006A5D95">
                            <w:pPr>
                              <w:rPr>
                                <w:color w:val="FFFFFF" w:themeColor="background1"/>
                                <w:sz w:val="24"/>
                                <w:szCs w:val="24"/>
                              </w:rPr>
                            </w:pPr>
                            <w:r w:rsidRPr="006272B7">
                              <w:rPr>
                                <w:color w:val="FFFFFF" w:themeColor="background1"/>
                                <w:sz w:val="24"/>
                                <w:szCs w:val="24"/>
                              </w:rPr>
                              <w:t>(b)</w:t>
                            </w:r>
                          </w:p>
                        </w:txbxContent>
                      </v:textbox>
                    </v:shape>
                  </w:pict>
                </mc:Fallback>
              </mc:AlternateContent>
            </w:r>
            <w:r>
              <w:rPr>
                <w:noProof/>
                <w:lang w:val="pt-BR" w:eastAsia="pt-BR"/>
              </w:rPr>
              <w:drawing>
                <wp:inline distT="0" distB="0" distL="0" distR="0" wp14:anchorId="54671CDB" wp14:editId="104F9D56">
                  <wp:extent cx="1801178" cy="1440000"/>
                  <wp:effectExtent l="0" t="0" r="8890" b="825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1178" cy="1440000"/>
                          </a:xfrm>
                          <a:prstGeom prst="rect">
                            <a:avLst/>
                          </a:prstGeom>
                          <a:noFill/>
                          <a:ln>
                            <a:noFill/>
                          </a:ln>
                        </pic:spPr>
                      </pic:pic>
                    </a:graphicData>
                  </a:graphic>
                </wp:inline>
              </w:drawing>
            </w:r>
          </w:p>
        </w:tc>
        <w:tc>
          <w:tcPr>
            <w:tcW w:w="2937" w:type="dxa"/>
          </w:tcPr>
          <w:p w14:paraId="4D706181" w14:textId="244969DB" w:rsidR="006A5D95" w:rsidRDefault="00EE7778" w:rsidP="00601948">
            <w:pPr>
              <w:pStyle w:val="CETBodytext"/>
              <w:spacing w:before="240" w:line="240" w:lineRule="auto"/>
              <w:ind w:left="-82" w:right="-4"/>
              <w:jc w:val="left"/>
              <w:rPr>
                <w:noProof/>
                <w:lang w:val="pt-BR" w:eastAsia="pt-BR"/>
              </w:rPr>
            </w:pPr>
            <w:r>
              <w:rPr>
                <w:noProof/>
                <w:lang w:val="pt-BR" w:eastAsia="pt-BR"/>
              </w:rPr>
              <mc:AlternateContent>
                <mc:Choice Requires="wps">
                  <w:drawing>
                    <wp:anchor distT="0" distB="0" distL="114300" distR="114300" simplePos="0" relativeHeight="251673600" behindDoc="0" locked="0" layoutInCell="1" allowOverlap="1" wp14:anchorId="0E01828F" wp14:editId="5953B43F">
                      <wp:simplePos x="0" y="0"/>
                      <wp:positionH relativeFrom="column">
                        <wp:posOffset>-111125</wp:posOffset>
                      </wp:positionH>
                      <wp:positionV relativeFrom="paragraph">
                        <wp:posOffset>1144270</wp:posOffset>
                      </wp:positionV>
                      <wp:extent cx="533400" cy="409575"/>
                      <wp:effectExtent l="0" t="0" r="0" b="0"/>
                      <wp:wrapNone/>
                      <wp:docPr id="8" name="Caixa de Texto 8"/>
                      <wp:cNvGraphicFramePr/>
                      <a:graphic xmlns:a="http://schemas.openxmlformats.org/drawingml/2006/main">
                        <a:graphicData uri="http://schemas.microsoft.com/office/word/2010/wordprocessingShape">
                          <wps:wsp>
                            <wps:cNvSpPr txBox="1"/>
                            <wps:spPr>
                              <a:xfrm>
                                <a:off x="0" y="0"/>
                                <a:ext cx="533400" cy="409575"/>
                              </a:xfrm>
                              <a:prstGeom prst="rect">
                                <a:avLst/>
                              </a:prstGeom>
                              <a:noFill/>
                              <a:ln w="6350">
                                <a:noFill/>
                              </a:ln>
                            </wps:spPr>
                            <wps:txbx>
                              <w:txbxContent>
                                <w:p w14:paraId="648D04A1" w14:textId="5E06DC1E" w:rsidR="00A70CB3" w:rsidRPr="00A70CB3" w:rsidRDefault="00A70CB3" w:rsidP="00A70CB3">
                                  <w:pPr>
                                    <w:rPr>
                                      <w:color w:val="FFFFFF" w:themeColor="background1"/>
                                      <w:sz w:val="24"/>
                                      <w:szCs w:val="28"/>
                                    </w:rPr>
                                  </w:pPr>
                                  <w:r w:rsidRPr="006272B7">
                                    <w:rPr>
                                      <w:color w:val="FFFFFF" w:themeColor="background1"/>
                                      <w:sz w:val="24"/>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01828F" id="Caixa de Texto 8" o:spid="_x0000_s1028" type="#_x0000_t202" style="position:absolute;left:0;text-align:left;margin-left:-8.75pt;margin-top:90.1pt;width:42pt;height:32.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" filled="f" stroked="f" strokeweight=".5pt">
                      <v:textbox>
                        <w:txbxContent>
                          <w:p w14:paraId="648D04A1" w14:textId="5E06DC1E" w:rsidR="00A70CB3" w:rsidRPr="00A70CB3" w:rsidRDefault="00A70CB3" w:rsidP="00A70CB3">
                            <w:pPr>
                              <w:rPr>
                                <w:color w:val="FFFFFF" w:themeColor="background1"/>
                                <w:sz w:val="24"/>
                                <w:szCs w:val="28"/>
                              </w:rPr>
                            </w:pPr>
                            <w:r w:rsidRPr="006272B7">
                              <w:rPr>
                                <w:color w:val="FFFFFF" w:themeColor="background1"/>
                                <w:sz w:val="24"/>
                                <w:szCs w:val="28"/>
                              </w:rPr>
                              <w:t>(c)</w:t>
                            </w:r>
                          </w:p>
                        </w:txbxContent>
                      </v:textbox>
                    </v:shape>
                  </w:pict>
                </mc:Fallback>
              </mc:AlternateContent>
            </w:r>
            <w:r>
              <w:rPr>
                <w:noProof/>
                <w:lang w:val="pt-BR" w:eastAsia="pt-BR"/>
              </w:rPr>
              <w:drawing>
                <wp:inline distT="0" distB="0" distL="0" distR="0" wp14:anchorId="05E6B17A" wp14:editId="7B36C414">
                  <wp:extent cx="1801178" cy="1440000"/>
                  <wp:effectExtent l="0" t="0" r="8890" b="8255"/>
                  <wp:docPr id="15" name="Imagem 15" descr="Foto em preto e branco de cor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Foto em preto e branco de coral&#10;&#10;Descrição gerada automaticamen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1178" cy="1440000"/>
                          </a:xfrm>
                          <a:prstGeom prst="rect">
                            <a:avLst/>
                          </a:prstGeom>
                          <a:noFill/>
                          <a:ln>
                            <a:noFill/>
                          </a:ln>
                        </pic:spPr>
                      </pic:pic>
                    </a:graphicData>
                  </a:graphic>
                </wp:inline>
              </w:drawing>
            </w:r>
          </w:p>
        </w:tc>
      </w:tr>
      <w:tr w:rsidR="003E6981" w14:paraId="6D0ABC33" w14:textId="6B978926" w:rsidTr="007156B3">
        <w:tc>
          <w:tcPr>
            <w:tcW w:w="2903" w:type="dxa"/>
          </w:tcPr>
          <w:p w14:paraId="36381409" w14:textId="1BF6F3B4" w:rsidR="003E6981" w:rsidRDefault="003E6981" w:rsidP="00601948">
            <w:pPr>
              <w:pStyle w:val="CETBodytext"/>
              <w:spacing w:line="240" w:lineRule="auto"/>
              <w:ind w:left="-117"/>
              <w:jc w:val="left"/>
              <w:rPr>
                <w:noProof/>
              </w:rPr>
            </w:pPr>
            <w:r>
              <w:rPr>
                <w:noProof/>
                <w:lang w:val="pt-BR" w:eastAsia="pt-BR"/>
              </w:rPr>
              <mc:AlternateContent>
                <mc:Choice Requires="wps">
                  <w:drawing>
                    <wp:anchor distT="0" distB="0" distL="114300" distR="114300" simplePos="0" relativeHeight="251704320" behindDoc="0" locked="0" layoutInCell="1" allowOverlap="1" wp14:anchorId="21A3757F" wp14:editId="7F0D2261">
                      <wp:simplePos x="0" y="0"/>
                      <wp:positionH relativeFrom="column">
                        <wp:posOffset>-149225</wp:posOffset>
                      </wp:positionH>
                      <wp:positionV relativeFrom="paragraph">
                        <wp:posOffset>1009650</wp:posOffset>
                      </wp:positionV>
                      <wp:extent cx="542925" cy="400050"/>
                      <wp:effectExtent l="0" t="0" r="0" b="0"/>
                      <wp:wrapNone/>
                      <wp:docPr id="9" name="Caixa de Texto 9"/>
                      <wp:cNvGraphicFramePr/>
                      <a:graphic xmlns:a="http://schemas.openxmlformats.org/drawingml/2006/main">
                        <a:graphicData uri="http://schemas.microsoft.com/office/word/2010/wordprocessingShape">
                          <wps:wsp>
                            <wps:cNvSpPr txBox="1"/>
                            <wps:spPr>
                              <a:xfrm>
                                <a:off x="0" y="0"/>
                                <a:ext cx="542925" cy="400050"/>
                              </a:xfrm>
                              <a:prstGeom prst="rect">
                                <a:avLst/>
                              </a:prstGeom>
                              <a:noFill/>
                              <a:ln w="6350">
                                <a:noFill/>
                              </a:ln>
                            </wps:spPr>
                            <wps:txbx>
                              <w:txbxContent>
                                <w:p w14:paraId="0122093E" w14:textId="0EAA91ED" w:rsidR="003E6981" w:rsidRPr="00A70CB3" w:rsidRDefault="003E6981" w:rsidP="00A70CB3">
                                  <w:pPr>
                                    <w:rPr>
                                      <w:color w:val="FFFFFF" w:themeColor="background1"/>
                                      <w:sz w:val="24"/>
                                      <w:szCs w:val="24"/>
                                    </w:rPr>
                                  </w:pPr>
                                  <w:r w:rsidRPr="006272B7">
                                    <w:rPr>
                                      <w:color w:val="FFFFFF" w:themeColor="background1"/>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A3757F" id="Caixa de Texto 9" o:spid="_x0000_s1029" type="#_x0000_t202" style="position:absolute;left:0;text-align:left;margin-left:-11.75pt;margin-top:79.5pt;width:42.75pt;height: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" filled="f" stroked="f" strokeweight=".5pt">
                      <v:textbox>
                        <w:txbxContent>
                          <w:p w14:paraId="0122093E" w14:textId="0EAA91ED" w:rsidR="003E6981" w:rsidRPr="00A70CB3" w:rsidRDefault="003E6981" w:rsidP="00A70CB3">
                            <w:pPr>
                              <w:rPr>
                                <w:color w:val="FFFFFF" w:themeColor="background1"/>
                                <w:sz w:val="24"/>
                                <w:szCs w:val="24"/>
                              </w:rPr>
                            </w:pPr>
                            <w:r w:rsidRPr="006272B7">
                              <w:rPr>
                                <w:color w:val="FFFFFF" w:themeColor="background1"/>
                                <w:sz w:val="24"/>
                                <w:szCs w:val="24"/>
                              </w:rPr>
                              <w:t>(d)</w:t>
                            </w:r>
                          </w:p>
                        </w:txbxContent>
                      </v:textbox>
                    </v:shape>
                  </w:pict>
                </mc:Fallback>
              </mc:AlternateContent>
            </w:r>
            <w:r>
              <w:rPr>
                <w:noProof/>
                <w:lang w:val="pt-BR" w:eastAsia="pt-BR"/>
              </w:rPr>
              <w:drawing>
                <wp:inline distT="0" distB="0" distL="0" distR="0" wp14:anchorId="419F7FA7" wp14:editId="35ECF1D4">
                  <wp:extent cx="1801528" cy="1440000"/>
                  <wp:effectExtent l="0" t="0" r="8255" b="8255"/>
                  <wp:docPr id="16" name="Imagem 16"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Foto em preto e branco&#10;&#10;Descrição gerada automa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1528" cy="1440000"/>
                          </a:xfrm>
                          <a:prstGeom prst="rect">
                            <a:avLst/>
                          </a:prstGeom>
                          <a:noFill/>
                          <a:ln>
                            <a:noFill/>
                          </a:ln>
                        </pic:spPr>
                      </pic:pic>
                    </a:graphicData>
                  </a:graphic>
                </wp:inline>
              </w:drawing>
            </w:r>
          </w:p>
        </w:tc>
        <w:tc>
          <w:tcPr>
            <w:tcW w:w="5874" w:type="dxa"/>
            <w:gridSpan w:val="2"/>
          </w:tcPr>
          <w:p w14:paraId="2F7555AA" w14:textId="148D8068" w:rsidR="003E6981" w:rsidRDefault="002D58F9" w:rsidP="00601948">
            <w:pPr>
              <w:pStyle w:val="CETBodytext"/>
              <w:spacing w:line="240" w:lineRule="auto"/>
              <w:ind w:left="-82"/>
              <w:jc w:val="left"/>
              <w:rPr>
                <w:noProof/>
                <w:lang w:val="pt-BR" w:eastAsia="pt-BR"/>
              </w:rPr>
            </w:pPr>
            <w:r>
              <w:rPr>
                <w:noProof/>
                <w:lang w:val="pt-BR" w:eastAsia="pt-BR"/>
              </w:rPr>
              <mc:AlternateContent>
                <mc:Choice Requires="wps">
                  <w:drawing>
                    <wp:anchor distT="0" distB="0" distL="114300" distR="114300" simplePos="0" relativeHeight="251701248" behindDoc="0" locked="0" layoutInCell="1" allowOverlap="1" wp14:anchorId="36134F34" wp14:editId="3A23D66F">
                      <wp:simplePos x="0" y="0"/>
                      <wp:positionH relativeFrom="column">
                        <wp:posOffset>2076450</wp:posOffset>
                      </wp:positionH>
                      <wp:positionV relativeFrom="paragraph">
                        <wp:posOffset>106680</wp:posOffset>
                      </wp:positionV>
                      <wp:extent cx="542925" cy="400050"/>
                      <wp:effectExtent l="0" t="0" r="0" b="0"/>
                      <wp:wrapNone/>
                      <wp:docPr id="2" name="Caixa de Texto 2"/>
                      <wp:cNvGraphicFramePr/>
                      <a:graphic xmlns:a="http://schemas.openxmlformats.org/drawingml/2006/main">
                        <a:graphicData uri="http://schemas.microsoft.com/office/word/2010/wordprocessingShape">
                          <wps:wsp>
                            <wps:cNvSpPr txBox="1"/>
                            <wps:spPr>
                              <a:xfrm>
                                <a:off x="0" y="0"/>
                                <a:ext cx="542925" cy="400050"/>
                              </a:xfrm>
                              <a:prstGeom prst="rect">
                                <a:avLst/>
                              </a:prstGeom>
                              <a:noFill/>
                              <a:ln w="6350">
                                <a:noFill/>
                              </a:ln>
                            </wps:spPr>
                            <wps:txbx>
                              <w:txbxContent>
                                <w:p w14:paraId="752D4B14" w14:textId="74B3DB72" w:rsidR="006A5D95" w:rsidRPr="005F5703" w:rsidRDefault="006A5D95" w:rsidP="005F5703">
                                  <w:pPr>
                                    <w:rPr>
                                      <w:sz w:val="24"/>
                                      <w:szCs w:val="24"/>
                                    </w:rPr>
                                  </w:pPr>
                                  <w:r w:rsidRPr="005F5703">
                                    <w:rPr>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134F34" id="Caixa de Texto 2" o:spid="_x0000_s1030" type="#_x0000_t202" style="position:absolute;left:0;text-align:left;margin-left:163.5pt;margin-top:8.4pt;width:42.75pt;height:3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" filled="f" stroked="f" strokeweight=".5pt">
                      <v:textbox>
                        <w:txbxContent>
                          <w:p w14:paraId="752D4B14" w14:textId="74B3DB72" w:rsidR="006A5D95" w:rsidRPr="005F5703" w:rsidRDefault="006A5D95" w:rsidP="005F5703">
                            <w:pPr>
                              <w:rPr>
                                <w:sz w:val="24"/>
                                <w:szCs w:val="24"/>
                              </w:rPr>
                            </w:pPr>
                            <w:r w:rsidRPr="005F5703">
                              <w:rPr>
                                <w:sz w:val="24"/>
                                <w:szCs w:val="24"/>
                              </w:rPr>
                              <w:t>(f)</w:t>
                            </w:r>
                          </w:p>
                        </w:txbxContent>
                      </v:textbox>
                    </v:shape>
                  </w:pict>
                </mc:Fallback>
              </mc:AlternateContent>
            </w:r>
            <w:r>
              <w:rPr>
                <w:noProof/>
                <w:lang w:val="pt-BR" w:eastAsia="pt-BR"/>
              </w:rPr>
              <mc:AlternateContent>
                <mc:Choice Requires="wps">
                  <w:drawing>
                    <wp:anchor distT="0" distB="0" distL="114300" distR="114300" simplePos="0" relativeHeight="251702272" behindDoc="0" locked="0" layoutInCell="1" allowOverlap="1" wp14:anchorId="60E8AA98" wp14:editId="30B7FCF5">
                      <wp:simplePos x="0" y="0"/>
                      <wp:positionH relativeFrom="column">
                        <wp:posOffset>1388745</wp:posOffset>
                      </wp:positionH>
                      <wp:positionV relativeFrom="paragraph">
                        <wp:posOffset>106680</wp:posOffset>
                      </wp:positionV>
                      <wp:extent cx="542925" cy="400050"/>
                      <wp:effectExtent l="0" t="0" r="0" b="0"/>
                      <wp:wrapNone/>
                      <wp:docPr id="4" name="Caixa de Texto 4"/>
                      <wp:cNvGraphicFramePr/>
                      <a:graphic xmlns:a="http://schemas.openxmlformats.org/drawingml/2006/main">
                        <a:graphicData uri="http://schemas.microsoft.com/office/word/2010/wordprocessingShape">
                          <wps:wsp>
                            <wps:cNvSpPr txBox="1"/>
                            <wps:spPr>
                              <a:xfrm>
                                <a:off x="0" y="0"/>
                                <a:ext cx="542925" cy="400050"/>
                              </a:xfrm>
                              <a:prstGeom prst="rect">
                                <a:avLst/>
                              </a:prstGeom>
                              <a:noFill/>
                              <a:ln w="6350">
                                <a:noFill/>
                              </a:ln>
                            </wps:spPr>
                            <wps:txbx>
                              <w:txbxContent>
                                <w:p w14:paraId="6062FF02" w14:textId="55DE7624" w:rsidR="006A5D95" w:rsidRPr="005F5703" w:rsidRDefault="006A5D95" w:rsidP="005F5703">
                                  <w:pPr>
                                    <w:rPr>
                                      <w:sz w:val="24"/>
                                      <w:szCs w:val="24"/>
                                    </w:rPr>
                                  </w:pPr>
                                  <w:r w:rsidRPr="005F5703">
                                    <w:rPr>
                                      <w:sz w:val="24"/>
                                      <w:szCs w:val="24"/>
                                    </w:rPr>
                                    <w:t>(</w:t>
                                  </w:r>
                                  <w:r>
                                    <w:rPr>
                                      <w:sz w:val="24"/>
                                      <w:szCs w:val="24"/>
                                    </w:rPr>
                                    <w:t>e</w:t>
                                  </w:r>
                                  <w:r w:rsidRPr="005F5703">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E8AA98" id="Caixa de Texto 4" o:spid="_x0000_s1031" type="#_x0000_t202" style="position:absolute;left:0;text-align:left;margin-left:109.35pt;margin-top:8.4pt;width:42.75pt;height:3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" filled="f" stroked="f" strokeweight=".5pt">
                      <v:textbox>
                        <w:txbxContent>
                          <w:p w14:paraId="6062FF02" w14:textId="55DE7624" w:rsidR="006A5D95" w:rsidRPr="005F5703" w:rsidRDefault="006A5D95" w:rsidP="005F5703">
                            <w:pPr>
                              <w:rPr>
                                <w:sz w:val="24"/>
                                <w:szCs w:val="24"/>
                              </w:rPr>
                            </w:pPr>
                            <w:r w:rsidRPr="005F5703">
                              <w:rPr>
                                <w:sz w:val="24"/>
                                <w:szCs w:val="24"/>
                              </w:rPr>
                              <w:t>(</w:t>
                            </w:r>
                            <w:r>
                              <w:rPr>
                                <w:sz w:val="24"/>
                                <w:szCs w:val="24"/>
                              </w:rPr>
                              <w:t>e</w:t>
                            </w:r>
                            <w:r w:rsidRPr="005F5703">
                              <w:rPr>
                                <w:sz w:val="24"/>
                                <w:szCs w:val="24"/>
                              </w:rPr>
                              <w:t>)</w:t>
                            </w:r>
                          </w:p>
                        </w:txbxContent>
                      </v:textbox>
                    </v:shape>
                  </w:pict>
                </mc:Fallback>
              </mc:AlternateContent>
            </w:r>
            <w:r w:rsidR="00165F56">
              <w:object w:dxaOrig="3980" w:dyaOrig="2003" w14:anchorId="4A163C24">
                <v:shape id="_x0000_i1026" type="#_x0000_t75" style="width:271.5pt;height:135.75pt" o:ole="">
                  <v:imagedata r:id="rId16" o:title=""/>
                </v:shape>
                <o:OLEObject Type="Embed" ProgID="Origin95.Graph" ShapeID="_x0000_i1026" DrawAspect="Content" ObjectID="_1740890871" r:id="rId17"/>
              </w:object>
            </w:r>
          </w:p>
        </w:tc>
      </w:tr>
    </w:tbl>
    <w:p w14:paraId="1206F731" w14:textId="21428CFC" w:rsidR="000A2422" w:rsidRDefault="004D02A5" w:rsidP="00165F56">
      <w:pPr>
        <w:pStyle w:val="CETCaption"/>
        <w:spacing w:before="0"/>
        <w:rPr>
          <w:rStyle w:val="CETCaptionCarattere"/>
          <w:i/>
          <w:lang w:val="en-US"/>
        </w:rPr>
      </w:pPr>
      <w:bookmarkStart w:id="4" w:name="_Ref125705765"/>
      <w:bookmarkStart w:id="5" w:name="_Toc128932080"/>
      <w:r w:rsidRPr="00135E8C">
        <w:rPr>
          <w:lang w:val="en-US"/>
        </w:rPr>
        <w:t xml:space="preserve">Figure </w:t>
      </w:r>
      <w:r>
        <w:fldChar w:fldCharType="begin"/>
      </w:r>
      <w:r w:rsidRPr="00135E8C">
        <w:rPr>
          <w:lang w:val="en-US"/>
        </w:rPr>
        <w:instrText xml:space="preserve"> SEQ Figure \* ARABIC </w:instrText>
      </w:r>
      <w:r>
        <w:fldChar w:fldCharType="separate"/>
      </w:r>
      <w:r w:rsidR="007D2DE0">
        <w:rPr>
          <w:noProof/>
          <w:lang w:val="en-US"/>
        </w:rPr>
        <w:t>2</w:t>
      </w:r>
      <w:r>
        <w:fldChar w:fldCharType="end"/>
      </w:r>
      <w:bookmarkEnd w:id="4"/>
      <w:r w:rsidR="000A2422" w:rsidRPr="00135E8C">
        <w:rPr>
          <w:rStyle w:val="CETCaptionCarattere"/>
          <w:i/>
          <w:lang w:val="en-US"/>
        </w:rPr>
        <w:t xml:space="preserve">: </w:t>
      </w:r>
      <w:r w:rsidR="00DE547C" w:rsidRPr="00126354">
        <w:rPr>
          <w:rStyle w:val="CETCaptionCarattere"/>
          <w:i/>
          <w:lang w:val="en-US"/>
        </w:rPr>
        <w:t>FEG-</w:t>
      </w:r>
      <w:r w:rsidR="004F51BB" w:rsidRPr="00126354">
        <w:rPr>
          <w:rStyle w:val="CETCaptionCarattere"/>
          <w:i/>
          <w:lang w:val="en-US"/>
        </w:rPr>
        <w:t>SEM</w:t>
      </w:r>
      <w:r w:rsidR="00133BD2" w:rsidRPr="00126354">
        <w:rPr>
          <w:rStyle w:val="CETCaptionCarattere"/>
          <w:i/>
          <w:lang w:val="en-US"/>
        </w:rPr>
        <w:t xml:space="preserve"> images</w:t>
      </w:r>
      <w:r w:rsidR="000A2422" w:rsidRPr="00126354">
        <w:rPr>
          <w:rStyle w:val="CETCaptionCarattere"/>
          <w:i/>
          <w:lang w:val="en-US"/>
        </w:rPr>
        <w:t xml:space="preserve"> </w:t>
      </w:r>
      <w:r w:rsidR="00126354" w:rsidRPr="00126354">
        <w:rPr>
          <w:rStyle w:val="CETCaptionCarattere"/>
          <w:i/>
          <w:lang w:val="en-US"/>
        </w:rPr>
        <w:t xml:space="preserve">of </w:t>
      </w:r>
      <w:r w:rsidR="000A2422" w:rsidRPr="00126354">
        <w:rPr>
          <w:rStyle w:val="CETCaptionCarattere"/>
          <w:i/>
          <w:lang w:val="en-US"/>
        </w:rPr>
        <w:t>Cu/TiO</w:t>
      </w:r>
      <w:r w:rsidR="000A2422" w:rsidRPr="00126354">
        <w:rPr>
          <w:rStyle w:val="CETCaptionCarattere"/>
          <w:i/>
          <w:vertAlign w:val="subscript"/>
          <w:lang w:val="en-US"/>
        </w:rPr>
        <w:t>2</w:t>
      </w:r>
      <w:r w:rsidR="000A2422" w:rsidRPr="00126354">
        <w:rPr>
          <w:rStyle w:val="CETCaptionCarattere"/>
          <w:i/>
          <w:lang w:val="en-US"/>
        </w:rPr>
        <w:t xml:space="preserve"> </w:t>
      </w:r>
      <w:r w:rsidR="00261576" w:rsidRPr="00126354">
        <w:rPr>
          <w:rStyle w:val="CETCaptionCarattere"/>
          <w:i/>
          <w:lang w:val="en-US"/>
        </w:rPr>
        <w:t>(a),</w:t>
      </w:r>
      <w:r w:rsidR="000A2422" w:rsidRPr="00126354">
        <w:rPr>
          <w:rStyle w:val="CETCaptionCarattere"/>
          <w:i/>
          <w:lang w:val="en-US"/>
        </w:rPr>
        <w:t xml:space="preserve"> Ni/TiO</w:t>
      </w:r>
      <w:r w:rsidR="000A2422" w:rsidRPr="00126354">
        <w:rPr>
          <w:rStyle w:val="CETCaptionCarattere"/>
          <w:i/>
          <w:vertAlign w:val="subscript"/>
          <w:lang w:val="en-US"/>
        </w:rPr>
        <w:t>2</w:t>
      </w:r>
      <w:r w:rsidR="000A2422" w:rsidRPr="00126354">
        <w:rPr>
          <w:rStyle w:val="CETCaptionCarattere"/>
          <w:i/>
          <w:lang w:val="en-US"/>
        </w:rPr>
        <w:t xml:space="preserve"> (</w:t>
      </w:r>
      <w:r w:rsidR="00261576" w:rsidRPr="00126354">
        <w:rPr>
          <w:rStyle w:val="CETCaptionCarattere"/>
          <w:i/>
          <w:lang w:val="en-US"/>
        </w:rPr>
        <w:t>b</w:t>
      </w:r>
      <w:r w:rsidR="000A2422" w:rsidRPr="00126354">
        <w:rPr>
          <w:rStyle w:val="CETCaptionCarattere"/>
          <w:i/>
          <w:lang w:val="en-US"/>
        </w:rPr>
        <w:t xml:space="preserve">), </w:t>
      </w:r>
      <w:r w:rsidR="009848A7" w:rsidRPr="00126354">
        <w:rPr>
          <w:rStyle w:val="CETCaptionCarattere"/>
          <w:i/>
          <w:lang w:val="en-US"/>
        </w:rPr>
        <w:t>Cu/C</w:t>
      </w:r>
      <w:r w:rsidR="009848A7" w:rsidRPr="00126354">
        <w:rPr>
          <w:rStyle w:val="CETCaptionCarattere"/>
          <w:i/>
          <w:vertAlign w:val="subscript"/>
          <w:lang w:val="en-US"/>
        </w:rPr>
        <w:t>3</w:t>
      </w:r>
      <w:r w:rsidR="009848A7" w:rsidRPr="00126354">
        <w:rPr>
          <w:rStyle w:val="CETCaptionCarattere"/>
          <w:i/>
          <w:lang w:val="en-US"/>
        </w:rPr>
        <w:t>N</w:t>
      </w:r>
      <w:r w:rsidR="009848A7" w:rsidRPr="00126354">
        <w:rPr>
          <w:rStyle w:val="CETCaptionCarattere"/>
          <w:i/>
          <w:vertAlign w:val="subscript"/>
          <w:lang w:val="en-US"/>
        </w:rPr>
        <w:t>4</w:t>
      </w:r>
      <w:r w:rsidR="00D33E97" w:rsidRPr="00126354">
        <w:rPr>
          <w:rStyle w:val="CETCaptionCarattere"/>
          <w:i/>
          <w:lang w:val="en-US"/>
        </w:rPr>
        <w:t xml:space="preserve"> (c),</w:t>
      </w:r>
      <w:r w:rsidR="009848A7" w:rsidRPr="00126354">
        <w:rPr>
          <w:rStyle w:val="CETCaptionCarattere"/>
          <w:i/>
          <w:lang w:val="en-US"/>
        </w:rPr>
        <w:t xml:space="preserve"> and Ni/ C</w:t>
      </w:r>
      <w:r w:rsidR="009848A7" w:rsidRPr="00126354">
        <w:rPr>
          <w:rStyle w:val="CETCaptionCarattere"/>
          <w:i/>
          <w:vertAlign w:val="subscript"/>
          <w:lang w:val="en-US"/>
        </w:rPr>
        <w:t>3</w:t>
      </w:r>
      <w:r w:rsidR="009848A7" w:rsidRPr="00126354">
        <w:rPr>
          <w:rStyle w:val="CETCaptionCarattere"/>
          <w:i/>
          <w:lang w:val="en-US"/>
        </w:rPr>
        <w:t>N</w:t>
      </w:r>
      <w:r w:rsidR="009848A7" w:rsidRPr="00126354">
        <w:rPr>
          <w:rStyle w:val="CETCaptionCarattere"/>
          <w:i/>
          <w:vertAlign w:val="subscript"/>
          <w:lang w:val="en-US"/>
        </w:rPr>
        <w:t>4</w:t>
      </w:r>
      <w:r w:rsidR="009848A7" w:rsidRPr="00126354">
        <w:rPr>
          <w:rStyle w:val="CETCaptionCarattere"/>
          <w:i/>
          <w:lang w:val="en-US"/>
        </w:rPr>
        <w:t xml:space="preserve"> (d)</w:t>
      </w:r>
      <w:r w:rsidR="00135E8C">
        <w:rPr>
          <w:rStyle w:val="CETCaptionCarattere"/>
          <w:i/>
          <w:lang w:val="en-US"/>
        </w:rPr>
        <w:t>,</w:t>
      </w:r>
      <w:r w:rsidR="00126354" w:rsidRPr="00126354">
        <w:rPr>
          <w:rStyle w:val="CETCaptionCarattere"/>
          <w:i/>
          <w:lang w:val="en-US"/>
        </w:rPr>
        <w:t xml:space="preserve"> </w:t>
      </w:r>
      <w:r w:rsidR="00135E8C">
        <w:rPr>
          <w:rStyle w:val="CETCaptionCarattere"/>
          <w:i/>
          <w:lang w:val="en-US"/>
        </w:rPr>
        <w:t>a</w:t>
      </w:r>
      <w:r w:rsidR="00126354" w:rsidRPr="00126354">
        <w:rPr>
          <w:rStyle w:val="CETCaptionCarattere"/>
          <w:i/>
          <w:lang w:val="en-US"/>
        </w:rPr>
        <w:t>bsorbance spectrum (e) and Tauc’s plot</w:t>
      </w:r>
      <w:r w:rsidR="00126354">
        <w:rPr>
          <w:rStyle w:val="CETCaptionCarattere"/>
          <w:i/>
          <w:lang w:val="en-US"/>
        </w:rPr>
        <w:t xml:space="preserve"> (f) of the samples</w:t>
      </w:r>
      <w:bookmarkEnd w:id="5"/>
    </w:p>
    <w:p w14:paraId="56F74B89" w14:textId="6B8B0EF2" w:rsidR="00304211" w:rsidRPr="002A588A" w:rsidRDefault="00D445D3" w:rsidP="002D05BE">
      <w:pPr>
        <w:pStyle w:val="CETBodytext"/>
        <w:rPr>
          <w:lang w:val="en-GB"/>
        </w:rPr>
      </w:pPr>
      <w:r>
        <w:rPr>
          <w:lang w:val="en-GB"/>
        </w:rPr>
        <w:fldChar w:fldCharType="begin"/>
      </w:r>
      <w:r>
        <w:rPr>
          <w:lang w:val="en-GB"/>
        </w:rPr>
        <w:instrText xml:space="preserve"> REF _Ref128903028 \h </w:instrText>
      </w:r>
      <w:r>
        <w:rPr>
          <w:lang w:val="en-GB"/>
        </w:rPr>
      </w:r>
      <w:r>
        <w:rPr>
          <w:lang w:val="en-GB"/>
        </w:rPr>
        <w:fldChar w:fldCharType="separate"/>
      </w:r>
      <w:r w:rsidR="007D2DE0">
        <w:t xml:space="preserve">Figure </w:t>
      </w:r>
      <w:r w:rsidR="007D2DE0">
        <w:rPr>
          <w:noProof/>
        </w:rPr>
        <w:t>3</w:t>
      </w:r>
      <w:r>
        <w:rPr>
          <w:lang w:val="en-GB"/>
        </w:rPr>
        <w:fldChar w:fldCharType="end"/>
      </w:r>
      <w:r>
        <w:rPr>
          <w:lang w:val="en-GB"/>
        </w:rPr>
        <w:t>a displa</w:t>
      </w:r>
      <w:r w:rsidR="0087100D">
        <w:rPr>
          <w:lang w:val="en-GB"/>
        </w:rPr>
        <w:t>y</w:t>
      </w:r>
      <w:r w:rsidR="00B549DC">
        <w:rPr>
          <w:lang w:val="en-GB"/>
        </w:rPr>
        <w:t>s</w:t>
      </w:r>
      <w:r w:rsidR="0087100D">
        <w:rPr>
          <w:lang w:val="en-GB"/>
        </w:rPr>
        <w:t xml:space="preserve"> the C 1</w:t>
      </w:r>
      <w:r w:rsidR="0087100D" w:rsidRPr="0087100D">
        <w:rPr>
          <w:i/>
          <w:iCs/>
          <w:lang w:val="en-GB"/>
        </w:rPr>
        <w:t>s</w:t>
      </w:r>
      <w:r w:rsidR="0087100D">
        <w:rPr>
          <w:lang w:val="en-GB"/>
        </w:rPr>
        <w:t xml:space="preserve"> </w:t>
      </w:r>
      <w:r w:rsidR="008B6645">
        <w:rPr>
          <w:lang w:val="en-GB"/>
        </w:rPr>
        <w:t>XPS peak</w:t>
      </w:r>
      <w:r w:rsidR="00B549DC">
        <w:rPr>
          <w:lang w:val="en-GB"/>
        </w:rPr>
        <w:t>,</w:t>
      </w:r>
      <w:r w:rsidR="008B6645">
        <w:rPr>
          <w:lang w:val="en-GB"/>
        </w:rPr>
        <w:t xml:space="preserve"> </w:t>
      </w:r>
      <w:r w:rsidR="00317D8F">
        <w:rPr>
          <w:lang w:val="en-GB"/>
        </w:rPr>
        <w:t xml:space="preserve">and all samples </w:t>
      </w:r>
      <w:r w:rsidR="00B32E2F">
        <w:rPr>
          <w:lang w:val="en-GB"/>
        </w:rPr>
        <w:t>ha</w:t>
      </w:r>
      <w:r w:rsidR="003E4B04">
        <w:rPr>
          <w:lang w:val="en-GB"/>
        </w:rPr>
        <w:t>ve</w:t>
      </w:r>
      <w:r w:rsidR="00B32E2F">
        <w:rPr>
          <w:lang w:val="en-GB"/>
        </w:rPr>
        <w:t xml:space="preserve"> contributions from the C-C </w:t>
      </w:r>
      <w:r w:rsidR="00ED298F">
        <w:rPr>
          <w:lang w:val="en-GB"/>
        </w:rPr>
        <w:t xml:space="preserve">and C-OH </w:t>
      </w:r>
      <w:r w:rsidR="00B32E2F">
        <w:rPr>
          <w:lang w:val="en-GB"/>
        </w:rPr>
        <w:t>si</w:t>
      </w:r>
      <w:r w:rsidR="00CF4EA1">
        <w:rPr>
          <w:lang w:val="en-GB"/>
        </w:rPr>
        <w:t>gnal</w:t>
      </w:r>
      <w:r w:rsidR="00ED298F">
        <w:rPr>
          <w:lang w:val="en-GB"/>
        </w:rPr>
        <w:t>s</w:t>
      </w:r>
      <w:r w:rsidR="0045547D">
        <w:rPr>
          <w:lang w:val="en-GB"/>
        </w:rPr>
        <w:t>. C</w:t>
      </w:r>
      <w:r w:rsidR="0045547D" w:rsidRPr="0045547D">
        <w:rPr>
          <w:vertAlign w:val="subscript"/>
          <w:lang w:val="en-GB"/>
        </w:rPr>
        <w:t>3</w:t>
      </w:r>
      <w:r w:rsidR="0045547D">
        <w:rPr>
          <w:lang w:val="en-GB"/>
        </w:rPr>
        <w:t>N</w:t>
      </w:r>
      <w:r w:rsidR="0045547D" w:rsidRPr="0045547D">
        <w:rPr>
          <w:vertAlign w:val="subscript"/>
          <w:lang w:val="en-GB"/>
        </w:rPr>
        <w:t>4</w:t>
      </w:r>
      <w:r w:rsidR="00AA2C4C">
        <w:rPr>
          <w:lang w:val="en-GB"/>
        </w:rPr>
        <w:t xml:space="preserve"> </w:t>
      </w:r>
      <w:r w:rsidR="0045547D">
        <w:rPr>
          <w:lang w:val="en-GB"/>
        </w:rPr>
        <w:t>samples ha</w:t>
      </w:r>
      <w:r w:rsidR="003E4B04">
        <w:rPr>
          <w:lang w:val="en-GB"/>
        </w:rPr>
        <w:t>ve</w:t>
      </w:r>
      <w:r w:rsidR="00C65631">
        <w:rPr>
          <w:lang w:val="en-GB"/>
        </w:rPr>
        <w:t xml:space="preserve"> a</w:t>
      </w:r>
      <w:r w:rsidR="0045547D">
        <w:rPr>
          <w:lang w:val="en-GB"/>
        </w:rPr>
        <w:t xml:space="preserve"> </w:t>
      </w:r>
      <w:r w:rsidR="008D799E">
        <w:rPr>
          <w:lang w:val="en-GB"/>
        </w:rPr>
        <w:t>peak related to aromatic rings (N-C=N)</w:t>
      </w:r>
      <w:r w:rsidR="00595283">
        <w:rPr>
          <w:lang w:val="en-GB"/>
        </w:rPr>
        <w:t xml:space="preserve">, confirmed from </w:t>
      </w:r>
      <w:r w:rsidR="00AA46BA">
        <w:rPr>
          <w:lang w:val="en-GB"/>
        </w:rPr>
        <w:t>N 1</w:t>
      </w:r>
      <w:r w:rsidR="00AA46BA" w:rsidRPr="00AA46BA">
        <w:rPr>
          <w:i/>
          <w:iCs/>
          <w:lang w:val="en-GB"/>
        </w:rPr>
        <w:t>s</w:t>
      </w:r>
      <w:r w:rsidR="00AA46BA">
        <w:rPr>
          <w:lang w:val="en-GB"/>
        </w:rPr>
        <w:t xml:space="preserve"> XPS spectrum (</w:t>
      </w:r>
      <w:r w:rsidR="00075875">
        <w:rPr>
          <w:lang w:val="en-GB"/>
        </w:rPr>
        <w:fldChar w:fldCharType="begin"/>
      </w:r>
      <w:r w:rsidR="00075875">
        <w:rPr>
          <w:lang w:val="en-GB"/>
        </w:rPr>
        <w:instrText xml:space="preserve"> REF _Ref128903028 \h </w:instrText>
      </w:r>
      <w:r w:rsidR="00075875">
        <w:rPr>
          <w:lang w:val="en-GB"/>
        </w:rPr>
      </w:r>
      <w:r w:rsidR="00075875">
        <w:rPr>
          <w:lang w:val="en-GB"/>
        </w:rPr>
        <w:fldChar w:fldCharType="separate"/>
      </w:r>
      <w:r w:rsidR="007D2DE0">
        <w:t xml:space="preserve">Figure </w:t>
      </w:r>
      <w:r w:rsidR="007D2DE0">
        <w:rPr>
          <w:noProof/>
        </w:rPr>
        <w:t>3</w:t>
      </w:r>
      <w:r w:rsidR="00075875">
        <w:rPr>
          <w:lang w:val="en-GB"/>
        </w:rPr>
        <w:fldChar w:fldCharType="end"/>
      </w:r>
      <w:r w:rsidR="00AA46BA">
        <w:rPr>
          <w:lang w:val="en-GB"/>
        </w:rPr>
        <w:t>b)</w:t>
      </w:r>
      <w:r w:rsidR="005006B0">
        <w:rPr>
          <w:lang w:val="en-GB"/>
        </w:rPr>
        <w:t xml:space="preserve">, </w:t>
      </w:r>
      <w:r w:rsidR="009A2438">
        <w:rPr>
          <w:lang w:val="en-GB"/>
        </w:rPr>
        <w:t xml:space="preserve">where was identified </w:t>
      </w:r>
      <w:r w:rsidR="004B38DA">
        <w:rPr>
          <w:lang w:val="en-GB"/>
        </w:rPr>
        <w:t xml:space="preserve">a </w:t>
      </w:r>
      <w:r w:rsidR="009A2438">
        <w:rPr>
          <w:lang w:val="en-GB"/>
        </w:rPr>
        <w:t xml:space="preserve">peak </w:t>
      </w:r>
      <w:r w:rsidR="00A06023">
        <w:rPr>
          <w:lang w:val="en-GB"/>
        </w:rPr>
        <w:t xml:space="preserve">corresponding to </w:t>
      </w:r>
      <w:r w:rsidR="000E04F9">
        <w:rPr>
          <w:lang w:val="en-GB"/>
        </w:rPr>
        <w:t>graphitic nitrogen</w:t>
      </w:r>
      <w:r w:rsidR="0077414D">
        <w:rPr>
          <w:lang w:val="en-GB"/>
        </w:rPr>
        <w:t xml:space="preserve"> </w:t>
      </w:r>
      <w:r w:rsidR="0077414D">
        <w:rPr>
          <w:lang w:val="en-GB"/>
        </w:rPr>
        <w:fldChar w:fldCharType="begin" w:fldLock="1"/>
      </w:r>
      <w:r w:rsidR="00462ED2">
        <w:rPr>
          <w:lang w:val="en-GB"/>
        </w:rPr>
        <w:instrText>ADDIN CSL_CITATION {"citationItems":[{"id":"ITEM-1","itemData":{"DOI":"10.1016/j.cej.2022.138030","ISSN":"13858947","abstract":"Copper (Cu) clusters are incorporated into graphitic carbon nitride (g-C3N4) via a two-step thermal polymerization process, forming a superior thin black g-C3N4 nanosheets based Cu cluster composite (Cu-g-C3N4) with highly efficient charge transfer characteristic and enhanced photocatalytic activity. The Cu–N bonding is formed through intercalation of copper atoms (using Cu (II) acetylacetonate as Cu source) into dicyandiamide-based supramolecular precursor via mechano-chemical reaction, and the Cu atoms and the N atoms are bonded together in two ways: between one Cu atom and four coordinated N atoms (that comes from adjacent carbon nitride layers) and between one central Cu atom and the three N atoms from identical carbon nitride layer forming an in-plane system. Enhanced ferromagnetism of black Cu-g-C3N4 nanosheets is found for the first time, opening the way to deepen the understanding of the material in novel undiscovered applications and to generate fundamental knowledge of ferromagnetism of Cu incorporated g-C3N4 composite material. This black Cu-g-C3N4 nanosheets composite reveals enhanced visible-light-responsive photocatalytic hydrogen generation (526 μmolg-1h−1) as well as excellent CO (5.0 μmolg-1h−1) and CH4 generation (2.4 μmolg-1h−1) efficiency. Moreover, outstanding conversion rate (90.4 %) and high selectivity to phenol (99.1 %) are obtained in visible-light-driven benzene oxidation application.","author":[{"dropping-particle":"","family":"Zhang","given":"Xiao","non-dropping-particle":"","parse-names":false,"suffix":""},{"dropping-particle":"","family":"Zhang","given":"Xiao Ran","non-dropping-particle":"","parse-names":false,"suffix":""},{"dropping-particle":"","family":"Yang","given":"Ping","non-dropping-particle":"","parse-names":false,"suffix":""},{"dropping-particle":"","family":"Chen","given":"Hsueh-Shih","non-dropping-particle":"","parse-names":false,"suffix":""},{"dropping-particle":"","family":"Jiang","given":"San Ping","non-dropping-particle":"","parse-names":false,"suffix":""}],"container-title":"Chemical Engineering Journal","id":"ITEM-1","issue":"P2","issued":{"date-parts":[["2022"]]},"page":"138030","publisher":"Elsevier B.V.","title":"Black magnetic Cu-g-C3N4 nanosheets towards efficient photocatalytic H2 generation and CO2/benzene conversion","type":"article-journal","volume":"450"},"uris":["http://www.mendeley.com/documents/?uuid=13e5cbd1-dd73-4398-a42c-a38fbaad5859"]}],"mendeley":{"formattedCitation":"(Zhang et al., 2022)","plainTextFormattedCitation":"(Zhang et al., 2022)","previouslyFormattedCitation":"(Zhang et al., 2022)"},"properties":{"noteIndex":0},"schema":"https://github.com/citation-style-language/schema/raw/master/csl-citation.json"}</w:instrText>
      </w:r>
      <w:r w:rsidR="0077414D">
        <w:rPr>
          <w:lang w:val="en-GB"/>
        </w:rPr>
        <w:fldChar w:fldCharType="separate"/>
      </w:r>
      <w:r w:rsidR="00D33139" w:rsidRPr="00D33139">
        <w:rPr>
          <w:noProof/>
          <w:lang w:val="en-GB"/>
        </w:rPr>
        <w:t>(Zhang et al., 2022)</w:t>
      </w:r>
      <w:r w:rsidR="0077414D">
        <w:rPr>
          <w:lang w:val="en-GB"/>
        </w:rPr>
        <w:fldChar w:fldCharType="end"/>
      </w:r>
      <w:r w:rsidR="003D7473">
        <w:rPr>
          <w:lang w:val="en-GB"/>
        </w:rPr>
        <w:t xml:space="preserve">. </w:t>
      </w:r>
      <w:r w:rsidR="00AD46C7">
        <w:rPr>
          <w:lang w:val="en-GB"/>
        </w:rPr>
        <w:t xml:space="preserve">The </w:t>
      </w:r>
      <w:r w:rsidR="00502400">
        <w:rPr>
          <w:lang w:val="en-GB"/>
        </w:rPr>
        <w:t>Cu 2</w:t>
      </w:r>
      <w:r w:rsidR="00502400" w:rsidRPr="00F43DB6">
        <w:rPr>
          <w:i/>
          <w:iCs/>
          <w:lang w:val="en-GB"/>
        </w:rPr>
        <w:t>p</w:t>
      </w:r>
      <w:r w:rsidR="00502400">
        <w:rPr>
          <w:lang w:val="en-GB"/>
        </w:rPr>
        <w:t xml:space="preserve"> </w:t>
      </w:r>
      <w:r w:rsidR="00547049">
        <w:rPr>
          <w:lang w:val="en-GB"/>
        </w:rPr>
        <w:t>XPS spectra</w:t>
      </w:r>
      <w:r w:rsidR="00E56405">
        <w:rPr>
          <w:lang w:val="en-GB"/>
        </w:rPr>
        <w:t xml:space="preserve"> (</w:t>
      </w:r>
      <w:r w:rsidR="00E56405">
        <w:rPr>
          <w:lang w:val="en-GB"/>
        </w:rPr>
        <w:fldChar w:fldCharType="begin"/>
      </w:r>
      <w:r w:rsidR="00E56405">
        <w:rPr>
          <w:lang w:val="en-GB"/>
        </w:rPr>
        <w:instrText xml:space="preserve"> REF _Ref128903028 \h </w:instrText>
      </w:r>
      <w:r w:rsidR="00E56405">
        <w:rPr>
          <w:lang w:val="en-GB"/>
        </w:rPr>
      </w:r>
      <w:r w:rsidR="00E56405">
        <w:rPr>
          <w:lang w:val="en-GB"/>
        </w:rPr>
        <w:fldChar w:fldCharType="separate"/>
      </w:r>
      <w:r w:rsidR="007D2DE0">
        <w:t xml:space="preserve">Figure </w:t>
      </w:r>
      <w:r w:rsidR="007D2DE0">
        <w:rPr>
          <w:noProof/>
        </w:rPr>
        <w:t>3</w:t>
      </w:r>
      <w:r w:rsidR="00E56405">
        <w:rPr>
          <w:lang w:val="en-GB"/>
        </w:rPr>
        <w:fldChar w:fldCharType="end"/>
      </w:r>
      <w:r w:rsidR="00547049">
        <w:rPr>
          <w:lang w:val="en-GB"/>
        </w:rPr>
        <w:t>c</w:t>
      </w:r>
      <w:r w:rsidR="00E56405">
        <w:rPr>
          <w:lang w:val="en-GB"/>
        </w:rPr>
        <w:t>)</w:t>
      </w:r>
      <w:r w:rsidR="0011774A">
        <w:rPr>
          <w:lang w:val="en-GB"/>
        </w:rPr>
        <w:t xml:space="preserve"> show the cha</w:t>
      </w:r>
      <w:r w:rsidR="006B056A">
        <w:rPr>
          <w:lang w:val="en-GB"/>
        </w:rPr>
        <w:t xml:space="preserve">racteristic peaks of </w:t>
      </w:r>
      <w:r w:rsidR="000475E8">
        <w:rPr>
          <w:lang w:val="en-GB"/>
        </w:rPr>
        <w:t>reduced copper species (</w:t>
      </w:r>
      <w:r w:rsidR="006B056A">
        <w:rPr>
          <w:lang w:val="en-GB"/>
        </w:rPr>
        <w:t>Cu</w:t>
      </w:r>
      <w:r w:rsidR="006B056A" w:rsidRPr="006B056A">
        <w:rPr>
          <w:vertAlign w:val="superscript"/>
          <w:lang w:val="en-GB"/>
        </w:rPr>
        <w:t>0</w:t>
      </w:r>
      <w:r w:rsidR="006B056A">
        <w:rPr>
          <w:lang w:val="en-GB"/>
        </w:rPr>
        <w:t xml:space="preserve"> </w:t>
      </w:r>
      <w:r w:rsidR="000475E8">
        <w:rPr>
          <w:lang w:val="en-GB"/>
        </w:rPr>
        <w:t xml:space="preserve">or </w:t>
      </w:r>
      <w:r w:rsidR="006B056A">
        <w:rPr>
          <w:lang w:val="en-GB"/>
        </w:rPr>
        <w:t>Cu</w:t>
      </w:r>
      <w:r w:rsidR="006B056A" w:rsidRPr="00682368">
        <w:rPr>
          <w:vertAlign w:val="superscript"/>
          <w:lang w:val="en-GB"/>
        </w:rPr>
        <w:t>+</w:t>
      </w:r>
      <w:r w:rsidR="006B056A">
        <w:rPr>
          <w:lang w:val="en-GB"/>
        </w:rPr>
        <w:t xml:space="preserve"> </w:t>
      </w:r>
      <w:r w:rsidR="000475E8">
        <w:rPr>
          <w:lang w:val="en-GB"/>
        </w:rPr>
        <w:t xml:space="preserve">at </w:t>
      </w:r>
      <w:r w:rsidR="00726555">
        <w:rPr>
          <w:lang w:val="en-GB"/>
        </w:rPr>
        <w:t>932.6 eV</w:t>
      </w:r>
      <w:r w:rsidR="009B4F84">
        <w:rPr>
          <w:lang w:val="en-GB"/>
        </w:rPr>
        <w:t>)</w:t>
      </w:r>
      <w:r w:rsidR="00B549DC">
        <w:rPr>
          <w:lang w:val="en-GB"/>
        </w:rPr>
        <w:t>,</w:t>
      </w:r>
      <w:r w:rsidR="00847BDA">
        <w:rPr>
          <w:lang w:val="en-GB"/>
        </w:rPr>
        <w:t xml:space="preserve"> and </w:t>
      </w:r>
      <w:r w:rsidR="00A0584B">
        <w:rPr>
          <w:lang w:val="en-GB"/>
        </w:rPr>
        <w:t>Cu</w:t>
      </w:r>
      <w:r w:rsidR="00A0584B" w:rsidRPr="00A0584B">
        <w:rPr>
          <w:vertAlign w:val="superscript"/>
          <w:lang w:val="en-GB"/>
        </w:rPr>
        <w:t>2+</w:t>
      </w:r>
      <w:r w:rsidR="00A0584B">
        <w:rPr>
          <w:lang w:val="en-GB"/>
        </w:rPr>
        <w:t xml:space="preserve"> </w:t>
      </w:r>
      <w:r w:rsidR="000475E8">
        <w:rPr>
          <w:lang w:val="en-GB"/>
        </w:rPr>
        <w:t xml:space="preserve">at </w:t>
      </w:r>
      <w:r w:rsidR="00A0584B">
        <w:rPr>
          <w:lang w:val="en-GB"/>
        </w:rPr>
        <w:t>9</w:t>
      </w:r>
      <w:r w:rsidR="000475E8">
        <w:rPr>
          <w:lang w:val="en-GB"/>
        </w:rPr>
        <w:t>34.2</w:t>
      </w:r>
      <w:r w:rsidR="00A0584B">
        <w:rPr>
          <w:lang w:val="en-GB"/>
        </w:rPr>
        <w:t xml:space="preserve"> eV</w:t>
      </w:r>
      <w:r w:rsidR="00502AB6">
        <w:rPr>
          <w:lang w:val="en-GB"/>
        </w:rPr>
        <w:t xml:space="preserve"> </w:t>
      </w:r>
      <w:r w:rsidR="004F7958">
        <w:rPr>
          <w:lang w:val="en-GB"/>
        </w:rPr>
        <w:t xml:space="preserve">in both </w:t>
      </w:r>
      <w:r w:rsidR="00502AB6">
        <w:rPr>
          <w:lang w:val="en-GB"/>
        </w:rPr>
        <w:t>Cu/TiO</w:t>
      </w:r>
      <w:r w:rsidR="00502AB6" w:rsidRPr="00502AB6">
        <w:rPr>
          <w:vertAlign w:val="subscript"/>
          <w:lang w:val="en-GB"/>
        </w:rPr>
        <w:t>2</w:t>
      </w:r>
      <w:r w:rsidR="00502AB6">
        <w:rPr>
          <w:lang w:val="en-GB"/>
        </w:rPr>
        <w:t xml:space="preserve"> </w:t>
      </w:r>
      <w:r w:rsidR="00063626">
        <w:rPr>
          <w:lang w:val="en-GB"/>
        </w:rPr>
        <w:t>and Cu/C</w:t>
      </w:r>
      <w:r w:rsidR="00063626" w:rsidRPr="00063626">
        <w:rPr>
          <w:vertAlign w:val="subscript"/>
          <w:lang w:val="en-GB"/>
        </w:rPr>
        <w:t>3</w:t>
      </w:r>
      <w:r w:rsidR="00063626">
        <w:rPr>
          <w:lang w:val="en-GB"/>
        </w:rPr>
        <w:t>N</w:t>
      </w:r>
      <w:r w:rsidR="00063626" w:rsidRPr="00063626">
        <w:rPr>
          <w:vertAlign w:val="subscript"/>
          <w:lang w:val="en-GB"/>
        </w:rPr>
        <w:t>4</w:t>
      </w:r>
      <w:r w:rsidR="00063626">
        <w:rPr>
          <w:lang w:val="en-GB"/>
        </w:rPr>
        <w:t xml:space="preserve"> photocatalysts</w:t>
      </w:r>
      <w:r w:rsidR="00FA2017">
        <w:rPr>
          <w:lang w:val="en-GB"/>
        </w:rPr>
        <w:t xml:space="preserve"> </w:t>
      </w:r>
      <w:r w:rsidR="00F853F5">
        <w:rPr>
          <w:lang w:val="en-GB"/>
        </w:rPr>
        <w:fldChar w:fldCharType="begin" w:fldLock="1"/>
      </w:r>
      <w:r w:rsidR="00462ED2">
        <w:rPr>
          <w:lang w:val="en-GB"/>
        </w:rPr>
        <w:instrText>ADDIN CSL_CITATION {"citationItems":[{"id":"ITEM-1","itemData":{"DOI":"10.1016/j.cattod.2020.05.032","ISSN":"09205861","abstract":"In this study, we assessed the effect of the incorporation of multi-walled carbon nanotubes (MWCNT) on a TiO2 support containing different active metals to obtain Metal/TiO2-MWCNT photocatalytic systems. The materials prepared in this work were characterized by ICP-OES, TEM, EDX, XRD, PL, UV–vis, and nitrogen physisorption techniques. Among those investigated metals, Cu was shown to be the most promising for the present application. The assessment of the photocatalytic performance of Cu/TiO2-MWCNT with various Cu contents revealed that the catalytic activity depends on the Cu loading and the photocatalyst with 1 wt.% of Cu displayed the best performance among investigated. The incorporation of MWCNT in the support enhanced the photocatalytic activity towards the production of H2 under visible and UV–vis light irradiation at room temperature.","author":[{"dropping-particle":"","family":"Fernández-Catalá","given":"Javier","non-dropping-particle":"","parse-names":false,"suffix":""},{"dropping-particle":"","family":"Navlani-García","given":"Miriam","non-dropping-particle":"","parse-names":false,"suffix":""},{"dropping-particle":"","family":"Verma","given":"Priyanka","non-dropping-particle":"","parse-names":false,"suffix":""},{"dropping-particle":"","family":"Berenguer-Murcia","given":"Ángel","non-dropping-particle":"","parse-names":false,"suffix":""},{"dropping-particle":"","family":"Mori","given":"Kohsuke","non-dropping-particle":"","parse-names":false,"suffix":""},{"dropping-particle":"","family":"Kuwahara","given":"Yasutaka","non-dropping-particle":"","parse-names":false,"suffix":""},{"dropping-particle":"","family":"Yamashita","given":"Hiromi","non-dropping-particle":"","parse-names":false,"suffix":""},{"dropping-particle":"","family":"Cazorla-Amorós","given":"Diego","non-dropping-particle":"","parse-names":false,"suffix":""}],"container-title":"Catalysis Today","id":"ITEM-1","issued":{"date-parts":[["2021"]]},"page":"182-189","title":"Photocatalytically-driven H&lt;sub&gt;2&lt;/sub&gt; production over Cu/TiO&lt;sub&gt;2&lt;/sub&gt; catalysts decorated with multi-walled carbon nanotubes","type":"article-journal","volume":"364"},"uris":["http://www.mendeley.com/documents/?uuid=1831b829-8938-40d3-96f9-602e40cb00a8"]}],"mendeley":{"formattedCitation":"(Fernández-Catalá et al., 2021)","plainTextFormattedCitation":"(Fernández-Catalá et al., 2021)","previouslyFormattedCitation":"(Fernández-Catalá et al., 2021)"},"properties":{"noteIndex":0},"schema":"https://github.com/citation-style-language/schema/raw/master/csl-citation.json"}</w:instrText>
      </w:r>
      <w:r w:rsidR="00F853F5">
        <w:rPr>
          <w:lang w:val="en-GB"/>
        </w:rPr>
        <w:fldChar w:fldCharType="separate"/>
      </w:r>
      <w:r w:rsidR="00D33139" w:rsidRPr="00D33139">
        <w:rPr>
          <w:noProof/>
          <w:lang w:val="en-GB"/>
        </w:rPr>
        <w:t>(Fernández-Catalá et al., 2021)</w:t>
      </w:r>
      <w:r w:rsidR="00F853F5">
        <w:rPr>
          <w:lang w:val="en-GB"/>
        </w:rPr>
        <w:fldChar w:fldCharType="end"/>
      </w:r>
      <w:r w:rsidR="00F36FB3">
        <w:rPr>
          <w:lang w:val="en-GB"/>
        </w:rPr>
        <w:t>. These results</w:t>
      </w:r>
      <w:r w:rsidR="000E29D9">
        <w:rPr>
          <w:lang w:val="en-GB"/>
        </w:rPr>
        <w:t xml:space="preserve"> indicate</w:t>
      </w:r>
      <w:r w:rsidR="000F4F3B">
        <w:rPr>
          <w:lang w:val="en-GB"/>
        </w:rPr>
        <w:t xml:space="preserve"> </w:t>
      </w:r>
      <w:r w:rsidR="00525260">
        <w:rPr>
          <w:lang w:val="en-GB"/>
        </w:rPr>
        <w:t xml:space="preserve">that the </w:t>
      </w:r>
      <w:r w:rsidR="002A588A">
        <w:rPr>
          <w:lang w:val="en-GB"/>
        </w:rPr>
        <w:t>Cu/</w:t>
      </w:r>
      <w:r w:rsidR="0073522A">
        <w:rPr>
          <w:lang w:val="en-GB"/>
        </w:rPr>
        <w:t>TiO</w:t>
      </w:r>
      <w:r w:rsidR="0073522A" w:rsidRPr="002A588A">
        <w:rPr>
          <w:vertAlign w:val="subscript"/>
          <w:lang w:val="en-GB"/>
        </w:rPr>
        <w:t>2</w:t>
      </w:r>
      <w:r w:rsidR="002A588A">
        <w:rPr>
          <w:lang w:val="en-GB"/>
        </w:rPr>
        <w:t xml:space="preserve"> sample h</w:t>
      </w:r>
      <w:r w:rsidR="00854B22">
        <w:rPr>
          <w:lang w:val="en-GB"/>
        </w:rPr>
        <w:t>a</w:t>
      </w:r>
      <w:r w:rsidR="002A588A">
        <w:rPr>
          <w:lang w:val="en-GB"/>
        </w:rPr>
        <w:t xml:space="preserve">s the existence of more </w:t>
      </w:r>
      <w:r w:rsidR="008006F4">
        <w:rPr>
          <w:lang w:val="en-GB"/>
        </w:rPr>
        <w:t xml:space="preserve">stabilized </w:t>
      </w:r>
      <w:r w:rsidR="000475E8">
        <w:rPr>
          <w:lang w:val="en-GB"/>
        </w:rPr>
        <w:t xml:space="preserve">reduced </w:t>
      </w:r>
      <w:r w:rsidR="008006F4">
        <w:rPr>
          <w:lang w:val="en-GB"/>
        </w:rPr>
        <w:t xml:space="preserve">Cu </w:t>
      </w:r>
      <w:r w:rsidR="0062367A">
        <w:rPr>
          <w:lang w:val="en-GB"/>
        </w:rPr>
        <w:t>(Cu</w:t>
      </w:r>
      <w:r w:rsidR="0062367A" w:rsidRPr="0062367A">
        <w:rPr>
          <w:vertAlign w:val="superscript"/>
          <w:lang w:val="en-GB"/>
        </w:rPr>
        <w:t>0</w:t>
      </w:r>
      <w:r w:rsidR="000475E8">
        <w:rPr>
          <w:lang w:val="en-GB"/>
        </w:rPr>
        <w:t xml:space="preserve"> or </w:t>
      </w:r>
      <w:r w:rsidR="00EF217E">
        <w:rPr>
          <w:lang w:val="en-GB"/>
        </w:rPr>
        <w:t>Cu</w:t>
      </w:r>
      <w:r w:rsidR="00EF217E" w:rsidRPr="00EF217E">
        <w:rPr>
          <w:vertAlign w:val="superscript"/>
          <w:lang w:val="en-GB"/>
        </w:rPr>
        <w:t>+</w:t>
      </w:r>
      <w:r w:rsidR="00EF217E">
        <w:rPr>
          <w:lang w:val="en-GB"/>
        </w:rPr>
        <w:t>)</w:t>
      </w:r>
      <w:r w:rsidR="001153A4">
        <w:rPr>
          <w:lang w:val="en-GB"/>
        </w:rPr>
        <w:t>, while Cu/C</w:t>
      </w:r>
      <w:r w:rsidR="001153A4" w:rsidRPr="001153A4">
        <w:rPr>
          <w:vertAlign w:val="subscript"/>
          <w:lang w:val="en-GB"/>
        </w:rPr>
        <w:t>3</w:t>
      </w:r>
      <w:r w:rsidR="001153A4">
        <w:rPr>
          <w:lang w:val="en-GB"/>
        </w:rPr>
        <w:t>N</w:t>
      </w:r>
      <w:r w:rsidR="001153A4" w:rsidRPr="001153A4">
        <w:rPr>
          <w:vertAlign w:val="subscript"/>
          <w:lang w:val="en-GB"/>
        </w:rPr>
        <w:t>4</w:t>
      </w:r>
      <w:r w:rsidR="001153A4">
        <w:rPr>
          <w:lang w:val="en-GB"/>
        </w:rPr>
        <w:t xml:space="preserve"> sample </w:t>
      </w:r>
      <w:r w:rsidR="00DE44A9">
        <w:rPr>
          <w:lang w:val="en-GB"/>
        </w:rPr>
        <w:t>presented</w:t>
      </w:r>
      <w:r w:rsidR="001153A4">
        <w:rPr>
          <w:lang w:val="en-GB"/>
        </w:rPr>
        <w:t xml:space="preserve"> more Cu</w:t>
      </w:r>
      <w:r w:rsidR="001153A4" w:rsidRPr="001153A4">
        <w:rPr>
          <w:vertAlign w:val="superscript"/>
          <w:lang w:val="en-GB"/>
        </w:rPr>
        <w:t>2+</w:t>
      </w:r>
      <w:r w:rsidR="0068736C">
        <w:rPr>
          <w:lang w:val="en-GB"/>
        </w:rPr>
        <w:t>.</w:t>
      </w:r>
      <w:r w:rsidR="007B17B2">
        <w:rPr>
          <w:lang w:val="en-GB"/>
        </w:rPr>
        <w:t xml:space="preserve"> </w:t>
      </w:r>
      <w:r w:rsidR="00511A54">
        <w:rPr>
          <w:lang w:val="en-GB"/>
        </w:rPr>
        <w:t>The XPS spectra of O 1</w:t>
      </w:r>
      <w:r w:rsidR="00511A54" w:rsidRPr="00511A54">
        <w:rPr>
          <w:i/>
          <w:iCs/>
          <w:lang w:val="en-GB"/>
        </w:rPr>
        <w:t>s</w:t>
      </w:r>
      <w:r w:rsidR="00511A54">
        <w:rPr>
          <w:lang w:val="en-GB"/>
        </w:rPr>
        <w:t xml:space="preserve"> (</w:t>
      </w:r>
      <w:r w:rsidR="00511A54">
        <w:rPr>
          <w:lang w:val="en-GB"/>
        </w:rPr>
        <w:fldChar w:fldCharType="begin"/>
      </w:r>
      <w:r w:rsidR="00511A54">
        <w:rPr>
          <w:lang w:val="en-GB"/>
        </w:rPr>
        <w:instrText xml:space="preserve"> REF _Ref128903028 \h </w:instrText>
      </w:r>
      <w:r w:rsidR="00511A54">
        <w:rPr>
          <w:lang w:val="en-GB"/>
        </w:rPr>
      </w:r>
      <w:r w:rsidR="00511A54">
        <w:rPr>
          <w:lang w:val="en-GB"/>
        </w:rPr>
        <w:fldChar w:fldCharType="separate"/>
      </w:r>
      <w:r w:rsidR="007D2DE0">
        <w:t xml:space="preserve">Figure </w:t>
      </w:r>
      <w:r w:rsidR="007D2DE0">
        <w:rPr>
          <w:noProof/>
        </w:rPr>
        <w:t>3</w:t>
      </w:r>
      <w:r w:rsidR="00511A54">
        <w:rPr>
          <w:lang w:val="en-GB"/>
        </w:rPr>
        <w:fldChar w:fldCharType="end"/>
      </w:r>
      <w:r w:rsidR="00511A54">
        <w:rPr>
          <w:lang w:val="en-GB"/>
        </w:rPr>
        <w:t>d) ha</w:t>
      </w:r>
      <w:r w:rsidR="0083389F">
        <w:rPr>
          <w:lang w:val="en-GB"/>
        </w:rPr>
        <w:t>ve</w:t>
      </w:r>
      <w:r w:rsidR="00511A54">
        <w:rPr>
          <w:lang w:val="en-GB"/>
        </w:rPr>
        <w:t xml:space="preserve"> </w:t>
      </w:r>
      <w:r w:rsidR="00B708A5">
        <w:rPr>
          <w:lang w:val="en-GB"/>
        </w:rPr>
        <w:t>peak</w:t>
      </w:r>
      <w:r w:rsidR="000A27E1">
        <w:rPr>
          <w:lang w:val="en-GB"/>
        </w:rPr>
        <w:t>s</w:t>
      </w:r>
      <w:r w:rsidR="00B708A5">
        <w:rPr>
          <w:lang w:val="en-GB"/>
        </w:rPr>
        <w:t xml:space="preserve"> at </w:t>
      </w:r>
      <w:r w:rsidR="00633C0F">
        <w:rPr>
          <w:lang w:val="en-GB"/>
        </w:rPr>
        <w:t xml:space="preserve">531.6 and </w:t>
      </w:r>
      <w:r w:rsidR="00B708A5">
        <w:rPr>
          <w:lang w:val="en-GB"/>
        </w:rPr>
        <w:t>5</w:t>
      </w:r>
      <w:r w:rsidR="00077A77">
        <w:rPr>
          <w:lang w:val="en-GB"/>
        </w:rPr>
        <w:t>29</w:t>
      </w:r>
      <w:r w:rsidR="00B708A5">
        <w:rPr>
          <w:lang w:val="en-GB"/>
        </w:rPr>
        <w:t>.</w:t>
      </w:r>
      <w:r w:rsidR="00077A77">
        <w:rPr>
          <w:lang w:val="en-GB"/>
        </w:rPr>
        <w:t xml:space="preserve">8 </w:t>
      </w:r>
      <w:r w:rsidR="000A27E1">
        <w:rPr>
          <w:lang w:val="en-GB"/>
        </w:rPr>
        <w:t xml:space="preserve">eV </w:t>
      </w:r>
      <w:r w:rsidR="00704A9B">
        <w:rPr>
          <w:lang w:val="en-GB"/>
        </w:rPr>
        <w:t xml:space="preserve">are associated </w:t>
      </w:r>
      <w:r w:rsidR="0092744F">
        <w:rPr>
          <w:lang w:val="en-GB"/>
        </w:rPr>
        <w:t>with</w:t>
      </w:r>
      <w:r w:rsidR="00704A9B">
        <w:rPr>
          <w:lang w:val="en-GB"/>
        </w:rPr>
        <w:t xml:space="preserve"> the surface oxygen species of </w:t>
      </w:r>
      <w:r w:rsidR="0092744F">
        <w:rPr>
          <w:lang w:val="en-GB"/>
        </w:rPr>
        <w:t xml:space="preserve">the </w:t>
      </w:r>
      <w:r w:rsidR="00704A9B">
        <w:rPr>
          <w:lang w:val="en-GB"/>
        </w:rPr>
        <w:t xml:space="preserve">hydroxyl groups </w:t>
      </w:r>
      <w:r w:rsidR="00DB6911">
        <w:rPr>
          <w:lang w:val="en-GB"/>
        </w:rPr>
        <w:t xml:space="preserve">and lattice oxygen of </w:t>
      </w:r>
      <w:r w:rsidR="0092744F">
        <w:rPr>
          <w:lang w:val="en-GB"/>
        </w:rPr>
        <w:t xml:space="preserve">the </w:t>
      </w:r>
      <w:r w:rsidR="00DB6911">
        <w:rPr>
          <w:lang w:val="en-GB"/>
        </w:rPr>
        <w:t>TiO</w:t>
      </w:r>
      <w:r w:rsidR="00DB6911" w:rsidRPr="00DB6911">
        <w:rPr>
          <w:vertAlign w:val="subscript"/>
          <w:lang w:val="en-GB"/>
        </w:rPr>
        <w:t>2</w:t>
      </w:r>
      <w:r w:rsidR="00AE43E3">
        <w:rPr>
          <w:lang w:val="en-GB"/>
        </w:rPr>
        <w:t xml:space="preserve">, </w:t>
      </w:r>
      <w:r w:rsidR="000475E8">
        <w:rPr>
          <w:lang w:val="en-GB"/>
        </w:rPr>
        <w:t xml:space="preserve">respectively, </w:t>
      </w:r>
      <w:r w:rsidR="00AE43E3">
        <w:rPr>
          <w:lang w:val="en-GB"/>
        </w:rPr>
        <w:t>confirmed in</w:t>
      </w:r>
      <w:r w:rsidR="007339BC">
        <w:rPr>
          <w:lang w:val="en-GB"/>
        </w:rPr>
        <w:t xml:space="preserve"> the</w:t>
      </w:r>
      <w:r w:rsidR="00AE43E3">
        <w:rPr>
          <w:lang w:val="en-GB"/>
        </w:rPr>
        <w:t xml:space="preserve"> Ti 2</w:t>
      </w:r>
      <w:r w:rsidR="00AE43E3" w:rsidRPr="00AE43E3">
        <w:rPr>
          <w:i/>
          <w:iCs/>
          <w:lang w:val="en-GB"/>
        </w:rPr>
        <w:t>p</w:t>
      </w:r>
      <w:r w:rsidR="00AE43E3">
        <w:rPr>
          <w:lang w:val="en-GB"/>
        </w:rPr>
        <w:t xml:space="preserve"> s</w:t>
      </w:r>
      <w:r w:rsidR="00F04EC2">
        <w:rPr>
          <w:lang w:val="en-GB"/>
        </w:rPr>
        <w:t>pectra (</w:t>
      </w:r>
      <w:r w:rsidR="00F04EC2">
        <w:rPr>
          <w:lang w:val="en-GB"/>
        </w:rPr>
        <w:fldChar w:fldCharType="begin"/>
      </w:r>
      <w:r w:rsidR="00F04EC2">
        <w:rPr>
          <w:lang w:val="en-GB"/>
        </w:rPr>
        <w:instrText xml:space="preserve"> REF _Ref128903028 \h </w:instrText>
      </w:r>
      <w:r w:rsidR="00F04EC2">
        <w:rPr>
          <w:lang w:val="en-GB"/>
        </w:rPr>
      </w:r>
      <w:r w:rsidR="00F04EC2">
        <w:rPr>
          <w:lang w:val="en-GB"/>
        </w:rPr>
        <w:fldChar w:fldCharType="separate"/>
      </w:r>
      <w:r w:rsidR="007D2DE0">
        <w:t xml:space="preserve">Figure </w:t>
      </w:r>
      <w:r w:rsidR="007D2DE0">
        <w:rPr>
          <w:noProof/>
        </w:rPr>
        <w:t>3</w:t>
      </w:r>
      <w:r w:rsidR="00F04EC2">
        <w:rPr>
          <w:lang w:val="en-GB"/>
        </w:rPr>
        <w:fldChar w:fldCharType="end"/>
      </w:r>
      <w:r w:rsidR="00F04EC2">
        <w:rPr>
          <w:lang w:val="en-GB"/>
        </w:rPr>
        <w:t xml:space="preserve">f), at </w:t>
      </w:r>
      <w:r w:rsidR="0054425C">
        <w:rPr>
          <w:lang w:val="en-GB"/>
        </w:rPr>
        <w:t>458.7 eV</w:t>
      </w:r>
      <w:r w:rsidR="00375637">
        <w:rPr>
          <w:lang w:val="en-GB"/>
        </w:rPr>
        <w:t xml:space="preserve"> </w:t>
      </w:r>
      <w:r w:rsidR="00375637">
        <w:rPr>
          <w:lang w:val="en-GB"/>
        </w:rPr>
        <w:fldChar w:fldCharType="begin" w:fldLock="1"/>
      </w:r>
      <w:r w:rsidR="00462ED2">
        <w:rPr>
          <w:lang w:val="en-GB"/>
        </w:rPr>
        <w:instrText xml:space="preserve">ADDIN CSL_CITATION {"citationItems":[{"id":"ITEM-1","itemData":{"DOI":"10.1016/j.jcou.2021.101576","ISSN":"22129820","abstract":"The hydrogenation of CO2 to methanol over Cu-nanoparticles supported on TiO2 nanocrystals was studied at 30 bar pressure and 200-300 °C. 5 wt% Cu-TiO2 catalyst was synthesized by a modified hydrothermal method (Cu-TiO2HT) and by incipient wetness impregnation method (Cu-TiO2IMP). TEM analysis of the Cu-TiO2HT catalyst revealed the formation of Cu-nanoparticles (3-5 nm), while larger Cu particle sizes were observed on the Cu-TiO2IMP catalyst. The Cu-TiO2HT catalyst showed superior catalytic activity (CO2 conversion </w:instrText>
      </w:r>
      <w:r w:rsidR="00462ED2">
        <w:rPr>
          <w:rFonts w:ascii="Cambria Math" w:hAnsi="Cambria Math" w:cs="Cambria Math"/>
          <w:lang w:val="en-GB"/>
        </w:rPr>
        <w:instrText>∼</w:instrText>
      </w:r>
      <w:r w:rsidR="00462ED2">
        <w:rPr>
          <w:lang w:val="en-GB"/>
        </w:rPr>
        <w:instrText>9.4 %) and methanol selectivity (</w:instrText>
      </w:r>
      <w:r w:rsidR="00462ED2">
        <w:rPr>
          <w:rFonts w:ascii="Cambria Math" w:hAnsi="Cambria Math" w:cs="Cambria Math"/>
          <w:lang w:val="en-GB"/>
        </w:rPr>
        <w:instrText>∼</w:instrText>
      </w:r>
      <w:r w:rsidR="00462ED2">
        <w:rPr>
          <w:lang w:val="en-GB"/>
        </w:rPr>
        <w:instrText xml:space="preserve">96 %) at 200 </w:instrText>
      </w:r>
      <w:r w:rsidR="00462ED2">
        <w:rPr>
          <w:rFonts w:cs="Arial"/>
          <w:lang w:val="en-GB"/>
        </w:rPr>
        <w:instrText>°</w:instrText>
      </w:r>
      <w:r w:rsidR="00462ED2">
        <w:rPr>
          <w:lang w:val="en-GB"/>
        </w:rPr>
        <w:instrText>C and 30 bar pressure. Low CO2 conversions (</w:instrText>
      </w:r>
      <w:r w:rsidR="00462ED2">
        <w:rPr>
          <w:rFonts w:ascii="Cambria Math" w:hAnsi="Cambria Math" w:cs="Cambria Math"/>
          <w:lang w:val="en-GB"/>
        </w:rPr>
        <w:instrText>∼</w:instrText>
      </w:r>
      <w:r w:rsidR="00462ED2">
        <w:rPr>
          <w:lang w:val="en-GB"/>
        </w:rPr>
        <w:instrText>6%) and high CO selectivity (</w:instrText>
      </w:r>
      <w:r w:rsidR="00462ED2">
        <w:rPr>
          <w:rFonts w:ascii="Cambria Math" w:hAnsi="Cambria Math" w:cs="Cambria Math"/>
          <w:lang w:val="en-GB"/>
        </w:rPr>
        <w:instrText>∼</w:instrText>
      </w:r>
      <w:r w:rsidR="00462ED2">
        <w:rPr>
          <w:lang w:val="en-GB"/>
        </w:rPr>
        <w:instrText>40 %) was obtained on the Cu-TiO2IMP catalyst. Density functional theory (DFT) calculations indicated the CO2 activation to methanol to proceed via a reverse water gas shift pathway with a significantly lower (93 kJ/mol) CO2 activation barrier on the Cu-nanoparticles, relative to the larger Cu particles (127 kJ/mol). In addition, the higher selectivity towards methanol over the Cu-TiO2HT catalyst was attributed to the higher CO and HCO stability on the Cu nanoparticles. Time of stream (TOS) study of the Cu-TiO2 catalysts showed no significant deactivation even after 150 h with molar feed ratio 1:3:1 (CO2:H2: N2) at 200 °C.","author":[{"dropping-particle":"","family":"Sharma","given":"Sachin Kumar","non-dropping-particle":"","parse-names":false,"suffix":""},{"dropping-particle":"","family":"Banerjee","given":"Arghya","non-dropping-particle":"","parse-names":false,"suffix":""},{"dropping-particle":"","family":"Paul","given":"Bappi","non-dropping-particle":"","parse-names":false,"suffix":""},{"dropping-particle":"","family":"Poddar","given":"Mukesh Kumar","non-dropping-particle":"","parse-names":false,"suffix":""},{"dropping-particle":"","family":"Sasaki","given":"Takehiko","non-dropping-particle":"","parse-names":false,"suffix":""},{"dropping-particle":"","family":"Samanta","given":"Chanchal","non-dropping-particle":"","parse-names":false,"suffix":""},{"dropping-particle":"","family":"Bal","given":"Rajaram","non-dropping-particle":"","parse-names":false,"suffix":""}],"container-title":"Journal of CO2 Utilization","id":"ITEM-1","issue":"April","issued":{"date-parts":[["2021"]]},"page":"101576","publisher":"Elsevier Ltd","title":"Combined experimental and computational study to unravel the factors of the Cu/TiO&lt;sub&gt;2&lt;/sub&gt; catalyst for CO&lt;sub&gt;2&lt;/sub&gt; hydrogenation to methanol","type":"article-journal","volume":"50"},"uris":["http://www.mendeley.com/documents/?uuid=08365a7e-b5cb-461f-8636-b0a8501d447d"]}],"mendeley":{"formattedCitation":"(Sharma et al., 2021)","plainTextFormattedCitation":"(Sharma et al., 2021)","previouslyFormattedCitation":"(Sharma et al., 2021)"},"properties":{"noteIndex":0},"schema":"https://github.com/citation-style-language/schema/raw/master/csl-citation.json"}</w:instrText>
      </w:r>
      <w:r w:rsidR="00375637">
        <w:rPr>
          <w:lang w:val="en-GB"/>
        </w:rPr>
        <w:fldChar w:fldCharType="separate"/>
      </w:r>
      <w:r w:rsidR="00D33139" w:rsidRPr="00D33139">
        <w:rPr>
          <w:noProof/>
          <w:lang w:val="en-GB"/>
        </w:rPr>
        <w:t>(Sharma et al., 2021)</w:t>
      </w:r>
      <w:r w:rsidR="00375637">
        <w:rPr>
          <w:lang w:val="en-GB"/>
        </w:rPr>
        <w:fldChar w:fldCharType="end"/>
      </w:r>
      <w:r w:rsidR="00633C0F">
        <w:rPr>
          <w:lang w:val="en-GB"/>
        </w:rPr>
        <w:t xml:space="preserve">. </w:t>
      </w:r>
      <w:r w:rsidR="00186349">
        <w:rPr>
          <w:lang w:val="en-GB"/>
        </w:rPr>
        <w:t xml:space="preserve">The peak </w:t>
      </w:r>
      <w:r w:rsidR="0020525A">
        <w:rPr>
          <w:lang w:val="en-GB"/>
        </w:rPr>
        <w:t xml:space="preserve">around </w:t>
      </w:r>
      <w:r w:rsidR="00152982">
        <w:rPr>
          <w:lang w:val="en-GB"/>
        </w:rPr>
        <w:t>855</w:t>
      </w:r>
      <w:r w:rsidR="003D7547">
        <w:rPr>
          <w:lang w:val="en-GB"/>
        </w:rPr>
        <w:t>.</w:t>
      </w:r>
      <w:r w:rsidR="00152982">
        <w:rPr>
          <w:lang w:val="en-GB"/>
        </w:rPr>
        <w:t>6</w:t>
      </w:r>
      <w:r w:rsidR="003D7547">
        <w:rPr>
          <w:lang w:val="en-GB"/>
        </w:rPr>
        <w:t xml:space="preserve"> eV </w:t>
      </w:r>
      <w:r w:rsidR="00DA744B">
        <w:rPr>
          <w:lang w:val="en-GB"/>
        </w:rPr>
        <w:t>in</w:t>
      </w:r>
      <w:r w:rsidR="007339BC">
        <w:rPr>
          <w:lang w:val="en-GB"/>
        </w:rPr>
        <w:t xml:space="preserve"> the</w:t>
      </w:r>
      <w:r w:rsidR="00DA744B">
        <w:rPr>
          <w:lang w:val="en-GB"/>
        </w:rPr>
        <w:t xml:space="preserve"> Ni 2</w:t>
      </w:r>
      <w:r w:rsidR="00DA744B" w:rsidRPr="000475E8">
        <w:rPr>
          <w:i/>
          <w:iCs/>
          <w:lang w:val="en-GB"/>
        </w:rPr>
        <w:t>p</w:t>
      </w:r>
      <w:r w:rsidR="00DA744B">
        <w:rPr>
          <w:lang w:val="en-GB"/>
        </w:rPr>
        <w:t xml:space="preserve"> spectr</w:t>
      </w:r>
      <w:r w:rsidR="0054425C">
        <w:rPr>
          <w:lang w:val="en-GB"/>
        </w:rPr>
        <w:t>a</w:t>
      </w:r>
      <w:r w:rsidR="00DA744B">
        <w:rPr>
          <w:lang w:val="en-GB"/>
        </w:rPr>
        <w:t xml:space="preserve"> (</w:t>
      </w:r>
      <w:r w:rsidR="00DA744B">
        <w:rPr>
          <w:lang w:val="en-GB"/>
        </w:rPr>
        <w:fldChar w:fldCharType="begin"/>
      </w:r>
      <w:r w:rsidR="00DA744B">
        <w:rPr>
          <w:lang w:val="en-GB"/>
        </w:rPr>
        <w:instrText xml:space="preserve"> REF _Ref128903028 \h </w:instrText>
      </w:r>
      <w:r w:rsidR="00DA744B">
        <w:rPr>
          <w:lang w:val="en-GB"/>
        </w:rPr>
      </w:r>
      <w:r w:rsidR="00DA744B">
        <w:rPr>
          <w:lang w:val="en-GB"/>
        </w:rPr>
        <w:fldChar w:fldCharType="separate"/>
      </w:r>
      <w:r w:rsidR="007D2DE0">
        <w:t xml:space="preserve">Figure </w:t>
      </w:r>
      <w:r w:rsidR="007D2DE0">
        <w:rPr>
          <w:noProof/>
        </w:rPr>
        <w:t>3</w:t>
      </w:r>
      <w:r w:rsidR="00DA744B">
        <w:rPr>
          <w:lang w:val="en-GB"/>
        </w:rPr>
        <w:fldChar w:fldCharType="end"/>
      </w:r>
      <w:r w:rsidR="00DA744B">
        <w:rPr>
          <w:lang w:val="en-GB"/>
        </w:rPr>
        <w:t xml:space="preserve">e) </w:t>
      </w:r>
      <w:r w:rsidR="003D7547">
        <w:rPr>
          <w:lang w:val="en-GB"/>
        </w:rPr>
        <w:t xml:space="preserve">is attributed to </w:t>
      </w:r>
      <w:r w:rsidR="00DA744B">
        <w:rPr>
          <w:lang w:val="en-GB"/>
        </w:rPr>
        <w:t>Ni</w:t>
      </w:r>
      <w:r w:rsidR="00DA744B" w:rsidRPr="00DA744B">
        <w:rPr>
          <w:vertAlign w:val="superscript"/>
          <w:lang w:val="en-GB"/>
        </w:rPr>
        <w:t>2+</w:t>
      </w:r>
      <w:r w:rsidR="00DA744B">
        <w:rPr>
          <w:lang w:val="en-GB"/>
        </w:rPr>
        <w:t xml:space="preserve"> ions</w:t>
      </w:r>
      <w:r w:rsidR="00F47728">
        <w:rPr>
          <w:lang w:val="en-GB"/>
        </w:rPr>
        <w:t xml:space="preserve"> </w:t>
      </w:r>
      <w:r w:rsidR="00F47728">
        <w:rPr>
          <w:lang w:val="en-GB"/>
        </w:rPr>
        <w:fldChar w:fldCharType="begin" w:fldLock="1"/>
      </w:r>
      <w:r w:rsidR="00462ED2">
        <w:rPr>
          <w:lang w:val="en-GB"/>
        </w:rPr>
        <w:instrText>ADDIN CSL_CITATION {"citationItems":[{"id":"ITEM-1","itemData":{"DOI":"10.1016/j.inoche.2022.109905","ISSN":"13877003","abstract":"Nickel-doped titanium dioxide nanoparticles (NDT) deposited on pine cone activated carbon (PAC) have been successfully synthesized by a hydrothermal method. The as synthesized nanocomposite was characterized by X-ray diffraction pattern (XRD), Scanning electron microscopy (SEM), Energy-dispersive X-ray spectroscopy (EDX), X-ray photoelectron (XPS), Fourier transform infrared (FT-IR), UV–visible diffuse reflectance spectra (UV–vis DRS), Photoluminescence (PL), BET surface area, and pHzpc. The characterization results of the prepared nanocomposite revealed that Ni-TiO2 was loaded on the surface of PAC, and had a higher surface area and narrower bandgap than TiO2 nanoparticles. The visible-light photocatalytic activity of the Ni-TiO2@C nanocomposite towards anthracene degradation was found to be 99.9% in 50 mins leading to end products of (1E, 3Z)-hexa-1,3,5-trien-1-ol (1a; m/z = 96), and (1E, 3E)-penta-1,3-dien-1-ol. The synthesized Ni-TiO2@C nanocomposite exhibited a better photocatalytic activity towards the photocatalytic degradation of anthracene as compared to the TiO2 nanomaterial (22.5%) and TiO2/activated carbon nanocomposite (31%) under similar conditions. The photodegradation of anthracene followed the pseudo first-order rate kinetics. The Ni-TiO2@C nanocomposite had excellent regeneration properties till the fifth cycle of use during which it degraded around 73% anthracene.","author":[{"dropping-particle":"","family":"Baruah","given":"Mridushmita","non-dropping-particle":"","parse-names":false,"suffix":""},{"dropping-particle":"","family":"Ezung","given":"Soremo L.","non-dropping-particle":"","parse-names":false,"suffix":""},{"dropping-particle":"","family":"Sharma","given":"Shisak","non-dropping-particle":"","parse-names":false,"suffix":""},{"dropping-particle":"","family":"Sinha","given":"Upasana Bora","non-dropping-particle":"","parse-names":false,"suffix":""},{"dropping-particle":"","family":"Sinha","given":"Dipak","non-dropping-particle":"","parse-names":false,"suffix":""}],"container-title":"Inorganic Chemistry Communications","id":"ITEM-1","issued":{"date-parts":[["2022"]]},"page":"109905","publisher":"Elsevier B.V.","title":"Synthesis and characterization of Ni-doped TiO2 activated carbon nanocomposite for the photocatalytic degradation of anthracene","type":"article-journal","volume":"144"},"uris":["http://www.mendeley.com/documents/?uuid=acf48117-7e33-4c8e-8957-6c40871c7192"]}],"mendeley":{"formattedCitation":"(Baruah et al., 2022)","plainTextFormattedCitation":"(Baruah et al., 2022)","previouslyFormattedCitation":"(Baruah et al., 2022)"},"properties":{"noteIndex":0},"schema":"https://github.com/citation-style-language/schema/raw/master/csl-citation.json"}</w:instrText>
      </w:r>
      <w:r w:rsidR="00F47728">
        <w:rPr>
          <w:lang w:val="en-GB"/>
        </w:rPr>
        <w:fldChar w:fldCharType="separate"/>
      </w:r>
      <w:r w:rsidR="00D33139" w:rsidRPr="00D33139">
        <w:rPr>
          <w:noProof/>
          <w:lang w:val="en-GB"/>
        </w:rPr>
        <w:t>(Baruah et al., 2022)</w:t>
      </w:r>
      <w:r w:rsidR="00F47728">
        <w:rPr>
          <w:lang w:val="en-GB"/>
        </w:rPr>
        <w:fldChar w:fldCharType="end"/>
      </w:r>
      <w:r w:rsidR="00DA744B">
        <w:rPr>
          <w:lang w:val="en-GB"/>
        </w:rPr>
        <w:t xml:space="preserve">. </w:t>
      </w:r>
      <w:r w:rsidR="001F1278">
        <w:rPr>
          <w:lang w:val="en-GB"/>
        </w:rPr>
        <w:t xml:space="preserve">The </w:t>
      </w:r>
      <w:r w:rsidR="0054425C">
        <w:rPr>
          <w:lang w:val="en-GB"/>
        </w:rPr>
        <w:t xml:space="preserve">XPS </w:t>
      </w:r>
      <w:r w:rsidR="00283937">
        <w:rPr>
          <w:lang w:val="en-GB"/>
        </w:rPr>
        <w:t xml:space="preserve">results confirm the formation of the composites, and all </w:t>
      </w:r>
      <w:r w:rsidR="00FA0DA7">
        <w:rPr>
          <w:lang w:val="en-GB"/>
        </w:rPr>
        <w:t xml:space="preserve">atomic elements </w:t>
      </w:r>
      <w:r w:rsidR="000D49C1">
        <w:rPr>
          <w:lang w:val="en-GB"/>
        </w:rPr>
        <w:t>ha</w:t>
      </w:r>
      <w:r w:rsidR="00B549DC">
        <w:rPr>
          <w:lang w:val="en-GB"/>
        </w:rPr>
        <w:t xml:space="preserve">ve </w:t>
      </w:r>
      <w:r w:rsidR="000D49C1">
        <w:rPr>
          <w:lang w:val="en-GB"/>
        </w:rPr>
        <w:t>been</w:t>
      </w:r>
      <w:r w:rsidR="00FA0DA7">
        <w:rPr>
          <w:lang w:val="en-GB"/>
        </w:rPr>
        <w:t xml:space="preserve"> </w:t>
      </w:r>
      <w:r w:rsidR="009C5B77">
        <w:rPr>
          <w:lang w:val="en-GB"/>
        </w:rPr>
        <w:t>identified</w:t>
      </w:r>
      <w:r w:rsidR="00B549DC">
        <w:rPr>
          <w:lang w:val="en-GB"/>
        </w:rPr>
        <w:t>.</w:t>
      </w:r>
    </w:p>
    <w:p w14:paraId="655ADABC" w14:textId="22718DE2" w:rsidR="00E056DF" w:rsidRDefault="00284D40" w:rsidP="00B919C3">
      <w:pPr>
        <w:pStyle w:val="CETBodytext"/>
        <w:keepNext/>
        <w:spacing w:before="240" w:after="240"/>
      </w:pPr>
      <w:r>
        <w:object w:dxaOrig="5971" w:dyaOrig="2003" w14:anchorId="29CCE2AB">
          <v:shape id="_x0000_i1027" type="#_x0000_t75" style="width:438.75pt;height:147pt" o:ole="">
            <v:imagedata r:id="rId18" o:title=""/>
          </v:shape>
          <o:OLEObject Type="Embed" ProgID="Origin95.Graph" ShapeID="_x0000_i1027" DrawAspect="Content" ObjectID="_1740890872" r:id="rId19"/>
        </w:object>
      </w:r>
    </w:p>
    <w:p w14:paraId="51D06FBF" w14:textId="1939FA36" w:rsidR="00E31300" w:rsidRPr="009C5B77" w:rsidRDefault="00B919C3" w:rsidP="009C5B77">
      <w:pPr>
        <w:pStyle w:val="CETCaption"/>
        <w:rPr>
          <w:rStyle w:val="CETCaptionCarattere"/>
          <w:i/>
        </w:rPr>
      </w:pPr>
      <w:bookmarkStart w:id="6" w:name="_Ref128903028"/>
      <w:bookmarkStart w:id="7" w:name="_Toc128932081"/>
      <w:r>
        <w:t xml:space="preserve">Figure </w:t>
      </w:r>
      <w:r>
        <w:fldChar w:fldCharType="begin"/>
      </w:r>
      <w:r>
        <w:instrText xml:space="preserve"> SEQ Figure \* ARABIC </w:instrText>
      </w:r>
      <w:r>
        <w:fldChar w:fldCharType="separate"/>
      </w:r>
      <w:r w:rsidR="007D2DE0">
        <w:rPr>
          <w:noProof/>
        </w:rPr>
        <w:t>3</w:t>
      </w:r>
      <w:r>
        <w:fldChar w:fldCharType="end"/>
      </w:r>
      <w:bookmarkEnd w:id="6"/>
      <w:r>
        <w:t xml:space="preserve">: </w:t>
      </w:r>
      <w:r w:rsidR="0029271D">
        <w:t xml:space="preserve">High-resolution </w:t>
      </w:r>
      <w:r w:rsidR="00FA4F9D">
        <w:t xml:space="preserve">XPS </w:t>
      </w:r>
      <w:r w:rsidR="00E31FDE">
        <w:t xml:space="preserve">spectra </w:t>
      </w:r>
      <w:r w:rsidR="00D41A94">
        <w:t>of</w:t>
      </w:r>
      <w:r w:rsidR="00E31FDE">
        <w:t xml:space="preserve">: </w:t>
      </w:r>
      <w:r w:rsidR="0029271D">
        <w:t>C</w:t>
      </w:r>
      <w:r w:rsidR="00414234">
        <w:t xml:space="preserve"> </w:t>
      </w:r>
      <w:r w:rsidR="0029271D">
        <w:t>1</w:t>
      </w:r>
      <w:r w:rsidR="00414234">
        <w:t>s (a) N 1s (b)</w:t>
      </w:r>
      <w:r w:rsidR="00E31FDE">
        <w:t>, Cu</w:t>
      </w:r>
      <w:r w:rsidR="00EB315B">
        <w:t xml:space="preserve"> 2p</w:t>
      </w:r>
      <w:r w:rsidR="00872440">
        <w:t xml:space="preserve"> (c)</w:t>
      </w:r>
      <w:r w:rsidR="00EB315B">
        <w:t>,</w:t>
      </w:r>
      <w:r w:rsidR="00040F0B">
        <w:t xml:space="preserve"> O 1s (d), </w:t>
      </w:r>
      <w:r w:rsidR="0044343E">
        <w:t>Ni 2p</w:t>
      </w:r>
      <w:r w:rsidR="00E76D18">
        <w:t xml:space="preserve"> (e) </w:t>
      </w:r>
      <w:r w:rsidR="00040F0B">
        <w:t>and Ti 2p (</w:t>
      </w:r>
      <w:r w:rsidR="00E76D18">
        <w:t>f</w:t>
      </w:r>
      <w:r w:rsidR="00040F0B">
        <w:t>)</w:t>
      </w:r>
      <w:r w:rsidR="00FA4F9D">
        <w:t xml:space="preserve"> for samples</w:t>
      </w:r>
      <w:r w:rsidR="00892D0E">
        <w:t>. Deconvolution</w:t>
      </w:r>
      <w:r w:rsidR="00742051">
        <w:t>s</w:t>
      </w:r>
      <w:r w:rsidR="00892D0E">
        <w:t xml:space="preserve"> into the main and satellite peaks </w:t>
      </w:r>
      <w:r w:rsidR="003C4A12">
        <w:t>are</w:t>
      </w:r>
      <w:r w:rsidR="00892D0E">
        <w:t xml:space="preserve"> shown</w:t>
      </w:r>
      <w:bookmarkEnd w:id="7"/>
    </w:p>
    <w:p w14:paraId="4EB246A9" w14:textId="77777777" w:rsidR="006941D3" w:rsidRPr="002D05BE" w:rsidRDefault="006941D3" w:rsidP="002D05BE">
      <w:pPr>
        <w:pStyle w:val="CETheadingx"/>
      </w:pPr>
      <w:r w:rsidRPr="002D05BE">
        <w:t>Photocatalytic performance</w:t>
      </w:r>
    </w:p>
    <w:p w14:paraId="779AA22C" w14:textId="20C4E1C3" w:rsidR="00E15381" w:rsidRDefault="006941D3" w:rsidP="00B549DC">
      <w:pPr>
        <w:pStyle w:val="CETBodytext"/>
        <w:rPr>
          <w:lang w:val="en-GB"/>
        </w:rPr>
      </w:pPr>
      <w:r w:rsidRPr="00DC2864">
        <w:rPr>
          <w:lang w:val="en-GB"/>
        </w:rPr>
        <w:t xml:space="preserve">The </w:t>
      </w:r>
      <w:r w:rsidR="00B549DC">
        <w:rPr>
          <w:lang w:val="en-GB"/>
        </w:rPr>
        <w:t>formation of CO</w:t>
      </w:r>
      <w:r w:rsidR="00B549DC" w:rsidRPr="00B549DC">
        <w:rPr>
          <w:vertAlign w:val="subscript"/>
          <w:lang w:val="en-GB"/>
        </w:rPr>
        <w:t>2</w:t>
      </w:r>
      <w:r w:rsidR="00B549DC">
        <w:rPr>
          <w:lang w:val="en-GB"/>
        </w:rPr>
        <w:t xml:space="preserve"> from the ethylene mineralization reactions on the outlet of the reactor was continuously measured, and the results are shown in Figure 4. </w:t>
      </w:r>
      <w:r w:rsidRPr="00DC2864">
        <w:rPr>
          <w:lang w:val="en-GB"/>
        </w:rPr>
        <w:t xml:space="preserve">The carbon dioxide production rates are </w:t>
      </w:r>
      <w:r w:rsidRPr="00C92EEC">
        <w:rPr>
          <w:lang w:val="en-GB"/>
        </w:rPr>
        <w:t xml:space="preserve">summarized in </w:t>
      </w:r>
      <w:r w:rsidRPr="00C92EEC">
        <w:rPr>
          <w:b/>
          <w:bCs/>
          <w:lang w:val="en-GB"/>
        </w:rPr>
        <w:fldChar w:fldCharType="begin"/>
      </w:r>
      <w:r w:rsidRPr="00C92EEC">
        <w:rPr>
          <w:lang w:val="en-GB"/>
        </w:rPr>
        <w:instrText xml:space="preserve"> REF _Ref125705752 \h  \* MERGEFORMAT </w:instrText>
      </w:r>
      <w:r w:rsidRPr="00C92EEC">
        <w:rPr>
          <w:b/>
          <w:bCs/>
          <w:lang w:val="en-GB"/>
        </w:rPr>
      </w:r>
      <w:r w:rsidRPr="00C92EEC">
        <w:rPr>
          <w:b/>
          <w:bCs/>
          <w:lang w:val="en-GB"/>
        </w:rPr>
        <w:fldChar w:fldCharType="separate"/>
      </w:r>
      <w:r w:rsidR="007D2DE0" w:rsidRPr="007D2DE0">
        <w:rPr>
          <w:lang w:val="en-GB"/>
        </w:rPr>
        <w:t>Table 1</w:t>
      </w:r>
      <w:r w:rsidRPr="00C92EEC">
        <w:rPr>
          <w:b/>
          <w:bCs/>
          <w:lang w:val="en-GB"/>
        </w:rPr>
        <w:fldChar w:fldCharType="end"/>
      </w:r>
      <w:r w:rsidRPr="00C92EEC">
        <w:rPr>
          <w:lang w:val="en-GB"/>
        </w:rPr>
        <w:t>. The Cu/C</w:t>
      </w:r>
      <w:r w:rsidRPr="00097C5A">
        <w:rPr>
          <w:vertAlign w:val="subscript"/>
          <w:lang w:val="en-GB"/>
        </w:rPr>
        <w:t>3</w:t>
      </w:r>
      <w:r w:rsidRPr="00C92EEC">
        <w:rPr>
          <w:lang w:val="en-GB"/>
        </w:rPr>
        <w:t>N</w:t>
      </w:r>
      <w:r w:rsidRPr="00097C5A">
        <w:rPr>
          <w:vertAlign w:val="subscript"/>
          <w:lang w:val="en-GB"/>
        </w:rPr>
        <w:t>4</w:t>
      </w:r>
      <w:r w:rsidRPr="00C92EEC">
        <w:rPr>
          <w:lang w:val="en-GB"/>
        </w:rPr>
        <w:t xml:space="preserve"> sample did not produce carbon dioxide under visible light or UV-A</w:t>
      </w:r>
      <w:r w:rsidRPr="00DC2864">
        <w:rPr>
          <w:lang w:val="en-GB"/>
        </w:rPr>
        <w:t xml:space="preserve"> illumination, so ethylene was not degraded.</w:t>
      </w:r>
      <w:r>
        <w:rPr>
          <w:lang w:val="en-GB"/>
        </w:rPr>
        <w:t xml:space="preserve"> This can be associated </w:t>
      </w:r>
      <w:r w:rsidR="00B549DC">
        <w:rPr>
          <w:lang w:val="en-GB"/>
        </w:rPr>
        <w:t>to the almost</w:t>
      </w:r>
      <w:r>
        <w:rPr>
          <w:lang w:val="en-GB"/>
        </w:rPr>
        <w:t xml:space="preserve"> non-detection of copper </w:t>
      </w:r>
      <w:r w:rsidR="00B549DC">
        <w:rPr>
          <w:lang w:val="en-GB"/>
        </w:rPr>
        <w:t xml:space="preserve">atoms </w:t>
      </w:r>
      <w:r>
        <w:rPr>
          <w:lang w:val="en-GB"/>
        </w:rPr>
        <w:t>in the sample surface,</w:t>
      </w:r>
      <w:r w:rsidR="00877F63">
        <w:rPr>
          <w:lang w:val="en-GB"/>
        </w:rPr>
        <w:t xml:space="preserve"> the lower average pore diameter</w:t>
      </w:r>
      <w:r>
        <w:rPr>
          <w:lang w:val="en-GB"/>
        </w:rPr>
        <w:t xml:space="preserve"> and due the fast recombination electron-hole pair of the</w:t>
      </w:r>
      <w:r w:rsidRPr="00B949C8">
        <w:rPr>
          <w:lang w:val="en-GB"/>
        </w:rPr>
        <w:t xml:space="preserve"> C</w:t>
      </w:r>
      <w:r w:rsidRPr="006941D3">
        <w:rPr>
          <w:vertAlign w:val="subscript"/>
          <w:lang w:val="en-GB"/>
        </w:rPr>
        <w:t>3</w:t>
      </w:r>
      <w:r w:rsidRPr="00B949C8">
        <w:rPr>
          <w:lang w:val="en-GB"/>
        </w:rPr>
        <w:t>N</w:t>
      </w:r>
      <w:r w:rsidRPr="006941D3">
        <w:rPr>
          <w:vertAlign w:val="subscript"/>
          <w:lang w:val="en-GB"/>
        </w:rPr>
        <w:t>4</w:t>
      </w:r>
      <w:r w:rsidR="00877F63">
        <w:rPr>
          <w:lang w:val="en-GB"/>
        </w:rPr>
        <w:t>.</w:t>
      </w:r>
    </w:p>
    <w:p w14:paraId="4A32A845" w14:textId="47C37357" w:rsidR="00E15381" w:rsidRDefault="00D33139" w:rsidP="002D05BE">
      <w:pPr>
        <w:pStyle w:val="CETBodytext"/>
        <w:spacing w:before="240" w:after="240"/>
        <w:rPr>
          <w:lang w:val="en-GB"/>
        </w:rPr>
      </w:pPr>
      <w:r>
        <w:object w:dxaOrig="5572" w:dyaOrig="2804" w14:anchorId="373D9303">
          <v:shape id="_x0000_i1028" type="#_x0000_t75" style="width:366.75pt;height:185.25pt" o:ole="">
            <v:imagedata r:id="rId20" o:title=""/>
          </v:shape>
          <o:OLEObject Type="Embed" ProgID="Origin95.Graph" ShapeID="_x0000_i1028" DrawAspect="Content" ObjectID="_1740890873" r:id="rId21"/>
        </w:object>
      </w:r>
    </w:p>
    <w:p w14:paraId="106B8527" w14:textId="48789985" w:rsidR="00A244EB" w:rsidRPr="002D05BE" w:rsidRDefault="004D02A5" w:rsidP="002D05BE">
      <w:pPr>
        <w:pStyle w:val="CETCaption"/>
      </w:pPr>
      <w:bookmarkStart w:id="8" w:name="_Ref125705952"/>
      <w:bookmarkStart w:id="9" w:name="_Toc128932082"/>
      <w:r w:rsidRPr="002D05BE">
        <w:t xml:space="preserve">Figure </w:t>
      </w:r>
      <w:r w:rsidRPr="002D05BE">
        <w:fldChar w:fldCharType="begin"/>
      </w:r>
      <w:r w:rsidRPr="002D05BE">
        <w:instrText xml:space="preserve"> SEQ Figure \* ARABIC </w:instrText>
      </w:r>
      <w:r w:rsidRPr="002D05BE">
        <w:fldChar w:fldCharType="separate"/>
      </w:r>
      <w:r w:rsidR="007D2DE0">
        <w:rPr>
          <w:noProof/>
        </w:rPr>
        <w:t>4</w:t>
      </w:r>
      <w:r w:rsidRPr="002D05BE">
        <w:fldChar w:fldCharType="end"/>
      </w:r>
      <w:bookmarkEnd w:id="8"/>
      <w:r w:rsidR="00A547AE" w:rsidRPr="002D05BE">
        <w:rPr>
          <w:rStyle w:val="CETCaptionCarattere"/>
          <w:i/>
        </w:rPr>
        <w:t xml:space="preserve">: </w:t>
      </w:r>
      <w:r w:rsidR="00BE683A" w:rsidRPr="002D05BE">
        <w:rPr>
          <w:rStyle w:val="CETCaptionCarattere"/>
          <w:i/>
        </w:rPr>
        <w:t xml:space="preserve">Carbon dioxide production concentration under </w:t>
      </w:r>
      <w:r w:rsidR="003056BF" w:rsidRPr="002D05BE">
        <w:rPr>
          <w:rStyle w:val="CETCaptionCarattere"/>
          <w:i/>
        </w:rPr>
        <w:t xml:space="preserve">visible light (a) and </w:t>
      </w:r>
      <w:r w:rsidR="00BE683A" w:rsidRPr="002D05BE">
        <w:rPr>
          <w:rStyle w:val="CETCaptionCarattere"/>
          <w:i/>
        </w:rPr>
        <w:t>UV-A (</w:t>
      </w:r>
      <w:r w:rsidR="003056BF" w:rsidRPr="002D05BE">
        <w:rPr>
          <w:rStyle w:val="CETCaptionCarattere"/>
          <w:i/>
        </w:rPr>
        <w:t>b</w:t>
      </w:r>
      <w:r w:rsidR="00BE683A" w:rsidRPr="002D05BE">
        <w:rPr>
          <w:rStyle w:val="CETCaptionCarattere"/>
          <w:i/>
        </w:rPr>
        <w:t>)</w:t>
      </w:r>
      <w:r w:rsidR="00300BD2" w:rsidRPr="002D05BE">
        <w:rPr>
          <w:rStyle w:val="CETCaptionCarattere"/>
          <w:i/>
        </w:rPr>
        <w:t xml:space="preserve"> irradiat</w:t>
      </w:r>
      <w:r w:rsidR="00D838C0" w:rsidRPr="002D05BE">
        <w:rPr>
          <w:rStyle w:val="CETCaptionCarattere"/>
          <w:i/>
        </w:rPr>
        <w:t>i</w:t>
      </w:r>
      <w:r w:rsidR="00300BD2" w:rsidRPr="002D05BE">
        <w:rPr>
          <w:rStyle w:val="CETCaptionCarattere"/>
          <w:i/>
        </w:rPr>
        <w:t>on</w:t>
      </w:r>
      <w:r w:rsidR="00A547AE" w:rsidRPr="002D05BE">
        <w:rPr>
          <w:rStyle w:val="CETCaptionCarattere"/>
          <w:i/>
        </w:rPr>
        <w:t>.</w:t>
      </w:r>
      <w:bookmarkEnd w:id="9"/>
    </w:p>
    <w:p w14:paraId="4683D18E" w14:textId="20A6AD34" w:rsidR="001E1D11" w:rsidRPr="00DC2864" w:rsidRDefault="001E1D11" w:rsidP="002D05BE">
      <w:pPr>
        <w:pStyle w:val="CETBodytext"/>
        <w:rPr>
          <w:b/>
          <w:bCs/>
        </w:rPr>
      </w:pPr>
      <w:r w:rsidRPr="00DC2864">
        <w:t>The Ni/TiO</w:t>
      </w:r>
      <w:r w:rsidRPr="006966CD">
        <w:rPr>
          <w:vertAlign w:val="subscript"/>
        </w:rPr>
        <w:t>2</w:t>
      </w:r>
      <w:r w:rsidRPr="00DC2864">
        <w:t xml:space="preserve"> sample had the best performance for ethylene degradation under visible light and UV-A illumination, showing higher CO</w:t>
      </w:r>
      <w:r w:rsidRPr="006966CD">
        <w:rPr>
          <w:vertAlign w:val="subscript"/>
        </w:rPr>
        <w:t>2</w:t>
      </w:r>
      <w:r w:rsidRPr="00DC2864">
        <w:t xml:space="preserve"> production with UV-A</w:t>
      </w:r>
      <w:r w:rsidR="00B549DC">
        <w:t xml:space="preserve"> </w:t>
      </w:r>
      <w:r>
        <w:t>due</w:t>
      </w:r>
      <w:r w:rsidR="00B549DC">
        <w:t xml:space="preserve"> to</w:t>
      </w:r>
      <w:r>
        <w:t xml:space="preserve"> the higher TiO</w:t>
      </w:r>
      <w:r w:rsidRPr="006966CD">
        <w:rPr>
          <w:vertAlign w:val="subscript"/>
        </w:rPr>
        <w:t>2</w:t>
      </w:r>
      <w:r>
        <w:t xml:space="preserve"> activity under this illumination</w:t>
      </w:r>
      <w:r w:rsidR="00CC7698">
        <w:t xml:space="preserve"> and </w:t>
      </w:r>
      <w:r w:rsidR="00452BE2">
        <w:t>Ni presence in the sample</w:t>
      </w:r>
      <w:r>
        <w:t xml:space="preserve">. </w:t>
      </w:r>
      <w:r w:rsidR="00452BE2">
        <w:t xml:space="preserve">Besides, the </w:t>
      </w:r>
      <w:r w:rsidR="00B549DC">
        <w:t>metal-doping effect on photocatalytic ethylene degradation</w:t>
      </w:r>
      <w:r w:rsidR="00452BE2">
        <w:t xml:space="preserve"> can be observed</w:t>
      </w:r>
      <w:r w:rsidR="00B66B08">
        <w:t>, and</w:t>
      </w:r>
      <w:r w:rsidR="00452BE2">
        <w:t xml:space="preserve"> Ni show</w:t>
      </w:r>
      <w:r w:rsidR="00B549DC">
        <w:t>ed</w:t>
      </w:r>
      <w:r w:rsidR="00452BE2">
        <w:t xml:space="preserve"> higher activity than Cu when impregned in TiO</w:t>
      </w:r>
      <w:r w:rsidR="00452BE2" w:rsidRPr="00FF7F95">
        <w:rPr>
          <w:vertAlign w:val="subscript"/>
        </w:rPr>
        <w:t>2</w:t>
      </w:r>
      <w:r w:rsidR="00097C5A">
        <w:t>. These results may be associated with higher surface area, average pore diameter, pore volume, and particle size</w:t>
      </w:r>
      <w:r w:rsidR="00734DF4">
        <w:t xml:space="preserve"> than when in the presence of Cu. In addition, a lower band gap energy value was observed for Ni/TiO</w:t>
      </w:r>
      <w:r w:rsidR="00734DF4" w:rsidRPr="00734DF4">
        <w:rPr>
          <w:vertAlign w:val="subscript"/>
        </w:rPr>
        <w:t>2</w:t>
      </w:r>
      <w:r w:rsidR="00734DF4">
        <w:t xml:space="preserve"> than</w:t>
      </w:r>
      <w:r w:rsidR="00B549DC">
        <w:t xml:space="preserve"> for</w:t>
      </w:r>
      <w:r w:rsidR="00734DF4">
        <w:t xml:space="preserve"> Cu/TiO</w:t>
      </w:r>
      <w:r w:rsidR="00734DF4" w:rsidRPr="00734DF4">
        <w:rPr>
          <w:vertAlign w:val="subscript"/>
        </w:rPr>
        <w:t>2</w:t>
      </w:r>
      <w:r w:rsidR="00734DF4">
        <w:t xml:space="preserve">. </w:t>
      </w:r>
      <w:r w:rsidRPr="00DC2864">
        <w:t>After illumination for 1 h, the light was turned off, and 5 min later</w:t>
      </w:r>
      <w:r w:rsidR="00E6285C">
        <w:t>,</w:t>
      </w:r>
      <w:r w:rsidRPr="00DC2864">
        <w:t xml:space="preserve"> the CO</w:t>
      </w:r>
      <w:r w:rsidRPr="006966CD">
        <w:rPr>
          <w:vertAlign w:val="subscript"/>
        </w:rPr>
        <w:t>2</w:t>
      </w:r>
      <w:r w:rsidRPr="00DC2864">
        <w:t xml:space="preserve"> concentration at the outlet was equal to the initial</w:t>
      </w:r>
      <w:r>
        <w:t xml:space="preserve"> value, proving the photocatalysis process</w:t>
      </w:r>
      <w:r w:rsidRPr="00DC2864">
        <w:t>. Thus, the composites Ni/C</w:t>
      </w:r>
      <w:r w:rsidRPr="006966CD">
        <w:rPr>
          <w:vertAlign w:val="subscript"/>
        </w:rPr>
        <w:t>3</w:t>
      </w:r>
      <w:r w:rsidRPr="00DC2864">
        <w:t>N</w:t>
      </w:r>
      <w:r w:rsidRPr="006966CD">
        <w:rPr>
          <w:vertAlign w:val="subscript"/>
        </w:rPr>
        <w:t>4</w:t>
      </w:r>
      <w:r w:rsidRPr="00DC2864">
        <w:t>, Cu/TiO</w:t>
      </w:r>
      <w:r w:rsidRPr="006966CD">
        <w:rPr>
          <w:vertAlign w:val="subscript"/>
        </w:rPr>
        <w:t>2</w:t>
      </w:r>
      <w:r w:rsidR="00E6285C">
        <w:t xml:space="preserve">, </w:t>
      </w:r>
      <w:r w:rsidRPr="00DC2864">
        <w:t>and Ni/TiO</w:t>
      </w:r>
      <w:r w:rsidRPr="006966CD">
        <w:rPr>
          <w:vertAlign w:val="subscript"/>
        </w:rPr>
        <w:t>2</w:t>
      </w:r>
      <w:r w:rsidRPr="00DC2864">
        <w:t xml:space="preserve"> proved efficient in ethylene degradation. Therefore, they can be used to </w:t>
      </w:r>
      <w:r w:rsidR="00D43567">
        <w:t>increase</w:t>
      </w:r>
      <w:r w:rsidRPr="00DC2864">
        <w:t xml:space="preserve"> the shelf life of fruits and vegetables, using photocatalysis to remove ethylene from the atmosphere during the storage and transport of these foods.</w:t>
      </w:r>
      <w:r w:rsidR="00EF6C20" w:rsidRPr="00EF6C20">
        <w:t xml:space="preserve"> </w:t>
      </w:r>
      <w:bookmarkStart w:id="10" w:name="_GoBack"/>
      <w:bookmarkEnd w:id="10"/>
    </w:p>
    <w:p w14:paraId="68D26B83" w14:textId="77777777" w:rsidR="00600535" w:rsidRPr="002D05BE" w:rsidRDefault="00600535" w:rsidP="002D05BE">
      <w:pPr>
        <w:pStyle w:val="CETHeading1"/>
      </w:pPr>
      <w:r w:rsidRPr="002D05BE">
        <w:t>Conclusions</w:t>
      </w:r>
    </w:p>
    <w:p w14:paraId="653977AD" w14:textId="769A7A37" w:rsidR="00E6285C" w:rsidRDefault="00D93BBB" w:rsidP="002D05BE">
      <w:pPr>
        <w:pStyle w:val="CETBodytext"/>
      </w:pPr>
      <w:r>
        <w:t>The 5</w:t>
      </w:r>
      <w:r w:rsidR="00AF5C04">
        <w:t xml:space="preserve"> </w:t>
      </w:r>
      <w:r>
        <w:t>%-</w:t>
      </w:r>
      <w:r w:rsidR="002335FB" w:rsidRPr="002335FB">
        <w:t xml:space="preserve">metal (nickel and copper)- doped </w:t>
      </w:r>
      <w:r w:rsidR="00921C11">
        <w:t xml:space="preserve">in </w:t>
      </w:r>
      <w:r w:rsidR="002335FB" w:rsidRPr="002335FB">
        <w:t>TiO</w:t>
      </w:r>
      <w:r w:rsidR="002335FB" w:rsidRPr="002335FB">
        <w:rPr>
          <w:vertAlign w:val="subscript"/>
        </w:rPr>
        <w:t>2</w:t>
      </w:r>
      <w:r w:rsidR="002335FB" w:rsidRPr="002335FB">
        <w:t xml:space="preserve"> or C</w:t>
      </w:r>
      <w:r w:rsidR="002335FB" w:rsidRPr="002335FB">
        <w:rPr>
          <w:vertAlign w:val="subscript"/>
        </w:rPr>
        <w:t>3</w:t>
      </w:r>
      <w:r w:rsidR="002335FB" w:rsidRPr="002335FB">
        <w:t>N</w:t>
      </w:r>
      <w:r w:rsidR="002335FB" w:rsidRPr="002335FB">
        <w:rPr>
          <w:vertAlign w:val="subscript"/>
        </w:rPr>
        <w:t>4</w:t>
      </w:r>
      <w:r w:rsidR="002335FB" w:rsidRPr="002335FB">
        <w:t xml:space="preserve"> were characterized, and crystalline compounds were found. SEM images of the particles have confirmed the presence of heterogeneous particle agglomerates in micrometric particle size and microsheet structure in metal doped-TiO</w:t>
      </w:r>
      <w:r w:rsidR="002335FB" w:rsidRPr="002335FB">
        <w:rPr>
          <w:vertAlign w:val="subscript"/>
        </w:rPr>
        <w:t>2</w:t>
      </w:r>
      <w:r w:rsidR="002335FB" w:rsidRPr="002335FB">
        <w:t xml:space="preserve"> or -C</w:t>
      </w:r>
      <w:r w:rsidR="002335FB" w:rsidRPr="002335FB">
        <w:rPr>
          <w:vertAlign w:val="subscript"/>
        </w:rPr>
        <w:t>3</w:t>
      </w:r>
      <w:r w:rsidR="002335FB" w:rsidRPr="002335FB">
        <w:t>N</w:t>
      </w:r>
      <w:r w:rsidR="002335FB" w:rsidRPr="002335FB">
        <w:rPr>
          <w:vertAlign w:val="subscript"/>
        </w:rPr>
        <w:t>4</w:t>
      </w:r>
      <w:r w:rsidR="002335FB" w:rsidRPr="002335FB">
        <w:t>, respectively. The EDS analysis indicated the presence of Cu in one sample (Cu/TiO</w:t>
      </w:r>
      <w:r w:rsidR="002335FB" w:rsidRPr="002335FB">
        <w:rPr>
          <w:vertAlign w:val="subscript"/>
        </w:rPr>
        <w:t>2</w:t>
      </w:r>
      <w:r w:rsidR="002335FB" w:rsidRPr="002335FB">
        <w:t xml:space="preserve">) with a percentage close to the theoretical. </w:t>
      </w:r>
      <w:r w:rsidR="00B05C0A">
        <w:t xml:space="preserve">The XPS </w:t>
      </w:r>
      <w:r w:rsidR="00E20CA8">
        <w:t>results confir</w:t>
      </w:r>
      <w:r w:rsidR="00E17623">
        <w:t xml:space="preserve">m the presence of all atomic elements in the samples. </w:t>
      </w:r>
      <w:r w:rsidR="002335FB" w:rsidRPr="002335FB">
        <w:t>The Ni</w:t>
      </w:r>
      <w:r w:rsidR="00E6285C">
        <w:t>-</w:t>
      </w:r>
      <w:r w:rsidR="002335FB" w:rsidRPr="002335FB">
        <w:t>doped</w:t>
      </w:r>
      <w:r w:rsidR="00E6285C">
        <w:t xml:space="preserve"> </w:t>
      </w:r>
      <w:r w:rsidR="002335FB" w:rsidRPr="002335FB">
        <w:t>TiO</w:t>
      </w:r>
      <w:r w:rsidR="002335FB" w:rsidRPr="002335FB">
        <w:rPr>
          <w:vertAlign w:val="subscript"/>
        </w:rPr>
        <w:t>2</w:t>
      </w:r>
      <w:r w:rsidR="002335FB" w:rsidRPr="002335FB">
        <w:t xml:space="preserve"> sample presented the highest photocatalytic activity under UV and visible light </w:t>
      </w:r>
      <w:r>
        <w:t>irradiation</w:t>
      </w:r>
      <w:r w:rsidR="00E6285C">
        <w:t>. Textural parameters (</w:t>
      </w:r>
      <w:r w:rsidR="00B40408">
        <w:rPr>
          <w:bCs/>
        </w:rPr>
        <w:t>surface area, average pore diameter, pore volume</w:t>
      </w:r>
      <w:r w:rsidR="00E6285C">
        <w:rPr>
          <w:bCs/>
        </w:rPr>
        <w:t>)</w:t>
      </w:r>
      <w:r w:rsidR="00B40408">
        <w:rPr>
          <w:bCs/>
        </w:rPr>
        <w:t xml:space="preserve"> and particle size</w:t>
      </w:r>
      <w:r w:rsidR="00E6285C">
        <w:rPr>
          <w:bCs/>
        </w:rPr>
        <w:t xml:space="preserve"> positively affected </w:t>
      </w:r>
      <w:r w:rsidR="00E6285C" w:rsidRPr="002335FB">
        <w:t>Ni</w:t>
      </w:r>
      <w:r w:rsidR="00E6285C">
        <w:t>-</w:t>
      </w:r>
      <w:r w:rsidR="00E6285C" w:rsidRPr="002335FB">
        <w:t>doped</w:t>
      </w:r>
      <w:r w:rsidR="00E6285C">
        <w:t xml:space="preserve"> </w:t>
      </w:r>
      <w:r w:rsidR="00E6285C" w:rsidRPr="002335FB">
        <w:t>TiO</w:t>
      </w:r>
      <w:r w:rsidR="00E6285C" w:rsidRPr="002335FB">
        <w:rPr>
          <w:vertAlign w:val="subscript"/>
        </w:rPr>
        <w:t>2</w:t>
      </w:r>
      <w:r w:rsidR="00E6285C" w:rsidRPr="002335FB">
        <w:t xml:space="preserve"> sample</w:t>
      </w:r>
      <w:r w:rsidR="00E6285C">
        <w:t>s’ photoactivity.</w:t>
      </w:r>
    </w:p>
    <w:p w14:paraId="270AE1C5" w14:textId="3F5432CE" w:rsidR="00A244EB" w:rsidRPr="00654A3A" w:rsidRDefault="00A244EB" w:rsidP="002D05BE">
      <w:pPr>
        <w:pStyle w:val="CETAcknowledgementstitle"/>
      </w:pPr>
      <w:r w:rsidRPr="00654A3A">
        <w:t>Acknowledgments</w:t>
      </w:r>
    </w:p>
    <w:p w14:paraId="428B022A" w14:textId="418FA0A3" w:rsidR="00E65B91" w:rsidRPr="00DF492E" w:rsidRDefault="00C3628A" w:rsidP="006A5FA2">
      <w:pPr>
        <w:pStyle w:val="CETBodytext"/>
        <w:rPr>
          <w:rFonts w:asciiTheme="minorBidi" w:hAnsiTheme="minorBidi" w:cstheme="minorBidi"/>
          <w:szCs w:val="18"/>
        </w:rPr>
      </w:pPr>
      <w:r w:rsidRPr="002D05BE">
        <w:t xml:space="preserve">This study was </w:t>
      </w:r>
      <w:r w:rsidR="00044007" w:rsidRPr="002D05BE">
        <w:t xml:space="preserve">financed in part by the Coordenação de Aperfeiçoamento de Pessoas de </w:t>
      </w:r>
      <w:r w:rsidR="007B4EA6" w:rsidRPr="002D05BE">
        <w:t>N</w:t>
      </w:r>
      <w:r w:rsidR="00044007" w:rsidRPr="002D05BE">
        <w:t>ível Superior – Finance Code 001</w:t>
      </w:r>
      <w:r w:rsidR="00EC44DA" w:rsidRPr="002D05BE">
        <w:t xml:space="preserve">. </w:t>
      </w:r>
      <w:r w:rsidR="00855C3B" w:rsidRPr="002D05BE">
        <w:t xml:space="preserve">The authors thank </w:t>
      </w:r>
      <w:r w:rsidR="00273FED" w:rsidRPr="002D05BE">
        <w:t>LCME</w:t>
      </w:r>
      <w:r w:rsidR="00297882" w:rsidRPr="002D05BE">
        <w:t>/UFSC</w:t>
      </w:r>
      <w:r w:rsidR="00273FED" w:rsidRPr="002D05BE">
        <w:t xml:space="preserve"> and LINDEN</w:t>
      </w:r>
      <w:r w:rsidR="00297882" w:rsidRPr="002D05BE">
        <w:t>/UFSC</w:t>
      </w:r>
      <w:r w:rsidR="00855C3B" w:rsidRPr="002D05BE">
        <w:t xml:space="preserve"> </w:t>
      </w:r>
      <w:r w:rsidR="00273FED" w:rsidRPr="002D05BE">
        <w:t>laboratories</w:t>
      </w:r>
      <w:r w:rsidR="00855C3B" w:rsidRPr="002D05BE">
        <w:t xml:space="preserve"> for the characterization analysis</w:t>
      </w:r>
      <w:r w:rsidR="00413E72" w:rsidRPr="002D05BE">
        <w:t xml:space="preserve">. </w:t>
      </w:r>
      <w:r w:rsidR="002273C9" w:rsidRPr="00DF492E">
        <w:rPr>
          <w:rFonts w:asciiTheme="minorBidi" w:hAnsiTheme="minorBidi" w:cstheme="minorBidi"/>
          <w:szCs w:val="18"/>
        </w:rPr>
        <w:t xml:space="preserve">J.A.C. and E.R.C. thanks to Ministerio de Ciencia e Innovación of Spain, Grant </w:t>
      </w:r>
      <w:bookmarkStart w:id="11" w:name="_Hlk111619305"/>
      <w:r w:rsidR="002273C9" w:rsidRPr="00DF492E">
        <w:rPr>
          <w:rFonts w:asciiTheme="minorBidi" w:hAnsiTheme="minorBidi" w:cstheme="minorBidi"/>
          <w:szCs w:val="18"/>
        </w:rPr>
        <w:t>PID2021-126235OB-C32</w:t>
      </w:r>
      <w:bookmarkEnd w:id="11"/>
      <w:r w:rsidR="002273C9" w:rsidRPr="00DF492E">
        <w:rPr>
          <w:rFonts w:asciiTheme="minorBidi" w:hAnsiTheme="minorBidi" w:cstheme="minorBidi"/>
          <w:szCs w:val="18"/>
        </w:rPr>
        <w:t>.</w:t>
      </w:r>
    </w:p>
    <w:p w14:paraId="488C21B9" w14:textId="499AB46A" w:rsidR="006D14E9" w:rsidRPr="00E84878" w:rsidRDefault="00AF4006" w:rsidP="002D05BE">
      <w:pPr>
        <w:pStyle w:val="CETReference"/>
        <w:rPr>
          <w:lang w:val="en-US"/>
        </w:rPr>
      </w:pPr>
      <w:r w:rsidRPr="00E84878">
        <w:rPr>
          <w:lang w:val="en-US"/>
        </w:rPr>
        <w:t>References</w:t>
      </w:r>
    </w:p>
    <w:p w14:paraId="093A71F3" w14:textId="3996973D" w:rsidR="00462ED2" w:rsidRPr="00462ED2" w:rsidRDefault="006D14E9" w:rsidP="00E84878">
      <w:pPr>
        <w:pStyle w:val="CETReferencetext"/>
        <w:rPr>
          <w:noProof/>
        </w:rPr>
      </w:pPr>
      <w:r>
        <w:fldChar w:fldCharType="begin" w:fldLock="1"/>
      </w:r>
      <w:r w:rsidRPr="00E84878">
        <w:rPr>
          <w:lang w:val="en-US"/>
        </w:rPr>
        <w:instrText xml:space="preserve">ADDIN Mendeley Bibliography CSL_BIBLIOGRAPHY </w:instrText>
      </w:r>
      <w:r>
        <w:fldChar w:fldCharType="separate"/>
      </w:r>
      <w:r w:rsidR="00462ED2" w:rsidRPr="00462ED2">
        <w:rPr>
          <w:noProof/>
        </w:rPr>
        <w:t>Baruah, M., Ezung, S.L., Sharma, S., Sinha, U.B., Sinha, D., 2022</w:t>
      </w:r>
      <w:r w:rsidR="002A7F05">
        <w:rPr>
          <w:noProof/>
        </w:rPr>
        <w:t>,</w:t>
      </w:r>
      <w:r w:rsidR="00462ED2" w:rsidRPr="00462ED2">
        <w:rPr>
          <w:noProof/>
        </w:rPr>
        <w:t xml:space="preserve"> Synthesis and characterization of Ni-doped TiO</w:t>
      </w:r>
      <w:r w:rsidR="00462ED2" w:rsidRPr="00BE1F93">
        <w:rPr>
          <w:noProof/>
          <w:vertAlign w:val="subscript"/>
        </w:rPr>
        <w:t>2</w:t>
      </w:r>
      <w:r w:rsidR="00462ED2" w:rsidRPr="00462ED2">
        <w:rPr>
          <w:noProof/>
        </w:rPr>
        <w:t xml:space="preserve"> activated carbon nanocomposite for the photocatalytic degradation of anthracene</w:t>
      </w:r>
      <w:r w:rsidR="002A7F05">
        <w:rPr>
          <w:noProof/>
        </w:rPr>
        <w:t>,</w:t>
      </w:r>
      <w:r w:rsidR="00462ED2" w:rsidRPr="00462ED2">
        <w:rPr>
          <w:noProof/>
        </w:rPr>
        <w:t xml:space="preserve"> Inorg. Chem. Commun.</w:t>
      </w:r>
      <w:r w:rsidR="002A7F05">
        <w:rPr>
          <w:noProof/>
        </w:rPr>
        <w:t>,</w:t>
      </w:r>
      <w:r w:rsidR="00462ED2" w:rsidRPr="00462ED2">
        <w:rPr>
          <w:noProof/>
        </w:rPr>
        <w:t xml:space="preserve"> 144, 109905.</w:t>
      </w:r>
    </w:p>
    <w:p w14:paraId="22323D0A" w14:textId="028BE522" w:rsidR="00462ED2" w:rsidRPr="00462ED2" w:rsidRDefault="00462ED2" w:rsidP="00E84878">
      <w:pPr>
        <w:pStyle w:val="CETReferencetext"/>
        <w:rPr>
          <w:noProof/>
        </w:rPr>
      </w:pPr>
      <w:r w:rsidRPr="00462ED2">
        <w:rPr>
          <w:noProof/>
        </w:rPr>
        <w:t>Díaz, L., Rodríguez, V.D., González-Rodríguez, M., Rodríguez-Castellón, E., Algarra, M., Núñez, P., Moretti, E., 2021</w:t>
      </w:r>
      <w:r w:rsidR="002A7F05">
        <w:rPr>
          <w:noProof/>
        </w:rPr>
        <w:t>,</w:t>
      </w:r>
      <w:r w:rsidRPr="00462ED2">
        <w:rPr>
          <w:noProof/>
        </w:rPr>
        <w:t xml:space="preserve"> M/TiO</w:t>
      </w:r>
      <w:r w:rsidRPr="00462ED2">
        <w:rPr>
          <w:noProof/>
          <w:vertAlign w:val="subscript"/>
        </w:rPr>
        <w:t>2</w:t>
      </w:r>
      <w:r w:rsidRPr="00462ED2">
        <w:rPr>
          <w:noProof/>
        </w:rPr>
        <w:t xml:space="preserve"> (M = Fe, Co, Ni, Cu, Zn) catalysts for photocatalytic hydrogen production under UV and visible light irradiation</w:t>
      </w:r>
      <w:r w:rsidR="002A7F05">
        <w:rPr>
          <w:noProof/>
        </w:rPr>
        <w:t>,</w:t>
      </w:r>
      <w:r w:rsidRPr="00462ED2">
        <w:rPr>
          <w:noProof/>
        </w:rPr>
        <w:t xml:space="preserve"> Inorg. Chem. Front.</w:t>
      </w:r>
      <w:r w:rsidR="002A7F05">
        <w:rPr>
          <w:noProof/>
        </w:rPr>
        <w:t>,</w:t>
      </w:r>
      <w:r w:rsidRPr="00462ED2">
        <w:rPr>
          <w:noProof/>
        </w:rPr>
        <w:t xml:space="preserve"> 8, 3491–3500.</w:t>
      </w:r>
    </w:p>
    <w:p w14:paraId="7C5C603A" w14:textId="40C76C10" w:rsidR="00462ED2" w:rsidRPr="00462ED2" w:rsidRDefault="00462ED2" w:rsidP="00E84878">
      <w:pPr>
        <w:pStyle w:val="CETReferencetext"/>
        <w:rPr>
          <w:noProof/>
        </w:rPr>
      </w:pPr>
      <w:r w:rsidRPr="00462ED2">
        <w:rPr>
          <w:noProof/>
        </w:rPr>
        <w:t>Etacheri, V., Di Valentin, C., Schneider, J., Bahnemann, D., Pillai, S.C., 2015</w:t>
      </w:r>
      <w:r w:rsidR="002A7F05">
        <w:rPr>
          <w:noProof/>
        </w:rPr>
        <w:t>,</w:t>
      </w:r>
      <w:r w:rsidRPr="00462ED2">
        <w:rPr>
          <w:noProof/>
        </w:rPr>
        <w:t xml:space="preserve"> Visible-light activation of TiO</w:t>
      </w:r>
      <w:r w:rsidRPr="002A7F05">
        <w:rPr>
          <w:noProof/>
          <w:vertAlign w:val="subscript"/>
        </w:rPr>
        <w:t>2</w:t>
      </w:r>
      <w:r w:rsidRPr="00462ED2">
        <w:rPr>
          <w:noProof/>
        </w:rPr>
        <w:t xml:space="preserve"> photocatalysts: Advances in theory and experiments</w:t>
      </w:r>
      <w:r w:rsidR="002A7F05">
        <w:rPr>
          <w:noProof/>
        </w:rPr>
        <w:t>,</w:t>
      </w:r>
      <w:r w:rsidRPr="00462ED2">
        <w:rPr>
          <w:noProof/>
        </w:rPr>
        <w:t xml:space="preserve"> J. Photochem. Photobiol. C Photochem. Rev.</w:t>
      </w:r>
      <w:r w:rsidR="002A7F05">
        <w:rPr>
          <w:noProof/>
        </w:rPr>
        <w:t>,</w:t>
      </w:r>
      <w:r w:rsidRPr="00462ED2">
        <w:rPr>
          <w:noProof/>
        </w:rPr>
        <w:t xml:space="preserve"> 25, 1–29.</w:t>
      </w:r>
    </w:p>
    <w:p w14:paraId="7EE488BA" w14:textId="46E84AA7" w:rsidR="00462ED2" w:rsidRPr="00462ED2" w:rsidRDefault="00462ED2" w:rsidP="00E84878">
      <w:pPr>
        <w:pStyle w:val="CETReferencetext"/>
        <w:rPr>
          <w:noProof/>
        </w:rPr>
      </w:pPr>
      <w:r w:rsidRPr="00462ED2">
        <w:rPr>
          <w:noProof/>
        </w:rPr>
        <w:t>Fernández-Catalá, J., Navlani-García, M., Verma, P., Berenguer-Murcia, Á., Mori, K., Kuwahara, Y., Yamashita, H., Cazorla-Amorós, D., 2021</w:t>
      </w:r>
      <w:r w:rsidR="002A7F05">
        <w:rPr>
          <w:noProof/>
        </w:rPr>
        <w:t>,</w:t>
      </w:r>
      <w:r w:rsidRPr="00462ED2">
        <w:rPr>
          <w:noProof/>
        </w:rPr>
        <w:t xml:space="preserve"> Photocatalytically-driven H</w:t>
      </w:r>
      <w:r w:rsidRPr="00462ED2">
        <w:rPr>
          <w:noProof/>
          <w:vertAlign w:val="subscript"/>
        </w:rPr>
        <w:t>2</w:t>
      </w:r>
      <w:r w:rsidRPr="00462ED2">
        <w:rPr>
          <w:noProof/>
        </w:rPr>
        <w:t xml:space="preserve"> production over Cu/TiO</w:t>
      </w:r>
      <w:r w:rsidRPr="00462ED2">
        <w:rPr>
          <w:noProof/>
          <w:vertAlign w:val="subscript"/>
        </w:rPr>
        <w:t>2</w:t>
      </w:r>
      <w:r w:rsidRPr="00462ED2">
        <w:rPr>
          <w:noProof/>
        </w:rPr>
        <w:t xml:space="preserve"> catalysts decorated with multi-walled carbon nanotubes</w:t>
      </w:r>
      <w:r w:rsidR="002A7F05">
        <w:rPr>
          <w:noProof/>
        </w:rPr>
        <w:t>,</w:t>
      </w:r>
      <w:r w:rsidRPr="00462ED2">
        <w:rPr>
          <w:noProof/>
        </w:rPr>
        <w:t xml:space="preserve"> Catal. Today</w:t>
      </w:r>
      <w:r w:rsidR="002A7F05">
        <w:rPr>
          <w:noProof/>
        </w:rPr>
        <w:t>,</w:t>
      </w:r>
      <w:r w:rsidRPr="00462ED2">
        <w:rPr>
          <w:noProof/>
        </w:rPr>
        <w:t xml:space="preserve"> 364, 182–189.</w:t>
      </w:r>
    </w:p>
    <w:p w14:paraId="205E4AEC" w14:textId="72DB3604" w:rsidR="00462ED2" w:rsidRPr="00462ED2" w:rsidRDefault="00462ED2" w:rsidP="00E84878">
      <w:pPr>
        <w:pStyle w:val="CETReferencetext"/>
        <w:rPr>
          <w:noProof/>
        </w:rPr>
      </w:pPr>
      <w:r w:rsidRPr="00462ED2">
        <w:rPr>
          <w:noProof/>
        </w:rPr>
        <w:t>Fonseca, J. de M., Pabón, N.Y.L., Nandi, L.G., Valencia, G.A., Moreira, R. de F.P.M., Monteiro, A.R., 2021</w:t>
      </w:r>
      <w:r w:rsidR="000B76FF">
        <w:rPr>
          <w:noProof/>
        </w:rPr>
        <w:t>,</w:t>
      </w:r>
      <w:r w:rsidRPr="00462ED2">
        <w:rPr>
          <w:noProof/>
        </w:rPr>
        <w:t xml:space="preserve"> Gelatin-TiO</w:t>
      </w:r>
      <w:r w:rsidRPr="00462ED2">
        <w:rPr>
          <w:noProof/>
          <w:vertAlign w:val="subscript"/>
        </w:rPr>
        <w:t>2</w:t>
      </w:r>
      <w:r w:rsidRPr="00462ED2">
        <w:rPr>
          <w:noProof/>
        </w:rPr>
        <w:t>-coated expanded polyethylene foam nets as ethylene scavengers for fruit postharvest application</w:t>
      </w:r>
      <w:r w:rsidR="000B76FF">
        <w:rPr>
          <w:noProof/>
        </w:rPr>
        <w:t>,</w:t>
      </w:r>
      <w:r w:rsidRPr="00462ED2">
        <w:rPr>
          <w:noProof/>
        </w:rPr>
        <w:t xml:space="preserve"> Postharvest Biol. Technol.</w:t>
      </w:r>
      <w:r w:rsidR="000B76FF">
        <w:rPr>
          <w:noProof/>
        </w:rPr>
        <w:t>,</w:t>
      </w:r>
      <w:r w:rsidRPr="00462ED2">
        <w:rPr>
          <w:noProof/>
        </w:rPr>
        <w:t xml:space="preserve"> 180, 111602.</w:t>
      </w:r>
    </w:p>
    <w:p w14:paraId="5C6D033E" w14:textId="5A4DA9D0" w:rsidR="00462ED2" w:rsidRPr="00462ED2" w:rsidRDefault="00462ED2" w:rsidP="00E84878">
      <w:pPr>
        <w:pStyle w:val="CETReferencetext"/>
        <w:rPr>
          <w:noProof/>
        </w:rPr>
      </w:pPr>
      <w:r w:rsidRPr="00462ED2">
        <w:rPr>
          <w:noProof/>
        </w:rPr>
        <w:t>Fraga, F.C., Della Rocca, D.G., José, H.J., Victória, H.F.V., Gabriel Filho, J.B., Krambrock, K., Rodríguez-Castellón, E., Moreira, R. de F.P.M., 2022</w:t>
      </w:r>
      <w:r w:rsidR="000B76FF">
        <w:rPr>
          <w:noProof/>
        </w:rPr>
        <w:t>,</w:t>
      </w:r>
      <w:r w:rsidRPr="00462ED2">
        <w:rPr>
          <w:noProof/>
        </w:rPr>
        <w:t xml:space="preserve"> Evaluation of reactive oxygen species and photocatalytic degradation of ethylene using β-Ag</w:t>
      </w:r>
      <w:r w:rsidRPr="00462ED2">
        <w:rPr>
          <w:noProof/>
          <w:vertAlign w:val="subscript"/>
        </w:rPr>
        <w:t>2</w:t>
      </w:r>
      <w:r w:rsidRPr="00462ED2">
        <w:rPr>
          <w:noProof/>
        </w:rPr>
        <w:t>MoO</w:t>
      </w:r>
      <w:r w:rsidRPr="00462ED2">
        <w:rPr>
          <w:noProof/>
          <w:vertAlign w:val="subscript"/>
        </w:rPr>
        <w:t>4</w:t>
      </w:r>
      <w:r w:rsidRPr="00462ED2">
        <w:rPr>
          <w:noProof/>
        </w:rPr>
        <w:t>/g-C</w:t>
      </w:r>
      <w:r w:rsidRPr="00462ED2">
        <w:rPr>
          <w:noProof/>
          <w:vertAlign w:val="subscript"/>
        </w:rPr>
        <w:t>3</w:t>
      </w:r>
      <w:r w:rsidRPr="00462ED2">
        <w:rPr>
          <w:noProof/>
        </w:rPr>
        <w:t>N</w:t>
      </w:r>
      <w:r w:rsidRPr="00462ED2">
        <w:rPr>
          <w:noProof/>
          <w:vertAlign w:val="subscript"/>
        </w:rPr>
        <w:t>4</w:t>
      </w:r>
      <w:r w:rsidRPr="00462ED2">
        <w:rPr>
          <w:noProof/>
        </w:rPr>
        <w:t xml:space="preserve"> composites</w:t>
      </w:r>
      <w:r w:rsidR="000B76FF">
        <w:rPr>
          <w:noProof/>
        </w:rPr>
        <w:t>,</w:t>
      </w:r>
      <w:r w:rsidRPr="00462ED2">
        <w:rPr>
          <w:noProof/>
        </w:rPr>
        <w:t xml:space="preserve"> J. Photochem. Photobiol. A Chem.</w:t>
      </w:r>
      <w:r w:rsidR="000B76FF">
        <w:rPr>
          <w:noProof/>
        </w:rPr>
        <w:t>,</w:t>
      </w:r>
      <w:r w:rsidRPr="00462ED2">
        <w:rPr>
          <w:noProof/>
        </w:rPr>
        <w:t xml:space="preserve"> 432, 114102.</w:t>
      </w:r>
    </w:p>
    <w:p w14:paraId="5D22549D" w14:textId="7291B989" w:rsidR="00462ED2" w:rsidRPr="00462ED2" w:rsidRDefault="00462ED2" w:rsidP="00E84878">
      <w:pPr>
        <w:pStyle w:val="CETReferencetext"/>
        <w:rPr>
          <w:noProof/>
        </w:rPr>
      </w:pPr>
      <w:r w:rsidRPr="00462ED2">
        <w:rPr>
          <w:noProof/>
        </w:rPr>
        <w:t>Gaikwad, K.K., Singh, S., Negi, Y.S., 2020</w:t>
      </w:r>
      <w:r w:rsidR="000B76FF">
        <w:rPr>
          <w:noProof/>
        </w:rPr>
        <w:t xml:space="preserve">, </w:t>
      </w:r>
      <w:r w:rsidRPr="00462ED2">
        <w:rPr>
          <w:noProof/>
        </w:rPr>
        <w:t>Ethylene scavengers for active packaging of fresh food produce</w:t>
      </w:r>
      <w:r w:rsidR="00476958">
        <w:rPr>
          <w:noProof/>
        </w:rPr>
        <w:t>,</w:t>
      </w:r>
      <w:r w:rsidRPr="00462ED2">
        <w:rPr>
          <w:noProof/>
        </w:rPr>
        <w:t xml:space="preserve"> Environ. Chem. Lett.</w:t>
      </w:r>
      <w:r w:rsidR="00476958">
        <w:rPr>
          <w:noProof/>
        </w:rPr>
        <w:t>,</w:t>
      </w:r>
      <w:r w:rsidRPr="00462ED2">
        <w:rPr>
          <w:noProof/>
        </w:rPr>
        <w:t xml:space="preserve"> 18, 269–284.</w:t>
      </w:r>
    </w:p>
    <w:p w14:paraId="0914E4E1" w14:textId="6BE61C2D" w:rsidR="00462ED2" w:rsidRPr="00462ED2" w:rsidRDefault="00462ED2" w:rsidP="00E84878">
      <w:pPr>
        <w:pStyle w:val="CETReferencetext"/>
        <w:rPr>
          <w:noProof/>
        </w:rPr>
      </w:pPr>
      <w:r w:rsidRPr="00462ED2">
        <w:rPr>
          <w:noProof/>
        </w:rPr>
        <w:t>Hauchecorne, B., Tytgat, T., Verbruggen, S.W., Hauchecorne, D., Terrens, D., Smits, M., Vinken, K., Lenaerts, S., 2011</w:t>
      </w:r>
      <w:r w:rsidR="00476958">
        <w:rPr>
          <w:noProof/>
        </w:rPr>
        <w:t>,</w:t>
      </w:r>
      <w:r w:rsidRPr="00462ED2">
        <w:rPr>
          <w:noProof/>
        </w:rPr>
        <w:t xml:space="preserve"> Photocatalytic degradation of ethylene: An FTIR in situ study under atmospheric conditions</w:t>
      </w:r>
      <w:r w:rsidR="00476958">
        <w:rPr>
          <w:noProof/>
        </w:rPr>
        <w:t>,</w:t>
      </w:r>
      <w:r w:rsidRPr="00462ED2">
        <w:rPr>
          <w:noProof/>
        </w:rPr>
        <w:t xml:space="preserve"> Appl. Catal. B Environ.</w:t>
      </w:r>
      <w:r w:rsidR="00476958">
        <w:rPr>
          <w:noProof/>
        </w:rPr>
        <w:t>,</w:t>
      </w:r>
      <w:r w:rsidRPr="00462ED2">
        <w:rPr>
          <w:noProof/>
        </w:rPr>
        <w:t xml:space="preserve"> 105, 111–116.</w:t>
      </w:r>
    </w:p>
    <w:p w14:paraId="019D370D" w14:textId="4261171D" w:rsidR="00462ED2" w:rsidRPr="00462ED2" w:rsidRDefault="00462ED2" w:rsidP="00E84878">
      <w:pPr>
        <w:pStyle w:val="CETReferencetext"/>
        <w:rPr>
          <w:noProof/>
        </w:rPr>
      </w:pPr>
      <w:r w:rsidRPr="00462ED2">
        <w:rPr>
          <w:noProof/>
        </w:rPr>
        <w:t>Hernando, A., Ariyanto, T., Prasetyo, I., 2019</w:t>
      </w:r>
      <w:r w:rsidR="00476958">
        <w:rPr>
          <w:noProof/>
        </w:rPr>
        <w:t>,</w:t>
      </w:r>
      <w:r w:rsidRPr="00462ED2">
        <w:rPr>
          <w:noProof/>
        </w:rPr>
        <w:t xml:space="preserve"> Preserving </w:t>
      </w:r>
      <w:r w:rsidR="00476958">
        <w:rPr>
          <w:noProof/>
        </w:rPr>
        <w:t>c</w:t>
      </w:r>
      <w:r w:rsidRPr="00462ED2">
        <w:rPr>
          <w:noProof/>
        </w:rPr>
        <w:t xml:space="preserve">limacteric </w:t>
      </w:r>
      <w:r w:rsidR="00476958">
        <w:rPr>
          <w:noProof/>
        </w:rPr>
        <w:t>f</w:t>
      </w:r>
      <w:r w:rsidRPr="00462ED2">
        <w:rPr>
          <w:noProof/>
        </w:rPr>
        <w:t xml:space="preserve">ruits by </w:t>
      </w:r>
      <w:r w:rsidR="00476958">
        <w:rPr>
          <w:noProof/>
        </w:rPr>
        <w:t>r</w:t>
      </w:r>
      <w:r w:rsidRPr="00462ED2">
        <w:rPr>
          <w:noProof/>
        </w:rPr>
        <w:t xml:space="preserve">ipening </w:t>
      </w:r>
      <w:r w:rsidR="00476958">
        <w:rPr>
          <w:noProof/>
        </w:rPr>
        <w:t>h</w:t>
      </w:r>
      <w:r w:rsidRPr="00462ED2">
        <w:rPr>
          <w:noProof/>
        </w:rPr>
        <w:t xml:space="preserve">ormone </w:t>
      </w:r>
      <w:r w:rsidR="00476958">
        <w:rPr>
          <w:noProof/>
        </w:rPr>
        <w:t>o</w:t>
      </w:r>
      <w:r w:rsidRPr="00462ED2">
        <w:rPr>
          <w:noProof/>
        </w:rPr>
        <w:t>xidation using nano-KMnO</w:t>
      </w:r>
      <w:r w:rsidRPr="00462ED2">
        <w:rPr>
          <w:noProof/>
          <w:vertAlign w:val="subscript"/>
        </w:rPr>
        <w:t>4</w:t>
      </w:r>
      <w:r w:rsidRPr="00462ED2">
        <w:rPr>
          <w:noProof/>
        </w:rPr>
        <w:t xml:space="preserve"> </w:t>
      </w:r>
      <w:r w:rsidR="00476958">
        <w:rPr>
          <w:noProof/>
        </w:rPr>
        <w:t>c</w:t>
      </w:r>
      <w:r w:rsidRPr="00462ED2">
        <w:rPr>
          <w:noProof/>
        </w:rPr>
        <w:t xml:space="preserve">onfined within </w:t>
      </w:r>
      <w:r w:rsidR="00476958">
        <w:rPr>
          <w:noProof/>
        </w:rPr>
        <w:t>n</w:t>
      </w:r>
      <w:r w:rsidRPr="00462ED2">
        <w:rPr>
          <w:noProof/>
        </w:rPr>
        <w:t xml:space="preserve">anoporous </w:t>
      </w:r>
      <w:r w:rsidR="00476958">
        <w:rPr>
          <w:noProof/>
        </w:rPr>
        <w:t>c</w:t>
      </w:r>
      <w:r w:rsidRPr="00462ED2">
        <w:rPr>
          <w:noProof/>
        </w:rPr>
        <w:t>arbon</w:t>
      </w:r>
      <w:r w:rsidR="00476958">
        <w:rPr>
          <w:noProof/>
        </w:rPr>
        <w:t>,</w:t>
      </w:r>
      <w:r w:rsidRPr="00462ED2">
        <w:rPr>
          <w:noProof/>
        </w:rPr>
        <w:t xml:space="preserve"> ASEAN J. Chem. Eng.</w:t>
      </w:r>
      <w:r w:rsidR="00476958">
        <w:rPr>
          <w:noProof/>
        </w:rPr>
        <w:t>,</w:t>
      </w:r>
      <w:r w:rsidRPr="00462ED2">
        <w:rPr>
          <w:noProof/>
        </w:rPr>
        <w:t xml:space="preserve"> 19, 54–65.</w:t>
      </w:r>
    </w:p>
    <w:p w14:paraId="0755A0C1" w14:textId="5826CA78" w:rsidR="00462ED2" w:rsidRPr="00462ED2" w:rsidRDefault="00462ED2" w:rsidP="00E84878">
      <w:pPr>
        <w:pStyle w:val="CETReferencetext"/>
        <w:rPr>
          <w:noProof/>
        </w:rPr>
      </w:pPr>
      <w:r w:rsidRPr="00462ED2">
        <w:rPr>
          <w:noProof/>
        </w:rPr>
        <w:t>Hu, B., Sun, D.-W., Pu, H., Wei, Q., 2019</w:t>
      </w:r>
      <w:r w:rsidR="00476958">
        <w:rPr>
          <w:noProof/>
        </w:rPr>
        <w:t>,</w:t>
      </w:r>
      <w:r w:rsidRPr="00462ED2">
        <w:rPr>
          <w:noProof/>
        </w:rPr>
        <w:t xml:space="preserve"> Recent advances in detecting and regulating ethylene concentrations for shelf-life extension and maturity control of fruit: A review</w:t>
      </w:r>
      <w:r w:rsidR="00476958">
        <w:rPr>
          <w:noProof/>
        </w:rPr>
        <w:t>,</w:t>
      </w:r>
      <w:r w:rsidRPr="00462ED2">
        <w:rPr>
          <w:noProof/>
        </w:rPr>
        <w:t xml:space="preserve"> Trends Food Sci. Technol.</w:t>
      </w:r>
      <w:r w:rsidR="00476958">
        <w:rPr>
          <w:noProof/>
        </w:rPr>
        <w:t>,</w:t>
      </w:r>
      <w:r w:rsidRPr="00462ED2">
        <w:rPr>
          <w:noProof/>
        </w:rPr>
        <w:t xml:space="preserve"> 91, 66–82.</w:t>
      </w:r>
    </w:p>
    <w:p w14:paraId="7B04B3F9" w14:textId="363C2D1B" w:rsidR="00462ED2" w:rsidRPr="00462ED2" w:rsidRDefault="00462ED2" w:rsidP="00E84878">
      <w:pPr>
        <w:pStyle w:val="CETReferencetext"/>
        <w:rPr>
          <w:noProof/>
        </w:rPr>
      </w:pPr>
      <w:r w:rsidRPr="00462ED2">
        <w:rPr>
          <w:noProof/>
        </w:rPr>
        <w:t>Huo, Y., Wang, Z., Zhang, J., Liang, C., Dai, K., 2018</w:t>
      </w:r>
      <w:r w:rsidR="00476958">
        <w:rPr>
          <w:noProof/>
        </w:rPr>
        <w:t>,</w:t>
      </w:r>
      <w:r w:rsidRPr="00462ED2">
        <w:rPr>
          <w:noProof/>
        </w:rPr>
        <w:t xml:space="preserve"> Ag SPR-promoted 2D porous g-C</w:t>
      </w:r>
      <w:r w:rsidRPr="00462ED2">
        <w:rPr>
          <w:noProof/>
          <w:vertAlign w:val="subscript"/>
        </w:rPr>
        <w:t>3</w:t>
      </w:r>
      <w:r w:rsidRPr="00462ED2">
        <w:rPr>
          <w:noProof/>
        </w:rPr>
        <w:t>N</w:t>
      </w:r>
      <w:r w:rsidRPr="00462ED2">
        <w:rPr>
          <w:noProof/>
          <w:vertAlign w:val="subscript"/>
        </w:rPr>
        <w:t>4</w:t>
      </w:r>
      <w:r w:rsidRPr="00462ED2">
        <w:rPr>
          <w:noProof/>
        </w:rPr>
        <w:t>/Ag</w:t>
      </w:r>
      <w:r w:rsidRPr="00462ED2">
        <w:rPr>
          <w:noProof/>
          <w:vertAlign w:val="subscript"/>
        </w:rPr>
        <w:t>2</w:t>
      </w:r>
      <w:r w:rsidRPr="00462ED2">
        <w:rPr>
          <w:noProof/>
        </w:rPr>
        <w:t>MoO</w:t>
      </w:r>
      <w:r w:rsidRPr="00462ED2">
        <w:rPr>
          <w:noProof/>
          <w:vertAlign w:val="subscript"/>
        </w:rPr>
        <w:t>4</w:t>
      </w:r>
      <w:r w:rsidRPr="00462ED2">
        <w:rPr>
          <w:noProof/>
        </w:rPr>
        <w:t xml:space="preserve"> composites for enhanced photocatalytic performance towards methylene blue degradation</w:t>
      </w:r>
      <w:r w:rsidR="00476958">
        <w:rPr>
          <w:noProof/>
        </w:rPr>
        <w:t>,</w:t>
      </w:r>
      <w:r w:rsidRPr="00462ED2">
        <w:rPr>
          <w:noProof/>
        </w:rPr>
        <w:t xml:space="preserve"> Appl. Surf. Sci.</w:t>
      </w:r>
      <w:r w:rsidR="00476958">
        <w:rPr>
          <w:noProof/>
        </w:rPr>
        <w:t>,</w:t>
      </w:r>
      <w:r w:rsidRPr="00462ED2">
        <w:rPr>
          <w:noProof/>
        </w:rPr>
        <w:t xml:space="preserve"> 459, 271–280.</w:t>
      </w:r>
    </w:p>
    <w:p w14:paraId="7E795512" w14:textId="497B7F2D" w:rsidR="00462ED2" w:rsidRPr="00462ED2" w:rsidRDefault="00462ED2" w:rsidP="00E84878">
      <w:pPr>
        <w:pStyle w:val="CETReferencetext"/>
        <w:rPr>
          <w:noProof/>
        </w:rPr>
      </w:pPr>
      <w:r w:rsidRPr="00462ED2">
        <w:rPr>
          <w:noProof/>
        </w:rPr>
        <w:t>Kitano, S., Tanaka, A., Hashimoto, K., Kominami, H., 2016</w:t>
      </w:r>
      <w:r w:rsidR="00476958">
        <w:rPr>
          <w:noProof/>
        </w:rPr>
        <w:t>,</w:t>
      </w:r>
      <w:r w:rsidRPr="00462ED2">
        <w:rPr>
          <w:noProof/>
        </w:rPr>
        <w:t xml:space="preserve"> Metal ion-modified TiO</w:t>
      </w:r>
      <w:r w:rsidRPr="00462ED2">
        <w:rPr>
          <w:noProof/>
          <w:vertAlign w:val="subscript"/>
        </w:rPr>
        <w:t>2</w:t>
      </w:r>
      <w:r w:rsidRPr="00462ED2">
        <w:rPr>
          <w:noProof/>
        </w:rPr>
        <w:t xml:space="preserve"> photocatalysts having controllable oxidative performance under irradiation of visible light</w:t>
      </w:r>
      <w:r w:rsidR="00476958">
        <w:rPr>
          <w:noProof/>
        </w:rPr>
        <w:t>,</w:t>
      </w:r>
      <w:r w:rsidRPr="00462ED2">
        <w:rPr>
          <w:noProof/>
        </w:rPr>
        <w:t xml:space="preserve"> Appl. Catal. A Gen.</w:t>
      </w:r>
      <w:r w:rsidR="00476958">
        <w:rPr>
          <w:noProof/>
        </w:rPr>
        <w:t>,</w:t>
      </w:r>
      <w:r w:rsidRPr="00462ED2">
        <w:rPr>
          <w:noProof/>
        </w:rPr>
        <w:t xml:space="preserve"> 521, 202–207.</w:t>
      </w:r>
    </w:p>
    <w:p w14:paraId="0FC194A5" w14:textId="00A375E5" w:rsidR="00462ED2" w:rsidRPr="00462ED2" w:rsidRDefault="00462ED2" w:rsidP="00E84878">
      <w:pPr>
        <w:pStyle w:val="CETReferencetext"/>
        <w:rPr>
          <w:noProof/>
        </w:rPr>
      </w:pPr>
      <w:r w:rsidRPr="00462ED2">
        <w:rPr>
          <w:noProof/>
        </w:rPr>
        <w:t>López, R., Gómez, R., 2012</w:t>
      </w:r>
      <w:r w:rsidR="00476958">
        <w:rPr>
          <w:noProof/>
        </w:rPr>
        <w:t>,</w:t>
      </w:r>
      <w:r w:rsidRPr="00462ED2">
        <w:rPr>
          <w:noProof/>
        </w:rPr>
        <w:t xml:space="preserve"> Band-gap energy estimation from diffuse reflectance measurements on sol-gel and commercial TiO</w:t>
      </w:r>
      <w:r w:rsidRPr="00462ED2">
        <w:rPr>
          <w:noProof/>
          <w:vertAlign w:val="subscript"/>
        </w:rPr>
        <w:t>2</w:t>
      </w:r>
      <w:r w:rsidRPr="00462ED2">
        <w:rPr>
          <w:noProof/>
        </w:rPr>
        <w:t>: A comparative study</w:t>
      </w:r>
      <w:r w:rsidR="00476958">
        <w:rPr>
          <w:noProof/>
        </w:rPr>
        <w:t>,</w:t>
      </w:r>
      <w:r w:rsidRPr="00462ED2">
        <w:rPr>
          <w:noProof/>
        </w:rPr>
        <w:t xml:space="preserve"> J. Sol-Gel Sci. Technol.</w:t>
      </w:r>
      <w:r w:rsidR="00476958">
        <w:rPr>
          <w:noProof/>
        </w:rPr>
        <w:t>,</w:t>
      </w:r>
      <w:r w:rsidRPr="00462ED2">
        <w:rPr>
          <w:noProof/>
        </w:rPr>
        <w:t xml:space="preserve"> 61, 1–7.</w:t>
      </w:r>
    </w:p>
    <w:p w14:paraId="10703039" w14:textId="1CBBB04C" w:rsidR="00462ED2" w:rsidRPr="00462ED2" w:rsidRDefault="00462ED2" w:rsidP="00E84878">
      <w:pPr>
        <w:pStyle w:val="CETReferencetext"/>
        <w:rPr>
          <w:noProof/>
        </w:rPr>
      </w:pPr>
      <w:r w:rsidRPr="00462ED2">
        <w:rPr>
          <w:noProof/>
        </w:rPr>
        <w:t>Muñoz-Batista, M.J., Andrini, L., Requejo, F.G., Gómez-Cerezo, M.N., Fernández-García, M., Kubacka, A., 2020</w:t>
      </w:r>
      <w:r w:rsidR="00476958">
        <w:rPr>
          <w:noProof/>
        </w:rPr>
        <w:t xml:space="preserve">, </w:t>
      </w:r>
      <w:r w:rsidRPr="00462ED2">
        <w:rPr>
          <w:noProof/>
        </w:rPr>
        <w:t>Sunlight active g-C</w:t>
      </w:r>
      <w:r w:rsidRPr="00462ED2">
        <w:rPr>
          <w:noProof/>
          <w:vertAlign w:val="subscript"/>
        </w:rPr>
        <w:t>3</w:t>
      </w:r>
      <w:r w:rsidRPr="00462ED2">
        <w:rPr>
          <w:noProof/>
        </w:rPr>
        <w:t>N</w:t>
      </w:r>
      <w:r w:rsidRPr="00462ED2">
        <w:rPr>
          <w:noProof/>
          <w:vertAlign w:val="subscript"/>
        </w:rPr>
        <w:t>4</w:t>
      </w:r>
      <w:r w:rsidRPr="00462ED2">
        <w:rPr>
          <w:noProof/>
        </w:rPr>
        <w:t>-based M</w:t>
      </w:r>
      <w:r w:rsidRPr="00462ED2">
        <w:rPr>
          <w:noProof/>
          <w:vertAlign w:val="superscript"/>
        </w:rPr>
        <w:t>n+</w:t>
      </w:r>
      <w:r w:rsidRPr="00462ED2">
        <w:rPr>
          <w:noProof/>
        </w:rPr>
        <w:t xml:space="preserve"> (M = Cu, Ni, Zn, Mn) – promoted catalysts: Sharing of nitrogen atoms as a door for optimizing photo-activity</w:t>
      </w:r>
      <w:r w:rsidR="00476958">
        <w:rPr>
          <w:noProof/>
        </w:rPr>
        <w:t>,</w:t>
      </w:r>
      <w:r w:rsidRPr="00462ED2">
        <w:rPr>
          <w:noProof/>
        </w:rPr>
        <w:t xml:space="preserve"> Mol. Catal.</w:t>
      </w:r>
      <w:r w:rsidR="00476958">
        <w:rPr>
          <w:noProof/>
        </w:rPr>
        <w:t>,</w:t>
      </w:r>
      <w:r w:rsidRPr="00462ED2">
        <w:rPr>
          <w:noProof/>
        </w:rPr>
        <w:t xml:space="preserve"> 484, 110725.</w:t>
      </w:r>
    </w:p>
    <w:p w14:paraId="3AF6A99D" w14:textId="240D3B1A" w:rsidR="00462ED2" w:rsidRPr="00462ED2" w:rsidRDefault="00462ED2" w:rsidP="00E84878">
      <w:pPr>
        <w:pStyle w:val="CETReferencetext"/>
        <w:rPr>
          <w:noProof/>
        </w:rPr>
      </w:pPr>
      <w:r w:rsidRPr="00462ED2">
        <w:rPr>
          <w:noProof/>
        </w:rPr>
        <w:t>Pascariu, P., Cojocaru, C., Samoila, P., Airinei, A., Olaru, N., Rotaru, A., Romanitan, C., Tudoran, L.B., Suchea, M., 2022</w:t>
      </w:r>
      <w:r w:rsidR="00476958">
        <w:rPr>
          <w:noProof/>
        </w:rPr>
        <w:t>,</w:t>
      </w:r>
      <w:r w:rsidRPr="00462ED2">
        <w:rPr>
          <w:noProof/>
        </w:rPr>
        <w:t xml:space="preserve"> Cu/TiO</w:t>
      </w:r>
      <w:r w:rsidRPr="00462ED2">
        <w:rPr>
          <w:noProof/>
          <w:vertAlign w:val="subscript"/>
        </w:rPr>
        <w:t>2</w:t>
      </w:r>
      <w:r w:rsidRPr="00462ED2">
        <w:rPr>
          <w:noProof/>
        </w:rPr>
        <w:t xml:space="preserve"> composite nanofibers with improved photocatalytic performance under UV and UV–visible light irradiation</w:t>
      </w:r>
      <w:r w:rsidR="00476958">
        <w:rPr>
          <w:noProof/>
        </w:rPr>
        <w:t>,</w:t>
      </w:r>
      <w:r w:rsidRPr="00462ED2">
        <w:rPr>
          <w:noProof/>
        </w:rPr>
        <w:t xml:space="preserve"> Surfaces and Interfaces</w:t>
      </w:r>
      <w:r w:rsidR="00476958">
        <w:rPr>
          <w:noProof/>
        </w:rPr>
        <w:t xml:space="preserve">, </w:t>
      </w:r>
      <w:r w:rsidRPr="00462ED2">
        <w:rPr>
          <w:noProof/>
        </w:rPr>
        <w:t>28, 101644.</w:t>
      </w:r>
    </w:p>
    <w:p w14:paraId="23D5BAA3" w14:textId="6754B7FA" w:rsidR="00462ED2" w:rsidRPr="00462ED2" w:rsidRDefault="00462ED2" w:rsidP="00E84878">
      <w:pPr>
        <w:pStyle w:val="CETReferencetext"/>
        <w:rPr>
          <w:noProof/>
        </w:rPr>
      </w:pPr>
      <w:r w:rsidRPr="00462ED2">
        <w:rPr>
          <w:noProof/>
        </w:rPr>
        <w:t>Phakdee, N., Chaiprasart, P., 2020</w:t>
      </w:r>
      <w:r w:rsidR="00476958">
        <w:rPr>
          <w:noProof/>
        </w:rPr>
        <w:t>,</w:t>
      </w:r>
      <w:r w:rsidRPr="00462ED2">
        <w:rPr>
          <w:noProof/>
        </w:rPr>
        <w:t xml:space="preserve"> Modified </w:t>
      </w:r>
      <w:r w:rsidR="00476958">
        <w:rPr>
          <w:noProof/>
        </w:rPr>
        <w:t>a</w:t>
      </w:r>
      <w:r w:rsidRPr="00462ED2">
        <w:rPr>
          <w:noProof/>
        </w:rPr>
        <w:t xml:space="preserve">tmosphere </w:t>
      </w:r>
      <w:r w:rsidR="00476958">
        <w:rPr>
          <w:noProof/>
        </w:rPr>
        <w:t>s</w:t>
      </w:r>
      <w:r w:rsidRPr="00462ED2">
        <w:rPr>
          <w:noProof/>
        </w:rPr>
        <w:t xml:space="preserve">torage </w:t>
      </w:r>
      <w:r w:rsidR="00476958">
        <w:rPr>
          <w:noProof/>
        </w:rPr>
        <w:t>e</w:t>
      </w:r>
      <w:r w:rsidRPr="00462ED2">
        <w:rPr>
          <w:noProof/>
        </w:rPr>
        <w:t xml:space="preserve">xtends the </w:t>
      </w:r>
      <w:r w:rsidR="00476958">
        <w:rPr>
          <w:noProof/>
        </w:rPr>
        <w:t>s</w:t>
      </w:r>
      <w:r w:rsidRPr="00462ED2">
        <w:rPr>
          <w:noProof/>
        </w:rPr>
        <w:t xml:space="preserve">helf </w:t>
      </w:r>
      <w:r w:rsidR="00476958">
        <w:rPr>
          <w:noProof/>
        </w:rPr>
        <w:t>l</w:t>
      </w:r>
      <w:r w:rsidRPr="00462ED2">
        <w:rPr>
          <w:noProof/>
        </w:rPr>
        <w:t xml:space="preserve">ife of ‘Nam Dok Mai Sri Tong’ </w:t>
      </w:r>
      <w:r w:rsidR="00476958">
        <w:rPr>
          <w:noProof/>
        </w:rPr>
        <w:t>m</w:t>
      </w:r>
      <w:r w:rsidRPr="00462ED2">
        <w:rPr>
          <w:noProof/>
        </w:rPr>
        <w:t xml:space="preserve">ango </w:t>
      </w:r>
      <w:r w:rsidR="00853B11">
        <w:rPr>
          <w:noProof/>
        </w:rPr>
        <w:t>f</w:t>
      </w:r>
      <w:r w:rsidRPr="00462ED2">
        <w:rPr>
          <w:noProof/>
        </w:rPr>
        <w:t>ruit</w:t>
      </w:r>
      <w:r w:rsidR="00853B11">
        <w:rPr>
          <w:noProof/>
        </w:rPr>
        <w:t>,</w:t>
      </w:r>
      <w:r w:rsidRPr="00462ED2">
        <w:rPr>
          <w:noProof/>
        </w:rPr>
        <w:t xml:space="preserve"> Int. J. Fruit Sci.</w:t>
      </w:r>
      <w:r w:rsidR="00853B11">
        <w:rPr>
          <w:noProof/>
        </w:rPr>
        <w:t>,</w:t>
      </w:r>
      <w:r w:rsidRPr="00462ED2">
        <w:rPr>
          <w:noProof/>
        </w:rPr>
        <w:t xml:space="preserve"> 20, 495–505.</w:t>
      </w:r>
    </w:p>
    <w:p w14:paraId="5965C772" w14:textId="7A4EF1A0" w:rsidR="00462ED2" w:rsidRPr="00462ED2" w:rsidRDefault="00462ED2" w:rsidP="00E84878">
      <w:pPr>
        <w:pStyle w:val="CETReferencetext"/>
        <w:rPr>
          <w:noProof/>
        </w:rPr>
      </w:pPr>
      <w:r w:rsidRPr="00462ED2">
        <w:rPr>
          <w:noProof/>
        </w:rPr>
        <w:t>Qi, K., Liu, S., Zada, A., 2020</w:t>
      </w:r>
      <w:r w:rsidR="00853B11">
        <w:rPr>
          <w:noProof/>
        </w:rPr>
        <w:t>,</w:t>
      </w:r>
      <w:r w:rsidRPr="00462ED2">
        <w:rPr>
          <w:noProof/>
        </w:rPr>
        <w:t xml:space="preserve"> Graphitic carbon nitride, a polymer photocatalyst</w:t>
      </w:r>
      <w:r w:rsidR="00853B11">
        <w:rPr>
          <w:noProof/>
        </w:rPr>
        <w:t>,</w:t>
      </w:r>
      <w:r w:rsidRPr="00462ED2">
        <w:rPr>
          <w:noProof/>
        </w:rPr>
        <w:t xml:space="preserve"> J. Taiwan Inst. Chem. Eng.</w:t>
      </w:r>
      <w:r w:rsidR="00853B11">
        <w:rPr>
          <w:noProof/>
        </w:rPr>
        <w:t>,</w:t>
      </w:r>
      <w:r w:rsidRPr="00462ED2">
        <w:rPr>
          <w:noProof/>
        </w:rPr>
        <w:t xml:space="preserve"> 109, 111–123.</w:t>
      </w:r>
    </w:p>
    <w:p w14:paraId="30A13E27" w14:textId="7460B82D" w:rsidR="00462ED2" w:rsidRPr="00462ED2" w:rsidRDefault="00462ED2" w:rsidP="00E84878">
      <w:pPr>
        <w:pStyle w:val="CETReferencetext"/>
        <w:rPr>
          <w:noProof/>
        </w:rPr>
      </w:pPr>
      <w:r w:rsidRPr="00462ED2">
        <w:rPr>
          <w:noProof/>
        </w:rPr>
        <w:t>Scherrer, P., 1912</w:t>
      </w:r>
      <w:r w:rsidR="00D10362">
        <w:rPr>
          <w:noProof/>
        </w:rPr>
        <w:t>,</w:t>
      </w:r>
      <w:r w:rsidRPr="00462ED2">
        <w:rPr>
          <w:noProof/>
        </w:rPr>
        <w:t xml:space="preserve"> Bestimmung der inneren Struktur und der Größe von Kolloidteilchen mittels Röntgenstrahlen. In: Kolloidchemie Ein Lehrbuch</w:t>
      </w:r>
      <w:r w:rsidR="00D10362">
        <w:rPr>
          <w:noProof/>
        </w:rPr>
        <w:t>,</w:t>
      </w:r>
      <w:r w:rsidRPr="00462ED2">
        <w:rPr>
          <w:noProof/>
        </w:rPr>
        <w:t xml:space="preserve"> Springer Berlin Heidelberg, Berlin, Heidelberg, pp. 387–409.</w:t>
      </w:r>
    </w:p>
    <w:p w14:paraId="34DA1A90" w14:textId="1AC0DD9F" w:rsidR="00462ED2" w:rsidRPr="00462ED2" w:rsidRDefault="00462ED2" w:rsidP="00E84878">
      <w:pPr>
        <w:pStyle w:val="CETReferencetext"/>
        <w:rPr>
          <w:noProof/>
        </w:rPr>
      </w:pPr>
      <w:r w:rsidRPr="00462ED2">
        <w:rPr>
          <w:noProof/>
        </w:rPr>
        <w:t>Sharma, S.K., Banerjee, A., Paul, B., Poddar, M.K., Sasaki, T., Samanta, C., Bal, R., 2021</w:t>
      </w:r>
      <w:r w:rsidR="00D10362">
        <w:rPr>
          <w:noProof/>
        </w:rPr>
        <w:t>,</w:t>
      </w:r>
      <w:r w:rsidRPr="00462ED2">
        <w:rPr>
          <w:noProof/>
        </w:rPr>
        <w:t xml:space="preserve"> Combined experimental and computational study to unravel the factors of the Cu/TiO</w:t>
      </w:r>
      <w:r w:rsidRPr="00462ED2">
        <w:rPr>
          <w:noProof/>
          <w:vertAlign w:val="subscript"/>
        </w:rPr>
        <w:t>2</w:t>
      </w:r>
      <w:r w:rsidRPr="00462ED2">
        <w:rPr>
          <w:noProof/>
        </w:rPr>
        <w:t xml:space="preserve"> catalyst for CO</w:t>
      </w:r>
      <w:r w:rsidRPr="00462ED2">
        <w:rPr>
          <w:noProof/>
          <w:vertAlign w:val="subscript"/>
        </w:rPr>
        <w:t>2</w:t>
      </w:r>
      <w:r w:rsidRPr="00462ED2">
        <w:rPr>
          <w:noProof/>
        </w:rPr>
        <w:t xml:space="preserve"> hydrogenation to methanol</w:t>
      </w:r>
      <w:r w:rsidR="00D10362">
        <w:rPr>
          <w:noProof/>
        </w:rPr>
        <w:t>,</w:t>
      </w:r>
      <w:r w:rsidRPr="00462ED2">
        <w:rPr>
          <w:noProof/>
        </w:rPr>
        <w:t xml:space="preserve"> J. CO2 Util.</w:t>
      </w:r>
      <w:r w:rsidR="00D10362">
        <w:rPr>
          <w:noProof/>
        </w:rPr>
        <w:t>,</w:t>
      </w:r>
      <w:r w:rsidRPr="00462ED2">
        <w:rPr>
          <w:noProof/>
        </w:rPr>
        <w:t xml:space="preserve"> 50, 101576.</w:t>
      </w:r>
    </w:p>
    <w:p w14:paraId="2E39C93A" w14:textId="4EFFA679" w:rsidR="00462ED2" w:rsidRPr="00462ED2" w:rsidRDefault="00462ED2" w:rsidP="00E84878">
      <w:pPr>
        <w:pStyle w:val="CETReferencetext"/>
        <w:rPr>
          <w:noProof/>
        </w:rPr>
      </w:pPr>
      <w:r w:rsidRPr="00462ED2">
        <w:rPr>
          <w:noProof/>
        </w:rPr>
        <w:t>Tauc, J., 1968</w:t>
      </w:r>
      <w:r w:rsidR="00D10362">
        <w:rPr>
          <w:noProof/>
        </w:rPr>
        <w:t>,</w:t>
      </w:r>
      <w:r w:rsidRPr="00462ED2">
        <w:rPr>
          <w:noProof/>
        </w:rPr>
        <w:t xml:space="preserve"> Optical properties and electronic structure of amorphous Ge and Si</w:t>
      </w:r>
      <w:r w:rsidR="00D10362">
        <w:rPr>
          <w:noProof/>
        </w:rPr>
        <w:t xml:space="preserve">, </w:t>
      </w:r>
      <w:r w:rsidRPr="00462ED2">
        <w:rPr>
          <w:noProof/>
        </w:rPr>
        <w:t>Mater. Res. Bull.</w:t>
      </w:r>
      <w:r w:rsidR="00D10362">
        <w:rPr>
          <w:noProof/>
        </w:rPr>
        <w:t>,</w:t>
      </w:r>
      <w:r w:rsidRPr="00462ED2">
        <w:rPr>
          <w:noProof/>
        </w:rPr>
        <w:t xml:space="preserve"> 3, 37–46.</w:t>
      </w:r>
    </w:p>
    <w:p w14:paraId="79E97169" w14:textId="33756545" w:rsidR="00462ED2" w:rsidRPr="00462ED2" w:rsidRDefault="00462ED2" w:rsidP="00E84878">
      <w:pPr>
        <w:pStyle w:val="CETReferencetext"/>
        <w:rPr>
          <w:noProof/>
        </w:rPr>
      </w:pPr>
      <w:r w:rsidRPr="00462ED2">
        <w:rPr>
          <w:noProof/>
        </w:rPr>
        <w:t>Thommes, M., Kaneko, K., Neimark, A. V., Olivier, J.P., Rodriguez-Reinoso, F., Rouquerol, J., Sing, K.S.W., 2015</w:t>
      </w:r>
      <w:r w:rsidR="00D10362">
        <w:rPr>
          <w:noProof/>
        </w:rPr>
        <w:t xml:space="preserve">, </w:t>
      </w:r>
      <w:r w:rsidRPr="00462ED2">
        <w:rPr>
          <w:noProof/>
        </w:rPr>
        <w:t>Physisorption of gases, with special reference to the evaluation of surface area and pore size distribution (IUPAC Technical Report)</w:t>
      </w:r>
      <w:r w:rsidR="00D10362">
        <w:rPr>
          <w:noProof/>
        </w:rPr>
        <w:t xml:space="preserve">, </w:t>
      </w:r>
      <w:r w:rsidRPr="00462ED2">
        <w:rPr>
          <w:noProof/>
        </w:rPr>
        <w:t>Pure Appl. Chem.</w:t>
      </w:r>
      <w:r w:rsidR="00D10362">
        <w:rPr>
          <w:noProof/>
        </w:rPr>
        <w:t>,</w:t>
      </w:r>
      <w:r w:rsidRPr="00462ED2">
        <w:rPr>
          <w:noProof/>
        </w:rPr>
        <w:t xml:space="preserve"> 87, 1051–1069.</w:t>
      </w:r>
    </w:p>
    <w:p w14:paraId="0BB0C3F5" w14:textId="480F5E0E" w:rsidR="00462ED2" w:rsidRPr="00462ED2" w:rsidRDefault="00462ED2" w:rsidP="00E84878">
      <w:pPr>
        <w:pStyle w:val="CETReferencetext"/>
        <w:rPr>
          <w:noProof/>
        </w:rPr>
      </w:pPr>
      <w:r w:rsidRPr="00462ED2">
        <w:rPr>
          <w:noProof/>
        </w:rPr>
        <w:t>Tirgar, A., Han, D., Steckl, A.J., 2018</w:t>
      </w:r>
      <w:r w:rsidR="00D10362">
        <w:rPr>
          <w:noProof/>
        </w:rPr>
        <w:t>,</w:t>
      </w:r>
      <w:r w:rsidRPr="00462ED2">
        <w:rPr>
          <w:noProof/>
        </w:rPr>
        <w:t xml:space="preserve"> Absorption of </w:t>
      </w:r>
      <w:r w:rsidR="00D10362">
        <w:rPr>
          <w:noProof/>
        </w:rPr>
        <w:t>e</w:t>
      </w:r>
      <w:r w:rsidRPr="00462ED2">
        <w:rPr>
          <w:noProof/>
        </w:rPr>
        <w:t xml:space="preserve">thylene on </w:t>
      </w:r>
      <w:r w:rsidR="00D10362">
        <w:rPr>
          <w:noProof/>
        </w:rPr>
        <w:t>m</w:t>
      </w:r>
      <w:r w:rsidRPr="00462ED2">
        <w:rPr>
          <w:noProof/>
        </w:rPr>
        <w:t xml:space="preserve">embranes </w:t>
      </w:r>
      <w:r w:rsidR="00D10362">
        <w:rPr>
          <w:noProof/>
        </w:rPr>
        <w:t>c</w:t>
      </w:r>
      <w:r w:rsidRPr="00462ED2">
        <w:rPr>
          <w:noProof/>
        </w:rPr>
        <w:t xml:space="preserve">ontaining </w:t>
      </w:r>
      <w:r w:rsidR="00D10362">
        <w:rPr>
          <w:noProof/>
        </w:rPr>
        <w:t>p</w:t>
      </w:r>
      <w:r w:rsidRPr="00462ED2">
        <w:rPr>
          <w:noProof/>
        </w:rPr>
        <w:t xml:space="preserve">otassium </w:t>
      </w:r>
      <w:r w:rsidR="00D10362">
        <w:rPr>
          <w:noProof/>
        </w:rPr>
        <w:t>p</w:t>
      </w:r>
      <w:r w:rsidRPr="00462ED2">
        <w:rPr>
          <w:noProof/>
        </w:rPr>
        <w:t xml:space="preserve">ermanganate </w:t>
      </w:r>
      <w:r w:rsidR="00D10362">
        <w:rPr>
          <w:noProof/>
        </w:rPr>
        <w:t>l</w:t>
      </w:r>
      <w:r w:rsidRPr="00462ED2">
        <w:rPr>
          <w:noProof/>
        </w:rPr>
        <w:t xml:space="preserve">oaded into </w:t>
      </w:r>
      <w:r w:rsidR="00D10362">
        <w:rPr>
          <w:noProof/>
        </w:rPr>
        <w:t>a</w:t>
      </w:r>
      <w:r w:rsidRPr="00462ED2">
        <w:rPr>
          <w:noProof/>
        </w:rPr>
        <w:t>lumina-</w:t>
      </w:r>
      <w:r w:rsidR="00D10362">
        <w:rPr>
          <w:noProof/>
        </w:rPr>
        <w:t>n</w:t>
      </w:r>
      <w:r w:rsidRPr="00462ED2">
        <w:rPr>
          <w:noProof/>
        </w:rPr>
        <w:t>anoparticle-</w:t>
      </w:r>
      <w:r w:rsidR="00D10362">
        <w:rPr>
          <w:noProof/>
        </w:rPr>
        <w:t>i</w:t>
      </w:r>
      <w:r w:rsidRPr="00462ED2">
        <w:rPr>
          <w:noProof/>
        </w:rPr>
        <w:t xml:space="preserve">ncorporated </w:t>
      </w:r>
      <w:r w:rsidR="00D10362">
        <w:rPr>
          <w:noProof/>
        </w:rPr>
        <w:t>a</w:t>
      </w:r>
      <w:r w:rsidRPr="00462ED2">
        <w:rPr>
          <w:noProof/>
        </w:rPr>
        <w:t>lumina/</w:t>
      </w:r>
      <w:r w:rsidR="00D10362">
        <w:rPr>
          <w:noProof/>
        </w:rPr>
        <w:t>c</w:t>
      </w:r>
      <w:r w:rsidRPr="00462ED2">
        <w:rPr>
          <w:noProof/>
        </w:rPr>
        <w:t xml:space="preserve">arbon </w:t>
      </w:r>
      <w:r w:rsidR="00D10362">
        <w:rPr>
          <w:noProof/>
        </w:rPr>
        <w:t>n</w:t>
      </w:r>
      <w:r w:rsidRPr="00462ED2">
        <w:rPr>
          <w:noProof/>
        </w:rPr>
        <w:t>anofibers</w:t>
      </w:r>
      <w:r w:rsidR="00D10362">
        <w:rPr>
          <w:noProof/>
        </w:rPr>
        <w:t>,</w:t>
      </w:r>
      <w:r w:rsidRPr="00462ED2">
        <w:rPr>
          <w:noProof/>
        </w:rPr>
        <w:t xml:space="preserve"> J. Agric. Food Chem.</w:t>
      </w:r>
      <w:r w:rsidR="00D10362">
        <w:rPr>
          <w:noProof/>
        </w:rPr>
        <w:t>,</w:t>
      </w:r>
      <w:r w:rsidRPr="00462ED2">
        <w:rPr>
          <w:noProof/>
        </w:rPr>
        <w:t xml:space="preserve"> 66, 5635–5643.</w:t>
      </w:r>
    </w:p>
    <w:p w14:paraId="175A3665" w14:textId="702EDE0C" w:rsidR="00462ED2" w:rsidRPr="00462ED2" w:rsidRDefault="00462ED2" w:rsidP="00E84878">
      <w:pPr>
        <w:pStyle w:val="CETReferencetext"/>
        <w:rPr>
          <w:noProof/>
        </w:rPr>
      </w:pPr>
      <w:r w:rsidRPr="00462ED2">
        <w:rPr>
          <w:noProof/>
        </w:rPr>
        <w:t>Verbruggen, S.W., 2015</w:t>
      </w:r>
      <w:r w:rsidR="00D10362">
        <w:rPr>
          <w:noProof/>
        </w:rPr>
        <w:t>,</w:t>
      </w:r>
      <w:r w:rsidRPr="00462ED2">
        <w:rPr>
          <w:noProof/>
        </w:rPr>
        <w:t xml:space="preserve"> TiO</w:t>
      </w:r>
      <w:r w:rsidRPr="00462ED2">
        <w:rPr>
          <w:noProof/>
          <w:vertAlign w:val="subscript"/>
        </w:rPr>
        <w:t>2</w:t>
      </w:r>
      <w:r w:rsidRPr="00462ED2">
        <w:rPr>
          <w:noProof/>
        </w:rPr>
        <w:t xml:space="preserve"> photocatalysis for the degradation of pollutants in gas phase: From morphological design to plasmonic enhancement</w:t>
      </w:r>
      <w:r w:rsidR="00D10362">
        <w:rPr>
          <w:noProof/>
        </w:rPr>
        <w:t>,</w:t>
      </w:r>
      <w:r w:rsidRPr="00462ED2">
        <w:rPr>
          <w:noProof/>
        </w:rPr>
        <w:t xml:space="preserve"> J. Photochem. Photobiol. C Photochem. Rev.</w:t>
      </w:r>
      <w:r w:rsidR="00D10362">
        <w:rPr>
          <w:noProof/>
        </w:rPr>
        <w:t>,</w:t>
      </w:r>
      <w:r w:rsidRPr="00462ED2">
        <w:rPr>
          <w:noProof/>
        </w:rPr>
        <w:t xml:space="preserve"> 24, 64–82.</w:t>
      </w:r>
    </w:p>
    <w:p w14:paraId="57AC01C7" w14:textId="7EF13D23" w:rsidR="002D0C4C" w:rsidRDefault="00462ED2" w:rsidP="00E84878">
      <w:pPr>
        <w:pStyle w:val="CETReferencetext"/>
      </w:pPr>
      <w:r w:rsidRPr="00462ED2">
        <w:rPr>
          <w:noProof/>
        </w:rPr>
        <w:t>Zhang, X., Zhang, X.R., Yang, P., Chen, H.-S., Jiang, S.P., 2022</w:t>
      </w:r>
      <w:r w:rsidR="00D10362">
        <w:rPr>
          <w:noProof/>
        </w:rPr>
        <w:t>,</w:t>
      </w:r>
      <w:r w:rsidRPr="00462ED2">
        <w:rPr>
          <w:noProof/>
        </w:rPr>
        <w:t xml:space="preserve"> Black magnetic Cu-g-C</w:t>
      </w:r>
      <w:r w:rsidRPr="00D10362">
        <w:rPr>
          <w:noProof/>
          <w:vertAlign w:val="subscript"/>
        </w:rPr>
        <w:t>3</w:t>
      </w:r>
      <w:r w:rsidRPr="00462ED2">
        <w:rPr>
          <w:noProof/>
        </w:rPr>
        <w:t>N</w:t>
      </w:r>
      <w:r w:rsidRPr="00D10362">
        <w:rPr>
          <w:noProof/>
          <w:vertAlign w:val="subscript"/>
        </w:rPr>
        <w:t>4</w:t>
      </w:r>
      <w:r w:rsidRPr="00462ED2">
        <w:rPr>
          <w:noProof/>
        </w:rPr>
        <w:t xml:space="preserve"> nanosheets towards efficient photocatalytic H</w:t>
      </w:r>
      <w:r w:rsidRPr="00D7241B">
        <w:rPr>
          <w:noProof/>
          <w:vertAlign w:val="subscript"/>
        </w:rPr>
        <w:t>2</w:t>
      </w:r>
      <w:r w:rsidRPr="00462ED2">
        <w:rPr>
          <w:noProof/>
        </w:rPr>
        <w:t xml:space="preserve"> generation and CO</w:t>
      </w:r>
      <w:r w:rsidRPr="00D7241B">
        <w:rPr>
          <w:noProof/>
          <w:vertAlign w:val="subscript"/>
        </w:rPr>
        <w:t>2</w:t>
      </w:r>
      <w:r w:rsidRPr="00462ED2">
        <w:rPr>
          <w:noProof/>
        </w:rPr>
        <w:t>/benzene conversion</w:t>
      </w:r>
      <w:r w:rsidR="00D7241B">
        <w:rPr>
          <w:noProof/>
        </w:rPr>
        <w:t>,</w:t>
      </w:r>
      <w:r w:rsidRPr="00462ED2">
        <w:rPr>
          <w:noProof/>
        </w:rPr>
        <w:t xml:space="preserve"> Chem. Eng. J.</w:t>
      </w:r>
      <w:r w:rsidR="00D7241B">
        <w:rPr>
          <w:noProof/>
        </w:rPr>
        <w:t>,</w:t>
      </w:r>
      <w:r w:rsidRPr="00462ED2">
        <w:rPr>
          <w:noProof/>
        </w:rPr>
        <w:t xml:space="preserve"> 450, 138030.</w:t>
      </w:r>
      <w:r w:rsidR="006D14E9">
        <w:fldChar w:fldCharType="end"/>
      </w:r>
    </w:p>
    <w:sectPr w:rsidR="002D0C4C"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A12FBE" w14:textId="77777777" w:rsidR="00F2240B" w:rsidRDefault="00F2240B" w:rsidP="004F5E36">
      <w:r>
        <w:separator/>
      </w:r>
    </w:p>
  </w:endnote>
  <w:endnote w:type="continuationSeparator" w:id="0">
    <w:p w14:paraId="674996D1" w14:textId="77777777" w:rsidR="00F2240B" w:rsidRDefault="00F2240B"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AdvP6960">
    <w:altName w:val="Cambria"/>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E5EE5C" w14:textId="77777777" w:rsidR="00F2240B" w:rsidRDefault="00F2240B" w:rsidP="004F5E36">
      <w:r>
        <w:separator/>
      </w:r>
    </w:p>
  </w:footnote>
  <w:footnote w:type="continuationSeparator" w:id="0">
    <w:p w14:paraId="51D9FB8C" w14:textId="77777777" w:rsidR="00F2240B" w:rsidRDefault="00F2240B" w:rsidP="004F5E3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58AF15E"/>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ada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ada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ada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Commarcador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Commarcador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Commarcador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Commarcador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ada"/>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Commarcadores"/>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579ECD24"/>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6805"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asimples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7"/>
  </w:num>
  <w:num w:numId="13">
    <w:abstractNumId w:val="12"/>
  </w:num>
  <w:num w:numId="14">
    <w:abstractNumId w:val="18"/>
  </w:num>
  <w:num w:numId="15">
    <w:abstractNumId w:val="20"/>
  </w:num>
  <w:num w:numId="16">
    <w:abstractNumId w:val="19"/>
  </w:num>
  <w:num w:numId="17">
    <w:abstractNumId w:val="11"/>
  </w:num>
  <w:num w:numId="18">
    <w:abstractNumId w:val="12"/>
    <w:lvlOverride w:ilvl="0">
      <w:startOverride w:val="1"/>
    </w:lvlOverride>
  </w:num>
  <w:num w:numId="19">
    <w:abstractNumId w:val="16"/>
  </w:num>
  <w:num w:numId="20">
    <w:abstractNumId w:val="15"/>
  </w:num>
  <w:num w:numId="21">
    <w:abstractNumId w:val="14"/>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0B76"/>
    <w:rsid w:val="00002739"/>
    <w:rsid w:val="000027C0"/>
    <w:rsid w:val="000052FB"/>
    <w:rsid w:val="00005FB0"/>
    <w:rsid w:val="00006435"/>
    <w:rsid w:val="0000723D"/>
    <w:rsid w:val="000073BF"/>
    <w:rsid w:val="00007856"/>
    <w:rsid w:val="00010855"/>
    <w:rsid w:val="00010888"/>
    <w:rsid w:val="000117CB"/>
    <w:rsid w:val="00012A73"/>
    <w:rsid w:val="00013B79"/>
    <w:rsid w:val="00017150"/>
    <w:rsid w:val="00020E11"/>
    <w:rsid w:val="0003148D"/>
    <w:rsid w:val="00031EEC"/>
    <w:rsid w:val="000406A4"/>
    <w:rsid w:val="00040F0B"/>
    <w:rsid w:val="00042435"/>
    <w:rsid w:val="00044007"/>
    <w:rsid w:val="0004511A"/>
    <w:rsid w:val="000466B1"/>
    <w:rsid w:val="00047070"/>
    <w:rsid w:val="000475E8"/>
    <w:rsid w:val="00050F15"/>
    <w:rsid w:val="00051566"/>
    <w:rsid w:val="00051756"/>
    <w:rsid w:val="00052D6F"/>
    <w:rsid w:val="00054A71"/>
    <w:rsid w:val="00054C81"/>
    <w:rsid w:val="000562A9"/>
    <w:rsid w:val="00057006"/>
    <w:rsid w:val="00060762"/>
    <w:rsid w:val="00062A9A"/>
    <w:rsid w:val="00063626"/>
    <w:rsid w:val="00064D4E"/>
    <w:rsid w:val="00065058"/>
    <w:rsid w:val="00071469"/>
    <w:rsid w:val="00071CCB"/>
    <w:rsid w:val="000728D9"/>
    <w:rsid w:val="00073F52"/>
    <w:rsid w:val="00074FF7"/>
    <w:rsid w:val="00075875"/>
    <w:rsid w:val="0007741C"/>
    <w:rsid w:val="00077A77"/>
    <w:rsid w:val="00080AC7"/>
    <w:rsid w:val="000850A7"/>
    <w:rsid w:val="00085F03"/>
    <w:rsid w:val="00086C39"/>
    <w:rsid w:val="000921D5"/>
    <w:rsid w:val="00093AAB"/>
    <w:rsid w:val="00096242"/>
    <w:rsid w:val="00097C5A"/>
    <w:rsid w:val="000A03B2"/>
    <w:rsid w:val="000A1380"/>
    <w:rsid w:val="000A2422"/>
    <w:rsid w:val="000A25A2"/>
    <w:rsid w:val="000A27E1"/>
    <w:rsid w:val="000A3BE8"/>
    <w:rsid w:val="000A7CB2"/>
    <w:rsid w:val="000B1A87"/>
    <w:rsid w:val="000B2D7F"/>
    <w:rsid w:val="000B4B1D"/>
    <w:rsid w:val="000B76FF"/>
    <w:rsid w:val="000C3957"/>
    <w:rsid w:val="000C3F5C"/>
    <w:rsid w:val="000C63E9"/>
    <w:rsid w:val="000C6C7C"/>
    <w:rsid w:val="000D0268"/>
    <w:rsid w:val="000D34BE"/>
    <w:rsid w:val="000D46CC"/>
    <w:rsid w:val="000D49C1"/>
    <w:rsid w:val="000D774A"/>
    <w:rsid w:val="000E03D0"/>
    <w:rsid w:val="000E04F9"/>
    <w:rsid w:val="000E102F"/>
    <w:rsid w:val="000E13A6"/>
    <w:rsid w:val="000E13C3"/>
    <w:rsid w:val="000E2616"/>
    <w:rsid w:val="000E29D9"/>
    <w:rsid w:val="000E36F1"/>
    <w:rsid w:val="000E3A73"/>
    <w:rsid w:val="000E414A"/>
    <w:rsid w:val="000E4846"/>
    <w:rsid w:val="000E52A4"/>
    <w:rsid w:val="000E6452"/>
    <w:rsid w:val="000E6C7D"/>
    <w:rsid w:val="000F093C"/>
    <w:rsid w:val="000F1057"/>
    <w:rsid w:val="000F1575"/>
    <w:rsid w:val="000F2221"/>
    <w:rsid w:val="000F31D2"/>
    <w:rsid w:val="000F4F3B"/>
    <w:rsid w:val="000F5E82"/>
    <w:rsid w:val="000F7663"/>
    <w:rsid w:val="000F787B"/>
    <w:rsid w:val="001006C1"/>
    <w:rsid w:val="00100F69"/>
    <w:rsid w:val="00101729"/>
    <w:rsid w:val="00101811"/>
    <w:rsid w:val="001027AE"/>
    <w:rsid w:val="00104B8C"/>
    <w:rsid w:val="001057CD"/>
    <w:rsid w:val="00107301"/>
    <w:rsid w:val="00107AB1"/>
    <w:rsid w:val="0011414F"/>
    <w:rsid w:val="001145B5"/>
    <w:rsid w:val="001153A4"/>
    <w:rsid w:val="0011774A"/>
    <w:rsid w:val="00117862"/>
    <w:rsid w:val="001206CA"/>
    <w:rsid w:val="0012091F"/>
    <w:rsid w:val="00121576"/>
    <w:rsid w:val="00121981"/>
    <w:rsid w:val="00121FA6"/>
    <w:rsid w:val="00122615"/>
    <w:rsid w:val="001235B9"/>
    <w:rsid w:val="00126354"/>
    <w:rsid w:val="00126BC2"/>
    <w:rsid w:val="001308B6"/>
    <w:rsid w:val="0013121F"/>
    <w:rsid w:val="00131DC5"/>
    <w:rsid w:val="00131FE6"/>
    <w:rsid w:val="001324A1"/>
    <w:rsid w:val="0013263F"/>
    <w:rsid w:val="001331DF"/>
    <w:rsid w:val="00133BD2"/>
    <w:rsid w:val="00134DE4"/>
    <w:rsid w:val="00134F05"/>
    <w:rsid w:val="00135E8C"/>
    <w:rsid w:val="001377D3"/>
    <w:rsid w:val="0014034D"/>
    <w:rsid w:val="00142D3B"/>
    <w:rsid w:val="00144D16"/>
    <w:rsid w:val="001450F3"/>
    <w:rsid w:val="00147BBE"/>
    <w:rsid w:val="00150E59"/>
    <w:rsid w:val="00151A95"/>
    <w:rsid w:val="00151FA1"/>
    <w:rsid w:val="00152982"/>
    <w:rsid w:val="00152DE3"/>
    <w:rsid w:val="00157399"/>
    <w:rsid w:val="001579D0"/>
    <w:rsid w:val="00164CF9"/>
    <w:rsid w:val="00165F56"/>
    <w:rsid w:val="001667A6"/>
    <w:rsid w:val="00171EAF"/>
    <w:rsid w:val="00175478"/>
    <w:rsid w:val="00175AD9"/>
    <w:rsid w:val="00177F62"/>
    <w:rsid w:val="00181431"/>
    <w:rsid w:val="0018157F"/>
    <w:rsid w:val="00184AD6"/>
    <w:rsid w:val="00185560"/>
    <w:rsid w:val="00185562"/>
    <w:rsid w:val="00186349"/>
    <w:rsid w:val="00186710"/>
    <w:rsid w:val="001869E3"/>
    <w:rsid w:val="00187A10"/>
    <w:rsid w:val="00193D84"/>
    <w:rsid w:val="00193F46"/>
    <w:rsid w:val="0019542C"/>
    <w:rsid w:val="001968BE"/>
    <w:rsid w:val="00197C71"/>
    <w:rsid w:val="001A129E"/>
    <w:rsid w:val="001A1FE1"/>
    <w:rsid w:val="001A4AF7"/>
    <w:rsid w:val="001A72D3"/>
    <w:rsid w:val="001B0349"/>
    <w:rsid w:val="001B1DA0"/>
    <w:rsid w:val="001B1E93"/>
    <w:rsid w:val="001B244B"/>
    <w:rsid w:val="001B2BDE"/>
    <w:rsid w:val="001B44C0"/>
    <w:rsid w:val="001B65C1"/>
    <w:rsid w:val="001B6E59"/>
    <w:rsid w:val="001C3C29"/>
    <w:rsid w:val="001C4661"/>
    <w:rsid w:val="001C684B"/>
    <w:rsid w:val="001C74CB"/>
    <w:rsid w:val="001D0CFB"/>
    <w:rsid w:val="001D21AF"/>
    <w:rsid w:val="001D4EBE"/>
    <w:rsid w:val="001D53FC"/>
    <w:rsid w:val="001E03A4"/>
    <w:rsid w:val="001E1D11"/>
    <w:rsid w:val="001E3DD2"/>
    <w:rsid w:val="001E4097"/>
    <w:rsid w:val="001E6EAF"/>
    <w:rsid w:val="001F1278"/>
    <w:rsid w:val="001F42A5"/>
    <w:rsid w:val="001F49C5"/>
    <w:rsid w:val="001F7B9D"/>
    <w:rsid w:val="00200501"/>
    <w:rsid w:val="00201C20"/>
    <w:rsid w:val="00201C93"/>
    <w:rsid w:val="0020525A"/>
    <w:rsid w:val="0020669C"/>
    <w:rsid w:val="00210F59"/>
    <w:rsid w:val="00212203"/>
    <w:rsid w:val="002140CF"/>
    <w:rsid w:val="002147DF"/>
    <w:rsid w:val="0021598B"/>
    <w:rsid w:val="00215DCC"/>
    <w:rsid w:val="00216691"/>
    <w:rsid w:val="00216FE2"/>
    <w:rsid w:val="002201D1"/>
    <w:rsid w:val="00220EF9"/>
    <w:rsid w:val="00221990"/>
    <w:rsid w:val="002224B4"/>
    <w:rsid w:val="00224BBC"/>
    <w:rsid w:val="002273C9"/>
    <w:rsid w:val="002335FB"/>
    <w:rsid w:val="00234E55"/>
    <w:rsid w:val="00236302"/>
    <w:rsid w:val="0024129D"/>
    <w:rsid w:val="00241C43"/>
    <w:rsid w:val="0024228A"/>
    <w:rsid w:val="0024298E"/>
    <w:rsid w:val="0024335D"/>
    <w:rsid w:val="002447EF"/>
    <w:rsid w:val="002466AC"/>
    <w:rsid w:val="00247871"/>
    <w:rsid w:val="002507C0"/>
    <w:rsid w:val="00251550"/>
    <w:rsid w:val="002526CA"/>
    <w:rsid w:val="002534EA"/>
    <w:rsid w:val="00254016"/>
    <w:rsid w:val="002542E5"/>
    <w:rsid w:val="00260864"/>
    <w:rsid w:val="00261576"/>
    <w:rsid w:val="00262AC6"/>
    <w:rsid w:val="00263AF6"/>
    <w:rsid w:val="00263B05"/>
    <w:rsid w:val="00264CEC"/>
    <w:rsid w:val="00267BEA"/>
    <w:rsid w:val="00267F05"/>
    <w:rsid w:val="0027026B"/>
    <w:rsid w:val="0027221A"/>
    <w:rsid w:val="00273FED"/>
    <w:rsid w:val="0027524A"/>
    <w:rsid w:val="00275AF1"/>
    <w:rsid w:val="00275B61"/>
    <w:rsid w:val="00276108"/>
    <w:rsid w:val="00280FAF"/>
    <w:rsid w:val="00282656"/>
    <w:rsid w:val="00282CDF"/>
    <w:rsid w:val="00283039"/>
    <w:rsid w:val="00283937"/>
    <w:rsid w:val="00283C50"/>
    <w:rsid w:val="00284D40"/>
    <w:rsid w:val="00284E9D"/>
    <w:rsid w:val="002908CF"/>
    <w:rsid w:val="00291B18"/>
    <w:rsid w:val="00291E68"/>
    <w:rsid w:val="002925A8"/>
    <w:rsid w:val="0029271D"/>
    <w:rsid w:val="00295F91"/>
    <w:rsid w:val="0029674E"/>
    <w:rsid w:val="00296B83"/>
    <w:rsid w:val="00297882"/>
    <w:rsid w:val="002A0153"/>
    <w:rsid w:val="002A588A"/>
    <w:rsid w:val="002A7F05"/>
    <w:rsid w:val="002B147C"/>
    <w:rsid w:val="002B160C"/>
    <w:rsid w:val="002B2452"/>
    <w:rsid w:val="002B4015"/>
    <w:rsid w:val="002B42AA"/>
    <w:rsid w:val="002B4DA9"/>
    <w:rsid w:val="002B5FFA"/>
    <w:rsid w:val="002B679B"/>
    <w:rsid w:val="002B7300"/>
    <w:rsid w:val="002B78CE"/>
    <w:rsid w:val="002B7D8F"/>
    <w:rsid w:val="002C1DB0"/>
    <w:rsid w:val="002C2FB6"/>
    <w:rsid w:val="002C687E"/>
    <w:rsid w:val="002C6FBA"/>
    <w:rsid w:val="002C7194"/>
    <w:rsid w:val="002D05BE"/>
    <w:rsid w:val="002D0C4C"/>
    <w:rsid w:val="002D1CFC"/>
    <w:rsid w:val="002D3980"/>
    <w:rsid w:val="002D58F9"/>
    <w:rsid w:val="002E2B36"/>
    <w:rsid w:val="002E3702"/>
    <w:rsid w:val="002E5FA7"/>
    <w:rsid w:val="002F3309"/>
    <w:rsid w:val="002F521D"/>
    <w:rsid w:val="002F5C4E"/>
    <w:rsid w:val="002F5F3C"/>
    <w:rsid w:val="003008CE"/>
    <w:rsid w:val="003009B7"/>
    <w:rsid w:val="00300BD2"/>
    <w:rsid w:val="00300E56"/>
    <w:rsid w:val="0030152C"/>
    <w:rsid w:val="00301C1A"/>
    <w:rsid w:val="00302338"/>
    <w:rsid w:val="00302CE5"/>
    <w:rsid w:val="00303138"/>
    <w:rsid w:val="00304211"/>
    <w:rsid w:val="0030469C"/>
    <w:rsid w:val="00305463"/>
    <w:rsid w:val="003056BF"/>
    <w:rsid w:val="00307CA0"/>
    <w:rsid w:val="00310D3C"/>
    <w:rsid w:val="00313895"/>
    <w:rsid w:val="0031696E"/>
    <w:rsid w:val="003172E7"/>
    <w:rsid w:val="00317D8F"/>
    <w:rsid w:val="0032065A"/>
    <w:rsid w:val="003208E8"/>
    <w:rsid w:val="003214FB"/>
    <w:rsid w:val="00321CA6"/>
    <w:rsid w:val="0032266F"/>
    <w:rsid w:val="00323763"/>
    <w:rsid w:val="00323C5F"/>
    <w:rsid w:val="00325D54"/>
    <w:rsid w:val="00330AF1"/>
    <w:rsid w:val="00332D13"/>
    <w:rsid w:val="00333DFF"/>
    <w:rsid w:val="00334C09"/>
    <w:rsid w:val="0033549D"/>
    <w:rsid w:val="00335B57"/>
    <w:rsid w:val="00343138"/>
    <w:rsid w:val="00346617"/>
    <w:rsid w:val="003478B9"/>
    <w:rsid w:val="0034790B"/>
    <w:rsid w:val="003521DD"/>
    <w:rsid w:val="00355A14"/>
    <w:rsid w:val="00357F84"/>
    <w:rsid w:val="00362DD6"/>
    <w:rsid w:val="003647CB"/>
    <w:rsid w:val="00364D1A"/>
    <w:rsid w:val="0036629F"/>
    <w:rsid w:val="00367E9C"/>
    <w:rsid w:val="003723D4"/>
    <w:rsid w:val="00372946"/>
    <w:rsid w:val="00372D7A"/>
    <w:rsid w:val="00372D7B"/>
    <w:rsid w:val="0037366C"/>
    <w:rsid w:val="00375637"/>
    <w:rsid w:val="00381905"/>
    <w:rsid w:val="00384CC8"/>
    <w:rsid w:val="003871FD"/>
    <w:rsid w:val="003906F9"/>
    <w:rsid w:val="00390CC0"/>
    <w:rsid w:val="003964F4"/>
    <w:rsid w:val="00396B46"/>
    <w:rsid w:val="00397435"/>
    <w:rsid w:val="003A0847"/>
    <w:rsid w:val="003A1E30"/>
    <w:rsid w:val="003A2304"/>
    <w:rsid w:val="003A2829"/>
    <w:rsid w:val="003A384B"/>
    <w:rsid w:val="003A3ABC"/>
    <w:rsid w:val="003A4E80"/>
    <w:rsid w:val="003A6FC6"/>
    <w:rsid w:val="003A7D1C"/>
    <w:rsid w:val="003B0491"/>
    <w:rsid w:val="003B16DD"/>
    <w:rsid w:val="003B304B"/>
    <w:rsid w:val="003B3146"/>
    <w:rsid w:val="003B4E48"/>
    <w:rsid w:val="003C01BB"/>
    <w:rsid w:val="003C4A12"/>
    <w:rsid w:val="003C4C01"/>
    <w:rsid w:val="003C6315"/>
    <w:rsid w:val="003C6617"/>
    <w:rsid w:val="003C7BC5"/>
    <w:rsid w:val="003D069D"/>
    <w:rsid w:val="003D0A1F"/>
    <w:rsid w:val="003D2F35"/>
    <w:rsid w:val="003D56CB"/>
    <w:rsid w:val="003D5EA7"/>
    <w:rsid w:val="003D7473"/>
    <w:rsid w:val="003D7547"/>
    <w:rsid w:val="003E0919"/>
    <w:rsid w:val="003E4B04"/>
    <w:rsid w:val="003E6981"/>
    <w:rsid w:val="003E6E02"/>
    <w:rsid w:val="003F015E"/>
    <w:rsid w:val="003F1FA9"/>
    <w:rsid w:val="003F234A"/>
    <w:rsid w:val="003F513A"/>
    <w:rsid w:val="003F5A05"/>
    <w:rsid w:val="003F7626"/>
    <w:rsid w:val="00400414"/>
    <w:rsid w:val="00404196"/>
    <w:rsid w:val="00407CF7"/>
    <w:rsid w:val="00410877"/>
    <w:rsid w:val="004109B9"/>
    <w:rsid w:val="00413E72"/>
    <w:rsid w:val="00414234"/>
    <w:rsid w:val="0041446B"/>
    <w:rsid w:val="00415830"/>
    <w:rsid w:val="00415C13"/>
    <w:rsid w:val="004163D3"/>
    <w:rsid w:val="00422FA4"/>
    <w:rsid w:val="0043021C"/>
    <w:rsid w:val="0043220D"/>
    <w:rsid w:val="004338B4"/>
    <w:rsid w:val="00435438"/>
    <w:rsid w:val="00435C2E"/>
    <w:rsid w:val="00435D46"/>
    <w:rsid w:val="00436058"/>
    <w:rsid w:val="0044071E"/>
    <w:rsid w:val="00442751"/>
    <w:rsid w:val="0044329C"/>
    <w:rsid w:val="0044343E"/>
    <w:rsid w:val="00452158"/>
    <w:rsid w:val="00452BE2"/>
    <w:rsid w:val="00452F0A"/>
    <w:rsid w:val="00453D00"/>
    <w:rsid w:val="00453E24"/>
    <w:rsid w:val="0045547D"/>
    <w:rsid w:val="0045558B"/>
    <w:rsid w:val="00457456"/>
    <w:rsid w:val="004577FE"/>
    <w:rsid w:val="00457B9C"/>
    <w:rsid w:val="00457E60"/>
    <w:rsid w:val="0046164A"/>
    <w:rsid w:val="00461AA9"/>
    <w:rsid w:val="004628D2"/>
    <w:rsid w:val="00462DCD"/>
    <w:rsid w:val="00462ED2"/>
    <w:rsid w:val="00463D77"/>
    <w:rsid w:val="004643F8"/>
    <w:rsid w:val="004648AD"/>
    <w:rsid w:val="004703A9"/>
    <w:rsid w:val="00471151"/>
    <w:rsid w:val="0047132C"/>
    <w:rsid w:val="004725C3"/>
    <w:rsid w:val="0047292F"/>
    <w:rsid w:val="0047442D"/>
    <w:rsid w:val="0047511F"/>
    <w:rsid w:val="004760DE"/>
    <w:rsid w:val="0047634F"/>
    <w:rsid w:val="004763D7"/>
    <w:rsid w:val="00476958"/>
    <w:rsid w:val="00477718"/>
    <w:rsid w:val="00480536"/>
    <w:rsid w:val="00481A03"/>
    <w:rsid w:val="0048280C"/>
    <w:rsid w:val="00484CAD"/>
    <w:rsid w:val="004903DB"/>
    <w:rsid w:val="00491A45"/>
    <w:rsid w:val="0049237D"/>
    <w:rsid w:val="00494C4B"/>
    <w:rsid w:val="004958F7"/>
    <w:rsid w:val="004A004E"/>
    <w:rsid w:val="004A0D6B"/>
    <w:rsid w:val="004A1E54"/>
    <w:rsid w:val="004A24CF"/>
    <w:rsid w:val="004A720D"/>
    <w:rsid w:val="004B0906"/>
    <w:rsid w:val="004B1043"/>
    <w:rsid w:val="004B38DA"/>
    <w:rsid w:val="004B588D"/>
    <w:rsid w:val="004B58B8"/>
    <w:rsid w:val="004C1F7F"/>
    <w:rsid w:val="004C24FF"/>
    <w:rsid w:val="004C3D1D"/>
    <w:rsid w:val="004C3D84"/>
    <w:rsid w:val="004C593C"/>
    <w:rsid w:val="004C7913"/>
    <w:rsid w:val="004D02A5"/>
    <w:rsid w:val="004D1FB7"/>
    <w:rsid w:val="004E3C58"/>
    <w:rsid w:val="004E4DD6"/>
    <w:rsid w:val="004E72F6"/>
    <w:rsid w:val="004F4974"/>
    <w:rsid w:val="004F51BB"/>
    <w:rsid w:val="004F5C9D"/>
    <w:rsid w:val="004F5E36"/>
    <w:rsid w:val="004F7958"/>
    <w:rsid w:val="004F79F9"/>
    <w:rsid w:val="005006B0"/>
    <w:rsid w:val="005010BD"/>
    <w:rsid w:val="00502400"/>
    <w:rsid w:val="00502624"/>
    <w:rsid w:val="00502AB6"/>
    <w:rsid w:val="00503423"/>
    <w:rsid w:val="00507B47"/>
    <w:rsid w:val="00507BEF"/>
    <w:rsid w:val="00507CC9"/>
    <w:rsid w:val="005119A5"/>
    <w:rsid w:val="00511A54"/>
    <w:rsid w:val="00511C44"/>
    <w:rsid w:val="00511F71"/>
    <w:rsid w:val="00514A36"/>
    <w:rsid w:val="00516677"/>
    <w:rsid w:val="00516AAC"/>
    <w:rsid w:val="00517D5B"/>
    <w:rsid w:val="005224EA"/>
    <w:rsid w:val="00524117"/>
    <w:rsid w:val="00525260"/>
    <w:rsid w:val="0052539A"/>
    <w:rsid w:val="00526496"/>
    <w:rsid w:val="005278B7"/>
    <w:rsid w:val="00527BCA"/>
    <w:rsid w:val="005302E9"/>
    <w:rsid w:val="00532016"/>
    <w:rsid w:val="005345C4"/>
    <w:rsid w:val="005346C8"/>
    <w:rsid w:val="00542ADD"/>
    <w:rsid w:val="00543E7D"/>
    <w:rsid w:val="005441B1"/>
    <w:rsid w:val="0054425C"/>
    <w:rsid w:val="005462FB"/>
    <w:rsid w:val="00547049"/>
    <w:rsid w:val="00547605"/>
    <w:rsid w:val="00547A68"/>
    <w:rsid w:val="00551717"/>
    <w:rsid w:val="00551AD3"/>
    <w:rsid w:val="00551BF1"/>
    <w:rsid w:val="005531C9"/>
    <w:rsid w:val="00555450"/>
    <w:rsid w:val="00555D18"/>
    <w:rsid w:val="0055689E"/>
    <w:rsid w:val="00556EC6"/>
    <w:rsid w:val="00557A54"/>
    <w:rsid w:val="0056073B"/>
    <w:rsid w:val="00564CC2"/>
    <w:rsid w:val="00567F9D"/>
    <w:rsid w:val="00570C43"/>
    <w:rsid w:val="005715C5"/>
    <w:rsid w:val="005729AA"/>
    <w:rsid w:val="005731FF"/>
    <w:rsid w:val="005738B3"/>
    <w:rsid w:val="00581AB4"/>
    <w:rsid w:val="00582C5E"/>
    <w:rsid w:val="0058596F"/>
    <w:rsid w:val="00590ABE"/>
    <w:rsid w:val="005917DC"/>
    <w:rsid w:val="00595067"/>
    <w:rsid w:val="00595283"/>
    <w:rsid w:val="005A0179"/>
    <w:rsid w:val="005A21E4"/>
    <w:rsid w:val="005B05B9"/>
    <w:rsid w:val="005B08ED"/>
    <w:rsid w:val="005B2110"/>
    <w:rsid w:val="005B59A2"/>
    <w:rsid w:val="005B61E6"/>
    <w:rsid w:val="005C2DDF"/>
    <w:rsid w:val="005C77E1"/>
    <w:rsid w:val="005D3B1B"/>
    <w:rsid w:val="005D50A2"/>
    <w:rsid w:val="005D668A"/>
    <w:rsid w:val="005D6A2F"/>
    <w:rsid w:val="005E0ACF"/>
    <w:rsid w:val="005E1A82"/>
    <w:rsid w:val="005E3429"/>
    <w:rsid w:val="005E4175"/>
    <w:rsid w:val="005E6E75"/>
    <w:rsid w:val="005E794C"/>
    <w:rsid w:val="005F0A28"/>
    <w:rsid w:val="005F0E5E"/>
    <w:rsid w:val="005F1520"/>
    <w:rsid w:val="005F5703"/>
    <w:rsid w:val="005F681E"/>
    <w:rsid w:val="005F69E7"/>
    <w:rsid w:val="00600535"/>
    <w:rsid w:val="00601948"/>
    <w:rsid w:val="00603869"/>
    <w:rsid w:val="00604A61"/>
    <w:rsid w:val="00604E8E"/>
    <w:rsid w:val="006062D7"/>
    <w:rsid w:val="00610CD6"/>
    <w:rsid w:val="00612051"/>
    <w:rsid w:val="00620DEE"/>
    <w:rsid w:val="00621F92"/>
    <w:rsid w:val="0062280A"/>
    <w:rsid w:val="0062367A"/>
    <w:rsid w:val="00625639"/>
    <w:rsid w:val="006272B7"/>
    <w:rsid w:val="00631B33"/>
    <w:rsid w:val="00633C0F"/>
    <w:rsid w:val="00637645"/>
    <w:rsid w:val="0064184D"/>
    <w:rsid w:val="006422CC"/>
    <w:rsid w:val="00642698"/>
    <w:rsid w:val="00643722"/>
    <w:rsid w:val="00645812"/>
    <w:rsid w:val="00646080"/>
    <w:rsid w:val="0064756B"/>
    <w:rsid w:val="006475E6"/>
    <w:rsid w:val="00647841"/>
    <w:rsid w:val="00647CE8"/>
    <w:rsid w:val="0065015A"/>
    <w:rsid w:val="00651DB8"/>
    <w:rsid w:val="00652AE2"/>
    <w:rsid w:val="00652D62"/>
    <w:rsid w:val="00653523"/>
    <w:rsid w:val="006539A5"/>
    <w:rsid w:val="00654A3A"/>
    <w:rsid w:val="00656099"/>
    <w:rsid w:val="00657827"/>
    <w:rsid w:val="00657E7C"/>
    <w:rsid w:val="00660D72"/>
    <w:rsid w:val="00660E3E"/>
    <w:rsid w:val="00662E74"/>
    <w:rsid w:val="00664C05"/>
    <w:rsid w:val="00666AD1"/>
    <w:rsid w:val="00666D89"/>
    <w:rsid w:val="00673088"/>
    <w:rsid w:val="00677B7D"/>
    <w:rsid w:val="00677DAB"/>
    <w:rsid w:val="00680C23"/>
    <w:rsid w:val="00682368"/>
    <w:rsid w:val="00683AA3"/>
    <w:rsid w:val="0068736C"/>
    <w:rsid w:val="00687DE5"/>
    <w:rsid w:val="00691432"/>
    <w:rsid w:val="00692DF9"/>
    <w:rsid w:val="00693766"/>
    <w:rsid w:val="006941D3"/>
    <w:rsid w:val="006959D1"/>
    <w:rsid w:val="0069615C"/>
    <w:rsid w:val="006966CD"/>
    <w:rsid w:val="00696B79"/>
    <w:rsid w:val="00696F4C"/>
    <w:rsid w:val="006A0C0B"/>
    <w:rsid w:val="006A3281"/>
    <w:rsid w:val="006A497F"/>
    <w:rsid w:val="006A5D95"/>
    <w:rsid w:val="006A5FA2"/>
    <w:rsid w:val="006A6481"/>
    <w:rsid w:val="006A78AB"/>
    <w:rsid w:val="006A7FC6"/>
    <w:rsid w:val="006B056A"/>
    <w:rsid w:val="006B45D3"/>
    <w:rsid w:val="006B4888"/>
    <w:rsid w:val="006B4B64"/>
    <w:rsid w:val="006B4EE7"/>
    <w:rsid w:val="006B7BDD"/>
    <w:rsid w:val="006C2E45"/>
    <w:rsid w:val="006C359C"/>
    <w:rsid w:val="006C5579"/>
    <w:rsid w:val="006D14E9"/>
    <w:rsid w:val="006D26CB"/>
    <w:rsid w:val="006D301B"/>
    <w:rsid w:val="006D389B"/>
    <w:rsid w:val="006D4384"/>
    <w:rsid w:val="006D5066"/>
    <w:rsid w:val="006D56A9"/>
    <w:rsid w:val="006D6E8B"/>
    <w:rsid w:val="006E649E"/>
    <w:rsid w:val="006E65C8"/>
    <w:rsid w:val="006E737D"/>
    <w:rsid w:val="006E7A3F"/>
    <w:rsid w:val="006E7CE4"/>
    <w:rsid w:val="006F0C41"/>
    <w:rsid w:val="00704A9B"/>
    <w:rsid w:val="00705E6F"/>
    <w:rsid w:val="0070640E"/>
    <w:rsid w:val="00710051"/>
    <w:rsid w:val="007104B8"/>
    <w:rsid w:val="00711052"/>
    <w:rsid w:val="00711483"/>
    <w:rsid w:val="007138ED"/>
    <w:rsid w:val="00713973"/>
    <w:rsid w:val="007156B3"/>
    <w:rsid w:val="00716460"/>
    <w:rsid w:val="00716912"/>
    <w:rsid w:val="007175AC"/>
    <w:rsid w:val="00720479"/>
    <w:rsid w:val="00720A24"/>
    <w:rsid w:val="0072638E"/>
    <w:rsid w:val="00726555"/>
    <w:rsid w:val="0072782B"/>
    <w:rsid w:val="0073015B"/>
    <w:rsid w:val="00730693"/>
    <w:rsid w:val="0073117B"/>
    <w:rsid w:val="00732386"/>
    <w:rsid w:val="007339BC"/>
    <w:rsid w:val="00734797"/>
    <w:rsid w:val="00734DF4"/>
    <w:rsid w:val="0073514D"/>
    <w:rsid w:val="0073522A"/>
    <w:rsid w:val="00740CE2"/>
    <w:rsid w:val="00741002"/>
    <w:rsid w:val="00742051"/>
    <w:rsid w:val="00742512"/>
    <w:rsid w:val="007447F3"/>
    <w:rsid w:val="00746E19"/>
    <w:rsid w:val="0075053D"/>
    <w:rsid w:val="00753C03"/>
    <w:rsid w:val="007542E2"/>
    <w:rsid w:val="0075499F"/>
    <w:rsid w:val="00754DF9"/>
    <w:rsid w:val="0075623A"/>
    <w:rsid w:val="00757BEC"/>
    <w:rsid w:val="00761F63"/>
    <w:rsid w:val="007647FA"/>
    <w:rsid w:val="007653BD"/>
    <w:rsid w:val="00765959"/>
    <w:rsid w:val="007660FA"/>
    <w:rsid w:val="007661C8"/>
    <w:rsid w:val="0077098D"/>
    <w:rsid w:val="0077414D"/>
    <w:rsid w:val="007741A3"/>
    <w:rsid w:val="007764C0"/>
    <w:rsid w:val="00776CA1"/>
    <w:rsid w:val="00776EB9"/>
    <w:rsid w:val="00777728"/>
    <w:rsid w:val="00783EB0"/>
    <w:rsid w:val="00786747"/>
    <w:rsid w:val="00791392"/>
    <w:rsid w:val="00792CC2"/>
    <w:rsid w:val="007931FA"/>
    <w:rsid w:val="007942A6"/>
    <w:rsid w:val="00795816"/>
    <w:rsid w:val="00795BC0"/>
    <w:rsid w:val="007A37E4"/>
    <w:rsid w:val="007A4861"/>
    <w:rsid w:val="007A7BBA"/>
    <w:rsid w:val="007B0C50"/>
    <w:rsid w:val="007B1312"/>
    <w:rsid w:val="007B15B4"/>
    <w:rsid w:val="007B17B2"/>
    <w:rsid w:val="007B3582"/>
    <w:rsid w:val="007B48F9"/>
    <w:rsid w:val="007B4EA6"/>
    <w:rsid w:val="007C1A43"/>
    <w:rsid w:val="007C338D"/>
    <w:rsid w:val="007C690F"/>
    <w:rsid w:val="007C6AC7"/>
    <w:rsid w:val="007C73D6"/>
    <w:rsid w:val="007D0951"/>
    <w:rsid w:val="007D1504"/>
    <w:rsid w:val="007D2DCC"/>
    <w:rsid w:val="007D2DE0"/>
    <w:rsid w:val="007D4814"/>
    <w:rsid w:val="007D6278"/>
    <w:rsid w:val="007E120A"/>
    <w:rsid w:val="007E3D3B"/>
    <w:rsid w:val="007E3DEB"/>
    <w:rsid w:val="007F1C59"/>
    <w:rsid w:val="007F6F4E"/>
    <w:rsid w:val="0080013E"/>
    <w:rsid w:val="008006F4"/>
    <w:rsid w:val="00801C6E"/>
    <w:rsid w:val="008033CB"/>
    <w:rsid w:val="0080442B"/>
    <w:rsid w:val="00806E90"/>
    <w:rsid w:val="0081024E"/>
    <w:rsid w:val="00810AFA"/>
    <w:rsid w:val="008122DF"/>
    <w:rsid w:val="00813288"/>
    <w:rsid w:val="008168FC"/>
    <w:rsid w:val="00817D4D"/>
    <w:rsid w:val="00817E98"/>
    <w:rsid w:val="00820FCC"/>
    <w:rsid w:val="00821B9A"/>
    <w:rsid w:val="00821F8F"/>
    <w:rsid w:val="00824270"/>
    <w:rsid w:val="008247F9"/>
    <w:rsid w:val="0082694B"/>
    <w:rsid w:val="00827BD1"/>
    <w:rsid w:val="00830996"/>
    <w:rsid w:val="008328DB"/>
    <w:rsid w:val="00832CC9"/>
    <w:rsid w:val="0083389F"/>
    <w:rsid w:val="008345F1"/>
    <w:rsid w:val="0084067A"/>
    <w:rsid w:val="00840687"/>
    <w:rsid w:val="00842257"/>
    <w:rsid w:val="008447F6"/>
    <w:rsid w:val="0084486A"/>
    <w:rsid w:val="008461B7"/>
    <w:rsid w:val="00847BDA"/>
    <w:rsid w:val="008529E3"/>
    <w:rsid w:val="00853B11"/>
    <w:rsid w:val="00854B22"/>
    <w:rsid w:val="00855C3B"/>
    <w:rsid w:val="00862093"/>
    <w:rsid w:val="00864E70"/>
    <w:rsid w:val="00865B07"/>
    <w:rsid w:val="00865D7B"/>
    <w:rsid w:val="008667EA"/>
    <w:rsid w:val="0087100D"/>
    <w:rsid w:val="0087199B"/>
    <w:rsid w:val="00872440"/>
    <w:rsid w:val="00875463"/>
    <w:rsid w:val="0087637F"/>
    <w:rsid w:val="00877E51"/>
    <w:rsid w:val="00877F63"/>
    <w:rsid w:val="00881780"/>
    <w:rsid w:val="008819E9"/>
    <w:rsid w:val="00884A12"/>
    <w:rsid w:val="00887D09"/>
    <w:rsid w:val="0089071B"/>
    <w:rsid w:val="00892293"/>
    <w:rsid w:val="00892AD5"/>
    <w:rsid w:val="00892D0E"/>
    <w:rsid w:val="00893E7B"/>
    <w:rsid w:val="008976CB"/>
    <w:rsid w:val="0089770F"/>
    <w:rsid w:val="008A1512"/>
    <w:rsid w:val="008A20CE"/>
    <w:rsid w:val="008A486E"/>
    <w:rsid w:val="008A6571"/>
    <w:rsid w:val="008B1854"/>
    <w:rsid w:val="008B6645"/>
    <w:rsid w:val="008B774D"/>
    <w:rsid w:val="008C1AD3"/>
    <w:rsid w:val="008C33C3"/>
    <w:rsid w:val="008C36D0"/>
    <w:rsid w:val="008C6A61"/>
    <w:rsid w:val="008D16F5"/>
    <w:rsid w:val="008D32B9"/>
    <w:rsid w:val="008D433B"/>
    <w:rsid w:val="008D4A16"/>
    <w:rsid w:val="008D548E"/>
    <w:rsid w:val="008D5506"/>
    <w:rsid w:val="008D557D"/>
    <w:rsid w:val="008D6EA1"/>
    <w:rsid w:val="008D799E"/>
    <w:rsid w:val="008E002F"/>
    <w:rsid w:val="008E02E1"/>
    <w:rsid w:val="008E295B"/>
    <w:rsid w:val="008E566E"/>
    <w:rsid w:val="008E6675"/>
    <w:rsid w:val="008E66C2"/>
    <w:rsid w:val="0090161A"/>
    <w:rsid w:val="00901EB6"/>
    <w:rsid w:val="00904C62"/>
    <w:rsid w:val="009059AC"/>
    <w:rsid w:val="00906615"/>
    <w:rsid w:val="00910B18"/>
    <w:rsid w:val="00910F67"/>
    <w:rsid w:val="009116C6"/>
    <w:rsid w:val="00913679"/>
    <w:rsid w:val="00916FA6"/>
    <w:rsid w:val="00921968"/>
    <w:rsid w:val="00921B3E"/>
    <w:rsid w:val="00921C11"/>
    <w:rsid w:val="00921E3B"/>
    <w:rsid w:val="00922BA8"/>
    <w:rsid w:val="009249C8"/>
    <w:rsid w:val="00924DAC"/>
    <w:rsid w:val="00925BD2"/>
    <w:rsid w:val="00927058"/>
    <w:rsid w:val="0092744F"/>
    <w:rsid w:val="009279D0"/>
    <w:rsid w:val="00931514"/>
    <w:rsid w:val="00931B43"/>
    <w:rsid w:val="0093590F"/>
    <w:rsid w:val="00942750"/>
    <w:rsid w:val="0094356C"/>
    <w:rsid w:val="009450CE"/>
    <w:rsid w:val="009459BB"/>
    <w:rsid w:val="00945B0F"/>
    <w:rsid w:val="00947179"/>
    <w:rsid w:val="00950697"/>
    <w:rsid w:val="009509B4"/>
    <w:rsid w:val="009512D6"/>
    <w:rsid w:val="0095164B"/>
    <w:rsid w:val="00952E20"/>
    <w:rsid w:val="009539A8"/>
    <w:rsid w:val="00954090"/>
    <w:rsid w:val="00954582"/>
    <w:rsid w:val="00955941"/>
    <w:rsid w:val="00956B97"/>
    <w:rsid w:val="009573E7"/>
    <w:rsid w:val="00961B2F"/>
    <w:rsid w:val="009638FD"/>
    <w:rsid w:val="00963E05"/>
    <w:rsid w:val="00964A45"/>
    <w:rsid w:val="00967843"/>
    <w:rsid w:val="00967D54"/>
    <w:rsid w:val="00967D7E"/>
    <w:rsid w:val="009704DD"/>
    <w:rsid w:val="00970FAA"/>
    <w:rsid w:val="00971028"/>
    <w:rsid w:val="00971C25"/>
    <w:rsid w:val="00972553"/>
    <w:rsid w:val="00974389"/>
    <w:rsid w:val="00976BAC"/>
    <w:rsid w:val="009824B7"/>
    <w:rsid w:val="0098268E"/>
    <w:rsid w:val="00983008"/>
    <w:rsid w:val="009848A7"/>
    <w:rsid w:val="00985A30"/>
    <w:rsid w:val="00985D8D"/>
    <w:rsid w:val="00985F09"/>
    <w:rsid w:val="00992183"/>
    <w:rsid w:val="00993B84"/>
    <w:rsid w:val="00996483"/>
    <w:rsid w:val="00996666"/>
    <w:rsid w:val="00996F5A"/>
    <w:rsid w:val="009A18D0"/>
    <w:rsid w:val="009A23B6"/>
    <w:rsid w:val="009A2438"/>
    <w:rsid w:val="009A2C51"/>
    <w:rsid w:val="009B041A"/>
    <w:rsid w:val="009B308F"/>
    <w:rsid w:val="009B4F1D"/>
    <w:rsid w:val="009B4F84"/>
    <w:rsid w:val="009B5632"/>
    <w:rsid w:val="009B6B6E"/>
    <w:rsid w:val="009B7941"/>
    <w:rsid w:val="009B7F22"/>
    <w:rsid w:val="009C0565"/>
    <w:rsid w:val="009C0713"/>
    <w:rsid w:val="009C0A55"/>
    <w:rsid w:val="009C37C3"/>
    <w:rsid w:val="009C5B77"/>
    <w:rsid w:val="009C7C86"/>
    <w:rsid w:val="009D0728"/>
    <w:rsid w:val="009D2FF7"/>
    <w:rsid w:val="009D34E7"/>
    <w:rsid w:val="009D6B37"/>
    <w:rsid w:val="009E1BED"/>
    <w:rsid w:val="009E3409"/>
    <w:rsid w:val="009E46CD"/>
    <w:rsid w:val="009E5568"/>
    <w:rsid w:val="009E7884"/>
    <w:rsid w:val="009E788A"/>
    <w:rsid w:val="009F0E08"/>
    <w:rsid w:val="009F3823"/>
    <w:rsid w:val="009F3BEC"/>
    <w:rsid w:val="009F6058"/>
    <w:rsid w:val="009F6424"/>
    <w:rsid w:val="00A04B49"/>
    <w:rsid w:val="00A0584B"/>
    <w:rsid w:val="00A05CB4"/>
    <w:rsid w:val="00A06023"/>
    <w:rsid w:val="00A073F6"/>
    <w:rsid w:val="00A11856"/>
    <w:rsid w:val="00A11A50"/>
    <w:rsid w:val="00A13CB5"/>
    <w:rsid w:val="00A143B5"/>
    <w:rsid w:val="00A1596D"/>
    <w:rsid w:val="00A159DB"/>
    <w:rsid w:val="00A1763D"/>
    <w:rsid w:val="00A17CEC"/>
    <w:rsid w:val="00A17FC8"/>
    <w:rsid w:val="00A244EB"/>
    <w:rsid w:val="00A24AA9"/>
    <w:rsid w:val="00A267A4"/>
    <w:rsid w:val="00A26C88"/>
    <w:rsid w:val="00A27EF0"/>
    <w:rsid w:val="00A317EB"/>
    <w:rsid w:val="00A31CB6"/>
    <w:rsid w:val="00A325ED"/>
    <w:rsid w:val="00A32D9C"/>
    <w:rsid w:val="00A34E02"/>
    <w:rsid w:val="00A355F5"/>
    <w:rsid w:val="00A41D5C"/>
    <w:rsid w:val="00A42361"/>
    <w:rsid w:val="00A45AAC"/>
    <w:rsid w:val="00A50B20"/>
    <w:rsid w:val="00A51390"/>
    <w:rsid w:val="00A51585"/>
    <w:rsid w:val="00A547AE"/>
    <w:rsid w:val="00A55EE2"/>
    <w:rsid w:val="00A56B53"/>
    <w:rsid w:val="00A57E5F"/>
    <w:rsid w:val="00A60D13"/>
    <w:rsid w:val="00A6454A"/>
    <w:rsid w:val="00A647B5"/>
    <w:rsid w:val="00A65425"/>
    <w:rsid w:val="00A66962"/>
    <w:rsid w:val="00A66DDE"/>
    <w:rsid w:val="00A70CB3"/>
    <w:rsid w:val="00A721EF"/>
    <w:rsid w:val="00A7223D"/>
    <w:rsid w:val="00A72739"/>
    <w:rsid w:val="00A72745"/>
    <w:rsid w:val="00A74AFE"/>
    <w:rsid w:val="00A76EFC"/>
    <w:rsid w:val="00A8018B"/>
    <w:rsid w:val="00A803A9"/>
    <w:rsid w:val="00A8059D"/>
    <w:rsid w:val="00A8298C"/>
    <w:rsid w:val="00A87D50"/>
    <w:rsid w:val="00A90957"/>
    <w:rsid w:val="00A90B75"/>
    <w:rsid w:val="00A91010"/>
    <w:rsid w:val="00A922D2"/>
    <w:rsid w:val="00A9327A"/>
    <w:rsid w:val="00A964C1"/>
    <w:rsid w:val="00A97F29"/>
    <w:rsid w:val="00AA1107"/>
    <w:rsid w:val="00AA2C4C"/>
    <w:rsid w:val="00AA46BA"/>
    <w:rsid w:val="00AA702E"/>
    <w:rsid w:val="00AA70E5"/>
    <w:rsid w:val="00AA7D26"/>
    <w:rsid w:val="00AB0964"/>
    <w:rsid w:val="00AB1433"/>
    <w:rsid w:val="00AB5011"/>
    <w:rsid w:val="00AB7A11"/>
    <w:rsid w:val="00AC006F"/>
    <w:rsid w:val="00AC2E13"/>
    <w:rsid w:val="00AC4C20"/>
    <w:rsid w:val="00AC53E2"/>
    <w:rsid w:val="00AC5C74"/>
    <w:rsid w:val="00AC6459"/>
    <w:rsid w:val="00AC7368"/>
    <w:rsid w:val="00AD0414"/>
    <w:rsid w:val="00AD16B9"/>
    <w:rsid w:val="00AD1877"/>
    <w:rsid w:val="00AD46C7"/>
    <w:rsid w:val="00AD5F98"/>
    <w:rsid w:val="00AE08BD"/>
    <w:rsid w:val="00AE2560"/>
    <w:rsid w:val="00AE269A"/>
    <w:rsid w:val="00AE377D"/>
    <w:rsid w:val="00AE43E3"/>
    <w:rsid w:val="00AF03A7"/>
    <w:rsid w:val="00AF0EBA"/>
    <w:rsid w:val="00AF2593"/>
    <w:rsid w:val="00AF4006"/>
    <w:rsid w:val="00AF56F9"/>
    <w:rsid w:val="00AF5C04"/>
    <w:rsid w:val="00AF7FE4"/>
    <w:rsid w:val="00B018DE"/>
    <w:rsid w:val="00B0203F"/>
    <w:rsid w:val="00B0291F"/>
    <w:rsid w:val="00B02B13"/>
    <w:rsid w:val="00B02C8A"/>
    <w:rsid w:val="00B05C0A"/>
    <w:rsid w:val="00B067A9"/>
    <w:rsid w:val="00B106EF"/>
    <w:rsid w:val="00B12D7A"/>
    <w:rsid w:val="00B149B5"/>
    <w:rsid w:val="00B1614D"/>
    <w:rsid w:val="00B1622F"/>
    <w:rsid w:val="00B17FBD"/>
    <w:rsid w:val="00B20ADB"/>
    <w:rsid w:val="00B23585"/>
    <w:rsid w:val="00B235DE"/>
    <w:rsid w:val="00B24F00"/>
    <w:rsid w:val="00B25CD1"/>
    <w:rsid w:val="00B315A6"/>
    <w:rsid w:val="00B31813"/>
    <w:rsid w:val="00B32E2F"/>
    <w:rsid w:val="00B3312B"/>
    <w:rsid w:val="00B33365"/>
    <w:rsid w:val="00B3475F"/>
    <w:rsid w:val="00B3492D"/>
    <w:rsid w:val="00B355A1"/>
    <w:rsid w:val="00B40408"/>
    <w:rsid w:val="00B4410F"/>
    <w:rsid w:val="00B46F54"/>
    <w:rsid w:val="00B52A4C"/>
    <w:rsid w:val="00B549DC"/>
    <w:rsid w:val="00B55B13"/>
    <w:rsid w:val="00B57B36"/>
    <w:rsid w:val="00B57E6F"/>
    <w:rsid w:val="00B615EA"/>
    <w:rsid w:val="00B622F1"/>
    <w:rsid w:val="00B64434"/>
    <w:rsid w:val="00B65B77"/>
    <w:rsid w:val="00B66B08"/>
    <w:rsid w:val="00B679BF"/>
    <w:rsid w:val="00B67F6C"/>
    <w:rsid w:val="00B703B6"/>
    <w:rsid w:val="00B708A5"/>
    <w:rsid w:val="00B734ED"/>
    <w:rsid w:val="00B7722D"/>
    <w:rsid w:val="00B81134"/>
    <w:rsid w:val="00B852F1"/>
    <w:rsid w:val="00B85494"/>
    <w:rsid w:val="00B8594A"/>
    <w:rsid w:val="00B8686D"/>
    <w:rsid w:val="00B87053"/>
    <w:rsid w:val="00B8738C"/>
    <w:rsid w:val="00B873A5"/>
    <w:rsid w:val="00B879B9"/>
    <w:rsid w:val="00B90324"/>
    <w:rsid w:val="00B90384"/>
    <w:rsid w:val="00B90E51"/>
    <w:rsid w:val="00B919C3"/>
    <w:rsid w:val="00B91B29"/>
    <w:rsid w:val="00B93F69"/>
    <w:rsid w:val="00B949C8"/>
    <w:rsid w:val="00BA04C1"/>
    <w:rsid w:val="00BA25D4"/>
    <w:rsid w:val="00BA3149"/>
    <w:rsid w:val="00BA4A2B"/>
    <w:rsid w:val="00BA4C6D"/>
    <w:rsid w:val="00BA613D"/>
    <w:rsid w:val="00BA6822"/>
    <w:rsid w:val="00BB1DDC"/>
    <w:rsid w:val="00BB358F"/>
    <w:rsid w:val="00BB5206"/>
    <w:rsid w:val="00BB788D"/>
    <w:rsid w:val="00BC0665"/>
    <w:rsid w:val="00BC30C9"/>
    <w:rsid w:val="00BC3885"/>
    <w:rsid w:val="00BC5CF0"/>
    <w:rsid w:val="00BC6C9C"/>
    <w:rsid w:val="00BD0558"/>
    <w:rsid w:val="00BD077D"/>
    <w:rsid w:val="00BD436F"/>
    <w:rsid w:val="00BE1F93"/>
    <w:rsid w:val="00BE27C5"/>
    <w:rsid w:val="00BE387E"/>
    <w:rsid w:val="00BE38C7"/>
    <w:rsid w:val="00BE3C2F"/>
    <w:rsid w:val="00BE3E58"/>
    <w:rsid w:val="00BE683A"/>
    <w:rsid w:val="00BF3416"/>
    <w:rsid w:val="00BF588A"/>
    <w:rsid w:val="00C01616"/>
    <w:rsid w:val="00C0162B"/>
    <w:rsid w:val="00C04B71"/>
    <w:rsid w:val="00C0677A"/>
    <w:rsid w:val="00C068ED"/>
    <w:rsid w:val="00C06C29"/>
    <w:rsid w:val="00C1132C"/>
    <w:rsid w:val="00C12067"/>
    <w:rsid w:val="00C13A61"/>
    <w:rsid w:val="00C14DE5"/>
    <w:rsid w:val="00C155A7"/>
    <w:rsid w:val="00C206CA"/>
    <w:rsid w:val="00C22E0C"/>
    <w:rsid w:val="00C30973"/>
    <w:rsid w:val="00C32A1B"/>
    <w:rsid w:val="00C33328"/>
    <w:rsid w:val="00C345B1"/>
    <w:rsid w:val="00C3628A"/>
    <w:rsid w:val="00C362A5"/>
    <w:rsid w:val="00C37523"/>
    <w:rsid w:val="00C40142"/>
    <w:rsid w:val="00C402E7"/>
    <w:rsid w:val="00C404B2"/>
    <w:rsid w:val="00C424FD"/>
    <w:rsid w:val="00C43B8D"/>
    <w:rsid w:val="00C51A94"/>
    <w:rsid w:val="00C51D3A"/>
    <w:rsid w:val="00C52C3C"/>
    <w:rsid w:val="00C5585A"/>
    <w:rsid w:val="00C57044"/>
    <w:rsid w:val="00C57182"/>
    <w:rsid w:val="00C57863"/>
    <w:rsid w:val="00C57917"/>
    <w:rsid w:val="00C60D77"/>
    <w:rsid w:val="00C61878"/>
    <w:rsid w:val="00C640AF"/>
    <w:rsid w:val="00C655FD"/>
    <w:rsid w:val="00C65631"/>
    <w:rsid w:val="00C71721"/>
    <w:rsid w:val="00C71F44"/>
    <w:rsid w:val="00C75407"/>
    <w:rsid w:val="00C75776"/>
    <w:rsid w:val="00C76C42"/>
    <w:rsid w:val="00C870A8"/>
    <w:rsid w:val="00C870E2"/>
    <w:rsid w:val="00C92EEC"/>
    <w:rsid w:val="00C939FA"/>
    <w:rsid w:val="00C93FEE"/>
    <w:rsid w:val="00C94434"/>
    <w:rsid w:val="00C94BE4"/>
    <w:rsid w:val="00CA0D75"/>
    <w:rsid w:val="00CA16F1"/>
    <w:rsid w:val="00CA1C95"/>
    <w:rsid w:val="00CA2F7B"/>
    <w:rsid w:val="00CA334A"/>
    <w:rsid w:val="00CA5A9C"/>
    <w:rsid w:val="00CA5EBD"/>
    <w:rsid w:val="00CB0864"/>
    <w:rsid w:val="00CB411C"/>
    <w:rsid w:val="00CB4426"/>
    <w:rsid w:val="00CB7493"/>
    <w:rsid w:val="00CC0570"/>
    <w:rsid w:val="00CC1527"/>
    <w:rsid w:val="00CC3215"/>
    <w:rsid w:val="00CC3D77"/>
    <w:rsid w:val="00CC4C20"/>
    <w:rsid w:val="00CC6E24"/>
    <w:rsid w:val="00CC7525"/>
    <w:rsid w:val="00CC7698"/>
    <w:rsid w:val="00CD124E"/>
    <w:rsid w:val="00CD3517"/>
    <w:rsid w:val="00CD4399"/>
    <w:rsid w:val="00CD5C63"/>
    <w:rsid w:val="00CD5FE2"/>
    <w:rsid w:val="00CD74EA"/>
    <w:rsid w:val="00CD76C6"/>
    <w:rsid w:val="00CD7E33"/>
    <w:rsid w:val="00CE4D8E"/>
    <w:rsid w:val="00CE7C68"/>
    <w:rsid w:val="00CF0872"/>
    <w:rsid w:val="00CF4EA1"/>
    <w:rsid w:val="00CF59CF"/>
    <w:rsid w:val="00D02B4C"/>
    <w:rsid w:val="00D02F88"/>
    <w:rsid w:val="00D040C4"/>
    <w:rsid w:val="00D07879"/>
    <w:rsid w:val="00D10362"/>
    <w:rsid w:val="00D131A6"/>
    <w:rsid w:val="00D150DC"/>
    <w:rsid w:val="00D154D1"/>
    <w:rsid w:val="00D17397"/>
    <w:rsid w:val="00D20338"/>
    <w:rsid w:val="00D20AD1"/>
    <w:rsid w:val="00D21166"/>
    <w:rsid w:val="00D22661"/>
    <w:rsid w:val="00D23E86"/>
    <w:rsid w:val="00D24F96"/>
    <w:rsid w:val="00D30535"/>
    <w:rsid w:val="00D31AB4"/>
    <w:rsid w:val="00D31E50"/>
    <w:rsid w:val="00D32829"/>
    <w:rsid w:val="00D33139"/>
    <w:rsid w:val="00D33E97"/>
    <w:rsid w:val="00D34A77"/>
    <w:rsid w:val="00D34FA3"/>
    <w:rsid w:val="00D351E0"/>
    <w:rsid w:val="00D35454"/>
    <w:rsid w:val="00D40CA9"/>
    <w:rsid w:val="00D40F57"/>
    <w:rsid w:val="00D41A94"/>
    <w:rsid w:val="00D43567"/>
    <w:rsid w:val="00D43B2D"/>
    <w:rsid w:val="00D44496"/>
    <w:rsid w:val="00D445D3"/>
    <w:rsid w:val="00D46B7E"/>
    <w:rsid w:val="00D50331"/>
    <w:rsid w:val="00D50A10"/>
    <w:rsid w:val="00D53636"/>
    <w:rsid w:val="00D54622"/>
    <w:rsid w:val="00D55638"/>
    <w:rsid w:val="00D5575C"/>
    <w:rsid w:val="00D56173"/>
    <w:rsid w:val="00D57C84"/>
    <w:rsid w:val="00D6057D"/>
    <w:rsid w:val="00D60EC6"/>
    <w:rsid w:val="00D617C3"/>
    <w:rsid w:val="00D64764"/>
    <w:rsid w:val="00D648EC"/>
    <w:rsid w:val="00D71640"/>
    <w:rsid w:val="00D7241B"/>
    <w:rsid w:val="00D73A6B"/>
    <w:rsid w:val="00D73F75"/>
    <w:rsid w:val="00D765B3"/>
    <w:rsid w:val="00D76B0F"/>
    <w:rsid w:val="00D80D27"/>
    <w:rsid w:val="00D82A23"/>
    <w:rsid w:val="00D82A32"/>
    <w:rsid w:val="00D836C5"/>
    <w:rsid w:val="00D838C0"/>
    <w:rsid w:val="00D843C4"/>
    <w:rsid w:val="00D84576"/>
    <w:rsid w:val="00D859E4"/>
    <w:rsid w:val="00D869EA"/>
    <w:rsid w:val="00D8741D"/>
    <w:rsid w:val="00D92583"/>
    <w:rsid w:val="00D93035"/>
    <w:rsid w:val="00D93BBB"/>
    <w:rsid w:val="00D958E9"/>
    <w:rsid w:val="00DA03D8"/>
    <w:rsid w:val="00DA10DB"/>
    <w:rsid w:val="00DA1399"/>
    <w:rsid w:val="00DA24C6"/>
    <w:rsid w:val="00DA29A1"/>
    <w:rsid w:val="00DA4D7B"/>
    <w:rsid w:val="00DA4E94"/>
    <w:rsid w:val="00DA4F69"/>
    <w:rsid w:val="00DA744B"/>
    <w:rsid w:val="00DB39CC"/>
    <w:rsid w:val="00DB51D7"/>
    <w:rsid w:val="00DB6542"/>
    <w:rsid w:val="00DB6911"/>
    <w:rsid w:val="00DB79A0"/>
    <w:rsid w:val="00DC03ED"/>
    <w:rsid w:val="00DC0602"/>
    <w:rsid w:val="00DC20B9"/>
    <w:rsid w:val="00DC27D9"/>
    <w:rsid w:val="00DC2864"/>
    <w:rsid w:val="00DC39EC"/>
    <w:rsid w:val="00DC3D1D"/>
    <w:rsid w:val="00DC6B4F"/>
    <w:rsid w:val="00DD271C"/>
    <w:rsid w:val="00DD465E"/>
    <w:rsid w:val="00DD5DE9"/>
    <w:rsid w:val="00DD6C39"/>
    <w:rsid w:val="00DE264A"/>
    <w:rsid w:val="00DE31AB"/>
    <w:rsid w:val="00DE3717"/>
    <w:rsid w:val="00DE44A9"/>
    <w:rsid w:val="00DE547C"/>
    <w:rsid w:val="00DF01C5"/>
    <w:rsid w:val="00DF27B7"/>
    <w:rsid w:val="00DF2AE0"/>
    <w:rsid w:val="00DF37C6"/>
    <w:rsid w:val="00DF492E"/>
    <w:rsid w:val="00DF5072"/>
    <w:rsid w:val="00E0030D"/>
    <w:rsid w:val="00E02D18"/>
    <w:rsid w:val="00E02D45"/>
    <w:rsid w:val="00E0310D"/>
    <w:rsid w:val="00E041E7"/>
    <w:rsid w:val="00E04A8A"/>
    <w:rsid w:val="00E056DF"/>
    <w:rsid w:val="00E109F3"/>
    <w:rsid w:val="00E12535"/>
    <w:rsid w:val="00E12B7E"/>
    <w:rsid w:val="00E15381"/>
    <w:rsid w:val="00E167F2"/>
    <w:rsid w:val="00E17623"/>
    <w:rsid w:val="00E17AB6"/>
    <w:rsid w:val="00E20CA8"/>
    <w:rsid w:val="00E20DBC"/>
    <w:rsid w:val="00E2210A"/>
    <w:rsid w:val="00E2367C"/>
    <w:rsid w:val="00E23CA1"/>
    <w:rsid w:val="00E31300"/>
    <w:rsid w:val="00E31AC1"/>
    <w:rsid w:val="00E31FDE"/>
    <w:rsid w:val="00E334BB"/>
    <w:rsid w:val="00E338EA"/>
    <w:rsid w:val="00E33DD7"/>
    <w:rsid w:val="00E36A34"/>
    <w:rsid w:val="00E409A8"/>
    <w:rsid w:val="00E443A1"/>
    <w:rsid w:val="00E501B6"/>
    <w:rsid w:val="00E50527"/>
    <w:rsid w:val="00E50C12"/>
    <w:rsid w:val="00E521AB"/>
    <w:rsid w:val="00E52D64"/>
    <w:rsid w:val="00E54335"/>
    <w:rsid w:val="00E56339"/>
    <w:rsid w:val="00E56405"/>
    <w:rsid w:val="00E6020C"/>
    <w:rsid w:val="00E60ABF"/>
    <w:rsid w:val="00E6285C"/>
    <w:rsid w:val="00E65410"/>
    <w:rsid w:val="00E65B91"/>
    <w:rsid w:val="00E66A45"/>
    <w:rsid w:val="00E67124"/>
    <w:rsid w:val="00E70345"/>
    <w:rsid w:val="00E70B35"/>
    <w:rsid w:val="00E715E8"/>
    <w:rsid w:val="00E7209D"/>
    <w:rsid w:val="00E72EAD"/>
    <w:rsid w:val="00E73993"/>
    <w:rsid w:val="00E74A8C"/>
    <w:rsid w:val="00E75FD3"/>
    <w:rsid w:val="00E76CB4"/>
    <w:rsid w:val="00E76D18"/>
    <w:rsid w:val="00E77223"/>
    <w:rsid w:val="00E776C3"/>
    <w:rsid w:val="00E83E09"/>
    <w:rsid w:val="00E84878"/>
    <w:rsid w:val="00E84B27"/>
    <w:rsid w:val="00E8528B"/>
    <w:rsid w:val="00E85B94"/>
    <w:rsid w:val="00E85C42"/>
    <w:rsid w:val="00E90534"/>
    <w:rsid w:val="00E91DFF"/>
    <w:rsid w:val="00E9273E"/>
    <w:rsid w:val="00E95967"/>
    <w:rsid w:val="00E96A52"/>
    <w:rsid w:val="00E978D0"/>
    <w:rsid w:val="00EA0241"/>
    <w:rsid w:val="00EA032E"/>
    <w:rsid w:val="00EA0A3D"/>
    <w:rsid w:val="00EA4613"/>
    <w:rsid w:val="00EA55F6"/>
    <w:rsid w:val="00EA7F91"/>
    <w:rsid w:val="00EB0511"/>
    <w:rsid w:val="00EB1329"/>
    <w:rsid w:val="00EB151F"/>
    <w:rsid w:val="00EB1523"/>
    <w:rsid w:val="00EB1C57"/>
    <w:rsid w:val="00EB315B"/>
    <w:rsid w:val="00EB3587"/>
    <w:rsid w:val="00EB3820"/>
    <w:rsid w:val="00EB722F"/>
    <w:rsid w:val="00EB7BE5"/>
    <w:rsid w:val="00EC0E49"/>
    <w:rsid w:val="00EC101F"/>
    <w:rsid w:val="00EC1D9F"/>
    <w:rsid w:val="00EC2CAD"/>
    <w:rsid w:val="00EC2D51"/>
    <w:rsid w:val="00EC2D76"/>
    <w:rsid w:val="00EC3E4C"/>
    <w:rsid w:val="00EC44DA"/>
    <w:rsid w:val="00EC51E2"/>
    <w:rsid w:val="00EC5BBD"/>
    <w:rsid w:val="00EC6A31"/>
    <w:rsid w:val="00ED1DA7"/>
    <w:rsid w:val="00ED298F"/>
    <w:rsid w:val="00ED6768"/>
    <w:rsid w:val="00EE0131"/>
    <w:rsid w:val="00EE17B0"/>
    <w:rsid w:val="00EE1FEA"/>
    <w:rsid w:val="00EE7778"/>
    <w:rsid w:val="00EF06D9"/>
    <w:rsid w:val="00EF217E"/>
    <w:rsid w:val="00EF3559"/>
    <w:rsid w:val="00EF6C20"/>
    <w:rsid w:val="00F022DE"/>
    <w:rsid w:val="00F0467F"/>
    <w:rsid w:val="00F04EC2"/>
    <w:rsid w:val="00F066D6"/>
    <w:rsid w:val="00F075B8"/>
    <w:rsid w:val="00F10BCC"/>
    <w:rsid w:val="00F11A35"/>
    <w:rsid w:val="00F11C3F"/>
    <w:rsid w:val="00F13AA2"/>
    <w:rsid w:val="00F16201"/>
    <w:rsid w:val="00F216C8"/>
    <w:rsid w:val="00F221AF"/>
    <w:rsid w:val="00F2240B"/>
    <w:rsid w:val="00F23F89"/>
    <w:rsid w:val="00F26F89"/>
    <w:rsid w:val="00F300AE"/>
    <w:rsid w:val="00F3049E"/>
    <w:rsid w:val="00F3073D"/>
    <w:rsid w:val="00F30C64"/>
    <w:rsid w:val="00F31BEF"/>
    <w:rsid w:val="00F32BA2"/>
    <w:rsid w:val="00F32CDB"/>
    <w:rsid w:val="00F33E01"/>
    <w:rsid w:val="00F34F5B"/>
    <w:rsid w:val="00F36FB3"/>
    <w:rsid w:val="00F40B54"/>
    <w:rsid w:val="00F40C71"/>
    <w:rsid w:val="00F42E8B"/>
    <w:rsid w:val="00F43D89"/>
    <w:rsid w:val="00F43DB6"/>
    <w:rsid w:val="00F43E68"/>
    <w:rsid w:val="00F4687A"/>
    <w:rsid w:val="00F47728"/>
    <w:rsid w:val="00F507B6"/>
    <w:rsid w:val="00F50E57"/>
    <w:rsid w:val="00F52A73"/>
    <w:rsid w:val="00F546B9"/>
    <w:rsid w:val="00F565FE"/>
    <w:rsid w:val="00F6013E"/>
    <w:rsid w:val="00F63A70"/>
    <w:rsid w:val="00F63D8C"/>
    <w:rsid w:val="00F65435"/>
    <w:rsid w:val="00F71B4B"/>
    <w:rsid w:val="00F7449A"/>
    <w:rsid w:val="00F7472E"/>
    <w:rsid w:val="00F7534E"/>
    <w:rsid w:val="00F75AD4"/>
    <w:rsid w:val="00F76230"/>
    <w:rsid w:val="00F76ADD"/>
    <w:rsid w:val="00F77C07"/>
    <w:rsid w:val="00F80F9F"/>
    <w:rsid w:val="00F85116"/>
    <w:rsid w:val="00F853F5"/>
    <w:rsid w:val="00F9242E"/>
    <w:rsid w:val="00F92CF0"/>
    <w:rsid w:val="00F93EDF"/>
    <w:rsid w:val="00FA0DA7"/>
    <w:rsid w:val="00FA1802"/>
    <w:rsid w:val="00FA2017"/>
    <w:rsid w:val="00FA2168"/>
    <w:rsid w:val="00FA21D0"/>
    <w:rsid w:val="00FA3396"/>
    <w:rsid w:val="00FA4EAD"/>
    <w:rsid w:val="00FA4F9D"/>
    <w:rsid w:val="00FA5F5F"/>
    <w:rsid w:val="00FA6A60"/>
    <w:rsid w:val="00FA791C"/>
    <w:rsid w:val="00FB013B"/>
    <w:rsid w:val="00FB610F"/>
    <w:rsid w:val="00FB6B5A"/>
    <w:rsid w:val="00FB6BFF"/>
    <w:rsid w:val="00FB730C"/>
    <w:rsid w:val="00FB7AFC"/>
    <w:rsid w:val="00FC0853"/>
    <w:rsid w:val="00FC1817"/>
    <w:rsid w:val="00FC2695"/>
    <w:rsid w:val="00FC279D"/>
    <w:rsid w:val="00FC2F71"/>
    <w:rsid w:val="00FC3140"/>
    <w:rsid w:val="00FC3E03"/>
    <w:rsid w:val="00FC3FC1"/>
    <w:rsid w:val="00FC4880"/>
    <w:rsid w:val="00FC4D73"/>
    <w:rsid w:val="00FC4F73"/>
    <w:rsid w:val="00FC7A48"/>
    <w:rsid w:val="00FD0990"/>
    <w:rsid w:val="00FD6E6B"/>
    <w:rsid w:val="00FE0B39"/>
    <w:rsid w:val="00FE4F5D"/>
    <w:rsid w:val="00FE637F"/>
    <w:rsid w:val="00FE6C31"/>
    <w:rsid w:val="00FF0BF0"/>
    <w:rsid w:val="00FF2212"/>
    <w:rsid w:val="00FF43BD"/>
    <w:rsid w:val="00FF684B"/>
    <w:rsid w:val="00FF7F95"/>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tulo1">
    <w:name w:val="heading 1"/>
    <w:basedOn w:val="CETHeading1"/>
    <w:next w:val="Normal"/>
    <w:link w:val="Ttulo1Char"/>
    <w:uiPriority w:val="9"/>
    <w:rsid w:val="004F5E36"/>
    <w:pPr>
      <w:tabs>
        <w:tab w:val="clear" w:pos="360"/>
        <w:tab w:val="right" w:pos="7100"/>
      </w:tabs>
      <w:jc w:val="both"/>
      <w:outlineLvl w:val="0"/>
    </w:pPr>
    <w:rPr>
      <w:lang w:val="en-GB"/>
    </w:rPr>
  </w:style>
  <w:style w:type="paragraph" w:styleId="Ttulo2">
    <w:name w:val="heading 2"/>
    <w:basedOn w:val="Normal"/>
    <w:next w:val="Normal"/>
    <w:link w:val="Ttulo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tulo9">
    <w:name w:val="heading 9"/>
    <w:basedOn w:val="Normal"/>
    <w:next w:val="Normal"/>
    <w:link w:val="Ttulo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ind w:left="0"/>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2D05BE"/>
    <w:pPr>
      <w:keepNext/>
      <w:numPr>
        <w:ilvl w:val="2"/>
        <w:numId w:val="1"/>
      </w:numPr>
      <w:suppressAutoHyphens/>
      <w:spacing w:before="24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asimples1">
    <w:name w:val="Table Simple 1"/>
    <w:basedOn w:val="Tabela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2D05BE"/>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efdecomentrio">
    <w:name w:val="annotation reference"/>
    <w:basedOn w:val="Fontepargpadro"/>
    <w:uiPriority w:val="99"/>
    <w:semiHidden/>
    <w:unhideWhenUsed/>
    <w:rsid w:val="004577FE"/>
    <w:rPr>
      <w:sz w:val="16"/>
      <w:szCs w:val="16"/>
    </w:rPr>
  </w:style>
  <w:style w:type="paragraph" w:styleId="Textodebalo">
    <w:name w:val="Balloon Text"/>
    <w:basedOn w:val="Normal"/>
    <w:link w:val="TextodebaloChar"/>
    <w:uiPriority w:val="99"/>
    <w:semiHidden/>
    <w:unhideWhenUsed/>
    <w:rsid w:val="000D34BE"/>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texto2">
    <w:name w:val="Body Text 2"/>
    <w:basedOn w:val="Normal"/>
    <w:link w:val="Corpodetexto2Char"/>
    <w:uiPriority w:val="99"/>
    <w:semiHidden/>
    <w:unhideWhenUsed/>
    <w:rsid w:val="0003148D"/>
    <w:pPr>
      <w:spacing w:after="120" w:line="480" w:lineRule="auto"/>
    </w:pPr>
  </w:style>
  <w:style w:type="character" w:customStyle="1" w:styleId="Corpodetexto2Char">
    <w:name w:val="Corpo de texto 2 Char"/>
    <w:basedOn w:val="Fontepargpadro"/>
    <w:link w:val="Corpodetexto2"/>
    <w:uiPriority w:val="99"/>
    <w:semiHidden/>
    <w:rsid w:val="0003148D"/>
  </w:style>
  <w:style w:type="paragraph" w:styleId="Corpodetexto3">
    <w:name w:val="Body Text 3"/>
    <w:basedOn w:val="Normal"/>
    <w:link w:val="Corpodetexto3Char"/>
    <w:uiPriority w:val="99"/>
    <w:semiHidden/>
    <w:unhideWhenUsed/>
    <w:rsid w:val="0003148D"/>
    <w:pPr>
      <w:spacing w:after="120"/>
    </w:pPr>
    <w:rPr>
      <w:sz w:val="16"/>
      <w:szCs w:val="16"/>
    </w:rPr>
  </w:style>
  <w:style w:type="character" w:customStyle="1" w:styleId="Corpodetexto3Char">
    <w:name w:val="Corpo de texto 3 Char"/>
    <w:basedOn w:val="Fontepargpadro"/>
    <w:link w:val="Corpodetexto3"/>
    <w:uiPriority w:val="99"/>
    <w:semiHidden/>
    <w:rsid w:val="0003148D"/>
    <w:rPr>
      <w:sz w:val="16"/>
      <w:szCs w:val="16"/>
    </w:rPr>
  </w:style>
  <w:style w:type="paragraph" w:styleId="Corpodetexto">
    <w:name w:val="Body Text"/>
    <w:basedOn w:val="Normal"/>
    <w:link w:val="CorpodetextoChar"/>
    <w:uiPriority w:val="99"/>
    <w:semiHidden/>
    <w:unhideWhenUsed/>
    <w:rsid w:val="0003148D"/>
    <w:pPr>
      <w:spacing w:after="120"/>
    </w:pPr>
  </w:style>
  <w:style w:type="character" w:customStyle="1" w:styleId="CorpodetextoChar">
    <w:name w:val="Corpo de texto Char"/>
    <w:basedOn w:val="Fontepargpadro"/>
    <w:link w:val="Corpodetexto"/>
    <w:uiPriority w:val="99"/>
    <w:semiHidden/>
    <w:rsid w:val="0003148D"/>
  </w:style>
  <w:style w:type="paragraph" w:styleId="Data">
    <w:name w:val="Date"/>
    <w:basedOn w:val="Normal"/>
    <w:next w:val="Normal"/>
    <w:link w:val="DataChar"/>
    <w:uiPriority w:val="99"/>
    <w:semiHidden/>
    <w:unhideWhenUsed/>
    <w:rsid w:val="0003148D"/>
  </w:style>
  <w:style w:type="character" w:customStyle="1" w:styleId="DataChar">
    <w:name w:val="Data Char"/>
    <w:basedOn w:val="Fontepargpadro"/>
    <w:link w:val="Data"/>
    <w:uiPriority w:val="99"/>
    <w:semiHidden/>
    <w:rsid w:val="0003148D"/>
  </w:style>
  <w:style w:type="paragraph" w:styleId="Legenda">
    <w:name w:val="caption"/>
    <w:basedOn w:val="Normal"/>
    <w:next w:val="Normal"/>
    <w:uiPriority w:val="35"/>
    <w:unhideWhenUsed/>
    <w:qFormat/>
    <w:rsid w:val="0003148D"/>
    <w:pPr>
      <w:spacing w:line="240" w:lineRule="auto"/>
    </w:pPr>
    <w:rPr>
      <w:b/>
      <w:bCs/>
      <w:color w:val="4F81BD" w:themeColor="accent1"/>
      <w:szCs w:val="18"/>
    </w:rPr>
  </w:style>
  <w:style w:type="paragraph" w:styleId="Lista">
    <w:name w:val="List"/>
    <w:basedOn w:val="Normal"/>
    <w:uiPriority w:val="99"/>
    <w:semiHidden/>
    <w:unhideWhenUsed/>
    <w:rsid w:val="0003148D"/>
    <w:pPr>
      <w:ind w:left="283" w:hanging="283"/>
      <w:contextualSpacing/>
    </w:pPr>
  </w:style>
  <w:style w:type="paragraph" w:styleId="Lista2">
    <w:name w:val="List 2"/>
    <w:basedOn w:val="Normal"/>
    <w:uiPriority w:val="99"/>
    <w:semiHidden/>
    <w:unhideWhenUsed/>
    <w:rsid w:val="0003148D"/>
    <w:pPr>
      <w:ind w:left="566" w:hanging="283"/>
      <w:contextualSpacing/>
    </w:pPr>
  </w:style>
  <w:style w:type="paragraph" w:styleId="Lista3">
    <w:name w:val="List 3"/>
    <w:basedOn w:val="Normal"/>
    <w:uiPriority w:val="99"/>
    <w:semiHidden/>
    <w:unhideWhenUsed/>
    <w:rsid w:val="0003148D"/>
    <w:pPr>
      <w:ind w:left="849" w:hanging="283"/>
      <w:contextualSpacing/>
    </w:pPr>
  </w:style>
  <w:style w:type="paragraph" w:styleId="Lista4">
    <w:name w:val="List 4"/>
    <w:basedOn w:val="Normal"/>
    <w:uiPriority w:val="99"/>
    <w:semiHidden/>
    <w:unhideWhenUsed/>
    <w:rsid w:val="0003148D"/>
    <w:pPr>
      <w:ind w:left="1132" w:hanging="283"/>
      <w:contextualSpacing/>
    </w:pPr>
  </w:style>
  <w:style w:type="paragraph" w:styleId="Lista5">
    <w:name w:val="List 5"/>
    <w:basedOn w:val="Normal"/>
    <w:uiPriority w:val="99"/>
    <w:semiHidden/>
    <w:unhideWhenUsed/>
    <w:rsid w:val="0003148D"/>
    <w:pPr>
      <w:ind w:left="1415" w:hanging="283"/>
      <w:contextualSpacing/>
    </w:pPr>
  </w:style>
  <w:style w:type="paragraph" w:styleId="Listadecontinuao">
    <w:name w:val="List Continue"/>
    <w:basedOn w:val="Normal"/>
    <w:uiPriority w:val="99"/>
    <w:semiHidden/>
    <w:unhideWhenUsed/>
    <w:rsid w:val="0003148D"/>
    <w:pPr>
      <w:spacing w:after="120"/>
      <w:ind w:left="283"/>
      <w:contextualSpacing/>
    </w:pPr>
  </w:style>
  <w:style w:type="paragraph" w:styleId="Listadecontinuao2">
    <w:name w:val="List Continue 2"/>
    <w:basedOn w:val="Normal"/>
    <w:uiPriority w:val="99"/>
    <w:semiHidden/>
    <w:unhideWhenUsed/>
    <w:rsid w:val="0003148D"/>
    <w:pPr>
      <w:spacing w:after="120"/>
      <w:ind w:left="566"/>
      <w:contextualSpacing/>
    </w:pPr>
  </w:style>
  <w:style w:type="paragraph" w:styleId="Listadecontinuao3">
    <w:name w:val="List Continue 3"/>
    <w:basedOn w:val="Normal"/>
    <w:uiPriority w:val="99"/>
    <w:semiHidden/>
    <w:unhideWhenUsed/>
    <w:rsid w:val="0003148D"/>
    <w:pPr>
      <w:spacing w:after="120"/>
      <w:ind w:left="849"/>
      <w:contextualSpacing/>
    </w:pPr>
  </w:style>
  <w:style w:type="paragraph" w:styleId="Listadecontinuao4">
    <w:name w:val="List Continue 4"/>
    <w:basedOn w:val="Normal"/>
    <w:uiPriority w:val="99"/>
    <w:semiHidden/>
    <w:unhideWhenUsed/>
    <w:rsid w:val="0003148D"/>
    <w:pPr>
      <w:spacing w:after="120"/>
      <w:ind w:left="1132"/>
      <w:contextualSpacing/>
    </w:pPr>
  </w:style>
  <w:style w:type="paragraph" w:styleId="Listadecontinuao5">
    <w:name w:val="List Continue 5"/>
    <w:basedOn w:val="Normal"/>
    <w:uiPriority w:val="99"/>
    <w:semiHidden/>
    <w:unhideWhenUsed/>
    <w:rsid w:val="0003148D"/>
    <w:pPr>
      <w:spacing w:after="120"/>
      <w:ind w:left="1415"/>
      <w:contextualSpacing/>
    </w:pPr>
  </w:style>
  <w:style w:type="paragraph" w:styleId="Assinatura">
    <w:name w:val="Signature"/>
    <w:basedOn w:val="Normal"/>
    <w:link w:val="AssinaturaChar"/>
    <w:uiPriority w:val="99"/>
    <w:semiHidden/>
    <w:unhideWhenUsed/>
    <w:rsid w:val="0003148D"/>
    <w:pPr>
      <w:spacing w:line="240" w:lineRule="auto"/>
      <w:ind w:left="4252"/>
    </w:pPr>
  </w:style>
  <w:style w:type="character" w:customStyle="1" w:styleId="AssinaturaChar">
    <w:name w:val="Assinatura Char"/>
    <w:basedOn w:val="Fontepargpadro"/>
    <w:link w:val="Assinatura"/>
    <w:uiPriority w:val="99"/>
    <w:semiHidden/>
    <w:rsid w:val="0003148D"/>
  </w:style>
  <w:style w:type="paragraph" w:styleId="AssinaturadeEmail">
    <w:name w:val="E-mail Signature"/>
    <w:basedOn w:val="Normal"/>
    <w:link w:val="AssinaturadeEmailChar"/>
    <w:uiPriority w:val="99"/>
    <w:semiHidden/>
    <w:unhideWhenUsed/>
    <w:rsid w:val="0003148D"/>
    <w:pPr>
      <w:spacing w:line="240" w:lineRule="auto"/>
    </w:pPr>
  </w:style>
  <w:style w:type="character" w:customStyle="1" w:styleId="AssinaturadeEmailChar">
    <w:name w:val="Assinatura de Email Char"/>
    <w:basedOn w:val="Fontepargpadro"/>
    <w:link w:val="AssinaturadeEmail"/>
    <w:uiPriority w:val="99"/>
    <w:semiHidden/>
    <w:rsid w:val="0003148D"/>
  </w:style>
  <w:style w:type="paragraph" w:styleId="Saudao">
    <w:name w:val="Salutation"/>
    <w:basedOn w:val="Normal"/>
    <w:next w:val="Normal"/>
    <w:link w:val="SaudaoChar"/>
    <w:uiPriority w:val="99"/>
    <w:semiHidden/>
    <w:unhideWhenUsed/>
    <w:rsid w:val="0003148D"/>
  </w:style>
  <w:style w:type="character" w:customStyle="1" w:styleId="SaudaoChar">
    <w:name w:val="Saudação Char"/>
    <w:basedOn w:val="Fontepargpadro"/>
    <w:link w:val="Saudao"/>
    <w:uiPriority w:val="99"/>
    <w:semiHidden/>
    <w:rsid w:val="0003148D"/>
  </w:style>
  <w:style w:type="paragraph" w:styleId="Encerramento">
    <w:name w:val="Closing"/>
    <w:basedOn w:val="Normal"/>
    <w:link w:val="EncerramentoChar"/>
    <w:uiPriority w:val="99"/>
    <w:semiHidden/>
    <w:unhideWhenUsed/>
    <w:rsid w:val="0003148D"/>
    <w:pPr>
      <w:spacing w:line="240" w:lineRule="auto"/>
      <w:ind w:left="4252"/>
    </w:pPr>
  </w:style>
  <w:style w:type="character" w:customStyle="1" w:styleId="EncerramentoChar">
    <w:name w:val="Encerramento Char"/>
    <w:basedOn w:val="Fontepargpadro"/>
    <w:link w:val="Encerramento"/>
    <w:uiPriority w:val="99"/>
    <w:semiHidden/>
    <w:rsid w:val="0003148D"/>
  </w:style>
  <w:style w:type="paragraph" w:styleId="Remissivo1">
    <w:name w:val="index 1"/>
    <w:basedOn w:val="Normal"/>
    <w:next w:val="Normal"/>
    <w:autoRedefine/>
    <w:uiPriority w:val="99"/>
    <w:semiHidden/>
    <w:unhideWhenUsed/>
    <w:rsid w:val="0003148D"/>
    <w:pPr>
      <w:spacing w:line="240" w:lineRule="auto"/>
      <w:ind w:left="220" w:hanging="220"/>
    </w:pPr>
  </w:style>
  <w:style w:type="paragraph" w:styleId="Remissivo2">
    <w:name w:val="index 2"/>
    <w:basedOn w:val="Normal"/>
    <w:next w:val="Normal"/>
    <w:autoRedefine/>
    <w:uiPriority w:val="99"/>
    <w:semiHidden/>
    <w:unhideWhenUsed/>
    <w:rsid w:val="0003148D"/>
    <w:pPr>
      <w:spacing w:line="240" w:lineRule="auto"/>
      <w:ind w:left="440" w:hanging="220"/>
    </w:pPr>
  </w:style>
  <w:style w:type="paragraph" w:styleId="Remissivo3">
    <w:name w:val="index 3"/>
    <w:basedOn w:val="Normal"/>
    <w:next w:val="Normal"/>
    <w:autoRedefine/>
    <w:uiPriority w:val="99"/>
    <w:semiHidden/>
    <w:unhideWhenUsed/>
    <w:rsid w:val="0003148D"/>
    <w:pPr>
      <w:spacing w:line="240" w:lineRule="auto"/>
      <w:ind w:left="660" w:hanging="220"/>
    </w:pPr>
  </w:style>
  <w:style w:type="paragraph" w:styleId="Remissivo4">
    <w:name w:val="index 4"/>
    <w:basedOn w:val="Normal"/>
    <w:next w:val="Normal"/>
    <w:autoRedefine/>
    <w:uiPriority w:val="99"/>
    <w:semiHidden/>
    <w:unhideWhenUsed/>
    <w:rsid w:val="0003148D"/>
    <w:pPr>
      <w:spacing w:line="240" w:lineRule="auto"/>
      <w:ind w:left="880" w:hanging="220"/>
    </w:pPr>
  </w:style>
  <w:style w:type="paragraph" w:styleId="Remissivo5">
    <w:name w:val="index 5"/>
    <w:basedOn w:val="Normal"/>
    <w:next w:val="Normal"/>
    <w:autoRedefine/>
    <w:uiPriority w:val="99"/>
    <w:semiHidden/>
    <w:unhideWhenUsed/>
    <w:rsid w:val="0003148D"/>
    <w:pPr>
      <w:spacing w:line="240" w:lineRule="auto"/>
      <w:ind w:left="1100" w:hanging="220"/>
    </w:pPr>
  </w:style>
  <w:style w:type="paragraph" w:styleId="Remissivo6">
    <w:name w:val="index 6"/>
    <w:basedOn w:val="Normal"/>
    <w:next w:val="Normal"/>
    <w:autoRedefine/>
    <w:uiPriority w:val="99"/>
    <w:semiHidden/>
    <w:unhideWhenUsed/>
    <w:rsid w:val="0003148D"/>
    <w:pPr>
      <w:spacing w:line="240" w:lineRule="auto"/>
      <w:ind w:left="1320" w:hanging="220"/>
    </w:pPr>
  </w:style>
  <w:style w:type="paragraph" w:styleId="Remissivo7">
    <w:name w:val="index 7"/>
    <w:basedOn w:val="Normal"/>
    <w:next w:val="Normal"/>
    <w:autoRedefine/>
    <w:uiPriority w:val="99"/>
    <w:semiHidden/>
    <w:unhideWhenUsed/>
    <w:rsid w:val="0003148D"/>
    <w:pPr>
      <w:spacing w:line="240" w:lineRule="auto"/>
      <w:ind w:left="1540" w:hanging="220"/>
    </w:pPr>
  </w:style>
  <w:style w:type="paragraph" w:styleId="Remissivo8">
    <w:name w:val="index 8"/>
    <w:basedOn w:val="Normal"/>
    <w:next w:val="Normal"/>
    <w:autoRedefine/>
    <w:uiPriority w:val="99"/>
    <w:semiHidden/>
    <w:unhideWhenUsed/>
    <w:rsid w:val="0003148D"/>
    <w:pPr>
      <w:spacing w:line="240" w:lineRule="auto"/>
      <w:ind w:left="1760" w:hanging="220"/>
    </w:pPr>
  </w:style>
  <w:style w:type="paragraph" w:styleId="Remissivo9">
    <w:name w:val="index 9"/>
    <w:basedOn w:val="Normal"/>
    <w:next w:val="Normal"/>
    <w:autoRedefine/>
    <w:uiPriority w:val="99"/>
    <w:semiHidden/>
    <w:unhideWhenUsed/>
    <w:rsid w:val="0003148D"/>
    <w:pPr>
      <w:spacing w:line="240" w:lineRule="auto"/>
      <w:ind w:left="1980" w:hanging="220"/>
    </w:pPr>
  </w:style>
  <w:style w:type="paragraph" w:styleId="ndicedeilustraes">
    <w:name w:val="table of figures"/>
    <w:basedOn w:val="Normal"/>
    <w:next w:val="Normal"/>
    <w:uiPriority w:val="99"/>
    <w:unhideWhenUsed/>
    <w:rsid w:val="0003148D"/>
  </w:style>
  <w:style w:type="paragraph" w:styleId="ndicedeautoridades">
    <w:name w:val="table of authorities"/>
    <w:basedOn w:val="Normal"/>
    <w:next w:val="Normal"/>
    <w:uiPriority w:val="99"/>
    <w:semiHidden/>
    <w:unhideWhenUsed/>
    <w:rsid w:val="0003148D"/>
    <w:pPr>
      <w:ind w:left="220" w:hanging="220"/>
    </w:pPr>
  </w:style>
  <w:style w:type="paragraph" w:styleId="Destinatrio">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dereoHTML">
    <w:name w:val="HTML Address"/>
    <w:basedOn w:val="Normal"/>
    <w:link w:val="EndereoHTMLChar"/>
    <w:uiPriority w:val="99"/>
    <w:semiHidden/>
    <w:unhideWhenUsed/>
    <w:rsid w:val="0003148D"/>
    <w:pPr>
      <w:spacing w:line="240" w:lineRule="auto"/>
    </w:pPr>
    <w:rPr>
      <w:i/>
      <w:iCs/>
    </w:rPr>
  </w:style>
  <w:style w:type="character" w:customStyle="1" w:styleId="EndereoHTMLChar">
    <w:name w:val="Endereço HTML Char"/>
    <w:basedOn w:val="Fontepargpadro"/>
    <w:link w:val="EndereoHTML"/>
    <w:uiPriority w:val="99"/>
    <w:semiHidden/>
    <w:rsid w:val="0003148D"/>
    <w:rPr>
      <w:i/>
      <w:iCs/>
    </w:rPr>
  </w:style>
  <w:style w:type="paragraph" w:styleId="Remetente">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Cabealhodamensagem">
    <w:name w:val="Message Header"/>
    <w:basedOn w:val="Normal"/>
    <w:link w:val="Cabealhodamensagem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CabealhodamensagemChar">
    <w:name w:val="Cabeçalho da mensagem Char"/>
    <w:basedOn w:val="Fontepargpadro"/>
    <w:link w:val="Cabealhodamensagem"/>
    <w:uiPriority w:val="99"/>
    <w:semiHidden/>
    <w:rsid w:val="0003148D"/>
    <w:rPr>
      <w:rFonts w:asciiTheme="majorHAnsi" w:eastAsiaTheme="majorEastAsia" w:hAnsiTheme="majorHAnsi" w:cstheme="majorBidi"/>
      <w:sz w:val="24"/>
      <w:szCs w:val="24"/>
      <w:shd w:val="pct20" w:color="auto" w:fill="auto"/>
    </w:rPr>
  </w:style>
  <w:style w:type="paragraph" w:styleId="Ttulodanota">
    <w:name w:val="Note Heading"/>
    <w:basedOn w:val="Normal"/>
    <w:next w:val="Normal"/>
    <w:link w:val="TtulodanotaChar"/>
    <w:uiPriority w:val="99"/>
    <w:semiHidden/>
    <w:unhideWhenUsed/>
    <w:rsid w:val="0003148D"/>
    <w:pPr>
      <w:spacing w:line="240" w:lineRule="auto"/>
    </w:pPr>
  </w:style>
  <w:style w:type="character" w:customStyle="1" w:styleId="TtulodanotaChar">
    <w:name w:val="Título da nota Char"/>
    <w:basedOn w:val="Fontepargpadro"/>
    <w:link w:val="Ttulodanota"/>
    <w:uiPriority w:val="99"/>
    <w:semiHidden/>
    <w:rsid w:val="0003148D"/>
  </w:style>
  <w:style w:type="paragraph" w:styleId="MapadoDocumento">
    <w:name w:val="Document Map"/>
    <w:basedOn w:val="Normal"/>
    <w:link w:val="MapadoDocumentoChar"/>
    <w:uiPriority w:val="99"/>
    <w:semiHidden/>
    <w:unhideWhenUsed/>
    <w:rsid w:val="0003148D"/>
    <w:pPr>
      <w:spacing w:line="240" w:lineRule="auto"/>
    </w:pPr>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Numerada">
    <w:name w:val="List Number"/>
    <w:basedOn w:val="Normal"/>
    <w:uiPriority w:val="99"/>
    <w:semiHidden/>
    <w:unhideWhenUsed/>
    <w:rsid w:val="0003148D"/>
    <w:pPr>
      <w:numPr>
        <w:numId w:val="2"/>
      </w:numPr>
      <w:contextualSpacing/>
    </w:pPr>
  </w:style>
  <w:style w:type="paragraph" w:styleId="Numerada2">
    <w:name w:val="List Number 2"/>
    <w:basedOn w:val="Normal"/>
    <w:uiPriority w:val="99"/>
    <w:semiHidden/>
    <w:unhideWhenUsed/>
    <w:rsid w:val="0003148D"/>
    <w:pPr>
      <w:numPr>
        <w:numId w:val="3"/>
      </w:numPr>
      <w:contextualSpacing/>
    </w:pPr>
  </w:style>
  <w:style w:type="paragraph" w:styleId="Numerada3">
    <w:name w:val="List Number 3"/>
    <w:basedOn w:val="Normal"/>
    <w:uiPriority w:val="99"/>
    <w:semiHidden/>
    <w:unhideWhenUsed/>
    <w:rsid w:val="0003148D"/>
    <w:pPr>
      <w:numPr>
        <w:numId w:val="4"/>
      </w:numPr>
      <w:contextualSpacing/>
    </w:pPr>
  </w:style>
  <w:style w:type="paragraph" w:styleId="Numerada4">
    <w:name w:val="List Number 4"/>
    <w:basedOn w:val="Normal"/>
    <w:uiPriority w:val="99"/>
    <w:semiHidden/>
    <w:unhideWhenUsed/>
    <w:rsid w:val="0003148D"/>
    <w:pPr>
      <w:numPr>
        <w:numId w:val="5"/>
      </w:numPr>
      <w:contextualSpacing/>
    </w:pPr>
  </w:style>
  <w:style w:type="paragraph" w:styleId="Numerada5">
    <w:name w:val="List Number 5"/>
    <w:basedOn w:val="Normal"/>
    <w:uiPriority w:val="99"/>
    <w:semiHidden/>
    <w:unhideWhenUsed/>
    <w:rsid w:val="0003148D"/>
    <w:pPr>
      <w:numPr>
        <w:numId w:val="6"/>
      </w:numPr>
      <w:contextualSpacing/>
    </w:pPr>
  </w:style>
  <w:style w:type="paragraph" w:styleId="Pr-formataoHTML">
    <w:name w:val="HTML Preformatted"/>
    <w:basedOn w:val="Normal"/>
    <w:link w:val="Pr-formataoHTMLChar"/>
    <w:uiPriority w:val="99"/>
    <w:semiHidden/>
    <w:unhideWhenUsed/>
    <w:rsid w:val="0003148D"/>
    <w:pPr>
      <w:spacing w:line="240" w:lineRule="auto"/>
    </w:pPr>
    <w:rPr>
      <w:rFonts w:ascii="Consolas" w:hAnsi="Consolas" w:cs="Consolas"/>
    </w:rPr>
  </w:style>
  <w:style w:type="character" w:customStyle="1" w:styleId="Pr-formataoHTMLChar">
    <w:name w:val="Pré-formatação HTML Char"/>
    <w:basedOn w:val="Fontepargpadro"/>
    <w:link w:val="Pr-formataoHTML"/>
    <w:uiPriority w:val="99"/>
    <w:semiHidden/>
    <w:rsid w:val="0003148D"/>
    <w:rPr>
      <w:rFonts w:ascii="Consolas" w:hAnsi="Consolas" w:cs="Consolas"/>
      <w:sz w:val="20"/>
      <w:szCs w:val="20"/>
    </w:rPr>
  </w:style>
  <w:style w:type="paragraph" w:styleId="Primeirorecuodecorpodetexto">
    <w:name w:val="Body Text First Indent"/>
    <w:basedOn w:val="Corpodetexto"/>
    <w:link w:val="PrimeirorecuodecorpodetextoChar"/>
    <w:uiPriority w:val="99"/>
    <w:semiHidden/>
    <w:unhideWhenUsed/>
    <w:rsid w:val="0003148D"/>
    <w:pPr>
      <w:spacing w:after="200"/>
      <w:ind w:firstLine="360"/>
    </w:pPr>
  </w:style>
  <w:style w:type="character" w:customStyle="1" w:styleId="PrimeirorecuodecorpodetextoChar">
    <w:name w:val="Primeiro recuo de corpo de texto Char"/>
    <w:basedOn w:val="CorpodetextoChar"/>
    <w:link w:val="Primeirorecuodecorpodetexto"/>
    <w:uiPriority w:val="99"/>
    <w:semiHidden/>
    <w:rsid w:val="0003148D"/>
  </w:style>
  <w:style w:type="paragraph" w:styleId="Recuodecorpodetexto">
    <w:name w:val="Body Text Indent"/>
    <w:basedOn w:val="Normal"/>
    <w:link w:val="RecuodecorpodetextoChar"/>
    <w:uiPriority w:val="99"/>
    <w:semiHidden/>
    <w:unhideWhenUsed/>
    <w:rsid w:val="0003148D"/>
    <w:pPr>
      <w:spacing w:after="120"/>
      <w:ind w:left="283"/>
    </w:pPr>
  </w:style>
  <w:style w:type="character" w:customStyle="1" w:styleId="RecuodecorpodetextoChar">
    <w:name w:val="Recuo de corpo de texto Char"/>
    <w:basedOn w:val="Fontepargpadro"/>
    <w:link w:val="Recuodecorpodetexto"/>
    <w:uiPriority w:val="99"/>
    <w:semiHidden/>
    <w:rsid w:val="0003148D"/>
  </w:style>
  <w:style w:type="paragraph" w:styleId="Primeirorecuodecorpodetexto2">
    <w:name w:val="Body Text First Indent 2"/>
    <w:basedOn w:val="Recuodecorpodetexto"/>
    <w:link w:val="Primeirorecuodecorpodetexto2Char"/>
    <w:uiPriority w:val="99"/>
    <w:semiHidden/>
    <w:unhideWhenUsed/>
    <w:rsid w:val="0003148D"/>
    <w:pPr>
      <w:spacing w:after="20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03148D"/>
  </w:style>
  <w:style w:type="paragraph" w:styleId="Commarcadores">
    <w:name w:val="List Bullet"/>
    <w:basedOn w:val="Normal"/>
    <w:uiPriority w:val="99"/>
    <w:semiHidden/>
    <w:unhideWhenUsed/>
    <w:rsid w:val="0003148D"/>
    <w:pPr>
      <w:numPr>
        <w:numId w:val="7"/>
      </w:numPr>
      <w:contextualSpacing/>
    </w:pPr>
  </w:style>
  <w:style w:type="paragraph" w:styleId="Commarcadores2">
    <w:name w:val="List Bullet 2"/>
    <w:basedOn w:val="Normal"/>
    <w:uiPriority w:val="99"/>
    <w:semiHidden/>
    <w:unhideWhenUsed/>
    <w:rsid w:val="0003148D"/>
    <w:pPr>
      <w:numPr>
        <w:numId w:val="8"/>
      </w:numPr>
      <w:contextualSpacing/>
    </w:pPr>
  </w:style>
  <w:style w:type="paragraph" w:styleId="Commarcadores3">
    <w:name w:val="List Bullet 3"/>
    <w:basedOn w:val="Normal"/>
    <w:uiPriority w:val="99"/>
    <w:semiHidden/>
    <w:unhideWhenUsed/>
    <w:rsid w:val="0003148D"/>
    <w:pPr>
      <w:numPr>
        <w:numId w:val="9"/>
      </w:numPr>
      <w:contextualSpacing/>
    </w:pPr>
  </w:style>
  <w:style w:type="paragraph" w:styleId="Commarcadores4">
    <w:name w:val="List Bullet 4"/>
    <w:basedOn w:val="Normal"/>
    <w:uiPriority w:val="99"/>
    <w:semiHidden/>
    <w:unhideWhenUsed/>
    <w:rsid w:val="0003148D"/>
    <w:pPr>
      <w:numPr>
        <w:numId w:val="10"/>
      </w:numPr>
      <w:contextualSpacing/>
    </w:pPr>
  </w:style>
  <w:style w:type="paragraph" w:styleId="Commarcadores5">
    <w:name w:val="List Bullet 5"/>
    <w:basedOn w:val="Normal"/>
    <w:uiPriority w:val="99"/>
    <w:semiHidden/>
    <w:unhideWhenUsed/>
    <w:rsid w:val="0003148D"/>
    <w:pPr>
      <w:numPr>
        <w:numId w:val="11"/>
      </w:numPr>
      <w:contextualSpacing/>
    </w:pPr>
  </w:style>
  <w:style w:type="paragraph" w:styleId="Recuodecorpodetexto2">
    <w:name w:val="Body Text Indent 2"/>
    <w:basedOn w:val="Normal"/>
    <w:link w:val="Recuodecorpodetexto2Char"/>
    <w:uiPriority w:val="99"/>
    <w:semiHidden/>
    <w:unhideWhenUsed/>
    <w:rsid w:val="0003148D"/>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3148D"/>
  </w:style>
  <w:style w:type="paragraph" w:styleId="Recuodecorpodetexto3">
    <w:name w:val="Body Text Indent 3"/>
    <w:basedOn w:val="Normal"/>
    <w:link w:val="Recuodecorpodetexto3Char"/>
    <w:uiPriority w:val="99"/>
    <w:semiHidden/>
    <w:unhideWhenUsed/>
    <w:rsid w:val="0003148D"/>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03148D"/>
    <w:rPr>
      <w:sz w:val="16"/>
      <w:szCs w:val="16"/>
    </w:rPr>
  </w:style>
  <w:style w:type="paragraph" w:styleId="Recuonormal">
    <w:name w:val="Normal Indent"/>
    <w:basedOn w:val="Normal"/>
    <w:uiPriority w:val="99"/>
    <w:semiHidden/>
    <w:unhideWhenUsed/>
    <w:rsid w:val="0003148D"/>
    <w:pPr>
      <w:ind w:left="720"/>
    </w:pPr>
  </w:style>
  <w:style w:type="paragraph" w:styleId="Textodecomentrio">
    <w:name w:val="annotation text"/>
    <w:basedOn w:val="Normal"/>
    <w:link w:val="TextodecomentrioChar"/>
    <w:uiPriority w:val="99"/>
    <w:unhideWhenUsed/>
    <w:rsid w:val="0003148D"/>
    <w:pPr>
      <w:spacing w:line="240" w:lineRule="auto"/>
    </w:pPr>
  </w:style>
  <w:style w:type="character" w:customStyle="1" w:styleId="TextodecomentrioChar">
    <w:name w:val="Texto de comentário Char"/>
    <w:basedOn w:val="Fontepargpadro"/>
    <w:link w:val="Textodecomentrio"/>
    <w:uiPriority w:val="99"/>
    <w:rsid w:val="0003148D"/>
    <w:rPr>
      <w:sz w:val="20"/>
      <w:szCs w:val="20"/>
    </w:rPr>
  </w:style>
  <w:style w:type="paragraph" w:styleId="Assuntodocomentrio">
    <w:name w:val="annotation subject"/>
    <w:basedOn w:val="Textodecomentrio"/>
    <w:next w:val="Textodecomentrio"/>
    <w:link w:val="AssuntodocomentrioChar"/>
    <w:uiPriority w:val="99"/>
    <w:semiHidden/>
    <w:unhideWhenUsed/>
    <w:rsid w:val="0003148D"/>
    <w:rPr>
      <w:b/>
      <w:bCs/>
    </w:rPr>
  </w:style>
  <w:style w:type="character" w:customStyle="1" w:styleId="AssuntodocomentrioChar">
    <w:name w:val="Assunto do comentário Char"/>
    <w:basedOn w:val="TextodecomentrioChar"/>
    <w:link w:val="Assuntodocomentrio"/>
    <w:uiPriority w:val="99"/>
    <w:semiHidden/>
    <w:rsid w:val="0003148D"/>
    <w:rPr>
      <w:b/>
      <w:bCs/>
      <w:sz w:val="20"/>
      <w:szCs w:val="20"/>
    </w:rPr>
  </w:style>
  <w:style w:type="paragraph" w:styleId="Sumrio1">
    <w:name w:val="toc 1"/>
    <w:basedOn w:val="Normal"/>
    <w:next w:val="Normal"/>
    <w:autoRedefine/>
    <w:uiPriority w:val="39"/>
    <w:semiHidden/>
    <w:unhideWhenUsed/>
    <w:rsid w:val="0003148D"/>
    <w:pPr>
      <w:spacing w:after="100"/>
    </w:pPr>
  </w:style>
  <w:style w:type="paragraph" w:styleId="Sumrio2">
    <w:name w:val="toc 2"/>
    <w:basedOn w:val="Normal"/>
    <w:next w:val="Normal"/>
    <w:autoRedefine/>
    <w:uiPriority w:val="39"/>
    <w:semiHidden/>
    <w:unhideWhenUsed/>
    <w:rsid w:val="0003148D"/>
    <w:pPr>
      <w:spacing w:after="100"/>
      <w:ind w:left="220"/>
    </w:pPr>
  </w:style>
  <w:style w:type="paragraph" w:styleId="Sumrio3">
    <w:name w:val="toc 3"/>
    <w:basedOn w:val="Normal"/>
    <w:next w:val="Normal"/>
    <w:autoRedefine/>
    <w:uiPriority w:val="39"/>
    <w:semiHidden/>
    <w:unhideWhenUsed/>
    <w:rsid w:val="0003148D"/>
    <w:pPr>
      <w:spacing w:after="100"/>
      <w:ind w:left="440"/>
    </w:pPr>
  </w:style>
  <w:style w:type="paragraph" w:styleId="Sumrio4">
    <w:name w:val="toc 4"/>
    <w:basedOn w:val="Normal"/>
    <w:next w:val="Normal"/>
    <w:autoRedefine/>
    <w:uiPriority w:val="39"/>
    <w:semiHidden/>
    <w:unhideWhenUsed/>
    <w:rsid w:val="0003148D"/>
    <w:pPr>
      <w:spacing w:after="100"/>
      <w:ind w:left="660"/>
    </w:pPr>
  </w:style>
  <w:style w:type="paragraph" w:styleId="Sumrio5">
    <w:name w:val="toc 5"/>
    <w:basedOn w:val="Normal"/>
    <w:next w:val="Normal"/>
    <w:autoRedefine/>
    <w:uiPriority w:val="39"/>
    <w:semiHidden/>
    <w:unhideWhenUsed/>
    <w:rsid w:val="0003148D"/>
    <w:pPr>
      <w:spacing w:after="100"/>
      <w:ind w:left="880"/>
    </w:pPr>
  </w:style>
  <w:style w:type="paragraph" w:styleId="Sumrio6">
    <w:name w:val="toc 6"/>
    <w:basedOn w:val="Normal"/>
    <w:next w:val="Normal"/>
    <w:autoRedefine/>
    <w:uiPriority w:val="39"/>
    <w:semiHidden/>
    <w:unhideWhenUsed/>
    <w:rsid w:val="0003148D"/>
    <w:pPr>
      <w:spacing w:after="100"/>
      <w:ind w:left="1100"/>
    </w:pPr>
  </w:style>
  <w:style w:type="paragraph" w:styleId="Sumrio7">
    <w:name w:val="toc 7"/>
    <w:basedOn w:val="Normal"/>
    <w:next w:val="Normal"/>
    <w:autoRedefine/>
    <w:uiPriority w:val="39"/>
    <w:semiHidden/>
    <w:unhideWhenUsed/>
    <w:rsid w:val="0003148D"/>
    <w:pPr>
      <w:spacing w:after="100"/>
      <w:ind w:left="1320"/>
    </w:pPr>
  </w:style>
  <w:style w:type="paragraph" w:styleId="Sumrio8">
    <w:name w:val="toc 8"/>
    <w:basedOn w:val="Normal"/>
    <w:next w:val="Normal"/>
    <w:autoRedefine/>
    <w:uiPriority w:val="39"/>
    <w:semiHidden/>
    <w:unhideWhenUsed/>
    <w:rsid w:val="0003148D"/>
    <w:pPr>
      <w:spacing w:after="100"/>
      <w:ind w:left="1540"/>
    </w:pPr>
  </w:style>
  <w:style w:type="paragraph" w:styleId="Sumrio9">
    <w:name w:val="toc 9"/>
    <w:basedOn w:val="Normal"/>
    <w:next w:val="Normal"/>
    <w:autoRedefine/>
    <w:uiPriority w:val="39"/>
    <w:semiHidden/>
    <w:unhideWhenUsed/>
    <w:rsid w:val="0003148D"/>
    <w:pPr>
      <w:spacing w:after="100"/>
      <w:ind w:left="1760"/>
    </w:pPr>
  </w:style>
  <w:style w:type="paragraph" w:styleId="Textoembloco">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xtodemacro">
    <w:name w:val="macro"/>
    <w:link w:val="Textodemacro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xtodemacroChar">
    <w:name w:val="Texto de macro Char"/>
    <w:basedOn w:val="Fontepargpadro"/>
    <w:link w:val="Textodemacro"/>
    <w:uiPriority w:val="99"/>
    <w:semiHidden/>
    <w:rsid w:val="0003148D"/>
    <w:rPr>
      <w:rFonts w:ascii="Consolas" w:hAnsi="Consolas" w:cs="Consolas"/>
      <w:sz w:val="20"/>
      <w:szCs w:val="20"/>
    </w:rPr>
  </w:style>
  <w:style w:type="paragraph" w:styleId="TextosemFormatao">
    <w:name w:val="Plain Text"/>
    <w:basedOn w:val="Normal"/>
    <w:link w:val="TextosemFormataoChar"/>
    <w:uiPriority w:val="99"/>
    <w:semiHidden/>
    <w:unhideWhenUsed/>
    <w:rsid w:val="0003148D"/>
    <w:pPr>
      <w:spacing w:line="240" w:lineRule="auto"/>
    </w:pPr>
    <w:rPr>
      <w:rFonts w:ascii="Consolas" w:hAnsi="Consolas" w:cs="Consolas"/>
      <w:sz w:val="21"/>
      <w:szCs w:val="21"/>
    </w:rPr>
  </w:style>
  <w:style w:type="character" w:customStyle="1" w:styleId="TextosemFormataoChar">
    <w:name w:val="Texto sem Formatação Char"/>
    <w:basedOn w:val="Fontepargpadro"/>
    <w:link w:val="TextosemFormatao"/>
    <w:uiPriority w:val="99"/>
    <w:semiHidden/>
    <w:rsid w:val="0003148D"/>
    <w:rPr>
      <w:rFonts w:ascii="Consolas" w:hAnsi="Consolas" w:cs="Consolas"/>
      <w:sz w:val="21"/>
      <w:szCs w:val="21"/>
    </w:rPr>
  </w:style>
  <w:style w:type="paragraph" w:styleId="Textodenotaderodap">
    <w:name w:val="footnote text"/>
    <w:basedOn w:val="Normal"/>
    <w:link w:val="TextodenotaderodapChar"/>
    <w:uiPriority w:val="99"/>
    <w:semiHidden/>
    <w:unhideWhenUsed/>
    <w:rsid w:val="0003148D"/>
    <w:pPr>
      <w:spacing w:line="240" w:lineRule="auto"/>
    </w:pPr>
  </w:style>
  <w:style w:type="character" w:customStyle="1" w:styleId="TextodenotaderodapChar">
    <w:name w:val="Texto de nota de rodapé Char"/>
    <w:basedOn w:val="Fontepargpadro"/>
    <w:link w:val="Textodenotaderodap"/>
    <w:uiPriority w:val="99"/>
    <w:semiHidden/>
    <w:rsid w:val="0003148D"/>
    <w:rPr>
      <w:sz w:val="20"/>
      <w:szCs w:val="20"/>
    </w:rPr>
  </w:style>
  <w:style w:type="paragraph" w:styleId="Textodenotadefim">
    <w:name w:val="endnote text"/>
    <w:basedOn w:val="Normal"/>
    <w:link w:val="TextodenotadefimChar"/>
    <w:uiPriority w:val="99"/>
    <w:semiHidden/>
    <w:unhideWhenUsed/>
    <w:rsid w:val="0003148D"/>
    <w:pPr>
      <w:spacing w:line="240" w:lineRule="auto"/>
    </w:pPr>
  </w:style>
  <w:style w:type="character" w:customStyle="1" w:styleId="TextodenotadefimChar">
    <w:name w:val="Texto de nota de fim Char"/>
    <w:basedOn w:val="Fontepargpadro"/>
    <w:link w:val="Textodenotadefim"/>
    <w:uiPriority w:val="99"/>
    <w:semiHidden/>
    <w:rsid w:val="0003148D"/>
    <w:rPr>
      <w:sz w:val="20"/>
      <w:szCs w:val="20"/>
    </w:rPr>
  </w:style>
  <w:style w:type="character" w:customStyle="1" w:styleId="Ttulo1Char">
    <w:name w:val="Título 1 Char"/>
    <w:basedOn w:val="Fontepargpadro"/>
    <w:link w:val="Ttulo1"/>
    <w:uiPriority w:val="9"/>
    <w:rsid w:val="004F5E36"/>
    <w:rPr>
      <w:rFonts w:ascii="Arial" w:eastAsia="Times New Roman" w:hAnsi="Arial" w:cs="Times New Roman"/>
      <w:b/>
      <w:sz w:val="20"/>
      <w:szCs w:val="20"/>
      <w:lang w:val="en-GB"/>
    </w:rPr>
  </w:style>
  <w:style w:type="character" w:customStyle="1" w:styleId="Ttulo2Char">
    <w:name w:val="Título 2 Char"/>
    <w:basedOn w:val="Fontepargpadro"/>
    <w:link w:val="Ttu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semiHidden/>
    <w:rsid w:val="0003148D"/>
    <w:rPr>
      <w:rFonts w:asciiTheme="majorHAnsi" w:eastAsiaTheme="majorEastAsia" w:hAnsiTheme="majorHAnsi" w:cstheme="majorBidi"/>
      <w:b/>
      <w:bCs/>
      <w:color w:val="4F81BD" w:themeColor="accent1"/>
    </w:rPr>
  </w:style>
  <w:style w:type="character" w:customStyle="1" w:styleId="Ttulo4Char">
    <w:name w:val="Título 4 Char"/>
    <w:basedOn w:val="Fontepargpadro"/>
    <w:link w:val="Ttulo4"/>
    <w:uiPriority w:val="9"/>
    <w:semiHidden/>
    <w:rsid w:val="0003148D"/>
    <w:rPr>
      <w:rFonts w:asciiTheme="majorHAnsi" w:eastAsiaTheme="majorEastAsia" w:hAnsiTheme="majorHAnsi" w:cstheme="majorBidi"/>
      <w:b/>
      <w:bCs/>
      <w:i/>
      <w:iCs/>
      <w:color w:val="4F81BD" w:themeColor="accent1"/>
    </w:rPr>
  </w:style>
  <w:style w:type="character" w:customStyle="1" w:styleId="Ttulo5Char">
    <w:name w:val="Título 5 Char"/>
    <w:basedOn w:val="Fontepargpadro"/>
    <w:link w:val="Ttulo5"/>
    <w:uiPriority w:val="9"/>
    <w:semiHidden/>
    <w:rsid w:val="0003148D"/>
    <w:rPr>
      <w:rFonts w:asciiTheme="majorHAnsi" w:eastAsiaTheme="majorEastAsia" w:hAnsiTheme="majorHAnsi" w:cstheme="majorBidi"/>
      <w:color w:val="243F60" w:themeColor="accent1" w:themeShade="7F"/>
    </w:rPr>
  </w:style>
  <w:style w:type="character" w:customStyle="1" w:styleId="Ttulo6Char">
    <w:name w:val="Título 6 Char"/>
    <w:basedOn w:val="Fontepargpadro"/>
    <w:link w:val="Ttulo6"/>
    <w:uiPriority w:val="9"/>
    <w:semiHidden/>
    <w:rsid w:val="0003148D"/>
    <w:rPr>
      <w:rFonts w:asciiTheme="majorHAnsi" w:eastAsiaTheme="majorEastAsia" w:hAnsiTheme="majorHAnsi" w:cstheme="majorBidi"/>
      <w:i/>
      <w:iCs/>
      <w:color w:val="243F60" w:themeColor="accent1" w:themeShade="7F"/>
    </w:rPr>
  </w:style>
  <w:style w:type="character" w:customStyle="1" w:styleId="Ttulo7Char">
    <w:name w:val="Título 7 Char"/>
    <w:basedOn w:val="Fontepargpadro"/>
    <w:link w:val="Ttulo7"/>
    <w:uiPriority w:val="9"/>
    <w:semiHidden/>
    <w:rsid w:val="0003148D"/>
    <w:rPr>
      <w:rFonts w:asciiTheme="majorHAnsi" w:eastAsiaTheme="majorEastAsia" w:hAnsiTheme="majorHAnsi" w:cstheme="majorBidi"/>
      <w:i/>
      <w:iCs/>
      <w:color w:val="404040" w:themeColor="text1" w:themeTint="BF"/>
    </w:rPr>
  </w:style>
  <w:style w:type="character" w:customStyle="1" w:styleId="Ttulo8Char">
    <w:name w:val="Título 8 Char"/>
    <w:basedOn w:val="Fontepargpadro"/>
    <w:link w:val="Ttu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link w:val="Ttulo9"/>
    <w:uiPriority w:val="9"/>
    <w:semiHidden/>
    <w:rsid w:val="0003148D"/>
    <w:rPr>
      <w:rFonts w:asciiTheme="majorHAnsi" w:eastAsiaTheme="majorEastAsia" w:hAnsiTheme="majorHAnsi" w:cstheme="majorBidi"/>
      <w:i/>
      <w:iCs/>
      <w:color w:val="404040" w:themeColor="text1" w:themeTint="BF"/>
      <w:sz w:val="20"/>
      <w:szCs w:val="20"/>
    </w:rPr>
  </w:style>
  <w:style w:type="paragraph" w:styleId="Ttulodendiceremissivo">
    <w:name w:val="index heading"/>
    <w:basedOn w:val="Normal"/>
    <w:next w:val="Remissivo1"/>
    <w:uiPriority w:val="99"/>
    <w:semiHidden/>
    <w:unhideWhenUsed/>
    <w:rsid w:val="0003148D"/>
    <w:rPr>
      <w:rFonts w:asciiTheme="majorHAnsi" w:eastAsiaTheme="majorEastAsia" w:hAnsiTheme="majorHAnsi" w:cstheme="majorBidi"/>
      <w:b/>
      <w:bCs/>
    </w:rPr>
  </w:style>
  <w:style w:type="paragraph" w:styleId="Ttulodendicedeautoridades">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CabealhodoSumrio">
    <w:name w:val="TOC Heading"/>
    <w:basedOn w:val="Ttulo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Fontepargpadr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Cabealho">
    <w:name w:val="header"/>
    <w:basedOn w:val="Normal"/>
    <w:link w:val="CabealhoChar"/>
    <w:uiPriority w:val="99"/>
    <w:unhideWhenUsed/>
    <w:rsid w:val="005278B7"/>
    <w:pPr>
      <w:tabs>
        <w:tab w:val="clear" w:pos="7100"/>
        <w:tab w:val="center" w:pos="4819"/>
        <w:tab w:val="right" w:pos="9638"/>
      </w:tabs>
      <w:spacing w:line="240" w:lineRule="auto"/>
    </w:pPr>
  </w:style>
  <w:style w:type="character" w:customStyle="1" w:styleId="CabealhoChar">
    <w:name w:val="Cabeçalho Char"/>
    <w:basedOn w:val="Fontepargpadro"/>
    <w:link w:val="Cabealho"/>
    <w:uiPriority w:val="99"/>
    <w:rsid w:val="005278B7"/>
    <w:rPr>
      <w:rFonts w:ascii="Arial" w:eastAsia="Times New Roman" w:hAnsi="Arial" w:cs="Times New Roman"/>
      <w:sz w:val="18"/>
      <w:szCs w:val="20"/>
      <w:lang w:val="en-GB"/>
    </w:rPr>
  </w:style>
  <w:style w:type="paragraph" w:styleId="Rodap">
    <w:name w:val="footer"/>
    <w:basedOn w:val="Normal"/>
    <w:link w:val="RodapChar"/>
    <w:uiPriority w:val="99"/>
    <w:unhideWhenUsed/>
    <w:rsid w:val="005278B7"/>
    <w:pPr>
      <w:tabs>
        <w:tab w:val="clear" w:pos="7100"/>
        <w:tab w:val="center" w:pos="4819"/>
        <w:tab w:val="right" w:pos="9638"/>
      </w:tabs>
      <w:spacing w:line="240" w:lineRule="auto"/>
    </w:pPr>
  </w:style>
  <w:style w:type="character" w:customStyle="1" w:styleId="RodapChar">
    <w:name w:val="Rodapé Char"/>
    <w:basedOn w:val="Fontepargpadro"/>
    <w:link w:val="Rodap"/>
    <w:uiPriority w:val="99"/>
    <w:rsid w:val="005278B7"/>
    <w:rPr>
      <w:rFonts w:ascii="Arial" w:eastAsia="Times New Roman" w:hAnsi="Arial" w:cs="Times New Roman"/>
      <w:sz w:val="18"/>
      <w:szCs w:val="20"/>
      <w:lang w:val="en-GB"/>
    </w:rPr>
  </w:style>
  <w:style w:type="table" w:styleId="Tabelacomgrade">
    <w:name w:val="Table Grid"/>
    <w:basedOn w:val="Tabelanormal"/>
    <w:uiPriority w:val="3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04C62"/>
    <w:rPr>
      <w:color w:val="0000FF" w:themeColor="hyperlink"/>
      <w:u w:val="single"/>
    </w:rPr>
  </w:style>
  <w:style w:type="character" w:customStyle="1" w:styleId="eudoraheader">
    <w:name w:val="eudoraheader"/>
    <w:basedOn w:val="Fontepargpadr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color w:val="FF0000"/>
      <w:sz w:val="18"/>
      <w:szCs w:val="20"/>
      <w:lang w:val="en-US"/>
    </w:rPr>
  </w:style>
  <w:style w:type="paragraph" w:styleId="PargrafodaLista">
    <w:name w:val="List Paragraph"/>
    <w:basedOn w:val="Normal"/>
    <w:uiPriority w:val="34"/>
    <w:rsid w:val="00280FAF"/>
    <w:pPr>
      <w:ind w:left="720"/>
      <w:contextualSpacing/>
    </w:pPr>
  </w:style>
  <w:style w:type="character" w:styleId="TextodoEspaoReservado">
    <w:name w:val="Placeholder Text"/>
    <w:basedOn w:val="Fontepargpadro"/>
    <w:uiPriority w:val="99"/>
    <w:semiHidden/>
    <w:rsid w:val="0072638E"/>
    <w:rPr>
      <w:color w:val="808080"/>
    </w:rPr>
  </w:style>
  <w:style w:type="paragraph" w:customStyle="1" w:styleId="AIReceive03">
    <w:name w:val="AI_Receive03"/>
    <w:basedOn w:val="Normal"/>
    <w:next w:val="Normal"/>
    <w:rsid w:val="00DC2864"/>
    <w:pPr>
      <w:tabs>
        <w:tab w:val="clear" w:pos="7100"/>
      </w:tabs>
      <w:overflowPunct w:val="0"/>
      <w:autoSpaceDE w:val="0"/>
      <w:autoSpaceDN w:val="0"/>
      <w:adjustRightInd w:val="0"/>
      <w:spacing w:after="600" w:line="240" w:lineRule="exact"/>
      <w:ind w:right="3024"/>
      <w:jc w:val="left"/>
      <w:textAlignment w:val="baseline"/>
    </w:pPr>
    <w:rPr>
      <w:rFonts w:ascii="Helvetica" w:hAnsi="Helvetica" w:cs="Helvetica"/>
      <w:b/>
      <w:bCs/>
      <w:szCs w:val="18"/>
      <w:lang w:val="en-US"/>
    </w:rPr>
  </w:style>
  <w:style w:type="paragraph" w:styleId="SemEspaamento">
    <w:name w:val="No Spacing"/>
    <w:uiPriority w:val="1"/>
    <w:qFormat/>
    <w:rsid w:val="00F13AA2"/>
    <w:pPr>
      <w:overflowPunct w:val="0"/>
      <w:autoSpaceDE w:val="0"/>
      <w:autoSpaceDN w:val="0"/>
      <w:adjustRightInd w:val="0"/>
      <w:spacing w:after="0" w:line="240" w:lineRule="auto"/>
      <w:textAlignment w:val="baseline"/>
    </w:pPr>
    <w:rPr>
      <w:rFonts w:ascii="Helvetica" w:eastAsia="Times New Roman" w:hAnsi="Helvetica" w:cs="Times New Roman"/>
      <w:sz w:val="20"/>
      <w:szCs w:val="20"/>
      <w:lang w:val="en-US"/>
    </w:rPr>
  </w:style>
  <w:style w:type="paragraph" w:customStyle="1" w:styleId="CETFormula">
    <w:name w:val="CET Formula"/>
    <w:basedOn w:val="CETBodytext"/>
    <w:rsid w:val="00B018DE"/>
    <w:pPr>
      <w:spacing w:before="120"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tiff"/><Relationship Id="rId22"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10B676-8D32-46AF-ACF8-ECE31889A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Pages>
  <Words>19265</Words>
  <Characters>104034</Characters>
  <Application>Microsoft Office Word</Application>
  <DocSecurity>0</DocSecurity>
  <Lines>866</Lines>
  <Paragraphs>246</Paragraphs>
  <ScaleCrop>false</ScaleCrop>
  <HeadingPairs>
    <vt:vector size="6" baseType="variant">
      <vt:variant>
        <vt:lpstr>Título</vt:lpstr>
      </vt:variant>
      <vt:variant>
        <vt:i4>1</vt:i4>
      </vt:variant>
      <vt:variant>
        <vt:lpstr>Title</vt:lpstr>
      </vt:variant>
      <vt:variant>
        <vt:i4>1</vt:i4>
      </vt:variant>
      <vt:variant>
        <vt:lpstr>Titolo</vt:lpstr>
      </vt:variant>
      <vt:variant>
        <vt:i4>1</vt:i4>
      </vt:variant>
    </vt:vector>
  </HeadingPairs>
  <TitlesOfParts>
    <vt:vector size="3" baseType="lpstr">
      <vt:lpstr/>
      <vt:lpstr/>
      <vt:lpstr/>
    </vt:vector>
  </TitlesOfParts>
  <Company>Dipartimento CMIC - Politecnico di Milano</Company>
  <LinksUpToDate>false</LinksUpToDate>
  <CharactersWithSpaces>123053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raffaella</dc:creator>
  <cp:lastModifiedBy>Autor</cp:lastModifiedBy>
  <cp:revision>3</cp:revision>
  <cp:lastPrinted>2023-03-20T16:45:00Z</cp:lastPrinted>
  <dcterms:created xsi:type="dcterms:W3CDTF">2023-03-21T10:48:00Z</dcterms:created>
  <dcterms:modified xsi:type="dcterms:W3CDTF">2023-03-21T11:01:00Z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Mendeley Document_1">
    <vt:lpwstr>True</vt:lpwstr>
  </property>
  <property fmtid="{D5CDD505-2E9C-101B-9397-08002B2CF9AE}" pid="5" name="Mendeley Unique User Id_1">
    <vt:lpwstr>b4139011-f373-3d02-a239-548611c307ac</vt:lpwstr>
  </property>
  <property fmtid="{D5CDD505-2E9C-101B-9397-08002B2CF9AE}" pid="6" name="Mendeley Citation Style_1">
    <vt:lpwstr>http://www.zotero.org/styles/elsevier-harvard2</vt:lpwstr>
  </property>
  <property fmtid="{D5CDD505-2E9C-101B-9397-08002B2CF9AE}" pid="7" name="Mendeley Recent Style Id 0_1">
    <vt:lpwstr>http://www.zotero.org/styles/applied-surface-science</vt:lpwstr>
  </property>
  <property fmtid="{D5CDD505-2E9C-101B-9397-08002B2CF9AE}" pid="8" name="Mendeley Recent Style Name 0_1">
    <vt:lpwstr>Applied Surface Science</vt:lpwstr>
  </property>
  <property fmtid="{D5CDD505-2E9C-101B-9397-08002B2CF9AE}" pid="9" name="Mendeley Recent Style Id 1_1">
    <vt:lpwstr>http://www.zotero.org/styles/chicago-author-date</vt:lpwstr>
  </property>
  <property fmtid="{D5CDD505-2E9C-101B-9397-08002B2CF9AE}" pid="10" name="Mendeley Recent Style Name 1_1">
    <vt:lpwstr>Chicago Manual of Style 17th edition (author-date)</vt:lpwstr>
  </property>
  <property fmtid="{D5CDD505-2E9C-101B-9397-08002B2CF9AE}" pid="11" name="Mendeley Recent Style Id 2_1">
    <vt:lpwstr>http://www.zotero.org/styles/harvard-cite-them-right</vt:lpwstr>
  </property>
  <property fmtid="{D5CDD505-2E9C-101B-9397-08002B2CF9AE}" pid="12" name="Mendeley Recent Style Name 2_1">
    <vt:lpwstr>Cite Them Right 10th edition - Harvard</vt:lpwstr>
  </property>
  <property fmtid="{D5CDD505-2E9C-101B-9397-08002B2CF9AE}" pid="13" name="Mendeley Recent Style Id 3_1">
    <vt:lpwstr>http://www.zotero.org/styles/elsevier-without-titles</vt:lpwstr>
  </property>
  <property fmtid="{D5CDD505-2E9C-101B-9397-08002B2CF9AE}" pid="14" name="Mendeley Recent Style Name 3_1">
    <vt:lpwstr>Elsevier (numeric, without titles)</vt:lpwstr>
  </property>
  <property fmtid="{D5CDD505-2E9C-101B-9397-08002B2CF9AE}" pid="15" name="Mendeley Recent Style Id 4_1">
    <vt:lpwstr>http://www.zotero.org/styles/elsevier-harvard-without-titles</vt:lpwstr>
  </property>
  <property fmtid="{D5CDD505-2E9C-101B-9397-08002B2CF9AE}" pid="16" name="Mendeley Recent Style Name 4_1">
    <vt:lpwstr>Elsevier - Harvard (without titles)</vt:lpwstr>
  </property>
  <property fmtid="{D5CDD505-2E9C-101B-9397-08002B2CF9AE}" pid="17" name="Mendeley Recent Style Id 5_1">
    <vt:lpwstr>http://www.zotero.org/styles/elsevier-harvard2</vt:lpwstr>
  </property>
  <property fmtid="{D5CDD505-2E9C-101B-9397-08002B2CF9AE}" pid="18" name="Mendeley Recent Style Name 5_1">
    <vt:lpwstr>Elsevier - Harvard 2</vt:lpwstr>
  </property>
  <property fmtid="{D5CDD505-2E9C-101B-9397-08002B2CF9AE}" pid="19" name="Mendeley Recent Style Id 6_1">
    <vt:lpwstr>http://www.zotero.org/styles/ieee</vt:lpwstr>
  </property>
  <property fmtid="{D5CDD505-2E9C-101B-9397-08002B2CF9AE}" pid="20" name="Mendeley Recent Style Name 6_1">
    <vt:lpwstr>IEEE</vt:lpwstr>
  </property>
  <property fmtid="{D5CDD505-2E9C-101B-9397-08002B2CF9AE}" pid="21" name="Mendeley Recent Style Id 7_1">
    <vt:lpwstr>http://www.zotero.org/styles/modern-humanities-research-association</vt:lpwstr>
  </property>
  <property fmtid="{D5CDD505-2E9C-101B-9397-08002B2CF9AE}" pid="22" name="Mendeley Recent Style Name 7_1">
    <vt:lpwstr>Modern Humanities Research Association 3rd edition (note with bibliography)</vt:lpwstr>
  </property>
  <property fmtid="{D5CDD505-2E9C-101B-9397-08002B2CF9AE}" pid="23" name="Mendeley Recent Style Id 8_1">
    <vt:lpwstr>http://www.zotero.org/styles/modern-language-association</vt:lpwstr>
  </property>
  <property fmtid="{D5CDD505-2E9C-101B-9397-08002B2CF9AE}" pid="24" name="Mendeley Recent Style Name 8_1">
    <vt:lpwstr>Modern Language Association 8th edition</vt:lpwstr>
  </property>
  <property fmtid="{D5CDD505-2E9C-101B-9397-08002B2CF9AE}" pid="25" name="Mendeley Recent Style Id 9_1">
    <vt:lpwstr>http://www.zotero.org/styles/associacao-brasileira-de-normas-tecnicas-ufrgs-initials</vt:lpwstr>
  </property>
  <property fmtid="{D5CDD505-2E9C-101B-9397-08002B2CF9AE}" pid="26" name="Mendeley Recent Style Name 9_1">
    <vt:lpwstr>Universidade Federal do Rio Grande do Sul - ABNT (autoria abreviada) (Português - Brasil)</vt:lpwstr>
  </property>
</Properties>
</file>