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B0F87">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B0F87">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B0F87">
        <w:trPr>
          <w:trHeight w:val="68"/>
          <w:jc w:val="center"/>
        </w:trPr>
        <w:tc>
          <w:tcPr>
            <w:tcW w:w="8782" w:type="dxa"/>
            <w:gridSpan w:val="2"/>
          </w:tcPr>
          <w:p w14:paraId="1D8DD3C9" w14:textId="06DCB7F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3A6FC6" w:rsidRPr="003A6FC6">
              <w:rPr>
                <w:rFonts w:ascii="Tahoma" w:hAnsi="Tahoma" w:cs="Tahoma"/>
                <w:color w:val="000000"/>
                <w:sz w:val="14"/>
                <w:szCs w:val="14"/>
                <w:shd w:val="clear" w:color="auto" w:fill="FFFFFF"/>
                <w:lang w:val="it-IT"/>
              </w:rPr>
              <w:t>Laura Piazza, M</w:t>
            </w:r>
            <w:r w:rsidR="003A6FC6">
              <w:rPr>
                <w:rFonts w:ascii="Tahoma" w:hAnsi="Tahoma" w:cs="Tahoma"/>
                <w:color w:val="000000"/>
                <w:sz w:val="14"/>
                <w:szCs w:val="14"/>
                <w:shd w:val="clear" w:color="auto" w:fill="FFFFFF"/>
                <w:lang w:val="it-IT"/>
              </w:rPr>
              <w:t>auro Moresi, Francesco Donsì</w:t>
            </w:r>
          </w:p>
          <w:p w14:paraId="1B0F1814" w14:textId="617BA86D"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3A6FC6">
              <w:rPr>
                <w:rFonts w:ascii="Tahoma" w:hAnsi="Tahoma" w:cs="Tahoma"/>
                <w:sz w:val="14"/>
                <w:szCs w:val="14"/>
              </w:rPr>
              <w:t>1</w:t>
            </w:r>
            <w:r>
              <w:rPr>
                <w:rFonts w:ascii="Tahoma" w:hAnsi="Tahoma" w:cs="Tahoma"/>
                <w:sz w:val="14"/>
                <w:szCs w:val="14"/>
              </w:rPr>
              <w:t>-</w:t>
            </w:r>
            <w:r w:rsidR="003A6FC6">
              <w:rPr>
                <w:rFonts w:ascii="Tahoma" w:hAnsi="Tahoma" w:cs="Tahoma"/>
                <w:sz w:val="14"/>
                <w:szCs w:val="14"/>
              </w:rPr>
              <w:t>4</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55F6EA83" w:rsidR="00E978D0" w:rsidRPr="00B57B36" w:rsidRDefault="00C85ABF" w:rsidP="00E978D0">
      <w:pPr>
        <w:pStyle w:val="CETTitle"/>
      </w:pPr>
      <w:r w:rsidRPr="00C85ABF">
        <w:t>Structuring vegetable oils through the formation of capillary suspensions: comparison of wheat middlings and pure cellulose processed by high-pressure homogenization</w:t>
      </w:r>
    </w:p>
    <w:p w14:paraId="0488FED2" w14:textId="7C8F7A94" w:rsidR="00B57E6F" w:rsidRPr="00DB0F87" w:rsidRDefault="00DB0F87" w:rsidP="00B57E6F">
      <w:pPr>
        <w:pStyle w:val="CETAuthors"/>
        <w:rPr>
          <w:lang w:val="it-IT"/>
        </w:rPr>
      </w:pPr>
      <w:r w:rsidRPr="00DB0F87">
        <w:rPr>
          <w:lang w:val="it-IT"/>
        </w:rPr>
        <w:t>Annachiara Pirozzi</w:t>
      </w:r>
      <w:r w:rsidRPr="00DB0F87">
        <w:rPr>
          <w:vertAlign w:val="superscript"/>
          <w:lang w:val="it-IT"/>
        </w:rPr>
        <w:t>a</w:t>
      </w:r>
      <w:r w:rsidRPr="00DB0F87">
        <w:rPr>
          <w:lang w:val="it-IT"/>
        </w:rPr>
        <w:t>, Franceso Donsì</w:t>
      </w:r>
      <w:r w:rsidRPr="00DB0F87">
        <w:rPr>
          <w:vertAlign w:val="superscript"/>
          <w:lang w:val="it-IT"/>
        </w:rPr>
        <w:t>a</w:t>
      </w:r>
      <w:r>
        <w:rPr>
          <w:vertAlign w:val="superscript"/>
          <w:lang w:val="it-IT"/>
        </w:rPr>
        <w:t>*</w:t>
      </w:r>
    </w:p>
    <w:p w14:paraId="6B2D21B3" w14:textId="6C5EEDF1" w:rsidR="00B57E6F" w:rsidRPr="00AB2E7D" w:rsidRDefault="00B57E6F" w:rsidP="00B57E6F">
      <w:pPr>
        <w:pStyle w:val="CETAddress"/>
        <w:rPr>
          <w:lang w:val="it-IT"/>
        </w:rPr>
      </w:pPr>
      <w:r w:rsidRPr="00AB2E7D">
        <w:rPr>
          <w:vertAlign w:val="superscript"/>
          <w:lang w:val="it-IT"/>
        </w:rPr>
        <w:t>a</w:t>
      </w:r>
      <w:r w:rsidR="00DB0F87" w:rsidRPr="00AB2E7D">
        <w:rPr>
          <w:lang w:val="it-IT"/>
        </w:rPr>
        <w:t xml:space="preserve"> Department of Industrial Engineering, University of Salerno, via Giovanni Paolo II, 132, 84084 - Fisciano, Italy</w:t>
      </w:r>
    </w:p>
    <w:p w14:paraId="73F1267A" w14:textId="038E3DC2" w:rsidR="00B57E6F" w:rsidRPr="00B57B36" w:rsidRDefault="00DB0F87" w:rsidP="00B57E6F">
      <w:pPr>
        <w:pStyle w:val="CETemail"/>
      </w:pPr>
      <w:r>
        <w:t xml:space="preserve">* </w:t>
      </w:r>
      <w:r w:rsidRPr="0005563B">
        <w:t xml:space="preserve">Author’s correspondence: </w:t>
      </w:r>
      <w:hyperlink r:id="rId10" w:history="1">
        <w:r w:rsidRPr="00742546">
          <w:rPr>
            <w:rStyle w:val="Collegamentoipertestuale"/>
          </w:rPr>
          <w:t>fdonsi@unisa.it</w:t>
        </w:r>
      </w:hyperlink>
    </w:p>
    <w:p w14:paraId="22E0BF28" w14:textId="43CCF8AD" w:rsidR="00585DE4" w:rsidRDefault="00AB2E7D" w:rsidP="007159FB">
      <w:pPr>
        <w:pStyle w:val="CETBodytext"/>
        <w:rPr>
          <w:lang w:val="en-GB"/>
        </w:rPr>
      </w:pPr>
      <w:r>
        <w:rPr>
          <w:lang w:val="en-GB"/>
        </w:rPr>
        <w:t xml:space="preserve">Reducing </w:t>
      </w:r>
      <w:r w:rsidR="0050100B" w:rsidRPr="0050100B">
        <w:rPr>
          <w:lang w:val="en-GB"/>
        </w:rPr>
        <w:t>the intake of harmful trans</w:t>
      </w:r>
      <w:r>
        <w:rPr>
          <w:lang w:val="en-GB"/>
        </w:rPr>
        <w:t>-</w:t>
      </w:r>
      <w:r w:rsidR="0050100B" w:rsidRPr="0050100B">
        <w:rPr>
          <w:lang w:val="en-GB"/>
        </w:rPr>
        <w:t xml:space="preserve">fats and saturated fats in the diet, </w:t>
      </w:r>
      <w:r>
        <w:rPr>
          <w:lang w:val="en-GB"/>
        </w:rPr>
        <w:t xml:space="preserve">by </w:t>
      </w:r>
      <w:r w:rsidR="0050100B" w:rsidRPr="0050100B">
        <w:rPr>
          <w:lang w:val="en-GB"/>
        </w:rPr>
        <w:t xml:space="preserve">replacing detrimental fats </w:t>
      </w:r>
      <w:r>
        <w:rPr>
          <w:lang w:val="en-GB"/>
        </w:rPr>
        <w:t xml:space="preserve">with healthier oils, </w:t>
      </w:r>
      <w:r w:rsidR="0050100B" w:rsidRPr="0050100B">
        <w:rPr>
          <w:lang w:val="en-GB"/>
        </w:rPr>
        <w:t xml:space="preserve">without affecting </w:t>
      </w:r>
      <w:r w:rsidR="00616B57">
        <w:rPr>
          <w:lang w:val="en-GB"/>
        </w:rPr>
        <w:t xml:space="preserve">the </w:t>
      </w:r>
      <w:r w:rsidR="0050100B" w:rsidRPr="0050100B">
        <w:rPr>
          <w:lang w:val="en-GB"/>
        </w:rPr>
        <w:t>organoleptic properties of the food product</w:t>
      </w:r>
      <w:r>
        <w:rPr>
          <w:lang w:val="en-GB"/>
        </w:rPr>
        <w:t>, represent a formidable challenge for the scientific community</w:t>
      </w:r>
      <w:r w:rsidR="0050100B" w:rsidRPr="0050100B">
        <w:rPr>
          <w:lang w:val="en-GB"/>
        </w:rPr>
        <w:t xml:space="preserve">. </w:t>
      </w:r>
      <w:r w:rsidR="0050100B">
        <w:rPr>
          <w:lang w:val="en-GB"/>
        </w:rPr>
        <w:t xml:space="preserve">In this scenario, </w:t>
      </w:r>
      <w:r>
        <w:rPr>
          <w:lang w:val="en-GB"/>
        </w:rPr>
        <w:t>this work explore</w:t>
      </w:r>
      <w:r w:rsidR="00616B57">
        <w:rPr>
          <w:lang w:val="en-GB"/>
        </w:rPr>
        <w:t>s</w:t>
      </w:r>
      <w:r>
        <w:rPr>
          <w:lang w:val="en-GB"/>
        </w:rPr>
        <w:t xml:space="preserve"> </w:t>
      </w:r>
      <w:r w:rsidR="0050100B">
        <w:rPr>
          <w:lang w:val="en-GB"/>
        </w:rPr>
        <w:t xml:space="preserve">a possible strategy </w:t>
      </w:r>
      <w:r w:rsidR="009C359A">
        <w:rPr>
          <w:lang w:val="en-GB"/>
        </w:rPr>
        <w:t xml:space="preserve">for </w:t>
      </w:r>
      <w:r w:rsidR="00585DE4" w:rsidRPr="00585DE4">
        <w:rPr>
          <w:lang w:val="en-GB"/>
        </w:rPr>
        <w:t>structur</w:t>
      </w:r>
      <w:r>
        <w:rPr>
          <w:lang w:val="en-GB"/>
        </w:rPr>
        <w:t>ing</w:t>
      </w:r>
      <w:r w:rsidR="00585DE4" w:rsidRPr="00585DE4">
        <w:rPr>
          <w:lang w:val="en-GB"/>
        </w:rPr>
        <w:t xml:space="preserve"> sunflower oil </w:t>
      </w:r>
      <w:r w:rsidR="009C359A">
        <w:rPr>
          <w:lang w:val="en-GB"/>
        </w:rPr>
        <w:t xml:space="preserve">by investigating </w:t>
      </w:r>
      <w:r w:rsidR="00585DE4" w:rsidRPr="00585DE4">
        <w:rPr>
          <w:lang w:val="en-GB"/>
        </w:rPr>
        <w:t>the formation of capillary suspensions using wheat middlings (WM) and pure cellulose (CL) as a structuring solid fraction. High-pressure homogenization (HPH), a</w:t>
      </w:r>
      <w:r>
        <w:rPr>
          <w:lang w:val="en-GB"/>
        </w:rPr>
        <w:t xml:space="preserve"> </w:t>
      </w:r>
      <w:r w:rsidR="00585DE4" w:rsidRPr="00585DE4">
        <w:rPr>
          <w:lang w:val="en-GB"/>
        </w:rPr>
        <w:t xml:space="preserve">purely mechanical cell disruption technology, was directly applied </w:t>
      </w:r>
      <w:r>
        <w:rPr>
          <w:lang w:val="en-GB"/>
        </w:rPr>
        <w:t xml:space="preserve">to </w:t>
      </w:r>
      <w:r w:rsidR="00585DE4" w:rsidRPr="00585DE4">
        <w:rPr>
          <w:lang w:val="en-GB"/>
        </w:rPr>
        <w:t>oil</w:t>
      </w:r>
      <w:r>
        <w:rPr>
          <w:lang w:val="en-GB"/>
        </w:rPr>
        <w:t xml:space="preserve"> </w:t>
      </w:r>
      <w:r w:rsidR="009F6828">
        <w:rPr>
          <w:lang w:val="en-GB"/>
        </w:rPr>
        <w:t>suspension</w:t>
      </w:r>
      <w:r w:rsidR="00585DE4" w:rsidRPr="00585DE4">
        <w:rPr>
          <w:lang w:val="en-GB"/>
        </w:rPr>
        <w:t xml:space="preserve">s of WM or CL. </w:t>
      </w:r>
      <w:r>
        <w:rPr>
          <w:lang w:val="en-GB"/>
        </w:rPr>
        <w:t>Subsequently, t</w:t>
      </w:r>
      <w:r w:rsidR="00317D13" w:rsidRPr="00317D13">
        <w:rPr>
          <w:lang w:val="en-GB"/>
        </w:rPr>
        <w:t xml:space="preserve">he addition </w:t>
      </w:r>
      <w:r w:rsidR="00317D13" w:rsidRPr="00585DE4">
        <w:rPr>
          <w:lang w:val="en-GB"/>
        </w:rPr>
        <w:t xml:space="preserve">under high-shear mixing (HSM) </w:t>
      </w:r>
      <w:r w:rsidR="00317D13" w:rsidRPr="00317D13">
        <w:rPr>
          <w:lang w:val="en-GB"/>
        </w:rPr>
        <w:t xml:space="preserve">of </w:t>
      </w:r>
      <w:r w:rsidR="00317D13">
        <w:rPr>
          <w:lang w:val="en-GB"/>
        </w:rPr>
        <w:t>different</w:t>
      </w:r>
      <w:r w:rsidR="00317D13" w:rsidRPr="00317D13">
        <w:rPr>
          <w:lang w:val="en-GB"/>
        </w:rPr>
        <w:t xml:space="preserve"> amounts of a</w:t>
      </w:r>
      <w:r>
        <w:rPr>
          <w:lang w:val="en-GB"/>
        </w:rPr>
        <w:t>n immiscible</w:t>
      </w:r>
      <w:r w:rsidR="00317D13" w:rsidRPr="00317D13">
        <w:rPr>
          <w:lang w:val="en-GB"/>
        </w:rPr>
        <w:t xml:space="preserve"> secondary fluid</w:t>
      </w:r>
      <w:r w:rsidR="009C359A">
        <w:rPr>
          <w:lang w:val="en-GB"/>
        </w:rPr>
        <w:t xml:space="preserve">, </w:t>
      </w:r>
      <w:r>
        <w:rPr>
          <w:lang w:val="en-GB"/>
        </w:rPr>
        <w:t>water</w:t>
      </w:r>
      <w:r w:rsidR="009C359A">
        <w:rPr>
          <w:lang w:val="en-GB"/>
        </w:rPr>
        <w:t>,</w:t>
      </w:r>
      <w:r>
        <w:rPr>
          <w:lang w:val="en-GB"/>
        </w:rPr>
        <w:t xml:space="preserve"> </w:t>
      </w:r>
      <w:r w:rsidR="00317D13" w:rsidRPr="00317D13">
        <w:rPr>
          <w:lang w:val="en-GB"/>
        </w:rPr>
        <w:t xml:space="preserve">to </w:t>
      </w:r>
      <w:r w:rsidR="00317D13">
        <w:rPr>
          <w:lang w:val="en-GB"/>
        </w:rPr>
        <w:t>the</w:t>
      </w:r>
      <w:r w:rsidR="00317D13" w:rsidRPr="00317D13">
        <w:rPr>
          <w:lang w:val="en-GB"/>
        </w:rPr>
        <w:t xml:space="preserve"> </w:t>
      </w:r>
      <w:r>
        <w:rPr>
          <w:lang w:val="en-GB"/>
        </w:rPr>
        <w:t xml:space="preserve">oil </w:t>
      </w:r>
      <w:r w:rsidR="00317D13" w:rsidRPr="00317D13">
        <w:rPr>
          <w:lang w:val="en-GB"/>
        </w:rPr>
        <w:t>suspension</w:t>
      </w:r>
      <w:r w:rsidR="00317D13">
        <w:rPr>
          <w:lang w:val="en-GB"/>
        </w:rPr>
        <w:t>s</w:t>
      </w:r>
      <w:r w:rsidR="00317D13" w:rsidRPr="00317D13">
        <w:rPr>
          <w:lang w:val="en-GB"/>
        </w:rPr>
        <w:t>, led to</w:t>
      </w:r>
      <w:r w:rsidR="00317D13">
        <w:rPr>
          <w:lang w:val="en-GB"/>
        </w:rPr>
        <w:t xml:space="preserve"> WM and CL</w:t>
      </w:r>
      <w:r w:rsidR="00317D13" w:rsidRPr="00317D13">
        <w:rPr>
          <w:lang w:val="en-GB"/>
        </w:rPr>
        <w:t xml:space="preserve"> particle</w:t>
      </w:r>
      <w:r w:rsidR="00317D13">
        <w:rPr>
          <w:lang w:val="en-GB"/>
        </w:rPr>
        <w:t>s</w:t>
      </w:r>
      <w:r w:rsidR="00317D13" w:rsidRPr="00317D13">
        <w:rPr>
          <w:lang w:val="en-GB"/>
        </w:rPr>
        <w:t xml:space="preserve"> bridging and network formation</w:t>
      </w:r>
      <w:r w:rsidR="00A75E7C">
        <w:rPr>
          <w:lang w:val="en-GB"/>
        </w:rPr>
        <w:t xml:space="preserve">, </w:t>
      </w:r>
      <w:r w:rsidR="00A75E7C" w:rsidRPr="00317D13">
        <w:rPr>
          <w:lang w:val="en-GB"/>
        </w:rPr>
        <w:t xml:space="preserve">through </w:t>
      </w:r>
      <w:r w:rsidR="00A75E7C">
        <w:rPr>
          <w:lang w:val="en-GB"/>
        </w:rPr>
        <w:t xml:space="preserve">the development of </w:t>
      </w:r>
      <w:r w:rsidR="00A75E7C" w:rsidRPr="00317D13">
        <w:rPr>
          <w:lang w:val="en-GB"/>
        </w:rPr>
        <w:t>attractive capillary force</w:t>
      </w:r>
      <w:r w:rsidR="00A75E7C">
        <w:rPr>
          <w:lang w:val="en-GB"/>
        </w:rPr>
        <w:t>s</w:t>
      </w:r>
      <w:r w:rsidR="009C359A">
        <w:rPr>
          <w:lang w:val="en-GB"/>
        </w:rPr>
        <w:t xml:space="preserve"> among the particles</w:t>
      </w:r>
      <w:r w:rsidR="00317D13">
        <w:rPr>
          <w:lang w:val="en-GB"/>
        </w:rPr>
        <w:t xml:space="preserve">. </w:t>
      </w:r>
      <w:r w:rsidR="00317D13" w:rsidRPr="00317D13">
        <w:rPr>
          <w:lang w:val="en-GB"/>
        </w:rPr>
        <w:t xml:space="preserve">The effect of water </w:t>
      </w:r>
      <w:r w:rsidR="009C359A">
        <w:rPr>
          <w:lang w:val="en-GB"/>
        </w:rPr>
        <w:t xml:space="preserve">and </w:t>
      </w:r>
      <w:r w:rsidR="00317D13">
        <w:rPr>
          <w:lang w:val="en-GB"/>
        </w:rPr>
        <w:t>particles</w:t>
      </w:r>
      <w:r w:rsidR="00317D13" w:rsidRPr="00317D13">
        <w:rPr>
          <w:lang w:val="en-GB"/>
        </w:rPr>
        <w:t xml:space="preserve"> </w:t>
      </w:r>
      <w:r w:rsidR="009C359A">
        <w:rPr>
          <w:lang w:val="en-GB"/>
        </w:rPr>
        <w:t xml:space="preserve">characteristics on </w:t>
      </w:r>
      <w:r w:rsidR="00544FAA">
        <w:rPr>
          <w:lang w:val="en-GB"/>
        </w:rPr>
        <w:t>the rheological</w:t>
      </w:r>
      <w:r w:rsidR="00544FAA" w:rsidRPr="00317D13">
        <w:rPr>
          <w:lang w:val="en-GB"/>
        </w:rPr>
        <w:t xml:space="preserve"> behavior </w:t>
      </w:r>
      <w:r w:rsidR="00544FAA">
        <w:rPr>
          <w:lang w:val="en-GB"/>
        </w:rPr>
        <w:t xml:space="preserve">of the oil suspensions </w:t>
      </w:r>
      <w:r w:rsidR="00317D13" w:rsidRPr="00317D13">
        <w:rPr>
          <w:lang w:val="en-GB"/>
        </w:rPr>
        <w:t>was investigated.</w:t>
      </w:r>
      <w:r w:rsidR="00317D13">
        <w:rPr>
          <w:lang w:val="en-GB"/>
        </w:rPr>
        <w:t xml:space="preserve"> </w:t>
      </w:r>
      <w:r w:rsidR="00317D13" w:rsidRPr="00317D13">
        <w:rPr>
          <w:lang w:val="en-GB"/>
        </w:rPr>
        <w:t xml:space="preserve">The presence of water </w:t>
      </w:r>
      <w:r w:rsidR="00544FAA">
        <w:rPr>
          <w:lang w:val="en-GB"/>
        </w:rPr>
        <w:t xml:space="preserve">caused initially an increase in </w:t>
      </w:r>
      <w:r w:rsidR="00317D13" w:rsidRPr="00317D13">
        <w:rPr>
          <w:lang w:val="en-GB"/>
        </w:rPr>
        <w:t xml:space="preserve">viscosity </w:t>
      </w:r>
      <w:r w:rsidR="00544FAA">
        <w:rPr>
          <w:lang w:val="en-GB"/>
        </w:rPr>
        <w:t xml:space="preserve">and then a decrease, as </w:t>
      </w:r>
      <w:r w:rsidR="00317D13" w:rsidRPr="00317D13">
        <w:rPr>
          <w:lang w:val="en-GB"/>
        </w:rPr>
        <w:t xml:space="preserve">water </w:t>
      </w:r>
      <w:r w:rsidR="00544FAA">
        <w:rPr>
          <w:lang w:val="en-GB"/>
        </w:rPr>
        <w:t>concentration exceeded a critical value</w:t>
      </w:r>
      <w:r w:rsidR="009C359A">
        <w:rPr>
          <w:lang w:val="en-GB"/>
        </w:rPr>
        <w:t>, with an inversion from a continuous oil phase to a continuous aqueous phase</w:t>
      </w:r>
      <w:r w:rsidR="00317D13" w:rsidRPr="00317D13">
        <w:rPr>
          <w:lang w:val="en-GB"/>
        </w:rPr>
        <w:t>.</w:t>
      </w:r>
      <w:r w:rsidR="00317D13">
        <w:rPr>
          <w:lang w:val="en-GB"/>
        </w:rPr>
        <w:t xml:space="preserve"> </w:t>
      </w:r>
      <w:r w:rsidR="00585DE4">
        <w:rPr>
          <w:lang w:val="en-GB"/>
        </w:rPr>
        <w:t>Moreover</w:t>
      </w:r>
      <w:r w:rsidR="00585DE4" w:rsidRPr="00585DE4">
        <w:rPr>
          <w:lang w:val="en-GB"/>
        </w:rPr>
        <w:t xml:space="preserve">, </w:t>
      </w:r>
      <w:r w:rsidR="00544FAA">
        <w:rPr>
          <w:lang w:val="en-GB"/>
        </w:rPr>
        <w:t xml:space="preserve">the </w:t>
      </w:r>
      <w:r w:rsidR="00317D13">
        <w:rPr>
          <w:lang w:val="en-GB"/>
        </w:rPr>
        <w:t>oxidative stability of the capillary suspensions</w:t>
      </w:r>
      <w:r w:rsidR="00585DE4" w:rsidRPr="00585DE4">
        <w:rPr>
          <w:lang w:val="en-GB"/>
        </w:rPr>
        <w:t xml:space="preserve"> </w:t>
      </w:r>
      <w:r w:rsidR="00544FAA">
        <w:rPr>
          <w:lang w:val="en-GB"/>
        </w:rPr>
        <w:t xml:space="preserve">was evaluated, </w:t>
      </w:r>
      <w:r w:rsidR="00585DE4" w:rsidRPr="00585DE4">
        <w:rPr>
          <w:lang w:val="en-GB"/>
        </w:rPr>
        <w:t xml:space="preserve">during </w:t>
      </w:r>
      <w:r w:rsidR="00544FAA">
        <w:rPr>
          <w:lang w:val="en-GB"/>
        </w:rPr>
        <w:t>accelerated aging</w:t>
      </w:r>
      <w:r w:rsidR="00585DE4" w:rsidRPr="00585DE4">
        <w:rPr>
          <w:lang w:val="en-GB"/>
        </w:rPr>
        <w:t>.</w:t>
      </w:r>
      <w:r w:rsidR="00CD0442">
        <w:rPr>
          <w:lang w:val="en-GB"/>
        </w:rPr>
        <w:t xml:space="preserve"> </w:t>
      </w:r>
      <w:r w:rsidR="00CD0442" w:rsidRPr="00CD0442">
        <w:rPr>
          <w:lang w:val="en-GB"/>
        </w:rPr>
        <w:t>The proposed approach not only does not suffer the presence of water, but significantly improves the oxidation stability with respect to the pure oil</w:t>
      </w:r>
    </w:p>
    <w:p w14:paraId="476B2F2E" w14:textId="77777777" w:rsidR="00600535" w:rsidRPr="00B57B36" w:rsidRDefault="00600535" w:rsidP="00600535">
      <w:pPr>
        <w:pStyle w:val="CETHeading1"/>
        <w:rPr>
          <w:lang w:val="en-GB"/>
        </w:rPr>
      </w:pPr>
      <w:r w:rsidRPr="00B57B36">
        <w:rPr>
          <w:lang w:val="en-GB"/>
        </w:rPr>
        <w:t>Introduction</w:t>
      </w:r>
    </w:p>
    <w:p w14:paraId="7DED3FB9" w14:textId="6D645FCD" w:rsidR="004A73B2" w:rsidRDefault="00585DE4" w:rsidP="002033F9">
      <w:pPr>
        <w:pStyle w:val="CETBodytext"/>
        <w:rPr>
          <w:lang w:val="en-GB"/>
        </w:rPr>
      </w:pPr>
      <w:r w:rsidRPr="00585DE4">
        <w:rPr>
          <w:lang w:val="en-GB"/>
        </w:rPr>
        <w:t xml:space="preserve">In </w:t>
      </w:r>
      <w:r w:rsidR="00616B57">
        <w:rPr>
          <w:lang w:val="en-GB"/>
        </w:rPr>
        <w:t xml:space="preserve">the </w:t>
      </w:r>
      <w:r w:rsidRPr="00585DE4">
        <w:rPr>
          <w:lang w:val="en-GB"/>
        </w:rPr>
        <w:t>last decade</w:t>
      </w:r>
      <w:r w:rsidR="00544FAA">
        <w:rPr>
          <w:lang w:val="en-GB"/>
        </w:rPr>
        <w:t>,</w:t>
      </w:r>
      <w:r w:rsidRPr="00585DE4">
        <w:rPr>
          <w:lang w:val="en-GB"/>
        </w:rPr>
        <w:t xml:space="preserve"> oil structuring </w:t>
      </w:r>
      <w:r w:rsidR="00616B57" w:rsidRPr="00585DE4">
        <w:rPr>
          <w:lang w:val="en-GB"/>
        </w:rPr>
        <w:t>ha</w:t>
      </w:r>
      <w:r w:rsidR="00616B57">
        <w:rPr>
          <w:lang w:val="en-GB"/>
        </w:rPr>
        <w:t>s</w:t>
      </w:r>
      <w:r w:rsidR="00616B57" w:rsidRPr="00585DE4">
        <w:rPr>
          <w:lang w:val="en-GB"/>
        </w:rPr>
        <w:t xml:space="preserve"> </w:t>
      </w:r>
      <w:r w:rsidR="00544FAA">
        <w:rPr>
          <w:lang w:val="en-GB"/>
        </w:rPr>
        <w:t xml:space="preserve">gathered increasing </w:t>
      </w:r>
      <w:r w:rsidRPr="00585DE4">
        <w:rPr>
          <w:lang w:val="en-GB"/>
        </w:rPr>
        <w:t xml:space="preserve">interest </w:t>
      </w:r>
      <w:r w:rsidR="00544FAA">
        <w:rPr>
          <w:lang w:val="en-GB"/>
        </w:rPr>
        <w:t xml:space="preserve">because of </w:t>
      </w:r>
      <w:r w:rsidRPr="00585DE4">
        <w:rPr>
          <w:lang w:val="en-GB"/>
        </w:rPr>
        <w:t>its potential use in the food, pharmaceutical</w:t>
      </w:r>
      <w:r w:rsidR="00616B57">
        <w:rPr>
          <w:lang w:val="en-GB"/>
        </w:rPr>
        <w:t>,</w:t>
      </w:r>
      <w:r w:rsidRPr="00585DE4">
        <w:rPr>
          <w:lang w:val="en-GB"/>
        </w:rPr>
        <w:t xml:space="preserve"> and biotechnology industries</w:t>
      </w:r>
      <w:r w:rsidR="00A37D6A">
        <w:rPr>
          <w:lang w:val="en-GB"/>
        </w:rPr>
        <w:t xml:space="preserve"> </w:t>
      </w:r>
      <w:r w:rsidR="00A37D6A" w:rsidRPr="00585DE4">
        <w:rPr>
          <w:lang w:val="en-GB"/>
        </w:rPr>
        <w:t>for replacing unhealthy saturated fats</w:t>
      </w:r>
      <w:r w:rsidR="00A37D6A">
        <w:rPr>
          <w:lang w:val="en-GB"/>
        </w:rPr>
        <w:t xml:space="preserve">. </w:t>
      </w:r>
      <w:r w:rsidR="00544FAA">
        <w:rPr>
          <w:lang w:val="en-GB"/>
        </w:rPr>
        <w:t>More specifically</w:t>
      </w:r>
      <w:r w:rsidRPr="00585DE4">
        <w:rPr>
          <w:lang w:val="en-GB"/>
        </w:rPr>
        <w:t xml:space="preserve">, oleogels have been proposed as novel systems in food preparations </w:t>
      </w:r>
      <w:r w:rsidR="00544FAA">
        <w:rPr>
          <w:lang w:val="en-GB"/>
        </w:rPr>
        <w:t xml:space="preserve">incorporating </w:t>
      </w:r>
      <w:r w:rsidRPr="00585DE4">
        <w:rPr>
          <w:lang w:val="en-GB"/>
        </w:rPr>
        <w:t>vegetable oils</w:t>
      </w:r>
      <w:r w:rsidR="00544FAA">
        <w:rPr>
          <w:lang w:val="en-GB"/>
        </w:rPr>
        <w:t>,</w:t>
      </w:r>
      <w:r w:rsidRPr="00585DE4">
        <w:rPr>
          <w:lang w:val="en-GB"/>
        </w:rPr>
        <w:t xml:space="preserve"> </w:t>
      </w:r>
      <w:r w:rsidR="00544FAA">
        <w:rPr>
          <w:lang w:val="en-GB"/>
        </w:rPr>
        <w:t xml:space="preserve">to </w:t>
      </w:r>
      <w:r w:rsidRPr="00585DE4">
        <w:rPr>
          <w:lang w:val="en-GB"/>
        </w:rPr>
        <w:t>enhanc</w:t>
      </w:r>
      <w:r w:rsidR="00544FAA">
        <w:rPr>
          <w:lang w:val="en-GB"/>
        </w:rPr>
        <w:t>e</w:t>
      </w:r>
      <w:r w:rsidRPr="00585DE4">
        <w:rPr>
          <w:lang w:val="en-GB"/>
        </w:rPr>
        <w:t xml:space="preserve"> their </w:t>
      </w:r>
      <w:r w:rsidR="00544FAA" w:rsidRPr="00A37D6A">
        <w:rPr>
          <w:lang w:val="en-GB"/>
        </w:rPr>
        <w:t>techno</w:t>
      </w:r>
      <w:r w:rsidR="00544FAA">
        <w:rPr>
          <w:lang w:val="en-GB"/>
        </w:rPr>
        <w:t xml:space="preserve">-functional </w:t>
      </w:r>
      <w:r w:rsidR="00A37D6A" w:rsidRPr="00A37D6A">
        <w:rPr>
          <w:lang w:val="en-GB"/>
        </w:rPr>
        <w:t xml:space="preserve">properties </w:t>
      </w:r>
      <w:r w:rsidR="00A37D6A">
        <w:rPr>
          <w:lang w:val="en-GB"/>
        </w:rPr>
        <w:t xml:space="preserve">and </w:t>
      </w:r>
      <w:r w:rsidRPr="00585DE4">
        <w:rPr>
          <w:lang w:val="en-GB"/>
        </w:rPr>
        <w:t>nutritional value</w:t>
      </w:r>
      <w:r w:rsidR="00544FAA">
        <w:rPr>
          <w:lang w:val="en-GB"/>
        </w:rPr>
        <w:t>,</w:t>
      </w:r>
      <w:r w:rsidRPr="00585DE4">
        <w:rPr>
          <w:lang w:val="en-GB"/>
        </w:rPr>
        <w:t xml:space="preserve"> without penalizing taste and mouthfeel</w:t>
      </w:r>
      <w:r w:rsidR="00317D13">
        <w:rPr>
          <w:lang w:val="en-GB"/>
        </w:rPr>
        <w:t xml:space="preserve"> </w:t>
      </w:r>
      <w:r w:rsidR="00317D13" w:rsidRPr="00317D13">
        <w:rPr>
          <w:lang w:val="en-GB"/>
        </w:rPr>
        <w:t>(Le Révérend et al., 2010)</w:t>
      </w:r>
      <w:r w:rsidRPr="00585DE4">
        <w:rPr>
          <w:lang w:val="en-GB"/>
        </w:rPr>
        <w:t>.</w:t>
      </w:r>
      <w:r w:rsidR="0050100B">
        <w:rPr>
          <w:lang w:val="en-GB"/>
        </w:rPr>
        <w:t xml:space="preserve"> </w:t>
      </w:r>
      <w:r w:rsidR="0050100B" w:rsidRPr="0050100B">
        <w:rPr>
          <w:lang w:val="en-GB"/>
        </w:rPr>
        <w:t>Oleogel</w:t>
      </w:r>
      <w:r w:rsidR="00544FAA">
        <w:rPr>
          <w:lang w:val="en-GB"/>
        </w:rPr>
        <w:t>s</w:t>
      </w:r>
      <w:r w:rsidR="0050100B" w:rsidRPr="0050100B">
        <w:rPr>
          <w:lang w:val="en-GB"/>
        </w:rPr>
        <w:t xml:space="preserve"> </w:t>
      </w:r>
      <w:r w:rsidR="00544FAA">
        <w:rPr>
          <w:lang w:val="en-GB"/>
        </w:rPr>
        <w:t xml:space="preserve">are </w:t>
      </w:r>
      <w:r w:rsidR="0050100B" w:rsidRPr="0050100B">
        <w:rPr>
          <w:lang w:val="en-GB"/>
        </w:rPr>
        <w:t>system</w:t>
      </w:r>
      <w:r w:rsidR="00544FAA">
        <w:rPr>
          <w:lang w:val="en-GB"/>
        </w:rPr>
        <w:t>s</w:t>
      </w:r>
      <w:r w:rsidR="0050100B" w:rsidRPr="0050100B">
        <w:rPr>
          <w:lang w:val="en-GB"/>
        </w:rPr>
        <w:t xml:space="preserve"> </w:t>
      </w:r>
      <w:r w:rsidR="00544FAA">
        <w:rPr>
          <w:lang w:val="en-GB"/>
        </w:rPr>
        <w:t xml:space="preserve">characterized by a </w:t>
      </w:r>
      <w:r w:rsidR="0050100B" w:rsidRPr="0050100B">
        <w:rPr>
          <w:lang w:val="en-GB"/>
        </w:rPr>
        <w:t xml:space="preserve">continuous liquid phase physically immobilized by </w:t>
      </w:r>
      <w:r w:rsidR="00544FAA">
        <w:rPr>
          <w:lang w:val="en-GB"/>
        </w:rPr>
        <w:t xml:space="preserve">a </w:t>
      </w:r>
      <w:r w:rsidR="0050100B" w:rsidRPr="0050100B">
        <w:rPr>
          <w:lang w:val="en-GB"/>
        </w:rPr>
        <w:t>self-assembled network of gelators</w:t>
      </w:r>
      <w:r w:rsidR="00544FAA">
        <w:rPr>
          <w:lang w:val="en-GB"/>
        </w:rPr>
        <w:t xml:space="preserve">, </w:t>
      </w:r>
      <w:r w:rsidR="0075663B" w:rsidRPr="0075663B">
        <w:rPr>
          <w:lang w:val="en-GB"/>
        </w:rPr>
        <w:t xml:space="preserve">such as waxes, monoglycerides, fatty acids, plant sterols, and esters. </w:t>
      </w:r>
      <w:r w:rsidR="00544FAA">
        <w:rPr>
          <w:lang w:val="en-GB"/>
        </w:rPr>
        <w:t>A</w:t>
      </w:r>
      <w:r w:rsidR="0075663B" w:rsidRPr="0075663B">
        <w:rPr>
          <w:lang w:val="en-GB"/>
        </w:rPr>
        <w:t xml:space="preserve"> heating step is </w:t>
      </w:r>
      <w:r w:rsidR="00544FAA">
        <w:rPr>
          <w:lang w:val="en-GB"/>
        </w:rPr>
        <w:t xml:space="preserve">generally </w:t>
      </w:r>
      <w:r w:rsidR="0075663B" w:rsidRPr="0075663B">
        <w:rPr>
          <w:lang w:val="en-GB"/>
        </w:rPr>
        <w:t xml:space="preserve">applied to melt the gelator in the liquid </w:t>
      </w:r>
      <w:r w:rsidR="00544FAA">
        <w:rPr>
          <w:lang w:val="en-GB"/>
        </w:rPr>
        <w:t xml:space="preserve">oil </w:t>
      </w:r>
      <w:r w:rsidR="0075663B" w:rsidRPr="0075663B">
        <w:rPr>
          <w:lang w:val="en-GB"/>
        </w:rPr>
        <w:t xml:space="preserve">phase </w:t>
      </w:r>
      <w:r w:rsidR="00544FAA">
        <w:rPr>
          <w:lang w:val="en-GB"/>
        </w:rPr>
        <w:t xml:space="preserve">under </w:t>
      </w:r>
      <w:r w:rsidR="0075663B" w:rsidRPr="0075663B">
        <w:rPr>
          <w:lang w:val="en-GB"/>
        </w:rPr>
        <w:t xml:space="preserve">gentle stirring </w:t>
      </w:r>
      <w:r w:rsidR="00544FAA">
        <w:rPr>
          <w:lang w:val="en-GB"/>
        </w:rPr>
        <w:t xml:space="preserve">for its </w:t>
      </w:r>
      <w:r w:rsidR="0075663B" w:rsidRPr="0075663B">
        <w:rPr>
          <w:lang w:val="en-GB"/>
        </w:rPr>
        <w:t xml:space="preserve">full </w:t>
      </w:r>
      <w:r w:rsidR="00544FAA" w:rsidRPr="0075663B">
        <w:rPr>
          <w:lang w:val="en-GB"/>
        </w:rPr>
        <w:t>dissol</w:t>
      </w:r>
      <w:r w:rsidR="00544FAA">
        <w:rPr>
          <w:lang w:val="en-GB"/>
        </w:rPr>
        <w:t>ution</w:t>
      </w:r>
      <w:r w:rsidR="0075663B" w:rsidRPr="0075663B">
        <w:rPr>
          <w:lang w:val="en-GB"/>
        </w:rPr>
        <w:t xml:space="preserve">. </w:t>
      </w:r>
      <w:r w:rsidR="00544FAA">
        <w:rPr>
          <w:lang w:val="en-GB"/>
        </w:rPr>
        <w:t>B</w:t>
      </w:r>
      <w:r w:rsidR="00544FAA" w:rsidRPr="0075663B">
        <w:rPr>
          <w:lang w:val="en-GB"/>
        </w:rPr>
        <w:t>y cooling below the gelation transition temperature</w:t>
      </w:r>
      <w:r w:rsidR="00544FAA">
        <w:rPr>
          <w:lang w:val="en-GB"/>
        </w:rPr>
        <w:t>,</w:t>
      </w:r>
      <w:r w:rsidR="00544FAA" w:rsidRPr="0075663B">
        <w:rPr>
          <w:lang w:val="en-GB"/>
        </w:rPr>
        <w:t xml:space="preserve"> </w:t>
      </w:r>
      <w:r w:rsidR="00544FAA">
        <w:rPr>
          <w:lang w:val="en-GB"/>
        </w:rPr>
        <w:t>t</w:t>
      </w:r>
      <w:r w:rsidR="00544FAA" w:rsidRPr="0075663B">
        <w:rPr>
          <w:lang w:val="en-GB"/>
        </w:rPr>
        <w:t xml:space="preserve">he </w:t>
      </w:r>
      <w:r w:rsidR="0075663B" w:rsidRPr="0075663B">
        <w:rPr>
          <w:lang w:val="en-GB"/>
        </w:rPr>
        <w:t>gelator self-assemble</w:t>
      </w:r>
      <w:r w:rsidR="00544FAA">
        <w:rPr>
          <w:lang w:val="en-GB"/>
        </w:rPr>
        <w:t>s</w:t>
      </w:r>
      <w:r w:rsidR="0075663B" w:rsidRPr="0075663B">
        <w:rPr>
          <w:lang w:val="en-GB"/>
        </w:rPr>
        <w:t xml:space="preserve"> into a thermoreversible three-dimensional network that entraps the surrounding oil phase (Blake</w:t>
      </w:r>
      <w:r w:rsidR="0075663B">
        <w:rPr>
          <w:lang w:val="en-GB"/>
        </w:rPr>
        <w:t xml:space="preserve"> et al.</w:t>
      </w:r>
      <w:r w:rsidR="0075663B" w:rsidRPr="0075663B">
        <w:rPr>
          <w:lang w:val="en-GB"/>
        </w:rPr>
        <w:t>, 2018; Zhao</w:t>
      </w:r>
      <w:r w:rsidR="0075663B">
        <w:rPr>
          <w:lang w:val="en-GB"/>
        </w:rPr>
        <w:t xml:space="preserve"> et al.</w:t>
      </w:r>
      <w:r w:rsidR="0075663B" w:rsidRPr="0075663B">
        <w:rPr>
          <w:lang w:val="en-GB"/>
        </w:rPr>
        <w:t>, 2021).</w:t>
      </w:r>
      <w:r w:rsidR="0016119E">
        <w:rPr>
          <w:lang w:val="en-GB"/>
        </w:rPr>
        <w:t xml:space="preserve"> </w:t>
      </w:r>
      <w:r w:rsidR="00544FAA">
        <w:rPr>
          <w:lang w:val="en-GB"/>
        </w:rPr>
        <w:t>O</w:t>
      </w:r>
      <w:r w:rsidR="0016119E" w:rsidRPr="0016119E">
        <w:rPr>
          <w:lang w:val="en-GB"/>
        </w:rPr>
        <w:t xml:space="preserve">leogelators should typically </w:t>
      </w:r>
      <w:r w:rsidR="00544FAA">
        <w:rPr>
          <w:lang w:val="en-GB"/>
        </w:rPr>
        <w:t xml:space="preserve">feature </w:t>
      </w:r>
      <w:r w:rsidR="0016119E" w:rsidRPr="0016119E">
        <w:rPr>
          <w:lang w:val="en-GB"/>
        </w:rPr>
        <w:t xml:space="preserve">(i) the presence of lipophilic and interacting parts, (ii) surface activity, </w:t>
      </w:r>
      <w:r w:rsidR="002033F9">
        <w:rPr>
          <w:lang w:val="en-GB"/>
        </w:rPr>
        <w:t xml:space="preserve">and </w:t>
      </w:r>
      <w:r w:rsidR="0016119E" w:rsidRPr="0016119E">
        <w:rPr>
          <w:lang w:val="en-GB"/>
        </w:rPr>
        <w:t>(iii)</w:t>
      </w:r>
      <w:r w:rsidR="0016119E">
        <w:rPr>
          <w:lang w:val="en-GB"/>
        </w:rPr>
        <w:t xml:space="preserve"> </w:t>
      </w:r>
      <w:r w:rsidR="0016119E" w:rsidRPr="0016119E">
        <w:rPr>
          <w:lang w:val="en-GB"/>
        </w:rPr>
        <w:t>thermoreversible characteristics</w:t>
      </w:r>
      <w:r w:rsidR="002033F9">
        <w:rPr>
          <w:lang w:val="en-GB"/>
        </w:rPr>
        <w:t xml:space="preserve">. </w:t>
      </w:r>
      <w:r w:rsidR="00544FAA">
        <w:rPr>
          <w:lang w:val="en-GB"/>
        </w:rPr>
        <w:t xml:space="preserve">However, for food use, the gelators should be </w:t>
      </w:r>
      <w:r w:rsidR="0016119E">
        <w:rPr>
          <w:lang w:val="en-GB"/>
        </w:rPr>
        <w:t xml:space="preserve">of </w:t>
      </w:r>
      <w:r w:rsidR="0016119E" w:rsidRPr="0016119E">
        <w:rPr>
          <w:lang w:val="en-GB"/>
        </w:rPr>
        <w:t>natural origin and considered as GRAS</w:t>
      </w:r>
      <w:r w:rsidR="00544FAA">
        <w:rPr>
          <w:lang w:val="en-GB"/>
        </w:rPr>
        <w:t>, hence severely reducing the available options</w:t>
      </w:r>
      <w:r w:rsidR="0016119E">
        <w:rPr>
          <w:lang w:val="en-GB"/>
        </w:rPr>
        <w:t xml:space="preserve">. </w:t>
      </w:r>
      <w:r w:rsidR="00544FAA">
        <w:rPr>
          <w:lang w:val="en-GB"/>
        </w:rPr>
        <w:t xml:space="preserve">For this reason, </w:t>
      </w:r>
      <w:r w:rsidR="002033F9" w:rsidRPr="002033F9">
        <w:rPr>
          <w:lang w:val="en-GB"/>
        </w:rPr>
        <w:t xml:space="preserve">capillary suspensions </w:t>
      </w:r>
      <w:r w:rsidR="00544FAA">
        <w:rPr>
          <w:lang w:val="en-GB"/>
        </w:rPr>
        <w:t xml:space="preserve">have emerged as </w:t>
      </w:r>
      <w:r w:rsidR="002033F9" w:rsidRPr="002033F9">
        <w:rPr>
          <w:lang w:val="en-GB"/>
        </w:rPr>
        <w:t xml:space="preserve">a promising potential </w:t>
      </w:r>
      <w:r w:rsidR="00544FAA">
        <w:rPr>
          <w:lang w:val="en-GB"/>
        </w:rPr>
        <w:t xml:space="preserve">alternative for </w:t>
      </w:r>
      <w:r w:rsidR="002033F9" w:rsidRPr="002033F9">
        <w:rPr>
          <w:lang w:val="en-GB"/>
        </w:rPr>
        <w:t>oil structuring</w:t>
      </w:r>
      <w:r w:rsidR="002033F9">
        <w:rPr>
          <w:lang w:val="en-GB"/>
        </w:rPr>
        <w:t>.</w:t>
      </w:r>
      <w:r w:rsidR="00616B57">
        <w:rPr>
          <w:lang w:val="en-GB"/>
        </w:rPr>
        <w:t xml:space="preserve"> </w:t>
      </w:r>
      <w:r w:rsidR="00544FAA">
        <w:rPr>
          <w:lang w:val="en-GB"/>
        </w:rPr>
        <w:t>T</w:t>
      </w:r>
      <w:r w:rsidR="002033F9" w:rsidRPr="002033F9">
        <w:rPr>
          <w:lang w:val="en-GB"/>
        </w:rPr>
        <w:t>he addition of small amounts of a secondary</w:t>
      </w:r>
      <w:r w:rsidR="002033F9">
        <w:rPr>
          <w:lang w:val="en-GB"/>
        </w:rPr>
        <w:t xml:space="preserve"> immiscible</w:t>
      </w:r>
      <w:r w:rsidR="002033F9" w:rsidRPr="002033F9">
        <w:rPr>
          <w:lang w:val="en-GB"/>
        </w:rPr>
        <w:t xml:space="preserve"> fluid</w:t>
      </w:r>
      <w:r w:rsidR="002033F9">
        <w:rPr>
          <w:lang w:val="en-GB"/>
        </w:rPr>
        <w:t xml:space="preserve"> </w:t>
      </w:r>
      <w:r w:rsidR="002033F9" w:rsidRPr="002033F9">
        <w:rPr>
          <w:lang w:val="en-GB"/>
        </w:rPr>
        <w:t xml:space="preserve">(generally water) to a suspension </w:t>
      </w:r>
      <w:r w:rsidR="00544FAA">
        <w:rPr>
          <w:lang w:val="en-GB"/>
        </w:rPr>
        <w:t xml:space="preserve">(such as particles in oil) triggers </w:t>
      </w:r>
      <w:r w:rsidR="00544FAA" w:rsidRPr="002033F9">
        <w:rPr>
          <w:lang w:val="en-GB"/>
        </w:rPr>
        <w:t>attractive capillary forces</w:t>
      </w:r>
      <w:r w:rsidR="00544FAA">
        <w:rPr>
          <w:lang w:val="en-GB"/>
        </w:rPr>
        <w:t>,</w:t>
      </w:r>
      <w:r w:rsidR="00544FAA" w:rsidRPr="002033F9">
        <w:rPr>
          <w:lang w:val="en-GB"/>
        </w:rPr>
        <w:t xml:space="preserve"> </w:t>
      </w:r>
      <w:r w:rsidR="002033F9" w:rsidRPr="002033F9">
        <w:rPr>
          <w:lang w:val="en-GB"/>
        </w:rPr>
        <w:t>lead</w:t>
      </w:r>
      <w:r w:rsidR="00544FAA">
        <w:rPr>
          <w:lang w:val="en-GB"/>
        </w:rPr>
        <w:t>ing</w:t>
      </w:r>
      <w:r w:rsidR="002033F9" w:rsidRPr="002033F9">
        <w:rPr>
          <w:lang w:val="en-GB"/>
        </w:rPr>
        <w:t xml:space="preserve"> to particle bridging and </w:t>
      </w:r>
      <w:r w:rsidR="00544FAA">
        <w:rPr>
          <w:lang w:val="en-GB"/>
        </w:rPr>
        <w:t xml:space="preserve">the </w:t>
      </w:r>
      <w:r w:rsidR="002033F9" w:rsidRPr="002033F9">
        <w:rPr>
          <w:lang w:val="en-GB"/>
        </w:rPr>
        <w:t>formation</w:t>
      </w:r>
      <w:r w:rsidR="00317D13">
        <w:rPr>
          <w:lang w:val="en-GB"/>
        </w:rPr>
        <w:t xml:space="preserve"> </w:t>
      </w:r>
      <w:r w:rsidR="00544FAA">
        <w:rPr>
          <w:lang w:val="en-GB"/>
        </w:rPr>
        <w:t xml:space="preserve">of a 3D network </w:t>
      </w:r>
      <w:r w:rsidR="00317D13" w:rsidRPr="00317D13">
        <w:rPr>
          <w:lang w:val="en-GB"/>
        </w:rPr>
        <w:t>(Koos, 2014; Mustafa et al., 2018)</w:t>
      </w:r>
      <w:r w:rsidR="002033F9" w:rsidRPr="002033F9">
        <w:rPr>
          <w:lang w:val="en-GB"/>
        </w:rPr>
        <w:t>. In this way, a transition from a fluid-like to a gel-like state</w:t>
      </w:r>
      <w:r w:rsidR="00544FAA">
        <w:rPr>
          <w:lang w:val="en-GB"/>
        </w:rPr>
        <w:t xml:space="preserve"> is promoted</w:t>
      </w:r>
      <w:r w:rsidR="002033F9">
        <w:rPr>
          <w:lang w:val="en-GB"/>
        </w:rPr>
        <w:t xml:space="preserve">. </w:t>
      </w:r>
      <w:r w:rsidR="002033F9" w:rsidRPr="002033F9">
        <w:rPr>
          <w:lang w:val="en-GB"/>
        </w:rPr>
        <w:t>Th</w:t>
      </w:r>
      <w:r w:rsidR="00544FAA">
        <w:rPr>
          <w:lang w:val="en-GB"/>
        </w:rPr>
        <w:t xml:space="preserve">e </w:t>
      </w:r>
      <w:r w:rsidR="002033F9" w:rsidRPr="002033F9">
        <w:rPr>
          <w:lang w:val="en-GB"/>
        </w:rPr>
        <w:t xml:space="preserve">rheological properties </w:t>
      </w:r>
      <w:r w:rsidR="00544FAA">
        <w:rPr>
          <w:lang w:val="en-GB"/>
        </w:rPr>
        <w:t xml:space="preserve">can be </w:t>
      </w:r>
      <w:r w:rsidR="002033F9" w:rsidRPr="002033F9">
        <w:rPr>
          <w:lang w:val="en-GB"/>
        </w:rPr>
        <w:t>tun</w:t>
      </w:r>
      <w:r w:rsidR="00544FAA">
        <w:rPr>
          <w:lang w:val="en-GB"/>
        </w:rPr>
        <w:t>ed</w:t>
      </w:r>
      <w:r w:rsidR="002033F9" w:rsidRPr="002033F9">
        <w:rPr>
          <w:lang w:val="en-GB"/>
        </w:rPr>
        <w:t xml:space="preserve"> </w:t>
      </w:r>
      <w:r w:rsidR="00544FAA">
        <w:rPr>
          <w:lang w:val="en-GB"/>
        </w:rPr>
        <w:t xml:space="preserve">by controlling the attractive capillary forces (e.g. particle size or water fraction), </w:t>
      </w:r>
      <w:r w:rsidR="002033F9">
        <w:rPr>
          <w:lang w:val="en-GB"/>
        </w:rPr>
        <w:t xml:space="preserve">with </w:t>
      </w:r>
      <w:r w:rsidR="00544FAA">
        <w:rPr>
          <w:lang w:val="en-GB"/>
        </w:rPr>
        <w:t xml:space="preserve">an </w:t>
      </w:r>
      <w:r w:rsidR="002033F9" w:rsidRPr="002033F9">
        <w:rPr>
          <w:lang w:val="en-GB"/>
        </w:rPr>
        <w:t>increase in yield stress and shear viscosity by several orders of magnitude (Koos and Willenbacher, 2011)</w:t>
      </w:r>
      <w:r w:rsidR="002033F9">
        <w:rPr>
          <w:lang w:val="en-GB"/>
        </w:rPr>
        <w:t xml:space="preserve">, </w:t>
      </w:r>
      <w:r w:rsidR="00544FAA">
        <w:rPr>
          <w:lang w:val="en-GB"/>
        </w:rPr>
        <w:t xml:space="preserve">increasing also </w:t>
      </w:r>
      <w:r w:rsidR="002033F9" w:rsidRPr="002033F9">
        <w:rPr>
          <w:lang w:val="en-GB"/>
        </w:rPr>
        <w:t>suspension stability.</w:t>
      </w:r>
      <w:r w:rsidR="002033F9">
        <w:rPr>
          <w:lang w:val="en-GB"/>
        </w:rPr>
        <w:t xml:space="preserve"> </w:t>
      </w:r>
      <w:r w:rsidR="002033F9" w:rsidRPr="002033F9">
        <w:rPr>
          <w:lang w:val="en-GB"/>
        </w:rPr>
        <w:t>Depending on how primary and secondary fluid wet the particles, capillary suspensions can be classified in the pendular state</w:t>
      </w:r>
      <w:r w:rsidR="000B722C">
        <w:rPr>
          <w:lang w:val="en-GB"/>
        </w:rPr>
        <w:t xml:space="preserve">, </w:t>
      </w:r>
      <w:r w:rsidR="000B722C" w:rsidRPr="000B722C">
        <w:rPr>
          <w:lang w:val="en-GB"/>
        </w:rPr>
        <w:t>spherical agglomerates</w:t>
      </w:r>
      <w:r w:rsidR="000B722C">
        <w:rPr>
          <w:lang w:val="en-GB"/>
        </w:rPr>
        <w:t xml:space="preserve">, </w:t>
      </w:r>
      <w:r w:rsidR="000B722C" w:rsidRPr="000B722C">
        <w:rPr>
          <w:lang w:val="en-GB"/>
        </w:rPr>
        <w:t>bi</w:t>
      </w:r>
      <w:r w:rsidR="009F6828">
        <w:rPr>
          <w:lang w:val="en-GB"/>
        </w:rPr>
        <w:t>-</w:t>
      </w:r>
      <w:r w:rsidR="000B722C" w:rsidRPr="000B722C">
        <w:rPr>
          <w:lang w:val="en-GB"/>
        </w:rPr>
        <w:t>continuous</w:t>
      </w:r>
      <w:r w:rsidR="000B722C">
        <w:rPr>
          <w:lang w:val="en-GB"/>
        </w:rPr>
        <w:t xml:space="preserve">, </w:t>
      </w:r>
      <w:r w:rsidR="000B722C" w:rsidRPr="000B722C">
        <w:rPr>
          <w:lang w:val="en-GB"/>
        </w:rPr>
        <w:t>Pickering emulsion</w:t>
      </w:r>
      <w:r w:rsidR="00616B57">
        <w:rPr>
          <w:lang w:val="en-GB"/>
        </w:rPr>
        <w:t>,</w:t>
      </w:r>
      <w:r w:rsidR="000B722C">
        <w:rPr>
          <w:lang w:val="en-GB"/>
        </w:rPr>
        <w:t xml:space="preserve"> and </w:t>
      </w:r>
      <w:r w:rsidR="000B722C" w:rsidRPr="000B722C">
        <w:rPr>
          <w:lang w:val="en-GB"/>
        </w:rPr>
        <w:t>capillary state</w:t>
      </w:r>
      <w:r w:rsidR="007C740B">
        <w:rPr>
          <w:lang w:val="en-GB"/>
        </w:rPr>
        <w:t xml:space="preserve"> (Bossler et al., 2016)</w:t>
      </w:r>
      <w:r w:rsidR="000B722C" w:rsidRPr="000B722C">
        <w:rPr>
          <w:lang w:val="en-GB"/>
        </w:rPr>
        <w:t>.</w:t>
      </w:r>
    </w:p>
    <w:p w14:paraId="78AF547D" w14:textId="7FCD0C4D" w:rsidR="00A37D6A" w:rsidRDefault="00734F09" w:rsidP="004A73B2">
      <w:pPr>
        <w:pStyle w:val="CETBodytext"/>
        <w:rPr>
          <w:lang w:val="en-GB"/>
        </w:rPr>
      </w:pPr>
      <w:r>
        <w:rPr>
          <w:lang w:val="en-GB"/>
        </w:rPr>
        <w:lastRenderedPageBreak/>
        <w:t xml:space="preserve">This work </w:t>
      </w:r>
      <w:r w:rsidR="00544FAA">
        <w:rPr>
          <w:lang w:val="en-GB"/>
        </w:rPr>
        <w:t xml:space="preserve">aims </w:t>
      </w:r>
      <w:r>
        <w:rPr>
          <w:lang w:val="en-GB"/>
        </w:rPr>
        <w:t xml:space="preserve">at </w:t>
      </w:r>
      <w:r w:rsidRPr="00734F09">
        <w:rPr>
          <w:lang w:val="en-GB"/>
        </w:rPr>
        <w:t xml:space="preserve">structuring sunflower oil by high-pressure homogenization treatment applied to wheat middlings </w:t>
      </w:r>
      <w:r>
        <w:rPr>
          <w:lang w:val="en-GB"/>
        </w:rPr>
        <w:t xml:space="preserve">(WM) or cellulose (CL) </w:t>
      </w:r>
      <w:r w:rsidRPr="00734F09">
        <w:rPr>
          <w:lang w:val="en-GB"/>
        </w:rPr>
        <w:t>particles directly suspended in oil</w:t>
      </w:r>
      <w:r w:rsidR="00544FAA">
        <w:rPr>
          <w:lang w:val="en-GB"/>
        </w:rPr>
        <w:t xml:space="preserve">, with the final goal of </w:t>
      </w:r>
      <w:r w:rsidRPr="00734F09">
        <w:rPr>
          <w:lang w:val="en-GB"/>
        </w:rPr>
        <w:t>obtain</w:t>
      </w:r>
      <w:r w:rsidR="00544FAA">
        <w:rPr>
          <w:lang w:val="en-GB"/>
        </w:rPr>
        <w:t>ing</w:t>
      </w:r>
      <w:r w:rsidRPr="00734F09">
        <w:rPr>
          <w:lang w:val="en-GB"/>
        </w:rPr>
        <w:t xml:space="preserve"> a gel-like product without the use of unhealthy fats</w:t>
      </w:r>
      <w:r w:rsidR="00544FAA">
        <w:rPr>
          <w:lang w:val="en-GB"/>
        </w:rPr>
        <w:t xml:space="preserve"> or undesired</w:t>
      </w:r>
      <w:r w:rsidR="00544FAA" w:rsidRPr="00734F09">
        <w:rPr>
          <w:lang w:val="en-GB"/>
        </w:rPr>
        <w:t xml:space="preserve"> </w:t>
      </w:r>
      <w:r w:rsidRPr="00734F09">
        <w:rPr>
          <w:lang w:val="en-GB"/>
        </w:rPr>
        <w:t>additives,</w:t>
      </w:r>
      <w:r>
        <w:rPr>
          <w:lang w:val="en-GB"/>
        </w:rPr>
        <w:t xml:space="preserve"> </w:t>
      </w:r>
      <w:r w:rsidRPr="00734F09">
        <w:rPr>
          <w:lang w:val="en-GB"/>
        </w:rPr>
        <w:t xml:space="preserve">but only with the use of water as secondary fluid. </w:t>
      </w:r>
      <w:r w:rsidRPr="00585DE4">
        <w:rPr>
          <w:lang w:val="en-GB"/>
        </w:rPr>
        <w:t>The use of WM enables also t</w:t>
      </w:r>
      <w:r w:rsidR="00616B57">
        <w:rPr>
          <w:lang w:val="en-GB"/>
        </w:rPr>
        <w:t>he</w:t>
      </w:r>
      <w:r w:rsidRPr="00585DE4">
        <w:rPr>
          <w:lang w:val="en-GB"/>
        </w:rPr>
        <w:t xml:space="preserve"> </w:t>
      </w:r>
      <w:r w:rsidR="00616B57" w:rsidRPr="00585DE4">
        <w:rPr>
          <w:lang w:val="en-GB"/>
        </w:rPr>
        <w:t>reduc</w:t>
      </w:r>
      <w:r w:rsidR="00616B57">
        <w:rPr>
          <w:lang w:val="en-GB"/>
        </w:rPr>
        <w:t>tion</w:t>
      </w:r>
      <w:r w:rsidR="00616B57" w:rsidRPr="00585DE4">
        <w:rPr>
          <w:lang w:val="en-GB"/>
        </w:rPr>
        <w:t xml:space="preserve"> </w:t>
      </w:r>
      <w:r w:rsidR="00616B57">
        <w:rPr>
          <w:lang w:val="en-GB"/>
        </w:rPr>
        <w:t xml:space="preserve">of </w:t>
      </w:r>
      <w:r w:rsidRPr="00585DE4">
        <w:rPr>
          <w:lang w:val="en-GB"/>
        </w:rPr>
        <w:t xml:space="preserve">the caloric content of the oil, while sustainably valorizing an agri-food residue (AFR) of the wheat milling process, hence contributing to implementing the circular economy across the food chain. </w:t>
      </w:r>
      <w:r w:rsidR="00544FAA">
        <w:rPr>
          <w:lang w:val="en-GB"/>
        </w:rPr>
        <w:t>Moreover, the antioxidant content of WM could also contribute to slow</w:t>
      </w:r>
      <w:r w:rsidR="00616B57">
        <w:rPr>
          <w:lang w:val="en-GB"/>
        </w:rPr>
        <w:t>ing</w:t>
      </w:r>
      <w:r w:rsidR="00544FAA">
        <w:rPr>
          <w:lang w:val="en-GB"/>
        </w:rPr>
        <w:t xml:space="preserve"> down oil oxidation processes. T</w:t>
      </w:r>
      <w:r w:rsidRPr="00585DE4">
        <w:rPr>
          <w:lang w:val="en-GB"/>
        </w:rPr>
        <w:t>he use of pure cellulose</w:t>
      </w:r>
      <w:r w:rsidR="00544FAA">
        <w:rPr>
          <w:lang w:val="en-GB"/>
        </w:rPr>
        <w:t xml:space="preserve">, which is especially </w:t>
      </w:r>
      <w:r w:rsidRPr="00585DE4">
        <w:rPr>
          <w:lang w:val="en-GB"/>
        </w:rPr>
        <w:t>challeng</w:t>
      </w:r>
      <w:r w:rsidR="00544FAA">
        <w:rPr>
          <w:lang w:val="en-GB"/>
        </w:rPr>
        <w:t>ing</w:t>
      </w:r>
      <w:r w:rsidRPr="00585DE4">
        <w:rPr>
          <w:lang w:val="en-GB"/>
        </w:rPr>
        <w:t xml:space="preserve"> </w:t>
      </w:r>
      <w:r w:rsidR="00544FAA">
        <w:rPr>
          <w:lang w:val="en-GB"/>
        </w:rPr>
        <w:t xml:space="preserve">when considering the </w:t>
      </w:r>
      <w:r w:rsidRPr="00585DE4">
        <w:rPr>
          <w:lang w:val="en-GB"/>
        </w:rPr>
        <w:t>hydrophilic nature of the sugar monosaccharides building blocks</w:t>
      </w:r>
      <w:r w:rsidR="00544FAA">
        <w:rPr>
          <w:lang w:val="en-GB"/>
        </w:rPr>
        <w:t>,</w:t>
      </w:r>
      <w:r w:rsidRPr="00585DE4">
        <w:rPr>
          <w:lang w:val="en-GB"/>
        </w:rPr>
        <w:t xml:space="preserve"> enables the exploitation of </w:t>
      </w:r>
      <w:r w:rsidR="00544FAA">
        <w:rPr>
          <w:lang w:val="en-GB"/>
        </w:rPr>
        <w:t xml:space="preserve">a </w:t>
      </w:r>
      <w:r w:rsidRPr="00585DE4">
        <w:rPr>
          <w:lang w:val="en-GB"/>
        </w:rPr>
        <w:t>natural biopolymer with high biocompatibility, ecological acceptability, renewability, and low toxicity.</w:t>
      </w:r>
      <w:r>
        <w:rPr>
          <w:lang w:val="en-GB"/>
        </w:rPr>
        <w:t xml:space="preserve"> </w:t>
      </w:r>
      <w:r w:rsidR="00544FAA">
        <w:rPr>
          <w:lang w:val="en-GB"/>
        </w:rPr>
        <w:t xml:space="preserve">By advancing the understanding of the </w:t>
      </w:r>
      <w:r w:rsidRPr="00734F09">
        <w:rPr>
          <w:lang w:val="en-GB"/>
        </w:rPr>
        <w:t xml:space="preserve">mechanism of network formation of </w:t>
      </w:r>
      <w:r w:rsidR="00544FAA">
        <w:rPr>
          <w:lang w:val="en-GB"/>
        </w:rPr>
        <w:t xml:space="preserve">oil suspensions </w:t>
      </w:r>
      <w:r w:rsidRPr="00734F09">
        <w:rPr>
          <w:lang w:val="en-GB"/>
        </w:rPr>
        <w:t xml:space="preserve">using high-pressure homogenization (HPH), </w:t>
      </w:r>
      <w:r w:rsidR="00544FAA">
        <w:rPr>
          <w:lang w:val="en-GB"/>
        </w:rPr>
        <w:t xml:space="preserve">a </w:t>
      </w:r>
      <w:r w:rsidRPr="00734F09">
        <w:rPr>
          <w:lang w:val="en-GB"/>
        </w:rPr>
        <w:t xml:space="preserve">contribution </w:t>
      </w:r>
      <w:r w:rsidR="00544FAA">
        <w:rPr>
          <w:lang w:val="en-GB"/>
        </w:rPr>
        <w:t xml:space="preserve">will be given to developing new applications </w:t>
      </w:r>
      <w:r w:rsidRPr="00734F09">
        <w:rPr>
          <w:lang w:val="en-GB"/>
        </w:rPr>
        <w:t xml:space="preserve">in </w:t>
      </w:r>
      <w:r>
        <w:rPr>
          <w:lang w:val="en-GB"/>
        </w:rPr>
        <w:t>oil structuring.</w:t>
      </w:r>
    </w:p>
    <w:p w14:paraId="5741900F" w14:textId="751CDA32" w:rsidR="00453E24" w:rsidRDefault="00285BA3" w:rsidP="00453E24">
      <w:pPr>
        <w:pStyle w:val="CETHeading1"/>
      </w:pPr>
      <w:r w:rsidRPr="00285BA3">
        <w:t>Materials and methods</w:t>
      </w:r>
    </w:p>
    <w:p w14:paraId="0636B784" w14:textId="5333F0BD" w:rsidR="00453E24" w:rsidRDefault="004918BD" w:rsidP="009F6828">
      <w:pPr>
        <w:pStyle w:val="CETheadingx"/>
      </w:pPr>
      <w:r>
        <w:t>Raw materials</w:t>
      </w:r>
    </w:p>
    <w:p w14:paraId="7C2B0064" w14:textId="23BC702C" w:rsidR="00453E24" w:rsidRDefault="004918BD" w:rsidP="004918BD">
      <w:pPr>
        <w:pStyle w:val="CETBodytext"/>
      </w:pPr>
      <w:r>
        <w:t>W</w:t>
      </w:r>
      <w:r w:rsidRPr="004918BD">
        <w:t>heat middlings (WM)</w:t>
      </w:r>
      <w:r>
        <w:t xml:space="preserve"> was kindly supplied by</w:t>
      </w:r>
      <w:r w:rsidRPr="004918BD">
        <w:t xml:space="preserve"> a local milling industry (Albanella</w:t>
      </w:r>
      <w:r>
        <w:t>, Salerno</w:t>
      </w:r>
      <w:r w:rsidRPr="004918BD">
        <w:t>, Italy), and stored at room temperature until used.</w:t>
      </w:r>
      <w:r w:rsidR="00544FAA">
        <w:t xml:space="preserve"> </w:t>
      </w:r>
      <w:r>
        <w:t>Commercial cellulose</w:t>
      </w:r>
      <w:r w:rsidR="00585DE4">
        <w:t xml:space="preserve"> (CL)</w:t>
      </w:r>
      <w:r>
        <w:t xml:space="preserve"> Arbocel® BWW40, with a declared average length of the cellulose fibers of 200 </w:t>
      </w:r>
      <w:r>
        <w:rPr>
          <w:rFonts w:cs="Arial"/>
        </w:rPr>
        <w:t>µ</w:t>
      </w:r>
      <w:r>
        <w:t>m, was kindly supplied by Rettenmaier Italia (Brescia, Italy).</w:t>
      </w:r>
      <w:r w:rsidR="00544FAA">
        <w:t xml:space="preserve"> </w:t>
      </w:r>
      <w:r>
        <w:t xml:space="preserve">Sunflower oil was purchased from a local market (Olio di Semi di Girasole Basso, San Michele di Serino (AV), Italy). Its composition (on </w:t>
      </w:r>
      <w:r w:rsidR="00616B57">
        <w:t xml:space="preserve">a </w:t>
      </w:r>
      <w:r>
        <w:t>weight basis) comprises 10.3% wt of saturated fatty acids, 19.5% wt of monounsaturated fatty acids, and 65.7% wt of polyunsaturated fatty acids.</w:t>
      </w:r>
      <w:r w:rsidR="00544FAA">
        <w:t xml:space="preserve"> </w:t>
      </w:r>
      <w:r>
        <w:t xml:space="preserve">All water used throughout this work was purified by </w:t>
      </w:r>
      <w:r w:rsidR="00616B57">
        <w:t xml:space="preserve">the </w:t>
      </w:r>
      <w:r>
        <w:t>Milli-Q water purification system (Barnstead™ Pacific TII Water, Thermo Scientific, Waltham, MA, USA).</w:t>
      </w:r>
    </w:p>
    <w:p w14:paraId="18BAFA6F" w14:textId="65E9A047" w:rsidR="00453E24" w:rsidRPr="00B57B36" w:rsidRDefault="00544FAA" w:rsidP="009F6828">
      <w:pPr>
        <w:pStyle w:val="CETheadingx"/>
      </w:pPr>
      <w:r>
        <w:t>Formulation of o</w:t>
      </w:r>
      <w:r w:rsidR="004918BD">
        <w:t>il</w:t>
      </w:r>
      <w:r w:rsidR="004918BD" w:rsidRPr="004918BD">
        <w:t xml:space="preserve"> </w:t>
      </w:r>
      <w:r w:rsidR="009F6828">
        <w:t>suspension</w:t>
      </w:r>
      <w:r w:rsidR="004918BD" w:rsidRPr="004918BD">
        <w:t>s</w:t>
      </w:r>
    </w:p>
    <w:p w14:paraId="5436D977" w14:textId="38B65A7D" w:rsidR="00453E24" w:rsidRDefault="004918BD" w:rsidP="00285BA3">
      <w:pPr>
        <w:pStyle w:val="Paragrafoelenco"/>
        <w:ind w:left="0"/>
        <w:rPr>
          <w:szCs w:val="24"/>
        </w:rPr>
      </w:pPr>
      <w:r w:rsidRPr="004918BD">
        <w:rPr>
          <w:szCs w:val="24"/>
        </w:rPr>
        <w:t xml:space="preserve">WM </w:t>
      </w:r>
      <w:r w:rsidR="00444E8E" w:rsidRPr="004918BD">
        <w:rPr>
          <w:szCs w:val="24"/>
        </w:rPr>
        <w:t>w</w:t>
      </w:r>
      <w:r w:rsidR="00444E8E">
        <w:rPr>
          <w:szCs w:val="24"/>
        </w:rPr>
        <w:t>as</w:t>
      </w:r>
      <w:r w:rsidR="00444E8E" w:rsidRPr="004918BD">
        <w:rPr>
          <w:szCs w:val="24"/>
        </w:rPr>
        <w:t xml:space="preserve"> </w:t>
      </w:r>
      <w:r w:rsidR="00444E8E">
        <w:rPr>
          <w:szCs w:val="24"/>
        </w:rPr>
        <w:t>suspen</w:t>
      </w:r>
      <w:r w:rsidR="00624707">
        <w:rPr>
          <w:szCs w:val="24"/>
        </w:rPr>
        <w:t>d</w:t>
      </w:r>
      <w:r w:rsidR="00444E8E">
        <w:rPr>
          <w:szCs w:val="24"/>
        </w:rPr>
        <w:t>ed</w:t>
      </w:r>
      <w:r w:rsidR="00444E8E" w:rsidRPr="004918BD">
        <w:rPr>
          <w:szCs w:val="24"/>
        </w:rPr>
        <w:t xml:space="preserve"> in sunflower oil at </w:t>
      </w:r>
      <w:r w:rsidR="00444E8E">
        <w:rPr>
          <w:szCs w:val="24"/>
        </w:rPr>
        <w:t>30</w:t>
      </w:r>
      <w:r w:rsidR="00444E8E" w:rsidRPr="004918BD">
        <w:rPr>
          <w:szCs w:val="24"/>
        </w:rPr>
        <w:t>% w/</w:t>
      </w:r>
      <w:r w:rsidR="00444E8E">
        <w:rPr>
          <w:szCs w:val="24"/>
        </w:rPr>
        <w:t xml:space="preserve">w </w:t>
      </w:r>
      <w:r>
        <w:rPr>
          <w:szCs w:val="24"/>
        </w:rPr>
        <w:t xml:space="preserve">and cellulose </w:t>
      </w:r>
      <w:r w:rsidR="00FB5EAE">
        <w:rPr>
          <w:szCs w:val="24"/>
        </w:rPr>
        <w:t xml:space="preserve">fibers </w:t>
      </w:r>
      <w:r w:rsidR="00444E8E">
        <w:rPr>
          <w:szCs w:val="24"/>
        </w:rPr>
        <w:t>at</w:t>
      </w:r>
      <w:r w:rsidR="00F035D4">
        <w:rPr>
          <w:szCs w:val="24"/>
        </w:rPr>
        <w:t xml:space="preserve"> 5%, </w:t>
      </w:r>
      <w:r w:rsidR="00444E8E">
        <w:rPr>
          <w:szCs w:val="24"/>
        </w:rPr>
        <w:t>which correspond to the cellulose content in WM particles</w:t>
      </w:r>
      <w:r w:rsidR="00FB5EAE">
        <w:rPr>
          <w:szCs w:val="24"/>
        </w:rPr>
        <w:t xml:space="preserve"> (data not shown)</w:t>
      </w:r>
      <w:r w:rsidR="00444E8E">
        <w:rPr>
          <w:szCs w:val="24"/>
        </w:rPr>
        <w:t xml:space="preserve">. </w:t>
      </w:r>
      <w:r w:rsidR="00FB5EAE">
        <w:rPr>
          <w:szCs w:val="24"/>
        </w:rPr>
        <w:t xml:space="preserve">The </w:t>
      </w:r>
      <w:r w:rsidR="00444E8E">
        <w:rPr>
          <w:szCs w:val="24"/>
        </w:rPr>
        <w:t>solid particles were firstly dispersed</w:t>
      </w:r>
      <w:r w:rsidR="00E6131F">
        <w:rPr>
          <w:szCs w:val="24"/>
        </w:rPr>
        <w:t xml:space="preserve"> </w:t>
      </w:r>
      <w:r w:rsidRPr="004918BD">
        <w:rPr>
          <w:szCs w:val="24"/>
        </w:rPr>
        <w:t xml:space="preserve">using a high-shear mixer (HSM) (Ultra Turrax T25, IKA Labortechnik, Germany) at 20,000 rpm for 5 min within an ice bath. The obtained suspensions were then subjected to high-pressure homogenization (HPH) treatment </w:t>
      </w:r>
      <w:r>
        <w:rPr>
          <w:szCs w:val="24"/>
        </w:rPr>
        <w:t>(</w:t>
      </w:r>
      <w:r w:rsidRPr="004918BD">
        <w:rPr>
          <w:szCs w:val="24"/>
        </w:rPr>
        <w:t xml:space="preserve">80 MPa for </w:t>
      </w:r>
      <w:r w:rsidR="007C740B">
        <w:rPr>
          <w:szCs w:val="24"/>
        </w:rPr>
        <w:t>2</w:t>
      </w:r>
      <w:r w:rsidRPr="004918BD">
        <w:rPr>
          <w:szCs w:val="24"/>
        </w:rPr>
        <w:t xml:space="preserve">0 </w:t>
      </w:r>
      <w:r w:rsidR="007C740B">
        <w:rPr>
          <w:szCs w:val="24"/>
        </w:rPr>
        <w:t>equivalent passes</w:t>
      </w:r>
      <w:r>
        <w:rPr>
          <w:szCs w:val="24"/>
        </w:rPr>
        <w:t>)</w:t>
      </w:r>
      <w:r w:rsidRPr="004918BD">
        <w:rPr>
          <w:szCs w:val="24"/>
        </w:rPr>
        <w:t xml:space="preserve"> using an in-house developed system, using cooling water at 10 °C.</w:t>
      </w:r>
    </w:p>
    <w:p w14:paraId="6158EFA4" w14:textId="3749CB9F" w:rsidR="00285BA3" w:rsidRDefault="004918BD" w:rsidP="009F6828">
      <w:pPr>
        <w:pStyle w:val="CETheadingx"/>
      </w:pPr>
      <w:r>
        <w:t xml:space="preserve">Characterization of oil </w:t>
      </w:r>
      <w:r w:rsidR="009F6828">
        <w:t>suspension</w:t>
      </w:r>
      <w:r w:rsidR="00C461B2">
        <w:t>s</w:t>
      </w:r>
    </w:p>
    <w:p w14:paraId="2659E2A7" w14:textId="58F61252" w:rsidR="00285BA3" w:rsidRDefault="004918BD" w:rsidP="00285BA3">
      <w:pPr>
        <w:pStyle w:val="Paragrafoelenco"/>
        <w:ind w:left="0"/>
      </w:pPr>
      <w:r w:rsidRPr="004918BD">
        <w:t xml:space="preserve">The particle size distribution of the samples micronized in oil by HSM or HPH was measured by laser diffraction using a Malvern Mastersizer 2000 (Malvern Instruments Ltd., UK). </w:t>
      </w:r>
      <w:r w:rsidR="007C740B">
        <w:t xml:space="preserve">The </w:t>
      </w:r>
      <w:r w:rsidR="007C740B" w:rsidRPr="007C740B">
        <w:t xml:space="preserve">oil phase of oil dispersions was substituted by water by washing </w:t>
      </w:r>
      <w:r w:rsidR="007C740B">
        <w:t xml:space="preserve">them </w:t>
      </w:r>
      <w:r w:rsidR="007C740B" w:rsidRPr="007C740B">
        <w:t xml:space="preserve">three times with saponin from quillaja bark (Sigma-Aldrich, St. Louis, MO, USA)) at 0.5% w/v in water, followed by centrifugation at </w:t>
      </w:r>
      <w:r w:rsidR="007C740B">
        <w:t xml:space="preserve">6,500 rpm. </w:t>
      </w:r>
      <w:r>
        <w:t>T</w:t>
      </w:r>
      <w:r w:rsidRPr="004918BD">
        <w:t>he diameters corresponding to the 10</w:t>
      </w:r>
      <w:r w:rsidRPr="007C740B">
        <w:rPr>
          <w:vertAlign w:val="superscript"/>
        </w:rPr>
        <w:t>th</w:t>
      </w:r>
      <w:r w:rsidRPr="004918BD">
        <w:t>, 50</w:t>
      </w:r>
      <w:r w:rsidRPr="007C740B">
        <w:rPr>
          <w:vertAlign w:val="superscript"/>
        </w:rPr>
        <w:t>th</w:t>
      </w:r>
      <w:r w:rsidR="00616B57">
        <w:t>,</w:t>
      </w:r>
      <w:r w:rsidRPr="004918BD">
        <w:t xml:space="preserve"> and 90</w:t>
      </w:r>
      <w:r w:rsidRPr="007C740B">
        <w:rPr>
          <w:vertAlign w:val="superscript"/>
        </w:rPr>
        <w:t>th</w:t>
      </w:r>
      <w:r w:rsidRPr="004918BD">
        <w:t xml:space="preserve"> percentile of the cumulative distribution</w:t>
      </w:r>
      <w:r w:rsidR="00616B57">
        <w:t xml:space="preserve"> (d(0.1), d(0.5), and d(0.9)</w:t>
      </w:r>
      <w:r w:rsidR="00FB5EAE">
        <w:t>, respectively)</w:t>
      </w:r>
      <w:r w:rsidRPr="004918BD">
        <w:t>, the volume-based and surface-based mean diameter (D[4,3]</w:t>
      </w:r>
      <w:r>
        <w:t xml:space="preserve"> and </w:t>
      </w:r>
      <w:r w:rsidRPr="004918BD">
        <w:t>D[3,2]</w:t>
      </w:r>
      <w:r>
        <w:t>, respectively</w:t>
      </w:r>
      <w:r w:rsidRPr="004918BD">
        <w:t xml:space="preserve">), were calculated as previously </w:t>
      </w:r>
      <w:r w:rsidRPr="005065C2">
        <w:t>described (Pirozzi et al., 2021). The</w:t>
      </w:r>
      <w:r w:rsidRPr="004918BD">
        <w:t xml:space="preserve"> mean value of three replicates was determined.</w:t>
      </w:r>
    </w:p>
    <w:p w14:paraId="017B04FA" w14:textId="38D8CD69" w:rsidR="003B09C4" w:rsidRDefault="00C461B2" w:rsidP="009F6828">
      <w:pPr>
        <w:pStyle w:val="CETheadingx"/>
      </w:pPr>
      <w:r>
        <w:t>C</w:t>
      </w:r>
      <w:r w:rsidRPr="00C461B2">
        <w:t xml:space="preserve">apillary suspensions </w:t>
      </w:r>
      <w:r>
        <w:t>formulation</w:t>
      </w:r>
    </w:p>
    <w:p w14:paraId="6644550E" w14:textId="251568B5" w:rsidR="003B09C4" w:rsidRDefault="00F035D4" w:rsidP="003B09C4">
      <w:pPr>
        <w:pStyle w:val="Paragrafoelenco"/>
        <w:ind w:left="0"/>
      </w:pPr>
      <w:r w:rsidRPr="00F035D4">
        <w:t xml:space="preserve">The capillary suspensions were obtained by adding a secondary fluid </w:t>
      </w:r>
      <w:r>
        <w:t>(</w:t>
      </w:r>
      <w:r w:rsidRPr="00F035D4">
        <w:t>distilled water</w:t>
      </w:r>
      <w:r>
        <w:t>)</w:t>
      </w:r>
      <w:r w:rsidRPr="00F035D4">
        <w:t xml:space="preserve"> at 0.</w:t>
      </w:r>
      <w:r w:rsidR="005641BC">
        <w:t>0</w:t>
      </w:r>
      <w:r>
        <w:t>5, 0.</w:t>
      </w:r>
      <w:r w:rsidR="005641BC">
        <w:t>3</w:t>
      </w:r>
      <w:r>
        <w:t>0</w:t>
      </w:r>
      <w:r w:rsidR="00616B57">
        <w:t>,</w:t>
      </w:r>
      <w:r>
        <w:t xml:space="preserve"> and</w:t>
      </w:r>
      <w:r w:rsidRPr="00F035D4">
        <w:t xml:space="preserve"> 0.</w:t>
      </w:r>
      <w:r w:rsidR="005641BC">
        <w:t>5</w:t>
      </w:r>
      <w:r w:rsidRPr="00F035D4">
        <w:t xml:space="preserve">0 </w:t>
      </w:r>
      <w:r>
        <w:t xml:space="preserve">values of </w:t>
      </w:r>
      <w:r w:rsidRPr="00F035D4">
        <w:t>saturation ratio S</w:t>
      </w:r>
      <w:r>
        <w:t>R</w:t>
      </w:r>
      <w:r w:rsidRPr="00F035D4">
        <w:t xml:space="preserve"> (Equation </w:t>
      </w:r>
      <w:r>
        <w:t>1</w:t>
      </w:r>
      <w:r w:rsidRPr="00F035D4">
        <w:t xml:space="preserve">) to the HPH-treated oil </w:t>
      </w:r>
      <w:r w:rsidR="00624707">
        <w:t xml:space="preserve">suspensions </w:t>
      </w:r>
      <w:r w:rsidRPr="00F035D4">
        <w:t xml:space="preserve">under HSM </w:t>
      </w:r>
      <w:r>
        <w:t>(</w:t>
      </w:r>
      <w:r w:rsidRPr="00F035D4">
        <w:t>20,000 rpm for 10 min</w:t>
      </w:r>
      <w:r>
        <w:t>)</w:t>
      </w:r>
      <w:r w:rsidRPr="00F035D4">
        <w:t xml:space="preserve"> within an </w:t>
      </w:r>
      <w:r w:rsidRPr="00585DE4">
        <w:t>ice bath (Bossler et al., 2017).</w:t>
      </w:r>
    </w:p>
    <w:tbl>
      <w:tblPr>
        <w:tblW w:w="5000" w:type="pct"/>
        <w:tblLook w:val="04A0" w:firstRow="1" w:lastRow="0" w:firstColumn="1" w:lastColumn="0" w:noHBand="0" w:noVBand="1"/>
      </w:tblPr>
      <w:tblGrid>
        <w:gridCol w:w="7984"/>
        <w:gridCol w:w="803"/>
      </w:tblGrid>
      <w:tr w:rsidR="00F035D4" w:rsidRPr="00B57B36" w14:paraId="0CD17DFF" w14:textId="77777777" w:rsidTr="00F035D4">
        <w:tc>
          <w:tcPr>
            <w:tcW w:w="7984" w:type="dxa"/>
            <w:shd w:val="clear" w:color="auto" w:fill="auto"/>
            <w:vAlign w:val="center"/>
          </w:tcPr>
          <w:p w14:paraId="3FD2B090" w14:textId="4FB51054" w:rsidR="00F035D4" w:rsidRPr="007030F2" w:rsidRDefault="00F035D4" w:rsidP="009C4FB2">
            <w:pPr>
              <w:pStyle w:val="CETEquation"/>
              <w:rPr>
                <w:szCs w:val="18"/>
              </w:rPr>
            </w:pPr>
            <m:oMathPara>
              <m:oMath>
                <m:r>
                  <m:rPr>
                    <m:sty m:val="p"/>
                  </m:rPr>
                  <w:rPr>
                    <w:rFonts w:ascii="Cambria Math" w:hAnsi="Cambria Math"/>
                    <w:szCs w:val="18"/>
                  </w:rPr>
                  <m:t>SR=</m:t>
                </m:r>
                <m:f>
                  <m:fPr>
                    <m:ctrlPr>
                      <w:rPr>
                        <w:rFonts w:ascii="Cambria Math" w:hAnsi="Cambria Math"/>
                        <w:szCs w:val="18"/>
                      </w:rPr>
                    </m:ctrlPr>
                  </m:fPr>
                  <m:num>
                    <m:sSub>
                      <m:sSubPr>
                        <m:ctrlPr>
                          <w:rPr>
                            <w:rFonts w:ascii="Cambria Math" w:hAnsi="Cambria Math"/>
                            <w:i/>
                            <w:iCs/>
                            <w:szCs w:val="18"/>
                          </w:rPr>
                        </m:ctrlPr>
                      </m:sSubPr>
                      <m:e>
                        <m:r>
                          <w:rPr>
                            <w:rFonts w:ascii="Cambria Math" w:hAnsi="Cambria Math"/>
                            <w:szCs w:val="18"/>
                          </w:rPr>
                          <m:t>V</m:t>
                        </m:r>
                      </m:e>
                      <m:sub>
                        <m:r>
                          <w:rPr>
                            <w:rFonts w:ascii="Cambria Math" w:hAnsi="Cambria Math"/>
                            <w:szCs w:val="18"/>
                          </w:rPr>
                          <m:t>water</m:t>
                        </m:r>
                      </m:sub>
                    </m:sSub>
                  </m:num>
                  <m:den>
                    <m:sSub>
                      <m:sSubPr>
                        <m:ctrlPr>
                          <w:rPr>
                            <w:rFonts w:ascii="Cambria Math" w:hAnsi="Cambria Math"/>
                            <w:i/>
                            <w:szCs w:val="18"/>
                          </w:rPr>
                        </m:ctrlPr>
                      </m:sSubPr>
                      <m:e>
                        <m:r>
                          <w:rPr>
                            <w:rFonts w:ascii="Cambria Math" w:hAnsi="Cambria Math"/>
                            <w:szCs w:val="18"/>
                          </w:rPr>
                          <m:t>V</m:t>
                        </m:r>
                      </m:e>
                      <m:sub>
                        <m:r>
                          <w:rPr>
                            <w:rFonts w:ascii="Cambria Math" w:hAnsi="Cambria Math"/>
                            <w:szCs w:val="18"/>
                          </w:rPr>
                          <m:t>oil</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V</m:t>
                        </m:r>
                      </m:e>
                      <m:sub>
                        <m:r>
                          <w:rPr>
                            <w:rFonts w:ascii="Cambria Math" w:hAnsi="Cambria Math"/>
                            <w:szCs w:val="18"/>
                          </w:rPr>
                          <m:t>water</m:t>
                        </m:r>
                      </m:sub>
                    </m:sSub>
                  </m:den>
                </m:f>
              </m:oMath>
            </m:oMathPara>
          </w:p>
        </w:tc>
        <w:tc>
          <w:tcPr>
            <w:tcW w:w="803" w:type="dxa"/>
            <w:shd w:val="clear" w:color="auto" w:fill="auto"/>
            <w:vAlign w:val="center"/>
          </w:tcPr>
          <w:p w14:paraId="10CC687F" w14:textId="77777777" w:rsidR="00F035D4" w:rsidRPr="00B57B36" w:rsidRDefault="00F035D4" w:rsidP="009C4FB2">
            <w:pPr>
              <w:pStyle w:val="CETEquation"/>
              <w:jc w:val="right"/>
            </w:pPr>
            <w:r w:rsidRPr="00B57B36">
              <w:t>(1)</w:t>
            </w:r>
          </w:p>
        </w:tc>
      </w:tr>
    </w:tbl>
    <w:p w14:paraId="75AC8BC4" w14:textId="743F9AD7" w:rsidR="00F035D4" w:rsidRDefault="00F035D4" w:rsidP="009F6828">
      <w:pPr>
        <w:pStyle w:val="CETheadingx"/>
      </w:pPr>
      <w:r>
        <w:t>C</w:t>
      </w:r>
      <w:r w:rsidRPr="00C461B2">
        <w:t xml:space="preserve">apillary suspensions </w:t>
      </w:r>
      <w:r>
        <w:t>characterization</w:t>
      </w:r>
    </w:p>
    <w:p w14:paraId="708D1441" w14:textId="5BDE6010" w:rsidR="007B676B" w:rsidRDefault="007B676B" w:rsidP="003B09C4">
      <w:pPr>
        <w:pStyle w:val="Paragrafoelenco"/>
        <w:ind w:left="0"/>
      </w:pPr>
      <w:r w:rsidRPr="007B676B">
        <w:t xml:space="preserve">The </w:t>
      </w:r>
      <w:r w:rsidR="00FB5EAE">
        <w:t xml:space="preserve">suspension </w:t>
      </w:r>
      <w:r w:rsidR="00FB5EAE" w:rsidRPr="007B676B">
        <w:t>morpholog</w:t>
      </w:r>
      <w:r w:rsidR="00FB5EAE">
        <w:t>ies</w:t>
      </w:r>
      <w:r w:rsidR="00FB5EAE" w:rsidRPr="007B676B">
        <w:t xml:space="preserve"> w</w:t>
      </w:r>
      <w:r w:rsidR="00FB5EAE">
        <w:t>ere</w:t>
      </w:r>
      <w:r w:rsidR="00FB5EAE" w:rsidRPr="007B676B">
        <w:t xml:space="preserve"> </w:t>
      </w:r>
      <w:r w:rsidRPr="007B676B">
        <w:t xml:space="preserve">observed with an optical microscope (Nikon Eclipse TE 2000S, Nikon </w:t>
      </w:r>
      <w:r w:rsidR="00616B57">
        <w:t>I</w:t>
      </w:r>
      <w:r w:rsidR="00616B57" w:rsidRPr="007B676B">
        <w:t xml:space="preserve">nstruments </w:t>
      </w:r>
      <w:r w:rsidRPr="007B676B">
        <w:t>Europe B.V., Amsterdam, The Netherlands), coupled to a DS Camera Control Unit (DS-5M-L1, Nikon Instruments Europe B.V, Amsterdam, The Netherlands) for image acquisition and analysis.</w:t>
      </w:r>
    </w:p>
    <w:p w14:paraId="1CC4AAA1" w14:textId="255E2792" w:rsidR="00F035D4" w:rsidRDefault="00F035D4" w:rsidP="003B09C4">
      <w:pPr>
        <w:pStyle w:val="Paragrafoelenco"/>
        <w:ind w:left="0"/>
      </w:pPr>
      <w:r w:rsidRPr="00F035D4">
        <w:t xml:space="preserve">Rheological </w:t>
      </w:r>
      <w:r w:rsidR="00FB5EAE">
        <w:t xml:space="preserve">analyses </w:t>
      </w:r>
      <w:r>
        <w:t>of capillary suspensions</w:t>
      </w:r>
      <w:r w:rsidRPr="00F035D4">
        <w:t xml:space="preserve"> </w:t>
      </w:r>
      <w:r w:rsidR="00FB5EAE" w:rsidRPr="00F035D4">
        <w:t>w</w:t>
      </w:r>
      <w:r w:rsidR="00FB5EAE">
        <w:t>ere</w:t>
      </w:r>
      <w:r w:rsidR="00FB5EAE" w:rsidRPr="00F035D4">
        <w:t xml:space="preserve"> </w:t>
      </w:r>
      <w:r w:rsidRPr="00F035D4">
        <w:t>performed in a rotational rheometer (AR 2000 rheometer, TA instruments, Newcastle, DE, USA), equipped with a concentric cylinder (15 mm stator inner diameter, 28 mm rotor outer diameter, 42 mm cylinder immersed height, 2° cone angle) and plate-cone geometry (40 mm diameter, 2° cone angle and 1 mm fixed gap width). The apparent yield stress</w:t>
      </w:r>
      <w:r>
        <w:t xml:space="preserve"> </w:t>
      </w:r>
      <w:r w:rsidRPr="00F035D4">
        <w:t>was evaluated using a shear rate ramping. Flow curves were obtained by continuously varying the shear rate from 0.1 s</w:t>
      </w:r>
      <w:r w:rsidRPr="00243F37">
        <w:rPr>
          <w:vertAlign w:val="superscript"/>
        </w:rPr>
        <w:t>-1</w:t>
      </w:r>
      <w:r w:rsidRPr="00F035D4">
        <w:t xml:space="preserve"> up to a rate of 200 s</w:t>
      </w:r>
      <w:r w:rsidRPr="00F035D4">
        <w:rPr>
          <w:vertAlign w:val="superscript"/>
        </w:rPr>
        <w:t>-1</w:t>
      </w:r>
      <w:r w:rsidRPr="00F035D4">
        <w:t xml:space="preserve"> at 20 °C. Measurements were repeated five times on two independently prepared samples and </w:t>
      </w:r>
      <w:r w:rsidR="009F6828">
        <w:t>we</w:t>
      </w:r>
      <w:r w:rsidR="009F6828" w:rsidRPr="00F035D4">
        <w:t xml:space="preserve">re </w:t>
      </w:r>
      <w:r w:rsidRPr="00F035D4">
        <w:t>reported as means ± standard deviations for apparent yield stress.</w:t>
      </w:r>
    </w:p>
    <w:p w14:paraId="4194F936" w14:textId="2EB854ED" w:rsidR="00585DE4" w:rsidRDefault="00585DE4" w:rsidP="009F6828">
      <w:pPr>
        <w:pStyle w:val="CETheadingx"/>
      </w:pPr>
      <w:r w:rsidRPr="00585DE4">
        <w:t>Acceler</w:t>
      </w:r>
      <w:r w:rsidR="009F6828">
        <w:t>a</w:t>
      </w:r>
      <w:r w:rsidRPr="00585DE4">
        <w:t xml:space="preserve">ted </w:t>
      </w:r>
      <w:r w:rsidR="009F6828">
        <w:t xml:space="preserve">oxidation </w:t>
      </w:r>
      <w:r w:rsidRPr="00585DE4">
        <w:t>stability test</w:t>
      </w:r>
    </w:p>
    <w:p w14:paraId="7C6ECBFF" w14:textId="6F5B93BA" w:rsidR="00585DE4" w:rsidRPr="00F035D4" w:rsidRDefault="00585DE4" w:rsidP="00585DE4">
      <w:pPr>
        <w:pStyle w:val="Paragrafoelenco"/>
        <w:ind w:left="0"/>
      </w:pPr>
      <w:r w:rsidRPr="00585DE4">
        <w:t>The primary oxidation compounds analysis is always carried out by the peroxide value (PV) to assess the quality of oil</w:t>
      </w:r>
      <w:r>
        <w:t xml:space="preserve"> at its stability</w:t>
      </w:r>
      <w:r w:rsidRPr="00585DE4">
        <w:t xml:space="preserve">. </w:t>
      </w:r>
      <w:r>
        <w:t xml:space="preserve">For </w:t>
      </w:r>
      <w:r w:rsidR="00616B57">
        <w:t xml:space="preserve">the </w:t>
      </w:r>
      <w:r w:rsidRPr="00585DE4">
        <w:t>Schaal oven accelerated stability test</w:t>
      </w:r>
      <w:r w:rsidR="00CD0442">
        <w:t>,</w:t>
      </w:r>
      <w:r w:rsidRPr="00585DE4">
        <w:t xml:space="preserve"> approximately 1 g of each sample </w:t>
      </w:r>
      <w:r>
        <w:t xml:space="preserve">was put </w:t>
      </w:r>
      <w:r w:rsidRPr="00585DE4">
        <w:t xml:space="preserve">in vials and </w:t>
      </w:r>
      <w:r>
        <w:t>stored</w:t>
      </w:r>
      <w:r w:rsidRPr="00585DE4">
        <w:t xml:space="preserve"> in </w:t>
      </w:r>
      <w:r w:rsidR="00616B57">
        <w:t xml:space="preserve">an </w:t>
      </w:r>
      <w:r w:rsidRPr="00585DE4">
        <w:t xml:space="preserve">oven at 65 ± 2 °C in absence of light </w:t>
      </w:r>
      <w:r w:rsidR="00413D34">
        <w:t>after 15-days of</w:t>
      </w:r>
      <w:r w:rsidRPr="00585DE4">
        <w:t xml:space="preserve"> storage </w:t>
      </w:r>
      <w:r w:rsidR="00EE1445">
        <w:t>(</w:t>
      </w:r>
      <w:r w:rsidR="00EE1445" w:rsidRPr="00EE1445">
        <w:t>Lužaić et al.</w:t>
      </w:r>
      <w:r w:rsidR="00EE1445">
        <w:t>,</w:t>
      </w:r>
      <w:r w:rsidR="00EE1445" w:rsidRPr="00EE1445">
        <w:t xml:space="preserve"> 2022)</w:t>
      </w:r>
      <w:r w:rsidRPr="00585DE4">
        <w:t>.</w:t>
      </w:r>
      <w:r>
        <w:t xml:space="preserve"> </w:t>
      </w:r>
      <w:r w:rsidRPr="00585DE4">
        <w:t>The P</w:t>
      </w:r>
      <w:r>
        <w:t>V</w:t>
      </w:r>
      <w:r w:rsidRPr="00585DE4">
        <w:t xml:space="preserve"> value was determined iodometrically (visually) with a starch indicator and a sodium thiosulfate standard solution according to ISO 3960:2007 (International Organization for Standardization)</w:t>
      </w:r>
      <w:r>
        <w:t>.</w:t>
      </w:r>
    </w:p>
    <w:p w14:paraId="25002565" w14:textId="374C1499" w:rsidR="003B09C4" w:rsidRDefault="003B09C4" w:rsidP="009F6828">
      <w:pPr>
        <w:pStyle w:val="CETheadingx"/>
      </w:pPr>
      <w:r w:rsidRPr="003B09C4">
        <w:t>Statistical analysis</w:t>
      </w:r>
    </w:p>
    <w:p w14:paraId="10CB99AC" w14:textId="16D36DF4" w:rsidR="003B09C4" w:rsidRPr="003B09C4" w:rsidRDefault="00E6131F" w:rsidP="003B09C4">
      <w:pPr>
        <w:pStyle w:val="CETBodytext"/>
        <w:rPr>
          <w:rFonts w:cs="Arial"/>
          <w:szCs w:val="18"/>
          <w:lang w:val="en-GB"/>
        </w:rPr>
      </w:pPr>
      <w:r w:rsidRPr="00E6131F">
        <w:rPr>
          <w:rFonts w:cs="Arial"/>
          <w:szCs w:val="18"/>
          <w:lang w:val="en-GB"/>
        </w:rPr>
        <w:t xml:space="preserve">All experiments and </w:t>
      </w:r>
      <w:r w:rsidR="00616B57" w:rsidRPr="00E6131F">
        <w:rPr>
          <w:rFonts w:cs="Arial"/>
          <w:szCs w:val="18"/>
          <w:lang w:val="en-GB"/>
        </w:rPr>
        <w:t>analys</w:t>
      </w:r>
      <w:r w:rsidR="00616B57">
        <w:rPr>
          <w:rFonts w:cs="Arial"/>
          <w:szCs w:val="18"/>
          <w:lang w:val="en-GB"/>
        </w:rPr>
        <w:t>e</w:t>
      </w:r>
      <w:r w:rsidR="00616B57" w:rsidRPr="00E6131F">
        <w:rPr>
          <w:rFonts w:cs="Arial"/>
          <w:szCs w:val="18"/>
          <w:lang w:val="en-GB"/>
        </w:rPr>
        <w:t xml:space="preserve">s </w:t>
      </w:r>
      <w:r w:rsidRPr="00E6131F">
        <w:rPr>
          <w:rFonts w:cs="Arial"/>
          <w:szCs w:val="18"/>
          <w:lang w:val="en-GB"/>
        </w:rPr>
        <w:t xml:space="preserve">were performed in triplicate </w:t>
      </w:r>
      <w:r w:rsidR="003B09C4" w:rsidRPr="008F7E4A">
        <w:rPr>
          <w:rFonts w:cs="Arial"/>
          <w:szCs w:val="18"/>
          <w:lang w:val="en-GB"/>
        </w:rPr>
        <w:t xml:space="preserve">unless differently specified and the results were reported as means </w:t>
      </w:r>
      <w:r w:rsidR="003B09C4">
        <w:rPr>
          <w:rFonts w:cs="Arial"/>
          <w:szCs w:val="18"/>
          <w:lang w:val="en-GB"/>
        </w:rPr>
        <w:t>±</w:t>
      </w:r>
      <w:r w:rsidR="003B09C4" w:rsidRPr="008F7E4A">
        <w:rPr>
          <w:rFonts w:cs="Arial"/>
          <w:szCs w:val="18"/>
          <w:lang w:val="en-GB"/>
        </w:rPr>
        <w:t xml:space="preserve"> s</w:t>
      </w:r>
      <w:r w:rsidR="003B09C4">
        <w:rPr>
          <w:rFonts w:cs="Arial"/>
          <w:szCs w:val="18"/>
          <w:lang w:val="en-GB"/>
        </w:rPr>
        <w:t xml:space="preserve">tandard </w:t>
      </w:r>
      <w:r w:rsidR="003B09C4" w:rsidRPr="008F7E4A">
        <w:rPr>
          <w:rFonts w:cs="Arial"/>
          <w:szCs w:val="18"/>
          <w:lang w:val="en-GB"/>
        </w:rPr>
        <w:t>d</w:t>
      </w:r>
      <w:r w:rsidR="003B09C4">
        <w:rPr>
          <w:rFonts w:cs="Arial"/>
          <w:szCs w:val="18"/>
          <w:lang w:val="en-GB"/>
        </w:rPr>
        <w:t>eviations</w:t>
      </w:r>
      <w:r w:rsidR="003B09C4" w:rsidRPr="008F7E4A">
        <w:rPr>
          <w:rFonts w:cs="Arial"/>
          <w:szCs w:val="18"/>
          <w:lang w:val="en-GB"/>
        </w:rPr>
        <w:t xml:space="preserve">. </w:t>
      </w:r>
      <w:r w:rsidRPr="00E6131F">
        <w:rPr>
          <w:rFonts w:cs="Arial"/>
          <w:szCs w:val="18"/>
          <w:lang w:val="en-GB"/>
        </w:rPr>
        <w:t xml:space="preserve">Statistically significant differences </w:t>
      </w:r>
      <w:r w:rsidR="003B09C4" w:rsidRPr="008F7E4A">
        <w:rPr>
          <w:rFonts w:cs="Arial"/>
          <w:szCs w:val="18"/>
          <w:lang w:val="en-GB"/>
        </w:rPr>
        <w:t>among mean values were analy</w:t>
      </w:r>
      <w:r w:rsidR="003B09C4">
        <w:rPr>
          <w:rFonts w:cs="Arial"/>
          <w:szCs w:val="18"/>
          <w:lang w:val="en-GB"/>
        </w:rPr>
        <w:t>z</w:t>
      </w:r>
      <w:r w:rsidR="003B09C4" w:rsidRPr="008F7E4A">
        <w:rPr>
          <w:rFonts w:cs="Arial"/>
          <w:szCs w:val="18"/>
          <w:lang w:val="en-GB"/>
        </w:rPr>
        <w:t>ed by one-way variance (ANOVA</w:t>
      </w:r>
      <w:r w:rsidR="00616B57">
        <w:rPr>
          <w:rFonts w:cs="Arial"/>
          <w:szCs w:val="18"/>
          <w:lang w:val="en-GB"/>
        </w:rPr>
        <w:t xml:space="preserve"> </w:t>
      </w:r>
      <w:r w:rsidR="003B09C4" w:rsidRPr="008F7E4A">
        <w:rPr>
          <w:rFonts w:cs="Arial"/>
          <w:szCs w:val="18"/>
          <w:lang w:val="en-GB"/>
        </w:rPr>
        <w:t>and Tukey test (</w:t>
      </w:r>
      <w:r w:rsidR="003B09C4" w:rsidRPr="00E6131F">
        <w:rPr>
          <w:rFonts w:cs="Arial"/>
          <w:i/>
          <w:iCs/>
          <w:szCs w:val="18"/>
          <w:lang w:val="en-GB"/>
        </w:rPr>
        <w:t>p &lt; 0.05</w:t>
      </w:r>
      <w:r w:rsidR="003B09C4" w:rsidRPr="008F7E4A">
        <w:rPr>
          <w:rFonts w:cs="Arial"/>
          <w:szCs w:val="18"/>
          <w:lang w:val="en-GB"/>
        </w:rPr>
        <w:t>)</w:t>
      </w:r>
      <w:r w:rsidRPr="008F7E4A">
        <w:rPr>
          <w:rFonts w:cs="Arial"/>
          <w:szCs w:val="18"/>
          <w:lang w:val="en-GB"/>
        </w:rPr>
        <w:t>, performed with SPSS 20 (SPSS IBM., Chicago, USA) statistical package</w:t>
      </w:r>
      <w:r>
        <w:rPr>
          <w:rFonts w:cs="Arial"/>
          <w:szCs w:val="18"/>
          <w:lang w:val="en-GB"/>
        </w:rPr>
        <w:t>.</w:t>
      </w:r>
    </w:p>
    <w:p w14:paraId="677EBFF0" w14:textId="3A718362" w:rsidR="00600535" w:rsidRPr="00B57B36" w:rsidRDefault="00F44AC9" w:rsidP="00600535">
      <w:pPr>
        <w:pStyle w:val="CETHeading1"/>
        <w:tabs>
          <w:tab w:val="clear" w:pos="360"/>
          <w:tab w:val="right" w:pos="7100"/>
        </w:tabs>
        <w:jc w:val="both"/>
        <w:rPr>
          <w:lang w:val="en-GB"/>
        </w:rPr>
      </w:pPr>
      <w:r>
        <w:rPr>
          <w:lang w:val="en-GB"/>
        </w:rPr>
        <w:t>Results and discussions</w:t>
      </w:r>
    </w:p>
    <w:p w14:paraId="04963A06" w14:textId="482DE835" w:rsidR="00600535" w:rsidRPr="00B57B36" w:rsidRDefault="00E6131F" w:rsidP="009F6828">
      <w:pPr>
        <w:pStyle w:val="CETheadingx"/>
      </w:pPr>
      <w:r>
        <w:t xml:space="preserve">Oil </w:t>
      </w:r>
      <w:r w:rsidR="00624707">
        <w:t>suspension</w:t>
      </w:r>
      <w:r>
        <w:t>s</w:t>
      </w:r>
    </w:p>
    <w:p w14:paraId="6C7B8581" w14:textId="4134B74C" w:rsidR="00E6131F" w:rsidRDefault="00B14789" w:rsidP="00E6131F">
      <w:pPr>
        <w:pStyle w:val="CETBodytext"/>
        <w:rPr>
          <w:lang w:val="en-GB"/>
        </w:rPr>
      </w:pPr>
      <w:r>
        <w:rPr>
          <w:lang w:val="en-GB"/>
        </w:rPr>
        <w:t>The s</w:t>
      </w:r>
      <w:r w:rsidR="00E6131F" w:rsidRPr="00E6131F">
        <w:rPr>
          <w:lang w:val="en-GB"/>
        </w:rPr>
        <w:t>ize</w:t>
      </w:r>
      <w:r>
        <w:rPr>
          <w:lang w:val="en-GB"/>
        </w:rPr>
        <w:t xml:space="preserve"> distribution</w:t>
      </w:r>
      <w:r w:rsidR="00E6131F" w:rsidRPr="00E6131F">
        <w:rPr>
          <w:lang w:val="en-GB"/>
        </w:rPr>
        <w:t xml:space="preserve"> </w:t>
      </w:r>
      <w:r w:rsidR="00E6131F">
        <w:rPr>
          <w:lang w:val="en-GB"/>
        </w:rPr>
        <w:t>is a</w:t>
      </w:r>
      <w:r w:rsidR="00E6131F" w:rsidRPr="00E6131F">
        <w:rPr>
          <w:lang w:val="en-GB"/>
        </w:rPr>
        <w:t xml:space="preserve"> crucial </w:t>
      </w:r>
      <w:r w:rsidR="00E6131F">
        <w:rPr>
          <w:lang w:val="en-GB"/>
        </w:rPr>
        <w:t xml:space="preserve">analysis </w:t>
      </w:r>
      <w:r w:rsidR="00616B57">
        <w:rPr>
          <w:lang w:val="en-GB"/>
        </w:rPr>
        <w:t xml:space="preserve">that </w:t>
      </w:r>
      <w:r w:rsidR="00E6131F">
        <w:rPr>
          <w:lang w:val="en-GB"/>
        </w:rPr>
        <w:t xml:space="preserve">affects </w:t>
      </w:r>
      <w:r w:rsidR="00616B57">
        <w:rPr>
          <w:lang w:val="en-GB"/>
        </w:rPr>
        <w:t xml:space="preserve">the </w:t>
      </w:r>
      <w:r w:rsidR="00E6131F">
        <w:rPr>
          <w:lang w:val="en-GB"/>
        </w:rPr>
        <w:t xml:space="preserve">physical properties of </w:t>
      </w:r>
      <w:r w:rsidR="00E6131F" w:rsidRPr="00E6131F">
        <w:rPr>
          <w:lang w:val="en-GB"/>
        </w:rPr>
        <w:t xml:space="preserve">oil </w:t>
      </w:r>
      <w:r w:rsidR="009F6828">
        <w:rPr>
          <w:lang w:val="en-GB"/>
        </w:rPr>
        <w:t>suspension</w:t>
      </w:r>
      <w:r w:rsidR="00E6131F" w:rsidRPr="00E6131F">
        <w:rPr>
          <w:lang w:val="en-GB"/>
        </w:rPr>
        <w:t>s</w:t>
      </w:r>
      <w:r w:rsidR="00E6131F">
        <w:rPr>
          <w:lang w:val="en-GB"/>
        </w:rPr>
        <w:t>.</w:t>
      </w:r>
      <w:r>
        <w:rPr>
          <w:lang w:val="en-GB"/>
        </w:rPr>
        <w:t xml:space="preserve"> T</w:t>
      </w:r>
      <w:r w:rsidRPr="00B14789">
        <w:rPr>
          <w:lang w:val="en-GB"/>
        </w:rPr>
        <w:t>he particle size distribution</w:t>
      </w:r>
      <w:r>
        <w:rPr>
          <w:lang w:val="en-GB"/>
        </w:rPr>
        <w:t>s</w:t>
      </w:r>
      <w:r w:rsidRPr="00B14789">
        <w:rPr>
          <w:lang w:val="en-GB"/>
        </w:rPr>
        <w:t xml:space="preserve"> for </w:t>
      </w:r>
      <w:r>
        <w:rPr>
          <w:lang w:val="en-GB"/>
        </w:rPr>
        <w:t xml:space="preserve">WM and </w:t>
      </w:r>
      <w:r w:rsidR="00585DE4">
        <w:rPr>
          <w:lang w:val="en-GB"/>
        </w:rPr>
        <w:t>CL-based</w:t>
      </w:r>
      <w:r>
        <w:rPr>
          <w:lang w:val="en-GB"/>
        </w:rPr>
        <w:t xml:space="preserve"> </w:t>
      </w:r>
      <w:r w:rsidRPr="00B14789">
        <w:rPr>
          <w:lang w:val="en-GB"/>
        </w:rPr>
        <w:t>oil</w:t>
      </w:r>
      <w:r>
        <w:rPr>
          <w:lang w:val="en-GB"/>
        </w:rPr>
        <w:t xml:space="preserve"> </w:t>
      </w:r>
      <w:r w:rsidR="009F6828">
        <w:rPr>
          <w:lang w:val="en-GB"/>
        </w:rPr>
        <w:t>suspension</w:t>
      </w:r>
      <w:r w:rsidRPr="00B14789">
        <w:rPr>
          <w:lang w:val="en-GB"/>
        </w:rPr>
        <w:t>s treated by HSM and HPH</w:t>
      </w:r>
      <w:r>
        <w:rPr>
          <w:lang w:val="en-GB"/>
        </w:rPr>
        <w:t xml:space="preserve"> (Figure 1)</w:t>
      </w:r>
      <w:r w:rsidRPr="00B14789">
        <w:rPr>
          <w:lang w:val="en-GB"/>
        </w:rPr>
        <w:t xml:space="preserve"> giv</w:t>
      </w:r>
      <w:r>
        <w:rPr>
          <w:lang w:val="en-GB"/>
        </w:rPr>
        <w:t>e</w:t>
      </w:r>
      <w:r w:rsidRPr="00B14789">
        <w:rPr>
          <w:lang w:val="en-GB"/>
        </w:rPr>
        <w:t xml:space="preserve"> information on the effect of the two different mechanical treatments. </w:t>
      </w:r>
      <w:r>
        <w:rPr>
          <w:lang w:val="en-GB"/>
        </w:rPr>
        <w:t>For t</w:t>
      </w:r>
      <w:r w:rsidRPr="00B14789">
        <w:rPr>
          <w:lang w:val="en-GB"/>
        </w:rPr>
        <w:t>he WM-</w:t>
      </w:r>
      <w:r>
        <w:rPr>
          <w:lang w:val="en-GB"/>
        </w:rPr>
        <w:t>based</w:t>
      </w:r>
      <w:r w:rsidRPr="00B14789">
        <w:rPr>
          <w:lang w:val="en-GB"/>
        </w:rPr>
        <w:t xml:space="preserve"> oil </w:t>
      </w:r>
      <w:r w:rsidR="009F6828">
        <w:rPr>
          <w:lang w:val="en-GB"/>
        </w:rPr>
        <w:t>suspension</w:t>
      </w:r>
      <w:r w:rsidRPr="00B14789">
        <w:rPr>
          <w:lang w:val="en-GB"/>
        </w:rPr>
        <w:t xml:space="preserve">s </w:t>
      </w:r>
      <w:r w:rsidR="009F6828">
        <w:rPr>
          <w:lang w:val="en-GB"/>
        </w:rPr>
        <w:t xml:space="preserve">treated by </w:t>
      </w:r>
      <w:r w:rsidRPr="00B14789">
        <w:rPr>
          <w:lang w:val="en-GB"/>
        </w:rPr>
        <w:t>HPH</w:t>
      </w:r>
      <w:r w:rsidR="009F6828">
        <w:rPr>
          <w:lang w:val="en-GB"/>
        </w:rPr>
        <w:t>,</w:t>
      </w:r>
      <w:r w:rsidRPr="00B14789">
        <w:rPr>
          <w:lang w:val="en-GB"/>
        </w:rPr>
        <w:t xml:space="preserve"> </w:t>
      </w:r>
      <w:r>
        <w:rPr>
          <w:lang w:val="en-GB"/>
        </w:rPr>
        <w:t xml:space="preserve">the </w:t>
      </w:r>
      <w:r w:rsidRPr="00B14789">
        <w:rPr>
          <w:lang w:val="en-GB"/>
        </w:rPr>
        <w:t xml:space="preserve">distribution </w:t>
      </w:r>
      <w:r w:rsidR="009F6828">
        <w:rPr>
          <w:lang w:val="en-GB"/>
        </w:rPr>
        <w:t>was</w:t>
      </w:r>
      <w:r w:rsidR="009F6828" w:rsidRPr="00B14789">
        <w:rPr>
          <w:lang w:val="en-GB"/>
        </w:rPr>
        <w:t xml:space="preserve"> </w:t>
      </w:r>
      <w:r w:rsidRPr="00B14789">
        <w:rPr>
          <w:lang w:val="en-GB"/>
        </w:rPr>
        <w:t xml:space="preserve">narrower and more </w:t>
      </w:r>
      <w:r w:rsidR="009F6828">
        <w:rPr>
          <w:lang w:val="en-GB"/>
        </w:rPr>
        <w:t xml:space="preserve">uniform </w:t>
      </w:r>
      <w:r w:rsidRPr="00B14789">
        <w:rPr>
          <w:lang w:val="en-GB"/>
        </w:rPr>
        <w:t xml:space="preserve">than </w:t>
      </w:r>
      <w:r w:rsidR="009F6828">
        <w:rPr>
          <w:lang w:val="en-GB"/>
        </w:rPr>
        <w:t xml:space="preserve">for </w:t>
      </w:r>
      <w:r w:rsidRPr="00B14789">
        <w:rPr>
          <w:lang w:val="en-GB"/>
        </w:rPr>
        <w:t>HSM-treated samples</w:t>
      </w:r>
      <w:r w:rsidR="00FB5EAE">
        <w:rPr>
          <w:lang w:val="en-GB"/>
        </w:rPr>
        <w:t>, as already observed in the case of tomato peels, because of the disruption of individual plant cells into fibrous debris (</w:t>
      </w:r>
      <w:r w:rsidR="00FB5EAE" w:rsidRPr="00FB5EAE">
        <w:rPr>
          <w:lang w:val="en-GB"/>
        </w:rPr>
        <w:t>Jurić</w:t>
      </w:r>
      <w:r w:rsidR="00FB5EAE">
        <w:rPr>
          <w:lang w:val="en-GB"/>
        </w:rPr>
        <w:t xml:space="preserve"> et al., 2019)</w:t>
      </w:r>
      <w:r>
        <w:rPr>
          <w:lang w:val="en-GB"/>
        </w:rPr>
        <w:t xml:space="preserve">. </w:t>
      </w:r>
      <w:r w:rsidRPr="00B14789">
        <w:rPr>
          <w:lang w:val="en-GB"/>
        </w:rPr>
        <w:t>In contrast, HPH treat</w:t>
      </w:r>
      <w:r>
        <w:rPr>
          <w:lang w:val="en-GB"/>
        </w:rPr>
        <w:t xml:space="preserve">ment applied on cellulose-based oil distribution </w:t>
      </w:r>
      <w:r w:rsidR="009F6828">
        <w:rPr>
          <w:lang w:val="en-GB"/>
        </w:rPr>
        <w:t xml:space="preserve">induced </w:t>
      </w:r>
      <w:r w:rsidR="008842AB">
        <w:rPr>
          <w:lang w:val="en-GB"/>
        </w:rPr>
        <w:t xml:space="preserve">only </w:t>
      </w:r>
      <w:r>
        <w:rPr>
          <w:lang w:val="en-GB"/>
        </w:rPr>
        <w:t xml:space="preserve">a </w:t>
      </w:r>
      <w:r w:rsidR="008842AB">
        <w:rPr>
          <w:lang w:val="en-GB"/>
        </w:rPr>
        <w:t xml:space="preserve">slight decrease </w:t>
      </w:r>
      <w:r>
        <w:rPr>
          <w:lang w:val="en-GB"/>
        </w:rPr>
        <w:t xml:space="preserve">in </w:t>
      </w:r>
      <w:r w:rsidRPr="00B14789">
        <w:rPr>
          <w:lang w:val="en-GB"/>
        </w:rPr>
        <w:t xml:space="preserve">the particle size </w:t>
      </w:r>
      <w:r>
        <w:rPr>
          <w:lang w:val="en-GB"/>
        </w:rPr>
        <w:t>with respect to the HSM-treated samples</w:t>
      </w:r>
      <w:r w:rsidR="00FB5EAE">
        <w:rPr>
          <w:lang w:val="en-GB"/>
        </w:rPr>
        <w:t xml:space="preserve">, likely because of </w:t>
      </w:r>
      <w:r>
        <w:rPr>
          <w:lang w:val="en-GB"/>
        </w:rPr>
        <w:t xml:space="preserve">the initial </w:t>
      </w:r>
      <w:r w:rsidR="009F6828">
        <w:rPr>
          <w:lang w:val="en-GB"/>
        </w:rPr>
        <w:t xml:space="preserve">finer size </w:t>
      </w:r>
      <w:r>
        <w:rPr>
          <w:lang w:val="en-GB"/>
        </w:rPr>
        <w:t xml:space="preserve">of </w:t>
      </w:r>
      <w:r w:rsidR="009F6828">
        <w:rPr>
          <w:lang w:val="en-GB"/>
        </w:rPr>
        <w:t xml:space="preserve">the </w:t>
      </w:r>
      <w:r w:rsidR="00FB5EAE">
        <w:rPr>
          <w:lang w:val="en-GB"/>
        </w:rPr>
        <w:t xml:space="preserve">used </w:t>
      </w:r>
      <w:r>
        <w:rPr>
          <w:lang w:val="en-GB"/>
        </w:rPr>
        <w:t>cellulose</w:t>
      </w:r>
      <w:r w:rsidRPr="00B14789">
        <w:rPr>
          <w:lang w:val="en-GB"/>
        </w:rPr>
        <w:t xml:space="preserve">, </w:t>
      </w:r>
      <w:r w:rsidR="009F6828">
        <w:rPr>
          <w:lang w:val="en-GB"/>
        </w:rPr>
        <w:t xml:space="preserve">limiting the capability of </w:t>
      </w:r>
      <w:r w:rsidRPr="00B14789">
        <w:rPr>
          <w:lang w:val="en-GB"/>
        </w:rPr>
        <w:t>HPH treatment</w:t>
      </w:r>
      <w:r w:rsidR="009F6828">
        <w:rPr>
          <w:lang w:val="en-GB"/>
        </w:rPr>
        <w:t xml:space="preserve"> to further break down the cellulose fibrils</w:t>
      </w:r>
      <w:r w:rsidRPr="00B14789">
        <w:rPr>
          <w:lang w:val="en-GB"/>
        </w:rPr>
        <w:t>.</w:t>
      </w:r>
    </w:p>
    <w:p w14:paraId="018AADCA" w14:textId="0CBCCA25" w:rsidR="00E6131F" w:rsidRPr="00E6131F" w:rsidRDefault="007030F2" w:rsidP="00B14789">
      <w:r>
        <w:object w:dxaOrig="8580" w:dyaOrig="6810" w14:anchorId="1A87D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65pt;height:187.95pt" o:ole="">
            <v:imagedata r:id="rId11" o:title=""/>
          </v:shape>
          <o:OLEObject Type="Embed" ProgID="SigmaPlotGraphicObject.11" ShapeID="_x0000_i1025" DrawAspect="Content" ObjectID="_1740812206" r:id="rId12"/>
        </w:object>
      </w:r>
    </w:p>
    <w:p w14:paraId="2CE9648A" w14:textId="23DFE55F" w:rsidR="00B14789" w:rsidRPr="00BD077D" w:rsidRDefault="00B14789" w:rsidP="00B14789">
      <w:pPr>
        <w:pStyle w:val="CETCaption"/>
      </w:pPr>
      <w:r w:rsidRPr="00BD077D">
        <w:rPr>
          <w:rStyle w:val="CETCaptionCarattere"/>
          <w:i/>
        </w:rPr>
        <w:t>Figure 1:</w:t>
      </w:r>
      <w:r w:rsidRPr="00B14789">
        <w:rPr>
          <w:rStyle w:val="CETCaptionCarattere"/>
          <w:i/>
        </w:rPr>
        <w:t xml:space="preserve"> Particle size distribution of </w:t>
      </w:r>
      <w:r>
        <w:rPr>
          <w:rStyle w:val="CETCaptionCarattere"/>
          <w:i/>
        </w:rPr>
        <w:t xml:space="preserve">oil </w:t>
      </w:r>
      <w:r w:rsidR="009F6828">
        <w:rPr>
          <w:rStyle w:val="CETCaptionCarattere"/>
          <w:i/>
        </w:rPr>
        <w:t>suspension</w:t>
      </w:r>
      <w:r w:rsidRPr="00B14789">
        <w:rPr>
          <w:rStyle w:val="CETCaptionCarattere"/>
          <w:i/>
        </w:rPr>
        <w:t>s treated with high-shear mixing (</w:t>
      </w:r>
      <w:r w:rsidR="009F6828">
        <w:rPr>
          <w:rStyle w:val="CETCaptionCarattere"/>
          <w:i/>
        </w:rPr>
        <w:t xml:space="preserve">dashed </w:t>
      </w:r>
      <w:r>
        <w:rPr>
          <w:rStyle w:val="CETCaptionCarattere"/>
          <w:i/>
        </w:rPr>
        <w:t>lines</w:t>
      </w:r>
      <w:r w:rsidRPr="00B14789">
        <w:rPr>
          <w:rStyle w:val="CETCaptionCarattere"/>
          <w:i/>
        </w:rPr>
        <w:t>) and high-pressure homogenization (</w:t>
      </w:r>
      <w:r>
        <w:rPr>
          <w:rStyle w:val="CETCaptionCarattere"/>
          <w:i/>
        </w:rPr>
        <w:t>solid lines</w:t>
      </w:r>
      <w:r w:rsidRPr="00B14789">
        <w:rPr>
          <w:rStyle w:val="CETCaptionCarattere"/>
          <w:i/>
        </w:rPr>
        <w:t>)</w:t>
      </w:r>
      <w:r>
        <w:rPr>
          <w:rStyle w:val="CETCaptionCarattere"/>
          <w:i/>
        </w:rPr>
        <w:t>.</w:t>
      </w:r>
    </w:p>
    <w:p w14:paraId="39FFAA76" w14:textId="04C0C93A" w:rsidR="007477F8" w:rsidRDefault="00C55B48" w:rsidP="00C55B48">
      <w:pPr>
        <w:pStyle w:val="CETBodytext"/>
        <w:rPr>
          <w:lang w:val="en-GB"/>
        </w:rPr>
      </w:pPr>
      <w:r w:rsidRPr="00C55B48">
        <w:rPr>
          <w:lang w:val="en-GB"/>
        </w:rPr>
        <w:t xml:space="preserve">Table 1 reports the </w:t>
      </w:r>
      <w:r w:rsidR="009F6828">
        <w:rPr>
          <w:lang w:val="en-GB"/>
        </w:rPr>
        <w:t xml:space="preserve">characteristic diameters </w:t>
      </w:r>
      <w:r w:rsidRPr="00C55B48">
        <w:rPr>
          <w:lang w:val="en-GB"/>
        </w:rPr>
        <w:t xml:space="preserve">of </w:t>
      </w:r>
      <w:r>
        <w:rPr>
          <w:lang w:val="en-GB"/>
        </w:rPr>
        <w:t>WM and</w:t>
      </w:r>
      <w:r w:rsidRPr="00C55B48">
        <w:rPr>
          <w:lang w:val="en-GB"/>
        </w:rPr>
        <w:t xml:space="preserve"> </w:t>
      </w:r>
      <w:r w:rsidR="00585DE4">
        <w:rPr>
          <w:lang w:val="en-GB"/>
        </w:rPr>
        <w:t>CL</w:t>
      </w:r>
      <w:r>
        <w:rPr>
          <w:lang w:val="en-GB"/>
        </w:rPr>
        <w:t xml:space="preserve"> oil </w:t>
      </w:r>
      <w:r w:rsidR="009F6828">
        <w:rPr>
          <w:lang w:val="en-GB"/>
        </w:rPr>
        <w:t>suspension</w:t>
      </w:r>
      <w:r>
        <w:rPr>
          <w:lang w:val="en-GB"/>
        </w:rPr>
        <w:t>s</w:t>
      </w:r>
      <w:r w:rsidRPr="00C55B48">
        <w:rPr>
          <w:lang w:val="en-GB"/>
        </w:rPr>
        <w:t>,</w:t>
      </w:r>
      <w:r>
        <w:rPr>
          <w:lang w:val="en-GB"/>
        </w:rPr>
        <w:t xml:space="preserve"> </w:t>
      </w:r>
      <w:r w:rsidRPr="00C55B48">
        <w:rPr>
          <w:lang w:val="en-GB"/>
        </w:rPr>
        <w:t>treated</w:t>
      </w:r>
      <w:r>
        <w:rPr>
          <w:lang w:val="en-GB"/>
        </w:rPr>
        <w:t xml:space="preserve"> by HSM and HPH</w:t>
      </w:r>
      <w:r w:rsidRPr="00C55B48">
        <w:rPr>
          <w:lang w:val="en-GB"/>
        </w:rPr>
        <w:t xml:space="preserve">. </w:t>
      </w:r>
      <w:r w:rsidR="009F6828">
        <w:rPr>
          <w:lang w:val="en-GB"/>
        </w:rPr>
        <w:t xml:space="preserve">As shown also in Figure 1, </w:t>
      </w:r>
      <w:r w:rsidRPr="00C55B48">
        <w:rPr>
          <w:lang w:val="en-GB"/>
        </w:rPr>
        <w:t xml:space="preserve">the </w:t>
      </w:r>
      <w:r w:rsidR="009F6828">
        <w:rPr>
          <w:lang w:val="en-GB"/>
        </w:rPr>
        <w:t xml:space="preserve">mean </w:t>
      </w:r>
      <w:r w:rsidRPr="00C55B48">
        <w:rPr>
          <w:lang w:val="en-GB"/>
        </w:rPr>
        <w:t xml:space="preserve">particle size of </w:t>
      </w:r>
      <w:r>
        <w:rPr>
          <w:lang w:val="en-GB"/>
        </w:rPr>
        <w:t>WM</w:t>
      </w:r>
      <w:r w:rsidRPr="00C55B48">
        <w:rPr>
          <w:lang w:val="en-GB"/>
        </w:rPr>
        <w:t xml:space="preserve"> was significantly</w:t>
      </w:r>
      <w:r>
        <w:rPr>
          <w:lang w:val="en-GB"/>
        </w:rPr>
        <w:t xml:space="preserve"> </w:t>
      </w:r>
      <w:r w:rsidRPr="00C55B48">
        <w:rPr>
          <w:lang w:val="en-GB"/>
        </w:rPr>
        <w:t xml:space="preserve">reduced after </w:t>
      </w:r>
      <w:r>
        <w:rPr>
          <w:lang w:val="en-GB"/>
        </w:rPr>
        <w:t>HPH</w:t>
      </w:r>
      <w:r w:rsidRPr="00C55B48">
        <w:rPr>
          <w:lang w:val="en-GB"/>
        </w:rPr>
        <w:t xml:space="preserve"> treatment</w:t>
      </w:r>
      <w:r w:rsidR="009F6828">
        <w:rPr>
          <w:lang w:val="en-GB"/>
        </w:rPr>
        <w:t xml:space="preserve">: </w:t>
      </w:r>
      <w:r w:rsidRPr="00C55B48">
        <w:rPr>
          <w:lang w:val="en-GB"/>
        </w:rPr>
        <w:t>D[4,3] decreased by ~</w:t>
      </w:r>
      <w:r>
        <w:rPr>
          <w:lang w:val="en-GB"/>
        </w:rPr>
        <w:t>70</w:t>
      </w:r>
      <w:r w:rsidRPr="00C55B48">
        <w:rPr>
          <w:lang w:val="en-GB"/>
        </w:rPr>
        <w:t xml:space="preserve">%, D[3,2] </w:t>
      </w:r>
      <w:r w:rsidR="00F115EA">
        <w:rPr>
          <w:lang w:val="en-GB"/>
        </w:rPr>
        <w:t>by</w:t>
      </w:r>
      <w:r w:rsidR="00F115EA" w:rsidRPr="00C55B48">
        <w:rPr>
          <w:lang w:val="en-GB"/>
        </w:rPr>
        <w:t xml:space="preserve"> </w:t>
      </w:r>
      <w:r w:rsidRPr="00C55B48">
        <w:rPr>
          <w:lang w:val="en-GB"/>
        </w:rPr>
        <w:t>~</w:t>
      </w:r>
      <w:r>
        <w:rPr>
          <w:lang w:val="en-GB"/>
        </w:rPr>
        <w:t>17</w:t>
      </w:r>
      <w:r w:rsidRPr="00C55B48">
        <w:rPr>
          <w:lang w:val="en-GB"/>
        </w:rPr>
        <w:t>%</w:t>
      </w:r>
      <w:r w:rsidR="00FB5EAE">
        <w:rPr>
          <w:lang w:val="en-GB"/>
        </w:rPr>
        <w:t>, and significant decreases were observed for both d(0.5) and d(0.9)</w:t>
      </w:r>
      <w:r>
        <w:rPr>
          <w:lang w:val="en-GB"/>
        </w:rPr>
        <w:t xml:space="preserve">. </w:t>
      </w:r>
      <w:r w:rsidR="009F6828">
        <w:rPr>
          <w:lang w:val="en-GB"/>
        </w:rPr>
        <w:t>In contrast</w:t>
      </w:r>
      <w:r>
        <w:rPr>
          <w:lang w:val="en-GB"/>
        </w:rPr>
        <w:t xml:space="preserve">, HPH </w:t>
      </w:r>
      <w:r w:rsidRPr="00C55B48">
        <w:rPr>
          <w:lang w:val="en-GB"/>
        </w:rPr>
        <w:t xml:space="preserve">treatment </w:t>
      </w:r>
      <w:r>
        <w:rPr>
          <w:lang w:val="en-GB"/>
        </w:rPr>
        <w:t xml:space="preserve">on cellulose-based oil </w:t>
      </w:r>
      <w:r w:rsidR="009F6828">
        <w:rPr>
          <w:lang w:val="en-GB"/>
        </w:rPr>
        <w:t>suspension</w:t>
      </w:r>
      <w:r>
        <w:rPr>
          <w:lang w:val="en-GB"/>
        </w:rPr>
        <w:t xml:space="preserve"> </w:t>
      </w:r>
      <w:r w:rsidRPr="00C55B48">
        <w:rPr>
          <w:lang w:val="en-GB"/>
        </w:rPr>
        <w:t>did not significantly change the size distribution</w:t>
      </w:r>
      <w:r>
        <w:rPr>
          <w:lang w:val="en-GB"/>
        </w:rPr>
        <w:t xml:space="preserve"> with respect </w:t>
      </w:r>
      <w:r w:rsidR="00F115EA">
        <w:rPr>
          <w:lang w:val="en-GB"/>
        </w:rPr>
        <w:t xml:space="preserve">to </w:t>
      </w:r>
      <w:r>
        <w:rPr>
          <w:lang w:val="en-GB"/>
        </w:rPr>
        <w:t>HSM treatment</w:t>
      </w:r>
      <w:r w:rsidR="009F6828">
        <w:rPr>
          <w:lang w:val="en-GB"/>
        </w:rPr>
        <w:t xml:space="preserve">: </w:t>
      </w:r>
      <w:r w:rsidRPr="00C55B48">
        <w:rPr>
          <w:lang w:val="en-GB"/>
        </w:rPr>
        <w:t>D[4,3]</w:t>
      </w:r>
      <w:r w:rsidR="00FB5EAE">
        <w:rPr>
          <w:lang w:val="en-GB"/>
        </w:rPr>
        <w:t xml:space="preserve"> and d(0.5)</w:t>
      </w:r>
      <w:r w:rsidRPr="00C55B48">
        <w:rPr>
          <w:lang w:val="en-GB"/>
        </w:rPr>
        <w:t xml:space="preserve"> decreased</w:t>
      </w:r>
      <w:r>
        <w:rPr>
          <w:lang w:val="en-GB"/>
        </w:rPr>
        <w:t xml:space="preserve"> </w:t>
      </w:r>
      <w:r w:rsidRPr="00C55B48">
        <w:rPr>
          <w:lang w:val="en-GB"/>
        </w:rPr>
        <w:t>by ~</w:t>
      </w:r>
      <w:r>
        <w:rPr>
          <w:lang w:val="en-GB"/>
        </w:rPr>
        <w:t>1</w:t>
      </w:r>
      <w:r w:rsidR="00FB5EAE">
        <w:rPr>
          <w:lang w:val="en-GB"/>
        </w:rPr>
        <w:t>5</w:t>
      </w:r>
      <w:r w:rsidRPr="00C55B48">
        <w:rPr>
          <w:lang w:val="en-GB"/>
        </w:rPr>
        <w:t xml:space="preserve">%, </w:t>
      </w:r>
      <w:r w:rsidR="00F115EA">
        <w:rPr>
          <w:lang w:val="en-GB"/>
        </w:rPr>
        <w:t xml:space="preserve">and </w:t>
      </w:r>
      <w:r w:rsidRPr="00C55B48">
        <w:rPr>
          <w:lang w:val="en-GB"/>
        </w:rPr>
        <w:t xml:space="preserve">D[3,2] </w:t>
      </w:r>
      <w:r w:rsidR="00F115EA">
        <w:rPr>
          <w:lang w:val="en-GB"/>
        </w:rPr>
        <w:t>by</w:t>
      </w:r>
      <w:r w:rsidR="00F115EA" w:rsidRPr="00C55B48">
        <w:rPr>
          <w:lang w:val="en-GB"/>
        </w:rPr>
        <w:t xml:space="preserve"> </w:t>
      </w:r>
      <w:r w:rsidRPr="00C55B48">
        <w:rPr>
          <w:lang w:val="en-GB"/>
        </w:rPr>
        <w:t>~</w:t>
      </w:r>
      <w:r>
        <w:rPr>
          <w:lang w:val="en-GB"/>
        </w:rPr>
        <w:t>10</w:t>
      </w:r>
      <w:r w:rsidRPr="00C55B48">
        <w:rPr>
          <w:lang w:val="en-GB"/>
        </w:rPr>
        <w:t>%</w:t>
      </w:r>
      <w:r w:rsidR="00FB5EAE">
        <w:rPr>
          <w:lang w:val="en-GB"/>
        </w:rPr>
        <w:t xml:space="preserve">, whereas only the larger particles were effectively reduced in size, as shown by the decrease of d(0.9) of </w:t>
      </w:r>
      <w:r w:rsidR="00FB5EAE" w:rsidRPr="00C55B48">
        <w:rPr>
          <w:lang w:val="en-GB"/>
        </w:rPr>
        <w:t>~</w:t>
      </w:r>
      <w:r w:rsidR="00FB5EAE">
        <w:rPr>
          <w:lang w:val="en-GB"/>
        </w:rPr>
        <w:t>10</w:t>
      </w:r>
      <w:r w:rsidR="00FB5EAE" w:rsidRPr="00C55B48">
        <w:rPr>
          <w:lang w:val="en-GB"/>
        </w:rPr>
        <w:t>%</w:t>
      </w:r>
      <w:r w:rsidR="00FB5EAE">
        <w:rPr>
          <w:lang w:val="en-GB"/>
        </w:rPr>
        <w:t xml:space="preserve"> upon HPH processing</w:t>
      </w:r>
      <w:r w:rsidRPr="00C55B48">
        <w:rPr>
          <w:lang w:val="en-GB"/>
        </w:rPr>
        <w:t>.</w:t>
      </w:r>
    </w:p>
    <w:p w14:paraId="40A5A0C2" w14:textId="0AE9415A" w:rsidR="007B676B" w:rsidRPr="00B57B36" w:rsidRDefault="007B676B" w:rsidP="004F3326">
      <w:pPr>
        <w:pStyle w:val="CETTabletitle"/>
      </w:pPr>
      <w:r w:rsidRPr="00B57B36">
        <w:t xml:space="preserve">Table 1: </w:t>
      </w:r>
      <w:r w:rsidR="004F3326">
        <w:t>Effect of different mechanical treatments on WM and cellulose-based oil dispersed on particle size distribution</w:t>
      </w:r>
      <w:r w:rsidR="009F6828">
        <w:t xml:space="preserve"> expressed as the main characteristic diameters</w:t>
      </w:r>
      <w:r>
        <w:t>.</w:t>
      </w:r>
    </w:p>
    <w:tbl>
      <w:tblPr>
        <w:tblW w:w="6024"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17"/>
        <w:gridCol w:w="1270"/>
        <w:gridCol w:w="1179"/>
        <w:gridCol w:w="1179"/>
        <w:gridCol w:w="1179"/>
      </w:tblGrid>
      <w:tr w:rsidR="00585DE4" w:rsidRPr="00B57B36" w14:paraId="28BDF8EC" w14:textId="77777777" w:rsidTr="00585DE4">
        <w:tc>
          <w:tcPr>
            <w:tcW w:w="1217" w:type="dxa"/>
            <w:vMerge w:val="restart"/>
            <w:tcBorders>
              <w:top w:val="single" w:sz="12" w:space="0" w:color="008000"/>
            </w:tcBorders>
            <w:shd w:val="clear" w:color="auto" w:fill="FFFFFF"/>
            <w:vAlign w:val="center"/>
          </w:tcPr>
          <w:p w14:paraId="2D14FC35" w14:textId="77777777" w:rsidR="00585DE4" w:rsidRPr="00B57B36" w:rsidRDefault="00585DE4" w:rsidP="00585DE4">
            <w:pPr>
              <w:pStyle w:val="CETBodytext"/>
              <w:jc w:val="left"/>
              <w:rPr>
                <w:lang w:val="en-GB"/>
              </w:rPr>
            </w:pPr>
            <w:r>
              <w:rPr>
                <w:lang w:val="en-GB"/>
              </w:rPr>
              <w:t>Component</w:t>
            </w:r>
          </w:p>
        </w:tc>
        <w:tc>
          <w:tcPr>
            <w:tcW w:w="2449" w:type="dxa"/>
            <w:gridSpan w:val="2"/>
            <w:tcBorders>
              <w:top w:val="single" w:sz="12" w:space="0" w:color="008000"/>
              <w:bottom w:val="single" w:sz="6" w:space="0" w:color="008000"/>
            </w:tcBorders>
            <w:shd w:val="clear" w:color="auto" w:fill="FFFFFF"/>
            <w:vAlign w:val="center"/>
          </w:tcPr>
          <w:p w14:paraId="278B93B8" w14:textId="409898EE" w:rsidR="00585DE4" w:rsidRPr="00B57B36" w:rsidRDefault="00585DE4" w:rsidP="004F3326">
            <w:pPr>
              <w:pStyle w:val="CETBodytext"/>
              <w:jc w:val="center"/>
              <w:rPr>
                <w:lang w:val="en-GB"/>
              </w:rPr>
            </w:pPr>
            <w:r>
              <w:rPr>
                <w:lang w:val="en-GB"/>
              </w:rPr>
              <w:t>WM</w:t>
            </w:r>
          </w:p>
        </w:tc>
        <w:tc>
          <w:tcPr>
            <w:tcW w:w="2358" w:type="dxa"/>
            <w:gridSpan w:val="2"/>
            <w:tcBorders>
              <w:top w:val="single" w:sz="12" w:space="0" w:color="008000"/>
              <w:bottom w:val="single" w:sz="6" w:space="0" w:color="008000"/>
            </w:tcBorders>
            <w:shd w:val="clear" w:color="auto" w:fill="FFFFFF"/>
            <w:vAlign w:val="center"/>
          </w:tcPr>
          <w:p w14:paraId="46221036" w14:textId="51CAA7C0" w:rsidR="00585DE4" w:rsidRPr="00B57B36" w:rsidRDefault="00585DE4" w:rsidP="004F3326">
            <w:pPr>
              <w:pStyle w:val="CETBodytext"/>
              <w:jc w:val="center"/>
              <w:rPr>
                <w:lang w:val="en-GB"/>
              </w:rPr>
            </w:pPr>
            <w:r>
              <w:rPr>
                <w:rFonts w:cs="Arial"/>
                <w:szCs w:val="18"/>
                <w:lang w:val="en-GB"/>
              </w:rPr>
              <w:t>CL</w:t>
            </w:r>
          </w:p>
        </w:tc>
      </w:tr>
      <w:tr w:rsidR="00585DE4" w:rsidRPr="00B57B36" w14:paraId="65DF096C" w14:textId="77777777" w:rsidTr="0064078F">
        <w:tc>
          <w:tcPr>
            <w:tcW w:w="1217" w:type="dxa"/>
            <w:vMerge/>
            <w:tcBorders>
              <w:bottom w:val="single" w:sz="6" w:space="0" w:color="008000"/>
            </w:tcBorders>
            <w:shd w:val="clear" w:color="auto" w:fill="FFFFFF"/>
          </w:tcPr>
          <w:p w14:paraId="2A7A032B" w14:textId="77777777" w:rsidR="00585DE4" w:rsidRDefault="00585DE4" w:rsidP="00585DE4">
            <w:pPr>
              <w:pStyle w:val="CETBodytext"/>
              <w:jc w:val="center"/>
              <w:rPr>
                <w:lang w:val="en-GB"/>
              </w:rPr>
            </w:pPr>
          </w:p>
        </w:tc>
        <w:tc>
          <w:tcPr>
            <w:tcW w:w="1270" w:type="dxa"/>
            <w:tcBorders>
              <w:top w:val="single" w:sz="12" w:space="0" w:color="008000"/>
              <w:bottom w:val="single" w:sz="6" w:space="0" w:color="008000"/>
            </w:tcBorders>
            <w:shd w:val="clear" w:color="auto" w:fill="FFFFFF"/>
          </w:tcPr>
          <w:p w14:paraId="25D84624" w14:textId="41B95CE4" w:rsidR="00585DE4" w:rsidRDefault="00585DE4" w:rsidP="00585DE4">
            <w:pPr>
              <w:pStyle w:val="CETBodytext"/>
              <w:jc w:val="center"/>
              <w:rPr>
                <w:lang w:val="en-GB"/>
              </w:rPr>
            </w:pPr>
            <w:r>
              <w:rPr>
                <w:lang w:val="en-GB"/>
              </w:rPr>
              <w:t>HSM</w:t>
            </w:r>
          </w:p>
        </w:tc>
        <w:tc>
          <w:tcPr>
            <w:tcW w:w="1179" w:type="dxa"/>
            <w:tcBorders>
              <w:top w:val="single" w:sz="12" w:space="0" w:color="008000"/>
              <w:bottom w:val="single" w:sz="6" w:space="0" w:color="008000"/>
            </w:tcBorders>
            <w:shd w:val="clear" w:color="auto" w:fill="FFFFFF"/>
          </w:tcPr>
          <w:p w14:paraId="3A277E59" w14:textId="7F2D5B4F" w:rsidR="00585DE4" w:rsidRDefault="00585DE4" w:rsidP="00585DE4">
            <w:pPr>
              <w:pStyle w:val="CETBodytext"/>
              <w:jc w:val="center"/>
              <w:rPr>
                <w:lang w:val="en-GB"/>
              </w:rPr>
            </w:pPr>
            <w:r>
              <w:rPr>
                <w:lang w:val="en-GB"/>
              </w:rPr>
              <w:t>HPH</w:t>
            </w:r>
          </w:p>
        </w:tc>
        <w:tc>
          <w:tcPr>
            <w:tcW w:w="1179" w:type="dxa"/>
            <w:tcBorders>
              <w:top w:val="single" w:sz="12" w:space="0" w:color="008000"/>
              <w:bottom w:val="single" w:sz="6" w:space="0" w:color="008000"/>
            </w:tcBorders>
            <w:shd w:val="clear" w:color="auto" w:fill="FFFFFF"/>
          </w:tcPr>
          <w:p w14:paraId="365E9C89" w14:textId="1C7A7EA3" w:rsidR="00585DE4" w:rsidRDefault="00585DE4" w:rsidP="00585DE4">
            <w:pPr>
              <w:pStyle w:val="CETBodytext"/>
              <w:jc w:val="center"/>
              <w:rPr>
                <w:lang w:val="en-GB"/>
              </w:rPr>
            </w:pPr>
            <w:r>
              <w:rPr>
                <w:lang w:val="en-GB"/>
              </w:rPr>
              <w:t>HSM</w:t>
            </w:r>
          </w:p>
        </w:tc>
        <w:tc>
          <w:tcPr>
            <w:tcW w:w="1179" w:type="dxa"/>
            <w:tcBorders>
              <w:top w:val="single" w:sz="12" w:space="0" w:color="008000"/>
              <w:bottom w:val="single" w:sz="6" w:space="0" w:color="008000"/>
            </w:tcBorders>
            <w:shd w:val="clear" w:color="auto" w:fill="FFFFFF"/>
          </w:tcPr>
          <w:p w14:paraId="66A80836" w14:textId="2258E8F1" w:rsidR="00585DE4" w:rsidRDefault="00585DE4" w:rsidP="00585DE4">
            <w:pPr>
              <w:pStyle w:val="CETBodytext"/>
              <w:jc w:val="center"/>
              <w:rPr>
                <w:lang w:val="en-GB"/>
              </w:rPr>
            </w:pPr>
            <w:r>
              <w:rPr>
                <w:lang w:val="en-GB"/>
              </w:rPr>
              <w:t>HPH</w:t>
            </w:r>
          </w:p>
        </w:tc>
      </w:tr>
      <w:tr w:rsidR="007B676B" w:rsidRPr="00B57B36" w14:paraId="288671EB" w14:textId="77777777" w:rsidTr="007B676B">
        <w:tc>
          <w:tcPr>
            <w:tcW w:w="1217" w:type="dxa"/>
            <w:shd w:val="clear" w:color="auto" w:fill="FFFFFF"/>
          </w:tcPr>
          <w:p w14:paraId="1B033AE5" w14:textId="72F47322" w:rsidR="007B676B" w:rsidRPr="00B57B36" w:rsidRDefault="007B676B" w:rsidP="007B676B">
            <w:pPr>
              <w:pStyle w:val="CETBodytext"/>
              <w:rPr>
                <w:lang w:val="en-GB"/>
              </w:rPr>
            </w:pPr>
            <w:r w:rsidRPr="007B676B">
              <w:rPr>
                <w:lang w:val="en-GB"/>
              </w:rPr>
              <w:t>d(0</w:t>
            </w:r>
            <w:r w:rsidR="00FB5EAE">
              <w:rPr>
                <w:lang w:val="en-GB"/>
              </w:rPr>
              <w:t>.</w:t>
            </w:r>
            <w:r w:rsidRPr="007B676B">
              <w:rPr>
                <w:lang w:val="en-GB"/>
              </w:rPr>
              <w:t>1)</w:t>
            </w:r>
          </w:p>
        </w:tc>
        <w:tc>
          <w:tcPr>
            <w:tcW w:w="1270" w:type="dxa"/>
          </w:tcPr>
          <w:p w14:paraId="65F72FC4" w14:textId="1D3EC6C8" w:rsidR="007B676B" w:rsidRPr="00B57B36" w:rsidRDefault="007B676B" w:rsidP="007B676B">
            <w:pPr>
              <w:pStyle w:val="CETBodytext"/>
              <w:rPr>
                <w:lang w:val="en-GB"/>
              </w:rPr>
            </w:pPr>
            <w:r w:rsidRPr="007B676B">
              <w:rPr>
                <w:lang w:val="en-GB"/>
              </w:rPr>
              <w:t>6.</w:t>
            </w:r>
            <w:r w:rsidR="009D4901">
              <w:rPr>
                <w:lang w:val="en-GB"/>
              </w:rPr>
              <w:t xml:space="preserve">4 </w:t>
            </w:r>
            <w:r w:rsidR="009D4901">
              <w:rPr>
                <w:rFonts w:cs="Arial"/>
                <w:lang w:val="en-GB"/>
              </w:rPr>
              <w:t>±</w:t>
            </w:r>
            <w:r w:rsidR="009D4901">
              <w:rPr>
                <w:lang w:val="en-GB"/>
              </w:rPr>
              <w:t xml:space="preserve"> 0.3</w:t>
            </w:r>
          </w:p>
        </w:tc>
        <w:tc>
          <w:tcPr>
            <w:tcW w:w="1179" w:type="dxa"/>
          </w:tcPr>
          <w:p w14:paraId="278E40E0" w14:textId="02B54A79" w:rsidR="007B676B" w:rsidRPr="00B57B36" w:rsidRDefault="007B676B" w:rsidP="007B676B">
            <w:pPr>
              <w:pStyle w:val="CETBodytext"/>
              <w:rPr>
                <w:lang w:val="en-GB"/>
              </w:rPr>
            </w:pPr>
            <w:r w:rsidRPr="007B676B">
              <w:rPr>
                <w:lang w:val="en-GB"/>
              </w:rPr>
              <w:t>5.5</w:t>
            </w:r>
            <w:r w:rsidR="009D4901">
              <w:rPr>
                <w:lang w:val="en-GB"/>
              </w:rPr>
              <w:t xml:space="preserve"> </w:t>
            </w:r>
            <w:r w:rsidR="009D4901">
              <w:rPr>
                <w:rFonts w:cs="Arial"/>
                <w:lang w:val="en-GB"/>
              </w:rPr>
              <w:t>± 0.2</w:t>
            </w:r>
          </w:p>
        </w:tc>
        <w:tc>
          <w:tcPr>
            <w:tcW w:w="1179" w:type="dxa"/>
            <w:vAlign w:val="bottom"/>
          </w:tcPr>
          <w:p w14:paraId="3169A03B" w14:textId="3D77B241" w:rsidR="007B676B" w:rsidRPr="00B57B36" w:rsidRDefault="007B676B" w:rsidP="007B676B">
            <w:pPr>
              <w:pStyle w:val="CETBodytext"/>
              <w:rPr>
                <w:lang w:val="en-GB"/>
              </w:rPr>
            </w:pPr>
            <w:r w:rsidRPr="007B676B">
              <w:rPr>
                <w:lang w:val="en-GB"/>
              </w:rPr>
              <w:t>11</w:t>
            </w:r>
            <w:r>
              <w:rPr>
                <w:lang w:val="en-GB"/>
              </w:rPr>
              <w:t>.</w:t>
            </w:r>
            <w:r w:rsidR="009D4901">
              <w:rPr>
                <w:lang w:val="en-GB"/>
              </w:rPr>
              <w:t xml:space="preserve">6 </w:t>
            </w:r>
            <w:r w:rsidR="009D4901">
              <w:rPr>
                <w:rFonts w:cs="Arial"/>
                <w:lang w:val="en-GB"/>
              </w:rPr>
              <w:t xml:space="preserve">± </w:t>
            </w:r>
            <w:r w:rsidR="009D4901">
              <w:rPr>
                <w:lang w:val="en-GB"/>
              </w:rPr>
              <w:t>0.4</w:t>
            </w:r>
          </w:p>
        </w:tc>
        <w:tc>
          <w:tcPr>
            <w:tcW w:w="1179" w:type="dxa"/>
            <w:vAlign w:val="bottom"/>
          </w:tcPr>
          <w:p w14:paraId="3C34D10C" w14:textId="2BA90596" w:rsidR="007B676B" w:rsidRPr="00B57B36" w:rsidRDefault="007B676B" w:rsidP="007B676B">
            <w:pPr>
              <w:pStyle w:val="CETBodytext"/>
              <w:rPr>
                <w:lang w:val="en-GB"/>
              </w:rPr>
            </w:pPr>
            <w:r w:rsidRPr="007B676B">
              <w:rPr>
                <w:lang w:val="en-GB"/>
              </w:rPr>
              <w:t>10</w:t>
            </w:r>
            <w:r>
              <w:rPr>
                <w:lang w:val="en-GB"/>
              </w:rPr>
              <w:t>.</w:t>
            </w:r>
            <w:r w:rsidRPr="007B676B">
              <w:rPr>
                <w:lang w:val="en-GB"/>
              </w:rPr>
              <w:t>2</w:t>
            </w:r>
            <w:r w:rsidR="009D4901">
              <w:rPr>
                <w:lang w:val="en-GB"/>
              </w:rPr>
              <w:t xml:space="preserve"> </w:t>
            </w:r>
            <w:r w:rsidR="009D4901">
              <w:rPr>
                <w:rFonts w:cs="Arial"/>
                <w:lang w:val="en-GB"/>
              </w:rPr>
              <w:t xml:space="preserve">± </w:t>
            </w:r>
            <w:r w:rsidR="009D4901">
              <w:rPr>
                <w:lang w:val="en-GB"/>
              </w:rPr>
              <w:t>0.5</w:t>
            </w:r>
          </w:p>
        </w:tc>
      </w:tr>
      <w:tr w:rsidR="007B676B" w:rsidRPr="00B57B36" w14:paraId="20CA589A" w14:textId="77777777" w:rsidTr="007B676B">
        <w:tc>
          <w:tcPr>
            <w:tcW w:w="1217" w:type="dxa"/>
            <w:shd w:val="clear" w:color="auto" w:fill="FFFFFF"/>
          </w:tcPr>
          <w:p w14:paraId="592FB124" w14:textId="26F1E0FB" w:rsidR="007B676B" w:rsidRPr="00B57B36" w:rsidRDefault="007B676B" w:rsidP="007B676B">
            <w:pPr>
              <w:pStyle w:val="CETBodytext"/>
              <w:rPr>
                <w:lang w:val="en-GB"/>
              </w:rPr>
            </w:pPr>
            <w:r w:rsidRPr="007B676B">
              <w:rPr>
                <w:lang w:val="en-GB"/>
              </w:rPr>
              <w:t>d(0</w:t>
            </w:r>
            <w:r w:rsidR="00FB5EAE">
              <w:rPr>
                <w:lang w:val="en-GB"/>
              </w:rPr>
              <w:t>.</w:t>
            </w:r>
            <w:r>
              <w:rPr>
                <w:lang w:val="en-GB"/>
              </w:rPr>
              <w:t>5</w:t>
            </w:r>
            <w:r w:rsidRPr="007B676B">
              <w:rPr>
                <w:lang w:val="en-GB"/>
              </w:rPr>
              <w:t>)</w:t>
            </w:r>
          </w:p>
        </w:tc>
        <w:tc>
          <w:tcPr>
            <w:tcW w:w="1270" w:type="dxa"/>
          </w:tcPr>
          <w:p w14:paraId="15AB9FA0" w14:textId="7CD362C7" w:rsidR="007B676B" w:rsidRDefault="007B676B" w:rsidP="007B676B">
            <w:pPr>
              <w:pStyle w:val="CETBodytext"/>
              <w:rPr>
                <w:lang w:val="en-GB"/>
              </w:rPr>
            </w:pPr>
            <w:r w:rsidRPr="007B676B">
              <w:rPr>
                <w:lang w:val="en-GB"/>
              </w:rPr>
              <w:t>101.3</w:t>
            </w:r>
            <w:r w:rsidR="009D4901">
              <w:rPr>
                <w:lang w:val="en-GB"/>
              </w:rPr>
              <w:t xml:space="preserve"> </w:t>
            </w:r>
            <w:r w:rsidR="009D4901">
              <w:rPr>
                <w:rFonts w:cs="Arial"/>
                <w:lang w:val="en-GB"/>
              </w:rPr>
              <w:t>± 1.8</w:t>
            </w:r>
          </w:p>
        </w:tc>
        <w:tc>
          <w:tcPr>
            <w:tcW w:w="1179" w:type="dxa"/>
          </w:tcPr>
          <w:p w14:paraId="326552EC" w14:textId="1A21A74F" w:rsidR="007B676B" w:rsidRDefault="007B676B" w:rsidP="007B676B">
            <w:pPr>
              <w:pStyle w:val="CETBodytext"/>
              <w:rPr>
                <w:lang w:val="en-GB"/>
              </w:rPr>
            </w:pPr>
            <w:r w:rsidRPr="007B676B">
              <w:rPr>
                <w:lang w:val="en-GB"/>
              </w:rPr>
              <w:t>30.9</w:t>
            </w:r>
            <w:r w:rsidR="009D4901">
              <w:rPr>
                <w:lang w:val="en-GB"/>
              </w:rPr>
              <w:t xml:space="preserve"> </w:t>
            </w:r>
            <w:r w:rsidR="009D4901">
              <w:rPr>
                <w:rFonts w:cs="Arial"/>
                <w:lang w:val="en-GB"/>
              </w:rPr>
              <w:t>± 1.9</w:t>
            </w:r>
          </w:p>
        </w:tc>
        <w:tc>
          <w:tcPr>
            <w:tcW w:w="1179" w:type="dxa"/>
            <w:vAlign w:val="bottom"/>
          </w:tcPr>
          <w:p w14:paraId="50344D2A" w14:textId="72637F87" w:rsidR="007B676B" w:rsidRDefault="007B676B" w:rsidP="007B676B">
            <w:pPr>
              <w:pStyle w:val="CETBodytext"/>
              <w:rPr>
                <w:lang w:val="en-GB"/>
              </w:rPr>
            </w:pPr>
            <w:r w:rsidRPr="007B676B">
              <w:rPr>
                <w:lang w:val="en-GB"/>
              </w:rPr>
              <w:t>43</w:t>
            </w:r>
            <w:r>
              <w:rPr>
                <w:lang w:val="en-GB"/>
              </w:rPr>
              <w:t>.</w:t>
            </w:r>
            <w:r w:rsidRPr="007B676B">
              <w:rPr>
                <w:lang w:val="en-GB"/>
              </w:rPr>
              <w:t>2</w:t>
            </w:r>
            <w:r w:rsidR="009D4901">
              <w:rPr>
                <w:lang w:val="en-GB"/>
              </w:rPr>
              <w:t xml:space="preserve"> </w:t>
            </w:r>
            <w:r w:rsidR="009D4901">
              <w:rPr>
                <w:rFonts w:cs="Arial"/>
                <w:lang w:val="en-GB"/>
              </w:rPr>
              <w:t xml:space="preserve">± </w:t>
            </w:r>
            <w:r w:rsidR="009D4901">
              <w:rPr>
                <w:lang w:val="en-GB"/>
              </w:rPr>
              <w:t>1.9</w:t>
            </w:r>
          </w:p>
        </w:tc>
        <w:tc>
          <w:tcPr>
            <w:tcW w:w="1179" w:type="dxa"/>
            <w:vAlign w:val="bottom"/>
          </w:tcPr>
          <w:p w14:paraId="0181115D" w14:textId="70FBA1FE" w:rsidR="007B676B" w:rsidRDefault="007B676B" w:rsidP="007B676B">
            <w:pPr>
              <w:pStyle w:val="CETBodytext"/>
              <w:rPr>
                <w:lang w:val="en-GB"/>
              </w:rPr>
            </w:pPr>
            <w:r w:rsidRPr="007B676B">
              <w:rPr>
                <w:lang w:val="en-GB"/>
              </w:rPr>
              <w:t>36</w:t>
            </w:r>
            <w:r>
              <w:rPr>
                <w:lang w:val="en-GB"/>
              </w:rPr>
              <w:t>.</w:t>
            </w:r>
            <w:r w:rsidRPr="007B676B">
              <w:rPr>
                <w:lang w:val="en-GB"/>
              </w:rPr>
              <w:t>9</w:t>
            </w:r>
            <w:r w:rsidR="009D4901">
              <w:rPr>
                <w:lang w:val="en-GB"/>
              </w:rPr>
              <w:t xml:space="preserve"> </w:t>
            </w:r>
            <w:r w:rsidR="009D4901">
              <w:rPr>
                <w:rFonts w:cs="Arial"/>
                <w:lang w:val="en-GB"/>
              </w:rPr>
              <w:t xml:space="preserve">± </w:t>
            </w:r>
            <w:r w:rsidR="009D4901">
              <w:rPr>
                <w:lang w:val="en-GB"/>
              </w:rPr>
              <w:t>2.7</w:t>
            </w:r>
          </w:p>
        </w:tc>
      </w:tr>
      <w:tr w:rsidR="007B676B" w:rsidRPr="00B57B36" w14:paraId="267FCAED" w14:textId="77777777" w:rsidTr="007B676B">
        <w:tc>
          <w:tcPr>
            <w:tcW w:w="1217" w:type="dxa"/>
            <w:shd w:val="clear" w:color="auto" w:fill="FFFFFF"/>
          </w:tcPr>
          <w:p w14:paraId="48CD12F8" w14:textId="2850B9F4" w:rsidR="007B676B" w:rsidRPr="00B57B36" w:rsidRDefault="007B676B" w:rsidP="007B676B">
            <w:pPr>
              <w:pStyle w:val="CETBodytext"/>
              <w:rPr>
                <w:lang w:val="en-GB"/>
              </w:rPr>
            </w:pPr>
            <w:r w:rsidRPr="007B676B">
              <w:rPr>
                <w:lang w:val="en-GB"/>
              </w:rPr>
              <w:t>d(0</w:t>
            </w:r>
            <w:r w:rsidR="00FB5EAE">
              <w:rPr>
                <w:lang w:val="en-GB"/>
              </w:rPr>
              <w:t>.</w:t>
            </w:r>
            <w:r>
              <w:rPr>
                <w:lang w:val="en-GB"/>
              </w:rPr>
              <w:t>9</w:t>
            </w:r>
            <w:r w:rsidRPr="007B676B">
              <w:rPr>
                <w:lang w:val="en-GB"/>
              </w:rPr>
              <w:t>)</w:t>
            </w:r>
          </w:p>
        </w:tc>
        <w:tc>
          <w:tcPr>
            <w:tcW w:w="1270" w:type="dxa"/>
          </w:tcPr>
          <w:p w14:paraId="7E5DA2AF" w14:textId="0DDC1B74" w:rsidR="007B676B" w:rsidRPr="00B57B36" w:rsidRDefault="007B676B" w:rsidP="007B676B">
            <w:pPr>
              <w:pStyle w:val="CETBodytext"/>
              <w:rPr>
                <w:lang w:val="en-GB"/>
              </w:rPr>
            </w:pPr>
            <w:r w:rsidRPr="007B676B">
              <w:rPr>
                <w:lang w:val="en-GB"/>
              </w:rPr>
              <w:t>461.3</w:t>
            </w:r>
            <w:r w:rsidR="009D4901">
              <w:rPr>
                <w:lang w:val="en-GB"/>
              </w:rPr>
              <w:t xml:space="preserve"> </w:t>
            </w:r>
            <w:r w:rsidR="009D4901">
              <w:rPr>
                <w:rFonts w:cs="Arial"/>
                <w:lang w:val="en-GB"/>
              </w:rPr>
              <w:t xml:space="preserve">± </w:t>
            </w:r>
            <w:r w:rsidR="009D4901">
              <w:rPr>
                <w:lang w:val="en-GB"/>
              </w:rPr>
              <w:t>23.5</w:t>
            </w:r>
          </w:p>
        </w:tc>
        <w:tc>
          <w:tcPr>
            <w:tcW w:w="1179" w:type="dxa"/>
          </w:tcPr>
          <w:p w14:paraId="2E3934FC" w14:textId="4486A761" w:rsidR="007B676B" w:rsidRPr="00B57B36" w:rsidRDefault="007B676B" w:rsidP="007B676B">
            <w:pPr>
              <w:pStyle w:val="CETBodytext"/>
              <w:rPr>
                <w:lang w:val="en-GB"/>
              </w:rPr>
            </w:pPr>
            <w:r w:rsidRPr="007B676B">
              <w:rPr>
                <w:lang w:val="en-GB"/>
              </w:rPr>
              <w:t>136.9</w:t>
            </w:r>
            <w:r w:rsidR="009D4901">
              <w:rPr>
                <w:lang w:val="en-GB"/>
              </w:rPr>
              <w:t xml:space="preserve"> </w:t>
            </w:r>
            <w:r w:rsidR="009D4901">
              <w:rPr>
                <w:rFonts w:cs="Arial"/>
                <w:lang w:val="en-GB"/>
              </w:rPr>
              <w:t>± 7.3</w:t>
            </w:r>
          </w:p>
        </w:tc>
        <w:tc>
          <w:tcPr>
            <w:tcW w:w="1179" w:type="dxa"/>
            <w:vAlign w:val="bottom"/>
          </w:tcPr>
          <w:p w14:paraId="0E525218" w14:textId="6FEF7457" w:rsidR="007B676B" w:rsidRPr="00B57B36" w:rsidRDefault="007B676B" w:rsidP="007B676B">
            <w:pPr>
              <w:pStyle w:val="CETBodytext"/>
              <w:rPr>
                <w:lang w:val="en-GB"/>
              </w:rPr>
            </w:pPr>
            <w:r w:rsidRPr="007B676B">
              <w:rPr>
                <w:lang w:val="en-GB"/>
              </w:rPr>
              <w:t>16</w:t>
            </w:r>
            <w:r w:rsidR="009D4901">
              <w:rPr>
                <w:lang w:val="en-GB"/>
              </w:rPr>
              <w:t>8</w:t>
            </w:r>
            <w:r>
              <w:rPr>
                <w:lang w:val="en-GB"/>
              </w:rPr>
              <w:t>.</w:t>
            </w:r>
            <w:r w:rsidR="009D4901">
              <w:rPr>
                <w:lang w:val="en-GB"/>
              </w:rPr>
              <w:t xml:space="preserve">0 </w:t>
            </w:r>
            <w:r w:rsidR="009D4901">
              <w:rPr>
                <w:rFonts w:cs="Arial"/>
                <w:lang w:val="en-GB"/>
              </w:rPr>
              <w:t xml:space="preserve">± </w:t>
            </w:r>
            <w:r w:rsidR="009D4901">
              <w:rPr>
                <w:lang w:val="en-GB"/>
              </w:rPr>
              <w:t>3.0</w:t>
            </w:r>
          </w:p>
        </w:tc>
        <w:tc>
          <w:tcPr>
            <w:tcW w:w="1179" w:type="dxa"/>
            <w:vAlign w:val="bottom"/>
          </w:tcPr>
          <w:p w14:paraId="07242316" w14:textId="5FBBA872" w:rsidR="007B676B" w:rsidRPr="00B57B36" w:rsidRDefault="007B676B" w:rsidP="007B676B">
            <w:pPr>
              <w:pStyle w:val="CETBodytext"/>
              <w:rPr>
                <w:lang w:val="en-GB"/>
              </w:rPr>
            </w:pPr>
            <w:r w:rsidRPr="007B676B">
              <w:rPr>
                <w:lang w:val="en-GB"/>
              </w:rPr>
              <w:t>124</w:t>
            </w:r>
            <w:r>
              <w:rPr>
                <w:lang w:val="en-GB"/>
              </w:rPr>
              <w:t>.</w:t>
            </w:r>
            <w:r w:rsidRPr="007B676B">
              <w:rPr>
                <w:lang w:val="en-GB"/>
              </w:rPr>
              <w:t>5</w:t>
            </w:r>
            <w:r w:rsidR="009D4901">
              <w:rPr>
                <w:lang w:val="en-GB"/>
              </w:rPr>
              <w:t xml:space="preserve"> </w:t>
            </w:r>
            <w:r w:rsidR="009D4901">
              <w:rPr>
                <w:rFonts w:cs="Arial"/>
                <w:lang w:val="en-GB"/>
              </w:rPr>
              <w:t xml:space="preserve">± </w:t>
            </w:r>
            <w:r w:rsidR="009D4901">
              <w:rPr>
                <w:lang w:val="en-GB"/>
              </w:rPr>
              <w:t>7.5</w:t>
            </w:r>
          </w:p>
        </w:tc>
      </w:tr>
      <w:tr w:rsidR="007B676B" w:rsidRPr="00B57B36" w14:paraId="4107C651" w14:textId="77777777" w:rsidTr="007B676B">
        <w:tc>
          <w:tcPr>
            <w:tcW w:w="1217" w:type="dxa"/>
            <w:shd w:val="clear" w:color="auto" w:fill="FFFFFF"/>
          </w:tcPr>
          <w:p w14:paraId="0F98A00F" w14:textId="7E8736D1" w:rsidR="007B676B" w:rsidRDefault="007B676B" w:rsidP="007B676B">
            <w:pPr>
              <w:pStyle w:val="CETBodytext"/>
              <w:rPr>
                <w:lang w:val="en-GB"/>
              </w:rPr>
            </w:pPr>
            <w:r w:rsidRPr="007B676B">
              <w:rPr>
                <w:lang w:val="en-GB"/>
              </w:rPr>
              <w:t>D[3,2]</w:t>
            </w:r>
          </w:p>
        </w:tc>
        <w:tc>
          <w:tcPr>
            <w:tcW w:w="1270" w:type="dxa"/>
          </w:tcPr>
          <w:p w14:paraId="6D4112E3" w14:textId="190358DB" w:rsidR="007B676B" w:rsidRPr="00B57B36" w:rsidRDefault="007B676B" w:rsidP="007B676B">
            <w:pPr>
              <w:pStyle w:val="CETBodytext"/>
              <w:rPr>
                <w:lang w:val="en-GB"/>
              </w:rPr>
            </w:pPr>
            <w:r w:rsidRPr="007B676B">
              <w:rPr>
                <w:lang w:val="en-GB"/>
              </w:rPr>
              <w:t>15.</w:t>
            </w:r>
            <w:r w:rsidR="009D4901">
              <w:rPr>
                <w:lang w:val="en-GB"/>
              </w:rPr>
              <w:t xml:space="preserve">1 </w:t>
            </w:r>
            <w:r w:rsidR="009D4901">
              <w:rPr>
                <w:rFonts w:cs="Arial"/>
                <w:lang w:val="en-GB"/>
              </w:rPr>
              <w:t>± 1.2</w:t>
            </w:r>
          </w:p>
        </w:tc>
        <w:tc>
          <w:tcPr>
            <w:tcW w:w="1179" w:type="dxa"/>
          </w:tcPr>
          <w:p w14:paraId="502C1AE1" w14:textId="6D76621A" w:rsidR="007B676B" w:rsidRPr="00B57B36" w:rsidRDefault="007B676B" w:rsidP="007B676B">
            <w:pPr>
              <w:pStyle w:val="CETBodytext"/>
              <w:rPr>
                <w:lang w:val="en-GB"/>
              </w:rPr>
            </w:pPr>
            <w:r w:rsidRPr="007B676B">
              <w:rPr>
                <w:lang w:val="en-GB"/>
              </w:rPr>
              <w:t>12.4</w:t>
            </w:r>
            <w:r w:rsidR="009D4901">
              <w:rPr>
                <w:lang w:val="en-GB"/>
              </w:rPr>
              <w:t xml:space="preserve"> </w:t>
            </w:r>
            <w:r w:rsidR="009D4901">
              <w:rPr>
                <w:rFonts w:cs="Arial"/>
                <w:lang w:val="en-GB"/>
              </w:rPr>
              <w:t xml:space="preserve">± </w:t>
            </w:r>
            <w:r w:rsidR="009D4901">
              <w:rPr>
                <w:lang w:val="en-GB"/>
              </w:rPr>
              <w:t>0.7</w:t>
            </w:r>
          </w:p>
        </w:tc>
        <w:tc>
          <w:tcPr>
            <w:tcW w:w="1179" w:type="dxa"/>
            <w:vAlign w:val="bottom"/>
          </w:tcPr>
          <w:p w14:paraId="362A0954" w14:textId="0E9AA20F" w:rsidR="007B676B" w:rsidRPr="00B57B36" w:rsidRDefault="007B676B" w:rsidP="007B676B">
            <w:pPr>
              <w:pStyle w:val="CETBodytext"/>
              <w:rPr>
                <w:lang w:val="en-GB"/>
              </w:rPr>
            </w:pPr>
            <w:r w:rsidRPr="007B676B">
              <w:rPr>
                <w:lang w:val="en-GB"/>
              </w:rPr>
              <w:t>17</w:t>
            </w:r>
            <w:r>
              <w:rPr>
                <w:lang w:val="en-GB"/>
              </w:rPr>
              <w:t>.</w:t>
            </w:r>
            <w:r w:rsidRPr="007B676B">
              <w:rPr>
                <w:lang w:val="en-GB"/>
              </w:rPr>
              <w:t>5</w:t>
            </w:r>
            <w:r w:rsidR="009D4901">
              <w:rPr>
                <w:lang w:val="en-GB"/>
              </w:rPr>
              <w:t xml:space="preserve"> </w:t>
            </w:r>
            <w:r w:rsidR="009D4901">
              <w:rPr>
                <w:rFonts w:cs="Arial"/>
                <w:lang w:val="en-GB"/>
              </w:rPr>
              <w:t xml:space="preserve">± </w:t>
            </w:r>
            <w:r w:rsidR="009D4901">
              <w:rPr>
                <w:lang w:val="en-GB"/>
              </w:rPr>
              <w:t>0.5</w:t>
            </w:r>
          </w:p>
        </w:tc>
        <w:tc>
          <w:tcPr>
            <w:tcW w:w="1179" w:type="dxa"/>
            <w:vAlign w:val="bottom"/>
          </w:tcPr>
          <w:p w14:paraId="05B49D75" w14:textId="661693E3" w:rsidR="007B676B" w:rsidRPr="00B57B36" w:rsidRDefault="007B676B" w:rsidP="007B676B">
            <w:pPr>
              <w:pStyle w:val="CETBodytext"/>
              <w:rPr>
                <w:lang w:val="en-GB"/>
              </w:rPr>
            </w:pPr>
            <w:r w:rsidRPr="007B676B">
              <w:rPr>
                <w:lang w:val="en-GB"/>
              </w:rPr>
              <w:t>15</w:t>
            </w:r>
            <w:r>
              <w:rPr>
                <w:lang w:val="en-GB"/>
              </w:rPr>
              <w:t>.</w:t>
            </w:r>
            <w:r w:rsidR="009D4901">
              <w:rPr>
                <w:lang w:val="en-GB"/>
              </w:rPr>
              <w:t xml:space="preserve">7 </w:t>
            </w:r>
            <w:r w:rsidR="009D4901">
              <w:rPr>
                <w:rFonts w:cs="Arial"/>
                <w:lang w:val="en-GB"/>
              </w:rPr>
              <w:t xml:space="preserve">± </w:t>
            </w:r>
            <w:r w:rsidR="009D4901">
              <w:rPr>
                <w:lang w:val="en-GB"/>
              </w:rPr>
              <w:t>1.0</w:t>
            </w:r>
          </w:p>
        </w:tc>
      </w:tr>
      <w:tr w:rsidR="007B676B" w:rsidRPr="00B57B36" w14:paraId="5CA7785C" w14:textId="77777777" w:rsidTr="007B676B">
        <w:tc>
          <w:tcPr>
            <w:tcW w:w="1217" w:type="dxa"/>
            <w:shd w:val="clear" w:color="auto" w:fill="FFFFFF"/>
          </w:tcPr>
          <w:p w14:paraId="624FF6F4" w14:textId="3A8EA225" w:rsidR="007B676B" w:rsidRPr="00B57B36" w:rsidRDefault="007B676B" w:rsidP="007B676B">
            <w:pPr>
              <w:pStyle w:val="CETBodytext"/>
              <w:ind w:right="-1"/>
              <w:rPr>
                <w:rFonts w:cs="Arial"/>
                <w:szCs w:val="18"/>
                <w:lang w:val="en-GB"/>
              </w:rPr>
            </w:pPr>
            <w:r w:rsidRPr="007B676B">
              <w:rPr>
                <w:rFonts w:cs="Arial"/>
                <w:szCs w:val="18"/>
                <w:lang w:val="en-GB"/>
              </w:rPr>
              <w:t>D[</w:t>
            </w:r>
            <w:r>
              <w:rPr>
                <w:rFonts w:cs="Arial"/>
                <w:szCs w:val="18"/>
                <w:lang w:val="en-GB"/>
              </w:rPr>
              <w:t>4</w:t>
            </w:r>
            <w:r w:rsidRPr="007B676B">
              <w:rPr>
                <w:rFonts w:cs="Arial"/>
                <w:szCs w:val="18"/>
                <w:lang w:val="en-GB"/>
              </w:rPr>
              <w:t>,</w:t>
            </w:r>
            <w:r>
              <w:rPr>
                <w:rFonts w:cs="Arial"/>
                <w:szCs w:val="18"/>
                <w:lang w:val="en-GB"/>
              </w:rPr>
              <w:t>3</w:t>
            </w:r>
            <w:r w:rsidRPr="007B676B">
              <w:rPr>
                <w:rFonts w:cs="Arial"/>
                <w:szCs w:val="18"/>
                <w:lang w:val="en-GB"/>
              </w:rPr>
              <w:t>]</w:t>
            </w:r>
          </w:p>
        </w:tc>
        <w:tc>
          <w:tcPr>
            <w:tcW w:w="1270" w:type="dxa"/>
          </w:tcPr>
          <w:p w14:paraId="30C1CD34" w14:textId="33CDD024" w:rsidR="007B676B" w:rsidRPr="00B57B36" w:rsidRDefault="007B676B" w:rsidP="007B676B">
            <w:pPr>
              <w:pStyle w:val="CETBodytext"/>
              <w:ind w:right="-1"/>
              <w:rPr>
                <w:rFonts w:cs="Arial"/>
                <w:szCs w:val="18"/>
                <w:lang w:val="en-GB"/>
              </w:rPr>
            </w:pPr>
            <w:r w:rsidRPr="007B676B">
              <w:rPr>
                <w:rFonts w:cs="Arial"/>
                <w:szCs w:val="18"/>
                <w:lang w:val="en-GB"/>
              </w:rPr>
              <w:t>177.8</w:t>
            </w:r>
            <w:r w:rsidR="009D4901">
              <w:rPr>
                <w:lang w:val="en-GB"/>
              </w:rPr>
              <w:t xml:space="preserve"> </w:t>
            </w:r>
            <w:r w:rsidR="009D4901">
              <w:rPr>
                <w:rFonts w:cs="Arial"/>
                <w:lang w:val="en-GB"/>
              </w:rPr>
              <w:t>± 10.7</w:t>
            </w:r>
          </w:p>
        </w:tc>
        <w:tc>
          <w:tcPr>
            <w:tcW w:w="1179" w:type="dxa"/>
          </w:tcPr>
          <w:p w14:paraId="4F1237A8" w14:textId="295E4221" w:rsidR="007B676B" w:rsidRPr="00B57B36" w:rsidRDefault="007B676B" w:rsidP="007B676B">
            <w:pPr>
              <w:pStyle w:val="CETBodytext"/>
              <w:ind w:right="-1"/>
              <w:rPr>
                <w:rFonts w:cs="Arial"/>
                <w:szCs w:val="18"/>
                <w:lang w:val="en-GB"/>
              </w:rPr>
            </w:pPr>
            <w:r w:rsidRPr="007B676B">
              <w:rPr>
                <w:rFonts w:cs="Arial"/>
                <w:szCs w:val="18"/>
                <w:lang w:val="en-GB"/>
              </w:rPr>
              <w:t>53.</w:t>
            </w:r>
            <w:r w:rsidR="009D4901">
              <w:rPr>
                <w:rFonts w:cs="Arial"/>
                <w:szCs w:val="18"/>
                <w:lang w:val="en-GB"/>
              </w:rPr>
              <w:t>3</w:t>
            </w:r>
            <w:r w:rsidR="009D4901">
              <w:rPr>
                <w:lang w:val="en-GB"/>
              </w:rPr>
              <w:t xml:space="preserve"> </w:t>
            </w:r>
            <w:r w:rsidR="009D4901">
              <w:rPr>
                <w:rFonts w:cs="Arial"/>
                <w:lang w:val="en-GB"/>
              </w:rPr>
              <w:t xml:space="preserve">± </w:t>
            </w:r>
            <w:r w:rsidR="009D4901">
              <w:rPr>
                <w:rFonts w:cs="Arial"/>
                <w:szCs w:val="18"/>
                <w:lang w:val="en-GB"/>
              </w:rPr>
              <w:t>2.7</w:t>
            </w:r>
          </w:p>
        </w:tc>
        <w:tc>
          <w:tcPr>
            <w:tcW w:w="1179" w:type="dxa"/>
            <w:vAlign w:val="bottom"/>
          </w:tcPr>
          <w:p w14:paraId="66C22D33" w14:textId="2BADC2FF" w:rsidR="007B676B" w:rsidRPr="00B57B36" w:rsidRDefault="007B676B" w:rsidP="007B676B">
            <w:pPr>
              <w:pStyle w:val="CETBodytext"/>
              <w:ind w:right="-1"/>
              <w:rPr>
                <w:rFonts w:cs="Arial"/>
                <w:szCs w:val="18"/>
                <w:lang w:val="en-GB"/>
              </w:rPr>
            </w:pPr>
            <w:r w:rsidRPr="007B676B">
              <w:rPr>
                <w:lang w:val="en-GB"/>
              </w:rPr>
              <w:t>76</w:t>
            </w:r>
            <w:r>
              <w:rPr>
                <w:lang w:val="en-GB"/>
              </w:rPr>
              <w:t>.</w:t>
            </w:r>
            <w:r w:rsidR="009D4901">
              <w:rPr>
                <w:lang w:val="en-GB"/>
              </w:rPr>
              <w:t xml:space="preserve">3 </w:t>
            </w:r>
            <w:r w:rsidR="009D4901">
              <w:rPr>
                <w:rFonts w:cs="Arial"/>
                <w:lang w:val="en-GB"/>
              </w:rPr>
              <w:t xml:space="preserve">± </w:t>
            </w:r>
            <w:r w:rsidR="009D4901">
              <w:rPr>
                <w:lang w:val="en-GB"/>
              </w:rPr>
              <w:t>2.4</w:t>
            </w:r>
          </w:p>
        </w:tc>
        <w:tc>
          <w:tcPr>
            <w:tcW w:w="1179" w:type="dxa"/>
            <w:vAlign w:val="bottom"/>
          </w:tcPr>
          <w:p w14:paraId="424CEDD8" w14:textId="123B41FF" w:rsidR="007B676B" w:rsidRPr="00B57B36" w:rsidRDefault="007B676B" w:rsidP="007B676B">
            <w:pPr>
              <w:pStyle w:val="CETBodytext"/>
              <w:ind w:right="-1"/>
              <w:rPr>
                <w:rFonts w:cs="Arial"/>
                <w:szCs w:val="18"/>
                <w:lang w:val="en-GB"/>
              </w:rPr>
            </w:pPr>
            <w:r w:rsidRPr="007B676B">
              <w:rPr>
                <w:lang w:val="en-GB"/>
              </w:rPr>
              <w:t>63</w:t>
            </w:r>
            <w:r>
              <w:rPr>
                <w:lang w:val="en-GB"/>
              </w:rPr>
              <w:t>.</w:t>
            </w:r>
            <w:r w:rsidRPr="007B676B">
              <w:rPr>
                <w:lang w:val="en-GB"/>
              </w:rPr>
              <w:t>7</w:t>
            </w:r>
            <w:r w:rsidR="009D4901">
              <w:rPr>
                <w:lang w:val="en-GB"/>
              </w:rPr>
              <w:t xml:space="preserve"> </w:t>
            </w:r>
            <w:r w:rsidR="009D4901">
              <w:rPr>
                <w:rFonts w:cs="Arial"/>
                <w:lang w:val="en-GB"/>
              </w:rPr>
              <w:t xml:space="preserve">± </w:t>
            </w:r>
            <w:r w:rsidR="009D4901">
              <w:rPr>
                <w:lang w:val="en-GB"/>
              </w:rPr>
              <w:t>2.5</w:t>
            </w:r>
          </w:p>
        </w:tc>
      </w:tr>
    </w:tbl>
    <w:p w14:paraId="3FCDD9AA" w14:textId="301C0ABA" w:rsidR="007B676B" w:rsidRPr="00B57B36" w:rsidRDefault="007B676B" w:rsidP="009F6828">
      <w:pPr>
        <w:pStyle w:val="CETheadingx"/>
      </w:pPr>
      <w:r>
        <w:t>Capillary suspensions</w:t>
      </w:r>
      <w:r w:rsidR="00EE1445">
        <w:t xml:space="preserve"> characterization</w:t>
      </w:r>
    </w:p>
    <w:p w14:paraId="58A7A098" w14:textId="3051B1E5" w:rsidR="00243F37" w:rsidRDefault="002659FC" w:rsidP="007477F8">
      <w:pPr>
        <w:pStyle w:val="CETBodytext"/>
        <w:rPr>
          <w:lang w:val="en-GB"/>
        </w:rPr>
      </w:pPr>
      <w:r w:rsidRPr="002659FC">
        <w:rPr>
          <w:lang w:val="en-GB"/>
        </w:rPr>
        <w:t>T</w:t>
      </w:r>
      <w:r>
        <w:rPr>
          <w:lang w:val="en-GB"/>
        </w:rPr>
        <w:t>he</w:t>
      </w:r>
      <w:r w:rsidRPr="002659FC">
        <w:rPr>
          <w:lang w:val="en-GB"/>
        </w:rPr>
        <w:t xml:space="preserve"> addition of </w:t>
      </w:r>
      <w:r>
        <w:rPr>
          <w:lang w:val="en-GB"/>
        </w:rPr>
        <w:t xml:space="preserve">water into </w:t>
      </w:r>
      <w:r w:rsidR="009F6828">
        <w:rPr>
          <w:lang w:val="en-GB"/>
        </w:rPr>
        <w:t xml:space="preserve">the </w:t>
      </w:r>
      <w:r>
        <w:rPr>
          <w:lang w:val="en-GB"/>
        </w:rPr>
        <w:t xml:space="preserve">oil </w:t>
      </w:r>
      <w:r w:rsidR="009F6828">
        <w:rPr>
          <w:lang w:val="en-GB"/>
        </w:rPr>
        <w:t>suspension</w:t>
      </w:r>
      <w:r>
        <w:rPr>
          <w:lang w:val="en-GB"/>
        </w:rPr>
        <w:t>s</w:t>
      </w:r>
      <w:r w:rsidR="009F6828">
        <w:rPr>
          <w:lang w:val="en-GB"/>
        </w:rPr>
        <w:t xml:space="preserve"> caused a drastic change in the system structure</w:t>
      </w:r>
      <w:r>
        <w:rPr>
          <w:lang w:val="en-GB"/>
        </w:rPr>
        <w:t xml:space="preserve">, due to </w:t>
      </w:r>
      <w:r w:rsidRPr="002659FC">
        <w:rPr>
          <w:lang w:val="en-GB"/>
        </w:rPr>
        <w:t xml:space="preserve">the formation of capillary bridges and the development of a </w:t>
      </w:r>
      <w:r>
        <w:rPr>
          <w:lang w:val="en-GB"/>
        </w:rPr>
        <w:t xml:space="preserve">gel-like </w:t>
      </w:r>
      <w:r w:rsidRPr="002659FC">
        <w:rPr>
          <w:lang w:val="en-GB"/>
        </w:rPr>
        <w:t>network</w:t>
      </w:r>
      <w:r w:rsidR="00243F37">
        <w:rPr>
          <w:lang w:val="en-GB"/>
        </w:rPr>
        <w:t xml:space="preserve">, </w:t>
      </w:r>
      <w:r w:rsidR="00243F37" w:rsidRPr="00243F37">
        <w:rPr>
          <w:lang w:val="en-GB"/>
        </w:rPr>
        <w:t xml:space="preserve">with higher consistency as the </w:t>
      </w:r>
      <w:r w:rsidR="009F6828">
        <w:rPr>
          <w:lang w:val="en-GB"/>
        </w:rPr>
        <w:t xml:space="preserve">SR </w:t>
      </w:r>
      <w:r w:rsidR="00243F37" w:rsidRPr="00243F37">
        <w:rPr>
          <w:lang w:val="en-GB"/>
        </w:rPr>
        <w:t>increase</w:t>
      </w:r>
      <w:r w:rsidR="009F6828">
        <w:rPr>
          <w:lang w:val="en-GB"/>
        </w:rPr>
        <w:t>d</w:t>
      </w:r>
      <w:r w:rsidR="00243F37" w:rsidRPr="00243F37">
        <w:rPr>
          <w:lang w:val="en-GB"/>
        </w:rPr>
        <w:t xml:space="preserve">, as shown in Figure </w:t>
      </w:r>
      <w:r w:rsidR="00243F37">
        <w:rPr>
          <w:lang w:val="en-GB"/>
        </w:rPr>
        <w:t>2</w:t>
      </w:r>
      <w:r w:rsidRPr="002659FC">
        <w:rPr>
          <w:lang w:val="en-GB"/>
        </w:rPr>
        <w:t>.</w:t>
      </w:r>
      <w:r w:rsidR="00243F37">
        <w:rPr>
          <w:lang w:val="en-GB"/>
        </w:rPr>
        <w:t xml:space="preserve"> At </w:t>
      </w:r>
      <w:r w:rsidR="009F6828">
        <w:rPr>
          <w:lang w:val="en-GB"/>
        </w:rPr>
        <w:t xml:space="preserve">SR = </w:t>
      </w:r>
      <w:r w:rsidR="00243F37">
        <w:rPr>
          <w:lang w:val="en-GB"/>
        </w:rPr>
        <w:t>0.05 and 0.30</w:t>
      </w:r>
      <w:r w:rsidR="00F115EA">
        <w:rPr>
          <w:lang w:val="en-GB"/>
        </w:rPr>
        <w:t>,</w:t>
      </w:r>
      <w:r w:rsidR="00243F37">
        <w:rPr>
          <w:lang w:val="en-GB"/>
        </w:rPr>
        <w:t xml:space="preserve"> both WM and </w:t>
      </w:r>
      <w:r w:rsidR="00585DE4">
        <w:rPr>
          <w:lang w:val="en-GB"/>
        </w:rPr>
        <w:t>CL</w:t>
      </w:r>
      <w:r w:rsidR="00243F37">
        <w:rPr>
          <w:lang w:val="en-GB"/>
        </w:rPr>
        <w:t xml:space="preserve"> suspensions</w:t>
      </w:r>
      <w:r w:rsidR="00243F37" w:rsidRPr="00243F37">
        <w:rPr>
          <w:lang w:val="en-GB"/>
        </w:rPr>
        <w:t xml:space="preserve"> </w:t>
      </w:r>
      <w:r w:rsidR="009F6828">
        <w:rPr>
          <w:lang w:val="en-GB"/>
        </w:rPr>
        <w:t xml:space="preserve">exhibited </w:t>
      </w:r>
      <w:r w:rsidR="00243F37" w:rsidRPr="00243F37">
        <w:rPr>
          <w:lang w:val="en-GB"/>
        </w:rPr>
        <w:t xml:space="preserve">a weak gel-like behavior, </w:t>
      </w:r>
      <w:r w:rsidR="00243F37">
        <w:rPr>
          <w:lang w:val="en-GB"/>
        </w:rPr>
        <w:t>with</w:t>
      </w:r>
      <w:r w:rsidR="00243F37" w:rsidRPr="00243F37">
        <w:rPr>
          <w:lang w:val="en-GB"/>
        </w:rPr>
        <w:t xml:space="preserve"> no interconnected water-rich aggregates. </w:t>
      </w:r>
      <w:r w:rsidR="00243F37">
        <w:rPr>
          <w:lang w:val="en-GB"/>
        </w:rPr>
        <w:t>With the increase in water concentration</w:t>
      </w:r>
      <w:r w:rsidR="009F6828">
        <w:rPr>
          <w:lang w:val="en-GB"/>
        </w:rPr>
        <w:t>,</w:t>
      </w:r>
      <w:r w:rsidR="00243F37" w:rsidRPr="00243F37">
        <w:rPr>
          <w:lang w:val="en-GB"/>
        </w:rPr>
        <w:t xml:space="preserve"> </w:t>
      </w:r>
      <w:r w:rsidR="00243F37">
        <w:rPr>
          <w:lang w:val="en-GB"/>
        </w:rPr>
        <w:t xml:space="preserve">an increase </w:t>
      </w:r>
      <w:r w:rsidR="00F115EA">
        <w:rPr>
          <w:lang w:val="en-GB"/>
        </w:rPr>
        <w:t xml:space="preserve">in </w:t>
      </w:r>
      <w:r w:rsidR="00243F37">
        <w:rPr>
          <w:lang w:val="en-GB"/>
        </w:rPr>
        <w:t xml:space="preserve">aggregates </w:t>
      </w:r>
      <w:r w:rsidR="009F6828">
        <w:rPr>
          <w:lang w:val="en-GB"/>
        </w:rPr>
        <w:t xml:space="preserve">was </w:t>
      </w:r>
      <w:r w:rsidR="009F6828" w:rsidRPr="00243F37">
        <w:rPr>
          <w:lang w:val="en-GB"/>
        </w:rPr>
        <w:t>ob</w:t>
      </w:r>
      <w:r w:rsidR="009F6828">
        <w:rPr>
          <w:lang w:val="en-GB"/>
        </w:rPr>
        <w:t xml:space="preserve">served </w:t>
      </w:r>
      <w:r w:rsidR="00243F37">
        <w:rPr>
          <w:lang w:val="en-GB"/>
        </w:rPr>
        <w:t>(</w:t>
      </w:r>
      <w:r w:rsidR="00243F37" w:rsidRPr="00243F37">
        <w:rPr>
          <w:lang w:val="en-GB"/>
        </w:rPr>
        <w:t>the dark area in the microscopic images</w:t>
      </w:r>
      <w:r w:rsidR="00243F37">
        <w:rPr>
          <w:lang w:val="en-GB"/>
        </w:rPr>
        <w:t>)</w:t>
      </w:r>
      <w:r w:rsidR="00243F37" w:rsidRPr="00243F37">
        <w:rPr>
          <w:lang w:val="en-GB"/>
        </w:rPr>
        <w:t xml:space="preserve">. </w:t>
      </w:r>
      <w:r w:rsidR="00243F37">
        <w:rPr>
          <w:lang w:val="en-GB"/>
        </w:rPr>
        <w:t xml:space="preserve">Therefore, a compact and homogeneous 3D structure </w:t>
      </w:r>
      <w:r w:rsidR="009F6828">
        <w:rPr>
          <w:lang w:val="en-GB"/>
        </w:rPr>
        <w:t xml:space="preserve">was developed for </w:t>
      </w:r>
      <w:r w:rsidR="00243F37">
        <w:rPr>
          <w:lang w:val="en-GB"/>
        </w:rPr>
        <w:t xml:space="preserve">SR </w:t>
      </w:r>
      <w:r w:rsidR="009F6828">
        <w:rPr>
          <w:lang w:val="en-GB"/>
        </w:rPr>
        <w:t xml:space="preserve">= </w:t>
      </w:r>
      <w:r w:rsidR="00243F37">
        <w:rPr>
          <w:lang w:val="en-GB"/>
        </w:rPr>
        <w:t>0.50</w:t>
      </w:r>
      <w:r w:rsidR="00243F37" w:rsidRPr="00243F37">
        <w:rPr>
          <w:lang w:val="en-GB"/>
        </w:rPr>
        <w:t xml:space="preserve">, suggesting the formation of </w:t>
      </w:r>
      <w:r w:rsidR="00F115EA">
        <w:rPr>
          <w:lang w:val="en-GB"/>
        </w:rPr>
        <w:t xml:space="preserve">a </w:t>
      </w:r>
      <w:r w:rsidR="00243F37" w:rsidRPr="00243F37">
        <w:rPr>
          <w:lang w:val="en-GB"/>
        </w:rPr>
        <w:t>capillary bridge network.</w:t>
      </w:r>
    </w:p>
    <w:p w14:paraId="6BC9EA24" w14:textId="0F3F2942" w:rsidR="00243F37" w:rsidRDefault="00CC3F23" w:rsidP="007477F8">
      <w:pPr>
        <w:pStyle w:val="CETBodytext"/>
        <w:rPr>
          <w:lang w:val="en-GB"/>
        </w:rPr>
      </w:pPr>
      <w:r>
        <w:rPr>
          <w:noProof/>
          <w:lang w:val="en-GB"/>
        </w:rPr>
        <w:drawing>
          <wp:inline distT="0" distB="0" distL="0" distR="0" wp14:anchorId="58EC59B2" wp14:editId="6EEEC3D1">
            <wp:extent cx="5576400" cy="3059948"/>
            <wp:effectExtent l="0" t="0" r="5715"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6400" cy="3059948"/>
                    </a:xfrm>
                    <a:prstGeom prst="rect">
                      <a:avLst/>
                    </a:prstGeom>
                    <a:noFill/>
                  </pic:spPr>
                </pic:pic>
              </a:graphicData>
            </a:graphic>
          </wp:inline>
        </w:drawing>
      </w:r>
    </w:p>
    <w:p w14:paraId="2C72B3D6" w14:textId="5C07B1A0" w:rsidR="00243F37" w:rsidRPr="00243F37" w:rsidRDefault="00243F37" w:rsidP="00243F37">
      <w:pPr>
        <w:pStyle w:val="CETCaption"/>
        <w:rPr>
          <w:rStyle w:val="CETCaptionCarattere"/>
        </w:rPr>
      </w:pPr>
      <w:r w:rsidRPr="00BD077D">
        <w:rPr>
          <w:rStyle w:val="CETCaptionCarattere"/>
          <w:i/>
        </w:rPr>
        <w:t xml:space="preserve">Figure </w:t>
      </w:r>
      <w:r>
        <w:rPr>
          <w:rStyle w:val="CETCaptionCarattere"/>
          <w:i/>
        </w:rPr>
        <w:t>2</w:t>
      </w:r>
      <w:r w:rsidRPr="00BD077D">
        <w:rPr>
          <w:rStyle w:val="CETCaptionCarattere"/>
          <w:i/>
        </w:rPr>
        <w:t>:</w:t>
      </w:r>
      <w:r w:rsidRPr="00B14789">
        <w:rPr>
          <w:rStyle w:val="CETCaptionCarattere"/>
          <w:i/>
        </w:rPr>
        <w:t xml:space="preserve"> </w:t>
      </w:r>
      <w:r>
        <w:rPr>
          <w:rStyle w:val="CETCaptionCarattere"/>
          <w:i/>
        </w:rPr>
        <w:t>M</w:t>
      </w:r>
      <w:r w:rsidRPr="00243F37">
        <w:rPr>
          <w:rStyle w:val="CETCaptionCarattere"/>
          <w:i/>
        </w:rPr>
        <w:t xml:space="preserve">icroscopic </w:t>
      </w:r>
      <w:r>
        <w:rPr>
          <w:rStyle w:val="CETCaptionCarattere"/>
          <w:i/>
        </w:rPr>
        <w:t>observations</w:t>
      </w:r>
      <w:r w:rsidRPr="00243F37">
        <w:rPr>
          <w:rStyle w:val="CETCaptionCarattere"/>
          <w:i/>
        </w:rPr>
        <w:t xml:space="preserve"> of </w:t>
      </w:r>
      <w:r>
        <w:rPr>
          <w:rStyle w:val="CETCaptionCarattere"/>
          <w:i/>
        </w:rPr>
        <w:t>capillary s</w:t>
      </w:r>
      <w:r w:rsidRPr="00243F37">
        <w:rPr>
          <w:rStyle w:val="CETCaptionCarattere"/>
          <w:i/>
        </w:rPr>
        <w:t xml:space="preserve">uspensions prepared from </w:t>
      </w:r>
      <w:r>
        <w:rPr>
          <w:rStyle w:val="CETCaptionCarattere"/>
          <w:i/>
        </w:rPr>
        <w:t xml:space="preserve">WM (first raw) and </w:t>
      </w:r>
      <w:r w:rsidR="00585DE4">
        <w:rPr>
          <w:rStyle w:val="CETCaptionCarattere"/>
          <w:i/>
        </w:rPr>
        <w:t>CL</w:t>
      </w:r>
      <w:r>
        <w:rPr>
          <w:rStyle w:val="CETCaptionCarattere"/>
          <w:i/>
        </w:rPr>
        <w:t xml:space="preserve"> (second raw) oil </w:t>
      </w:r>
      <w:r w:rsidR="009F6828">
        <w:rPr>
          <w:rStyle w:val="CETCaptionCarattere"/>
          <w:i/>
        </w:rPr>
        <w:t>suspension</w:t>
      </w:r>
      <w:r>
        <w:rPr>
          <w:rStyle w:val="CETCaptionCarattere"/>
          <w:i/>
        </w:rPr>
        <w:t>s adding</w:t>
      </w:r>
      <w:r w:rsidRPr="00243F37">
        <w:rPr>
          <w:rStyle w:val="CETCaptionCarattere"/>
          <w:i/>
        </w:rPr>
        <w:t xml:space="preserve"> water</w:t>
      </w:r>
      <w:r>
        <w:rPr>
          <w:rStyle w:val="CETCaptionCarattere"/>
          <w:i/>
        </w:rPr>
        <w:t xml:space="preserve"> at different saturation ratio</w:t>
      </w:r>
      <w:r w:rsidR="00F115EA">
        <w:rPr>
          <w:rStyle w:val="CETCaptionCarattere"/>
          <w:i/>
        </w:rPr>
        <w:t>s</w:t>
      </w:r>
      <w:r w:rsidRPr="00243F37">
        <w:rPr>
          <w:rStyle w:val="CETCaptionCarattere"/>
          <w:i/>
        </w:rPr>
        <w:t xml:space="preserve"> </w:t>
      </w:r>
      <w:r>
        <w:rPr>
          <w:rStyle w:val="CETCaptionCarattere"/>
          <w:i/>
        </w:rPr>
        <w:t>(</w:t>
      </w:r>
      <w:r w:rsidR="00F115EA">
        <w:rPr>
          <w:rStyle w:val="CETCaptionCarattere"/>
          <w:i/>
        </w:rPr>
        <w:t xml:space="preserve">SR = </w:t>
      </w:r>
      <w:r>
        <w:rPr>
          <w:rStyle w:val="CETCaptionCarattere"/>
          <w:i/>
        </w:rPr>
        <w:t xml:space="preserve">0.05 </w:t>
      </w:r>
      <w:r w:rsidR="00F115EA">
        <w:rPr>
          <w:rStyle w:val="CETCaptionCarattere"/>
          <w:i/>
        </w:rPr>
        <w:t xml:space="preserve">in the </w:t>
      </w:r>
      <w:r>
        <w:rPr>
          <w:rStyle w:val="CETCaptionCarattere"/>
          <w:i/>
        </w:rPr>
        <w:t xml:space="preserve">first column, 0.30 </w:t>
      </w:r>
      <w:r w:rsidR="00F115EA">
        <w:rPr>
          <w:rStyle w:val="CETCaptionCarattere"/>
          <w:i/>
        </w:rPr>
        <w:t xml:space="preserve">in the </w:t>
      </w:r>
      <w:r>
        <w:rPr>
          <w:rStyle w:val="CETCaptionCarattere"/>
          <w:i/>
        </w:rPr>
        <w:t xml:space="preserve">second column, and 0.50 </w:t>
      </w:r>
      <w:r w:rsidR="00F115EA">
        <w:rPr>
          <w:rStyle w:val="CETCaptionCarattere"/>
          <w:i/>
        </w:rPr>
        <w:t xml:space="preserve">in the </w:t>
      </w:r>
      <w:r>
        <w:rPr>
          <w:rStyle w:val="CETCaptionCarattere"/>
          <w:i/>
        </w:rPr>
        <w:t>third column).</w:t>
      </w:r>
    </w:p>
    <w:p w14:paraId="43645424" w14:textId="6F5DDB2E" w:rsidR="00243F37" w:rsidRDefault="00243F37" w:rsidP="007477F8">
      <w:pPr>
        <w:pStyle w:val="CETBodytext"/>
        <w:rPr>
          <w:lang w:val="en-GB"/>
        </w:rPr>
      </w:pPr>
      <w:r w:rsidRPr="00243F37">
        <w:rPr>
          <w:lang w:val="en-GB"/>
        </w:rPr>
        <w:t xml:space="preserve">The rheological </w:t>
      </w:r>
      <w:r w:rsidR="009F6828">
        <w:rPr>
          <w:lang w:val="en-GB"/>
        </w:rPr>
        <w:t>behavior</w:t>
      </w:r>
      <w:r w:rsidR="009F6828" w:rsidRPr="00243F37">
        <w:rPr>
          <w:lang w:val="en-GB"/>
        </w:rPr>
        <w:t xml:space="preserve"> </w:t>
      </w:r>
      <w:r w:rsidRPr="00243F37">
        <w:rPr>
          <w:lang w:val="en-GB"/>
        </w:rPr>
        <w:t xml:space="preserve">of </w:t>
      </w:r>
      <w:r>
        <w:rPr>
          <w:lang w:val="en-GB"/>
        </w:rPr>
        <w:t xml:space="preserve">WM and </w:t>
      </w:r>
      <w:r w:rsidR="00585DE4">
        <w:rPr>
          <w:lang w:val="en-GB"/>
        </w:rPr>
        <w:t>CL stabilized</w:t>
      </w:r>
      <w:r>
        <w:rPr>
          <w:lang w:val="en-GB"/>
        </w:rPr>
        <w:t xml:space="preserve"> </w:t>
      </w:r>
      <w:r w:rsidRPr="00243F37">
        <w:rPr>
          <w:lang w:val="en-GB"/>
        </w:rPr>
        <w:t xml:space="preserve">capillary suspensions is </w:t>
      </w:r>
      <w:r>
        <w:rPr>
          <w:lang w:val="en-GB"/>
        </w:rPr>
        <w:t>shown</w:t>
      </w:r>
      <w:r w:rsidRPr="00243F37">
        <w:rPr>
          <w:lang w:val="en-GB"/>
        </w:rPr>
        <w:t xml:space="preserve"> in Figure </w:t>
      </w:r>
      <w:r>
        <w:rPr>
          <w:lang w:val="en-GB"/>
        </w:rPr>
        <w:t xml:space="preserve">3. In agreement with the results of </w:t>
      </w:r>
      <w:r w:rsidR="00F115EA">
        <w:rPr>
          <w:lang w:val="en-GB"/>
        </w:rPr>
        <w:t xml:space="preserve">the </w:t>
      </w:r>
      <w:r>
        <w:rPr>
          <w:lang w:val="en-GB"/>
        </w:rPr>
        <w:t xml:space="preserve">microscopic analysis in </w:t>
      </w:r>
      <w:r w:rsidRPr="00243F37">
        <w:rPr>
          <w:lang w:val="en-GB"/>
        </w:rPr>
        <w:t xml:space="preserve">Figure </w:t>
      </w:r>
      <w:r>
        <w:rPr>
          <w:lang w:val="en-GB"/>
        </w:rPr>
        <w:t>2</w:t>
      </w:r>
      <w:r w:rsidRPr="00243F37">
        <w:rPr>
          <w:lang w:val="en-GB"/>
        </w:rPr>
        <w:t xml:space="preserve">, the formation of a </w:t>
      </w:r>
      <w:r>
        <w:rPr>
          <w:lang w:val="en-GB"/>
        </w:rPr>
        <w:t>3D</w:t>
      </w:r>
      <w:r w:rsidRPr="00243F37">
        <w:rPr>
          <w:lang w:val="en-GB"/>
        </w:rPr>
        <w:t xml:space="preserve"> network structure </w:t>
      </w:r>
      <w:r w:rsidR="009F6828">
        <w:rPr>
          <w:lang w:val="en-GB"/>
        </w:rPr>
        <w:t>was observed</w:t>
      </w:r>
      <w:r w:rsidR="00FB5EAE">
        <w:rPr>
          <w:lang w:val="en-GB"/>
        </w:rPr>
        <w:t xml:space="preserve"> upon water addition</w:t>
      </w:r>
      <w:r w:rsidR="009F6828">
        <w:rPr>
          <w:lang w:val="en-GB"/>
        </w:rPr>
        <w:t xml:space="preserve">, which </w:t>
      </w:r>
      <w:r w:rsidR="009F6828" w:rsidRPr="00243F37">
        <w:rPr>
          <w:lang w:val="en-GB"/>
        </w:rPr>
        <w:t>bec</w:t>
      </w:r>
      <w:r w:rsidR="009F6828">
        <w:rPr>
          <w:lang w:val="en-GB"/>
        </w:rPr>
        <w:t>a</w:t>
      </w:r>
      <w:r w:rsidR="009F6828" w:rsidRPr="00243F37">
        <w:rPr>
          <w:lang w:val="en-GB"/>
        </w:rPr>
        <w:t>m</w:t>
      </w:r>
      <w:r w:rsidR="009F6828">
        <w:rPr>
          <w:lang w:val="en-GB"/>
        </w:rPr>
        <w:t xml:space="preserve">e </w:t>
      </w:r>
      <w:r w:rsidRPr="00243F37">
        <w:rPr>
          <w:lang w:val="en-GB"/>
        </w:rPr>
        <w:t>stronger w</w:t>
      </w:r>
      <w:r>
        <w:rPr>
          <w:lang w:val="en-GB"/>
        </w:rPr>
        <w:t xml:space="preserve">ith </w:t>
      </w:r>
      <w:r w:rsidR="009F6828">
        <w:rPr>
          <w:lang w:val="en-GB"/>
        </w:rPr>
        <w:t xml:space="preserve">the </w:t>
      </w:r>
      <w:r>
        <w:rPr>
          <w:lang w:val="en-GB"/>
        </w:rPr>
        <w:t xml:space="preserve">increase of </w:t>
      </w:r>
      <w:r w:rsidR="009F6828">
        <w:rPr>
          <w:lang w:val="en-GB"/>
        </w:rPr>
        <w:t>SR</w:t>
      </w:r>
      <w:r w:rsidR="003007DE">
        <w:rPr>
          <w:lang w:val="en-GB"/>
        </w:rPr>
        <w:t xml:space="preserve"> value, with a corresponding increase in apparent viscosity. Remarkably, f</w:t>
      </w:r>
      <w:r w:rsidR="000A0524">
        <w:rPr>
          <w:lang w:val="en-GB"/>
        </w:rPr>
        <w:t>or WM</w:t>
      </w:r>
      <w:r w:rsidR="003007DE">
        <w:rPr>
          <w:lang w:val="en-GB"/>
        </w:rPr>
        <w:t>-stabilized capillary suspensions, higher apparent viscosity values than for CL</w:t>
      </w:r>
      <w:r w:rsidR="000A0524">
        <w:rPr>
          <w:lang w:val="en-GB"/>
        </w:rPr>
        <w:t>-stabilized suspensions</w:t>
      </w:r>
      <w:r w:rsidR="003007DE">
        <w:rPr>
          <w:lang w:val="en-GB"/>
        </w:rPr>
        <w:t xml:space="preserve"> were observed</w:t>
      </w:r>
      <w:r w:rsidR="000A0524">
        <w:rPr>
          <w:lang w:val="en-GB"/>
        </w:rPr>
        <w:t xml:space="preserve">, </w:t>
      </w:r>
      <w:r w:rsidR="009F6828">
        <w:rPr>
          <w:lang w:val="en-GB"/>
        </w:rPr>
        <w:t xml:space="preserve">at </w:t>
      </w:r>
      <w:r w:rsidR="00F115EA">
        <w:rPr>
          <w:lang w:val="en-GB"/>
        </w:rPr>
        <w:t xml:space="preserve">a </w:t>
      </w:r>
      <w:r w:rsidR="009F6828">
        <w:rPr>
          <w:lang w:val="en-GB"/>
        </w:rPr>
        <w:t xml:space="preserve">low shear rate, </w:t>
      </w:r>
      <w:r w:rsidR="003007DE">
        <w:rPr>
          <w:lang w:val="en-GB"/>
        </w:rPr>
        <w:t xml:space="preserve">for </w:t>
      </w:r>
      <w:r w:rsidR="009F6828">
        <w:rPr>
          <w:lang w:val="en-GB"/>
        </w:rPr>
        <w:t xml:space="preserve">SR = </w:t>
      </w:r>
      <w:r w:rsidR="000A0524">
        <w:rPr>
          <w:lang w:val="en-GB"/>
        </w:rPr>
        <w:t xml:space="preserve">0.30 </w:t>
      </w:r>
      <w:r w:rsidR="003007DE">
        <w:rPr>
          <w:lang w:val="en-GB"/>
        </w:rPr>
        <w:t xml:space="preserve">and </w:t>
      </w:r>
      <w:r w:rsidR="009F6828">
        <w:rPr>
          <w:lang w:val="en-GB"/>
        </w:rPr>
        <w:t xml:space="preserve">SR = </w:t>
      </w:r>
      <w:r w:rsidR="000A0524">
        <w:rPr>
          <w:lang w:val="en-GB"/>
        </w:rPr>
        <w:t>0.50</w:t>
      </w:r>
      <w:r w:rsidR="003007DE">
        <w:rPr>
          <w:lang w:val="en-GB"/>
        </w:rPr>
        <w:t>, whereas higher values were recorded for CL at SR = 0.05. Moreover</w:t>
      </w:r>
      <w:r w:rsidR="000A0524">
        <w:rPr>
          <w:lang w:val="en-GB"/>
        </w:rPr>
        <w:t xml:space="preserve">, due to the </w:t>
      </w:r>
      <w:r w:rsidR="003007DE">
        <w:rPr>
          <w:lang w:val="en-GB"/>
        </w:rPr>
        <w:t>gel</w:t>
      </w:r>
      <w:r w:rsidR="000A0524">
        <w:rPr>
          <w:lang w:val="en-GB"/>
        </w:rPr>
        <w:t>-</w:t>
      </w:r>
      <w:r w:rsidR="003007DE">
        <w:rPr>
          <w:lang w:val="en-GB"/>
        </w:rPr>
        <w:t xml:space="preserve">like </w:t>
      </w:r>
      <w:r w:rsidR="000A0524">
        <w:rPr>
          <w:lang w:val="en-GB"/>
        </w:rPr>
        <w:t xml:space="preserve">structure of </w:t>
      </w:r>
      <w:r w:rsidR="009F6828">
        <w:rPr>
          <w:lang w:val="en-GB"/>
        </w:rPr>
        <w:t xml:space="preserve">the </w:t>
      </w:r>
      <w:r w:rsidR="000A0524">
        <w:rPr>
          <w:lang w:val="en-GB"/>
        </w:rPr>
        <w:t>suspension</w:t>
      </w:r>
      <w:r w:rsidR="003007DE">
        <w:rPr>
          <w:lang w:val="en-GB"/>
        </w:rPr>
        <w:t>s</w:t>
      </w:r>
      <w:r w:rsidR="009F6828">
        <w:rPr>
          <w:lang w:val="en-GB"/>
        </w:rPr>
        <w:t xml:space="preserve">, </w:t>
      </w:r>
      <w:r w:rsidR="003007DE">
        <w:rPr>
          <w:lang w:val="en-GB"/>
        </w:rPr>
        <w:t xml:space="preserve">at all SRs, </w:t>
      </w:r>
      <w:r w:rsidR="009F6828">
        <w:rPr>
          <w:lang w:val="en-GB"/>
        </w:rPr>
        <w:t>as the shear rate increased,</w:t>
      </w:r>
      <w:r w:rsidR="000A0524">
        <w:rPr>
          <w:lang w:val="en-GB"/>
        </w:rPr>
        <w:t xml:space="preserve"> the network broke</w:t>
      </w:r>
      <w:r w:rsidR="009F6828">
        <w:rPr>
          <w:lang w:val="en-GB"/>
        </w:rPr>
        <w:t xml:space="preserve"> down</w:t>
      </w:r>
      <w:r w:rsidR="000A0524">
        <w:rPr>
          <w:lang w:val="en-GB"/>
        </w:rPr>
        <w:t xml:space="preserve">, and the viscosity </w:t>
      </w:r>
      <w:r w:rsidR="009F6828">
        <w:rPr>
          <w:lang w:val="en-GB"/>
        </w:rPr>
        <w:t xml:space="preserve">decreased </w:t>
      </w:r>
      <w:r w:rsidR="000A0524">
        <w:rPr>
          <w:lang w:val="en-GB"/>
        </w:rPr>
        <w:t>rapidly.</w:t>
      </w:r>
    </w:p>
    <w:p w14:paraId="0C13B07C" w14:textId="2C75E140" w:rsidR="00243F37" w:rsidRDefault="00EF1EAB" w:rsidP="008B121C">
      <w:r>
        <w:object w:dxaOrig="9045" w:dyaOrig="6886" w14:anchorId="29418173">
          <v:shape id="_x0000_i1026" type="#_x0000_t75" style="width:225.65pt;height:171.8pt" o:ole="">
            <v:imagedata r:id="rId14" o:title=""/>
          </v:shape>
          <o:OLEObject Type="Embed" ProgID="SigmaPlotGraphicObject.11" ShapeID="_x0000_i1026" DrawAspect="Content" ObjectID="_1740812207" r:id="rId15"/>
        </w:object>
      </w:r>
      <w:r>
        <w:object w:dxaOrig="8461" w:dyaOrig="6615" w14:anchorId="0C4213FC">
          <v:shape id="_x0000_i1027" type="#_x0000_t75" style="width:211.5pt;height:165.4pt" o:ole="">
            <v:imagedata r:id="rId16" o:title=""/>
          </v:shape>
          <o:OLEObject Type="Embed" ProgID="SigmaPlotGraphicObject.11" ShapeID="_x0000_i1027" DrawAspect="Content" ObjectID="_1740812208" r:id="rId17"/>
        </w:object>
      </w:r>
    </w:p>
    <w:p w14:paraId="5BED1863" w14:textId="0209D325" w:rsidR="000A0524" w:rsidRDefault="000A0524" w:rsidP="000A0524">
      <w:pPr>
        <w:pStyle w:val="CETCaption"/>
        <w:rPr>
          <w:rStyle w:val="CETCaptionCarattere"/>
          <w:i/>
        </w:rPr>
      </w:pPr>
      <w:r w:rsidRPr="00BD077D">
        <w:rPr>
          <w:rStyle w:val="CETCaptionCarattere"/>
          <w:i/>
        </w:rPr>
        <w:t xml:space="preserve">Figure </w:t>
      </w:r>
      <w:r w:rsidRPr="000A0524">
        <w:rPr>
          <w:rStyle w:val="CETCaptionCarattere"/>
          <w:i/>
        </w:rPr>
        <w:t>2</w:t>
      </w:r>
      <w:r w:rsidRPr="00BD077D">
        <w:rPr>
          <w:rStyle w:val="CETCaptionCarattere"/>
          <w:i/>
        </w:rPr>
        <w:t>:</w:t>
      </w:r>
      <w:r w:rsidRPr="00B14789">
        <w:rPr>
          <w:rStyle w:val="CETCaptionCarattere"/>
          <w:i/>
        </w:rPr>
        <w:t xml:space="preserve"> </w:t>
      </w:r>
      <w:r w:rsidRPr="000A0524">
        <w:rPr>
          <w:rStyle w:val="CETCaptionCarattere"/>
          <w:i/>
        </w:rPr>
        <w:t xml:space="preserve">Flow curves </w:t>
      </w:r>
      <w:r>
        <w:rPr>
          <w:rStyle w:val="CETCaptionCarattere"/>
          <w:i/>
        </w:rPr>
        <w:t>of capillary suspensions</w:t>
      </w:r>
      <w:r w:rsidRPr="000A0524">
        <w:rPr>
          <w:rStyle w:val="CETCaptionCarattere"/>
          <w:i/>
        </w:rPr>
        <w:t xml:space="preserve"> </w:t>
      </w:r>
      <w:r>
        <w:rPr>
          <w:rStyle w:val="CETCaptionCarattere"/>
          <w:i/>
        </w:rPr>
        <w:t xml:space="preserve">stabilized by WM (left) and </w:t>
      </w:r>
      <w:r w:rsidR="00585DE4">
        <w:rPr>
          <w:rStyle w:val="CETCaptionCarattere"/>
          <w:i/>
        </w:rPr>
        <w:t>CL</w:t>
      </w:r>
      <w:r>
        <w:rPr>
          <w:rStyle w:val="CETCaptionCarattere"/>
          <w:i/>
        </w:rPr>
        <w:t xml:space="preserve"> (right) particles </w:t>
      </w:r>
      <w:r w:rsidRPr="000A0524">
        <w:rPr>
          <w:rStyle w:val="CETCaptionCarattere"/>
          <w:i/>
        </w:rPr>
        <w:t xml:space="preserve">as a function of </w:t>
      </w:r>
      <w:r w:rsidR="009F6828">
        <w:rPr>
          <w:rStyle w:val="CETCaptionCarattere"/>
          <w:i/>
        </w:rPr>
        <w:t xml:space="preserve">the </w:t>
      </w:r>
      <w:r w:rsidRPr="000A0524">
        <w:rPr>
          <w:rStyle w:val="CETCaptionCarattere"/>
          <w:i/>
        </w:rPr>
        <w:t xml:space="preserve">saturation </w:t>
      </w:r>
      <w:r>
        <w:rPr>
          <w:rStyle w:val="CETCaptionCarattere"/>
          <w:i/>
        </w:rPr>
        <w:t>ratio</w:t>
      </w:r>
      <w:r w:rsidR="009F6828">
        <w:rPr>
          <w:rStyle w:val="CETCaptionCarattere"/>
          <w:i/>
        </w:rPr>
        <w:t xml:space="preserve"> SR</w:t>
      </w:r>
      <w:r>
        <w:rPr>
          <w:rStyle w:val="CETCaptionCarattere"/>
          <w:i/>
        </w:rPr>
        <w:t>.</w:t>
      </w:r>
    </w:p>
    <w:p w14:paraId="7C0EDBCC" w14:textId="33C0AFCC" w:rsidR="00061EC2" w:rsidRPr="00061EC2" w:rsidRDefault="00061EC2" w:rsidP="00061EC2">
      <w:pPr>
        <w:pStyle w:val="CETBodytext"/>
        <w:rPr>
          <w:iCs/>
        </w:rPr>
      </w:pPr>
      <w:r>
        <w:rPr>
          <w:iCs/>
        </w:rPr>
        <w:t xml:space="preserve">Table 2 </w:t>
      </w:r>
      <w:r w:rsidR="009F6828">
        <w:rPr>
          <w:iCs/>
        </w:rPr>
        <w:t xml:space="preserve">summarizes the </w:t>
      </w:r>
      <w:r w:rsidRPr="00061EC2">
        <w:rPr>
          <w:iCs/>
        </w:rPr>
        <w:t>results of the apparent yield stress</w:t>
      </w:r>
      <w:r w:rsidR="009F6828">
        <w:rPr>
          <w:iCs/>
        </w:rPr>
        <w:t xml:space="preserve"> values, derived from the flow curves</w:t>
      </w:r>
      <w:r w:rsidR="003007DE">
        <w:rPr>
          <w:iCs/>
        </w:rPr>
        <w:t>, calculated as previously reported (</w:t>
      </w:r>
      <w:r w:rsidR="003007DE" w:rsidRPr="00317D13">
        <w:rPr>
          <w:lang w:val="en-GB"/>
        </w:rPr>
        <w:t>Mustafa et al., 2018</w:t>
      </w:r>
      <w:r w:rsidR="003007DE">
        <w:rPr>
          <w:iCs/>
        </w:rPr>
        <w:t>)</w:t>
      </w:r>
      <w:r>
        <w:rPr>
          <w:iCs/>
        </w:rPr>
        <w:t>.</w:t>
      </w:r>
      <w:r w:rsidR="005065C2">
        <w:rPr>
          <w:iCs/>
        </w:rPr>
        <w:t xml:space="preserve"> </w:t>
      </w:r>
      <w:r w:rsidR="005065C2" w:rsidRPr="005065C2">
        <w:rPr>
          <w:iCs/>
        </w:rPr>
        <w:t xml:space="preserve">The capillary suspensions </w:t>
      </w:r>
      <w:r w:rsidR="009F6828">
        <w:rPr>
          <w:iCs/>
        </w:rPr>
        <w:t xml:space="preserve">exhibited </w:t>
      </w:r>
      <w:r w:rsidR="005065C2" w:rsidRPr="005065C2">
        <w:rPr>
          <w:iCs/>
        </w:rPr>
        <w:t>an</w:t>
      </w:r>
      <w:r w:rsidR="005065C2">
        <w:rPr>
          <w:iCs/>
        </w:rPr>
        <w:t xml:space="preserve"> </w:t>
      </w:r>
      <w:r w:rsidR="005065C2" w:rsidRPr="005065C2">
        <w:rPr>
          <w:iCs/>
        </w:rPr>
        <w:t xml:space="preserve">increase in </w:t>
      </w:r>
      <w:r w:rsidR="005065C2">
        <w:rPr>
          <w:iCs/>
        </w:rPr>
        <w:t xml:space="preserve">apparent </w:t>
      </w:r>
      <w:r w:rsidR="005065C2" w:rsidRPr="005065C2">
        <w:rPr>
          <w:iCs/>
        </w:rPr>
        <w:t>yield stress</w:t>
      </w:r>
      <w:r w:rsidR="005065C2">
        <w:rPr>
          <w:iCs/>
        </w:rPr>
        <w:t xml:space="preserve"> </w:t>
      </w:r>
      <w:r w:rsidRPr="00061EC2">
        <w:rPr>
          <w:iCs/>
        </w:rPr>
        <w:t xml:space="preserve">with increasing </w:t>
      </w:r>
      <w:r>
        <w:rPr>
          <w:iCs/>
        </w:rPr>
        <w:t xml:space="preserve">water </w:t>
      </w:r>
      <w:r w:rsidRPr="00061EC2">
        <w:rPr>
          <w:iCs/>
        </w:rPr>
        <w:t>concentration</w:t>
      </w:r>
      <w:r>
        <w:rPr>
          <w:iCs/>
        </w:rPr>
        <w:t xml:space="preserve"> </w:t>
      </w:r>
      <w:r w:rsidR="009F6828">
        <w:rPr>
          <w:iCs/>
        </w:rPr>
        <w:t xml:space="preserve">(SR) </w:t>
      </w:r>
      <w:r>
        <w:rPr>
          <w:iCs/>
        </w:rPr>
        <w:t xml:space="preserve">in </w:t>
      </w:r>
      <w:r w:rsidR="009F6828">
        <w:rPr>
          <w:iCs/>
        </w:rPr>
        <w:t xml:space="preserve">the </w:t>
      </w:r>
      <w:r>
        <w:rPr>
          <w:iCs/>
        </w:rPr>
        <w:t>oil suspensions</w:t>
      </w:r>
      <w:r w:rsidRPr="00061EC2">
        <w:rPr>
          <w:iCs/>
        </w:rPr>
        <w:t>.</w:t>
      </w:r>
      <w:r>
        <w:rPr>
          <w:iCs/>
        </w:rPr>
        <w:t xml:space="preserve"> </w:t>
      </w:r>
      <w:r w:rsidR="00C91CA2" w:rsidRPr="00061EC2">
        <w:rPr>
          <w:iCs/>
        </w:rPr>
        <w:t xml:space="preserve">This </w:t>
      </w:r>
      <w:r w:rsidR="00C91CA2">
        <w:rPr>
          <w:iCs/>
        </w:rPr>
        <w:t xml:space="preserve">trend </w:t>
      </w:r>
      <w:r w:rsidR="003007DE">
        <w:rPr>
          <w:iCs/>
        </w:rPr>
        <w:t xml:space="preserve">can be explained by </w:t>
      </w:r>
      <w:r w:rsidR="00C91CA2" w:rsidRPr="00061EC2">
        <w:rPr>
          <w:iCs/>
        </w:rPr>
        <w:t xml:space="preserve">the increase </w:t>
      </w:r>
      <w:r w:rsidR="00F115EA">
        <w:rPr>
          <w:iCs/>
        </w:rPr>
        <w:t>in</w:t>
      </w:r>
      <w:r w:rsidR="00F115EA" w:rsidRPr="00061EC2">
        <w:rPr>
          <w:iCs/>
        </w:rPr>
        <w:t xml:space="preserve"> </w:t>
      </w:r>
      <w:r w:rsidR="00C91CA2" w:rsidRPr="00061EC2">
        <w:rPr>
          <w:iCs/>
        </w:rPr>
        <w:t>network strength</w:t>
      </w:r>
      <w:r w:rsidR="00C91CA2">
        <w:rPr>
          <w:iCs/>
        </w:rPr>
        <w:t xml:space="preserve">. </w:t>
      </w:r>
      <w:r w:rsidR="003007DE">
        <w:rPr>
          <w:iCs/>
        </w:rPr>
        <w:t>However, when SR is increased above a critical value (SR &gt; 0.5), a phase inversion was observed, with a switch from a continuous oil phase to a continuous water phase (data not reported).</w:t>
      </w:r>
      <w:r w:rsidR="001E03C5">
        <w:rPr>
          <w:iCs/>
        </w:rPr>
        <w:t xml:space="preserve"> </w:t>
      </w:r>
      <w:r w:rsidR="009F6828">
        <w:rPr>
          <w:iCs/>
        </w:rPr>
        <w:t>Moreover, u</w:t>
      </w:r>
      <w:r w:rsidR="005065C2">
        <w:rPr>
          <w:iCs/>
        </w:rPr>
        <w:t xml:space="preserve">sing different </w:t>
      </w:r>
      <w:r w:rsidR="003007DE">
        <w:rPr>
          <w:iCs/>
        </w:rPr>
        <w:t xml:space="preserve">types of </w:t>
      </w:r>
      <w:r w:rsidR="005065C2">
        <w:rPr>
          <w:iCs/>
        </w:rPr>
        <w:t>solid particles</w:t>
      </w:r>
      <w:r w:rsidR="003007DE">
        <w:rPr>
          <w:iCs/>
        </w:rPr>
        <w:t xml:space="preserve"> (e.g. WM or CL) greatly affected</w:t>
      </w:r>
      <w:r w:rsidR="00C91CA2">
        <w:rPr>
          <w:iCs/>
        </w:rPr>
        <w:t xml:space="preserve"> the network formation </w:t>
      </w:r>
      <w:r w:rsidR="009F6828">
        <w:rPr>
          <w:iCs/>
        </w:rPr>
        <w:t>in the capillary suspension</w:t>
      </w:r>
      <w:r w:rsidR="003007DE">
        <w:rPr>
          <w:iCs/>
        </w:rPr>
        <w:t>s</w:t>
      </w:r>
      <w:r w:rsidR="009F6828">
        <w:rPr>
          <w:iCs/>
        </w:rPr>
        <w:t xml:space="preserve">, and the </w:t>
      </w:r>
      <w:r w:rsidR="003007DE">
        <w:rPr>
          <w:iCs/>
        </w:rPr>
        <w:t xml:space="preserve">deriving </w:t>
      </w:r>
      <w:r w:rsidR="009F6828">
        <w:rPr>
          <w:iCs/>
        </w:rPr>
        <w:t xml:space="preserve">rheological properties: </w:t>
      </w:r>
      <w:r w:rsidR="00C91CA2">
        <w:rPr>
          <w:iCs/>
        </w:rPr>
        <w:t xml:space="preserve">the apparent yield stress of </w:t>
      </w:r>
      <w:r w:rsidR="003007DE">
        <w:rPr>
          <w:iCs/>
        </w:rPr>
        <w:t>CL</w:t>
      </w:r>
      <w:r w:rsidR="00C91CA2">
        <w:rPr>
          <w:iCs/>
        </w:rPr>
        <w:t xml:space="preserve">-based capillary suspension </w:t>
      </w:r>
      <w:r w:rsidR="009F6828">
        <w:rPr>
          <w:iCs/>
        </w:rPr>
        <w:t xml:space="preserve">was </w:t>
      </w:r>
      <w:r w:rsidR="003007DE">
        <w:rPr>
          <w:iCs/>
        </w:rPr>
        <w:t xml:space="preserve">significantly higher (one order of magnitude) </w:t>
      </w:r>
      <w:r w:rsidR="00C91CA2">
        <w:rPr>
          <w:iCs/>
        </w:rPr>
        <w:t xml:space="preserve">than </w:t>
      </w:r>
      <w:r w:rsidR="009F6828">
        <w:rPr>
          <w:iCs/>
        </w:rPr>
        <w:t xml:space="preserve">for </w:t>
      </w:r>
      <w:r w:rsidR="00C91CA2">
        <w:rPr>
          <w:iCs/>
        </w:rPr>
        <w:t>WM</w:t>
      </w:r>
      <w:r w:rsidR="003007DE">
        <w:rPr>
          <w:iCs/>
        </w:rPr>
        <w:t xml:space="preserve"> at SR = 0.05, but it was significantly lower</w:t>
      </w:r>
      <w:r w:rsidR="00C91CA2">
        <w:rPr>
          <w:iCs/>
        </w:rPr>
        <w:t xml:space="preserve"> </w:t>
      </w:r>
      <w:r w:rsidR="003007DE">
        <w:rPr>
          <w:iCs/>
        </w:rPr>
        <w:t xml:space="preserve">(one order of magnitude) </w:t>
      </w:r>
      <w:r w:rsidR="00C91CA2">
        <w:rPr>
          <w:iCs/>
        </w:rPr>
        <w:t xml:space="preserve">at SR of 0.50. </w:t>
      </w:r>
      <w:r w:rsidR="005065C2" w:rsidRPr="005065C2">
        <w:rPr>
          <w:iCs/>
        </w:rPr>
        <w:t xml:space="preserve">The differences in </w:t>
      </w:r>
      <w:r w:rsidR="005065C2">
        <w:rPr>
          <w:iCs/>
        </w:rPr>
        <w:t>the</w:t>
      </w:r>
      <w:r w:rsidR="005065C2" w:rsidRPr="005065C2">
        <w:rPr>
          <w:iCs/>
        </w:rPr>
        <w:t xml:space="preserve"> rheological behavior </w:t>
      </w:r>
      <w:r w:rsidR="00F115EA">
        <w:rPr>
          <w:iCs/>
        </w:rPr>
        <w:t>of</w:t>
      </w:r>
      <w:r w:rsidR="00F115EA" w:rsidRPr="005065C2">
        <w:rPr>
          <w:iCs/>
        </w:rPr>
        <w:t xml:space="preserve"> </w:t>
      </w:r>
      <w:r w:rsidR="005065C2" w:rsidRPr="005065C2">
        <w:rPr>
          <w:iCs/>
        </w:rPr>
        <w:t xml:space="preserve">the different particles </w:t>
      </w:r>
      <w:r w:rsidR="009F6828">
        <w:rPr>
          <w:iCs/>
        </w:rPr>
        <w:t xml:space="preserve">can be </w:t>
      </w:r>
      <w:r w:rsidR="005065C2" w:rsidRPr="005065C2">
        <w:rPr>
          <w:iCs/>
        </w:rPr>
        <w:t>assumed to be related to the shape</w:t>
      </w:r>
      <w:r w:rsidR="005065C2">
        <w:rPr>
          <w:iCs/>
        </w:rPr>
        <w:t xml:space="preserve"> </w:t>
      </w:r>
      <w:r w:rsidR="003007DE">
        <w:rPr>
          <w:iCs/>
        </w:rPr>
        <w:t xml:space="preserve">of the particles, affecting </w:t>
      </w:r>
      <w:r w:rsidR="005065C2" w:rsidRPr="005065C2">
        <w:rPr>
          <w:iCs/>
        </w:rPr>
        <w:t>the capillary bridges formed in the suspensions</w:t>
      </w:r>
      <w:r w:rsidR="005065C2">
        <w:rPr>
          <w:iCs/>
        </w:rPr>
        <w:t xml:space="preserve"> (</w:t>
      </w:r>
      <w:r w:rsidR="005065C2">
        <w:t>Maurath et al., 2016).</w:t>
      </w:r>
    </w:p>
    <w:p w14:paraId="2E91EE58" w14:textId="2D76C5D1" w:rsidR="00BB4922" w:rsidRPr="00B57B36" w:rsidRDefault="00BB4922" w:rsidP="00BB4922">
      <w:pPr>
        <w:pStyle w:val="CETTabletitle"/>
      </w:pPr>
      <w:r w:rsidRPr="00B57B36">
        <w:t xml:space="preserve">Table </w:t>
      </w:r>
      <w:r>
        <w:t>2</w:t>
      </w:r>
      <w:r w:rsidRPr="00B57B36">
        <w:t xml:space="preserve">: </w:t>
      </w:r>
      <w:r w:rsidR="00C91CA2" w:rsidRPr="00C91CA2">
        <w:t>Apparent yield stress for WM</w:t>
      </w:r>
      <w:r w:rsidR="00C91CA2">
        <w:t xml:space="preserve"> and </w:t>
      </w:r>
      <w:r w:rsidR="00585DE4">
        <w:t>CL-</w:t>
      </w:r>
      <w:r w:rsidR="00C91CA2" w:rsidRPr="00C91CA2">
        <w:t>in-oil</w:t>
      </w:r>
      <w:r w:rsidR="00F115EA">
        <w:t xml:space="preserve"> </w:t>
      </w:r>
      <w:r w:rsidR="009F6828">
        <w:t>suspension</w:t>
      </w:r>
      <w:r w:rsidR="00C91CA2" w:rsidRPr="00C91CA2">
        <w:t xml:space="preserve">s at 30% </w:t>
      </w:r>
      <w:r w:rsidR="00C91CA2">
        <w:t xml:space="preserve">and 5% </w:t>
      </w:r>
      <w:r w:rsidR="00C91CA2" w:rsidRPr="00C91CA2">
        <w:t>w/w</w:t>
      </w:r>
      <w:r w:rsidR="00C91CA2">
        <w:t>, respectively,</w:t>
      </w:r>
      <w:r w:rsidR="00C91CA2" w:rsidRPr="00C91CA2">
        <w:t xml:space="preserve"> as a function of saturation </w:t>
      </w:r>
      <w:r w:rsidR="00F115EA">
        <w:t>ratio SR</w:t>
      </w:r>
      <w:r w:rsidR="00C91CA2">
        <w:t>.</w:t>
      </w:r>
    </w:p>
    <w:tbl>
      <w:tblPr>
        <w:tblW w:w="425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50"/>
        <w:gridCol w:w="1701"/>
        <w:gridCol w:w="1701"/>
      </w:tblGrid>
      <w:tr w:rsidR="00C91CA2" w:rsidRPr="00B57B36" w14:paraId="48224FC9" w14:textId="77777777" w:rsidTr="007C740B">
        <w:tc>
          <w:tcPr>
            <w:tcW w:w="850" w:type="dxa"/>
            <w:vMerge w:val="restart"/>
            <w:tcBorders>
              <w:top w:val="single" w:sz="12" w:space="0" w:color="008000"/>
            </w:tcBorders>
            <w:shd w:val="clear" w:color="auto" w:fill="FFFFFF"/>
            <w:vAlign w:val="center"/>
          </w:tcPr>
          <w:p w14:paraId="2F7178D7" w14:textId="09B85DE5" w:rsidR="00C91CA2" w:rsidRPr="00B57B36" w:rsidRDefault="00C91CA2" w:rsidP="00C91CA2">
            <w:pPr>
              <w:pStyle w:val="CETBodytext"/>
              <w:jc w:val="left"/>
              <w:rPr>
                <w:lang w:val="en-GB"/>
              </w:rPr>
            </w:pPr>
            <w:r>
              <w:rPr>
                <w:lang w:val="en-GB"/>
              </w:rPr>
              <w:t>SR (-)</w:t>
            </w:r>
          </w:p>
        </w:tc>
        <w:tc>
          <w:tcPr>
            <w:tcW w:w="3402" w:type="dxa"/>
            <w:gridSpan w:val="2"/>
            <w:tcBorders>
              <w:top w:val="single" w:sz="12" w:space="0" w:color="008000"/>
              <w:bottom w:val="single" w:sz="6" w:space="0" w:color="008000"/>
            </w:tcBorders>
            <w:shd w:val="clear" w:color="auto" w:fill="FFFFFF"/>
          </w:tcPr>
          <w:p w14:paraId="0D81EE57" w14:textId="3B94EF38" w:rsidR="00C91CA2" w:rsidRDefault="00C91CA2" w:rsidP="009C4FB2">
            <w:pPr>
              <w:pStyle w:val="CETBodytext"/>
              <w:jc w:val="center"/>
              <w:rPr>
                <w:lang w:val="en-GB"/>
              </w:rPr>
            </w:pPr>
            <w:r>
              <w:rPr>
                <w:lang w:val="en-GB"/>
              </w:rPr>
              <w:t>Apparent yield stress (Pa)</w:t>
            </w:r>
          </w:p>
        </w:tc>
      </w:tr>
      <w:tr w:rsidR="003007DE" w:rsidRPr="00B57B36" w14:paraId="045A91FE" w14:textId="77777777" w:rsidTr="007C740B">
        <w:tc>
          <w:tcPr>
            <w:tcW w:w="850" w:type="dxa"/>
            <w:vMerge/>
            <w:tcBorders>
              <w:bottom w:val="single" w:sz="12" w:space="0" w:color="008000"/>
            </w:tcBorders>
            <w:shd w:val="clear" w:color="auto" w:fill="FFFFFF"/>
          </w:tcPr>
          <w:p w14:paraId="1F4FF365" w14:textId="77777777" w:rsidR="00C91CA2" w:rsidRDefault="00C91CA2" w:rsidP="00C91CA2">
            <w:pPr>
              <w:pStyle w:val="CETBodytext"/>
              <w:rPr>
                <w:lang w:val="en-GB"/>
              </w:rPr>
            </w:pPr>
          </w:p>
        </w:tc>
        <w:tc>
          <w:tcPr>
            <w:tcW w:w="1701" w:type="dxa"/>
            <w:tcBorders>
              <w:top w:val="single" w:sz="6" w:space="0" w:color="008000"/>
              <w:bottom w:val="single" w:sz="12" w:space="0" w:color="008000"/>
            </w:tcBorders>
            <w:shd w:val="clear" w:color="auto" w:fill="FFFFFF"/>
          </w:tcPr>
          <w:p w14:paraId="593930CC" w14:textId="091D138B" w:rsidR="00C91CA2" w:rsidRDefault="00C91CA2" w:rsidP="00C91CA2">
            <w:pPr>
              <w:pStyle w:val="CETBodytext"/>
              <w:jc w:val="center"/>
              <w:rPr>
                <w:lang w:val="en-GB"/>
              </w:rPr>
            </w:pPr>
            <w:r>
              <w:rPr>
                <w:lang w:val="en-GB"/>
              </w:rPr>
              <w:t>WM</w:t>
            </w:r>
          </w:p>
        </w:tc>
        <w:tc>
          <w:tcPr>
            <w:tcW w:w="1701" w:type="dxa"/>
            <w:tcBorders>
              <w:top w:val="single" w:sz="6" w:space="0" w:color="008000"/>
              <w:bottom w:val="single" w:sz="12" w:space="0" w:color="008000"/>
            </w:tcBorders>
            <w:shd w:val="clear" w:color="auto" w:fill="FFFFFF"/>
          </w:tcPr>
          <w:p w14:paraId="0211EA6A" w14:textId="697A7D6C" w:rsidR="00C91CA2" w:rsidRDefault="00585DE4" w:rsidP="00C91CA2">
            <w:pPr>
              <w:pStyle w:val="CETBodytext"/>
              <w:jc w:val="center"/>
              <w:rPr>
                <w:lang w:val="en-GB"/>
              </w:rPr>
            </w:pPr>
            <w:r>
              <w:rPr>
                <w:lang w:val="en-GB"/>
              </w:rPr>
              <w:t>CL</w:t>
            </w:r>
          </w:p>
        </w:tc>
      </w:tr>
      <w:tr w:rsidR="003007DE" w:rsidRPr="00B57B36" w14:paraId="3905809F" w14:textId="77777777" w:rsidTr="007C740B">
        <w:tc>
          <w:tcPr>
            <w:tcW w:w="850" w:type="dxa"/>
            <w:tcBorders>
              <w:top w:val="single" w:sz="12" w:space="0" w:color="008000"/>
            </w:tcBorders>
            <w:shd w:val="clear" w:color="auto" w:fill="FFFFFF"/>
          </w:tcPr>
          <w:p w14:paraId="2CC2DE2B" w14:textId="0BDA3A6F" w:rsidR="00C91CA2" w:rsidRPr="00B57B36" w:rsidRDefault="00C91CA2" w:rsidP="00C91CA2">
            <w:pPr>
              <w:pStyle w:val="CETBodytext"/>
              <w:rPr>
                <w:lang w:val="en-GB"/>
              </w:rPr>
            </w:pPr>
            <w:r>
              <w:rPr>
                <w:lang w:val="en-GB"/>
              </w:rPr>
              <w:t>0.05</w:t>
            </w:r>
          </w:p>
        </w:tc>
        <w:tc>
          <w:tcPr>
            <w:tcW w:w="1701" w:type="dxa"/>
            <w:tcBorders>
              <w:top w:val="single" w:sz="12" w:space="0" w:color="008000"/>
            </w:tcBorders>
          </w:tcPr>
          <w:p w14:paraId="19C5350A" w14:textId="4DEAFF33" w:rsidR="00C91CA2" w:rsidRPr="007B676B" w:rsidRDefault="00C91CA2" w:rsidP="00C91CA2">
            <w:pPr>
              <w:pStyle w:val="CETBodytext"/>
              <w:rPr>
                <w:lang w:val="en-GB"/>
              </w:rPr>
            </w:pPr>
            <w:r>
              <w:rPr>
                <w:lang w:val="en-GB"/>
              </w:rPr>
              <w:t xml:space="preserve">1.10 </w:t>
            </w:r>
            <w:r>
              <w:rPr>
                <w:rFonts w:cs="Arial"/>
                <w:lang w:val="en-GB"/>
              </w:rPr>
              <w:t>±</w:t>
            </w:r>
            <w:r>
              <w:rPr>
                <w:lang w:val="en-GB"/>
              </w:rPr>
              <w:t xml:space="preserve"> 0.32</w:t>
            </w:r>
            <w:r w:rsidR="003007DE">
              <w:rPr>
                <w:vertAlign w:val="superscript"/>
                <w:lang w:val="en-GB"/>
              </w:rPr>
              <w:t>a</w:t>
            </w:r>
            <w:r w:rsidR="005F2E13">
              <w:rPr>
                <w:vertAlign w:val="superscript"/>
                <w:lang w:val="en-GB"/>
              </w:rPr>
              <w:t>A</w:t>
            </w:r>
          </w:p>
        </w:tc>
        <w:tc>
          <w:tcPr>
            <w:tcW w:w="1701" w:type="dxa"/>
            <w:tcBorders>
              <w:top w:val="single" w:sz="12" w:space="0" w:color="008000"/>
            </w:tcBorders>
          </w:tcPr>
          <w:p w14:paraId="5E37698D" w14:textId="4B4D2124" w:rsidR="00C91CA2" w:rsidRPr="007B676B" w:rsidRDefault="00C91CA2" w:rsidP="00C91CA2">
            <w:pPr>
              <w:pStyle w:val="CETBodytext"/>
              <w:rPr>
                <w:lang w:val="en-GB"/>
              </w:rPr>
            </w:pPr>
            <w:r>
              <w:rPr>
                <w:lang w:val="en-GB"/>
              </w:rPr>
              <w:t xml:space="preserve">11.70 </w:t>
            </w:r>
            <w:r>
              <w:rPr>
                <w:rFonts w:cs="Arial"/>
                <w:lang w:val="en-GB"/>
              </w:rPr>
              <w:t>±</w:t>
            </w:r>
            <w:r>
              <w:rPr>
                <w:lang w:val="en-GB"/>
              </w:rPr>
              <w:t xml:space="preserve"> 2.24</w:t>
            </w:r>
            <w:r w:rsidR="003935DE">
              <w:rPr>
                <w:vertAlign w:val="superscript"/>
                <w:lang w:val="en-GB"/>
              </w:rPr>
              <w:t>a</w:t>
            </w:r>
            <w:r w:rsidR="005F2E13">
              <w:rPr>
                <w:vertAlign w:val="superscript"/>
                <w:lang w:val="en-GB"/>
              </w:rPr>
              <w:t>B</w:t>
            </w:r>
          </w:p>
        </w:tc>
      </w:tr>
      <w:tr w:rsidR="003007DE" w:rsidRPr="00B57B36" w14:paraId="02EAB9E3" w14:textId="77777777" w:rsidTr="007C740B">
        <w:tc>
          <w:tcPr>
            <w:tcW w:w="850" w:type="dxa"/>
            <w:shd w:val="clear" w:color="auto" w:fill="FFFFFF"/>
          </w:tcPr>
          <w:p w14:paraId="19693D53" w14:textId="2C441277" w:rsidR="00C91CA2" w:rsidRDefault="00C91CA2" w:rsidP="00C91CA2">
            <w:pPr>
              <w:pStyle w:val="CETBodytext"/>
              <w:rPr>
                <w:lang w:val="en-GB"/>
              </w:rPr>
            </w:pPr>
            <w:r>
              <w:rPr>
                <w:lang w:val="en-GB"/>
              </w:rPr>
              <w:t>0.30</w:t>
            </w:r>
          </w:p>
        </w:tc>
        <w:tc>
          <w:tcPr>
            <w:tcW w:w="1701" w:type="dxa"/>
          </w:tcPr>
          <w:p w14:paraId="54F8866D" w14:textId="2170E42B" w:rsidR="00C91CA2" w:rsidRPr="007B676B" w:rsidRDefault="00C91CA2" w:rsidP="00C91CA2">
            <w:pPr>
              <w:pStyle w:val="CETBodytext"/>
              <w:rPr>
                <w:lang w:val="en-GB"/>
              </w:rPr>
            </w:pPr>
            <w:r>
              <w:rPr>
                <w:lang w:val="en-GB"/>
              </w:rPr>
              <w:t xml:space="preserve">33.26 </w:t>
            </w:r>
            <w:r>
              <w:rPr>
                <w:rFonts w:cs="Arial"/>
                <w:lang w:val="en-GB"/>
              </w:rPr>
              <w:t>±</w:t>
            </w:r>
            <w:r>
              <w:rPr>
                <w:lang w:val="en-GB"/>
              </w:rPr>
              <w:t xml:space="preserve"> 7.01</w:t>
            </w:r>
            <w:r w:rsidR="00772164">
              <w:rPr>
                <w:vertAlign w:val="superscript"/>
                <w:lang w:val="en-GB"/>
              </w:rPr>
              <w:t>b</w:t>
            </w:r>
            <w:r w:rsidR="005F2E13">
              <w:rPr>
                <w:vertAlign w:val="superscript"/>
                <w:lang w:val="en-GB"/>
              </w:rPr>
              <w:t>A</w:t>
            </w:r>
          </w:p>
        </w:tc>
        <w:tc>
          <w:tcPr>
            <w:tcW w:w="1701" w:type="dxa"/>
          </w:tcPr>
          <w:p w14:paraId="471914D2" w14:textId="02EDFF9F" w:rsidR="00C91CA2" w:rsidRPr="007B676B" w:rsidRDefault="00C91CA2" w:rsidP="00C91CA2">
            <w:pPr>
              <w:pStyle w:val="CETBodytext"/>
              <w:rPr>
                <w:lang w:val="en-GB"/>
              </w:rPr>
            </w:pPr>
            <w:r>
              <w:rPr>
                <w:lang w:val="en-GB"/>
              </w:rPr>
              <w:t xml:space="preserve">25.14 </w:t>
            </w:r>
            <w:r>
              <w:rPr>
                <w:rFonts w:cs="Arial"/>
                <w:lang w:val="en-GB"/>
              </w:rPr>
              <w:t>±</w:t>
            </w:r>
            <w:r>
              <w:rPr>
                <w:lang w:val="en-GB"/>
              </w:rPr>
              <w:t xml:space="preserve"> 4.98</w:t>
            </w:r>
            <w:r w:rsidR="003935DE">
              <w:rPr>
                <w:vertAlign w:val="superscript"/>
                <w:lang w:val="en-GB"/>
              </w:rPr>
              <w:t>b</w:t>
            </w:r>
            <w:r w:rsidR="005F2E13">
              <w:rPr>
                <w:vertAlign w:val="superscript"/>
                <w:lang w:val="en-GB"/>
              </w:rPr>
              <w:t>A</w:t>
            </w:r>
          </w:p>
        </w:tc>
      </w:tr>
      <w:tr w:rsidR="003007DE" w:rsidRPr="00B57B36" w14:paraId="6C749DA0" w14:textId="77777777" w:rsidTr="007C740B">
        <w:tc>
          <w:tcPr>
            <w:tcW w:w="850" w:type="dxa"/>
            <w:shd w:val="clear" w:color="auto" w:fill="FFFFFF"/>
          </w:tcPr>
          <w:p w14:paraId="01E9EB25" w14:textId="133479AD" w:rsidR="00C91CA2" w:rsidRPr="00B57B36" w:rsidRDefault="00C91CA2" w:rsidP="00C91CA2">
            <w:pPr>
              <w:pStyle w:val="CETBodytext"/>
              <w:ind w:right="-1"/>
              <w:rPr>
                <w:rFonts w:cs="Arial"/>
                <w:szCs w:val="18"/>
                <w:lang w:val="en-GB"/>
              </w:rPr>
            </w:pPr>
            <w:r>
              <w:rPr>
                <w:rFonts w:cs="Arial"/>
                <w:szCs w:val="18"/>
                <w:lang w:val="en-GB"/>
              </w:rPr>
              <w:t>0.50</w:t>
            </w:r>
          </w:p>
        </w:tc>
        <w:tc>
          <w:tcPr>
            <w:tcW w:w="1701" w:type="dxa"/>
          </w:tcPr>
          <w:p w14:paraId="74D24E17" w14:textId="69F8F9CE" w:rsidR="00C91CA2" w:rsidRPr="007B676B" w:rsidRDefault="00C91CA2" w:rsidP="00C91CA2">
            <w:pPr>
              <w:pStyle w:val="CETBodytext"/>
              <w:ind w:right="-1"/>
              <w:rPr>
                <w:rFonts w:cs="Arial"/>
                <w:szCs w:val="18"/>
                <w:lang w:val="en-GB"/>
              </w:rPr>
            </w:pPr>
            <w:r>
              <w:rPr>
                <w:lang w:val="en-GB"/>
              </w:rPr>
              <w:t xml:space="preserve">322.23 </w:t>
            </w:r>
            <w:r>
              <w:rPr>
                <w:rFonts w:cs="Arial"/>
                <w:lang w:val="en-GB"/>
              </w:rPr>
              <w:t>±</w:t>
            </w:r>
            <w:r>
              <w:rPr>
                <w:lang w:val="en-GB"/>
              </w:rPr>
              <w:t xml:space="preserve"> 22.30</w:t>
            </w:r>
            <w:r w:rsidR="00772164">
              <w:rPr>
                <w:vertAlign w:val="superscript"/>
                <w:lang w:val="en-GB"/>
              </w:rPr>
              <w:t>c</w:t>
            </w:r>
            <w:r w:rsidR="005F2E13">
              <w:rPr>
                <w:vertAlign w:val="superscript"/>
                <w:lang w:val="en-GB"/>
              </w:rPr>
              <w:t>B</w:t>
            </w:r>
          </w:p>
        </w:tc>
        <w:tc>
          <w:tcPr>
            <w:tcW w:w="1701" w:type="dxa"/>
          </w:tcPr>
          <w:p w14:paraId="4E1D4092" w14:textId="0F944462" w:rsidR="00C91CA2" w:rsidRPr="007B676B" w:rsidRDefault="00C91CA2" w:rsidP="00C91CA2">
            <w:pPr>
              <w:pStyle w:val="CETBodytext"/>
              <w:ind w:right="-1"/>
              <w:rPr>
                <w:rFonts w:cs="Arial"/>
                <w:szCs w:val="18"/>
                <w:lang w:val="en-GB"/>
              </w:rPr>
            </w:pPr>
            <w:r>
              <w:rPr>
                <w:lang w:val="en-GB"/>
              </w:rPr>
              <w:t xml:space="preserve">31.20 </w:t>
            </w:r>
            <w:r>
              <w:rPr>
                <w:rFonts w:cs="Arial"/>
                <w:lang w:val="en-GB"/>
              </w:rPr>
              <w:t>±</w:t>
            </w:r>
            <w:r>
              <w:rPr>
                <w:lang w:val="en-GB"/>
              </w:rPr>
              <w:t xml:space="preserve"> 0.34</w:t>
            </w:r>
            <w:r w:rsidR="003935DE">
              <w:rPr>
                <w:vertAlign w:val="superscript"/>
                <w:lang w:val="en-GB"/>
              </w:rPr>
              <w:t>c</w:t>
            </w:r>
            <w:r w:rsidR="005F2E13">
              <w:rPr>
                <w:vertAlign w:val="superscript"/>
                <w:lang w:val="en-GB"/>
              </w:rPr>
              <w:t>A</w:t>
            </w:r>
          </w:p>
        </w:tc>
      </w:tr>
    </w:tbl>
    <w:p w14:paraId="096D227B" w14:textId="6F6A2D91" w:rsidR="000A0524" w:rsidRDefault="003935DE" w:rsidP="008B121C">
      <w:r w:rsidRPr="003935DE">
        <w:t xml:space="preserve">Different </w:t>
      </w:r>
      <w:r w:rsidR="005F2E13">
        <w:t xml:space="preserve">lowercase </w:t>
      </w:r>
      <w:r w:rsidRPr="003935DE">
        <w:t xml:space="preserve">letters </w:t>
      </w:r>
      <w:r w:rsidR="005F2E13" w:rsidRPr="003935DE">
        <w:t>denote statistically significant (</w:t>
      </w:r>
      <w:r w:rsidR="005F2E13" w:rsidRPr="003935DE">
        <w:rPr>
          <w:i/>
          <w:iCs/>
        </w:rPr>
        <w:t>p &lt; 0.05</w:t>
      </w:r>
      <w:r w:rsidR="005F2E13" w:rsidRPr="003935DE">
        <w:t xml:space="preserve">) differences </w:t>
      </w:r>
      <w:r w:rsidRPr="003935DE">
        <w:t xml:space="preserve">in the same </w:t>
      </w:r>
      <w:r>
        <w:t>column</w:t>
      </w:r>
      <w:r w:rsidRPr="003935DE">
        <w:t>.</w:t>
      </w:r>
    </w:p>
    <w:p w14:paraId="57630916" w14:textId="3C985214" w:rsidR="005F2E13" w:rsidRDefault="005F2E13" w:rsidP="008B121C">
      <w:r w:rsidRPr="003935DE">
        <w:t xml:space="preserve">Different </w:t>
      </w:r>
      <w:r w:rsidR="00C77268" w:rsidRPr="00C77268">
        <w:t xml:space="preserve">capital </w:t>
      </w:r>
      <w:r w:rsidRPr="003935DE">
        <w:t>letters denote statistically significant (</w:t>
      </w:r>
      <w:r w:rsidRPr="003935DE">
        <w:rPr>
          <w:i/>
          <w:iCs/>
        </w:rPr>
        <w:t>p &lt; 0.05</w:t>
      </w:r>
      <w:r w:rsidRPr="003935DE">
        <w:t xml:space="preserve">) differences in the same </w:t>
      </w:r>
      <w:r>
        <w:t>raw</w:t>
      </w:r>
      <w:r w:rsidRPr="003935DE">
        <w:t>.</w:t>
      </w:r>
    </w:p>
    <w:p w14:paraId="3834CFBC" w14:textId="408FB533" w:rsidR="00AD3B5F" w:rsidRPr="00B57B36" w:rsidRDefault="00AD3B5F" w:rsidP="009F6828">
      <w:pPr>
        <w:pStyle w:val="CETheadingx"/>
      </w:pPr>
      <w:r>
        <w:t>Capillary suspensions</w:t>
      </w:r>
      <w:r w:rsidR="00F115EA">
        <w:t>’</w:t>
      </w:r>
      <w:r w:rsidR="00EE1445">
        <w:t xml:space="preserve"> </w:t>
      </w:r>
      <w:r w:rsidR="009F6828">
        <w:t xml:space="preserve">oxidative </w:t>
      </w:r>
      <w:r w:rsidR="00EE1445">
        <w:t>stability</w:t>
      </w:r>
    </w:p>
    <w:p w14:paraId="7A8BF83F" w14:textId="6CB15ECE" w:rsidR="00AD3B5F" w:rsidRDefault="00F115EA" w:rsidP="00AD3B5F">
      <w:r>
        <w:t xml:space="preserve">The </w:t>
      </w:r>
      <w:r w:rsidR="00E52BC0" w:rsidRPr="00E52BC0">
        <w:t>15-day period</w:t>
      </w:r>
      <w:r w:rsidR="00E52BC0">
        <w:t xml:space="preserve"> of storage </w:t>
      </w:r>
      <w:r w:rsidR="00E52BC0" w:rsidRPr="00E52BC0">
        <w:t xml:space="preserve">in the accelerated Schaal oven test conditions </w:t>
      </w:r>
      <w:r w:rsidR="00E52BC0">
        <w:t>(65 °C)</w:t>
      </w:r>
      <w:r w:rsidR="00E52BC0" w:rsidRPr="00E52BC0">
        <w:t xml:space="preserve"> </w:t>
      </w:r>
      <w:r w:rsidR="00816D5D" w:rsidRPr="00E52BC0">
        <w:t>correspond</w:t>
      </w:r>
      <w:r w:rsidR="00E52BC0" w:rsidRPr="00E52BC0">
        <w:t xml:space="preserve"> to 15 equivalent months </w:t>
      </w:r>
      <w:r w:rsidR="00E52BC0">
        <w:t>at room temperature</w:t>
      </w:r>
      <w:r w:rsidR="00095E40">
        <w:t xml:space="preserve"> </w:t>
      </w:r>
      <w:r w:rsidR="00095E40">
        <w:t>(</w:t>
      </w:r>
      <w:r w:rsidR="00095E40" w:rsidRPr="00EE1445">
        <w:t>Lužaić et al.</w:t>
      </w:r>
      <w:r w:rsidR="00095E40">
        <w:t>,</w:t>
      </w:r>
      <w:r w:rsidR="00095E40" w:rsidRPr="00EE1445">
        <w:t xml:space="preserve"> 2022)</w:t>
      </w:r>
      <w:r w:rsidR="00095E40" w:rsidRPr="00585DE4">
        <w:t>.</w:t>
      </w:r>
      <w:r w:rsidR="00E52BC0">
        <w:t xml:space="preserve"> </w:t>
      </w:r>
      <w:r w:rsidR="00E52BC0" w:rsidRPr="00E52BC0">
        <w:t>A</w:t>
      </w:r>
      <w:r w:rsidR="009D1654">
        <w:t xml:space="preserve"> remarkable</w:t>
      </w:r>
      <w:r w:rsidR="00E52BC0" w:rsidRPr="00E52BC0">
        <w:t xml:space="preserve"> increase in </w:t>
      </w:r>
      <w:r w:rsidR="00E52BC0">
        <w:t xml:space="preserve">peroxide values, which are the </w:t>
      </w:r>
      <w:r w:rsidR="00E52BC0" w:rsidRPr="00E52BC0">
        <w:t>indicator of primary lipid oxidation</w:t>
      </w:r>
      <w:r w:rsidR="00E52BC0">
        <w:t>,</w:t>
      </w:r>
      <w:r w:rsidR="00E52BC0" w:rsidRPr="00E52BC0">
        <w:t xml:space="preserve"> was noticed </w:t>
      </w:r>
      <w:r w:rsidR="00E52BC0">
        <w:t xml:space="preserve">both </w:t>
      </w:r>
      <w:r w:rsidR="00E52BC0" w:rsidRPr="00E52BC0">
        <w:t>in</w:t>
      </w:r>
      <w:r w:rsidR="00E52BC0">
        <w:t xml:space="preserve"> pure sunflower oil and CL-based capillary suspensions for all </w:t>
      </w:r>
      <w:r w:rsidR="009F6828">
        <w:t>tested SRs</w:t>
      </w:r>
      <w:r w:rsidR="009D1654">
        <w:t>, with higher values in CL-based capillary suspension because of the presence of water, which enhanced the oxidation process</w:t>
      </w:r>
      <w:r w:rsidR="00E52BC0">
        <w:t xml:space="preserve">. </w:t>
      </w:r>
      <w:r w:rsidR="009F6828">
        <w:t xml:space="preserve">In </w:t>
      </w:r>
      <w:r w:rsidR="009D1654">
        <w:t>contrast</w:t>
      </w:r>
      <w:r w:rsidR="00E52BC0">
        <w:t xml:space="preserve">, WM-based capillary suspensions </w:t>
      </w:r>
      <w:r w:rsidR="009D1654">
        <w:t xml:space="preserve">ensured always the lowest </w:t>
      </w:r>
      <w:r w:rsidR="00E52BC0">
        <w:t>PV</w:t>
      </w:r>
      <w:r w:rsidR="003007DE">
        <w:t xml:space="preserve"> in the oil</w:t>
      </w:r>
      <w:r w:rsidR="009D1654">
        <w:t>: t</w:t>
      </w:r>
      <w:r w:rsidR="009D1654" w:rsidRPr="00E52BC0">
        <w:t>he</w:t>
      </w:r>
      <w:r w:rsidR="009D1654">
        <w:t xml:space="preserve"> </w:t>
      </w:r>
      <w:r w:rsidR="00E52BC0">
        <w:t xml:space="preserve">phenolic </w:t>
      </w:r>
      <w:r w:rsidR="00E52BC0" w:rsidRPr="00E52BC0">
        <w:t xml:space="preserve">bioactive compounds with </w:t>
      </w:r>
      <w:r w:rsidR="009F6828">
        <w:t xml:space="preserve">high </w:t>
      </w:r>
      <w:r w:rsidR="00E52BC0" w:rsidRPr="00E52BC0">
        <w:t>antioxidant activity</w:t>
      </w:r>
      <w:r w:rsidR="009D1654">
        <w:t>,</w:t>
      </w:r>
      <w:r w:rsidR="007F04D7">
        <w:t xml:space="preserve"> </w:t>
      </w:r>
      <w:r w:rsidR="009F6828">
        <w:t xml:space="preserve">contained </w:t>
      </w:r>
      <w:r w:rsidR="007F04D7">
        <w:t xml:space="preserve">in </w:t>
      </w:r>
      <w:r w:rsidR="003007DE">
        <w:t xml:space="preserve">the </w:t>
      </w:r>
      <w:r w:rsidR="007F04D7">
        <w:t xml:space="preserve">WM </w:t>
      </w:r>
      <w:r w:rsidR="009F6828">
        <w:t>particles</w:t>
      </w:r>
      <w:r w:rsidR="007F04D7" w:rsidRPr="00E52BC0">
        <w:t xml:space="preserve">, </w:t>
      </w:r>
      <w:r w:rsidR="009D1654">
        <w:t xml:space="preserve">but </w:t>
      </w:r>
      <w:r w:rsidR="007F04D7" w:rsidRPr="00E52BC0">
        <w:t xml:space="preserve">not present in </w:t>
      </w:r>
      <w:r w:rsidR="009F6828">
        <w:t xml:space="preserve">the </w:t>
      </w:r>
      <w:r w:rsidR="007F04D7" w:rsidRPr="00E52BC0">
        <w:t>CL capillary suspensions</w:t>
      </w:r>
      <w:r w:rsidR="007F04D7">
        <w:t xml:space="preserve">, </w:t>
      </w:r>
      <w:r w:rsidR="009F6828">
        <w:t xml:space="preserve">enabled </w:t>
      </w:r>
      <w:r w:rsidR="007F04D7">
        <w:t xml:space="preserve">to </w:t>
      </w:r>
      <w:r w:rsidR="009F6828">
        <w:t xml:space="preserve">significantly </w:t>
      </w:r>
      <w:r w:rsidR="007F04D7" w:rsidRPr="007F04D7">
        <w:t>slow down the oil oxidation phenomena during the entire period of storage</w:t>
      </w:r>
      <w:r w:rsidR="009D1654">
        <w:t xml:space="preserve">, despite the presence of water, demonstrating that the proposed approach not only does not suffer the presence of water, but </w:t>
      </w:r>
      <w:r w:rsidR="003007DE">
        <w:t xml:space="preserve">significantly </w:t>
      </w:r>
      <w:r w:rsidR="009D1654">
        <w:t xml:space="preserve">improves the oxidation stability </w:t>
      </w:r>
      <w:r w:rsidR="003007DE">
        <w:t xml:space="preserve">with respect to the pure </w:t>
      </w:r>
      <w:r w:rsidR="009D1654">
        <w:t>oil.</w:t>
      </w:r>
    </w:p>
    <w:p w14:paraId="0DFD920E" w14:textId="7A51CAE0" w:rsidR="00EE1445" w:rsidRPr="00B57B36" w:rsidRDefault="00EE1445" w:rsidP="00EE1445">
      <w:pPr>
        <w:pStyle w:val="CETTabletitle"/>
      </w:pPr>
      <w:r w:rsidRPr="00B57B36">
        <w:t xml:space="preserve">Table </w:t>
      </w:r>
      <w:r>
        <w:t>3</w:t>
      </w:r>
      <w:r w:rsidRPr="00B57B36">
        <w:t xml:space="preserve">: </w:t>
      </w:r>
      <w:r w:rsidR="00E52BC0" w:rsidRPr="00E52BC0">
        <w:t>P</w:t>
      </w:r>
      <w:r w:rsidR="00E52BC0">
        <w:t>eroxide value</w:t>
      </w:r>
      <w:r w:rsidR="009D1654">
        <w:t xml:space="preserve"> (PV)</w:t>
      </w:r>
      <w:r w:rsidR="00E52BC0">
        <w:t xml:space="preserve"> </w:t>
      </w:r>
      <w:r w:rsidR="00E52BC0" w:rsidRPr="00E52BC0">
        <w:t xml:space="preserve">of capillary suspensions </w:t>
      </w:r>
      <w:r w:rsidR="00E52BC0">
        <w:t>after</w:t>
      </w:r>
      <w:r w:rsidR="00E52BC0" w:rsidRPr="00E52BC0">
        <w:t xml:space="preserve"> </w:t>
      </w:r>
      <w:r w:rsidR="00F115EA">
        <w:t xml:space="preserve">a </w:t>
      </w:r>
      <w:r w:rsidR="00E52BC0" w:rsidRPr="00E52BC0">
        <w:t>15-day storage period</w:t>
      </w:r>
      <w:r w:rsidR="00F115EA">
        <w:t xml:space="preserve"> at 65 °C</w:t>
      </w:r>
      <w:r w:rsidR="00E52BC0" w:rsidRPr="00E52BC0">
        <w:t>.</w:t>
      </w:r>
    </w:p>
    <w:tbl>
      <w:tblPr>
        <w:tblW w:w="3965"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1"/>
        <w:gridCol w:w="1417"/>
        <w:gridCol w:w="1417"/>
      </w:tblGrid>
      <w:tr w:rsidR="00413D34" w:rsidRPr="00EE1445" w14:paraId="5DC2C01D" w14:textId="77777777" w:rsidTr="007C740B">
        <w:tc>
          <w:tcPr>
            <w:tcW w:w="1131" w:type="dxa"/>
            <w:vMerge w:val="restart"/>
            <w:tcBorders>
              <w:top w:val="single" w:sz="12" w:space="0" w:color="008000"/>
            </w:tcBorders>
            <w:shd w:val="clear" w:color="auto" w:fill="FFFFFF"/>
            <w:vAlign w:val="center"/>
          </w:tcPr>
          <w:p w14:paraId="53D8E2C6" w14:textId="77777777" w:rsidR="00413D34" w:rsidRPr="00B57B36" w:rsidRDefault="00413D34" w:rsidP="007C740B">
            <w:pPr>
              <w:pStyle w:val="CETBodytext"/>
              <w:jc w:val="center"/>
              <w:rPr>
                <w:lang w:val="en-GB"/>
              </w:rPr>
            </w:pPr>
            <w:r>
              <w:rPr>
                <w:lang w:val="en-GB"/>
              </w:rPr>
              <w:t>SR (-)</w:t>
            </w:r>
          </w:p>
        </w:tc>
        <w:tc>
          <w:tcPr>
            <w:tcW w:w="2834" w:type="dxa"/>
            <w:gridSpan w:val="2"/>
            <w:tcBorders>
              <w:top w:val="single" w:sz="12" w:space="0" w:color="008000"/>
              <w:bottom w:val="single" w:sz="6" w:space="0" w:color="008000"/>
            </w:tcBorders>
            <w:shd w:val="clear" w:color="auto" w:fill="FFFFFF"/>
            <w:vAlign w:val="center"/>
          </w:tcPr>
          <w:p w14:paraId="33CA4E87" w14:textId="6F11F9BD" w:rsidR="00413D34" w:rsidRDefault="00413D34" w:rsidP="009D1654">
            <w:pPr>
              <w:pStyle w:val="CETBodytext"/>
              <w:jc w:val="center"/>
              <w:rPr>
                <w:lang w:val="en-GB"/>
              </w:rPr>
            </w:pPr>
            <w:r w:rsidRPr="00413D34">
              <w:rPr>
                <w:lang w:val="en-GB"/>
              </w:rPr>
              <w:t>P</w:t>
            </w:r>
            <w:r>
              <w:rPr>
                <w:lang w:val="en-GB"/>
              </w:rPr>
              <w:t>V</w:t>
            </w:r>
            <w:r w:rsidRPr="00413D34">
              <w:rPr>
                <w:lang w:val="en-GB"/>
              </w:rPr>
              <w:t xml:space="preserve"> (mEq kg</w:t>
            </w:r>
            <w:r w:rsidRPr="00413D34">
              <w:rPr>
                <w:vertAlign w:val="superscript"/>
                <w:lang w:val="en-GB"/>
              </w:rPr>
              <w:t>−1</w:t>
            </w:r>
            <w:r w:rsidRPr="00413D34">
              <w:rPr>
                <w:vertAlign w:val="subscript"/>
                <w:lang w:val="en-GB"/>
              </w:rPr>
              <w:t>oil</w:t>
            </w:r>
            <w:r w:rsidRPr="00413D34">
              <w:rPr>
                <w:lang w:val="en-GB"/>
              </w:rPr>
              <w:t>)</w:t>
            </w:r>
          </w:p>
        </w:tc>
      </w:tr>
      <w:tr w:rsidR="00413D34" w:rsidRPr="00EE1445" w14:paraId="5062BCC9" w14:textId="77777777" w:rsidTr="007C740B">
        <w:tc>
          <w:tcPr>
            <w:tcW w:w="1131" w:type="dxa"/>
            <w:vMerge/>
            <w:tcBorders>
              <w:bottom w:val="single" w:sz="12" w:space="0" w:color="008000"/>
            </w:tcBorders>
            <w:shd w:val="clear" w:color="auto" w:fill="FFFFFF"/>
            <w:vAlign w:val="center"/>
          </w:tcPr>
          <w:p w14:paraId="771769A0" w14:textId="77777777" w:rsidR="00413D34" w:rsidRDefault="00413D34" w:rsidP="007C740B">
            <w:pPr>
              <w:pStyle w:val="CETBodytext"/>
              <w:jc w:val="center"/>
              <w:rPr>
                <w:lang w:val="en-GB"/>
              </w:rPr>
            </w:pPr>
          </w:p>
        </w:tc>
        <w:tc>
          <w:tcPr>
            <w:tcW w:w="1417" w:type="dxa"/>
            <w:tcBorders>
              <w:top w:val="single" w:sz="6" w:space="0" w:color="008000"/>
              <w:bottom w:val="single" w:sz="12" w:space="0" w:color="008000"/>
            </w:tcBorders>
            <w:shd w:val="clear" w:color="auto" w:fill="FFFFFF"/>
            <w:vAlign w:val="center"/>
          </w:tcPr>
          <w:p w14:paraId="11B3977F" w14:textId="0D31F4DE" w:rsidR="00413D34" w:rsidRDefault="00413D34" w:rsidP="009D1654">
            <w:pPr>
              <w:pStyle w:val="CETBodytext"/>
              <w:jc w:val="center"/>
              <w:rPr>
                <w:lang w:val="en-GB"/>
              </w:rPr>
            </w:pPr>
            <w:r>
              <w:rPr>
                <w:lang w:val="en-GB"/>
              </w:rPr>
              <w:t>WM</w:t>
            </w:r>
          </w:p>
        </w:tc>
        <w:tc>
          <w:tcPr>
            <w:tcW w:w="1417" w:type="dxa"/>
            <w:tcBorders>
              <w:top w:val="single" w:sz="6" w:space="0" w:color="008000"/>
              <w:bottom w:val="single" w:sz="12" w:space="0" w:color="008000"/>
            </w:tcBorders>
            <w:shd w:val="clear" w:color="auto" w:fill="FFFFFF"/>
            <w:vAlign w:val="center"/>
          </w:tcPr>
          <w:p w14:paraId="31C79318" w14:textId="187B1795" w:rsidR="00413D34" w:rsidRDefault="00413D34" w:rsidP="009D1654">
            <w:pPr>
              <w:pStyle w:val="CETBodytext"/>
              <w:jc w:val="center"/>
              <w:rPr>
                <w:lang w:val="en-GB"/>
              </w:rPr>
            </w:pPr>
            <w:r>
              <w:rPr>
                <w:lang w:val="en-GB"/>
              </w:rPr>
              <w:t>CL</w:t>
            </w:r>
          </w:p>
        </w:tc>
      </w:tr>
      <w:tr w:rsidR="009D1654" w:rsidRPr="00B57B36" w14:paraId="5F6FA7E6" w14:textId="77777777" w:rsidTr="007C740B">
        <w:tc>
          <w:tcPr>
            <w:tcW w:w="1131" w:type="dxa"/>
            <w:tcBorders>
              <w:top w:val="single" w:sz="12" w:space="0" w:color="008000"/>
            </w:tcBorders>
            <w:shd w:val="clear" w:color="auto" w:fill="FFFFFF"/>
            <w:vAlign w:val="center"/>
          </w:tcPr>
          <w:p w14:paraId="47EB51AF" w14:textId="4F818338" w:rsidR="009D1654" w:rsidRPr="00B57B36" w:rsidRDefault="009D1654" w:rsidP="007C740B">
            <w:pPr>
              <w:pStyle w:val="CETBodytext"/>
              <w:jc w:val="center"/>
              <w:rPr>
                <w:lang w:val="en-GB"/>
              </w:rPr>
            </w:pPr>
            <w:r>
              <w:rPr>
                <w:lang w:val="en-GB"/>
              </w:rPr>
              <w:t>0.00*</w:t>
            </w:r>
          </w:p>
        </w:tc>
        <w:tc>
          <w:tcPr>
            <w:tcW w:w="2834" w:type="dxa"/>
            <w:gridSpan w:val="2"/>
            <w:tcBorders>
              <w:top w:val="single" w:sz="12" w:space="0" w:color="008000"/>
            </w:tcBorders>
            <w:vAlign w:val="center"/>
          </w:tcPr>
          <w:p w14:paraId="05BEC33C" w14:textId="0C6E06B3" w:rsidR="009D1654" w:rsidRDefault="009D1654" w:rsidP="007C740B">
            <w:pPr>
              <w:pStyle w:val="CETBodytext"/>
              <w:jc w:val="center"/>
              <w:rPr>
                <w:lang w:val="en-GB"/>
              </w:rPr>
            </w:pPr>
            <w:r w:rsidRPr="00413D34">
              <w:rPr>
                <w:lang w:val="en-GB"/>
              </w:rPr>
              <w:t>62</w:t>
            </w:r>
            <w:r w:rsidR="003007DE">
              <w:rPr>
                <w:lang w:val="en-GB"/>
              </w:rPr>
              <w:t>.</w:t>
            </w:r>
            <w:r w:rsidRPr="00413D34">
              <w:rPr>
                <w:lang w:val="en-GB"/>
              </w:rPr>
              <w:t>41</w:t>
            </w:r>
          </w:p>
        </w:tc>
      </w:tr>
      <w:tr w:rsidR="00413D34" w:rsidRPr="00B57B36" w14:paraId="33DCFE42" w14:textId="77777777" w:rsidTr="007C740B">
        <w:tc>
          <w:tcPr>
            <w:tcW w:w="1131" w:type="dxa"/>
            <w:shd w:val="clear" w:color="auto" w:fill="FFFFFF"/>
            <w:vAlign w:val="center"/>
          </w:tcPr>
          <w:p w14:paraId="59890CE0" w14:textId="7403C595" w:rsidR="00413D34" w:rsidRDefault="00413D34" w:rsidP="007C740B">
            <w:pPr>
              <w:pStyle w:val="CETBodytext"/>
              <w:jc w:val="center"/>
              <w:rPr>
                <w:lang w:val="en-GB"/>
              </w:rPr>
            </w:pPr>
            <w:r>
              <w:rPr>
                <w:lang w:val="en-GB"/>
              </w:rPr>
              <w:t>0</w:t>
            </w:r>
            <w:r w:rsidR="003007DE">
              <w:rPr>
                <w:lang w:val="en-GB"/>
              </w:rPr>
              <w:t>.</w:t>
            </w:r>
            <w:r>
              <w:rPr>
                <w:lang w:val="en-GB"/>
              </w:rPr>
              <w:t>05</w:t>
            </w:r>
          </w:p>
        </w:tc>
        <w:tc>
          <w:tcPr>
            <w:tcW w:w="1417" w:type="dxa"/>
            <w:vAlign w:val="center"/>
          </w:tcPr>
          <w:p w14:paraId="45006F6E" w14:textId="4FBFED0C" w:rsidR="00413D34" w:rsidRDefault="00413D34" w:rsidP="007C740B">
            <w:pPr>
              <w:pStyle w:val="CETBodytext"/>
              <w:jc w:val="center"/>
              <w:rPr>
                <w:lang w:val="en-GB"/>
              </w:rPr>
            </w:pPr>
            <w:r w:rsidRPr="00413D34">
              <w:rPr>
                <w:lang w:val="en-GB"/>
              </w:rPr>
              <w:t>16</w:t>
            </w:r>
            <w:r w:rsidR="003007DE">
              <w:rPr>
                <w:lang w:val="en-GB"/>
              </w:rPr>
              <w:t>.</w:t>
            </w:r>
            <w:r w:rsidRPr="00413D34">
              <w:rPr>
                <w:lang w:val="en-GB"/>
              </w:rPr>
              <w:t>01</w:t>
            </w:r>
          </w:p>
        </w:tc>
        <w:tc>
          <w:tcPr>
            <w:tcW w:w="1417" w:type="dxa"/>
            <w:vAlign w:val="center"/>
          </w:tcPr>
          <w:p w14:paraId="007B316A" w14:textId="10F5D262" w:rsidR="00413D34" w:rsidRDefault="00413D34" w:rsidP="007C740B">
            <w:pPr>
              <w:pStyle w:val="CETBodytext"/>
              <w:jc w:val="center"/>
              <w:rPr>
                <w:lang w:val="en-GB"/>
              </w:rPr>
            </w:pPr>
            <w:r w:rsidRPr="00413D34">
              <w:rPr>
                <w:lang w:val="en-GB"/>
              </w:rPr>
              <w:t>104</w:t>
            </w:r>
            <w:r w:rsidR="003007DE">
              <w:rPr>
                <w:lang w:val="en-GB"/>
              </w:rPr>
              <w:t>.</w:t>
            </w:r>
            <w:r w:rsidRPr="00413D34">
              <w:rPr>
                <w:lang w:val="en-GB"/>
              </w:rPr>
              <w:t>55</w:t>
            </w:r>
          </w:p>
        </w:tc>
      </w:tr>
      <w:tr w:rsidR="00413D34" w:rsidRPr="00B57B36" w14:paraId="5FA97F24" w14:textId="77777777" w:rsidTr="007C740B">
        <w:tc>
          <w:tcPr>
            <w:tcW w:w="1131" w:type="dxa"/>
            <w:shd w:val="clear" w:color="auto" w:fill="FFFFFF"/>
            <w:vAlign w:val="center"/>
          </w:tcPr>
          <w:p w14:paraId="4012F534" w14:textId="4194B818" w:rsidR="00413D34" w:rsidRPr="00B57B36" w:rsidRDefault="00413D34" w:rsidP="007C740B">
            <w:pPr>
              <w:pStyle w:val="CETBodytext"/>
              <w:ind w:right="-1"/>
              <w:jc w:val="center"/>
              <w:rPr>
                <w:rFonts w:cs="Arial"/>
                <w:szCs w:val="18"/>
                <w:lang w:val="en-GB"/>
              </w:rPr>
            </w:pPr>
            <w:r>
              <w:rPr>
                <w:rFonts w:cs="Arial"/>
                <w:szCs w:val="18"/>
                <w:lang w:val="en-GB"/>
              </w:rPr>
              <w:t>0</w:t>
            </w:r>
            <w:r w:rsidR="003007DE">
              <w:rPr>
                <w:rFonts w:cs="Arial"/>
                <w:szCs w:val="18"/>
                <w:lang w:val="en-GB"/>
              </w:rPr>
              <w:t>.</w:t>
            </w:r>
            <w:r>
              <w:rPr>
                <w:rFonts w:cs="Arial"/>
                <w:szCs w:val="18"/>
                <w:lang w:val="en-GB"/>
              </w:rPr>
              <w:t>50</w:t>
            </w:r>
          </w:p>
        </w:tc>
        <w:tc>
          <w:tcPr>
            <w:tcW w:w="1417" w:type="dxa"/>
            <w:vAlign w:val="center"/>
          </w:tcPr>
          <w:p w14:paraId="1EF53B12" w14:textId="016736EE" w:rsidR="00413D34" w:rsidRDefault="00413D34" w:rsidP="007C740B">
            <w:pPr>
              <w:pStyle w:val="CETBodytext"/>
              <w:ind w:right="-1"/>
              <w:jc w:val="center"/>
              <w:rPr>
                <w:lang w:val="en-GB"/>
              </w:rPr>
            </w:pPr>
            <w:r w:rsidRPr="00413D34">
              <w:rPr>
                <w:lang w:val="en-GB"/>
              </w:rPr>
              <w:t>13</w:t>
            </w:r>
            <w:r w:rsidR="003007DE">
              <w:rPr>
                <w:lang w:val="en-GB"/>
              </w:rPr>
              <w:t>.</w:t>
            </w:r>
            <w:r w:rsidRPr="00413D34">
              <w:rPr>
                <w:lang w:val="en-GB"/>
              </w:rPr>
              <w:t>02</w:t>
            </w:r>
          </w:p>
        </w:tc>
        <w:tc>
          <w:tcPr>
            <w:tcW w:w="1417" w:type="dxa"/>
            <w:vAlign w:val="center"/>
          </w:tcPr>
          <w:p w14:paraId="171A74E4" w14:textId="6FB30380" w:rsidR="00413D34" w:rsidRDefault="00413D34" w:rsidP="007C740B">
            <w:pPr>
              <w:pStyle w:val="CETBodytext"/>
              <w:ind w:right="-1"/>
              <w:jc w:val="center"/>
              <w:rPr>
                <w:lang w:val="en-GB"/>
              </w:rPr>
            </w:pPr>
            <w:r w:rsidRPr="00413D34">
              <w:rPr>
                <w:lang w:val="en-GB"/>
              </w:rPr>
              <w:t>99</w:t>
            </w:r>
            <w:r w:rsidR="003007DE">
              <w:rPr>
                <w:lang w:val="en-GB"/>
              </w:rPr>
              <w:t>.</w:t>
            </w:r>
            <w:r w:rsidRPr="00413D34">
              <w:rPr>
                <w:lang w:val="en-GB"/>
              </w:rPr>
              <w:t>52</w:t>
            </w:r>
          </w:p>
        </w:tc>
      </w:tr>
    </w:tbl>
    <w:p w14:paraId="156CE799" w14:textId="006BD4D5" w:rsidR="00EE1445" w:rsidRDefault="009D1654" w:rsidP="00AD3B5F">
      <w:r>
        <w:t>* pure sunflower oil, without suspended particles</w:t>
      </w:r>
    </w:p>
    <w:p w14:paraId="68D26B83" w14:textId="77777777" w:rsidR="00600535" w:rsidRPr="00B57B36" w:rsidRDefault="00600535" w:rsidP="00600535">
      <w:pPr>
        <w:pStyle w:val="CETHeading1"/>
        <w:rPr>
          <w:lang w:val="en-GB"/>
        </w:rPr>
      </w:pPr>
      <w:r w:rsidRPr="00B57B36">
        <w:rPr>
          <w:lang w:val="en-GB"/>
        </w:rPr>
        <w:t>Conclusions</w:t>
      </w:r>
    </w:p>
    <w:p w14:paraId="1CFEDBDC" w14:textId="42B305A3" w:rsidR="009D1654" w:rsidRDefault="00734F09" w:rsidP="00600535">
      <w:pPr>
        <w:pStyle w:val="CETBodytext"/>
        <w:rPr>
          <w:lang w:val="en-GB"/>
        </w:rPr>
      </w:pPr>
      <w:r w:rsidRPr="00734F09">
        <w:rPr>
          <w:lang w:val="en-GB"/>
        </w:rPr>
        <w:t xml:space="preserve">The present work showed </w:t>
      </w:r>
      <w:r w:rsidR="009D1654">
        <w:rPr>
          <w:lang w:val="en-GB"/>
        </w:rPr>
        <w:t>the feasibility of a novel approach proposed for oil structuring, based on direct processing via high-pressure homogenization of oil suspension of fibrous particles, such as wheat middlings, and subsequent addition of water to form a 3D network stabilized by interparticle capillary forces.</w:t>
      </w:r>
    </w:p>
    <w:p w14:paraId="68EC13B5" w14:textId="032EB771" w:rsidR="009D1654" w:rsidRDefault="009D1654" w:rsidP="00600535">
      <w:pPr>
        <w:pStyle w:val="CETBodytext"/>
        <w:rPr>
          <w:lang w:val="en-GB"/>
        </w:rPr>
      </w:pPr>
      <w:r>
        <w:rPr>
          <w:lang w:val="en-GB"/>
        </w:rPr>
        <w:t>This approach offers many advantages in comparison with more conventional approaches based on oleogelation, namely: (1) a facile and versatile process, based only on physical processing, without the addition of undesired ingredients to the formulation (e.g. gelators), (2) the replacement of part of the oil with the fibrous material and water, hence reducing the caloric intake, while ensuring the desired mouthfeel, as the oil will still constitute the continuous phase, (3) the delivery of bioactive molecules, associated with the fibours particles, when obtained from agri-food residues or other biomass, still rich in valuable compounds, with an antioxidant effect on the oil and expected health-beneficial effects also on consumers, and (4) the high transferability of the proposed approach, enabling to tune color, flavor, and taste of the structured oil, depending on the desired application. Currently, the main limitation of the proposed approach is the reduced temperature dependence of the rheological behavior, which could affect the organoleptic properties in some applications (e.g. when the solid fat are expected to melt in the mouth), and which needs to be addressed by future studies.</w:t>
      </w:r>
    </w:p>
    <w:p w14:paraId="459D05E6" w14:textId="77777777" w:rsidR="00600535" w:rsidRPr="00B57B36" w:rsidRDefault="00600535" w:rsidP="00600535">
      <w:pPr>
        <w:pStyle w:val="CETAcknowledgementstitle"/>
      </w:pPr>
      <w:r w:rsidRPr="00B57B36">
        <w:t>Acknowledgments</w:t>
      </w:r>
    </w:p>
    <w:p w14:paraId="33F8138F" w14:textId="2B70A5DD" w:rsidR="00600535" w:rsidRPr="00B57B36" w:rsidRDefault="00245D2F" w:rsidP="00245D2F">
      <w:pPr>
        <w:pStyle w:val="CETBodytext"/>
        <w:rPr>
          <w:lang w:val="en-GB"/>
        </w:rPr>
      </w:pPr>
      <w:r w:rsidRPr="00245D2F">
        <w:rPr>
          <w:lang w:val="en-GB"/>
        </w:rPr>
        <w:t>This research was funded by the Italian Ministry of University (MUR) call PRIN 2017</w:t>
      </w:r>
      <w:r>
        <w:rPr>
          <w:lang w:val="en-GB"/>
        </w:rPr>
        <w:t xml:space="preserve"> </w:t>
      </w:r>
      <w:r w:rsidRPr="00245D2F">
        <w:rPr>
          <w:lang w:val="en-GB"/>
        </w:rPr>
        <w:t>with the project 2017LEPH3M “PANACEA: A technology PlAtform for the sustainable recovery and</w:t>
      </w:r>
      <w:r>
        <w:rPr>
          <w:lang w:val="en-GB"/>
        </w:rPr>
        <w:t xml:space="preserve"> </w:t>
      </w:r>
      <w:r w:rsidRPr="00245D2F">
        <w:rPr>
          <w:lang w:val="en-GB"/>
        </w:rPr>
        <w:t>advanced use of NAnostructured CEllulose from Agro-food residues”.</w:t>
      </w:r>
    </w:p>
    <w:p w14:paraId="4F1327F8" w14:textId="77777777" w:rsidR="00600535" w:rsidRPr="00B57B36" w:rsidRDefault="00600535" w:rsidP="00600535">
      <w:pPr>
        <w:pStyle w:val="CETReference"/>
      </w:pPr>
      <w:r w:rsidRPr="00B57B36">
        <w:t>References</w:t>
      </w:r>
    </w:p>
    <w:p w14:paraId="0FFACE21" w14:textId="50F4C4D0" w:rsidR="0075663B" w:rsidRDefault="0075663B" w:rsidP="006B4888">
      <w:pPr>
        <w:pStyle w:val="CETReferencetext"/>
      </w:pPr>
      <w:r w:rsidRPr="0075663B">
        <w:t xml:space="preserve">Blake AI., Toro-Vazquez JF., Hwang HS., 2018, Wax oleogels (eds. Garti </w:t>
      </w:r>
      <w:r>
        <w:t xml:space="preserve">N. </w:t>
      </w:r>
      <w:r w:rsidRPr="0075663B">
        <w:t>and G. Alejandro</w:t>
      </w:r>
      <w:r>
        <w:t xml:space="preserve"> M.</w:t>
      </w:r>
      <w:r w:rsidRPr="0075663B">
        <w:t>). San Diego, CA: AOCS Press.</w:t>
      </w:r>
    </w:p>
    <w:p w14:paraId="2CFE951A" w14:textId="297CBEEE" w:rsidR="007C740B" w:rsidRDefault="007C740B" w:rsidP="007C740B">
      <w:pPr>
        <w:pStyle w:val="CETReferencetext"/>
      </w:pPr>
      <w:r>
        <w:t xml:space="preserve">Bossler F., Koos E., 2016, Structure of Particle Networks in Capillary Suspensions with Wetting and Nonwetting Fluids, </w:t>
      </w:r>
      <w:r w:rsidRPr="007C740B">
        <w:t>Langmuir, 32, 1489</w:t>
      </w:r>
      <w:r>
        <w:t>-</w:t>
      </w:r>
      <w:r w:rsidRPr="007C740B">
        <w:t>1501</w:t>
      </w:r>
    </w:p>
    <w:p w14:paraId="4C405574" w14:textId="17830A86" w:rsidR="00585DE4" w:rsidRDefault="00585DE4" w:rsidP="006B4888">
      <w:pPr>
        <w:pStyle w:val="CETReferencetext"/>
      </w:pPr>
      <w:r w:rsidRPr="00585DE4">
        <w:t>Bossler F., Weyrauch L., Schmidt R., Koos E.</w:t>
      </w:r>
      <w:r>
        <w:t xml:space="preserve">, </w:t>
      </w:r>
      <w:r w:rsidRPr="00585DE4">
        <w:t>2017</w:t>
      </w:r>
      <w:r>
        <w:t>,</w:t>
      </w:r>
      <w:r w:rsidRPr="00585DE4">
        <w:t xml:space="preserve"> Influence of mixing conditions on the rheological properties</w:t>
      </w:r>
      <w:r>
        <w:t xml:space="preserve">, </w:t>
      </w:r>
      <w:r w:rsidRPr="00585DE4">
        <w:t>and structure of capillary suspensions</w:t>
      </w:r>
      <w:r>
        <w:t>,</w:t>
      </w:r>
      <w:r w:rsidRPr="00585DE4">
        <w:t xml:space="preserve"> Colloids and Surfaces A: Physicochemical and Engineering Aspects</w:t>
      </w:r>
      <w:r>
        <w:t xml:space="preserve">, 518, </w:t>
      </w:r>
      <w:r w:rsidRPr="00585DE4">
        <w:t>85-97</w:t>
      </w:r>
      <w:r w:rsidR="007C740B">
        <w:t>.</w:t>
      </w:r>
    </w:p>
    <w:p w14:paraId="193774F3" w14:textId="5777241C" w:rsidR="007C740B" w:rsidRPr="007C740B" w:rsidRDefault="007C740B" w:rsidP="007C740B">
      <w:pPr>
        <w:pStyle w:val="CETReferencetext"/>
      </w:pPr>
      <w:r w:rsidRPr="007C740B">
        <w:t xml:space="preserve">Jurić S., Ferrari G., Velikov KP., Donsì F., 2019, </w:t>
      </w:r>
      <w:r>
        <w:t>High-pressure homogenization treatment to recover bioactive compounds from tomato peels, Journal of Food Engineering, 262, 170-180.</w:t>
      </w:r>
    </w:p>
    <w:p w14:paraId="2F118C7C" w14:textId="3C812D76" w:rsidR="00317D13" w:rsidRDefault="00317D13" w:rsidP="006B4888">
      <w:pPr>
        <w:pStyle w:val="CETReferencetext"/>
      </w:pPr>
      <w:r w:rsidRPr="00317D13">
        <w:t>Koos E.</w:t>
      </w:r>
      <w:r>
        <w:t>,</w:t>
      </w:r>
      <w:r w:rsidRPr="00317D13">
        <w:t xml:space="preserve"> 2014</w:t>
      </w:r>
      <w:r>
        <w:t>,</w:t>
      </w:r>
      <w:r w:rsidRPr="00317D13">
        <w:t xml:space="preserve"> Capillary suspensions: Particle networks formed through the capillary force</w:t>
      </w:r>
      <w:r>
        <w:t>,</w:t>
      </w:r>
      <w:r w:rsidRPr="00317D13">
        <w:t xml:space="preserve"> Current Opinion in Colloid and Interface Science</w:t>
      </w:r>
      <w:r w:rsidR="00631316">
        <w:t xml:space="preserve">, 19, </w:t>
      </w:r>
      <w:r w:rsidR="00631316" w:rsidRPr="00631316">
        <w:t>575-584</w:t>
      </w:r>
      <w:r w:rsidR="00631316">
        <w:t>.</w:t>
      </w:r>
    </w:p>
    <w:p w14:paraId="12B118C0" w14:textId="67DBD423" w:rsidR="00317D13" w:rsidRDefault="00317D13" w:rsidP="006B4888">
      <w:pPr>
        <w:pStyle w:val="CETReferencetext"/>
      </w:pPr>
      <w:r w:rsidRPr="00317D13">
        <w:t>Le Révérend BJD., Norton IT., Cox PW., Spyropoulos F.</w:t>
      </w:r>
      <w:r>
        <w:t xml:space="preserve">, </w:t>
      </w:r>
      <w:r w:rsidRPr="00317D13">
        <w:t>2010</w:t>
      </w:r>
      <w:r>
        <w:t>,</w:t>
      </w:r>
      <w:r w:rsidRPr="00317D13">
        <w:t xml:space="preserve"> Colloidal aspects of eating</w:t>
      </w:r>
      <w:r>
        <w:t>,</w:t>
      </w:r>
      <w:r w:rsidRPr="00317D13">
        <w:t xml:space="preserve"> Current Opinion in Colloid and Interface Science</w:t>
      </w:r>
      <w:r>
        <w:t xml:space="preserve">, 15, </w:t>
      </w:r>
      <w:r w:rsidRPr="00317D13">
        <w:t>84-89</w:t>
      </w:r>
      <w:r>
        <w:t>.</w:t>
      </w:r>
    </w:p>
    <w:p w14:paraId="270F7EC1" w14:textId="64DCF71A" w:rsidR="00EE1445" w:rsidRPr="00EE1445" w:rsidRDefault="00EE1445" w:rsidP="00EE1445">
      <w:pPr>
        <w:pStyle w:val="CETReferencetext"/>
      </w:pPr>
      <w:r w:rsidRPr="00EE1445">
        <w:t>Lužaić TZ., Grahovac NL., Hladni NT., Romanić RS.</w:t>
      </w:r>
      <w:r>
        <w:t xml:space="preserve">, 2021, Evaluation of oxidative stability of new cold-pressed sunflower oils during accelerated thermal stability tests, </w:t>
      </w:r>
      <w:r w:rsidRPr="00EE1445">
        <w:t>Food Science and Technology</w:t>
      </w:r>
      <w:r>
        <w:t>, 42, 1-8</w:t>
      </w:r>
    </w:p>
    <w:p w14:paraId="6A31E190" w14:textId="08F15228" w:rsidR="00EE1445" w:rsidRDefault="00EE1445" w:rsidP="00EE1445">
      <w:pPr>
        <w:pStyle w:val="CETReferencetext"/>
      </w:pPr>
      <w:r>
        <w:t>Maurath</w:t>
      </w:r>
      <w:r w:rsidRPr="005065C2">
        <w:t xml:space="preserve"> </w:t>
      </w:r>
      <w:r>
        <w:t>J., Bitsch</w:t>
      </w:r>
      <w:r w:rsidRPr="005065C2">
        <w:t xml:space="preserve"> </w:t>
      </w:r>
      <w:r>
        <w:t>B., Schwegler</w:t>
      </w:r>
      <w:r w:rsidRPr="005065C2">
        <w:t xml:space="preserve"> </w:t>
      </w:r>
      <w:r>
        <w:t>Y., Willenbacher</w:t>
      </w:r>
      <w:r w:rsidRPr="005065C2">
        <w:t xml:space="preserve"> </w:t>
      </w:r>
      <w:r>
        <w:t xml:space="preserve">N., 2016, Influence of particle shape on the rheological behavior of three-phase non-Brownian suspensions, </w:t>
      </w:r>
      <w:r w:rsidRPr="00585DE4">
        <w:t>Colloids and Surfaces A: Physicochemical and Engineering Aspects</w:t>
      </w:r>
      <w:r>
        <w:t>, 497, 316-326</w:t>
      </w:r>
    </w:p>
    <w:p w14:paraId="2CE96E39" w14:textId="357BC4CC" w:rsidR="00631316" w:rsidRDefault="00631316" w:rsidP="00EE1445">
      <w:pPr>
        <w:pStyle w:val="CETReferencetext"/>
      </w:pPr>
      <w:r w:rsidRPr="00631316">
        <w:t>Mustafa W., Pataro G., Ferrari G., Donsì F., 2018, Novel approaches to oil structuring via the addition of high-pressure homogenized agri-food residues and water forming capillary bridges</w:t>
      </w:r>
      <w:r>
        <w:t>,</w:t>
      </w:r>
      <w:r w:rsidRPr="00631316">
        <w:t xml:space="preserve"> Journal of Food Engineering</w:t>
      </w:r>
      <w:r>
        <w:t xml:space="preserve">, 236, </w:t>
      </w:r>
      <w:r w:rsidRPr="00631316">
        <w:t>9-18</w:t>
      </w:r>
      <w:r>
        <w:t>.</w:t>
      </w:r>
    </w:p>
    <w:p w14:paraId="75D0B8A7" w14:textId="356A5B61" w:rsidR="00285BA3" w:rsidRDefault="00285BA3" w:rsidP="006B4888">
      <w:pPr>
        <w:pStyle w:val="CETReferencetext"/>
      </w:pPr>
      <w:r w:rsidRPr="00285BA3">
        <w:t>Pirozzi, A., Capuano, R., Avolio, R., Gentile, G., Ferrari, G., Donsì, F., 2021, O/W pickering emulsions stabilized with cellulose nanofibrils produced through different mechanical treatments</w:t>
      </w:r>
      <w:r>
        <w:t>,</w:t>
      </w:r>
      <w:r w:rsidRPr="00285BA3">
        <w:t xml:space="preserve"> Foods</w:t>
      </w:r>
      <w:r>
        <w:t>, 10, 1886.</w:t>
      </w:r>
    </w:p>
    <w:p w14:paraId="1C971529" w14:textId="20790B31" w:rsidR="00EE1445" w:rsidRDefault="001F7A17">
      <w:pPr>
        <w:pStyle w:val="CETReferencetext"/>
      </w:pPr>
      <w:r w:rsidRPr="001F7A17">
        <w:t>Zhao</w:t>
      </w:r>
      <w:r>
        <w:t xml:space="preserve"> </w:t>
      </w:r>
      <w:r w:rsidRPr="001F7A17">
        <w:t>W., Wei Z., Xue</w:t>
      </w:r>
      <w:r>
        <w:t xml:space="preserve"> </w:t>
      </w:r>
      <w:r w:rsidRPr="001F7A17">
        <w:t>C.</w:t>
      </w:r>
      <w:r>
        <w:t>,</w:t>
      </w:r>
      <w:r w:rsidRPr="001F7A17">
        <w:t xml:space="preserve"> 2021</w:t>
      </w:r>
      <w:r>
        <w:t>,</w:t>
      </w:r>
      <w:r w:rsidRPr="001F7A17">
        <w:t xml:space="preserve"> Recent advances on food-grade oleogels: Fabrication, application and research trends</w:t>
      </w:r>
      <w:r>
        <w:t>,</w:t>
      </w:r>
      <w:r w:rsidRPr="001F7A17">
        <w:t xml:space="preserve"> Critical Reviews in Food Science and Nutrition</w:t>
      </w:r>
      <w:r>
        <w:t>, 62 ,</w:t>
      </w:r>
      <w:r w:rsidRPr="001F7A17">
        <w:t>7659-7676.</w:t>
      </w:r>
    </w:p>
    <w:sectPr w:rsidR="00EE1445"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66647" w14:textId="77777777" w:rsidR="000A02B6" w:rsidRDefault="000A02B6" w:rsidP="004F5E36">
      <w:r>
        <w:separator/>
      </w:r>
    </w:p>
  </w:endnote>
  <w:endnote w:type="continuationSeparator" w:id="0">
    <w:p w14:paraId="6A090EC9" w14:textId="77777777" w:rsidR="000A02B6" w:rsidRDefault="000A02B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C8ABD" w14:textId="77777777" w:rsidR="000A02B6" w:rsidRDefault="000A02B6" w:rsidP="004F5E36">
      <w:r>
        <w:separator/>
      </w:r>
    </w:p>
  </w:footnote>
  <w:footnote w:type="continuationSeparator" w:id="0">
    <w:p w14:paraId="2E266CC2" w14:textId="77777777" w:rsidR="000A02B6" w:rsidRDefault="000A02B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54A6ECD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tKwFACPUJ00tAAAA"/>
  </w:docVars>
  <w:rsids>
    <w:rsidRoot w:val="000E414A"/>
    <w:rsid w:val="000027C0"/>
    <w:rsid w:val="000052FB"/>
    <w:rsid w:val="000117CB"/>
    <w:rsid w:val="0003148D"/>
    <w:rsid w:val="00031EEC"/>
    <w:rsid w:val="00051566"/>
    <w:rsid w:val="000562A9"/>
    <w:rsid w:val="00061EC2"/>
    <w:rsid w:val="00062A9A"/>
    <w:rsid w:val="00065058"/>
    <w:rsid w:val="00086C39"/>
    <w:rsid w:val="00095E40"/>
    <w:rsid w:val="000A02B6"/>
    <w:rsid w:val="000A03B2"/>
    <w:rsid w:val="000A0524"/>
    <w:rsid w:val="000A1E5E"/>
    <w:rsid w:val="000B722C"/>
    <w:rsid w:val="000C2979"/>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6119E"/>
    <w:rsid w:val="00164CF9"/>
    <w:rsid w:val="001667A6"/>
    <w:rsid w:val="0018027F"/>
    <w:rsid w:val="00184AD6"/>
    <w:rsid w:val="001A4AF7"/>
    <w:rsid w:val="001B0349"/>
    <w:rsid w:val="001B1E93"/>
    <w:rsid w:val="001B65C1"/>
    <w:rsid w:val="001C684B"/>
    <w:rsid w:val="001D0CFB"/>
    <w:rsid w:val="001D21AF"/>
    <w:rsid w:val="001D2315"/>
    <w:rsid w:val="001D53FC"/>
    <w:rsid w:val="001D55A5"/>
    <w:rsid w:val="001E03C5"/>
    <w:rsid w:val="001F42A5"/>
    <w:rsid w:val="001F7A17"/>
    <w:rsid w:val="001F7B9D"/>
    <w:rsid w:val="00201C93"/>
    <w:rsid w:val="00201D9E"/>
    <w:rsid w:val="002033F9"/>
    <w:rsid w:val="002224B4"/>
    <w:rsid w:val="00243F37"/>
    <w:rsid w:val="002447EF"/>
    <w:rsid w:val="00245D2F"/>
    <w:rsid w:val="00251550"/>
    <w:rsid w:val="0025381F"/>
    <w:rsid w:val="00263B05"/>
    <w:rsid w:val="002659FC"/>
    <w:rsid w:val="0027221A"/>
    <w:rsid w:val="00275B61"/>
    <w:rsid w:val="00280FAF"/>
    <w:rsid w:val="00282656"/>
    <w:rsid w:val="00285BA3"/>
    <w:rsid w:val="00285C11"/>
    <w:rsid w:val="00294CF6"/>
    <w:rsid w:val="00296B83"/>
    <w:rsid w:val="002B4015"/>
    <w:rsid w:val="002B78CE"/>
    <w:rsid w:val="002C2FB6"/>
    <w:rsid w:val="002E1F0F"/>
    <w:rsid w:val="002E5FA7"/>
    <w:rsid w:val="002F2D15"/>
    <w:rsid w:val="002F3309"/>
    <w:rsid w:val="003007DE"/>
    <w:rsid w:val="003008CE"/>
    <w:rsid w:val="003009B7"/>
    <w:rsid w:val="00300E56"/>
    <w:rsid w:val="0030152C"/>
    <w:rsid w:val="0030469C"/>
    <w:rsid w:val="00317D13"/>
    <w:rsid w:val="00321CA6"/>
    <w:rsid w:val="00323763"/>
    <w:rsid w:val="00323C5F"/>
    <w:rsid w:val="00325221"/>
    <w:rsid w:val="00334C09"/>
    <w:rsid w:val="003723D4"/>
    <w:rsid w:val="00381905"/>
    <w:rsid w:val="00384CC8"/>
    <w:rsid w:val="003871FD"/>
    <w:rsid w:val="003935DE"/>
    <w:rsid w:val="003A1E30"/>
    <w:rsid w:val="003A2829"/>
    <w:rsid w:val="003A6FC6"/>
    <w:rsid w:val="003A7D1C"/>
    <w:rsid w:val="003B09C4"/>
    <w:rsid w:val="003B304B"/>
    <w:rsid w:val="003B3146"/>
    <w:rsid w:val="003C706F"/>
    <w:rsid w:val="003F015E"/>
    <w:rsid w:val="003F3591"/>
    <w:rsid w:val="00400414"/>
    <w:rsid w:val="00413D34"/>
    <w:rsid w:val="0041446B"/>
    <w:rsid w:val="0044071E"/>
    <w:rsid w:val="0044329C"/>
    <w:rsid w:val="00444E8E"/>
    <w:rsid w:val="00453E24"/>
    <w:rsid w:val="00457456"/>
    <w:rsid w:val="004577FE"/>
    <w:rsid w:val="00457B9C"/>
    <w:rsid w:val="0046164A"/>
    <w:rsid w:val="004628D2"/>
    <w:rsid w:val="00462DCD"/>
    <w:rsid w:val="004648AD"/>
    <w:rsid w:val="004703A9"/>
    <w:rsid w:val="004760DE"/>
    <w:rsid w:val="004763D7"/>
    <w:rsid w:val="00485BA6"/>
    <w:rsid w:val="004918BD"/>
    <w:rsid w:val="004A004E"/>
    <w:rsid w:val="004A24CF"/>
    <w:rsid w:val="004A73B2"/>
    <w:rsid w:val="004C3D1D"/>
    <w:rsid w:val="004C3D84"/>
    <w:rsid w:val="004C7913"/>
    <w:rsid w:val="004D61C6"/>
    <w:rsid w:val="004E4DD6"/>
    <w:rsid w:val="004F3326"/>
    <w:rsid w:val="004F5E36"/>
    <w:rsid w:val="0050100B"/>
    <w:rsid w:val="005065C2"/>
    <w:rsid w:val="00507B47"/>
    <w:rsid w:val="00507BEF"/>
    <w:rsid w:val="00507CC9"/>
    <w:rsid w:val="005119A5"/>
    <w:rsid w:val="00516AAC"/>
    <w:rsid w:val="005278B7"/>
    <w:rsid w:val="00532016"/>
    <w:rsid w:val="005346C8"/>
    <w:rsid w:val="00543E7D"/>
    <w:rsid w:val="00544FAA"/>
    <w:rsid w:val="00547A68"/>
    <w:rsid w:val="005531C9"/>
    <w:rsid w:val="005641BC"/>
    <w:rsid w:val="00570C43"/>
    <w:rsid w:val="00585DE4"/>
    <w:rsid w:val="005B2110"/>
    <w:rsid w:val="005B61E6"/>
    <w:rsid w:val="005C77E1"/>
    <w:rsid w:val="005D668A"/>
    <w:rsid w:val="005D6A2F"/>
    <w:rsid w:val="005E1A82"/>
    <w:rsid w:val="005E794C"/>
    <w:rsid w:val="005F0A28"/>
    <w:rsid w:val="005F0E5E"/>
    <w:rsid w:val="005F2E13"/>
    <w:rsid w:val="00600535"/>
    <w:rsid w:val="00610CD6"/>
    <w:rsid w:val="00616B57"/>
    <w:rsid w:val="00617D12"/>
    <w:rsid w:val="00620DEE"/>
    <w:rsid w:val="00621F92"/>
    <w:rsid w:val="0062280A"/>
    <w:rsid w:val="00624707"/>
    <w:rsid w:val="00625639"/>
    <w:rsid w:val="00631316"/>
    <w:rsid w:val="00631B33"/>
    <w:rsid w:val="0064184D"/>
    <w:rsid w:val="006422CC"/>
    <w:rsid w:val="00660E3E"/>
    <w:rsid w:val="00662E74"/>
    <w:rsid w:val="00680C23"/>
    <w:rsid w:val="00693766"/>
    <w:rsid w:val="006A3281"/>
    <w:rsid w:val="006B4888"/>
    <w:rsid w:val="006C2E45"/>
    <w:rsid w:val="006C359C"/>
    <w:rsid w:val="006C5579"/>
    <w:rsid w:val="006D6E8B"/>
    <w:rsid w:val="006E737D"/>
    <w:rsid w:val="006F0901"/>
    <w:rsid w:val="007030F2"/>
    <w:rsid w:val="00713973"/>
    <w:rsid w:val="007159FB"/>
    <w:rsid w:val="00720A24"/>
    <w:rsid w:val="00732386"/>
    <w:rsid w:val="00734F09"/>
    <w:rsid w:val="0073514D"/>
    <w:rsid w:val="007447F3"/>
    <w:rsid w:val="007477F8"/>
    <w:rsid w:val="0075499F"/>
    <w:rsid w:val="0075663B"/>
    <w:rsid w:val="007661C8"/>
    <w:rsid w:val="0077098D"/>
    <w:rsid w:val="00772164"/>
    <w:rsid w:val="007931FA"/>
    <w:rsid w:val="007A4861"/>
    <w:rsid w:val="007A7BBA"/>
    <w:rsid w:val="007B0C50"/>
    <w:rsid w:val="007B48F9"/>
    <w:rsid w:val="007B676B"/>
    <w:rsid w:val="007C1A43"/>
    <w:rsid w:val="007C740B"/>
    <w:rsid w:val="007D0951"/>
    <w:rsid w:val="007F04D7"/>
    <w:rsid w:val="0080013E"/>
    <w:rsid w:val="00813288"/>
    <w:rsid w:val="008168FC"/>
    <w:rsid w:val="00816D5D"/>
    <w:rsid w:val="00830996"/>
    <w:rsid w:val="008327EB"/>
    <w:rsid w:val="008345F1"/>
    <w:rsid w:val="008645DC"/>
    <w:rsid w:val="00865B07"/>
    <w:rsid w:val="008667EA"/>
    <w:rsid w:val="0087637F"/>
    <w:rsid w:val="008842AB"/>
    <w:rsid w:val="00892AD5"/>
    <w:rsid w:val="008A1512"/>
    <w:rsid w:val="008B121C"/>
    <w:rsid w:val="008B7C03"/>
    <w:rsid w:val="008C55B1"/>
    <w:rsid w:val="008D32B9"/>
    <w:rsid w:val="008D433B"/>
    <w:rsid w:val="008D4A16"/>
    <w:rsid w:val="008E3093"/>
    <w:rsid w:val="008E566E"/>
    <w:rsid w:val="0090161A"/>
    <w:rsid w:val="00901EB6"/>
    <w:rsid w:val="00901EFF"/>
    <w:rsid w:val="00904C62"/>
    <w:rsid w:val="0091149B"/>
    <w:rsid w:val="00922BA8"/>
    <w:rsid w:val="00924DAC"/>
    <w:rsid w:val="00927058"/>
    <w:rsid w:val="00942750"/>
    <w:rsid w:val="009450CE"/>
    <w:rsid w:val="009459BB"/>
    <w:rsid w:val="00947179"/>
    <w:rsid w:val="0095164B"/>
    <w:rsid w:val="00954090"/>
    <w:rsid w:val="009573E7"/>
    <w:rsid w:val="00963E05"/>
    <w:rsid w:val="009643BE"/>
    <w:rsid w:val="00964A45"/>
    <w:rsid w:val="00967843"/>
    <w:rsid w:val="00967D54"/>
    <w:rsid w:val="00971028"/>
    <w:rsid w:val="00993B84"/>
    <w:rsid w:val="00996483"/>
    <w:rsid w:val="00996F5A"/>
    <w:rsid w:val="009A16A6"/>
    <w:rsid w:val="009B041A"/>
    <w:rsid w:val="009C359A"/>
    <w:rsid w:val="009C37C3"/>
    <w:rsid w:val="009C7C86"/>
    <w:rsid w:val="009D1654"/>
    <w:rsid w:val="009D2FF7"/>
    <w:rsid w:val="009D4901"/>
    <w:rsid w:val="009E517C"/>
    <w:rsid w:val="009E7884"/>
    <w:rsid w:val="009E788A"/>
    <w:rsid w:val="009F0E08"/>
    <w:rsid w:val="009F6828"/>
    <w:rsid w:val="00A1763D"/>
    <w:rsid w:val="00A17CEC"/>
    <w:rsid w:val="00A27EF0"/>
    <w:rsid w:val="00A37D6A"/>
    <w:rsid w:val="00A42361"/>
    <w:rsid w:val="00A50B20"/>
    <w:rsid w:val="00A51390"/>
    <w:rsid w:val="00A60D13"/>
    <w:rsid w:val="00A7223D"/>
    <w:rsid w:val="00A72745"/>
    <w:rsid w:val="00A75E7C"/>
    <w:rsid w:val="00A76EFC"/>
    <w:rsid w:val="00A87D50"/>
    <w:rsid w:val="00A91010"/>
    <w:rsid w:val="00A97F29"/>
    <w:rsid w:val="00AA702E"/>
    <w:rsid w:val="00AA7D26"/>
    <w:rsid w:val="00AB0964"/>
    <w:rsid w:val="00AB2E7D"/>
    <w:rsid w:val="00AB5011"/>
    <w:rsid w:val="00AC7368"/>
    <w:rsid w:val="00AD16B9"/>
    <w:rsid w:val="00AD3B5F"/>
    <w:rsid w:val="00AE377D"/>
    <w:rsid w:val="00AF0EBA"/>
    <w:rsid w:val="00B02C8A"/>
    <w:rsid w:val="00B0670A"/>
    <w:rsid w:val="00B14789"/>
    <w:rsid w:val="00B167AD"/>
    <w:rsid w:val="00B17FBD"/>
    <w:rsid w:val="00B315A6"/>
    <w:rsid w:val="00B31813"/>
    <w:rsid w:val="00B33365"/>
    <w:rsid w:val="00B57B36"/>
    <w:rsid w:val="00B57E6F"/>
    <w:rsid w:val="00B8686D"/>
    <w:rsid w:val="00B93F69"/>
    <w:rsid w:val="00BB1DDC"/>
    <w:rsid w:val="00BB4922"/>
    <w:rsid w:val="00BC30C9"/>
    <w:rsid w:val="00BD077D"/>
    <w:rsid w:val="00BE03E3"/>
    <w:rsid w:val="00BE3E58"/>
    <w:rsid w:val="00C01616"/>
    <w:rsid w:val="00C0162B"/>
    <w:rsid w:val="00C068ED"/>
    <w:rsid w:val="00C113CA"/>
    <w:rsid w:val="00C22E0C"/>
    <w:rsid w:val="00C3056C"/>
    <w:rsid w:val="00C345B1"/>
    <w:rsid w:val="00C40142"/>
    <w:rsid w:val="00C45777"/>
    <w:rsid w:val="00C461B2"/>
    <w:rsid w:val="00C52C3C"/>
    <w:rsid w:val="00C55B48"/>
    <w:rsid w:val="00C57182"/>
    <w:rsid w:val="00C57863"/>
    <w:rsid w:val="00C640AF"/>
    <w:rsid w:val="00C655FD"/>
    <w:rsid w:val="00C75407"/>
    <w:rsid w:val="00C77268"/>
    <w:rsid w:val="00C85ABF"/>
    <w:rsid w:val="00C870A8"/>
    <w:rsid w:val="00C91CA2"/>
    <w:rsid w:val="00C94434"/>
    <w:rsid w:val="00C96264"/>
    <w:rsid w:val="00CA0D4A"/>
    <w:rsid w:val="00CA0D75"/>
    <w:rsid w:val="00CA1C95"/>
    <w:rsid w:val="00CA5A9C"/>
    <w:rsid w:val="00CB51AD"/>
    <w:rsid w:val="00CC301A"/>
    <w:rsid w:val="00CC3F23"/>
    <w:rsid w:val="00CC4C20"/>
    <w:rsid w:val="00CD0442"/>
    <w:rsid w:val="00CD21A3"/>
    <w:rsid w:val="00CD3517"/>
    <w:rsid w:val="00CD5FE2"/>
    <w:rsid w:val="00CE7C68"/>
    <w:rsid w:val="00D02B4C"/>
    <w:rsid w:val="00D040C4"/>
    <w:rsid w:val="00D20AD1"/>
    <w:rsid w:val="00D46B7E"/>
    <w:rsid w:val="00D54093"/>
    <w:rsid w:val="00D5447D"/>
    <w:rsid w:val="00D57C84"/>
    <w:rsid w:val="00D6057D"/>
    <w:rsid w:val="00D648EC"/>
    <w:rsid w:val="00D71640"/>
    <w:rsid w:val="00D836C5"/>
    <w:rsid w:val="00D84576"/>
    <w:rsid w:val="00D9167C"/>
    <w:rsid w:val="00D92EBE"/>
    <w:rsid w:val="00DA1399"/>
    <w:rsid w:val="00DA24C6"/>
    <w:rsid w:val="00DA4D7B"/>
    <w:rsid w:val="00DB06CB"/>
    <w:rsid w:val="00DB0F87"/>
    <w:rsid w:val="00DD271C"/>
    <w:rsid w:val="00DE264A"/>
    <w:rsid w:val="00DF5072"/>
    <w:rsid w:val="00E02D18"/>
    <w:rsid w:val="00E041E7"/>
    <w:rsid w:val="00E23CA1"/>
    <w:rsid w:val="00E33DD7"/>
    <w:rsid w:val="00E4093A"/>
    <w:rsid w:val="00E409A8"/>
    <w:rsid w:val="00E50C12"/>
    <w:rsid w:val="00E52BC0"/>
    <w:rsid w:val="00E536D9"/>
    <w:rsid w:val="00E6131F"/>
    <w:rsid w:val="00E65B91"/>
    <w:rsid w:val="00E7209D"/>
    <w:rsid w:val="00E72EAD"/>
    <w:rsid w:val="00E77223"/>
    <w:rsid w:val="00E8528B"/>
    <w:rsid w:val="00E85B94"/>
    <w:rsid w:val="00E978D0"/>
    <w:rsid w:val="00EA4613"/>
    <w:rsid w:val="00EA7F91"/>
    <w:rsid w:val="00EB1523"/>
    <w:rsid w:val="00EB35E0"/>
    <w:rsid w:val="00EC0E49"/>
    <w:rsid w:val="00EC101F"/>
    <w:rsid w:val="00EC1D9F"/>
    <w:rsid w:val="00EE0131"/>
    <w:rsid w:val="00EE1445"/>
    <w:rsid w:val="00EE17B0"/>
    <w:rsid w:val="00EF06D9"/>
    <w:rsid w:val="00EF1EAB"/>
    <w:rsid w:val="00F035D4"/>
    <w:rsid w:val="00F115EA"/>
    <w:rsid w:val="00F3049E"/>
    <w:rsid w:val="00F30C64"/>
    <w:rsid w:val="00F32BA2"/>
    <w:rsid w:val="00F32CDB"/>
    <w:rsid w:val="00F44AC9"/>
    <w:rsid w:val="00F549C6"/>
    <w:rsid w:val="00F565FE"/>
    <w:rsid w:val="00F63A70"/>
    <w:rsid w:val="00F63D8C"/>
    <w:rsid w:val="00F7534E"/>
    <w:rsid w:val="00F93EDF"/>
    <w:rsid w:val="00F953E8"/>
    <w:rsid w:val="00FA1802"/>
    <w:rsid w:val="00FA21D0"/>
    <w:rsid w:val="00FA5F5F"/>
    <w:rsid w:val="00FB5EAE"/>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9F6828"/>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9F6828"/>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Revisione">
    <w:name w:val="Revision"/>
    <w:hidden/>
    <w:uiPriority w:val="99"/>
    <w:semiHidden/>
    <w:rsid w:val="00AB2E7D"/>
    <w:pPr>
      <w:spacing w:after="0" w:line="240" w:lineRule="auto"/>
    </w:pPr>
    <w:rPr>
      <w:rFonts w:ascii="Arial" w:eastAsia="Times New Roman" w:hAnsi="Arial" w:cs="Times New Roman"/>
      <w:sz w:val="18"/>
      <w:szCs w:val="20"/>
      <w:lang w:val="en-GB"/>
    </w:rPr>
  </w:style>
  <w:style w:type="character" w:styleId="Menzionenonrisolta">
    <w:name w:val="Unresolved Mention"/>
    <w:basedOn w:val="Carpredefinitoparagrafo"/>
    <w:uiPriority w:val="99"/>
    <w:semiHidden/>
    <w:unhideWhenUsed/>
    <w:rsid w:val="00FB5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9850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mailto:fdonsi@unisa.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6</Pages>
  <Words>3115</Words>
  <Characters>17756</Characters>
  <Application>Microsoft Office Word</Application>
  <DocSecurity>0</DocSecurity>
  <Lines>147</Lines>
  <Paragraphs>41</Paragraphs>
  <ScaleCrop>false</ScaleCrop>
  <HeadingPairs>
    <vt:vector size="6" baseType="variant">
      <vt:variant>
        <vt:lpstr>Titolo</vt:lpstr>
      </vt:variant>
      <vt:variant>
        <vt:i4>1</vt:i4>
      </vt:variant>
      <vt:variant>
        <vt:lpstr>Intestazioni</vt:lpstr>
      </vt:variant>
      <vt:variant>
        <vt:i4>1</vt:i4>
      </vt:variant>
      <vt:variant>
        <vt:lpstr>Title</vt:lpstr>
      </vt:variant>
      <vt:variant>
        <vt:i4>1</vt:i4>
      </vt:variant>
    </vt:vector>
  </HeadingPairs>
  <TitlesOfParts>
    <vt:vector size="3" baseType="lpstr">
      <vt:lpstr/>
      <vt:lpstr>Structuring vegetable oils through the formation of capillary suspensions: compa</vt:lpstr>
      <vt:lpstr/>
    </vt:vector>
  </TitlesOfParts>
  <Company>Dipartimento CMIC - Politecnico di Milano</Company>
  <LinksUpToDate>false</LinksUpToDate>
  <CharactersWithSpaces>20830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Annachiara Pirozzi</cp:lastModifiedBy>
  <cp:revision>21</cp:revision>
  <cp:lastPrinted>2015-05-12T18:31:00Z</cp:lastPrinted>
  <dcterms:created xsi:type="dcterms:W3CDTF">2023-02-08T22:01:00Z</dcterms:created>
  <dcterms:modified xsi:type="dcterms:W3CDTF">2023-03-20T09:10:00Z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