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86C29">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86C2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86C29">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B839554" w:rsidR="00E978D0" w:rsidRPr="00B57B36" w:rsidRDefault="00186C29" w:rsidP="00E978D0">
      <w:pPr>
        <w:pStyle w:val="CETTitle"/>
      </w:pPr>
      <w:r w:rsidRPr="00186C29">
        <w:rPr>
          <w:lang w:val="en-US"/>
        </w:rPr>
        <w:t xml:space="preserve">Antifungal Potential of Hibiscus Tea </w:t>
      </w:r>
      <w:r w:rsidR="004F5211" w:rsidRPr="00186C29">
        <w:rPr>
          <w:lang w:val="en-US"/>
        </w:rPr>
        <w:t xml:space="preserve">and Fermented </w:t>
      </w:r>
      <w:r w:rsidRPr="00186C29">
        <w:rPr>
          <w:lang w:val="en-US"/>
        </w:rPr>
        <w:t xml:space="preserve">Kombucha </w:t>
      </w:r>
    </w:p>
    <w:p w14:paraId="0488FED2" w14:textId="3E991610" w:rsidR="00B57E6F" w:rsidRPr="00186C29" w:rsidRDefault="00186C29" w:rsidP="00B57E6F">
      <w:pPr>
        <w:pStyle w:val="CETAuthors"/>
        <w:rPr>
          <w:lang w:val="pt-BR"/>
        </w:rPr>
      </w:pPr>
      <w:r w:rsidRPr="00186C29">
        <w:rPr>
          <w:lang w:val="pt-BR"/>
        </w:rPr>
        <w:t>Andressa Caroline Ferreira De Souza; Eliane Sloboda Rigobello; Fl</w:t>
      </w:r>
      <w:r w:rsidR="008A2284">
        <w:rPr>
          <w:lang w:val="pt-BR"/>
        </w:rPr>
        <w:t>á</w:t>
      </w:r>
      <w:r w:rsidRPr="00186C29">
        <w:rPr>
          <w:lang w:val="pt-BR"/>
        </w:rPr>
        <w:t>via Aparecida Cardoso Reitz; Leila Larisa Medeiros Marques; Caroline De Oliveira Pereira; Márcia Regina Ferreira Geraldo Perdoncini*</w:t>
      </w:r>
    </w:p>
    <w:p w14:paraId="38A8D110" w14:textId="3F2BC30C" w:rsidR="00186C29" w:rsidRPr="00186C29" w:rsidRDefault="00186C29" w:rsidP="00186C29">
      <w:pPr>
        <w:autoSpaceDE w:val="0"/>
        <w:autoSpaceDN w:val="0"/>
        <w:adjustRightInd w:val="0"/>
        <w:rPr>
          <w:rFonts w:eastAsiaTheme="minorHAnsi" w:cs="Arial"/>
          <w:color w:val="000000"/>
          <w:sz w:val="16"/>
          <w:szCs w:val="16"/>
          <w:lang w:val="en-US"/>
        </w:rPr>
      </w:pPr>
      <w:r w:rsidRPr="00186C29">
        <w:rPr>
          <w:rFonts w:eastAsiaTheme="minorHAnsi" w:cs="Arial"/>
          <w:color w:val="000000"/>
          <w:sz w:val="16"/>
          <w:szCs w:val="16"/>
          <w:lang w:val="en-US"/>
        </w:rPr>
        <w:t>Federal University of Technology - Paraná, Brazil Food Engineering and Technology</w:t>
      </w:r>
    </w:p>
    <w:p w14:paraId="3F693113" w14:textId="3FE9B920" w:rsidR="00186C29" w:rsidRPr="00186C29" w:rsidRDefault="00186C29" w:rsidP="00186C29">
      <w:pPr>
        <w:autoSpaceDE w:val="0"/>
        <w:autoSpaceDN w:val="0"/>
        <w:adjustRightInd w:val="0"/>
        <w:spacing w:after="240"/>
        <w:rPr>
          <w:rFonts w:eastAsiaTheme="minorHAnsi" w:cs="Arial"/>
          <w:color w:val="000000"/>
          <w:sz w:val="16"/>
          <w:szCs w:val="16"/>
          <w:lang w:val="en-US"/>
        </w:rPr>
      </w:pPr>
      <w:r w:rsidRPr="00186C29">
        <w:rPr>
          <w:rFonts w:eastAsiaTheme="minorHAnsi" w:cs="Arial"/>
          <w:color w:val="000000"/>
          <w:sz w:val="16"/>
          <w:szCs w:val="16"/>
          <w:lang w:val="en-US"/>
        </w:rPr>
        <w:t>*Corresponding author: geraldo@professores.utfpr.edu.br</w:t>
      </w:r>
    </w:p>
    <w:p w14:paraId="1D87A309" w14:textId="4DED1FD7" w:rsidR="007D0951" w:rsidRPr="00186C29" w:rsidRDefault="00186C29" w:rsidP="00186C29">
      <w:pPr>
        <w:pStyle w:val="CETBodytext"/>
        <w:rPr>
          <w:lang w:val="en-GB"/>
        </w:rPr>
      </w:pPr>
      <w:r w:rsidRPr="00186C29">
        <w:rPr>
          <w:rFonts w:eastAsiaTheme="minorHAnsi" w:cs="Arial"/>
          <w:color w:val="000000"/>
          <w:szCs w:val="18"/>
        </w:rPr>
        <w:t xml:space="preserve">Kombucha is a beverage fermented by a symbiosis of bacteria and yeast from teas. Secondary fermentations can be made using </w:t>
      </w:r>
      <w:r w:rsidR="00671433">
        <w:rPr>
          <w:rFonts w:eastAsiaTheme="minorHAnsi" w:cs="Arial"/>
          <w:color w:val="000000"/>
          <w:szCs w:val="18"/>
        </w:rPr>
        <w:t>vegetables</w:t>
      </w:r>
      <w:r w:rsidRPr="00186C29">
        <w:rPr>
          <w:rFonts w:eastAsiaTheme="minorHAnsi" w:cs="Arial"/>
          <w:color w:val="000000"/>
          <w:szCs w:val="18"/>
        </w:rPr>
        <w:t xml:space="preserve">, such as hibiscus for example. </w:t>
      </w:r>
      <w:r w:rsidR="00671433">
        <w:rPr>
          <w:rFonts w:eastAsiaTheme="minorHAnsi" w:cs="Arial"/>
          <w:color w:val="000000"/>
          <w:szCs w:val="18"/>
        </w:rPr>
        <w:t xml:space="preserve">In addition to providing a different flavor, the kombucha fermented with hibiscus </w:t>
      </w:r>
      <w:r w:rsidRPr="00186C29">
        <w:rPr>
          <w:rFonts w:eastAsiaTheme="minorHAnsi" w:cs="Arial"/>
          <w:color w:val="000000"/>
          <w:szCs w:val="18"/>
        </w:rPr>
        <w:t xml:space="preserve">can provide functional properties such as antimicrobial and antioxidant action. </w:t>
      </w:r>
      <w:r w:rsidRPr="00D61090">
        <w:rPr>
          <w:rFonts w:eastAsiaTheme="minorHAnsi" w:cs="Arial"/>
          <w:i/>
          <w:iCs/>
          <w:color w:val="000000"/>
          <w:szCs w:val="18"/>
        </w:rPr>
        <w:t>Botrytis cinerea</w:t>
      </w:r>
      <w:r w:rsidRPr="00671433">
        <w:rPr>
          <w:rFonts w:eastAsiaTheme="minorHAnsi" w:cs="Arial"/>
          <w:color w:val="000000"/>
          <w:szCs w:val="18"/>
        </w:rPr>
        <w:t xml:space="preserve"> causes gray rot in fruits and is difficult to control due to resistance to chemicals. </w:t>
      </w:r>
      <w:r w:rsidRPr="00186C29">
        <w:rPr>
          <w:rFonts w:eastAsiaTheme="minorHAnsi" w:cs="Arial"/>
          <w:color w:val="000000"/>
          <w:szCs w:val="18"/>
        </w:rPr>
        <w:t xml:space="preserve">The objective of this work was to evaluate the antifungal activity of the 1st fermentation of kombucha (F1), the 2nd fermentation of kombucha with hibiscus (F2H) and hibiscus tea against the fungus </w:t>
      </w:r>
      <w:r w:rsidRPr="00186C29">
        <w:rPr>
          <w:rFonts w:eastAsiaTheme="minorHAnsi" w:cs="Arial"/>
          <w:i/>
          <w:iCs/>
          <w:color w:val="000000"/>
          <w:szCs w:val="18"/>
        </w:rPr>
        <w:t>Botrytis cinerea</w:t>
      </w:r>
      <w:r w:rsidRPr="00186C29">
        <w:rPr>
          <w:rFonts w:eastAsiaTheme="minorHAnsi" w:cs="Arial"/>
          <w:color w:val="000000"/>
          <w:szCs w:val="18"/>
        </w:rPr>
        <w:t xml:space="preserve"> for a possible alternative for fungal control in strawberries. </w:t>
      </w:r>
      <w:r w:rsidRPr="00186C29">
        <w:rPr>
          <w:rFonts w:eastAsiaTheme="minorHAnsi" w:cs="Arial"/>
          <w:i/>
          <w:iCs/>
          <w:color w:val="000000"/>
          <w:szCs w:val="18"/>
        </w:rPr>
        <w:t xml:space="preserve">B. cinerea </w:t>
      </w:r>
      <w:r w:rsidRPr="00186C29">
        <w:rPr>
          <w:rFonts w:eastAsiaTheme="minorHAnsi" w:cs="Arial"/>
          <w:color w:val="000000"/>
          <w:szCs w:val="18"/>
        </w:rPr>
        <w:t>was inoculated in PDA medium at concentrations of 50</w:t>
      </w:r>
      <w:r w:rsidR="00671433">
        <w:rPr>
          <w:rFonts w:eastAsiaTheme="minorHAnsi" w:cs="Arial"/>
          <w:color w:val="000000"/>
          <w:szCs w:val="18"/>
        </w:rPr>
        <w:t xml:space="preserve"> </w:t>
      </w:r>
      <w:r w:rsidRPr="00186C29">
        <w:rPr>
          <w:rFonts w:eastAsiaTheme="minorHAnsi" w:cs="Arial"/>
          <w:color w:val="000000"/>
          <w:szCs w:val="18"/>
        </w:rPr>
        <w:t>%, 25</w:t>
      </w:r>
      <w:r w:rsidR="00671433">
        <w:rPr>
          <w:rFonts w:eastAsiaTheme="minorHAnsi" w:cs="Arial"/>
          <w:color w:val="000000"/>
          <w:szCs w:val="18"/>
        </w:rPr>
        <w:t xml:space="preserve"> </w:t>
      </w:r>
      <w:r w:rsidRPr="00186C29">
        <w:rPr>
          <w:rFonts w:eastAsiaTheme="minorHAnsi" w:cs="Arial"/>
          <w:color w:val="000000"/>
          <w:szCs w:val="18"/>
        </w:rPr>
        <w:t>%, 12.5</w:t>
      </w:r>
      <w:r w:rsidR="00671433">
        <w:rPr>
          <w:rFonts w:eastAsiaTheme="minorHAnsi" w:cs="Arial"/>
          <w:color w:val="000000"/>
          <w:szCs w:val="18"/>
        </w:rPr>
        <w:t xml:space="preserve"> </w:t>
      </w:r>
      <w:r w:rsidRPr="00186C29">
        <w:rPr>
          <w:rFonts w:eastAsiaTheme="minorHAnsi" w:cs="Arial"/>
          <w:color w:val="000000"/>
          <w:szCs w:val="18"/>
        </w:rPr>
        <w:t>%</w:t>
      </w:r>
      <w:r w:rsidR="004F5211">
        <w:rPr>
          <w:rFonts w:eastAsiaTheme="minorHAnsi" w:cs="Arial"/>
          <w:color w:val="000000"/>
          <w:szCs w:val="18"/>
        </w:rPr>
        <w:t>,</w:t>
      </w:r>
      <w:r w:rsidRPr="00186C29">
        <w:rPr>
          <w:rFonts w:eastAsiaTheme="minorHAnsi" w:cs="Arial"/>
          <w:color w:val="000000"/>
          <w:szCs w:val="18"/>
        </w:rPr>
        <w:t xml:space="preserve"> and 6.25</w:t>
      </w:r>
      <w:r w:rsidR="00671433">
        <w:rPr>
          <w:rFonts w:eastAsiaTheme="minorHAnsi" w:cs="Arial"/>
          <w:color w:val="000000"/>
          <w:szCs w:val="18"/>
        </w:rPr>
        <w:t xml:space="preserve"> </w:t>
      </w:r>
      <w:r w:rsidRPr="00186C29">
        <w:rPr>
          <w:rFonts w:eastAsiaTheme="minorHAnsi" w:cs="Arial"/>
          <w:color w:val="000000"/>
          <w:szCs w:val="18"/>
        </w:rPr>
        <w:t xml:space="preserve">% of hibiscus tea and fermented kombucha and evaluated after </w:t>
      </w:r>
      <w:r w:rsidR="004F5211">
        <w:rPr>
          <w:rFonts w:eastAsiaTheme="minorHAnsi" w:cs="Arial"/>
          <w:color w:val="000000"/>
          <w:szCs w:val="18"/>
        </w:rPr>
        <w:t>seven</w:t>
      </w:r>
      <w:r w:rsidRPr="00186C29">
        <w:rPr>
          <w:rFonts w:eastAsiaTheme="minorHAnsi" w:cs="Arial"/>
          <w:color w:val="000000"/>
          <w:szCs w:val="18"/>
        </w:rPr>
        <w:t xml:space="preserve"> days for mycelial growth, verified by its diameter. PDA without added tea or kombucha </w:t>
      </w:r>
      <w:r w:rsidR="004F5211">
        <w:rPr>
          <w:rFonts w:eastAsiaTheme="minorHAnsi" w:cs="Arial"/>
          <w:color w:val="000000"/>
          <w:szCs w:val="18"/>
        </w:rPr>
        <w:t>was</w:t>
      </w:r>
      <w:r w:rsidRPr="00186C29">
        <w:rPr>
          <w:rFonts w:eastAsiaTheme="minorHAnsi" w:cs="Arial"/>
          <w:color w:val="000000"/>
          <w:szCs w:val="18"/>
        </w:rPr>
        <w:t xml:space="preserve"> used as a control. Strawberries were steeped in an aqueous solution of hibiscus tea and fermented into kombucha. The results showed inhibition of the mycelial growth of </w:t>
      </w:r>
      <w:r w:rsidRPr="00186C29">
        <w:rPr>
          <w:rFonts w:eastAsiaTheme="minorHAnsi" w:cs="Arial"/>
          <w:i/>
          <w:iCs/>
          <w:color w:val="000000"/>
          <w:szCs w:val="18"/>
        </w:rPr>
        <w:t xml:space="preserve">B. cinerea </w:t>
      </w:r>
      <w:r w:rsidRPr="00186C29">
        <w:rPr>
          <w:rFonts w:eastAsiaTheme="minorHAnsi" w:cs="Arial"/>
          <w:color w:val="000000"/>
          <w:szCs w:val="18"/>
        </w:rPr>
        <w:t>in the media with concentrations of 50</w:t>
      </w:r>
      <w:r w:rsidR="00671433">
        <w:rPr>
          <w:rFonts w:eastAsiaTheme="minorHAnsi" w:cs="Arial"/>
          <w:color w:val="000000"/>
          <w:szCs w:val="18"/>
        </w:rPr>
        <w:t xml:space="preserve"> </w:t>
      </w:r>
      <w:r w:rsidRPr="00186C29">
        <w:rPr>
          <w:rFonts w:eastAsiaTheme="minorHAnsi" w:cs="Arial"/>
          <w:color w:val="000000"/>
          <w:szCs w:val="18"/>
        </w:rPr>
        <w:t>% and 25</w:t>
      </w:r>
      <w:r w:rsidR="00671433">
        <w:rPr>
          <w:rFonts w:eastAsiaTheme="minorHAnsi" w:cs="Arial"/>
          <w:color w:val="000000"/>
          <w:szCs w:val="18"/>
        </w:rPr>
        <w:t xml:space="preserve"> </w:t>
      </w:r>
      <w:r w:rsidRPr="00186C29">
        <w:rPr>
          <w:rFonts w:eastAsiaTheme="minorHAnsi" w:cs="Arial"/>
          <w:color w:val="000000"/>
          <w:szCs w:val="18"/>
        </w:rPr>
        <w:t>% of kombucha (F1 and F2H) and hibiscus tea, where the inhibition for F1 was 88.9</w:t>
      </w:r>
      <w:r w:rsidR="00671433">
        <w:rPr>
          <w:rFonts w:eastAsiaTheme="minorHAnsi" w:cs="Arial"/>
          <w:color w:val="000000"/>
          <w:szCs w:val="18"/>
        </w:rPr>
        <w:t xml:space="preserve"> </w:t>
      </w:r>
      <w:r w:rsidRPr="00186C29">
        <w:rPr>
          <w:rFonts w:eastAsiaTheme="minorHAnsi" w:cs="Arial"/>
          <w:color w:val="000000"/>
          <w:szCs w:val="18"/>
        </w:rPr>
        <w:t>% and 46.7</w:t>
      </w:r>
      <w:r w:rsidR="00671433">
        <w:rPr>
          <w:rFonts w:eastAsiaTheme="minorHAnsi" w:cs="Arial"/>
          <w:color w:val="000000"/>
          <w:szCs w:val="18"/>
        </w:rPr>
        <w:t xml:space="preserve"> </w:t>
      </w:r>
      <w:r w:rsidRPr="00186C29">
        <w:rPr>
          <w:rFonts w:eastAsiaTheme="minorHAnsi" w:cs="Arial"/>
          <w:color w:val="000000"/>
          <w:szCs w:val="18"/>
        </w:rPr>
        <w:t>%. For F2H</w:t>
      </w:r>
      <w:r w:rsidR="004F5211">
        <w:rPr>
          <w:rFonts w:eastAsiaTheme="minorHAnsi" w:cs="Arial"/>
          <w:color w:val="000000"/>
          <w:szCs w:val="18"/>
        </w:rPr>
        <w:t>,</w:t>
      </w:r>
      <w:r w:rsidRPr="00186C29">
        <w:rPr>
          <w:rFonts w:eastAsiaTheme="minorHAnsi" w:cs="Arial"/>
          <w:color w:val="000000"/>
          <w:szCs w:val="18"/>
        </w:rPr>
        <w:t xml:space="preserve"> it was 58.9</w:t>
      </w:r>
      <w:r w:rsidR="00671433">
        <w:rPr>
          <w:rFonts w:eastAsiaTheme="minorHAnsi" w:cs="Arial"/>
          <w:color w:val="000000"/>
          <w:szCs w:val="18"/>
        </w:rPr>
        <w:t xml:space="preserve"> </w:t>
      </w:r>
      <w:r w:rsidRPr="00186C29">
        <w:rPr>
          <w:rFonts w:eastAsiaTheme="minorHAnsi" w:cs="Arial"/>
          <w:color w:val="000000"/>
          <w:szCs w:val="18"/>
        </w:rPr>
        <w:t>% and 20</w:t>
      </w:r>
      <w:r w:rsidR="00671433">
        <w:rPr>
          <w:rFonts w:eastAsiaTheme="minorHAnsi" w:cs="Arial"/>
          <w:color w:val="000000"/>
          <w:szCs w:val="18"/>
        </w:rPr>
        <w:t xml:space="preserve"> </w:t>
      </w:r>
      <w:r w:rsidRPr="00186C29">
        <w:rPr>
          <w:rFonts w:eastAsiaTheme="minorHAnsi" w:cs="Arial"/>
          <w:color w:val="000000"/>
          <w:szCs w:val="18"/>
        </w:rPr>
        <w:t>%. And for hibiscus tea</w:t>
      </w:r>
      <w:r w:rsidR="004F5211">
        <w:rPr>
          <w:rFonts w:eastAsiaTheme="minorHAnsi" w:cs="Arial"/>
          <w:color w:val="000000"/>
          <w:szCs w:val="18"/>
        </w:rPr>
        <w:t>,</w:t>
      </w:r>
      <w:r w:rsidRPr="00186C29">
        <w:rPr>
          <w:rFonts w:eastAsiaTheme="minorHAnsi" w:cs="Arial"/>
          <w:color w:val="000000"/>
          <w:szCs w:val="18"/>
        </w:rPr>
        <w:t xml:space="preserve"> it was 21.1</w:t>
      </w:r>
      <w:r w:rsidR="00671433">
        <w:rPr>
          <w:rFonts w:eastAsiaTheme="minorHAnsi" w:cs="Arial"/>
          <w:color w:val="000000"/>
          <w:szCs w:val="18"/>
        </w:rPr>
        <w:t xml:space="preserve"> </w:t>
      </w:r>
      <w:r w:rsidRPr="00186C29">
        <w:rPr>
          <w:rFonts w:eastAsiaTheme="minorHAnsi" w:cs="Arial"/>
          <w:color w:val="000000"/>
          <w:szCs w:val="18"/>
        </w:rPr>
        <w:t>% and 12.2</w:t>
      </w:r>
      <w:r w:rsidR="00671433">
        <w:rPr>
          <w:rFonts w:eastAsiaTheme="minorHAnsi" w:cs="Arial"/>
          <w:color w:val="000000"/>
          <w:szCs w:val="18"/>
        </w:rPr>
        <w:t xml:space="preserve"> </w:t>
      </w:r>
      <w:r w:rsidRPr="00186C29">
        <w:rPr>
          <w:rFonts w:eastAsiaTheme="minorHAnsi" w:cs="Arial"/>
          <w:color w:val="000000"/>
          <w:szCs w:val="18"/>
        </w:rPr>
        <w:t>%</w:t>
      </w:r>
      <w:r w:rsidR="004F5211">
        <w:rPr>
          <w:rFonts w:eastAsiaTheme="minorHAnsi" w:cs="Arial"/>
          <w:color w:val="000000"/>
          <w:szCs w:val="18"/>
        </w:rPr>
        <w:t>,</w:t>
      </w:r>
      <w:r w:rsidRPr="00186C29">
        <w:rPr>
          <w:rFonts w:eastAsiaTheme="minorHAnsi" w:cs="Arial"/>
          <w:color w:val="000000"/>
          <w:szCs w:val="18"/>
        </w:rPr>
        <w:t xml:space="preserve"> respectively. When these pure compounds were applied by immersion on strawberries and stored at 15 °C, there were signs of reduced external deterioration, with hibiscus tea showing better control</w:t>
      </w:r>
      <w:bookmarkStart w:id="0" w:name="_Hlk495475023"/>
      <w:r w:rsidR="007D0951">
        <w:t>.</w:t>
      </w:r>
    </w:p>
    <w:bookmarkEnd w:id="0"/>
    <w:p w14:paraId="476B2F2E" w14:textId="1CFB687F" w:rsidR="00600535" w:rsidRPr="00B57B36" w:rsidRDefault="00600535" w:rsidP="00600535">
      <w:pPr>
        <w:pStyle w:val="CETHeading1"/>
        <w:rPr>
          <w:lang w:val="en-GB"/>
        </w:rPr>
      </w:pPr>
      <w:r w:rsidRPr="00B57B36">
        <w:rPr>
          <w:lang w:val="en-GB"/>
        </w:rPr>
        <w:t>Introdu</w:t>
      </w:r>
      <w:r w:rsidR="00C37338">
        <w:rPr>
          <w:lang w:val="en-GB"/>
        </w:rPr>
        <w:t>ction</w:t>
      </w:r>
    </w:p>
    <w:p w14:paraId="1DE5EA48" w14:textId="60B2CA91" w:rsidR="00C37338" w:rsidRPr="00D61090" w:rsidRDefault="00C37338" w:rsidP="00C37338">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 xml:space="preserve">Kombucha is a beverage fermented by the symbiosis of bacteria and yeasts (SCOBY: Symbiotic Culture of Bacteria and Yeasts) in sweetened black tea or green tea </w:t>
      </w:r>
      <w:r w:rsidR="00465E44">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"author" : [ { "dropping-particle" : "", "family" : "Hohmann", "given" : "Fernanda", "non-dropping-particle" : "", "parse-names" : false, "suffix" : "" }, { "dropping-particle" : "", "family" : "Kunz", "given" : "Milena Despessiani", "non-dropping-particle" : "", "parse-names" : false, "suffix" : "" }, { "dropping-particle" : "", "family" : "Vandresen", "given" : "D\u00e9bora Fiorentin", "non-dropping-particle" : "", "parse-names" : false, "suffix" : "" } ], "container-title" : "Revista de Inicia\u00e7\u00e3o Cient\u00edfica e Extens\u00e3o", "id" : "ITEM-1", "issue" : "2", "issued" : { "date-parts" : [ [ "2020" ] ] }, "page" : "505-510", "title" : "AN\u00c1LISE DA ATIVIDADE ANTIBACTERIANA DA KOMBUCHA EM CH\u00c1 PRETO E VERDE ANALYSIS OF ANTIBACTERIAL ACTIVITY OF KOMBUCHA IN BLACK AND GREEN TEA", "type" : "article-journal", "volume" : "3" }, "uris" : [ "http://www.mendeley.com/documents/?uuid=98b821e3-a6db-48b8-850c-33155382808b" ] } ], "mendeley" : { "formattedCitation" : "(Hohmann et al., 2020)", "plainTextFormattedCitation" : "(Hohmann et al., 2020)", "previouslyFormattedCitation" : "(Hohmann et al., 2020)" }, "properties" : { "noteIndex" : 1 }, "schema" : "https://github.com/citation-style-language/schema/raw/master/csl-citation.json" }</w:instrText>
      </w:r>
      <w:r w:rsidR="00465E44">
        <w:rPr>
          <w:rFonts w:eastAsiaTheme="minorHAnsi" w:cs="Arial"/>
          <w:color w:val="000000"/>
          <w:szCs w:val="18"/>
          <w:lang w:val="pt-BR"/>
        </w:rPr>
        <w:fldChar w:fldCharType="separate"/>
      </w:r>
      <w:r w:rsidR="005C48A0" w:rsidRPr="00D61090">
        <w:rPr>
          <w:rFonts w:eastAsiaTheme="minorHAnsi" w:cs="Arial"/>
          <w:noProof/>
          <w:color w:val="000000"/>
          <w:szCs w:val="18"/>
          <w:lang w:val="en-US"/>
        </w:rPr>
        <w:t>(Hohmann et al., 2020)</w:t>
      </w:r>
      <w:r w:rsidR="00465E44">
        <w:rPr>
          <w:rFonts w:eastAsiaTheme="minorHAnsi" w:cs="Arial"/>
          <w:color w:val="000000"/>
          <w:szCs w:val="18"/>
          <w:lang w:val="pt-BR"/>
        </w:rPr>
        <w:fldChar w:fldCharType="end"/>
      </w:r>
      <w:r w:rsidRPr="00D61090">
        <w:rPr>
          <w:rFonts w:eastAsiaTheme="minorHAnsi" w:cs="Arial"/>
          <w:color w:val="000000"/>
          <w:szCs w:val="18"/>
          <w:lang w:val="en-US"/>
        </w:rPr>
        <w:t xml:space="preserve">. It has antimicrobial, antioxidant, </w:t>
      </w:r>
      <w:r w:rsidR="004F5211" w:rsidRPr="00D61090">
        <w:rPr>
          <w:rFonts w:eastAsiaTheme="minorHAnsi" w:cs="Arial"/>
          <w:color w:val="000000"/>
          <w:szCs w:val="18"/>
          <w:lang w:val="en-US"/>
        </w:rPr>
        <w:t>antic</w:t>
      </w:r>
      <w:r w:rsidR="00D61090">
        <w:rPr>
          <w:rFonts w:eastAsiaTheme="minorHAnsi" w:cs="Arial"/>
          <w:color w:val="000000"/>
          <w:szCs w:val="18"/>
          <w:lang w:val="en-US"/>
        </w:rPr>
        <w:t>a</w:t>
      </w:r>
      <w:r w:rsidR="004F5211" w:rsidRPr="00D61090">
        <w:rPr>
          <w:rFonts w:eastAsiaTheme="minorHAnsi" w:cs="Arial"/>
          <w:color w:val="000000"/>
          <w:szCs w:val="18"/>
          <w:lang w:val="en-US"/>
        </w:rPr>
        <w:t>ncer,</w:t>
      </w:r>
      <w:r w:rsidRPr="00D61090">
        <w:rPr>
          <w:rFonts w:eastAsiaTheme="minorHAnsi" w:cs="Arial"/>
          <w:color w:val="000000"/>
          <w:szCs w:val="18"/>
          <w:lang w:val="en-US"/>
        </w:rPr>
        <w:t xml:space="preserve"> and antidiabetic effects and has been used in the treatment of gastric </w:t>
      </w:r>
      <w:r w:rsidR="004F5211" w:rsidRPr="00D61090">
        <w:rPr>
          <w:rFonts w:eastAsiaTheme="minorHAnsi" w:cs="Arial"/>
          <w:color w:val="000000"/>
          <w:szCs w:val="18"/>
          <w:lang w:val="en-US"/>
        </w:rPr>
        <w:t>ulcers</w:t>
      </w:r>
      <w:r w:rsidRPr="00D61090">
        <w:rPr>
          <w:rFonts w:eastAsiaTheme="minorHAnsi" w:cs="Arial"/>
          <w:color w:val="000000"/>
          <w:szCs w:val="18"/>
          <w:lang w:val="en-US"/>
        </w:rPr>
        <w:t xml:space="preserve"> and high cholesterol, showing actions in the immune response and liver detoxification </w:t>
      </w:r>
      <w:r w:rsidR="00136245">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"author" : [ { "dropping-particle" : "", "family" : "Bruschi", "given" : "Jefferson dos Santos", "non-dropping-particle" : "", "parse-names" : false, "suffix" : "" }, { "dropping-particle" : "", "family" : "Sousa", "given" : "Rog\u00e9ria Cristina dos Santos", "non-dropping-particle" : "", "parse-names" : false, "suffix" : "" }, { "dropping-particle" : "", "family" : "Modesto", "given" : "Karina Ribeiro", "non-dropping-particle" : "", "parse-names" : false, "suffix" : "" } ], "container-title" : "Revista de Inicia\u00e7\u00e3o Cient\u00edfica e Extens\u00e3o", "id" : "ITEM-1", "issue" : "Especial", "issued" : { "date-parts" : [ [ "2018" ] ] }, "page" : "166-168", "title" : "O Ressurgimento do Ch\u00e1 de Kombucha", "type" : "article-journal", "volume" : "1" }, "uris" : [ "http://www.mendeley.com/documents/?uuid=4b58c4d3-6eb2-405e-b00a-b29bc9bf3839" ] }, { "id" : "ITEM-2", "itemData" : { "DOI" : "10.1016/j.ijfoodmicro.2015.12.015", "ISSN" : "18793460", "PMID" : "26796581", "abstract" : "Kombucha tea, a non-alcoholic beverage, is acquiring significant interest due to its claimed beneficial properties. The microbial community of Kombucha tea consists of bacteria and yeast which thrive in two mutua</w:instrText>
      </w:r>
      <w:r w:rsidR="005C48A0">
        <w:rPr>
          <w:rFonts w:eastAsiaTheme="minorHAnsi" w:cs="Arial"/>
          <w:color w:val="000000"/>
          <w:szCs w:val="18"/>
          <w:lang w:val="pt-BR"/>
        </w:rPr>
        <w:instrText xml:space="preserve">lly non-exclusive compartments: the soup or the beverage and the biofilm floating on it. The microbial community and the biochemical properties of the beverage have so far mostly been described in separate studies. This, however, may prevent understanding the causal links between the microbial communities and the beneficial properties of Kombucha tea. Moreover, an extensive study into the microbial and biochemical dynamics has also been missing. In this study, we thus explored the structure and dynamics of the microbial community along with the biochemical properties of Kombucha tea at different time points up to 21. days of fermentation. We hypothesized that several biochemical properties will change during the course of fermentation along with the shifts in the yeast and bacterial communities. The yeast community of the biofilm did not show much variation over time and was dominated by Candida sp. (73.5-83%). The soup however, showed a significant shift in dominance from Candida sp. to Lachancea sp. on the 7th day of fermentation. This is the first report showing Candida as the most dominating yeast genus during Kombucha fermentation. Komagateibacter was identified as the single largest bacterial genus present in both the biofilm and the soup (~ 50%). The bacterial diversity was higher in the soup than in the biofilm with a peak on the seventh day of fermentation. The biochemical properties changed with the progression of the fermentation, i.e., beneficial properties of the beverage such as the radical scavenging ability increased significantly with a maximum increase at day 7. We further observed a significantly higher d-saccharic acid-1,4-lactone content and caffeine degradation property compared to previously described Kombucha tea fermentations. Our data thus indicate that the microbial community structure and dynamics play an important role in the biochemistry of the fermentation of the beverage. We envisage that combined molecular and biochemical analyses like in our study will provide valuable insights for better understanding the role of the microbial community for the beneficial properties of the beverage.", "author" : [ { "dropping-particle" : "", "family" : "Chakravorty", "given" : "Somnath", "non-dropping-particle" : "", "parse-names" : false, </w:instrText>
      </w:r>
      <w:r w:rsidR="005C48A0" w:rsidRPr="00D61090">
        <w:rPr>
          <w:rFonts w:eastAsiaTheme="minorHAnsi" w:cs="Arial"/>
          <w:color w:val="000000"/>
          <w:szCs w:val="18"/>
          <w:lang w:val="en-US"/>
        </w:rPr>
        <w:instrText>"suffix" : "" }, { "dropping-particle" : "", "family" : "Bhattacharya", "given" : "Semantee", "non-dropping-particle" : "", "parse-names" : false, "suffix" : "" }, { "dropping-particle" : "", "family" : "Chatzinotas", "given" : "Antonis", "non-dropping-particle" : "", "parse-names" : false, "suffix" : "" }, { "dropping-particle" : "", "family" : "Chakraborty", "given" : "Writachit", "non-dropping-particle" : "", "parse-names" : false, "suffix" : "" }, { "dropping-particle" : "", "family" : "Bhattacharya", "given" : "Debanjana", "non-dropping-particle" : "", "parse-names" : false, "suffix" : "" }, { "dropping-particle" : "", "family" : "Gachhui", "given" : "Ratan", "non-dropping-particle" : "", "parse-names" : false, "suffix" : "" } ], "container-title" : "International Journal of Food Microbiology", "id" : "ITEM-2", "issued" : { "date-parts" : [ [ "2016" ] ] }, "page" : "63-72", "title" : "Kombucha tea fermentation: Microbial and biochemical dynamics", "type" : "article-journal", "volume" : "220" }, "uris" : [ "http://www.mendeley.com/documents/?uuid=eea13762-d50a-4ff8-a0aa-30bad6a0fd20" ] } ], "mendeley" : { "formattedCitation" : "(Bruschi et al., 2018; Chakravorty et al., 2016)", "plainTextFormattedCitation" : "(Bruschi et al., 2018; Chakravorty et al., 2016)", "previouslyFormattedCitation" : "(Bruschi et al., 2018; Chakravorty et al., 2016)" }, "properties" : { "noteIndex" : 1 }, "schema" : "https://github.com/citation-style-language/schema/raw/master/csl-citation.json" }</w:instrText>
      </w:r>
      <w:r w:rsidR="00136245">
        <w:rPr>
          <w:rFonts w:eastAsiaTheme="minorHAnsi" w:cs="Arial"/>
          <w:color w:val="000000"/>
          <w:szCs w:val="18"/>
          <w:lang w:val="pt-BR"/>
        </w:rPr>
        <w:fldChar w:fldCharType="separate"/>
      </w:r>
      <w:r w:rsidR="005C48A0" w:rsidRPr="00D61090">
        <w:rPr>
          <w:rFonts w:eastAsiaTheme="minorHAnsi" w:cs="Arial"/>
          <w:noProof/>
          <w:color w:val="000000"/>
          <w:szCs w:val="18"/>
          <w:lang w:val="en-US"/>
        </w:rPr>
        <w:t>(Bruschi et al., 2018; Chakravorty et al., 2016)</w:t>
      </w:r>
      <w:r w:rsidR="00136245">
        <w:rPr>
          <w:rFonts w:eastAsiaTheme="minorHAnsi" w:cs="Arial"/>
          <w:color w:val="000000"/>
          <w:szCs w:val="18"/>
          <w:lang w:val="pt-BR"/>
        </w:rPr>
        <w:fldChar w:fldCharType="end"/>
      </w:r>
      <w:r w:rsidRPr="00D61090">
        <w:rPr>
          <w:rFonts w:eastAsiaTheme="minorHAnsi" w:cs="Arial"/>
          <w:color w:val="000000"/>
          <w:szCs w:val="18"/>
          <w:lang w:val="en-US"/>
        </w:rPr>
        <w:t>. In the production of the drink, a second fermentation can be carried out where vegetables, fruits, juices, teas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or spices are added, providing flavor and other properties. Kombucha has been studied for its inhibitory activity on pathogenic microorganisms </w:t>
      </w:r>
      <w:r w:rsidR="00EF03D1">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"10.1111/1541-4337.12073", "ISSN" : "15414337", "abstract" : "Fermentation of sugared tea with a symbiotic culture of acetic acid bacteria and yeast (tea fungus) yields kombucha tea which is consumed worldwide for its refreshing and beneficial properties on human health. Important progress has been made in the past decade concerning research findings on kombucha tea and reports claiming that drinking kombucha can prevent various types of cancer and cardiovascular diseases, promote liver functions, and stimulate the immune system. Considering the widespread reports on kombucha, we recognized the need to review and update the research conducted in relation to kombucha tea, its products and tea fungus. Existing reports have suggested that the protective effects of kombucha tea are as good as those of black tea, however, more studies on kombucha tea and its composition are needed before final conclusions can be made. \u00a9 2014 Institute of Food Technologists\u00ae.", "author" : [ { "dropping-particle" : "", "family" : "Jayabalan", "given" : "Rasu", "non-dropping-particle" : "", "parse-names" : false, "suffix" : "" }, { "dropping-particle" : "V.", "family" : "Malba\u0161a", "given" : "Radomir", "non-dropping-particle" : "", "parse-names" : false, "suffix" : "" }, { "dropping-particle" : "", "family" : "Lon\u010dar"</w:instrText>
      </w:r>
      <w:r w:rsidR="005C48A0">
        <w:rPr>
          <w:rFonts w:eastAsiaTheme="minorHAnsi" w:cs="Arial"/>
          <w:color w:val="000000"/>
          <w:szCs w:val="18"/>
          <w:lang w:val="pt-BR"/>
        </w:rPr>
        <w:instrText>, "given" : "Eva S.", "non-dropping-particle" : "", "parse-names" : false, "suffix" : "" }, { "dropping-particle" : "", "family" : "Vitas", "given" : "Jasmina S.", "non-dropping-particle" : "", "parse-names" : false, "suffix" : "" }, { "dropping-particle" : "", "family" : "Sathishkumar", "given" : "Muthuswamy", "non-dropping-particle" : "", "parse-names" : false, "suffix" : "" } ], "container-title" : "Comprehensive Reviews in Food Science and Food Safety", "id" : "ITEM-1", "issue" : "4", "issued" : { "date-parts" : [ [ "2014" ] ] }, "page" : "538-550", "title" : "A review on kombucha tea-microbiology, composition, fermentation, beneficial effects, toxicity, and tea fungus", "type" : "article", "volume" : "13" }, "uris" : [ "http://www.mendeley.com/documents/?uuid=5ac0fa68-d678-4c50-bfd5-bc07c88b70fc" ] }, { "id" : "ITEM-2", "itemData" : { "DOI" : "10.1111/1750-3841.14068", "ISSN" : "17503841", "PMID" : "29508944", "abstract" : "Abstract: Kombucha is a beverage of probable Manchurian origins obtained from fermented tea by a microbial consortium composed of several bacteria and yeasts. This mixed consortium forms a powerful symbiosis capable of inhibiting the growth of potentially contaminating bacteria. The fermentation process also leads to the formation of a polymeric cellulose pellicle due to the activity of certain strains of Acetobacter sp. The tea fermentation process by the microbial consortium was able to show an increase in certain biological activities which have been already studied; however, little information is available on the characterization of its active components and their evolution during fermentation. Studies have also reported that the use of infusions from other plants may be a promising alternative. Practical Application: Kombucha is a traditional fermented tea whose consumption has increased in the recent years due to its multiple functional properties such as anti-inflammatory potential and antioxidant activity. The microbiological composition of this beverage is quite complex and still more research is needed in order to fully understand its behavior. This study comprises the chemical and microbiological composition of the tea and the main factors that may affect its production."</w:instrText>
      </w:r>
      <w:r w:rsidR="005C48A0" w:rsidRPr="00D61090">
        <w:rPr>
          <w:rFonts w:eastAsiaTheme="minorHAnsi" w:cs="Arial"/>
          <w:color w:val="000000"/>
          <w:szCs w:val="18"/>
          <w:lang w:val="en-US"/>
        </w:rPr>
        <w:instrText>, "author" : [ { "dropping-particle" : "", "family" : "Villarreal-Soto", "given" : "Silvia Alejandra", "non-dropping-particle" : "", "parse-names" : false, "suffix" : "" }, { "dropping-particle" : "", "family" : "Beaufort", "given" : "Sandra", "non-dropping-particle" : "", "parse-names" : false, "suffix" : "" }, { "dropping-particle" : "", "family" : "Bouajila", "given" : "Jalloul", "non-dropping-particle" : "", "parse-names" : false, "suffix" : "" }, { "dropping-particle" : "", "family" : "Souchard", "given" : "Jean Pierre", "non-dropping-particle" : "", "parse-names" : false, "suffix" : "" }, { "dropping-particle" : "", "family" : "Taillandier", "given" : "Patricia", "non-dropping-particle" : "", "parse-names" : false, "suffix" : "" } ], "container-title" : "Journal of Food Science", "id" : "ITEM-2", "issue" : "3", "issued" : { "date-parts" : [ [ "2018" ] ] }, "page" : "580-588", "title" : "Understanding Kombucha Tea Fermentation: A Review", "type" : "article", "volume" : "83" }, "uris" : [ "http://www.mendeley.com/documents/?uuid=e5265ed3-164c-44f8-814e-64ce2364b694" ] } ], "mendeley" : { "formattedCitation" : "(Jayabalan et al., 2014; Villarreal-Soto et al., 2018)", "plainTextFormattedCitation" : "(Jayabalan et al., 2014; Villarreal-Soto et al., 2018)", "previouslyFormattedCitation" : "(Jayabalan et al., 2014; Villarreal-Soto et al., 2018)" }, "properties" : { "noteIndex" : 1 }, "schema" : "https://github.com/citation-style-language/schema/raw/master/csl-citation.json" }</w:instrText>
      </w:r>
      <w:r w:rsidR="00EF03D1">
        <w:rPr>
          <w:rFonts w:eastAsiaTheme="minorHAnsi" w:cs="Arial"/>
          <w:color w:val="000000"/>
          <w:szCs w:val="18"/>
          <w:lang w:val="pt-BR"/>
        </w:rPr>
        <w:fldChar w:fldCharType="separate"/>
      </w:r>
      <w:r w:rsidR="005C48A0" w:rsidRPr="00D61090">
        <w:rPr>
          <w:rFonts w:eastAsiaTheme="minorHAnsi" w:cs="Arial"/>
          <w:noProof/>
          <w:color w:val="000000"/>
          <w:szCs w:val="18"/>
          <w:lang w:val="en-US"/>
        </w:rPr>
        <w:t>(Jayabalan et al., 2014; Villarreal-Soto et al., 2018)</w:t>
      </w:r>
      <w:r w:rsidR="00EF03D1">
        <w:rPr>
          <w:rFonts w:eastAsiaTheme="minorHAnsi" w:cs="Arial"/>
          <w:color w:val="000000"/>
          <w:szCs w:val="18"/>
          <w:lang w:val="pt-BR"/>
        </w:rPr>
        <w:fldChar w:fldCharType="end"/>
      </w:r>
      <w:r w:rsidRPr="00D61090">
        <w:rPr>
          <w:rFonts w:eastAsiaTheme="minorHAnsi" w:cs="Arial"/>
          <w:color w:val="000000"/>
          <w:szCs w:val="18"/>
          <w:lang w:val="en-US"/>
        </w:rPr>
        <w:t xml:space="preserve">, including </w:t>
      </w:r>
      <w:r w:rsidR="004F5211" w:rsidRPr="00D61090">
        <w:rPr>
          <w:rFonts w:eastAsiaTheme="minorHAnsi" w:cs="Arial"/>
          <w:color w:val="000000"/>
          <w:szCs w:val="18"/>
          <w:lang w:val="en-US"/>
        </w:rPr>
        <w:t>Gram-positive</w:t>
      </w:r>
      <w:r w:rsidRPr="00D61090">
        <w:rPr>
          <w:rFonts w:eastAsiaTheme="minorHAnsi" w:cs="Arial"/>
          <w:color w:val="000000"/>
          <w:szCs w:val="18"/>
          <w:lang w:val="en-US"/>
        </w:rPr>
        <w:t xml:space="preserve"> and negative </w:t>
      </w:r>
      <w:r w:rsidR="00EF03D1" w:rsidRPr="00D61090">
        <w:rPr>
          <w:rFonts w:eastAsiaTheme="minorHAnsi" w:cs="Arial"/>
          <w:color w:val="000000"/>
          <w:szCs w:val="18"/>
          <w:lang w:val="en-US"/>
        </w:rPr>
        <w:t>bact</w:t>
      </w:r>
      <w:r w:rsidR="00D61090">
        <w:rPr>
          <w:rFonts w:eastAsiaTheme="minorHAnsi" w:cs="Arial"/>
          <w:color w:val="000000"/>
          <w:szCs w:val="18"/>
          <w:lang w:val="en-US"/>
        </w:rPr>
        <w:t>e</w:t>
      </w:r>
      <w:r w:rsidR="00EF03D1" w:rsidRPr="00D61090">
        <w:rPr>
          <w:rFonts w:eastAsiaTheme="minorHAnsi" w:cs="Arial"/>
          <w:color w:val="000000"/>
          <w:szCs w:val="18"/>
          <w:lang w:val="en-US"/>
        </w:rPr>
        <w:t xml:space="preserve">ria </w:t>
      </w:r>
      <w:r w:rsidR="00EF03D1">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"10.1007/s00284-016-1136-3", "ISSN" : "14320991", "PMID" : "27638313", "abstract" : "The emergence of multi-drug-resistant enteric pathogens has prompted the scientist community to explore the therapeutic potentials of traditional foods and beverages. The present study was undertaken to investigate the efficacy of Kombucha, a fermented beverage of sugared black tea, against enterotoxigenic Escherichia coli, Vibrio cholerae, Shigella flexneri and Salmonella Typhimurium followed by the identification of the antibacterial components present in Kombucha. The antibacterial activity was evaluated by determining the inhibition zone diameter, minimal inhibitory concentration and minimal bactericidal concentration. Kombucha fermented for 14\u00a0days showed maximum activity against the bacterial strains. Its ethyl acetate extract was found to be the most effective upon sequential solvent extraction of the 14-day Kombucha. This potent ethyl acetate extract was then subjected to thin layer chromatography for further purification of antibacterial ingredients which led to the isolation of an active polyphenolic fraction. Catechin and isorhamnetin were detected as the major antibacterial compounds present in this polyphenolic fraction of Kombucha by High Performance Liquid Chromatography. Catechin, one of the primary antibacterial polyphenols in tea wa</w:instrText>
      </w:r>
      <w:r w:rsidR="005C48A0">
        <w:rPr>
          <w:rFonts w:eastAsiaTheme="minorHAnsi" w:cs="Arial"/>
          <w:color w:val="000000"/>
          <w:szCs w:val="18"/>
          <w:lang w:val="pt-BR"/>
        </w:rPr>
        <w:instrText>s also found to be present in Kombucha. But isorhamnetin is not reported to be present in tea, which may thereby suggest the role of fermentation process of black tea for its production in Kombucha. To the best of our knowledge, this is the first report on the presence of isorhamnetin in Kombucha. The overall study suggests that Kombucha can be used as a potent antibacterial agent against entero-pathogenic bacterial infections, which mainly is attributed to its polyphenolic content.", "author" : [ { "dropping-particle" : "", "family" : "Bhattacharya", "given" : "Debanjana", "non-dropping-particle" : "", "parse-names" : false, "suffix" : "" }, { "dropping-particle" : "", "family" : "Bhattacharya", "given" : "Semantee", "non-dropping-particle" : "", "parse-names" : false, "suffix" : "" }, { "dropping-particle" : "", "family" : "Patra", "given" : "Madhu Manti", "non-dropping-particle" : "", "parse-names" : false, "suffix" : "" }, { "dropping-particle" : "", "family" : "Chakravorty", "given" : "Somnath", "non-dropping-particle" : "", "parse-names" : false, "suffix" : "" }, { "dropping-particle" : "", "family" : "Sarkar", "given" : "Soumyadev", "non-dropping-particle" : "", "parse-names" : false, "suffix" : "" }, { "dropping-particle" : "", "family" : "Chakraborty", "given" : "Writachit", "non-dropping-particle" : "", "parse-names" : false, "suffix" : "" }, { "dropping-particle" : "", "family" : "Koley", "given" : "Hemanta", "non-dropping-particle" : "", "parse-names" : false, "suffix" : "" }, { "dropping-particle" : "", "family" : "Gachhui", "given" : "Ratan", "non-dropping-particle" : "", "parse-names" : false, "suffix" : "" } ], "container-title" : "Current Microbiology", "id" : "ITEM-1", "issue" : "6", "issued" : { "date-parts" : [ [ "2016" ] ] }, "page" : "885-896", "title" : "Antibacterial Activity of Polyphenolic Fraction of Kombucha Against Enteric Bacterial Pathogens", "type" : "article-journal", "volume" : "73" }, "uris" : [ "http://www.mendeley.com/documents/?uuid=d03a7413-b83c-4af6-90d6-12ab0e1f4ba3" ] }, { "id" : "ITEM-2", "itemData" : { "DOI" : "10.1016/j.lwt.2011.12.033", "ISSN" : "00236438", "abstract" : "Kombucha is a traditional refreshing beverage obtained by the fermentation of sugared tea with a powerful symbiosis of acetic bacteria and yeasts. This drink has been intensively consumed during a long time worldwide for its prophylactic and therapeutic properties. In the present study, we have screened traditional fermented black tea for antibacterial and antifungal activity against Gram (+) and Gram (-) human pathogenic bacteria (n = 7) and candida yeasts (n = 7) using agar diffusion method. Additionally, antimicrobial activity of five new fermented beverages produced from the following medicinal herbal extracts: Thymus vulgaris L., Lippia citriodora, Rosmarinus officinalis, Foeniculum vulgare and Mentha piperita noted as Kombucha-analogues were investigated, using agar diffusion method. Strong antimicrobial potentials were found with the new fermented beverages, particularly those prepared by the fermentation of L. citriodora and F. vulgare infusions, exhibiting the most important inhibition zone observed against the Candida strains tested (Candida glabrata, Candida tropicalis, Candida sake, Candida dubliniensis and Candida albicans). In view of their antimicrobial activity demonstrated against a range of pathogenic bacteria and against a number of clinical Candida species, the fermented L. citriodora and F. vulgare may be very healthful. \u00a9 2012 Elsevier Ltd.", "author" : [ { "dropping-particle" : "", "family" : "Battikh", "given" : "Houda", "non-dropping-particle" : "", "parse-names" : false, "suffix" : "" }, { "dropping-particle" : "", "family" : "Bakhrouf", "given" : "Amina", "non-dropping-particle" : "", "parse-names" : false, "suffix" : "" }, { "dropping-particle" : "", "family" : "Ammar", "given" : "Emna", "non-dropping-particle" : "", "parse-names" : false, "suffix" : "" } ], "container-title" : "LWT", "id" : "ITEM-2", "issue" : "1", "issued" : { "date-parts" : [ [ "2012" ] ] }, "page" : "71-77", "title" : "Antimicrobial effect of Kombucha analogues", "type" : "article-journal", "volume" : "47" }, "uris" : [ "http://www.mendeley.com/documents/?uuid=a0c9edf4-bf27-4358-94b8-eb67bd9761ee" ] }, { "id" : "ITEM-3", "itemData" : { "DOI" : "10.1111/1541-4337.12440", "ISSN" : "15414337", "abstract" : "Acetic acid bacteria (AAB) have, for centuries, been important microorganisms in the production of fermented foods and beverages such as vinegar, kombucha, (water) kefir, and lambic beer. Their unique form of metabolism, known as \u201coxidative\u201d fermentation, mediates the transformation of a variety of substrates into products, which are of importance in the food and beverage industry and beyond; the most well-known of which is the oxidation of ethanol into acetic acid. Here, a comprehensive review of the physiology of AAB is presented, with particular emphasis on their importance in the production of vinegar and fermented beverages. In addition, particular reference is addressed toward Gluconobacter oxydans due to its biotechnological applications, such as its role in vitamin C production. The production of vinegar and fermented beverages in which AAB play an important role is discussed, followed by an examination of the literature relating to the health benefits associated with consumption of these products. AAB hold great promise for future exploitation, both due to increased consumer demand for traditional fermented beverages such as kombucha, and for the development of new types of products. Further studies on the health benefits related to the consumption of these fermented products and guidelines on assessing the safety of AAB for use as microbial food cultures (starter cultures) are, however, necessary in order to take full advantage of this important group of microorganisms.", "author" : [ { "dropping-particle" : "", "family" : "Lynch", "given" : "Kier</w:instrText>
      </w:r>
      <w:r w:rsidR="005C48A0" w:rsidRPr="00D61090">
        <w:rPr>
          <w:rFonts w:eastAsiaTheme="minorHAnsi" w:cs="Arial"/>
          <w:color w:val="000000"/>
          <w:szCs w:val="18"/>
          <w:lang w:val="en-US"/>
        </w:rPr>
        <w:instrText>an M.", "non-dropping-particle" : "", "parse-names" : false, "suffix" : "" }, { "dropping-particle" : "", "family" : "Zannini", "given" : "Emanuele", "non-dropping-particle" : "", "parse-names" : false, "suffix" : "" }, { "dropping-particle" : "", "family" : "Wilkinson", "given" : "Stuart", "non-dropping-particle" : "", "parse-names" : false, "suffix" : "" }, { "dropping-particle" : "", "family" : "Daenen", "given" : "Luk", "non-dropping-particle" : "", "parse-names" : false, "suffix" : "" }, { "dropping-particle" : "", "family" : "Arendt", "given" : "Elke K.", "non-dropping-particle" : "", "parse-names" : false, "suffix" : "" } ], "container-title" : "Comprehensive Reviews in Food Science and Food Safety", "id" : "ITEM-3", "issue" : "3", "issued" : { "date-parts" : [ [ "2019" ] ] }, "page" : "587-625", "title" : "Physiology of Acetic Acid Bacteria and Their Role in Vinegar and Fermented Beverages", "type" : "article", "volume" : "18" }, "uris" : [ "http://www.mendeley.com/documents/?uuid=4011ced1-5760-4d23-a88c-0a7d5f1f0e20" ] } ], "mendeley" : { "formattedCitation" : "(Battikh et al., 2012; Bhattacharya et al., 2016; Lynch et al., 2019)", "plainTextFormattedCitation" : "(Battikh et al., 2012; Bhattacharya et al., 2016; Lynch et al., 2019)", "previouslyFormattedCitation" : "(Battikh et al., 2012; Bhattacharya et al., 2016; Lynch et al., 2019)" }, "properties" : { "noteIndex" : 1 }, "schema" : "https://github.com/citation-style-language/schema/raw/master/csl-citation.json" }</w:instrText>
      </w:r>
      <w:r w:rsidR="00EF03D1">
        <w:rPr>
          <w:rFonts w:eastAsiaTheme="minorHAnsi" w:cs="Arial"/>
          <w:color w:val="000000"/>
          <w:szCs w:val="18"/>
          <w:lang w:val="pt-BR"/>
        </w:rPr>
        <w:fldChar w:fldCharType="separate"/>
      </w:r>
      <w:r w:rsidR="005C48A0" w:rsidRPr="00D61090">
        <w:rPr>
          <w:rFonts w:eastAsiaTheme="minorHAnsi" w:cs="Arial"/>
          <w:noProof/>
          <w:color w:val="000000"/>
          <w:szCs w:val="18"/>
          <w:lang w:val="en-US"/>
        </w:rPr>
        <w:t>(Battikh et al., 2012; Bhattacharya et al., 2016; Lynch et al., 2019)</w:t>
      </w:r>
      <w:r w:rsidR="00EF03D1">
        <w:rPr>
          <w:rFonts w:eastAsiaTheme="minorHAnsi" w:cs="Arial"/>
          <w:color w:val="000000"/>
          <w:szCs w:val="18"/>
          <w:lang w:val="pt-BR"/>
        </w:rPr>
        <w:fldChar w:fldCharType="end"/>
      </w:r>
      <w:r w:rsidRPr="00D61090">
        <w:rPr>
          <w:rFonts w:eastAsiaTheme="minorHAnsi" w:cs="Arial"/>
          <w:color w:val="000000"/>
          <w:szCs w:val="18"/>
          <w:lang w:val="en-US"/>
        </w:rPr>
        <w:t xml:space="preserve">, and antifungal activity </w:t>
      </w:r>
      <w:r w:rsidR="00375BF5" w:rsidRPr="00375BF5">
        <w:rPr>
          <w:rFonts w:eastAsiaTheme="minorHAnsi" w:cs="Arial"/>
          <w:color w:val="000000"/>
          <w:szCs w:val="18"/>
          <w:lang w:val="en-US"/>
        </w:rPr>
        <w:t>(</w:t>
      </w:r>
      <w:proofErr w:type="spellStart"/>
      <w:r w:rsidR="00375BF5" w:rsidRPr="00375BF5">
        <w:rPr>
          <w:rFonts w:eastAsiaTheme="minorHAnsi" w:cs="Arial"/>
          <w:color w:val="000000"/>
          <w:szCs w:val="18"/>
          <w:lang w:val="en-US"/>
        </w:rPr>
        <w:t>Yuniarto</w:t>
      </w:r>
      <w:proofErr w:type="spellEnd"/>
      <w:r w:rsidR="00375BF5" w:rsidRPr="00375BF5">
        <w:rPr>
          <w:rFonts w:eastAsiaTheme="minorHAnsi" w:cs="Arial"/>
          <w:color w:val="000000"/>
          <w:szCs w:val="18"/>
          <w:lang w:val="en-US"/>
        </w:rPr>
        <w:t xml:space="preserve"> et al., 2016; </w:t>
      </w:r>
      <w:proofErr w:type="spellStart"/>
      <w:r w:rsidR="00375BF5" w:rsidRPr="00375BF5">
        <w:rPr>
          <w:rFonts w:eastAsiaTheme="minorHAnsi" w:cs="Arial"/>
          <w:color w:val="000000"/>
          <w:szCs w:val="18"/>
          <w:lang w:val="en-US"/>
        </w:rPr>
        <w:t>Mazuchi-Brizzotti</w:t>
      </w:r>
      <w:proofErr w:type="spellEnd"/>
      <w:r w:rsidR="00375BF5" w:rsidRPr="00375BF5">
        <w:rPr>
          <w:rFonts w:eastAsiaTheme="minorHAnsi" w:cs="Arial"/>
          <w:color w:val="000000"/>
          <w:szCs w:val="18"/>
          <w:lang w:val="en-US"/>
        </w:rPr>
        <w:t xml:space="preserve"> et al., 2021)</w:t>
      </w:r>
      <w:r w:rsidR="00EF03D1" w:rsidRPr="00D61090">
        <w:rPr>
          <w:rFonts w:eastAsiaTheme="minorHAnsi" w:cs="Arial"/>
          <w:color w:val="000000"/>
          <w:szCs w:val="18"/>
          <w:lang w:val="en-US"/>
        </w:rPr>
        <w:t>.</w:t>
      </w:r>
      <w:r w:rsidRPr="00D61090">
        <w:rPr>
          <w:rFonts w:eastAsiaTheme="minorHAnsi" w:cs="Arial"/>
          <w:color w:val="000000"/>
          <w:szCs w:val="18"/>
          <w:lang w:val="en-US"/>
        </w:rPr>
        <w:t xml:space="preserve"> The compounds that act as antifungal agents are probably organic acids, among them acetic acid, lactic acid, ethanol, </w:t>
      </w:r>
      <w:r w:rsidR="004F5211" w:rsidRPr="00D61090">
        <w:rPr>
          <w:rFonts w:eastAsiaTheme="minorHAnsi" w:cs="Arial"/>
          <w:color w:val="000000"/>
          <w:szCs w:val="18"/>
          <w:lang w:val="en-US"/>
        </w:rPr>
        <w:t xml:space="preserve">and </w:t>
      </w:r>
      <w:r w:rsidRPr="00D61090">
        <w:rPr>
          <w:rFonts w:eastAsiaTheme="minorHAnsi" w:cs="Arial"/>
          <w:color w:val="000000"/>
          <w:szCs w:val="18"/>
          <w:lang w:val="en-US"/>
        </w:rPr>
        <w:t xml:space="preserve">glucuronic acid, resulting from fermentation. </w:t>
      </w:r>
      <w:r w:rsidRPr="00D61090">
        <w:rPr>
          <w:rFonts w:eastAsiaTheme="minorHAnsi" w:cs="Arial"/>
          <w:i/>
          <w:iCs/>
          <w:color w:val="000000"/>
          <w:szCs w:val="18"/>
          <w:lang w:val="en-US"/>
        </w:rPr>
        <w:t>Hibiscus sabdariffa</w:t>
      </w:r>
      <w:r w:rsidRPr="00D61090">
        <w:rPr>
          <w:rFonts w:eastAsiaTheme="minorHAnsi" w:cs="Arial"/>
          <w:color w:val="000000"/>
          <w:szCs w:val="18"/>
          <w:lang w:val="en-US"/>
        </w:rPr>
        <w:t xml:space="preserve"> L. is a plant known for its deep red color, aroma</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unique acidic taste</w:t>
      </w:r>
      <w:r w:rsidR="004F5211" w:rsidRPr="00D61090">
        <w:rPr>
          <w:rFonts w:eastAsiaTheme="minorHAnsi" w:cs="Arial"/>
          <w:color w:val="000000"/>
          <w:szCs w:val="18"/>
          <w:lang w:val="en-US"/>
        </w:rPr>
        <w:t>. It has</w:t>
      </w:r>
      <w:r w:rsidRPr="00D61090">
        <w:rPr>
          <w:rFonts w:eastAsiaTheme="minorHAnsi" w:cs="Arial"/>
          <w:color w:val="000000"/>
          <w:szCs w:val="18"/>
          <w:lang w:val="en-US"/>
        </w:rPr>
        <w:t xml:space="preserve"> been used in studies in the production of food, beverages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pharmaceutical products </w:t>
      </w:r>
      <w:r w:rsidR="00DC3365">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"10.1016/j.foodchem.2016.11.127", "ISSN" : "18737072", "PMID" : "28193416", "abstract" : "The need to increase sustainability and add value to traditional foods claiming health benefits led to the introduction of key improvements in the production of hibiscus beverages in Senegal. The physicochemical and sensory properties of three resulting products (an under-vacuum concentrate, a dilute-to-taste syrup and a ready-to-drink infusion) were assessed, vis-\u00e0-vis those of conventionally manufactured beverages, and their impact on local consumer preference determined (n\u00a0=\u00a0146). New beverages had more intense, redder colour and higher monomeric anthocyanin content, total phenolic content and antioxidant capacity. Moreover, their colour evaluations by trained panellists were mainly linked to colour density and anthocyanin/polyphenol content, while flavour assessments were associated to titratable acidity and sugar-to-acid ratio. Consumer evaluations, in turn, were driven by the beverages\u2019 red colour intensity, aroma strength and balance between sweetness and acidity. This explained why they overwhelmingly preferred the under-vacuum concentrate, regardless of their age, gender or frequency of hibiscus beverage consumption.", "author" : [ { "dropping-particle" : "", "family" : "Monteiro", "g</w:instrText>
      </w:r>
      <w:r w:rsidR="005C48A0">
        <w:rPr>
          <w:rFonts w:eastAsiaTheme="minorHAnsi" w:cs="Arial"/>
          <w:color w:val="000000"/>
          <w:szCs w:val="18"/>
          <w:lang w:val="pt-BR"/>
        </w:rPr>
        <w:instrText>iven" : "Maria Jo\u00e3o P.", "non-dropping-particle" : "", "parse-names" : false, "suffix" : "" }, { "dropping-particle" : "", "family" : "Costa", "given" : "Ana Isabel A.", "non-dropping-particle" : "", "parse-names" : false, "suffix" : "" }, { "dropping-particle" : "", "family" : "Fliedel", "given" : "Genevi\u00e8ve"</w:instrText>
      </w:r>
      <w:r w:rsidR="005C48A0" w:rsidRPr="00D61090">
        <w:rPr>
          <w:rFonts w:eastAsiaTheme="minorHAnsi" w:cs="Arial"/>
          <w:color w:val="000000"/>
          <w:szCs w:val="18"/>
          <w:lang w:val="en-US"/>
        </w:rPr>
        <w:instrText>, "non-dropping-particle" : "", "parse-names" : false, "suffix" : "" }, { "dropping-particle" : "", "family" : "Ciss\u00e9", "given" : "Mady", "non-dropping-particle" : "", "parse-names" : false, "suffix" : "" }, { "dropping-particle" : "", "family" : "Bechoff", "given" : "Aur\u00e9lie", "non-dropping-particle" : "", "parse-names" : false, "suffix" : "" }, { "dropping-particle" : "", "family" : "Pallet", "given" : "Dominique", "non-dropping-particle" : "", "parse-names" : false, "suffix" : "" }, { "dropping-particle" : "", "family" : "Tomlins", "given" : "Keith", "non-dropping-particle" : "", "parse-names" : false, "suffix" : "" }, { "dropping-particle" : "", "family" : "Pintado", "given" : "Maria Manuela E.", "non-dropping-particle" : "", "parse-names" : false, "suffix" : "" } ], "container-title" : "Food Chemistry", "id" : "ITEM-1", "issued" : { "date-parts" : [ [ "2017" ] ] }, "page" : "202-212", "title" : "Chemical-sensory properties and consumer preference of hibiscus beverages produced by improved industrial processes", "type" : "article-journal", "volume" : "225" }, "uris" : [ "http://www.mendeley.com/documents/?uuid=0174b403-cd49-4d89-b016-a86b6ab20c82" ] } ], "mendeley" : { "formattedCitation" : "(Monteiro et al., 2017)", "plainTextFormattedCitation" : "(Monteiro et al., 2017)", "previouslyFormattedCitation" : "(Monteiro et al., 2017)" }, "properties" : { "noteIndex" : 1 }, "schema" : "https://github.com/citation-style-language/schema/raw/master/csl-citation.json" }</w:instrText>
      </w:r>
      <w:r w:rsidR="00DC3365">
        <w:rPr>
          <w:rFonts w:eastAsiaTheme="minorHAnsi" w:cs="Arial"/>
          <w:color w:val="000000"/>
          <w:szCs w:val="18"/>
          <w:lang w:val="pt-BR"/>
        </w:rPr>
        <w:fldChar w:fldCharType="separate"/>
      </w:r>
      <w:r w:rsidR="005C48A0" w:rsidRPr="00D61090">
        <w:rPr>
          <w:rFonts w:eastAsiaTheme="minorHAnsi" w:cs="Arial"/>
          <w:noProof/>
          <w:color w:val="000000"/>
          <w:szCs w:val="18"/>
          <w:lang w:val="en-US"/>
        </w:rPr>
        <w:t>(Monteiro et al., 2017)</w:t>
      </w:r>
      <w:r w:rsidR="00DC3365">
        <w:rPr>
          <w:rFonts w:eastAsiaTheme="minorHAnsi" w:cs="Arial"/>
          <w:color w:val="000000"/>
          <w:szCs w:val="18"/>
          <w:lang w:val="pt-BR"/>
        </w:rPr>
        <w:fldChar w:fldCharType="end"/>
      </w:r>
      <w:r w:rsidRPr="00D61090">
        <w:rPr>
          <w:rFonts w:eastAsiaTheme="minorHAnsi" w:cs="Arial"/>
          <w:color w:val="000000"/>
          <w:szCs w:val="18"/>
          <w:lang w:val="en-US"/>
        </w:rPr>
        <w:t xml:space="preserve">. </w:t>
      </w:r>
      <w:r w:rsidR="00CB3215" w:rsidRPr="00CB3215">
        <w:rPr>
          <w:rFonts w:eastAsiaTheme="minorHAnsi" w:cs="Arial"/>
          <w:color w:val="000000"/>
          <w:szCs w:val="18"/>
          <w:lang w:val="en-US"/>
        </w:rPr>
        <w:t>It has compounds with antimicrobial properties, phytochemicals, such as anthocyanins and other phenolics</w:t>
      </w:r>
      <w:r w:rsidR="00CB3215">
        <w:rPr>
          <w:rFonts w:eastAsiaTheme="minorHAnsi" w:cs="Arial"/>
          <w:color w:val="000000"/>
          <w:szCs w:val="18"/>
          <w:lang w:val="en-US"/>
        </w:rPr>
        <w:t xml:space="preserve"> </w:t>
      </w:r>
      <w:r w:rsidR="00DC7EA2">
        <w:rPr>
          <w:rFonts w:eastAsiaTheme="minorHAnsi" w:cs="Arial"/>
          <w:color w:val="000000"/>
          <w:szCs w:val="18"/>
          <w:lang w:val="pt-BR"/>
        </w:rPr>
        <w:fldChar w:fldCharType="begin" w:fldLock="1"/>
      </w:r>
      <w:r w:rsidR="00DC7EA2" w:rsidRPr="00D61090">
        <w:rPr>
          <w:rFonts w:eastAsiaTheme="minorHAnsi" w:cs="Arial"/>
          <w:color w:val="000000"/>
          <w:szCs w:val="18"/>
          <w:lang w:val="en-US"/>
        </w:rPr>
        <w:instrText>ADDIN CSL_CITATION { "citationItems" : [ { "id" : "ITEM-1", "itemData" : { "ISSN" : "13076167", "abstract" : "The chemical constituents of the essential oil from Cyperus kyllingia Endl. were analyzed by a GC, GC-MS. Twenty-three compounds were identified, accounting for 93.75% of the total oil that consisted mainly of oxygenated sesquiterpenes (53.52%), particularly sesquiterpene hydrocarbons (38.97%), and carboxylic acid (1.26%). The most representative compounds were \u03b1-cadinol (19.32%), caryophyllene oxide (12.17%), \u03b1-muurolol (11.58%), \u03b1-humulene (9.85%), and \u03b1-atlantone (6.07%). The oil showed significant activities against Plasmodium falcipalum (K1, multi drug resistant strain) and NCI-H187 (Small Cell Lung Cancer) with the IC50 values of 7.52 and 7.72 \u03bcg/mL, respectively. The oil exhibited highly active against Staphylococcus aureus ATCC25923 and moderately active against Escherichia coli ATCC25922, Pseudomonas aeruginosa ATCC27553, Aspergillus flavus and Candida albicans. \u00a9 Published 04 15/2011 EISSN: 1307-6167.", "author" : [ { "dropping-particle" : "", "family" : "Khamsan", "given" : "Sorachai", "non-dropping-particle" : "", "parse-names" : false, "suffix" : "" }, { "dropping-particle" : "", "family" : "Liawruangrath", "given" : "Boonsom", "non-dropping-particle" : "", "parse-names" : false, "suffix" : "" }, { "dropping-particle" : "", "family" : "Liawruangrath", "given" : "Saisunee", "non-dropping-particle" : "", "parse-names" : false, "suffix" : "" }, { "dropping-particle" : "", "family" : "Teerawutkulrag", "given" : "Aphiwat", "non-dropping-particle" : "", "parse-names" : false, "suffix" : "" }, { "dropping-particle" : "", "family" : "Pyne", "given" : "Stephen G.", "non-dropping-particle" : "", "parse-names" : false, "suffix" : "" }, { "dropping-particle" : "", "family" : "Garson", "given" : "Mary J.", "non-dropping-particle" : "", "parse-names" : false, "suffix" : "" } ], "container-title" : "Records of Natural Products", "id" : "ITEM-1", "issue" : "4", "issued" : { "date-parts" : [ [ "2011" ] ] }, "page" : "324-327", "title" : "Antimalarial, Anticancer, Antimicrobial Activities and Chemical Constituents of Essential oil from the Aerial Parts of Cyperus kyllingia Endl", "type" : "article-journal", "volume" : "5" }, "uris" : [ "http://www.mendeley.com/documents/?uuid=4beaf3d2-ab32-4010-9147-5c4daf26954d" ] } ], "mendeley" : { "formattedCitation" : "(Khamsan et al., 2011)", "plainTextFormattedCitation" : "(Khamsan et al., 2011)", "previouslyFormattedCitation" : "(Khamsan et al., 2011)" }, "properties" : { "noteIndex" : 1 }, "schema" : "https://github.com/citation-style-language/schema/raw/master/csl-citation.json" }</w:instrText>
      </w:r>
      <w:r w:rsidR="00DC7EA2">
        <w:rPr>
          <w:rFonts w:eastAsiaTheme="minorHAnsi" w:cs="Arial"/>
          <w:color w:val="000000"/>
          <w:szCs w:val="18"/>
          <w:lang w:val="pt-BR"/>
        </w:rPr>
        <w:fldChar w:fldCharType="separate"/>
      </w:r>
      <w:r w:rsidR="00DC7EA2" w:rsidRPr="00D61090">
        <w:rPr>
          <w:rFonts w:eastAsiaTheme="minorHAnsi" w:cs="Arial"/>
          <w:noProof/>
          <w:color w:val="000000"/>
          <w:szCs w:val="18"/>
          <w:lang w:val="en-US"/>
        </w:rPr>
        <w:t>(Khamsan et al., 2011)</w:t>
      </w:r>
      <w:r w:rsidR="00DC7EA2">
        <w:rPr>
          <w:rFonts w:eastAsiaTheme="minorHAnsi" w:cs="Arial"/>
          <w:color w:val="000000"/>
          <w:szCs w:val="18"/>
          <w:lang w:val="pt-BR"/>
        </w:rPr>
        <w:fldChar w:fldCharType="end"/>
      </w:r>
      <w:r w:rsidRPr="00D61090">
        <w:rPr>
          <w:rFonts w:eastAsiaTheme="minorHAnsi" w:cs="Arial"/>
          <w:color w:val="000000"/>
          <w:szCs w:val="18"/>
          <w:lang w:val="en-US"/>
        </w:rPr>
        <w:t xml:space="preserve">, with a probable correlation between their quantity and inhibitory effects </w:t>
      </w:r>
      <w:r w:rsidR="00BB5655">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"10.1089/fpd.2008.0187", "ISSN" : "15353141", "PMID" : "19099360", "abstract" : "The antibacterial effects of roselle calyx aqueous and ethanol extracts and protocatechuic acid against food spoilage bacteria Salmonella typhimurium DT104, Escherichia coli O157:H7, Listeria monocytogenes, Staphylococcus aureus, and Bacillus cereus were examined. Minimal inhibitory concentrations of roselle calyx aqueous and ethanol extracts and protocatechuic acid against these bacteria were in the range of 112-144, 72-96, and 24-44 \u03bcg/mL, respectively. Protocatechuic acid content in roselle calyx aqueous and ethanol extracts was 2.8 \u00b1 0.7 and 11.9 \u00b1 1.2 mg/g, respectively. Antibacterial activity of roselle calyx ethanol extract and protocatechuic acid was not affected by heat treatments from 25\u00b0 to 75\u00b0C and 25\u00b0 to 100\u00b0C, respectively. After 3 days storage at 25\u00b0C, the addition of roselle calyx extracts and protocatechuic acid exhibited dose-dependent inhibitory effects against test bacteria in ground beef and apple juice, in which the roselle calyx ethanol extract showed greater antibacterial effects than the aqueous extract. These data suggest that roselle calyx ethanol extract and protocatechuic acid might be potent agents as food additives to prevent contamination from these bacteria. \u00a9 Copyright 2009, Mary Ann Liebert, Inc.", "author" : [ { "dropping-particle" : "", "family" : "Chao", "given" : "Che Yi", "non-dropping-particle" : "", "parse-names" : false, "suffix" : "" }, { "dropping-particle" : "", "family" : "Yin", "given" : "Mei Chin", "non-dropping-particle" : "", "parse-names" : false, "suffix" : "" } ], "container-title" : "Foodborne Pathogens and Disease", "id" : "ITEM-1", "issue" : "2", "issued" : { "date-parts" : [ [ "2009" ] ] }, "page" : "201-206", "title" : "Antibacterial effects of roselle calyx extracts and protocatechuic acid in ground beef and apple juice", "type" : "article-journal", "volume" : "6" }, "uris" : [ "http://www.mendeley.com/documents/?uuid=be95f0f7-3512-4a59-9104-236323aa7e57" ] } ], "mendeley" : { "formattedCitation" : "(Chao &amp; Yin, 2009)", "plainTextFormattedCitation" : "(Chao &amp; Yin, 2009)", "previouslyFormattedCitation" : "(Chao &amp; Yin, 2009)" }, "properties" : { "noteIndex" : 1 }, "schema" : "https://github.com/citation-style-language/schema/raw/master/csl-citation.json" }</w:instrText>
      </w:r>
      <w:r w:rsidR="00BB5655">
        <w:rPr>
          <w:rFonts w:eastAsiaTheme="minorHAnsi" w:cs="Arial"/>
          <w:color w:val="000000"/>
          <w:szCs w:val="18"/>
          <w:lang w:val="pt-BR"/>
        </w:rPr>
        <w:fldChar w:fldCharType="separate"/>
      </w:r>
      <w:r w:rsidR="005C48A0" w:rsidRPr="00D61090">
        <w:rPr>
          <w:rFonts w:eastAsiaTheme="minorHAnsi" w:cs="Arial"/>
          <w:noProof/>
          <w:color w:val="000000"/>
          <w:szCs w:val="18"/>
          <w:lang w:val="en-US"/>
        </w:rPr>
        <w:t>(Chao &amp; Yin, 2009)</w:t>
      </w:r>
      <w:r w:rsidR="00BB5655">
        <w:rPr>
          <w:rFonts w:eastAsiaTheme="minorHAnsi" w:cs="Arial"/>
          <w:color w:val="000000"/>
          <w:szCs w:val="18"/>
          <w:lang w:val="pt-BR"/>
        </w:rPr>
        <w:fldChar w:fldCharType="end"/>
      </w:r>
      <w:r w:rsidRPr="00D61090">
        <w:rPr>
          <w:rFonts w:eastAsiaTheme="minorHAnsi" w:cs="Arial"/>
          <w:color w:val="000000"/>
          <w:szCs w:val="18"/>
          <w:lang w:val="en-US"/>
        </w:rPr>
        <w:t xml:space="preserve">. Aqueous and ethanolic </w:t>
      </w:r>
      <w:r w:rsidR="004F5211" w:rsidRPr="00D61090">
        <w:rPr>
          <w:rFonts w:eastAsiaTheme="minorHAnsi" w:cs="Arial"/>
          <w:color w:val="000000"/>
          <w:szCs w:val="18"/>
          <w:lang w:val="en-US"/>
        </w:rPr>
        <w:t>hibiscus extracts</w:t>
      </w:r>
      <w:r w:rsidRPr="00D61090">
        <w:rPr>
          <w:rFonts w:eastAsiaTheme="minorHAnsi" w:cs="Arial"/>
          <w:color w:val="000000"/>
          <w:szCs w:val="18"/>
          <w:lang w:val="en-US"/>
        </w:rPr>
        <w:t xml:space="preserve"> have been used in food systems to prevent bacterial contamination </w:t>
      </w:r>
      <w:r w:rsidR="00BB5655">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"10.1002/mnfr.200500084", "ISSN" : "16134125", "PMID" : "16254885", "abstract" : "The antioxidant and free radical scavenging effects of two fractions of the ethanolic extract (HSCF, chloroform soluble fraction and HSEA, ethyl acetate soluble fraction) obtained from the dried flowers of Hibiscus sabdariffa L were investigated. The total antioxidant activity of the extracts was estimated to be 4.6 and 8.6 mM of vitamin C for HSCF and HSEA, respectively. Both HSCF and HSEA scavenged hydrogen peroxide (H2O2) (79-94%) at the dose of 500 \u03bcg. Similarly, the extracts showed inhibitory (70-80%) effects on superoxide anions radicals (O2-.) at a dose of 1000 \u03bcg. The concentrations required for a 50% scavenging of hydroxyl radical (OH) (IC50) were 380 and 200 \u03bcg for HSCF and HSEA, respectively. HSEA and HSCF were better scavengers of O2-., \u2022OH and H2O2 as compared to BHA, quercetin and \u03b1-tocopherol. At a concentration of 25 \u03bcg/mL HSCF and HSEA exhibited 32 and 38% inhibition on CCl4-NADPH-induced lipid peroxidation, respectively, while both extracts exhibited 80 and 89% inhibitory effects at 100 \u03bcg/mL. Pretreatment with H. sabdariffa extracts orally with 100 mg/kg and 250 mg/kg simultaneously with intraperitoneal injection FeCl 2-ascorbic acid-ADP mixture reduced (p</w:instrText>
      </w:r>
      <w:r w:rsidR="005C48A0">
        <w:rPr>
          <w:rFonts w:eastAsiaTheme="minorHAnsi" w:cs="Arial"/>
          <w:color w:val="000000"/>
          <w:szCs w:val="18"/>
          <w:lang w:val="pt-BR"/>
        </w:rPr>
        <w:instrText xml:space="preserve"> &lt; 0.01) the formation of malondialdehyde content. Treatment of rats with HSCF, HSEA and vitamin C (standard antioxidant) significantly inhibited the induction of micronucleated polychromatic erythrocytes by sodium arsenite (2.5 mg/kg) (p &lt; 0.001) after 24 h by 60, 70 and 50%, respectively. The results indicate that extracts of H. sabdariffa showed strong antimutagenic activity and free radical scavenging effects on active oxygen species. \u00a9 2005 Wiley-VCH Verlag GmbH &amp; Co. KGaA.", "author" : [ { "dropping-particle" : "", "family" : "Farombi", "given" : "Ebenezer Olatunde", "non-dropping-particle" : "", "parse-names" : false, "suffix" : "" }, { "dropping-particle" : "", "family" : "Fakoya", "given" : "Akindele", "non-dropping-particle" : "", "parse-names" : false, "suffix" : "" } ], "container-title" : "Molecular Nutrition and Food Research", "id" : "ITEM-1", "issue" : "12", "issued" : { "date-parts" : [ [ "2005" ] ] }, "page" : "1120-1128", "title" : "Free radical scavenging and antigenotoxic activities of natural phenolic compounds in dried flowers of Hibiscus sabdariffa L", "type" : "article-journal", "volume" : "49" }, "uris" : [ "http://www.mendeley.com/documents/?uuid=38bba5a9-597b-41a5-9ed9-4b10e1d8c1f0" ] }, { "id" : "ITEM-2", "itemData" : { "DOI" : "10.1002/ptr.1760", "ISSN" : "0951418X", "PMID" : "16317650", "abstract" : "The in vitro inhibitory effect of roselle calyx and protocatechuic acid, a compound derived from roselle calyx, on the growth of methicillin-resistant Staphylococcus aureus, Klebsiella pneumonias, Pseudomonas aeruginosa and Acinetobacter baumannii was studied. The data from inhibition zone and minimum inhibitory concentration (MIC) values showed that both roselle calyx extract and protocatechuic acid inhibited effectively the growth of all test bacterial pathogens, the antibacterial activity of protocatechuic acid being significantly greater than roselle calyx (p &lt; 0.05). Furthermore, heat treatment did not affect the antibacterial activity of roselle calyx and protocatechuic acid against all test pathogens. The time-kill data from protocatechuic acid showed this agent provided concentration dependent antibacterial activities in broth and human plasma (p &lt; 0.</w:instrText>
      </w:r>
      <w:r w:rsidR="005C48A0" w:rsidRPr="00D61090">
        <w:rPr>
          <w:rFonts w:eastAsiaTheme="minorHAnsi" w:cs="Arial"/>
          <w:color w:val="000000"/>
          <w:szCs w:val="18"/>
          <w:lang w:val="en-US"/>
        </w:rPr>
        <w:instrText>05); however, protocatechuic acid showed less inhibitory activity in human plasma than in broth (p &lt; 0.05). These agents based on their lower MIC values, heat tolerance and concentration dependent antibacterial activity may be useful in clinical infection prevention or therapy. Copyright \u00a9 2005 John Wiley &amp; Sons, Ltd.", "author" : [ { "dropping-particle" : "Sen", "family" : "Liu", "given" : "Keh", "non-dropping-particle" : "", "parse-names" : false, "suffix" : "" }, { "dropping-particle" : "", "family" : "Tsao", "given" : "Shyh Ming", "non-dropping-particle" : "", "parse-names" : false, "suffix" : "" }, { "dropping-particle" : "", "family" : "Yin", "given" : "Mei Chin", "non-dropping-particle" : "", "parse-names" : false, "suffix" : "" } ], "container-title" : "Phytotherapy Research", "id" : "ITEM-2", "issue" : "11", "issued" : { "date-parts" : [ [ "2005" ] ] }, "page" : "942-945", "title" : "In vitro antibacterial activity of roselle calyx and protocatechuic acid", "type" : "article-journal", "volume" : "19" }, "uris" : [ "http://www.mendeley.com/documents/?uuid=d42f3005-b1ba-4d86-bdd2-f41a2d434a43" ] } ], "mendeley" : { "formattedCitation" : "(Farombi &amp; Fakoya, 2005; Liu et al., 2005)", "plainTextFormattedCitation" : "(Farombi &amp; Fakoya, 2005; Liu et al., 2005)", "previouslyFormattedCitation" : "(Farombi &amp; Fakoya, 2005; Liu et al., 2005)" }, "properties" : { "noteIndex" : 1 }, "schema" : "https://github.com/citation-style-language/schema/raw/master/csl-citation.json" }</w:instrText>
      </w:r>
      <w:r w:rsidR="00BB5655">
        <w:rPr>
          <w:rFonts w:eastAsiaTheme="minorHAnsi" w:cs="Arial"/>
          <w:color w:val="000000"/>
          <w:szCs w:val="18"/>
          <w:lang w:val="pt-BR"/>
        </w:rPr>
        <w:fldChar w:fldCharType="separate"/>
      </w:r>
      <w:r w:rsidR="005C48A0" w:rsidRPr="00D61090">
        <w:rPr>
          <w:rFonts w:eastAsiaTheme="minorHAnsi" w:cs="Arial"/>
          <w:noProof/>
          <w:color w:val="000000"/>
          <w:szCs w:val="18"/>
          <w:lang w:val="en-US"/>
        </w:rPr>
        <w:t>(Farombi &amp; Fakoya, 2005; Liu et al., 2005)</w:t>
      </w:r>
      <w:r w:rsidR="00BB5655">
        <w:rPr>
          <w:rFonts w:eastAsiaTheme="minorHAnsi" w:cs="Arial"/>
          <w:color w:val="000000"/>
          <w:szCs w:val="18"/>
          <w:lang w:val="pt-BR"/>
        </w:rPr>
        <w:fldChar w:fldCharType="end"/>
      </w:r>
      <w:r w:rsidRPr="00D61090">
        <w:rPr>
          <w:rFonts w:eastAsiaTheme="minorHAnsi" w:cs="Arial"/>
          <w:color w:val="000000"/>
          <w:szCs w:val="18"/>
          <w:lang w:val="en-US"/>
        </w:rPr>
        <w:t>. The food industry is looking for effective, safe</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easy-to-produce antimicrobial agents that are sustainably developed. Compounds produced in kombucha are obtained </w:t>
      </w:r>
      <w:r w:rsidR="004F5211" w:rsidRPr="00D61090">
        <w:rPr>
          <w:rFonts w:eastAsiaTheme="minorHAnsi" w:cs="Arial"/>
          <w:color w:val="000000"/>
          <w:szCs w:val="18"/>
          <w:lang w:val="en-US"/>
        </w:rPr>
        <w:t>simply</w:t>
      </w:r>
      <w:r w:rsidRPr="00D61090">
        <w:rPr>
          <w:rFonts w:eastAsiaTheme="minorHAnsi" w:cs="Arial"/>
          <w:color w:val="000000"/>
          <w:szCs w:val="18"/>
          <w:lang w:val="en-US"/>
        </w:rPr>
        <w:t xml:space="preserve"> and without aggressive chemical substances, making them promising as antimicrobials to be applied in the food industry. The search for antimicrobials </w:t>
      </w:r>
      <w:r w:rsidR="004F5211" w:rsidRPr="00D61090">
        <w:rPr>
          <w:rFonts w:eastAsiaTheme="minorHAnsi" w:cs="Arial"/>
          <w:color w:val="000000"/>
          <w:szCs w:val="18"/>
          <w:lang w:val="en-US"/>
        </w:rPr>
        <w:t xml:space="preserve">from natural processes has become relevant, </w:t>
      </w:r>
      <w:r w:rsidR="004F5211" w:rsidRPr="00D61090">
        <w:rPr>
          <w:rFonts w:eastAsiaTheme="minorHAnsi" w:cs="Arial"/>
          <w:color w:val="000000"/>
          <w:szCs w:val="18"/>
          <w:lang w:val="en-US"/>
        </w:rPr>
        <w:lastRenderedPageBreak/>
        <w:t xml:space="preserve">believing in the minimization of undesirable effects due to toxic by-products </w:t>
      </w:r>
      <w:r w:rsidRPr="00D61090">
        <w:rPr>
          <w:rFonts w:eastAsiaTheme="minorHAnsi" w:cs="Arial"/>
          <w:color w:val="000000"/>
          <w:szCs w:val="18"/>
          <w:lang w:val="en-US"/>
        </w:rPr>
        <w:t xml:space="preserve">from artificial chemical processes, </w:t>
      </w:r>
      <w:r w:rsidR="00D61090">
        <w:rPr>
          <w:rFonts w:eastAsiaTheme="minorHAnsi" w:cs="Arial"/>
          <w:color w:val="000000"/>
          <w:szCs w:val="18"/>
          <w:lang w:val="en-US"/>
        </w:rPr>
        <w:t>which</w:t>
      </w:r>
      <w:r w:rsidRPr="00D61090">
        <w:rPr>
          <w:rFonts w:eastAsiaTheme="minorHAnsi" w:cs="Arial"/>
          <w:color w:val="000000"/>
          <w:szCs w:val="18"/>
          <w:lang w:val="en-US"/>
        </w:rPr>
        <w:t xml:space="preserve"> can cause damage to food, health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the environment</w:t>
      </w:r>
      <w:r w:rsidR="007514AD" w:rsidRPr="00D61090">
        <w:rPr>
          <w:rFonts w:eastAsiaTheme="minorHAnsi" w:cs="Arial"/>
          <w:color w:val="000000"/>
          <w:szCs w:val="18"/>
          <w:lang w:val="en-US"/>
        </w:rPr>
        <w:t xml:space="preserve"> </w:t>
      </w:r>
      <w:r w:rsidR="007514AD">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"10.1016/j.ijfoodmicro.2021.109414", "ISSN" : "18793460", "PMID" : "34583229", "abstract" : "This special issue compiled 13 research articles and one review analyzing natural antimicrobial agents applied in real food systems. The accepted submissions were received from 14 countries, including Spain, Brazil, Lebanon, United Arab Emirates, Jordan, Greece, Thailand, Turkey, Saudi Arabia, Italy, Argentina, Canada, Iran, and China. The studied antimicrobial substances included phenolic compounds from plant tissues, terpenes from plant essential oils, bacteriocins, and chitosan. The treated food matrices were fresh fruit, fruit juices, beef, chicken products, camel meat, cheese, fish, and yogurt. Most of the published papers directly applied the natural substances in the food matrices, and others use edible coatings, marinades, micro and nanocarriers. Also, hurdle technologies were used to increase the antimicrobial effect of the studied natural substances, including temperature, vacuum packaging, ultraviolet, and edible coatings. In conclusion, promising results were obtained to impulse the transitions of natural antimicrobials as effective agents in the food industry; some contributions to the mode of actions of natural antimicrobials in real food systems were also included.", "author" : [ { "dropping-particle" : "", "family" : "Savvaidis", "given" : "Ioannis N.", "non-dropping-particle" : "", "parse-names" : false, "suffix" : "" }, { "dropping-particle" : "", "family" : "Ayala-Zavala", "given" : "J. Fernando", "non-dropping-particle" : "", "parse-names" : false, "suffix" : "" } ], "container-title" : "International Journal of Food Microbiology", "id" : "ITEM-1", "issued" : { "date-parts" : [ [ "2021" ] ] }, "title" : "Editorial for special issue of food natural antimicrobials", "type" : "article", "volume" : "358" }, "uris" : [ "http://www.mendeley.com/documents/?uuid=5f158df6-ff1d-4119-b608-0ada3c3119d6" ] } ], "mendeley" : { "formattedCitation" : "(Savvaidis &amp; Ayala-Zavala, 2021)", "plainTextFormattedCitation" : "(Savvaidis &amp; Ayala-Zavala, 2021)", "previouslyFormattedCitation" : "(Savvaidis &amp; Ayala-Zavala, 2021)" }, "properties" : { "noteIndex" : 2 }, "schema" : "https://github.com/citation-style-language/schema/raw/master/csl-citation.json" }</w:instrText>
      </w:r>
      <w:r w:rsidR="007514AD">
        <w:rPr>
          <w:rFonts w:eastAsiaTheme="minorHAnsi" w:cs="Arial"/>
          <w:color w:val="000000"/>
          <w:szCs w:val="18"/>
          <w:lang w:val="pt-BR"/>
        </w:rPr>
        <w:fldChar w:fldCharType="separate"/>
      </w:r>
      <w:r w:rsidR="005C48A0" w:rsidRPr="00D61090">
        <w:rPr>
          <w:rFonts w:eastAsiaTheme="minorHAnsi" w:cs="Arial"/>
          <w:noProof/>
          <w:color w:val="000000"/>
          <w:szCs w:val="18"/>
          <w:lang w:val="en-US"/>
        </w:rPr>
        <w:t>(Savvaidis &amp; Ayala-Zavala, 2021)</w:t>
      </w:r>
      <w:r w:rsidR="007514AD">
        <w:rPr>
          <w:rFonts w:eastAsiaTheme="minorHAnsi" w:cs="Arial"/>
          <w:color w:val="000000"/>
          <w:szCs w:val="18"/>
          <w:lang w:val="pt-BR"/>
        </w:rPr>
        <w:fldChar w:fldCharType="end"/>
      </w:r>
      <w:r w:rsidRPr="00D61090">
        <w:rPr>
          <w:rFonts w:eastAsiaTheme="minorHAnsi" w:cs="Arial"/>
          <w:color w:val="000000"/>
          <w:szCs w:val="18"/>
          <w:lang w:val="en-US"/>
        </w:rPr>
        <w:t xml:space="preserve">. Deterioration by fungi causes undesirable </w:t>
      </w:r>
      <w:r w:rsidR="004F5211" w:rsidRPr="00D61090">
        <w:rPr>
          <w:rFonts w:eastAsiaTheme="minorHAnsi" w:cs="Arial"/>
          <w:color w:val="000000"/>
          <w:szCs w:val="18"/>
          <w:lang w:val="en-US"/>
        </w:rPr>
        <w:t>food changes and may</w:t>
      </w:r>
      <w:r w:rsidRPr="00D61090">
        <w:rPr>
          <w:rFonts w:eastAsiaTheme="minorHAnsi" w:cs="Arial"/>
          <w:color w:val="000000"/>
          <w:szCs w:val="18"/>
          <w:lang w:val="en-US"/>
        </w:rPr>
        <w:t xml:space="preserve"> pose health risks. </w:t>
      </w:r>
      <w:r w:rsidRPr="00D61090">
        <w:rPr>
          <w:rFonts w:eastAsiaTheme="minorHAnsi" w:cs="Arial"/>
          <w:i/>
          <w:iCs/>
          <w:color w:val="000000"/>
          <w:szCs w:val="18"/>
          <w:lang w:val="en-US"/>
        </w:rPr>
        <w:t>Botrytis cinerea</w:t>
      </w:r>
      <w:r w:rsidRPr="00D61090">
        <w:rPr>
          <w:rFonts w:eastAsiaTheme="minorHAnsi" w:cs="Arial"/>
          <w:color w:val="000000"/>
          <w:szCs w:val="18"/>
          <w:lang w:val="en-US"/>
        </w:rPr>
        <w:t xml:space="preserve"> is a plant pathogenic fungus that can reach more than 200 species, attacking leaves, stems, fruits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flowers, in the </w:t>
      </w:r>
      <w:r w:rsidR="004F5211" w:rsidRPr="00D61090">
        <w:rPr>
          <w:rFonts w:eastAsiaTheme="minorHAnsi" w:cs="Arial"/>
          <w:color w:val="000000"/>
          <w:szCs w:val="18"/>
          <w:lang w:val="en-US"/>
        </w:rPr>
        <w:t>pre-and</w:t>
      </w:r>
      <w:r w:rsidRPr="00D61090">
        <w:rPr>
          <w:rFonts w:eastAsiaTheme="minorHAnsi" w:cs="Arial"/>
          <w:color w:val="000000"/>
          <w:szCs w:val="18"/>
          <w:lang w:val="en-US"/>
        </w:rPr>
        <w:t xml:space="preserve"> post-harvest period, causing economic losses. It is genetically variable, acquiring resistance to the chemicals used for control </w:t>
      </w:r>
      <w:r w:rsidR="00322DFB">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"10.1111/lam.12872", "ISSN" : "1472765X", "PMID" : "29495073", "abstract" : "The aim of the present work was to evaluate the ability of the native yeast Rhodosporidium fluviale to control Botrytis cinerea on apple fruit and to study the possible mechanisms of action with the goal of improving the control of gray mold. For this, the influence of application time of the yeast was studied simulating preventive and curative effects. Also, the effect of nonviable cells of the yeast in the biocontrol was assessed. According to the results obtained, the following mechanisms of action of R. fluviale could be proposed: 1- competition for space, 2- direct interaction between antagonist and pathogen, 3- induction of \u03b2-1,3-glucanase in apple tissue, 4- Probable production of glucanase in the apple wounds and 5- antifungal action of cellular components, probably chitin, present in the wall of yeast cells that could be the explanation for the activity of nonviable cells. Significance and Impact of the Study: Significance and Impact of the Study: Botrytis cinerea Pers: Fr, which causes gray mold of fruits and vegetables around the world, is difficult to control successfully because it is genetically variable and rapidly develops resistance to the chemicals commonly used for its control. This study is a contribution to the</w:instrText>
      </w:r>
      <w:r w:rsidR="005C48A0">
        <w:rPr>
          <w:rFonts w:eastAsiaTheme="minorHAnsi" w:cs="Arial"/>
          <w:color w:val="000000"/>
          <w:szCs w:val="18"/>
          <w:lang w:val="pt-BR"/>
        </w:rPr>
        <w:instrText xml:space="preserve"> biocontrol of this phytopathogen fungus. The evaluation of the native yeast Rhodosporidium fluviale as biocontrol agent and the elucidation of possible mechanisms of action, including the participation of nonviable cells of this yeast, have not been reported up to date.", "author" : [ { "dropping-particle" : "", "family" : "Sansone", "g</w:instrText>
      </w:r>
      <w:r w:rsidR="005C48A0" w:rsidRPr="00D61090">
        <w:rPr>
          <w:rFonts w:eastAsiaTheme="minorHAnsi" w:cs="Arial"/>
          <w:color w:val="000000"/>
          <w:szCs w:val="18"/>
          <w:lang w:val="en-US"/>
        </w:rPr>
        <w:instrText>iven" : "G.", "non-dropping-particle" : "", "parse-names" : false, "suffix" : "" }, { "dropping-particle" : "", "family" : "Lambrese", "given" : "Y.", "non-dropping-particle" : "", "parse-names" : false, "suffix" : "" }, { "dropping-particle" : "", "family" : "Calvente", "given" : "V.", "non-dropping-particle" : "", "parse-names" : false, "suffix" : "" }, { "dropping-particle" : "", "family" : "Fern\u00e1ndez", "given" : "G.", "non-dropping-particle" : "", "parse-names" : false, "suffix" : "" }, { "dropping-particle" : "", "family" : "Benuzzi", "given" : "D.", "non-dropping-particle" : "", "parse-names" : false, "suffix" : "" }, { "dropping-particle" : "", "family" : "Sanz Ferramola", "given" : "M.", "non-dropping-particle" : "", "parse-names" : false, "suffix" : "" } ], "container-title" : "Letters in Applied Microbiology", "id" : "ITEM-1", "issue" : "5", "issued" : { "date-parts" : [ [ "2018" ] ] }, "page" : "455-461", "title" : "Evaluation of Rhodosporidium fluviale as biocontrol agent against Botrytis cinerea on apple fruit", "type" : "article-journal", "volume" : "66" }, "uris" : [ "http://www.mendeley.com/documents/?uuid=21c5bd71-36e3-465e-b0a8-d1de1723cf4d" ] } ], "mendeley" : { "formattedCitation" : "(Sansone et al., 2018)", "plainTextFormattedCitation" : "(Sansone et al., 2018)", "previouslyFormattedCitation" : "(Sansone et al., 2018)" }, "properties" : { "noteIndex" : 2 }, "schema" : "https://github.com/citation-style-language/schema/raw/master/csl-citation.json" }</w:instrText>
      </w:r>
      <w:r w:rsidR="00322DFB">
        <w:rPr>
          <w:rFonts w:eastAsiaTheme="minorHAnsi" w:cs="Arial"/>
          <w:color w:val="000000"/>
          <w:szCs w:val="18"/>
          <w:lang w:val="pt-BR"/>
        </w:rPr>
        <w:fldChar w:fldCharType="separate"/>
      </w:r>
      <w:r w:rsidR="005C48A0" w:rsidRPr="00D61090">
        <w:rPr>
          <w:rFonts w:eastAsiaTheme="minorHAnsi" w:cs="Arial"/>
          <w:noProof/>
          <w:color w:val="000000"/>
          <w:szCs w:val="18"/>
          <w:lang w:val="en-US"/>
        </w:rPr>
        <w:t>(Sansone et al., 2018)</w:t>
      </w:r>
      <w:r w:rsidR="00322DFB">
        <w:rPr>
          <w:rFonts w:eastAsiaTheme="minorHAnsi" w:cs="Arial"/>
          <w:color w:val="000000"/>
          <w:szCs w:val="18"/>
          <w:lang w:val="pt-BR"/>
        </w:rPr>
        <w:fldChar w:fldCharType="end"/>
      </w:r>
      <w:r w:rsidRPr="00D61090">
        <w:rPr>
          <w:rFonts w:eastAsiaTheme="minorHAnsi" w:cs="Arial"/>
          <w:color w:val="000000"/>
          <w:szCs w:val="18"/>
          <w:lang w:val="en-US"/>
        </w:rPr>
        <w:t xml:space="preserve">. Strawberry is sensitive to </w:t>
      </w:r>
      <w:r w:rsidRPr="00D61090">
        <w:rPr>
          <w:rFonts w:eastAsiaTheme="minorHAnsi" w:cs="Arial"/>
          <w:i/>
          <w:iCs/>
          <w:color w:val="000000"/>
          <w:szCs w:val="18"/>
          <w:lang w:val="en-US"/>
        </w:rPr>
        <w:t>B. cinerea</w:t>
      </w:r>
      <w:r w:rsidRPr="00D61090">
        <w:rPr>
          <w:rFonts w:eastAsiaTheme="minorHAnsi" w:cs="Arial"/>
          <w:color w:val="000000"/>
          <w:szCs w:val="18"/>
          <w:lang w:val="en-US"/>
        </w:rPr>
        <w:t>, which deteriorates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forming </w:t>
      </w:r>
      <w:r w:rsidR="004F5211" w:rsidRPr="00D61090">
        <w:rPr>
          <w:rFonts w:eastAsiaTheme="minorHAnsi" w:cs="Arial"/>
          <w:color w:val="000000"/>
          <w:szCs w:val="18"/>
          <w:lang w:val="en-US"/>
        </w:rPr>
        <w:t xml:space="preserve">a </w:t>
      </w:r>
      <w:r w:rsidRPr="00D61090">
        <w:rPr>
          <w:rFonts w:eastAsiaTheme="minorHAnsi" w:cs="Arial"/>
          <w:color w:val="000000"/>
          <w:szCs w:val="18"/>
          <w:lang w:val="en-US"/>
        </w:rPr>
        <w:t xml:space="preserve">gray mold </w:t>
      </w:r>
      <w:r w:rsidR="00322DFB">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 xml:space="preserve">ADDIN CSL_CITATION { "citationItems" : [ { "id" : "ITEM-1", "itemData" : { "DOI" : "10.1007/s11105-015-0946-y", "ISSN" : "15729818", "abstract" : "Polyphenols are secondary metabolites widely present in plants which benefit to human health. In the present study we analyzed the changes of polyphenol contents during strawberry fruit development as well as changes of polyphenol oxidase (PPO). The results depicted that the polyphenol content showed a decreasing trend with the fruit development. The pH value impacts the PPO activity, and in strawberry fruit the optimal pH for the PPO activity was 4.5. Meanwhile, PPO activity kept decreasing with the development of the fruit flesh and achenes. The damaged fruit enhanced the PPO activity. We found four PPO genes encoding the PPO in the strawberry that had different expression levels in tissues. The overexpression of the FaPPO1 genes improved the PPO activity in strawberry fruit and delays the fungus infection process. The FaPPO1 gene expression changes had affected the pathogen-related gene expression, such as PAL, SOD, POD, BG, and Chitinase genes. The fruit damage induced the FaPPO1 gene expression, and the abscisic acid and methyl jasmonic were also involved in the regulation of FaPPO1 gene expression. The FaPPO1 and FaPPO2 gene expressions were regulated both by abiotic stresses of low temperature, NaCl, and H2O2and biotic stresses of powdery mildew </w:instrText>
      </w:r>
      <w:r w:rsidR="005C48A0">
        <w:rPr>
          <w:rFonts w:eastAsiaTheme="minorHAnsi" w:cs="Arial"/>
          <w:color w:val="000000"/>
          <w:szCs w:val="18"/>
          <w:lang w:val="pt-BR"/>
        </w:rPr>
        <w:instrText>and gray mold. Understanding the regulation mechanism of PPO will be helpful and provide meaningful ideas in future for strawberry breeders.", "author" : [ { "dropping-particle" : "", "family" : "Jia", "given" : "Haifeng", "non-dropping-particle" : "", "parse-names" : false, "suffix" : "" }, { "dropping-particle" : "", "family" : "Zhao", "given" : "Pengcheng", "non-dropping-particle" : "", "parse-names" : false, "suffix" : "" }, { "dropping-particle" : "", "family" : "Wang", "given" : "Baoju", "non-dropping-particle" : "", "parse-names" : false, "suffix" : "" }, { "dropping-particle" : "", "family" :</w:instrText>
      </w:r>
      <w:r w:rsidR="005C48A0" w:rsidRPr="00D61090">
        <w:rPr>
          <w:rFonts w:eastAsiaTheme="minorHAnsi" w:cs="Arial"/>
          <w:color w:val="000000"/>
          <w:szCs w:val="18"/>
          <w:lang w:val="en-US"/>
        </w:rPr>
        <w:instrText xml:space="preserve"> "Tariq", "given" : "Pervaiz", "non-dropping-particle" : "", "parse-names" : false, "suffix" : "" }, { "dropping-particle" : "", "family" : "Zhao", "given" : "Fanggui", "non-dropping-particle" : "", "parse-names" : false, "suffix" : "" }, { "dropping-particle" : "", "family" : "Zhao", "given" : "Mizhen", "non-dropping-particle" : "", "parse-names" : false, "suffix" : "" }, { "dropping-particle" : "", "family" : "Wang", "given" : "Qinglian", "non-dropping-particle" : "", "parse-names" : false, "suffix" : "" }, { "dropping-particle" : "", "family" : "Yang", "given" : "Tianbao", "non-dropping-particle" : "", "parse-names" : false, "suffix" : "" }, { "dropping-particle" : "", "family" : "Fang", "given" : "Jinggui", "non-dropping-particle" : "", "parse-names" : false, "suffix" : "" } ], "container-title" : "Plant Molecular Biology Reporter", "id" : "ITEM-1", "issue" : "3", "issued" : { "date-parts" : [ [ "2016" ] ] }, "page" : "592-606", "title" : "Overexpression of Polyphenol Oxidase Gene in Strawberry Fruit Delays the Fungus Infection Process", "type" : "article-journal", "volume" : "34" }, "uris" : [ "http://www.mendeley.com/documents/?uuid=0485034a-9c8e-4d69-b1a1-b1fdfaef8873" ] } ], "mendeley" : { "formattedCitation" : "(Jia et al., 2016)", "plainTextFormattedCitation" : "(Jia et al., 2016)", "previouslyFormattedCitation" : "(Jia et al., 2016)" }, "properties" : { "noteIndex" : 2 }, "schema" : "https://github.com/citation-style-language/schema/raw/master/csl-citation.json" }</w:instrText>
      </w:r>
      <w:r w:rsidR="00322DFB">
        <w:rPr>
          <w:rFonts w:eastAsiaTheme="minorHAnsi" w:cs="Arial"/>
          <w:color w:val="000000"/>
          <w:szCs w:val="18"/>
          <w:lang w:val="pt-BR"/>
        </w:rPr>
        <w:fldChar w:fldCharType="separate"/>
      </w:r>
      <w:r w:rsidR="005C48A0" w:rsidRPr="00D61090">
        <w:rPr>
          <w:rFonts w:eastAsiaTheme="minorHAnsi" w:cs="Arial"/>
          <w:noProof/>
          <w:color w:val="000000"/>
          <w:szCs w:val="18"/>
          <w:lang w:val="en-US"/>
        </w:rPr>
        <w:t>(Jia et al., 2016)</w:t>
      </w:r>
      <w:r w:rsidR="00322DFB">
        <w:rPr>
          <w:rFonts w:eastAsiaTheme="minorHAnsi" w:cs="Arial"/>
          <w:color w:val="000000"/>
          <w:szCs w:val="18"/>
          <w:lang w:val="pt-BR"/>
        </w:rPr>
        <w:fldChar w:fldCharType="end"/>
      </w:r>
      <w:r w:rsidRPr="00D61090">
        <w:rPr>
          <w:rFonts w:eastAsiaTheme="minorHAnsi" w:cs="Arial"/>
          <w:color w:val="000000"/>
          <w:szCs w:val="18"/>
          <w:lang w:val="en-US"/>
        </w:rPr>
        <w:t xml:space="preserve">. </w:t>
      </w:r>
      <w:r w:rsidR="00D61090">
        <w:rPr>
          <w:rFonts w:eastAsiaTheme="minorHAnsi" w:cs="Arial"/>
          <w:color w:val="000000"/>
          <w:szCs w:val="18"/>
          <w:lang w:val="en-US"/>
        </w:rPr>
        <w:t xml:space="preserve">Techniques such as applying natural compounds and physical treatments have been sought to prevent gray mold disease </w:t>
      </w:r>
      <w:r w:rsidRPr="00D61090">
        <w:rPr>
          <w:rFonts w:eastAsiaTheme="minorHAnsi" w:cs="Arial"/>
          <w:color w:val="000000"/>
          <w:szCs w:val="18"/>
          <w:lang w:val="en-US"/>
        </w:rPr>
        <w:t xml:space="preserve">as an alternative measure </w:t>
      </w:r>
      <w:r w:rsidR="00322DFB">
        <w:rPr>
          <w:rFonts w:eastAsiaTheme="minorHAnsi" w:cs="Arial"/>
          <w:color w:val="000000"/>
          <w:szCs w:val="18"/>
          <w:lang w:val="pt-BR"/>
        </w:rPr>
        <w:fldChar w:fldCharType="begin" w:fldLock="1"/>
      </w:r>
      <w:r w:rsidR="005C48A0" w:rsidRPr="00D61090">
        <w:rPr>
          <w:rFonts w:eastAsiaTheme="minorHAnsi" w:cs="Arial"/>
          <w:color w:val="000000"/>
          <w:szCs w:val="18"/>
          <w:lang w:val="en-US"/>
        </w:rPr>
        <w:instrText>ADDIN CSL_CITATION { "citationItems" : [ { "id" : "ITEM-1", "itemData" : { "DOI" : "10.1016/j.postharvbio.2015.03.011", "ISSN" : "09255214", "abstract" : "Red table grapes were treated after harvest with ultraviolet-C light (UV-C) and chitosan coating, both alone and in combination. Effect of treatments on quality, fungal decay, and resveratrol content of grapes was studied. In preliminary trials, combination of UV-C with chitosan coating yielded better results compared with the same treatments applied alone. Therefore, further optimization was performed with combinations of the two treatments. Chitosan coating preserved brightness and visual quality of fruit while preventing decay by Botrytis cinerea. Furthermore, this coating treatment had no effect on respiration rate or resveratrol content of grapes. UV-C treatment combined with storage at 20. \u00b0C for 24. h before refrigerated storage led to increased resveratrol content and had no negative effects on the sensory quality of treated grapes when combined with chitosan coating. In contrast with endogenous resveratrol, the application of resveratrol solutions was effective for the prevention of growth of B. cinerea. Use of UV-C combined with chitosan coating followed by incubation for 24. h at 20. \u00b0C before refrigerated storage increased the resveratrol content, maintained sen</w:instrText>
      </w:r>
      <w:r w:rsidR="005C48A0">
        <w:rPr>
          <w:rFonts w:eastAsiaTheme="minorHAnsi" w:cs="Arial"/>
          <w:color w:val="000000"/>
          <w:szCs w:val="18"/>
          <w:lang w:val="pt-BR"/>
        </w:rPr>
        <w:instrText>sory quality, and reduced fungal decay of red table grapes</w:instrText>
      </w:r>
      <w:r w:rsidR="005C48A0" w:rsidRPr="00D61090">
        <w:rPr>
          <w:rFonts w:eastAsiaTheme="minorHAnsi" w:cs="Arial"/>
          <w:color w:val="000000"/>
          <w:szCs w:val="18"/>
          <w:lang w:val="en-US"/>
        </w:rPr>
        <w:instrText xml:space="preserve"> when compared to control grapes.", "author" : [ { "dropping-particle" : "", "family" : "Freitas", "given" : "Paula M.", "non-dropping-particle" : "", "parse-names" : false, "suffix" : "" }, { "dropping-particle" : "", "family" : "L\u00f3pez-G\u00e1lvez", "given" : "Francisco", "non-dropping-particle" : "", "parse-names" : false, "suffix" : "" }, { "dropping-particle" : "", "family" : "Tudela", "given" : "Juan A.", "non-dropping-particle" : "", "parse-names" : false, "suffix" : "" }, { "dropping-particle" : "", "family" : "Gil", "given" : "Maria I.", "non-dropping-particle" : "", "parse-names" : false, "suffix" : "" }, { "dropping-particle" : "", "family" : "Allende", "given" : "Ana", "non-dropping-particle" : "", "parse-names" : false, "suffix" : "" } ], "container-title" : "Postharvest Biology and Technology", "id" : "ITEM-1", "issued" : { "date-parts" : [ [ "2015" ] ] }, "page" : "51-57", "title" : "Postharvest treatment of table grapes with ultraviolet-C and chitosan coating preserves quality and increases stilbene content", "type" : "article-journal", "volume" : "105" }, "uris" : [ "http://www.mendeley.com/documents/?uuid=1b585ad2-190a-43c1-b443-4a89e7aab5df" ] } ], "mendeley" : { "formattedCitation" : "(Freitas et al., 2015)", "plainTextFormattedCitation" : "(Freitas et al., 2015)", "previouslyFormattedCitation" : "(Freitas et al., 2015)" }, "properties" : { "noteIndex" : 2 }, "schema" : "https://github.com/citation-style-language/schema/raw/master/csl-citation.json" }</w:instrText>
      </w:r>
      <w:r w:rsidR="00322DFB">
        <w:rPr>
          <w:rFonts w:eastAsiaTheme="minorHAnsi" w:cs="Arial"/>
          <w:color w:val="000000"/>
          <w:szCs w:val="18"/>
          <w:lang w:val="pt-BR"/>
        </w:rPr>
        <w:fldChar w:fldCharType="separate"/>
      </w:r>
      <w:r w:rsidR="005C48A0" w:rsidRPr="00D61090">
        <w:rPr>
          <w:rFonts w:eastAsiaTheme="minorHAnsi" w:cs="Arial"/>
          <w:noProof/>
          <w:color w:val="000000"/>
          <w:szCs w:val="18"/>
          <w:lang w:val="en-US"/>
        </w:rPr>
        <w:t>(Freitas et al., 2015)</w:t>
      </w:r>
      <w:r w:rsidR="00322DFB">
        <w:rPr>
          <w:rFonts w:eastAsiaTheme="minorHAnsi" w:cs="Arial"/>
          <w:color w:val="000000"/>
          <w:szCs w:val="18"/>
          <w:lang w:val="pt-BR"/>
        </w:rPr>
        <w:fldChar w:fldCharType="end"/>
      </w:r>
      <w:r w:rsidRPr="00D61090">
        <w:rPr>
          <w:rFonts w:eastAsiaTheme="minorHAnsi" w:cs="Arial"/>
          <w:color w:val="000000"/>
          <w:szCs w:val="18"/>
          <w:lang w:val="en-US"/>
        </w:rPr>
        <w:t xml:space="preserve">. </w:t>
      </w:r>
      <w:r w:rsidR="008A23E5" w:rsidRPr="008A23E5">
        <w:rPr>
          <w:rFonts w:eastAsiaTheme="minorHAnsi" w:cs="Arial"/>
          <w:color w:val="000000"/>
          <w:szCs w:val="18"/>
          <w:lang w:val="en-US"/>
        </w:rPr>
        <w:t>This work aimed to evaluate the antifungal activity of primary fermented kombucha, fermented kombucha with Hibiscus sabdariffa L (hibiscus) in secondary fermentation, and hibiscus tea against the fungus B. cinerea and application in the conservation of strawberries, presenting as a novelty the possible use as antifungals in strawberries and other foods.</w:t>
      </w:r>
    </w:p>
    <w:p w14:paraId="40538F8E" w14:textId="77777777" w:rsidR="00C37338" w:rsidRPr="00D61090" w:rsidRDefault="00C37338" w:rsidP="00C37338">
      <w:pPr>
        <w:autoSpaceDE w:val="0"/>
        <w:autoSpaceDN w:val="0"/>
        <w:adjustRightInd w:val="0"/>
        <w:rPr>
          <w:rFonts w:eastAsiaTheme="minorHAnsi" w:cs="Arial"/>
          <w:color w:val="000000"/>
          <w:szCs w:val="18"/>
          <w:lang w:val="en-US"/>
        </w:rPr>
      </w:pPr>
    </w:p>
    <w:p w14:paraId="5DD0E1B9" w14:textId="1859991C" w:rsidR="00C37338" w:rsidRPr="00D61090" w:rsidRDefault="00C37338" w:rsidP="00C37338">
      <w:pPr>
        <w:autoSpaceDE w:val="0"/>
        <w:autoSpaceDN w:val="0"/>
        <w:adjustRightInd w:val="0"/>
        <w:rPr>
          <w:b/>
          <w:bCs/>
          <w:sz w:val="20"/>
          <w:lang w:val="en-US"/>
        </w:rPr>
      </w:pPr>
      <w:r w:rsidRPr="00D61090">
        <w:rPr>
          <w:b/>
          <w:bCs/>
          <w:sz w:val="20"/>
          <w:lang w:val="en-US"/>
        </w:rPr>
        <w:t>2. Materials and Methods</w:t>
      </w:r>
    </w:p>
    <w:p w14:paraId="7E3548AD" w14:textId="0EE40CEF" w:rsidR="00C37338" w:rsidRPr="00D61090" w:rsidRDefault="00C37338" w:rsidP="00154EDB">
      <w:pPr>
        <w:autoSpaceDE w:val="0"/>
        <w:autoSpaceDN w:val="0"/>
        <w:adjustRightInd w:val="0"/>
        <w:spacing w:before="120" w:after="120" w:line="240" w:lineRule="auto"/>
        <w:rPr>
          <w:b/>
          <w:bCs/>
          <w:lang w:val="en-US"/>
        </w:rPr>
      </w:pPr>
      <w:r w:rsidRPr="00D61090">
        <w:rPr>
          <w:b/>
          <w:bCs/>
          <w:lang w:val="en-US"/>
        </w:rPr>
        <w:t>2.1 Production of kombucha and hibiscus tea</w:t>
      </w:r>
    </w:p>
    <w:p w14:paraId="5D321BCB" w14:textId="13B091C9" w:rsidR="00C37338" w:rsidRPr="00D61090" w:rsidRDefault="00C37338" w:rsidP="00C37338">
      <w:pPr>
        <w:autoSpaceDE w:val="0"/>
        <w:autoSpaceDN w:val="0"/>
        <w:adjustRightInd w:val="0"/>
        <w:rPr>
          <w:lang w:val="en-US"/>
        </w:rPr>
      </w:pPr>
      <w:r w:rsidRPr="00D61090">
        <w:rPr>
          <w:lang w:val="en-US"/>
        </w:rPr>
        <w:t>The first fermentation (F1) was prepared by infusing green tea (5</w:t>
      </w:r>
      <w:r w:rsidR="005D7759">
        <w:rPr>
          <w:lang w:val="en-US"/>
        </w:rPr>
        <w:t xml:space="preserve"> </w:t>
      </w:r>
      <w:r w:rsidRPr="00D61090">
        <w:rPr>
          <w:lang w:val="en-US"/>
        </w:rPr>
        <w:t xml:space="preserve">g/L) in chlorine-free filtered water at 93 </w:t>
      </w:r>
      <w:proofErr w:type="spellStart"/>
      <w:r w:rsidRPr="00D61090">
        <w:rPr>
          <w:vertAlign w:val="superscript"/>
          <w:lang w:val="en-US"/>
        </w:rPr>
        <w:t>o</w:t>
      </w:r>
      <w:r w:rsidRPr="00D61090">
        <w:rPr>
          <w:lang w:val="en-US"/>
        </w:rPr>
        <w:t>C.</w:t>
      </w:r>
      <w:proofErr w:type="spellEnd"/>
      <w:r w:rsidRPr="00D61090">
        <w:rPr>
          <w:lang w:val="en-US"/>
        </w:rPr>
        <w:t xml:space="preserve"> After sifting, sugar (50 g/L) and 10</w:t>
      </w:r>
      <w:r w:rsidR="00E2323C">
        <w:rPr>
          <w:lang w:val="en-US"/>
        </w:rPr>
        <w:t xml:space="preserve"> </w:t>
      </w:r>
      <w:r w:rsidRPr="00D61090">
        <w:rPr>
          <w:lang w:val="en-US"/>
        </w:rPr>
        <w:t>% starter (ready kombucha) with SCOBY</w:t>
      </w:r>
      <w:r w:rsidR="00102C0D">
        <w:rPr>
          <w:lang w:val="en-US"/>
        </w:rPr>
        <w:t xml:space="preserve"> (</w:t>
      </w:r>
      <w:r w:rsidR="00102C0D" w:rsidRPr="00D61090">
        <w:rPr>
          <w:rFonts w:eastAsiaTheme="minorHAnsi" w:cs="Arial"/>
          <w:color w:val="000000"/>
          <w:szCs w:val="18"/>
          <w:lang w:val="en-US"/>
        </w:rPr>
        <w:t>Symbiotic Culture of Bacteria and Yeasts)</w:t>
      </w:r>
      <w:r w:rsidRPr="00D61090">
        <w:rPr>
          <w:lang w:val="en-US"/>
        </w:rPr>
        <w:t xml:space="preserve"> were added. The packaging was done in glass containers, covered with a paper towel held by an elastic band</w:t>
      </w:r>
      <w:r w:rsidR="004F5211" w:rsidRPr="00D61090">
        <w:rPr>
          <w:lang w:val="en-US"/>
        </w:rPr>
        <w:t>,</w:t>
      </w:r>
      <w:r w:rsidRPr="00D61090">
        <w:rPr>
          <w:lang w:val="en-US"/>
        </w:rPr>
        <w:t xml:space="preserve"> and left for seven days in a dark and dry place for fermentation. At the end of the period, the second fermentation (F2H) was carried out, where after removing the SCOBY from the fermented product, 2.5</w:t>
      </w:r>
      <w:r w:rsidR="00E2323C">
        <w:rPr>
          <w:lang w:val="en-US"/>
        </w:rPr>
        <w:t xml:space="preserve"> </w:t>
      </w:r>
      <w:r w:rsidRPr="00D61090">
        <w:rPr>
          <w:lang w:val="en-US"/>
        </w:rPr>
        <w:t xml:space="preserve">% of dehydrated flowers of </w:t>
      </w:r>
      <w:r w:rsidRPr="00DE3F20">
        <w:rPr>
          <w:i/>
          <w:iCs/>
          <w:lang w:val="en-US"/>
        </w:rPr>
        <w:t>Hibiscus sabdariffa</w:t>
      </w:r>
      <w:r w:rsidRPr="00D61090">
        <w:rPr>
          <w:lang w:val="en-US"/>
        </w:rPr>
        <w:t xml:space="preserve"> L. (hibiscus) were added and packaged in covered glass bottles. The green tea used (dehydrated leaves of </w:t>
      </w:r>
      <w:r w:rsidRPr="00DE3F20">
        <w:rPr>
          <w:i/>
          <w:iCs/>
          <w:lang w:val="en-US"/>
        </w:rPr>
        <w:t>Camellia sinensis</w:t>
      </w:r>
      <w:r w:rsidRPr="00D61090">
        <w:rPr>
          <w:lang w:val="en-US"/>
        </w:rPr>
        <w:t>), crystal sugar</w:t>
      </w:r>
      <w:r w:rsidR="004F5211" w:rsidRPr="00D61090">
        <w:rPr>
          <w:lang w:val="en-US"/>
        </w:rPr>
        <w:t>,</w:t>
      </w:r>
      <w:r w:rsidRPr="00D61090">
        <w:rPr>
          <w:lang w:val="en-US"/>
        </w:rPr>
        <w:t xml:space="preserve"> and the dried flowers of </w:t>
      </w:r>
      <w:r w:rsidRPr="00DE3F20">
        <w:rPr>
          <w:i/>
          <w:iCs/>
          <w:lang w:val="en-US"/>
        </w:rPr>
        <w:t>Hibiscus sabdariffa</w:t>
      </w:r>
      <w:r w:rsidRPr="00D61090">
        <w:rPr>
          <w:lang w:val="en-US"/>
        </w:rPr>
        <w:t xml:space="preserve"> L. were purchased at the local market. For the tea of dehydrated flowers of </w:t>
      </w:r>
      <w:r w:rsidRPr="00DE3F20">
        <w:rPr>
          <w:i/>
          <w:iCs/>
          <w:lang w:val="en-US"/>
        </w:rPr>
        <w:t>Hibiscus sabdariffa</w:t>
      </w:r>
      <w:r w:rsidRPr="00D61090">
        <w:rPr>
          <w:lang w:val="en-US"/>
        </w:rPr>
        <w:t xml:space="preserve"> L., infusion (2.5</w:t>
      </w:r>
      <w:r w:rsidR="00E2323C">
        <w:rPr>
          <w:lang w:val="en-US"/>
        </w:rPr>
        <w:t xml:space="preserve"> </w:t>
      </w:r>
      <w:r w:rsidRPr="00D61090">
        <w:rPr>
          <w:lang w:val="en-US"/>
        </w:rPr>
        <w:t>%) was performed in filtered water without chlorine heated to 93 ºC.</w:t>
      </w:r>
    </w:p>
    <w:p w14:paraId="666119D4" w14:textId="77777777" w:rsidR="00C37338" w:rsidRPr="00D61090" w:rsidRDefault="00C37338" w:rsidP="00154EDB">
      <w:pPr>
        <w:autoSpaceDE w:val="0"/>
        <w:autoSpaceDN w:val="0"/>
        <w:adjustRightInd w:val="0"/>
        <w:spacing w:before="120" w:after="120" w:line="240" w:lineRule="auto"/>
        <w:rPr>
          <w:b/>
          <w:bCs/>
          <w:lang w:val="en-US"/>
        </w:rPr>
      </w:pPr>
      <w:r w:rsidRPr="00D61090">
        <w:rPr>
          <w:b/>
          <w:bCs/>
          <w:lang w:val="en-US"/>
        </w:rPr>
        <w:t>2.2 Production of culture media with tea and fermented kombucha F1 and F2H (test culture media) and fungus inoculation</w:t>
      </w:r>
    </w:p>
    <w:p w14:paraId="3628C71D" w14:textId="5EEC8924" w:rsidR="00C37338" w:rsidRPr="00D61090" w:rsidRDefault="00C37338" w:rsidP="00C37338">
      <w:pPr>
        <w:autoSpaceDE w:val="0"/>
        <w:autoSpaceDN w:val="0"/>
        <w:adjustRightInd w:val="0"/>
        <w:rPr>
          <w:lang w:val="en-US"/>
        </w:rPr>
      </w:pPr>
      <w:r w:rsidRPr="00D61090">
        <w:rPr>
          <w:lang w:val="en-US"/>
        </w:rPr>
        <w:t xml:space="preserve">The PDA </w:t>
      </w:r>
      <w:r w:rsidR="002530FD">
        <w:rPr>
          <w:lang w:val="en-US"/>
        </w:rPr>
        <w:t xml:space="preserve">(potato dextrose agar) </w:t>
      </w:r>
      <w:r w:rsidRPr="00D61090">
        <w:rPr>
          <w:lang w:val="en-US"/>
        </w:rPr>
        <w:t>culture medium was prepared according to the instructions, partially replacing water with F1, F2H</w:t>
      </w:r>
      <w:r w:rsidR="004F5211" w:rsidRPr="00D61090">
        <w:rPr>
          <w:lang w:val="en-US"/>
        </w:rPr>
        <w:t>,</w:t>
      </w:r>
      <w:r w:rsidRPr="00D61090">
        <w:rPr>
          <w:lang w:val="en-US"/>
        </w:rPr>
        <w:t xml:space="preserve"> and hibiscus tea in 4 concentrations (50</w:t>
      </w:r>
      <w:r w:rsidR="00E2323C">
        <w:rPr>
          <w:lang w:val="en-US"/>
        </w:rPr>
        <w:t xml:space="preserve"> </w:t>
      </w:r>
      <w:r w:rsidRPr="00D61090">
        <w:rPr>
          <w:lang w:val="en-US"/>
        </w:rPr>
        <w:t>%, 25</w:t>
      </w:r>
      <w:r w:rsidR="00E2323C">
        <w:rPr>
          <w:lang w:val="en-US"/>
        </w:rPr>
        <w:t xml:space="preserve"> </w:t>
      </w:r>
      <w:r w:rsidRPr="00D61090">
        <w:rPr>
          <w:lang w:val="en-US"/>
        </w:rPr>
        <w:t>%, 12.5</w:t>
      </w:r>
      <w:r w:rsidR="00E2323C">
        <w:rPr>
          <w:lang w:val="en-US"/>
        </w:rPr>
        <w:t xml:space="preserve"> </w:t>
      </w:r>
      <w:r w:rsidRPr="00D61090">
        <w:rPr>
          <w:lang w:val="en-US"/>
        </w:rPr>
        <w:t>%</w:t>
      </w:r>
      <w:r w:rsidR="004F5211" w:rsidRPr="00D61090">
        <w:rPr>
          <w:lang w:val="en-US"/>
        </w:rPr>
        <w:t>,</w:t>
      </w:r>
      <w:r w:rsidRPr="00D61090">
        <w:rPr>
          <w:lang w:val="en-US"/>
        </w:rPr>
        <w:t xml:space="preserve"> and 6.25</w:t>
      </w:r>
      <w:r w:rsidR="00E2323C">
        <w:rPr>
          <w:lang w:val="en-US"/>
        </w:rPr>
        <w:t xml:space="preserve"> </w:t>
      </w:r>
      <w:r w:rsidRPr="00D61090">
        <w:rPr>
          <w:lang w:val="en-US"/>
        </w:rPr>
        <w:t xml:space="preserve">%) separately. After sterilization in an autoclave, the F1 media were placed in sterile Petri dishes. </w:t>
      </w:r>
      <w:r w:rsidR="004F5211" w:rsidRPr="00D61090">
        <w:rPr>
          <w:lang w:val="en-US"/>
        </w:rPr>
        <w:t xml:space="preserve">Sterilization was performed using a filtering membrane for media containing </w:t>
      </w:r>
      <w:r w:rsidR="004F5211" w:rsidRPr="00DE3F20">
        <w:rPr>
          <w:i/>
          <w:iCs/>
          <w:lang w:val="en-US"/>
        </w:rPr>
        <w:t>Hibiscus sabdariffa</w:t>
      </w:r>
      <w:r w:rsidR="004F5211" w:rsidRPr="00D61090">
        <w:rPr>
          <w:lang w:val="en-US"/>
        </w:rPr>
        <w:t xml:space="preserve"> L. (F2H)</w:t>
      </w:r>
      <w:r w:rsidRPr="00D61090">
        <w:rPr>
          <w:lang w:val="en-US"/>
        </w:rPr>
        <w:t xml:space="preserve">. The fungus was </w:t>
      </w:r>
      <w:r w:rsidRPr="00DE3F20">
        <w:rPr>
          <w:i/>
          <w:iCs/>
          <w:lang w:val="en-US"/>
        </w:rPr>
        <w:t>Botrytis cinerea</w:t>
      </w:r>
      <w:r w:rsidRPr="00D61090">
        <w:rPr>
          <w:lang w:val="en-US"/>
        </w:rPr>
        <w:t xml:space="preserve"> CCT 1251 from the André </w:t>
      </w:r>
      <w:proofErr w:type="spellStart"/>
      <w:r w:rsidRPr="00D61090">
        <w:rPr>
          <w:lang w:val="en-US"/>
        </w:rPr>
        <w:t>Toselo</w:t>
      </w:r>
      <w:proofErr w:type="spellEnd"/>
      <w:r w:rsidRPr="00D61090">
        <w:rPr>
          <w:lang w:val="en-US"/>
        </w:rPr>
        <w:t xml:space="preserve"> collection stored in the UTFPR-CM microbiology laboratory. The PDA culture medium prepared according to the manufacturer's instructions, without additional compounds, was used as a control medium. From a colony of </w:t>
      </w:r>
      <w:r w:rsidRPr="00DE3F20">
        <w:rPr>
          <w:i/>
          <w:iCs/>
          <w:lang w:val="en-US"/>
        </w:rPr>
        <w:t>Botrytis cinerea</w:t>
      </w:r>
      <w:r w:rsidRPr="00D61090">
        <w:rPr>
          <w:lang w:val="en-US"/>
        </w:rPr>
        <w:t xml:space="preserve"> cultivated in PDA for </w:t>
      </w:r>
      <w:r w:rsidR="004F5211" w:rsidRPr="00D61090">
        <w:rPr>
          <w:lang w:val="en-US"/>
        </w:rPr>
        <w:t>seven</w:t>
      </w:r>
      <w:r w:rsidRPr="00D61090">
        <w:rPr>
          <w:lang w:val="en-US"/>
        </w:rPr>
        <w:t xml:space="preserve"> days, a mycelium disc of 5 mm in diameter was inoculated in the center of the Petri dish with the test media to evaluate its mycelial growth. The same procedure was performed in </w:t>
      </w:r>
      <w:r w:rsidR="004F5211" w:rsidRPr="00D61090">
        <w:rPr>
          <w:lang w:val="en-US"/>
        </w:rPr>
        <w:t xml:space="preserve">the </w:t>
      </w:r>
      <w:r w:rsidRPr="00D61090">
        <w:rPr>
          <w:lang w:val="en-US"/>
        </w:rPr>
        <w:t>control PDA medium.</w:t>
      </w:r>
    </w:p>
    <w:p w14:paraId="556B68FE" w14:textId="77777777" w:rsidR="00C37338" w:rsidRPr="00D61090" w:rsidRDefault="00C37338" w:rsidP="00154EDB">
      <w:pPr>
        <w:autoSpaceDE w:val="0"/>
        <w:autoSpaceDN w:val="0"/>
        <w:adjustRightInd w:val="0"/>
        <w:spacing w:before="120" w:after="120" w:line="240" w:lineRule="auto"/>
        <w:rPr>
          <w:b/>
          <w:bCs/>
          <w:lang w:val="en-US"/>
        </w:rPr>
      </w:pPr>
      <w:r w:rsidRPr="00D61090">
        <w:rPr>
          <w:b/>
          <w:bCs/>
          <w:lang w:val="en-US"/>
        </w:rPr>
        <w:t>2.3 Application of tea and fermented kombucha on strawberries</w:t>
      </w:r>
    </w:p>
    <w:p w14:paraId="14A7C0BA" w14:textId="6D2D2000" w:rsidR="00C37338" w:rsidRPr="00D61090" w:rsidRDefault="00C37338" w:rsidP="00C37338">
      <w:pPr>
        <w:autoSpaceDE w:val="0"/>
        <w:autoSpaceDN w:val="0"/>
        <w:adjustRightInd w:val="0"/>
        <w:rPr>
          <w:lang w:val="en-US"/>
        </w:rPr>
      </w:pPr>
      <w:r w:rsidRPr="00D61090">
        <w:rPr>
          <w:lang w:val="en-US"/>
        </w:rPr>
        <w:t>Strawberries with uniform color, maturation</w:t>
      </w:r>
      <w:r w:rsidR="004F5211" w:rsidRPr="00D61090">
        <w:rPr>
          <w:lang w:val="en-US"/>
        </w:rPr>
        <w:t>,</w:t>
      </w:r>
      <w:r w:rsidRPr="00D61090">
        <w:rPr>
          <w:lang w:val="en-US"/>
        </w:rPr>
        <w:t xml:space="preserve"> and size were selected for surface treatment with hibiscus tea, F1</w:t>
      </w:r>
      <w:r w:rsidR="004F5211" w:rsidRPr="00D61090">
        <w:rPr>
          <w:lang w:val="en-US"/>
        </w:rPr>
        <w:t>,</w:t>
      </w:r>
      <w:r w:rsidRPr="00D61090">
        <w:rPr>
          <w:lang w:val="en-US"/>
        </w:rPr>
        <w:t xml:space="preserve"> and F2H by immersion for 30 seconds in each treatment. </w:t>
      </w:r>
      <w:r w:rsidR="004F5211" w:rsidRPr="00D61090">
        <w:rPr>
          <w:lang w:val="en-US"/>
        </w:rPr>
        <w:t>To</w:t>
      </w:r>
      <w:r w:rsidRPr="00D61090">
        <w:rPr>
          <w:lang w:val="en-US"/>
        </w:rPr>
        <w:t xml:space="preserve"> compare the development of spoilage, untreated strawberries were used as a control. After immersion, the strawberries were rested on sterile sieves for 35 minutes at room temperature inside the laminar flow chamber </w:t>
      </w:r>
      <w:r w:rsidR="004F5211" w:rsidRPr="00D61090">
        <w:rPr>
          <w:lang w:val="en-US"/>
        </w:rPr>
        <w:t>to completely dry</w:t>
      </w:r>
      <w:r w:rsidRPr="00D61090">
        <w:rPr>
          <w:lang w:val="en-US"/>
        </w:rPr>
        <w:t xml:space="preserve"> the surface. They were then transferred to </w:t>
      </w:r>
      <w:r w:rsidRPr="00D25CE4">
        <w:rPr>
          <w:lang w:val="en-US"/>
        </w:rPr>
        <w:t xml:space="preserve">polyethylene terephthalate </w:t>
      </w:r>
      <w:r w:rsidRPr="00D61090">
        <w:rPr>
          <w:lang w:val="en-US"/>
        </w:rPr>
        <w:t>plastic boxes with lids and stored at 12</w:t>
      </w:r>
      <w:r w:rsidR="00E2323C">
        <w:rPr>
          <w:lang w:val="en-US"/>
        </w:rPr>
        <w:t xml:space="preserve"> </w:t>
      </w:r>
      <w:r w:rsidRPr="00D61090">
        <w:rPr>
          <w:lang w:val="en-US"/>
        </w:rPr>
        <w:t>°C for seven days.</w:t>
      </w:r>
    </w:p>
    <w:p w14:paraId="02995AFE" w14:textId="77777777" w:rsidR="00C37338" w:rsidRPr="00D61090" w:rsidRDefault="00C37338" w:rsidP="00154EDB">
      <w:pPr>
        <w:autoSpaceDE w:val="0"/>
        <w:autoSpaceDN w:val="0"/>
        <w:adjustRightInd w:val="0"/>
        <w:spacing w:before="120" w:after="120" w:line="240" w:lineRule="auto"/>
        <w:rPr>
          <w:b/>
          <w:bCs/>
          <w:lang w:val="en-US"/>
        </w:rPr>
      </w:pPr>
      <w:r w:rsidRPr="00D61090">
        <w:rPr>
          <w:b/>
          <w:bCs/>
          <w:lang w:val="en-US"/>
        </w:rPr>
        <w:t>2.4 Evaluation of fungal inhibition and deterioration in strawberries</w:t>
      </w:r>
    </w:p>
    <w:p w14:paraId="645FD1C2" w14:textId="40357051" w:rsidR="00174D4E" w:rsidRPr="00D61090" w:rsidRDefault="00C37338" w:rsidP="00C37338">
      <w:pPr>
        <w:autoSpaceDE w:val="0"/>
        <w:autoSpaceDN w:val="0"/>
        <w:adjustRightInd w:val="0"/>
        <w:rPr>
          <w:lang w:val="en-US"/>
        </w:rPr>
      </w:pPr>
      <w:r w:rsidRPr="00D61090">
        <w:rPr>
          <w:lang w:val="en-US"/>
        </w:rPr>
        <w:t>To determine the inhibitory action of F1, F2H</w:t>
      </w:r>
      <w:r w:rsidR="004F5211" w:rsidRPr="00D61090">
        <w:rPr>
          <w:lang w:val="en-US"/>
        </w:rPr>
        <w:t>,</w:t>
      </w:r>
      <w:r w:rsidRPr="00D61090">
        <w:rPr>
          <w:lang w:val="en-US"/>
        </w:rPr>
        <w:t xml:space="preserve"> and hibiscus tea at different concentrations (50</w:t>
      </w:r>
      <w:r w:rsidR="00E2323C">
        <w:rPr>
          <w:lang w:val="en-US"/>
        </w:rPr>
        <w:t xml:space="preserve"> </w:t>
      </w:r>
      <w:r w:rsidRPr="00D61090">
        <w:rPr>
          <w:lang w:val="en-US"/>
        </w:rPr>
        <w:t>%, 25</w:t>
      </w:r>
      <w:r w:rsidR="00E2323C">
        <w:rPr>
          <w:lang w:val="en-US"/>
        </w:rPr>
        <w:t xml:space="preserve"> </w:t>
      </w:r>
      <w:r w:rsidRPr="00D61090">
        <w:rPr>
          <w:lang w:val="en-US"/>
        </w:rPr>
        <w:t>%, 12.5</w:t>
      </w:r>
      <w:r w:rsidR="00E2323C">
        <w:rPr>
          <w:lang w:val="en-US"/>
        </w:rPr>
        <w:t xml:space="preserve"> </w:t>
      </w:r>
      <w:r w:rsidRPr="00D61090">
        <w:rPr>
          <w:lang w:val="en-US"/>
        </w:rPr>
        <w:t>%</w:t>
      </w:r>
      <w:r w:rsidR="004F5211" w:rsidRPr="00D61090">
        <w:rPr>
          <w:lang w:val="en-US"/>
        </w:rPr>
        <w:t>,</w:t>
      </w:r>
      <w:r w:rsidRPr="00D61090">
        <w:rPr>
          <w:lang w:val="en-US"/>
        </w:rPr>
        <w:t xml:space="preserve"> and 6.25</w:t>
      </w:r>
      <w:r w:rsidR="00E2323C">
        <w:rPr>
          <w:lang w:val="en-US"/>
        </w:rPr>
        <w:t xml:space="preserve"> </w:t>
      </w:r>
      <w:r w:rsidRPr="00D61090">
        <w:rPr>
          <w:lang w:val="en-US"/>
        </w:rPr>
        <w:t xml:space="preserve">%) on </w:t>
      </w:r>
      <w:r w:rsidRPr="00DE3F20">
        <w:rPr>
          <w:i/>
          <w:iCs/>
          <w:lang w:val="en-US"/>
        </w:rPr>
        <w:t>B. cinerea</w:t>
      </w:r>
      <w:r w:rsidRPr="00D61090">
        <w:rPr>
          <w:lang w:val="en-US"/>
        </w:rPr>
        <w:t xml:space="preserve">, the mycelial diameter of the fungus developed in the respective media was measured and compared to the control. To express the percentage of mycelial growth inhibition, the following equation </w:t>
      </w:r>
      <w:r w:rsidR="00174D4E" w:rsidRPr="00D61090">
        <w:rPr>
          <w:lang w:val="en-US"/>
        </w:rPr>
        <w:t>(1)</w:t>
      </w:r>
    </w:p>
    <w:p w14:paraId="3069FDDF" w14:textId="6D8AADF3" w:rsidR="00186C29" w:rsidRPr="00D61090" w:rsidRDefault="00C37338" w:rsidP="00C37338">
      <w:pPr>
        <w:autoSpaceDE w:val="0"/>
        <w:autoSpaceDN w:val="0"/>
        <w:adjustRightInd w:val="0"/>
        <w:rPr>
          <w:lang w:val="en-US"/>
        </w:rPr>
      </w:pPr>
      <w:r w:rsidRPr="00D61090">
        <w:rPr>
          <w:lang w:val="en-US"/>
        </w:rPr>
        <w:t>was used:</w:t>
      </w:r>
    </w:p>
    <w:p w14:paraId="7C403E02" w14:textId="4797C0F2" w:rsidR="009E3D4A" w:rsidRPr="00D61090" w:rsidRDefault="009E3D4A" w:rsidP="00C37338">
      <w:pPr>
        <w:autoSpaceDE w:val="0"/>
        <w:autoSpaceDN w:val="0"/>
        <w:adjustRightInd w:val="0"/>
        <w:rPr>
          <w:lang w:val="en-US"/>
        </w:rPr>
      </w:pPr>
    </w:p>
    <w:p w14:paraId="23D1E53F" w14:textId="3DA09A5F" w:rsidR="009E3D4A" w:rsidRPr="00D61090" w:rsidRDefault="009E3D4A" w:rsidP="00C37338">
      <w:pPr>
        <w:autoSpaceDE w:val="0"/>
        <w:autoSpaceDN w:val="0"/>
        <w:adjustRightInd w:val="0"/>
        <w:rPr>
          <w:lang w:val="en-US"/>
        </w:rPr>
      </w:pPr>
      <m:oMath>
        <m:r>
          <w:rPr>
            <w:rFonts w:ascii="Cambria Math" w:hAnsi="Cambria Math"/>
            <w:lang w:val="pt-BR"/>
          </w:rPr>
          <m:t>In</m:t>
        </m:r>
        <m:r>
          <w:rPr>
            <w:rFonts w:ascii="Cambria Math" w:hAnsi="Cambria Math"/>
            <w:lang w:val="en-US"/>
          </w:rPr>
          <m:t>h</m:t>
        </m:r>
        <m:r>
          <w:rPr>
            <w:rFonts w:ascii="Cambria Math" w:hAnsi="Cambria Math"/>
            <w:lang w:val="pt-BR"/>
          </w:rPr>
          <m:t>ibition</m:t>
        </m:r>
        <m:r>
          <w:rPr>
            <w:rFonts w:ascii="Cambria Math" w:hAnsi="Cambria Math"/>
            <w:lang w:val="en-US"/>
          </w:rPr>
          <m:t xml:space="preserve"> </m:t>
        </m:r>
        <m:r>
          <w:rPr>
            <w:rFonts w:ascii="Cambria Math" w:hAnsi="Cambria Math"/>
            <w:lang w:val="pt-BR"/>
          </w:rPr>
          <m:t>percentage</m:t>
        </m:r>
        <m:r>
          <w:rPr>
            <w:rFonts w:ascii="Cambria Math" w:hAnsi="Cambria Math"/>
            <w:lang w:val="en-US"/>
          </w:rPr>
          <m:t xml:space="preserve"> (%)=100-</m:t>
        </m:r>
        <m:d>
          <m:dPr>
            <m:ctrlPr>
              <w:rPr>
                <w:rFonts w:ascii="Cambria Math" w:hAnsi="Cambria Math"/>
                <w:i/>
                <w:lang w:val="pt-BR"/>
              </w:rPr>
            </m:ctrlPr>
          </m:dPr>
          <m:e>
            <m:r>
              <w:rPr>
                <w:rFonts w:ascii="Cambria Math" w:hAnsi="Cambria Math"/>
                <w:lang w:val="en-US"/>
              </w:rPr>
              <m:t>100*</m:t>
            </m:r>
            <m:f>
              <m:fPr>
                <m:ctrlPr>
                  <w:rPr>
                    <w:rFonts w:ascii="Cambria Math" w:hAnsi="Cambria Math"/>
                    <w:i/>
                    <w:lang w:val="pt-BR"/>
                  </w:rPr>
                </m:ctrlPr>
              </m:fPr>
              <m:num>
                <m:r>
                  <w:rPr>
                    <w:rFonts w:ascii="Cambria Math" w:hAnsi="Cambria Math"/>
                    <w:lang w:val="pt-BR"/>
                  </w:rPr>
                  <m:t>mycellial</m:t>
                </m:r>
                <m:r>
                  <w:rPr>
                    <w:rFonts w:ascii="Cambria Math" w:hAnsi="Cambria Math"/>
                    <w:lang w:val="en-US"/>
                  </w:rPr>
                  <m:t xml:space="preserve"> </m:t>
                </m:r>
                <m:r>
                  <w:rPr>
                    <w:rFonts w:ascii="Cambria Math" w:hAnsi="Cambria Math"/>
                    <w:lang w:val="pt-BR"/>
                  </w:rPr>
                  <m:t>growt</m:t>
                </m:r>
                <m:r>
                  <w:rPr>
                    <w:rFonts w:ascii="Cambria Math" w:hAnsi="Cambria Math"/>
                    <w:lang w:val="en-US"/>
                  </w:rPr>
                  <m:t xml:space="preserve">h </m:t>
                </m:r>
                <m:r>
                  <w:rPr>
                    <w:rFonts w:ascii="Cambria Math" w:hAnsi="Cambria Math"/>
                    <w:lang w:val="pt-BR"/>
                  </w:rPr>
                  <m:t>diameter</m:t>
                </m:r>
              </m:num>
              <m:den>
                <m:r>
                  <w:rPr>
                    <w:rFonts w:ascii="Cambria Math" w:hAnsi="Cambria Math"/>
                    <w:lang w:val="pt-BR"/>
                  </w:rPr>
                  <m:t>control</m:t>
                </m:r>
                <m:r>
                  <w:rPr>
                    <w:rFonts w:ascii="Cambria Math" w:hAnsi="Cambria Math"/>
                    <w:lang w:val="en-US"/>
                  </w:rPr>
                  <m:t xml:space="preserve"> </m:t>
                </m:r>
                <m:r>
                  <w:rPr>
                    <w:rFonts w:ascii="Cambria Math" w:hAnsi="Cambria Math"/>
                    <w:lang w:val="pt-BR"/>
                  </w:rPr>
                  <m:t>diameter</m:t>
                </m:r>
              </m:den>
            </m:f>
          </m:e>
        </m:d>
      </m:oMath>
      <w:r w:rsidRPr="00D61090">
        <w:rPr>
          <w:lang w:val="en-US"/>
        </w:rPr>
        <w:t xml:space="preserve">                                                                   (1)</w:t>
      </w:r>
    </w:p>
    <w:p w14:paraId="0591D2FB" w14:textId="43747D3C" w:rsidR="00A60B49" w:rsidRPr="00D61090" w:rsidRDefault="00A60B49" w:rsidP="00186C29">
      <w:pPr>
        <w:autoSpaceDE w:val="0"/>
        <w:autoSpaceDN w:val="0"/>
        <w:adjustRightInd w:val="0"/>
        <w:rPr>
          <w:rFonts w:eastAsiaTheme="minorHAnsi" w:cs="Arial"/>
          <w:color w:val="000000"/>
          <w:szCs w:val="18"/>
          <w:lang w:val="en-US"/>
        </w:rPr>
      </w:pPr>
    </w:p>
    <w:p w14:paraId="5EA1DB0A" w14:textId="22A83486" w:rsidR="00186C29" w:rsidRPr="00D61090" w:rsidRDefault="00C37338" w:rsidP="00186C29">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The strawberries were visually evaluated for the appearance of fungal deterioration at three-day intervals for six days to verify the action of the treatments in the process, comparing them to the control (untreated) strawberries.</w:t>
      </w:r>
    </w:p>
    <w:p w14:paraId="29F3AE41" w14:textId="0470C896" w:rsidR="00A32782" w:rsidRPr="00D61090" w:rsidRDefault="00A32782" w:rsidP="00186C29">
      <w:pPr>
        <w:autoSpaceDE w:val="0"/>
        <w:autoSpaceDN w:val="0"/>
        <w:adjustRightInd w:val="0"/>
        <w:rPr>
          <w:rFonts w:eastAsiaTheme="minorHAnsi" w:cs="Arial"/>
          <w:color w:val="000000"/>
          <w:szCs w:val="18"/>
          <w:lang w:val="en-US"/>
        </w:rPr>
      </w:pPr>
    </w:p>
    <w:p w14:paraId="75CBD537" w14:textId="77777777" w:rsidR="00A32782" w:rsidRPr="00D61090" w:rsidRDefault="00A32782" w:rsidP="00186C29">
      <w:pPr>
        <w:autoSpaceDE w:val="0"/>
        <w:autoSpaceDN w:val="0"/>
        <w:adjustRightInd w:val="0"/>
        <w:rPr>
          <w:rFonts w:eastAsiaTheme="minorHAnsi" w:cs="Arial"/>
          <w:color w:val="000000"/>
          <w:szCs w:val="18"/>
          <w:lang w:val="en-US"/>
        </w:rPr>
      </w:pPr>
    </w:p>
    <w:p w14:paraId="5DBADFDF" w14:textId="77777777" w:rsidR="00C37338" w:rsidRPr="00D61090" w:rsidRDefault="00C37338" w:rsidP="00186C29">
      <w:pPr>
        <w:autoSpaceDE w:val="0"/>
        <w:autoSpaceDN w:val="0"/>
        <w:adjustRightInd w:val="0"/>
        <w:rPr>
          <w:rFonts w:eastAsiaTheme="minorHAnsi" w:cs="Arial"/>
          <w:color w:val="000000"/>
          <w:szCs w:val="18"/>
          <w:lang w:val="en-US"/>
        </w:rPr>
      </w:pPr>
    </w:p>
    <w:p w14:paraId="20040B34" w14:textId="77777777" w:rsidR="00822B03" w:rsidRPr="009C40C0" w:rsidRDefault="00822B03" w:rsidP="00154EDB">
      <w:pPr>
        <w:autoSpaceDE w:val="0"/>
        <w:autoSpaceDN w:val="0"/>
        <w:adjustRightInd w:val="0"/>
        <w:spacing w:before="120" w:after="120" w:line="240" w:lineRule="auto"/>
        <w:rPr>
          <w:rFonts w:eastAsiaTheme="minorHAnsi" w:cs="Arial"/>
          <w:b/>
          <w:bCs/>
          <w:color w:val="000000"/>
          <w:sz w:val="20"/>
          <w:lang w:val="en-US"/>
        </w:rPr>
      </w:pPr>
      <w:r w:rsidRPr="009C40C0">
        <w:rPr>
          <w:rFonts w:eastAsiaTheme="minorHAnsi" w:cs="Arial"/>
          <w:b/>
          <w:bCs/>
          <w:color w:val="000000"/>
          <w:sz w:val="20"/>
          <w:lang w:val="en-US"/>
        </w:rPr>
        <w:t>3. Results and discussion</w:t>
      </w:r>
    </w:p>
    <w:p w14:paraId="20EB5843" w14:textId="3A044F9C" w:rsidR="00186C29" w:rsidRPr="00D61090" w:rsidRDefault="00822B03" w:rsidP="00822B03">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lastRenderedPageBreak/>
        <w:t>After seven days of incubation of the fungus in PDA control and PDA test medium (F1, F2H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Hibiscus Tea), the mycelial diameter of the fungi developed in each treatment was measured and compared to the mycelial diameter of the control. The results of mycelial inhibition of </w:t>
      </w:r>
      <w:r w:rsidRPr="00DE3F20">
        <w:rPr>
          <w:rFonts w:eastAsiaTheme="minorHAnsi" w:cs="Arial"/>
          <w:i/>
          <w:iCs/>
          <w:color w:val="000000"/>
          <w:szCs w:val="18"/>
          <w:lang w:val="en-US"/>
        </w:rPr>
        <w:t>Botrytis cinerea</w:t>
      </w:r>
      <w:r w:rsidRPr="00D61090">
        <w:rPr>
          <w:rFonts w:eastAsiaTheme="minorHAnsi" w:cs="Arial"/>
          <w:color w:val="000000"/>
          <w:szCs w:val="18"/>
          <w:lang w:val="en-US"/>
        </w:rPr>
        <w:t xml:space="preserve"> in </w:t>
      </w:r>
      <w:r w:rsidR="004F5211" w:rsidRPr="00D61090">
        <w:rPr>
          <w:rFonts w:eastAsiaTheme="minorHAnsi" w:cs="Arial"/>
          <w:color w:val="000000"/>
          <w:szCs w:val="18"/>
          <w:lang w:val="en-US"/>
        </w:rPr>
        <w:t xml:space="preserve">a </w:t>
      </w:r>
      <w:r w:rsidRPr="00D61090">
        <w:rPr>
          <w:rFonts w:eastAsiaTheme="minorHAnsi" w:cs="Arial"/>
          <w:color w:val="000000"/>
          <w:szCs w:val="18"/>
          <w:lang w:val="en-US"/>
        </w:rPr>
        <w:t>PDA medium with F1, F2H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hibiscus tea are shown in Table 1.</w:t>
      </w:r>
    </w:p>
    <w:p w14:paraId="1C20AC20" w14:textId="77777777" w:rsidR="00822B03" w:rsidRPr="00D61090" w:rsidRDefault="00822B03" w:rsidP="00822B03">
      <w:pPr>
        <w:autoSpaceDE w:val="0"/>
        <w:autoSpaceDN w:val="0"/>
        <w:adjustRightInd w:val="0"/>
        <w:rPr>
          <w:rFonts w:eastAsiaTheme="minorHAnsi" w:cs="Arial"/>
          <w:color w:val="000000"/>
          <w:szCs w:val="18"/>
          <w:lang w:val="en-US"/>
        </w:rPr>
      </w:pPr>
    </w:p>
    <w:p w14:paraId="7BA78123" w14:textId="73245ABD" w:rsidR="00B316A1" w:rsidRPr="00D61090" w:rsidRDefault="00822B03" w:rsidP="00186C29">
      <w:pPr>
        <w:autoSpaceDE w:val="0"/>
        <w:autoSpaceDN w:val="0"/>
        <w:adjustRightInd w:val="0"/>
        <w:rPr>
          <w:rFonts w:eastAsiaTheme="minorHAnsi" w:cs="Arial"/>
          <w:i/>
          <w:iCs/>
          <w:color w:val="000000"/>
          <w:szCs w:val="18"/>
          <w:lang w:val="en-US"/>
        </w:rPr>
      </w:pPr>
      <w:r w:rsidRPr="00D61090">
        <w:rPr>
          <w:rFonts w:eastAsiaTheme="minorHAnsi" w:cs="Arial"/>
          <w:i/>
          <w:iCs/>
          <w:color w:val="000000"/>
          <w:szCs w:val="18"/>
          <w:lang w:val="en-US"/>
        </w:rPr>
        <w:t>Table 1: Diameter of mycelial growth and percentage of inhibition in hibiscus tea and kombucha ferments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67"/>
        <w:gridCol w:w="567"/>
        <w:gridCol w:w="567"/>
        <w:gridCol w:w="567"/>
        <w:gridCol w:w="567"/>
        <w:gridCol w:w="567"/>
        <w:gridCol w:w="567"/>
        <w:gridCol w:w="567"/>
        <w:gridCol w:w="567"/>
        <w:gridCol w:w="567"/>
        <w:gridCol w:w="567"/>
      </w:tblGrid>
      <w:tr w:rsidR="00605574" w:rsidRPr="00B57B36" w14:paraId="0807D5F8" w14:textId="77777777" w:rsidTr="00174CD4">
        <w:tc>
          <w:tcPr>
            <w:tcW w:w="6237" w:type="dxa"/>
            <w:gridSpan w:val="11"/>
            <w:tcBorders>
              <w:top w:val="single" w:sz="12" w:space="0" w:color="008000"/>
              <w:bottom w:val="single" w:sz="6" w:space="0" w:color="008000"/>
            </w:tcBorders>
            <w:shd w:val="clear" w:color="auto" w:fill="FFFFFF"/>
          </w:tcPr>
          <w:p w14:paraId="19EBD99B" w14:textId="319D2672" w:rsidR="00605574" w:rsidRDefault="00605574" w:rsidP="00A615E6">
            <w:pPr>
              <w:pStyle w:val="CETBodytext"/>
              <w:ind w:right="-1"/>
              <w:jc w:val="center"/>
              <w:rPr>
                <w:rFonts w:cs="Arial"/>
                <w:szCs w:val="18"/>
                <w:lang w:val="en-GB"/>
              </w:rPr>
            </w:pPr>
            <w:r w:rsidRPr="00D61090">
              <w:rPr>
                <w:rFonts w:eastAsiaTheme="minorHAnsi" w:cs="Arial"/>
                <w:color w:val="000000"/>
                <w:szCs w:val="18"/>
              </w:rPr>
              <w:t>Diameter (cm)* and Percentage of inhibition**(%)</w:t>
            </w:r>
          </w:p>
        </w:tc>
      </w:tr>
      <w:tr w:rsidR="00605574" w:rsidRPr="00B57B36" w14:paraId="0F3DE3A2" w14:textId="77777777" w:rsidTr="004519C4">
        <w:tc>
          <w:tcPr>
            <w:tcW w:w="567" w:type="dxa"/>
            <w:tcBorders>
              <w:top w:val="single" w:sz="12" w:space="0" w:color="008000"/>
              <w:bottom w:val="single" w:sz="6" w:space="0" w:color="008000"/>
            </w:tcBorders>
            <w:shd w:val="clear" w:color="auto" w:fill="FFFFFF"/>
          </w:tcPr>
          <w:p w14:paraId="57DA28FD" w14:textId="77777777" w:rsidR="00605574" w:rsidRDefault="00605574" w:rsidP="00A615E6">
            <w:pPr>
              <w:pStyle w:val="CETBodytext"/>
              <w:jc w:val="center"/>
              <w:rPr>
                <w:lang w:val="en-GB"/>
              </w:rPr>
            </w:pPr>
          </w:p>
        </w:tc>
        <w:tc>
          <w:tcPr>
            <w:tcW w:w="1134" w:type="dxa"/>
            <w:gridSpan w:val="2"/>
            <w:tcBorders>
              <w:top w:val="single" w:sz="12" w:space="0" w:color="008000"/>
              <w:bottom w:val="single" w:sz="6" w:space="0" w:color="008000"/>
            </w:tcBorders>
            <w:shd w:val="clear" w:color="auto" w:fill="FFFFFF"/>
          </w:tcPr>
          <w:p w14:paraId="0D467916" w14:textId="1BF2BEF4" w:rsidR="00605574" w:rsidRPr="00B57B36" w:rsidRDefault="00605574" w:rsidP="00A615E6">
            <w:pPr>
              <w:pStyle w:val="CETBodytext"/>
              <w:jc w:val="center"/>
              <w:rPr>
                <w:lang w:val="en-GB"/>
              </w:rPr>
            </w:pPr>
            <w:r>
              <w:rPr>
                <w:lang w:val="en-GB"/>
              </w:rPr>
              <w:t>50</w:t>
            </w:r>
            <w:r w:rsidR="008E21D5">
              <w:rPr>
                <w:lang w:val="en-GB"/>
              </w:rPr>
              <w:t xml:space="preserve"> </w:t>
            </w:r>
            <w:r>
              <w:rPr>
                <w:lang w:val="en-GB"/>
              </w:rPr>
              <w:t>%</w:t>
            </w:r>
          </w:p>
        </w:tc>
        <w:tc>
          <w:tcPr>
            <w:tcW w:w="1134" w:type="dxa"/>
            <w:gridSpan w:val="2"/>
            <w:tcBorders>
              <w:top w:val="single" w:sz="12" w:space="0" w:color="008000"/>
              <w:bottom w:val="single" w:sz="6" w:space="0" w:color="008000"/>
            </w:tcBorders>
            <w:shd w:val="clear" w:color="auto" w:fill="FFFFFF"/>
          </w:tcPr>
          <w:p w14:paraId="639FF67D" w14:textId="4A945B0D" w:rsidR="00605574" w:rsidRPr="00B57B36" w:rsidRDefault="00605574" w:rsidP="00A615E6">
            <w:pPr>
              <w:pStyle w:val="CETBodytext"/>
              <w:jc w:val="center"/>
              <w:rPr>
                <w:lang w:val="en-GB"/>
              </w:rPr>
            </w:pPr>
            <w:r>
              <w:rPr>
                <w:lang w:val="en-GB"/>
              </w:rPr>
              <w:t>25</w:t>
            </w:r>
            <w:r w:rsidR="008E21D5">
              <w:rPr>
                <w:lang w:val="en-GB"/>
              </w:rPr>
              <w:t xml:space="preserve"> </w:t>
            </w:r>
            <w:r>
              <w:rPr>
                <w:lang w:val="en-GB"/>
              </w:rPr>
              <w:t>%</w:t>
            </w:r>
          </w:p>
        </w:tc>
        <w:tc>
          <w:tcPr>
            <w:tcW w:w="1134" w:type="dxa"/>
            <w:gridSpan w:val="2"/>
            <w:tcBorders>
              <w:top w:val="single" w:sz="12" w:space="0" w:color="008000"/>
              <w:bottom w:val="single" w:sz="6" w:space="0" w:color="008000"/>
            </w:tcBorders>
            <w:shd w:val="clear" w:color="auto" w:fill="FFFFFF"/>
          </w:tcPr>
          <w:p w14:paraId="0AC00DC7" w14:textId="3875D558" w:rsidR="00605574" w:rsidRPr="00B57B36" w:rsidRDefault="00605574" w:rsidP="00A615E6">
            <w:pPr>
              <w:pStyle w:val="CETBodytext"/>
              <w:jc w:val="center"/>
              <w:rPr>
                <w:lang w:val="en-GB"/>
              </w:rPr>
            </w:pPr>
            <w:r>
              <w:rPr>
                <w:lang w:val="en-GB"/>
              </w:rPr>
              <w:t>12.50</w:t>
            </w:r>
            <w:r w:rsidR="008E21D5">
              <w:rPr>
                <w:lang w:val="en-GB"/>
              </w:rPr>
              <w:t xml:space="preserve"> </w:t>
            </w:r>
            <w:r>
              <w:rPr>
                <w:lang w:val="en-GB"/>
              </w:rPr>
              <w:t>%</w:t>
            </w:r>
          </w:p>
        </w:tc>
        <w:tc>
          <w:tcPr>
            <w:tcW w:w="1134" w:type="dxa"/>
            <w:gridSpan w:val="2"/>
            <w:tcBorders>
              <w:top w:val="single" w:sz="12" w:space="0" w:color="008000"/>
              <w:bottom w:val="single" w:sz="6" w:space="0" w:color="008000"/>
            </w:tcBorders>
            <w:shd w:val="clear" w:color="auto" w:fill="FFFFFF"/>
          </w:tcPr>
          <w:p w14:paraId="04DD4225" w14:textId="1B865FB9" w:rsidR="00605574" w:rsidRPr="00B57B36" w:rsidRDefault="00605574" w:rsidP="00A615E6">
            <w:pPr>
              <w:pStyle w:val="CETBodytext"/>
              <w:ind w:right="-1"/>
              <w:jc w:val="center"/>
              <w:rPr>
                <w:rFonts w:cs="Arial"/>
                <w:szCs w:val="18"/>
                <w:lang w:val="en-GB"/>
              </w:rPr>
            </w:pPr>
            <w:r>
              <w:rPr>
                <w:rFonts w:cs="Arial"/>
                <w:szCs w:val="18"/>
                <w:lang w:val="en-GB"/>
              </w:rPr>
              <w:t>6.25</w:t>
            </w:r>
            <w:r w:rsidR="008E21D5">
              <w:rPr>
                <w:rFonts w:cs="Arial"/>
                <w:szCs w:val="18"/>
                <w:lang w:val="en-GB"/>
              </w:rPr>
              <w:t xml:space="preserve"> </w:t>
            </w:r>
            <w:r>
              <w:rPr>
                <w:rFonts w:cs="Arial"/>
                <w:szCs w:val="18"/>
                <w:lang w:val="en-GB"/>
              </w:rPr>
              <w:t>%</w:t>
            </w:r>
          </w:p>
        </w:tc>
        <w:tc>
          <w:tcPr>
            <w:tcW w:w="1134" w:type="dxa"/>
            <w:gridSpan w:val="2"/>
            <w:tcBorders>
              <w:top w:val="single" w:sz="12" w:space="0" w:color="008000"/>
              <w:bottom w:val="single" w:sz="6" w:space="0" w:color="008000"/>
            </w:tcBorders>
            <w:shd w:val="clear" w:color="auto" w:fill="FFFFFF"/>
          </w:tcPr>
          <w:p w14:paraId="373F376B" w14:textId="49C0394B" w:rsidR="00605574" w:rsidRPr="00B57B36" w:rsidRDefault="00605574" w:rsidP="00A615E6">
            <w:pPr>
              <w:pStyle w:val="CETBodytext"/>
              <w:ind w:right="-1"/>
              <w:jc w:val="center"/>
              <w:rPr>
                <w:rFonts w:cs="Arial"/>
                <w:szCs w:val="18"/>
                <w:lang w:val="en-GB"/>
              </w:rPr>
            </w:pPr>
            <w:r>
              <w:rPr>
                <w:rFonts w:cs="Arial"/>
                <w:szCs w:val="18"/>
                <w:lang w:val="en-GB"/>
              </w:rPr>
              <w:t>Control</w:t>
            </w:r>
          </w:p>
        </w:tc>
      </w:tr>
      <w:tr w:rsidR="00605574" w:rsidRPr="00B57B36" w14:paraId="72F5CE5A" w14:textId="77777777" w:rsidTr="004519C4">
        <w:tc>
          <w:tcPr>
            <w:tcW w:w="567" w:type="dxa"/>
            <w:tcBorders>
              <w:top w:val="single" w:sz="12" w:space="0" w:color="008000"/>
              <w:bottom w:val="single" w:sz="6" w:space="0" w:color="008000"/>
            </w:tcBorders>
            <w:shd w:val="clear" w:color="auto" w:fill="FFFFFF"/>
          </w:tcPr>
          <w:p w14:paraId="66808061" w14:textId="77777777" w:rsidR="00605574" w:rsidRDefault="00605574" w:rsidP="00A615E6">
            <w:pPr>
              <w:pStyle w:val="CETBodytext"/>
              <w:jc w:val="center"/>
              <w:rPr>
                <w:lang w:val="en-GB"/>
              </w:rPr>
            </w:pPr>
          </w:p>
        </w:tc>
        <w:tc>
          <w:tcPr>
            <w:tcW w:w="567" w:type="dxa"/>
            <w:tcBorders>
              <w:top w:val="single" w:sz="12" w:space="0" w:color="008000"/>
              <w:bottom w:val="single" w:sz="6" w:space="0" w:color="008000"/>
            </w:tcBorders>
            <w:shd w:val="clear" w:color="auto" w:fill="FFFFFF"/>
          </w:tcPr>
          <w:p w14:paraId="54ED6808" w14:textId="676345FA" w:rsidR="00605574" w:rsidRDefault="00605574" w:rsidP="00A615E6">
            <w:pPr>
              <w:pStyle w:val="CETBodytext"/>
              <w:jc w:val="center"/>
              <w:rPr>
                <w:lang w:val="en-GB"/>
              </w:rPr>
            </w:pPr>
            <w:r>
              <w:rPr>
                <w:lang w:val="en-GB"/>
              </w:rPr>
              <w:t>cm</w:t>
            </w:r>
          </w:p>
        </w:tc>
        <w:tc>
          <w:tcPr>
            <w:tcW w:w="567" w:type="dxa"/>
            <w:tcBorders>
              <w:top w:val="single" w:sz="12" w:space="0" w:color="008000"/>
              <w:bottom w:val="single" w:sz="6" w:space="0" w:color="008000"/>
            </w:tcBorders>
            <w:shd w:val="clear" w:color="auto" w:fill="FFFFFF"/>
          </w:tcPr>
          <w:p w14:paraId="48734C14" w14:textId="196D1BCD" w:rsidR="00605574" w:rsidRDefault="00605574" w:rsidP="00A615E6">
            <w:pPr>
              <w:pStyle w:val="CETBodytext"/>
              <w:jc w:val="center"/>
              <w:rPr>
                <w:lang w:val="en-GB"/>
              </w:rPr>
            </w:pPr>
            <w:r>
              <w:rPr>
                <w:lang w:val="en-GB"/>
              </w:rPr>
              <w:t>%</w:t>
            </w:r>
          </w:p>
        </w:tc>
        <w:tc>
          <w:tcPr>
            <w:tcW w:w="567" w:type="dxa"/>
            <w:tcBorders>
              <w:top w:val="single" w:sz="12" w:space="0" w:color="008000"/>
              <w:bottom w:val="single" w:sz="6" w:space="0" w:color="008000"/>
            </w:tcBorders>
            <w:shd w:val="clear" w:color="auto" w:fill="FFFFFF"/>
          </w:tcPr>
          <w:p w14:paraId="04B9FD8E" w14:textId="0DD07A7D" w:rsidR="00605574" w:rsidRDefault="00605574" w:rsidP="00A615E6">
            <w:pPr>
              <w:pStyle w:val="CETBodytext"/>
              <w:jc w:val="center"/>
              <w:rPr>
                <w:lang w:val="en-GB"/>
              </w:rPr>
            </w:pPr>
            <w:r>
              <w:rPr>
                <w:lang w:val="en-GB"/>
              </w:rPr>
              <w:t>cm</w:t>
            </w:r>
          </w:p>
        </w:tc>
        <w:tc>
          <w:tcPr>
            <w:tcW w:w="567" w:type="dxa"/>
            <w:tcBorders>
              <w:top w:val="single" w:sz="12" w:space="0" w:color="008000"/>
              <w:bottom w:val="single" w:sz="6" w:space="0" w:color="008000"/>
            </w:tcBorders>
            <w:shd w:val="clear" w:color="auto" w:fill="FFFFFF"/>
          </w:tcPr>
          <w:p w14:paraId="0A3A843E" w14:textId="23B7346F" w:rsidR="00605574" w:rsidRDefault="00605574" w:rsidP="00A615E6">
            <w:pPr>
              <w:pStyle w:val="CETBodytext"/>
              <w:jc w:val="center"/>
              <w:rPr>
                <w:lang w:val="en-GB"/>
              </w:rPr>
            </w:pPr>
            <w:r>
              <w:rPr>
                <w:lang w:val="en-GB"/>
              </w:rPr>
              <w:t>%</w:t>
            </w:r>
          </w:p>
        </w:tc>
        <w:tc>
          <w:tcPr>
            <w:tcW w:w="567" w:type="dxa"/>
            <w:tcBorders>
              <w:top w:val="single" w:sz="12" w:space="0" w:color="008000"/>
              <w:bottom w:val="single" w:sz="6" w:space="0" w:color="008000"/>
            </w:tcBorders>
            <w:shd w:val="clear" w:color="auto" w:fill="FFFFFF"/>
          </w:tcPr>
          <w:p w14:paraId="36C17851" w14:textId="1A88E097" w:rsidR="00605574" w:rsidRDefault="00605574" w:rsidP="00A615E6">
            <w:pPr>
              <w:pStyle w:val="CETBodytext"/>
              <w:jc w:val="center"/>
              <w:rPr>
                <w:lang w:val="en-GB"/>
              </w:rPr>
            </w:pPr>
            <w:r>
              <w:rPr>
                <w:lang w:val="en-GB"/>
              </w:rPr>
              <w:t>cm</w:t>
            </w:r>
          </w:p>
        </w:tc>
        <w:tc>
          <w:tcPr>
            <w:tcW w:w="567" w:type="dxa"/>
            <w:tcBorders>
              <w:top w:val="single" w:sz="12" w:space="0" w:color="008000"/>
              <w:bottom w:val="single" w:sz="6" w:space="0" w:color="008000"/>
            </w:tcBorders>
            <w:shd w:val="clear" w:color="auto" w:fill="FFFFFF"/>
          </w:tcPr>
          <w:p w14:paraId="01F0045C" w14:textId="445117BA" w:rsidR="00605574" w:rsidRDefault="00605574" w:rsidP="00A615E6">
            <w:pPr>
              <w:pStyle w:val="CETBodytext"/>
              <w:jc w:val="center"/>
              <w:rPr>
                <w:lang w:val="en-GB"/>
              </w:rPr>
            </w:pPr>
            <w:r>
              <w:rPr>
                <w:lang w:val="en-GB"/>
              </w:rPr>
              <w:t>%</w:t>
            </w:r>
          </w:p>
        </w:tc>
        <w:tc>
          <w:tcPr>
            <w:tcW w:w="567" w:type="dxa"/>
            <w:tcBorders>
              <w:top w:val="single" w:sz="12" w:space="0" w:color="008000"/>
              <w:bottom w:val="single" w:sz="6" w:space="0" w:color="008000"/>
            </w:tcBorders>
            <w:shd w:val="clear" w:color="auto" w:fill="FFFFFF"/>
          </w:tcPr>
          <w:p w14:paraId="458021F6" w14:textId="101CC4D2" w:rsidR="00605574" w:rsidRDefault="00605574" w:rsidP="00A615E6">
            <w:pPr>
              <w:pStyle w:val="CETBodytext"/>
              <w:ind w:right="-1"/>
              <w:jc w:val="center"/>
              <w:rPr>
                <w:rFonts w:cs="Arial"/>
                <w:szCs w:val="18"/>
                <w:lang w:val="en-GB"/>
              </w:rPr>
            </w:pPr>
            <w:r>
              <w:rPr>
                <w:lang w:val="en-GB"/>
              </w:rPr>
              <w:t>cm</w:t>
            </w:r>
          </w:p>
        </w:tc>
        <w:tc>
          <w:tcPr>
            <w:tcW w:w="567" w:type="dxa"/>
            <w:tcBorders>
              <w:top w:val="single" w:sz="12" w:space="0" w:color="008000"/>
              <w:bottom w:val="single" w:sz="6" w:space="0" w:color="008000"/>
            </w:tcBorders>
            <w:shd w:val="clear" w:color="auto" w:fill="FFFFFF"/>
          </w:tcPr>
          <w:p w14:paraId="6FE3FBFC" w14:textId="1EAE4957" w:rsidR="00605574" w:rsidRDefault="00605574" w:rsidP="00A615E6">
            <w:pPr>
              <w:pStyle w:val="CETBodytext"/>
              <w:ind w:right="-1"/>
              <w:jc w:val="center"/>
              <w:rPr>
                <w:rFonts w:cs="Arial"/>
                <w:szCs w:val="18"/>
                <w:lang w:val="en-GB"/>
              </w:rPr>
            </w:pPr>
            <w:r>
              <w:rPr>
                <w:lang w:val="en-GB"/>
              </w:rPr>
              <w:t>%</w:t>
            </w:r>
          </w:p>
        </w:tc>
        <w:tc>
          <w:tcPr>
            <w:tcW w:w="567" w:type="dxa"/>
            <w:tcBorders>
              <w:top w:val="single" w:sz="12" w:space="0" w:color="008000"/>
              <w:bottom w:val="single" w:sz="6" w:space="0" w:color="008000"/>
            </w:tcBorders>
            <w:shd w:val="clear" w:color="auto" w:fill="FFFFFF"/>
          </w:tcPr>
          <w:p w14:paraId="4A1503A1" w14:textId="3AB7561A" w:rsidR="00605574" w:rsidRDefault="00605574" w:rsidP="00A615E6">
            <w:pPr>
              <w:pStyle w:val="CETBodytext"/>
              <w:ind w:right="-1"/>
              <w:jc w:val="center"/>
              <w:rPr>
                <w:rFonts w:cs="Arial"/>
                <w:szCs w:val="18"/>
                <w:lang w:val="en-GB"/>
              </w:rPr>
            </w:pPr>
            <w:r>
              <w:rPr>
                <w:lang w:val="en-GB"/>
              </w:rPr>
              <w:t>cm</w:t>
            </w:r>
          </w:p>
        </w:tc>
        <w:tc>
          <w:tcPr>
            <w:tcW w:w="567" w:type="dxa"/>
            <w:tcBorders>
              <w:top w:val="single" w:sz="12" w:space="0" w:color="008000"/>
              <w:bottom w:val="single" w:sz="6" w:space="0" w:color="008000"/>
            </w:tcBorders>
            <w:shd w:val="clear" w:color="auto" w:fill="FFFFFF"/>
          </w:tcPr>
          <w:p w14:paraId="1846E617" w14:textId="267B2869" w:rsidR="00605574" w:rsidRDefault="00605574" w:rsidP="00A615E6">
            <w:pPr>
              <w:pStyle w:val="CETBodytext"/>
              <w:ind w:right="-1"/>
              <w:jc w:val="center"/>
              <w:rPr>
                <w:rFonts w:cs="Arial"/>
                <w:szCs w:val="18"/>
                <w:lang w:val="en-GB"/>
              </w:rPr>
            </w:pPr>
            <w:r>
              <w:rPr>
                <w:lang w:val="en-GB"/>
              </w:rPr>
              <w:t>%</w:t>
            </w:r>
          </w:p>
        </w:tc>
      </w:tr>
      <w:tr w:rsidR="00605574" w:rsidRPr="00B57B36" w14:paraId="0E3D451D" w14:textId="77777777" w:rsidTr="004519C4">
        <w:tc>
          <w:tcPr>
            <w:tcW w:w="567" w:type="dxa"/>
            <w:shd w:val="clear" w:color="auto" w:fill="FFFFFF"/>
          </w:tcPr>
          <w:p w14:paraId="5F9796BC" w14:textId="5D647D9D" w:rsidR="00605574" w:rsidRDefault="00605574" w:rsidP="00A615E6">
            <w:pPr>
              <w:pStyle w:val="CETBodytext"/>
              <w:jc w:val="center"/>
              <w:rPr>
                <w:lang w:val="en-GB"/>
              </w:rPr>
            </w:pPr>
            <w:r>
              <w:rPr>
                <w:lang w:val="en-GB"/>
              </w:rPr>
              <w:t>F1</w:t>
            </w:r>
          </w:p>
        </w:tc>
        <w:tc>
          <w:tcPr>
            <w:tcW w:w="567" w:type="dxa"/>
            <w:shd w:val="clear" w:color="auto" w:fill="FFFFFF"/>
          </w:tcPr>
          <w:p w14:paraId="1252D933" w14:textId="6AC9ED0A" w:rsidR="00605574" w:rsidRPr="00B57B36" w:rsidRDefault="00605574" w:rsidP="00A615E6">
            <w:pPr>
              <w:pStyle w:val="CETBodytext"/>
              <w:jc w:val="center"/>
              <w:rPr>
                <w:lang w:val="en-GB"/>
              </w:rPr>
            </w:pPr>
            <w:r>
              <w:rPr>
                <w:lang w:val="en-GB"/>
              </w:rPr>
              <w:t>1</w:t>
            </w:r>
          </w:p>
        </w:tc>
        <w:tc>
          <w:tcPr>
            <w:tcW w:w="567" w:type="dxa"/>
            <w:shd w:val="clear" w:color="auto" w:fill="FFFFFF"/>
          </w:tcPr>
          <w:p w14:paraId="54527692" w14:textId="3D077FC6" w:rsidR="00605574" w:rsidRPr="00B57B36" w:rsidRDefault="00605574" w:rsidP="00A615E6">
            <w:pPr>
              <w:pStyle w:val="CETBodytext"/>
              <w:jc w:val="center"/>
              <w:rPr>
                <w:lang w:val="en-GB"/>
              </w:rPr>
            </w:pPr>
            <w:r w:rsidRPr="00B316A1">
              <w:rPr>
                <w:rFonts w:eastAsiaTheme="minorHAnsi" w:cs="Arial"/>
                <w:color w:val="000000"/>
                <w:szCs w:val="18"/>
                <w:lang w:val="pt-BR"/>
              </w:rPr>
              <w:t>88</w:t>
            </w:r>
            <w:r>
              <w:rPr>
                <w:rFonts w:eastAsiaTheme="minorHAnsi" w:cs="Arial"/>
                <w:color w:val="000000"/>
                <w:szCs w:val="18"/>
                <w:lang w:val="pt-BR"/>
              </w:rPr>
              <w:t>.</w:t>
            </w:r>
            <w:r w:rsidRPr="00B316A1">
              <w:rPr>
                <w:rFonts w:eastAsiaTheme="minorHAnsi" w:cs="Arial"/>
                <w:color w:val="000000"/>
                <w:szCs w:val="18"/>
                <w:lang w:val="pt-BR"/>
              </w:rPr>
              <w:t>9</w:t>
            </w:r>
          </w:p>
        </w:tc>
        <w:tc>
          <w:tcPr>
            <w:tcW w:w="567" w:type="dxa"/>
            <w:shd w:val="clear" w:color="auto" w:fill="FFFFFF"/>
          </w:tcPr>
          <w:p w14:paraId="201D3018" w14:textId="4EA8D3E4" w:rsidR="00605574" w:rsidRPr="00B57B36" w:rsidRDefault="00605574" w:rsidP="00A615E6">
            <w:pPr>
              <w:pStyle w:val="CETBodytext"/>
              <w:jc w:val="center"/>
              <w:rPr>
                <w:lang w:val="en-GB"/>
              </w:rPr>
            </w:pPr>
            <w:r w:rsidRPr="00B316A1">
              <w:rPr>
                <w:rFonts w:eastAsiaTheme="minorHAnsi" w:cs="Arial"/>
                <w:color w:val="000000"/>
                <w:szCs w:val="18"/>
                <w:lang w:val="pt-BR"/>
              </w:rPr>
              <w:t>4</w:t>
            </w:r>
            <w:r>
              <w:rPr>
                <w:rFonts w:eastAsiaTheme="minorHAnsi" w:cs="Arial"/>
                <w:color w:val="000000"/>
                <w:szCs w:val="18"/>
                <w:lang w:val="pt-BR"/>
              </w:rPr>
              <w:t>.</w:t>
            </w:r>
            <w:r w:rsidRPr="00B316A1">
              <w:rPr>
                <w:rFonts w:eastAsiaTheme="minorHAnsi" w:cs="Arial"/>
                <w:color w:val="000000"/>
                <w:szCs w:val="18"/>
                <w:lang w:val="pt-BR"/>
              </w:rPr>
              <w:t>8</w:t>
            </w:r>
          </w:p>
        </w:tc>
        <w:tc>
          <w:tcPr>
            <w:tcW w:w="567" w:type="dxa"/>
            <w:shd w:val="clear" w:color="auto" w:fill="FFFFFF"/>
          </w:tcPr>
          <w:p w14:paraId="7A9BAC22" w14:textId="3DD5B5EF" w:rsidR="00605574" w:rsidRPr="00B57B36" w:rsidRDefault="00605574" w:rsidP="00A615E6">
            <w:pPr>
              <w:pStyle w:val="CETBodytext"/>
              <w:jc w:val="center"/>
              <w:rPr>
                <w:lang w:val="en-GB"/>
              </w:rPr>
            </w:pPr>
            <w:r w:rsidRPr="00B316A1">
              <w:rPr>
                <w:rFonts w:eastAsiaTheme="minorHAnsi" w:cs="Arial"/>
                <w:color w:val="000000"/>
                <w:szCs w:val="18"/>
                <w:lang w:val="pt-BR"/>
              </w:rPr>
              <w:t>46</w:t>
            </w:r>
            <w:r>
              <w:rPr>
                <w:rFonts w:eastAsiaTheme="minorHAnsi" w:cs="Arial"/>
                <w:color w:val="000000"/>
                <w:szCs w:val="18"/>
                <w:lang w:val="pt-BR"/>
              </w:rPr>
              <w:t>.</w:t>
            </w:r>
            <w:r w:rsidRPr="00B316A1">
              <w:rPr>
                <w:rFonts w:eastAsiaTheme="minorHAnsi" w:cs="Arial"/>
                <w:color w:val="000000"/>
                <w:szCs w:val="18"/>
                <w:lang w:val="pt-BR"/>
              </w:rPr>
              <w:t>7</w:t>
            </w:r>
          </w:p>
        </w:tc>
        <w:tc>
          <w:tcPr>
            <w:tcW w:w="567" w:type="dxa"/>
            <w:shd w:val="clear" w:color="auto" w:fill="FFFFFF"/>
          </w:tcPr>
          <w:p w14:paraId="46C402B7" w14:textId="357FC602" w:rsidR="00605574" w:rsidRPr="00B57B36" w:rsidRDefault="00605574" w:rsidP="00A615E6">
            <w:pPr>
              <w:pStyle w:val="CETBodytext"/>
              <w:jc w:val="center"/>
              <w:rPr>
                <w:lang w:val="en-GB"/>
              </w:rPr>
            </w:pPr>
            <w:r w:rsidRPr="00B316A1">
              <w:rPr>
                <w:rFonts w:eastAsiaTheme="minorHAnsi" w:cs="Arial"/>
                <w:color w:val="000000"/>
                <w:szCs w:val="18"/>
                <w:lang w:val="pt-BR"/>
              </w:rPr>
              <w:t>7</w:t>
            </w:r>
            <w:r>
              <w:rPr>
                <w:rFonts w:eastAsiaTheme="minorHAnsi" w:cs="Arial"/>
                <w:color w:val="000000"/>
                <w:szCs w:val="18"/>
                <w:lang w:val="pt-BR"/>
              </w:rPr>
              <w:t>.</w:t>
            </w:r>
            <w:r w:rsidRPr="00B316A1">
              <w:rPr>
                <w:rFonts w:eastAsiaTheme="minorHAnsi" w:cs="Arial"/>
                <w:color w:val="000000"/>
                <w:szCs w:val="18"/>
                <w:lang w:val="pt-BR"/>
              </w:rPr>
              <w:t>4</w:t>
            </w:r>
          </w:p>
        </w:tc>
        <w:tc>
          <w:tcPr>
            <w:tcW w:w="567" w:type="dxa"/>
            <w:shd w:val="clear" w:color="auto" w:fill="FFFFFF"/>
          </w:tcPr>
          <w:p w14:paraId="4127802C" w14:textId="01DC0DFA" w:rsidR="00605574" w:rsidRPr="00B57B36" w:rsidRDefault="00605574" w:rsidP="00A615E6">
            <w:pPr>
              <w:pStyle w:val="CETBodytext"/>
              <w:jc w:val="center"/>
              <w:rPr>
                <w:lang w:val="en-GB"/>
              </w:rPr>
            </w:pPr>
            <w:r w:rsidRPr="00B316A1">
              <w:rPr>
                <w:rFonts w:eastAsiaTheme="minorHAnsi" w:cs="Arial"/>
                <w:color w:val="000000"/>
                <w:szCs w:val="18"/>
                <w:lang w:val="pt-BR"/>
              </w:rPr>
              <w:t>17</w:t>
            </w:r>
            <w:r>
              <w:rPr>
                <w:rFonts w:eastAsiaTheme="minorHAnsi" w:cs="Arial"/>
                <w:color w:val="000000"/>
                <w:szCs w:val="18"/>
                <w:lang w:val="pt-BR"/>
              </w:rPr>
              <w:t>.</w:t>
            </w:r>
            <w:r w:rsidRPr="00B316A1">
              <w:rPr>
                <w:rFonts w:eastAsiaTheme="minorHAnsi" w:cs="Arial"/>
                <w:color w:val="000000"/>
                <w:szCs w:val="18"/>
                <w:lang w:val="pt-BR"/>
              </w:rPr>
              <w:t>8</w:t>
            </w:r>
          </w:p>
        </w:tc>
        <w:tc>
          <w:tcPr>
            <w:tcW w:w="567" w:type="dxa"/>
            <w:shd w:val="clear" w:color="auto" w:fill="FFFFFF"/>
          </w:tcPr>
          <w:p w14:paraId="01759388" w14:textId="7210DBBA"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7</w:t>
            </w:r>
            <w:r>
              <w:rPr>
                <w:rFonts w:eastAsiaTheme="minorHAnsi" w:cs="Arial"/>
                <w:color w:val="000000"/>
                <w:szCs w:val="18"/>
                <w:lang w:val="pt-BR"/>
              </w:rPr>
              <w:t>.</w:t>
            </w:r>
            <w:r w:rsidRPr="00B316A1">
              <w:rPr>
                <w:rFonts w:eastAsiaTheme="minorHAnsi" w:cs="Arial"/>
                <w:color w:val="000000"/>
                <w:szCs w:val="18"/>
                <w:lang w:val="pt-BR"/>
              </w:rPr>
              <w:t>8</w:t>
            </w:r>
          </w:p>
        </w:tc>
        <w:tc>
          <w:tcPr>
            <w:tcW w:w="567" w:type="dxa"/>
            <w:shd w:val="clear" w:color="auto" w:fill="FFFFFF"/>
          </w:tcPr>
          <w:p w14:paraId="236D0083" w14:textId="0BCA5959"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13</w:t>
            </w:r>
            <w:r>
              <w:rPr>
                <w:rFonts w:eastAsiaTheme="minorHAnsi" w:cs="Arial"/>
                <w:color w:val="000000"/>
                <w:szCs w:val="18"/>
                <w:lang w:val="pt-BR"/>
              </w:rPr>
              <w:t>.</w:t>
            </w:r>
            <w:r w:rsidRPr="00B316A1">
              <w:rPr>
                <w:rFonts w:eastAsiaTheme="minorHAnsi" w:cs="Arial"/>
                <w:color w:val="000000"/>
                <w:szCs w:val="18"/>
                <w:lang w:val="pt-BR"/>
              </w:rPr>
              <w:t>3</w:t>
            </w:r>
          </w:p>
        </w:tc>
        <w:tc>
          <w:tcPr>
            <w:tcW w:w="567" w:type="dxa"/>
            <w:shd w:val="clear" w:color="auto" w:fill="FFFFFF"/>
          </w:tcPr>
          <w:p w14:paraId="38606B36" w14:textId="6CD26F97"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9</w:t>
            </w:r>
          </w:p>
        </w:tc>
        <w:tc>
          <w:tcPr>
            <w:tcW w:w="567" w:type="dxa"/>
            <w:shd w:val="clear" w:color="auto" w:fill="FFFFFF"/>
          </w:tcPr>
          <w:p w14:paraId="27B963FA" w14:textId="600FDFE7"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0</w:t>
            </w:r>
          </w:p>
        </w:tc>
      </w:tr>
      <w:tr w:rsidR="00605574" w:rsidRPr="00B57B36" w14:paraId="07301489" w14:textId="77777777" w:rsidTr="004519C4">
        <w:tc>
          <w:tcPr>
            <w:tcW w:w="567" w:type="dxa"/>
            <w:shd w:val="clear" w:color="auto" w:fill="FFFFFF"/>
          </w:tcPr>
          <w:p w14:paraId="75AAD5D4" w14:textId="5847F737" w:rsidR="00605574" w:rsidRDefault="00605574" w:rsidP="00A615E6">
            <w:pPr>
              <w:pStyle w:val="CETBodytext"/>
              <w:jc w:val="center"/>
              <w:rPr>
                <w:lang w:val="en-GB"/>
              </w:rPr>
            </w:pPr>
            <w:r>
              <w:rPr>
                <w:lang w:val="en-GB"/>
              </w:rPr>
              <w:t>F2H</w:t>
            </w:r>
          </w:p>
        </w:tc>
        <w:tc>
          <w:tcPr>
            <w:tcW w:w="567" w:type="dxa"/>
            <w:shd w:val="clear" w:color="auto" w:fill="FFFFFF"/>
          </w:tcPr>
          <w:p w14:paraId="02E99093" w14:textId="557E9F1C" w:rsidR="00605574" w:rsidRPr="00B57B36" w:rsidRDefault="00605574" w:rsidP="00A615E6">
            <w:pPr>
              <w:pStyle w:val="CETBodytext"/>
              <w:jc w:val="center"/>
              <w:rPr>
                <w:lang w:val="en-GB"/>
              </w:rPr>
            </w:pPr>
            <w:r>
              <w:rPr>
                <w:lang w:val="en-GB"/>
              </w:rPr>
              <w:t>3</w:t>
            </w:r>
          </w:p>
        </w:tc>
        <w:tc>
          <w:tcPr>
            <w:tcW w:w="567" w:type="dxa"/>
            <w:shd w:val="clear" w:color="auto" w:fill="FFFFFF"/>
          </w:tcPr>
          <w:p w14:paraId="3EDCAC57" w14:textId="63BDA35F" w:rsidR="00605574" w:rsidRPr="00B57B36" w:rsidRDefault="00605574" w:rsidP="00A615E6">
            <w:pPr>
              <w:pStyle w:val="CETBodytext"/>
              <w:jc w:val="center"/>
              <w:rPr>
                <w:lang w:val="en-GB"/>
              </w:rPr>
            </w:pPr>
            <w:r w:rsidRPr="00B316A1">
              <w:rPr>
                <w:rFonts w:eastAsiaTheme="minorHAnsi" w:cs="Arial"/>
                <w:color w:val="000000"/>
                <w:szCs w:val="18"/>
                <w:lang w:val="pt-BR"/>
              </w:rPr>
              <w:t>58</w:t>
            </w:r>
            <w:r>
              <w:rPr>
                <w:rFonts w:eastAsiaTheme="minorHAnsi" w:cs="Arial"/>
                <w:color w:val="000000"/>
                <w:szCs w:val="18"/>
                <w:lang w:val="pt-BR"/>
              </w:rPr>
              <w:t>.</w:t>
            </w:r>
            <w:r w:rsidRPr="00B316A1">
              <w:rPr>
                <w:rFonts w:eastAsiaTheme="minorHAnsi" w:cs="Arial"/>
                <w:color w:val="000000"/>
                <w:szCs w:val="18"/>
                <w:lang w:val="pt-BR"/>
              </w:rPr>
              <w:t>9</w:t>
            </w:r>
          </w:p>
        </w:tc>
        <w:tc>
          <w:tcPr>
            <w:tcW w:w="567" w:type="dxa"/>
            <w:shd w:val="clear" w:color="auto" w:fill="FFFFFF"/>
          </w:tcPr>
          <w:p w14:paraId="1EFA3E73" w14:textId="4AB15F13" w:rsidR="00605574" w:rsidRPr="00B57B36" w:rsidRDefault="00605574" w:rsidP="00A615E6">
            <w:pPr>
              <w:pStyle w:val="CETBodytext"/>
              <w:jc w:val="center"/>
              <w:rPr>
                <w:lang w:val="en-GB"/>
              </w:rPr>
            </w:pPr>
            <w:r w:rsidRPr="00B316A1">
              <w:rPr>
                <w:rFonts w:eastAsiaTheme="minorHAnsi" w:cs="Arial"/>
                <w:color w:val="000000"/>
                <w:szCs w:val="18"/>
                <w:lang w:val="pt-BR"/>
              </w:rPr>
              <w:t>7</w:t>
            </w:r>
            <w:r>
              <w:rPr>
                <w:rFonts w:eastAsiaTheme="minorHAnsi" w:cs="Arial"/>
                <w:color w:val="000000"/>
                <w:szCs w:val="18"/>
                <w:lang w:val="pt-BR"/>
              </w:rPr>
              <w:t>.</w:t>
            </w:r>
            <w:r w:rsidRPr="00B316A1">
              <w:rPr>
                <w:rFonts w:eastAsiaTheme="minorHAnsi" w:cs="Arial"/>
                <w:color w:val="000000"/>
                <w:szCs w:val="18"/>
                <w:lang w:val="pt-BR"/>
              </w:rPr>
              <w:t>2</w:t>
            </w:r>
          </w:p>
        </w:tc>
        <w:tc>
          <w:tcPr>
            <w:tcW w:w="567" w:type="dxa"/>
            <w:shd w:val="clear" w:color="auto" w:fill="FFFFFF"/>
          </w:tcPr>
          <w:p w14:paraId="32CC5C26" w14:textId="11994029" w:rsidR="00605574" w:rsidRPr="00B57B36" w:rsidRDefault="00605574" w:rsidP="00A615E6">
            <w:pPr>
              <w:pStyle w:val="CETBodytext"/>
              <w:jc w:val="center"/>
              <w:rPr>
                <w:lang w:val="en-GB"/>
              </w:rPr>
            </w:pPr>
            <w:r w:rsidRPr="00B316A1">
              <w:rPr>
                <w:rFonts w:eastAsiaTheme="minorHAnsi" w:cs="Arial"/>
                <w:color w:val="000000"/>
                <w:szCs w:val="18"/>
                <w:lang w:val="pt-BR"/>
              </w:rPr>
              <w:t>20</w:t>
            </w:r>
          </w:p>
        </w:tc>
        <w:tc>
          <w:tcPr>
            <w:tcW w:w="567" w:type="dxa"/>
            <w:shd w:val="clear" w:color="auto" w:fill="FFFFFF"/>
          </w:tcPr>
          <w:p w14:paraId="3131850D" w14:textId="5C0D780F" w:rsidR="00605574" w:rsidRPr="00B57B36" w:rsidRDefault="00605574" w:rsidP="00A615E6">
            <w:pPr>
              <w:pStyle w:val="CETBodytext"/>
              <w:jc w:val="center"/>
              <w:rPr>
                <w:lang w:val="en-GB"/>
              </w:rPr>
            </w:pPr>
            <w:r w:rsidRPr="00B316A1">
              <w:rPr>
                <w:rFonts w:eastAsiaTheme="minorHAnsi" w:cs="Arial"/>
                <w:color w:val="000000"/>
                <w:szCs w:val="18"/>
                <w:lang w:val="pt-BR"/>
              </w:rPr>
              <w:t>7</w:t>
            </w:r>
            <w:r>
              <w:rPr>
                <w:rFonts w:eastAsiaTheme="minorHAnsi" w:cs="Arial"/>
                <w:color w:val="000000"/>
                <w:szCs w:val="18"/>
                <w:lang w:val="pt-BR"/>
              </w:rPr>
              <w:t>.</w:t>
            </w:r>
            <w:r w:rsidRPr="00B316A1">
              <w:rPr>
                <w:rFonts w:eastAsiaTheme="minorHAnsi" w:cs="Arial"/>
                <w:color w:val="000000"/>
                <w:szCs w:val="18"/>
                <w:lang w:val="pt-BR"/>
              </w:rPr>
              <w:t>8</w:t>
            </w:r>
          </w:p>
        </w:tc>
        <w:tc>
          <w:tcPr>
            <w:tcW w:w="567" w:type="dxa"/>
            <w:shd w:val="clear" w:color="auto" w:fill="FFFFFF"/>
          </w:tcPr>
          <w:p w14:paraId="64F7EFC6" w14:textId="0BC3BACF" w:rsidR="00605574" w:rsidRPr="00B57B36" w:rsidRDefault="00605574" w:rsidP="00A615E6">
            <w:pPr>
              <w:pStyle w:val="CETBodytext"/>
              <w:jc w:val="center"/>
              <w:rPr>
                <w:lang w:val="en-GB"/>
              </w:rPr>
            </w:pPr>
            <w:r w:rsidRPr="00B316A1">
              <w:rPr>
                <w:rFonts w:eastAsiaTheme="minorHAnsi" w:cs="Arial"/>
                <w:color w:val="000000"/>
                <w:szCs w:val="18"/>
                <w:lang w:val="pt-BR"/>
              </w:rPr>
              <w:t>13</w:t>
            </w:r>
            <w:r>
              <w:rPr>
                <w:rFonts w:eastAsiaTheme="minorHAnsi" w:cs="Arial"/>
                <w:color w:val="000000"/>
                <w:szCs w:val="18"/>
                <w:lang w:val="pt-BR"/>
              </w:rPr>
              <w:t>.</w:t>
            </w:r>
            <w:r w:rsidRPr="00B316A1">
              <w:rPr>
                <w:rFonts w:eastAsiaTheme="minorHAnsi" w:cs="Arial"/>
                <w:color w:val="000000"/>
                <w:szCs w:val="18"/>
                <w:lang w:val="pt-BR"/>
              </w:rPr>
              <w:t>3</w:t>
            </w:r>
          </w:p>
        </w:tc>
        <w:tc>
          <w:tcPr>
            <w:tcW w:w="567" w:type="dxa"/>
            <w:shd w:val="clear" w:color="auto" w:fill="FFFFFF"/>
          </w:tcPr>
          <w:p w14:paraId="13DBF640" w14:textId="6EE24521"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8</w:t>
            </w:r>
            <w:r>
              <w:rPr>
                <w:rFonts w:eastAsiaTheme="minorHAnsi" w:cs="Arial"/>
                <w:color w:val="000000"/>
                <w:szCs w:val="18"/>
                <w:lang w:val="pt-BR"/>
              </w:rPr>
              <w:t>.</w:t>
            </w:r>
            <w:r w:rsidRPr="00B316A1">
              <w:rPr>
                <w:rFonts w:eastAsiaTheme="minorHAnsi" w:cs="Arial"/>
                <w:color w:val="000000"/>
                <w:szCs w:val="18"/>
                <w:lang w:val="pt-BR"/>
              </w:rPr>
              <w:t>2</w:t>
            </w:r>
          </w:p>
        </w:tc>
        <w:tc>
          <w:tcPr>
            <w:tcW w:w="567" w:type="dxa"/>
            <w:shd w:val="clear" w:color="auto" w:fill="FFFFFF"/>
          </w:tcPr>
          <w:p w14:paraId="16B67432" w14:textId="7982EA16"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8</w:t>
            </w:r>
            <w:r>
              <w:rPr>
                <w:rFonts w:eastAsiaTheme="minorHAnsi" w:cs="Arial"/>
                <w:color w:val="000000"/>
                <w:szCs w:val="18"/>
                <w:lang w:val="pt-BR"/>
              </w:rPr>
              <w:t>.</w:t>
            </w:r>
            <w:r w:rsidRPr="00B316A1">
              <w:rPr>
                <w:rFonts w:eastAsiaTheme="minorHAnsi" w:cs="Arial"/>
                <w:color w:val="000000"/>
                <w:szCs w:val="18"/>
                <w:lang w:val="pt-BR"/>
              </w:rPr>
              <w:t>9</w:t>
            </w:r>
          </w:p>
        </w:tc>
        <w:tc>
          <w:tcPr>
            <w:tcW w:w="567" w:type="dxa"/>
            <w:shd w:val="clear" w:color="auto" w:fill="FFFFFF"/>
          </w:tcPr>
          <w:p w14:paraId="28AC2777" w14:textId="2E5B4BCC"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9</w:t>
            </w:r>
          </w:p>
        </w:tc>
        <w:tc>
          <w:tcPr>
            <w:tcW w:w="567" w:type="dxa"/>
            <w:shd w:val="clear" w:color="auto" w:fill="FFFFFF"/>
          </w:tcPr>
          <w:p w14:paraId="70945FE7" w14:textId="7F77AA0C"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0</w:t>
            </w:r>
          </w:p>
        </w:tc>
      </w:tr>
      <w:tr w:rsidR="00605574" w:rsidRPr="00B57B36" w14:paraId="6813D27F" w14:textId="77777777" w:rsidTr="004519C4">
        <w:tc>
          <w:tcPr>
            <w:tcW w:w="567" w:type="dxa"/>
            <w:shd w:val="clear" w:color="auto" w:fill="FFFFFF"/>
          </w:tcPr>
          <w:p w14:paraId="090AF15C" w14:textId="3211F050" w:rsidR="00605574" w:rsidRDefault="00605574" w:rsidP="00A615E6">
            <w:pPr>
              <w:pStyle w:val="CETBodytext"/>
              <w:ind w:right="-1"/>
              <w:jc w:val="center"/>
              <w:rPr>
                <w:rFonts w:cs="Arial"/>
                <w:szCs w:val="18"/>
                <w:lang w:val="en-GB"/>
              </w:rPr>
            </w:pPr>
            <w:r>
              <w:rPr>
                <w:rFonts w:cs="Arial"/>
                <w:szCs w:val="18"/>
                <w:lang w:val="en-GB"/>
              </w:rPr>
              <w:t>Hib</w:t>
            </w:r>
          </w:p>
        </w:tc>
        <w:tc>
          <w:tcPr>
            <w:tcW w:w="567" w:type="dxa"/>
            <w:shd w:val="clear" w:color="auto" w:fill="FFFFFF"/>
          </w:tcPr>
          <w:p w14:paraId="1DC257FC" w14:textId="35DA0BFE" w:rsidR="00605574" w:rsidRPr="00B57B36" w:rsidRDefault="00605574" w:rsidP="00A615E6">
            <w:pPr>
              <w:pStyle w:val="CETBodytext"/>
              <w:ind w:right="-1"/>
              <w:jc w:val="center"/>
              <w:rPr>
                <w:rFonts w:cs="Arial"/>
                <w:szCs w:val="18"/>
                <w:lang w:val="en-GB"/>
              </w:rPr>
            </w:pPr>
            <w:r>
              <w:rPr>
                <w:rFonts w:cs="Arial"/>
                <w:szCs w:val="18"/>
                <w:lang w:val="en-GB"/>
              </w:rPr>
              <w:t>7</w:t>
            </w:r>
          </w:p>
        </w:tc>
        <w:tc>
          <w:tcPr>
            <w:tcW w:w="567" w:type="dxa"/>
            <w:shd w:val="clear" w:color="auto" w:fill="FFFFFF"/>
          </w:tcPr>
          <w:p w14:paraId="5F913476" w14:textId="7D31688C"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21</w:t>
            </w:r>
            <w:r>
              <w:rPr>
                <w:rFonts w:eastAsiaTheme="minorHAnsi" w:cs="Arial"/>
                <w:color w:val="000000"/>
                <w:szCs w:val="18"/>
                <w:lang w:val="pt-BR"/>
              </w:rPr>
              <w:t>.</w:t>
            </w:r>
            <w:r w:rsidRPr="00B316A1">
              <w:rPr>
                <w:rFonts w:eastAsiaTheme="minorHAnsi" w:cs="Arial"/>
                <w:color w:val="000000"/>
                <w:szCs w:val="18"/>
                <w:lang w:val="pt-BR"/>
              </w:rPr>
              <w:t>1</w:t>
            </w:r>
          </w:p>
        </w:tc>
        <w:tc>
          <w:tcPr>
            <w:tcW w:w="567" w:type="dxa"/>
            <w:shd w:val="clear" w:color="auto" w:fill="FFFFFF"/>
          </w:tcPr>
          <w:p w14:paraId="7ACAB737" w14:textId="3F3F19B8"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7</w:t>
            </w:r>
            <w:r>
              <w:rPr>
                <w:rFonts w:eastAsiaTheme="minorHAnsi" w:cs="Arial"/>
                <w:color w:val="000000"/>
                <w:szCs w:val="18"/>
                <w:lang w:val="pt-BR"/>
              </w:rPr>
              <w:t>.</w:t>
            </w:r>
            <w:r w:rsidRPr="00B316A1">
              <w:rPr>
                <w:rFonts w:eastAsiaTheme="minorHAnsi" w:cs="Arial"/>
                <w:color w:val="000000"/>
                <w:szCs w:val="18"/>
                <w:lang w:val="pt-BR"/>
              </w:rPr>
              <w:t>9</w:t>
            </w:r>
          </w:p>
        </w:tc>
        <w:tc>
          <w:tcPr>
            <w:tcW w:w="567" w:type="dxa"/>
            <w:shd w:val="clear" w:color="auto" w:fill="FFFFFF"/>
          </w:tcPr>
          <w:p w14:paraId="60968548" w14:textId="72CA83DA"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12</w:t>
            </w:r>
            <w:r>
              <w:rPr>
                <w:rFonts w:eastAsiaTheme="minorHAnsi" w:cs="Arial"/>
                <w:color w:val="000000"/>
                <w:szCs w:val="18"/>
                <w:lang w:val="pt-BR"/>
              </w:rPr>
              <w:t>.</w:t>
            </w:r>
            <w:r w:rsidRPr="00B316A1">
              <w:rPr>
                <w:rFonts w:eastAsiaTheme="minorHAnsi" w:cs="Arial"/>
                <w:color w:val="000000"/>
                <w:szCs w:val="18"/>
                <w:lang w:val="pt-BR"/>
              </w:rPr>
              <w:t>2</w:t>
            </w:r>
          </w:p>
        </w:tc>
        <w:tc>
          <w:tcPr>
            <w:tcW w:w="567" w:type="dxa"/>
            <w:shd w:val="clear" w:color="auto" w:fill="FFFFFF"/>
          </w:tcPr>
          <w:p w14:paraId="7D4CC48F" w14:textId="2CC37F81"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8</w:t>
            </w:r>
            <w:r>
              <w:rPr>
                <w:rFonts w:eastAsiaTheme="minorHAnsi" w:cs="Arial"/>
                <w:color w:val="000000"/>
                <w:szCs w:val="18"/>
                <w:lang w:val="pt-BR"/>
              </w:rPr>
              <w:t>.</w:t>
            </w:r>
            <w:r w:rsidRPr="00B316A1">
              <w:rPr>
                <w:rFonts w:eastAsiaTheme="minorHAnsi" w:cs="Arial"/>
                <w:color w:val="000000"/>
                <w:szCs w:val="18"/>
                <w:lang w:val="pt-BR"/>
              </w:rPr>
              <w:t>8</w:t>
            </w:r>
          </w:p>
        </w:tc>
        <w:tc>
          <w:tcPr>
            <w:tcW w:w="567" w:type="dxa"/>
            <w:shd w:val="clear" w:color="auto" w:fill="FFFFFF"/>
          </w:tcPr>
          <w:p w14:paraId="09840303" w14:textId="62FF3620"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2</w:t>
            </w:r>
            <w:r>
              <w:rPr>
                <w:rFonts w:eastAsiaTheme="minorHAnsi" w:cs="Arial"/>
                <w:color w:val="000000"/>
                <w:szCs w:val="18"/>
                <w:lang w:val="pt-BR"/>
              </w:rPr>
              <w:t>.</w:t>
            </w:r>
            <w:r w:rsidRPr="00B316A1">
              <w:rPr>
                <w:rFonts w:eastAsiaTheme="minorHAnsi" w:cs="Arial"/>
                <w:color w:val="000000"/>
                <w:szCs w:val="18"/>
                <w:lang w:val="pt-BR"/>
              </w:rPr>
              <w:t>2</w:t>
            </w:r>
          </w:p>
        </w:tc>
        <w:tc>
          <w:tcPr>
            <w:tcW w:w="567" w:type="dxa"/>
            <w:shd w:val="clear" w:color="auto" w:fill="FFFFFF"/>
          </w:tcPr>
          <w:p w14:paraId="5B4D2EF8" w14:textId="73CC67A7"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9</w:t>
            </w:r>
          </w:p>
        </w:tc>
        <w:tc>
          <w:tcPr>
            <w:tcW w:w="567" w:type="dxa"/>
            <w:shd w:val="clear" w:color="auto" w:fill="FFFFFF"/>
          </w:tcPr>
          <w:p w14:paraId="28743420" w14:textId="03B15F71"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0</w:t>
            </w:r>
          </w:p>
        </w:tc>
        <w:tc>
          <w:tcPr>
            <w:tcW w:w="567" w:type="dxa"/>
            <w:shd w:val="clear" w:color="auto" w:fill="FFFFFF"/>
          </w:tcPr>
          <w:p w14:paraId="1AC21A8E" w14:textId="46A72993"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9</w:t>
            </w:r>
          </w:p>
        </w:tc>
        <w:tc>
          <w:tcPr>
            <w:tcW w:w="567" w:type="dxa"/>
            <w:shd w:val="clear" w:color="auto" w:fill="FFFFFF"/>
          </w:tcPr>
          <w:p w14:paraId="0D0085A5" w14:textId="15F2B6BC" w:rsidR="00605574" w:rsidRPr="00B57B36" w:rsidRDefault="00605574" w:rsidP="00A615E6">
            <w:pPr>
              <w:pStyle w:val="CETBodytext"/>
              <w:ind w:right="-1"/>
              <w:jc w:val="center"/>
              <w:rPr>
                <w:rFonts w:cs="Arial"/>
                <w:szCs w:val="18"/>
                <w:lang w:val="en-GB"/>
              </w:rPr>
            </w:pPr>
            <w:r w:rsidRPr="00B316A1">
              <w:rPr>
                <w:rFonts w:eastAsiaTheme="minorHAnsi" w:cs="Arial"/>
                <w:color w:val="000000"/>
                <w:szCs w:val="18"/>
                <w:lang w:val="pt-BR"/>
              </w:rPr>
              <w:t>0</w:t>
            </w:r>
          </w:p>
        </w:tc>
      </w:tr>
    </w:tbl>
    <w:p w14:paraId="7A0A5DFF" w14:textId="730D7E7D" w:rsidR="00186C29" w:rsidRPr="00D61090" w:rsidRDefault="004E6DE9" w:rsidP="00186C29">
      <w:pPr>
        <w:autoSpaceDE w:val="0"/>
        <w:autoSpaceDN w:val="0"/>
        <w:adjustRightInd w:val="0"/>
        <w:rPr>
          <w:rFonts w:eastAsiaTheme="minorHAnsi" w:cs="Arial"/>
          <w:color w:val="000000"/>
          <w:sz w:val="15"/>
          <w:szCs w:val="15"/>
          <w:lang w:val="en-US"/>
        </w:rPr>
      </w:pPr>
      <w:r w:rsidRPr="00D61090">
        <w:rPr>
          <w:rFonts w:eastAsiaTheme="minorHAnsi" w:cs="Arial"/>
          <w:color w:val="000000"/>
          <w:sz w:val="15"/>
          <w:szCs w:val="15"/>
          <w:lang w:val="en-US"/>
        </w:rPr>
        <w:t>Notes: PDA medium with primary fermented kombucha (F1), with secondary fermented kombucha and hibiscus (F2H)</w:t>
      </w:r>
      <w:r w:rsidR="004F5211" w:rsidRPr="00D61090">
        <w:rPr>
          <w:rFonts w:eastAsiaTheme="minorHAnsi" w:cs="Arial"/>
          <w:color w:val="000000"/>
          <w:sz w:val="15"/>
          <w:szCs w:val="15"/>
          <w:lang w:val="en-US"/>
        </w:rPr>
        <w:t>,</w:t>
      </w:r>
      <w:r w:rsidRPr="00D61090">
        <w:rPr>
          <w:rFonts w:eastAsiaTheme="minorHAnsi" w:cs="Arial"/>
          <w:color w:val="000000"/>
          <w:sz w:val="15"/>
          <w:szCs w:val="15"/>
          <w:lang w:val="en-US"/>
        </w:rPr>
        <w:t xml:space="preserve"> and with hibiscus tea (Hib) at concentrations of 50</w:t>
      </w:r>
      <w:r w:rsidR="00E2323C">
        <w:rPr>
          <w:rFonts w:eastAsiaTheme="minorHAnsi" w:cs="Arial"/>
          <w:color w:val="000000"/>
          <w:sz w:val="15"/>
          <w:szCs w:val="15"/>
          <w:lang w:val="en-US"/>
        </w:rPr>
        <w:t xml:space="preserve"> </w:t>
      </w:r>
      <w:r w:rsidRPr="00D61090">
        <w:rPr>
          <w:rFonts w:eastAsiaTheme="minorHAnsi" w:cs="Arial"/>
          <w:color w:val="000000"/>
          <w:sz w:val="15"/>
          <w:szCs w:val="15"/>
          <w:lang w:val="en-US"/>
        </w:rPr>
        <w:t>%, 25</w:t>
      </w:r>
      <w:r w:rsidR="00E2323C">
        <w:rPr>
          <w:rFonts w:eastAsiaTheme="minorHAnsi" w:cs="Arial"/>
          <w:color w:val="000000"/>
          <w:sz w:val="15"/>
          <w:szCs w:val="15"/>
          <w:lang w:val="en-US"/>
        </w:rPr>
        <w:t xml:space="preserve"> </w:t>
      </w:r>
      <w:r w:rsidRPr="00D61090">
        <w:rPr>
          <w:rFonts w:eastAsiaTheme="minorHAnsi" w:cs="Arial"/>
          <w:color w:val="000000"/>
          <w:sz w:val="15"/>
          <w:szCs w:val="15"/>
          <w:lang w:val="en-US"/>
        </w:rPr>
        <w:t>%, 12.5</w:t>
      </w:r>
      <w:r w:rsidR="00E2323C">
        <w:rPr>
          <w:rFonts w:eastAsiaTheme="minorHAnsi" w:cs="Arial"/>
          <w:color w:val="000000"/>
          <w:sz w:val="15"/>
          <w:szCs w:val="15"/>
          <w:lang w:val="en-US"/>
        </w:rPr>
        <w:t xml:space="preserve"> </w:t>
      </w:r>
      <w:r w:rsidRPr="00D61090">
        <w:rPr>
          <w:rFonts w:eastAsiaTheme="minorHAnsi" w:cs="Arial"/>
          <w:color w:val="000000"/>
          <w:sz w:val="15"/>
          <w:szCs w:val="15"/>
          <w:lang w:val="en-US"/>
        </w:rPr>
        <w:t>%</w:t>
      </w:r>
      <w:r w:rsidR="004F5211" w:rsidRPr="00D61090">
        <w:rPr>
          <w:rFonts w:eastAsiaTheme="minorHAnsi" w:cs="Arial"/>
          <w:color w:val="000000"/>
          <w:sz w:val="15"/>
          <w:szCs w:val="15"/>
          <w:lang w:val="en-US"/>
        </w:rPr>
        <w:t>,</w:t>
      </w:r>
      <w:r w:rsidRPr="00D61090">
        <w:rPr>
          <w:rFonts w:eastAsiaTheme="minorHAnsi" w:cs="Arial"/>
          <w:color w:val="000000"/>
          <w:sz w:val="15"/>
          <w:szCs w:val="15"/>
          <w:lang w:val="en-US"/>
        </w:rPr>
        <w:t xml:space="preserve"> and 6.25</w:t>
      </w:r>
      <w:r w:rsidR="00E2323C">
        <w:rPr>
          <w:rFonts w:eastAsiaTheme="minorHAnsi" w:cs="Arial"/>
          <w:color w:val="000000"/>
          <w:sz w:val="15"/>
          <w:szCs w:val="15"/>
          <w:lang w:val="en-US"/>
        </w:rPr>
        <w:t xml:space="preserve"> </w:t>
      </w:r>
      <w:r w:rsidRPr="00D61090">
        <w:rPr>
          <w:rFonts w:eastAsiaTheme="minorHAnsi" w:cs="Arial"/>
          <w:color w:val="000000"/>
          <w:sz w:val="15"/>
          <w:szCs w:val="15"/>
          <w:lang w:val="en-US"/>
        </w:rPr>
        <w:t xml:space="preserve">%; (*) Mycelial diameter of </w:t>
      </w:r>
      <w:r w:rsidRPr="00DE3F20">
        <w:rPr>
          <w:rFonts w:eastAsiaTheme="minorHAnsi" w:cs="Arial"/>
          <w:i/>
          <w:iCs/>
          <w:color w:val="000000"/>
          <w:sz w:val="15"/>
          <w:szCs w:val="15"/>
          <w:lang w:val="en-US"/>
        </w:rPr>
        <w:t>B. cinerea</w:t>
      </w:r>
      <w:r w:rsidRPr="00D61090">
        <w:rPr>
          <w:rFonts w:eastAsiaTheme="minorHAnsi" w:cs="Arial"/>
          <w:color w:val="000000"/>
          <w:sz w:val="15"/>
          <w:szCs w:val="15"/>
          <w:lang w:val="en-US"/>
        </w:rPr>
        <w:t xml:space="preserve"> in centimeters; (**) Percentage of inhibition </w:t>
      </w:r>
      <w:r w:rsidR="004F5211" w:rsidRPr="00D61090">
        <w:rPr>
          <w:rFonts w:eastAsiaTheme="minorHAnsi" w:cs="Arial"/>
          <w:color w:val="000000"/>
          <w:sz w:val="15"/>
          <w:szCs w:val="15"/>
          <w:lang w:val="en-US"/>
        </w:rPr>
        <w:t>about</w:t>
      </w:r>
      <w:r w:rsidRPr="00D61090">
        <w:rPr>
          <w:rFonts w:eastAsiaTheme="minorHAnsi" w:cs="Arial"/>
          <w:color w:val="000000"/>
          <w:sz w:val="15"/>
          <w:szCs w:val="15"/>
          <w:lang w:val="en-US"/>
        </w:rPr>
        <w:t xml:space="preserve"> the control</w:t>
      </w:r>
      <w:r w:rsidR="005E1CF6" w:rsidRPr="00D61090">
        <w:rPr>
          <w:rFonts w:eastAsiaTheme="minorHAnsi" w:cs="Arial"/>
          <w:color w:val="000000"/>
          <w:sz w:val="15"/>
          <w:szCs w:val="15"/>
          <w:lang w:val="en-US"/>
        </w:rPr>
        <w:t>.</w:t>
      </w:r>
    </w:p>
    <w:p w14:paraId="7D1E2013" w14:textId="77777777" w:rsidR="004E6DE9" w:rsidRPr="00D61090" w:rsidRDefault="004E6DE9" w:rsidP="00186C29">
      <w:pPr>
        <w:autoSpaceDE w:val="0"/>
        <w:autoSpaceDN w:val="0"/>
        <w:adjustRightInd w:val="0"/>
        <w:rPr>
          <w:rFonts w:eastAsiaTheme="minorHAnsi" w:cs="Arial"/>
          <w:b/>
          <w:bCs/>
          <w:color w:val="000000"/>
          <w:szCs w:val="18"/>
          <w:lang w:val="en-US"/>
        </w:rPr>
      </w:pPr>
    </w:p>
    <w:p w14:paraId="5525984B" w14:textId="7B8377B1" w:rsidR="004E6DE9" w:rsidRPr="00D61090" w:rsidRDefault="004E6DE9" w:rsidP="004E6DE9">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Figure 1</w:t>
      </w:r>
      <w:r w:rsidR="00F2144F">
        <w:rPr>
          <w:rFonts w:eastAsiaTheme="minorHAnsi" w:cs="Arial"/>
          <w:color w:val="000000"/>
          <w:szCs w:val="18"/>
          <w:lang w:val="en-US"/>
        </w:rPr>
        <w:t>a and 1b</w:t>
      </w:r>
      <w:r w:rsidRPr="00D61090">
        <w:rPr>
          <w:rFonts w:eastAsiaTheme="minorHAnsi" w:cs="Arial"/>
          <w:color w:val="000000"/>
          <w:szCs w:val="18"/>
          <w:lang w:val="en-US"/>
        </w:rPr>
        <w:t xml:space="preserve"> demonstrates the mycelium of </w:t>
      </w:r>
      <w:r w:rsidRPr="00DE3F20">
        <w:rPr>
          <w:rFonts w:eastAsiaTheme="minorHAnsi" w:cs="Arial"/>
          <w:i/>
          <w:iCs/>
          <w:color w:val="000000"/>
          <w:szCs w:val="18"/>
          <w:lang w:val="en-US"/>
        </w:rPr>
        <w:t>Botrytis cinerea</w:t>
      </w:r>
      <w:r w:rsidRPr="00D61090">
        <w:rPr>
          <w:rFonts w:eastAsiaTheme="minorHAnsi" w:cs="Arial"/>
          <w:color w:val="000000"/>
          <w:szCs w:val="18"/>
          <w:lang w:val="en-US"/>
        </w:rPr>
        <w:t xml:space="preserve"> in PDA (control) in its </w:t>
      </w:r>
      <w:r w:rsidR="00DE3F20">
        <w:rPr>
          <w:rFonts w:eastAsiaTheme="minorHAnsi" w:cs="Arial"/>
          <w:color w:val="000000"/>
          <w:szCs w:val="18"/>
          <w:lang w:val="en-US"/>
        </w:rPr>
        <w:t>frontals</w:t>
      </w:r>
      <w:r w:rsidR="00255D2D" w:rsidRPr="00D61090">
        <w:rPr>
          <w:rFonts w:eastAsiaTheme="minorHAnsi" w:cs="Arial"/>
          <w:color w:val="000000"/>
          <w:szCs w:val="18"/>
          <w:lang w:val="en-US"/>
        </w:rPr>
        <w:t>,</w:t>
      </w:r>
      <w:r w:rsidRPr="00D61090">
        <w:rPr>
          <w:rFonts w:eastAsiaTheme="minorHAnsi" w:cs="Arial"/>
          <w:color w:val="000000"/>
          <w:szCs w:val="18"/>
          <w:lang w:val="en-US"/>
        </w:rPr>
        <w:t xml:space="preserve"> and reverse views, respectively, where the fungus fills the entire plate (9 cm in diameter).</w:t>
      </w:r>
    </w:p>
    <w:p w14:paraId="3A5D85FB" w14:textId="3FD684A5" w:rsidR="00F2144F" w:rsidRDefault="00D54B5B" w:rsidP="004E6DE9">
      <w:pPr>
        <w:autoSpaceDE w:val="0"/>
        <w:autoSpaceDN w:val="0"/>
        <w:adjustRightInd w:val="0"/>
        <w:rPr>
          <w:rFonts w:eastAsiaTheme="minorHAnsi" w:cs="Arial"/>
          <w:color w:val="000000"/>
          <w:szCs w:val="18"/>
          <w:lang w:val="en-US"/>
        </w:rPr>
      </w:pPr>
      <w:r>
        <w:rPr>
          <w:rFonts w:eastAsiaTheme="minorHAnsi" w:cs="Arial"/>
          <w:noProof/>
          <w:color w:val="000000"/>
          <w:szCs w:val="18"/>
          <w:lang w:val="pt-BR"/>
        </w:rPr>
        <mc:AlternateContent>
          <mc:Choice Requires="wps">
            <w:drawing>
              <wp:anchor distT="0" distB="0" distL="114300" distR="114300" simplePos="0" relativeHeight="251677696" behindDoc="0" locked="0" layoutInCell="1" allowOverlap="1" wp14:anchorId="21A07565" wp14:editId="225102E2">
                <wp:simplePos x="0" y="0"/>
                <wp:positionH relativeFrom="column">
                  <wp:posOffset>824865</wp:posOffset>
                </wp:positionH>
                <wp:positionV relativeFrom="paragraph">
                  <wp:posOffset>90143</wp:posOffset>
                </wp:positionV>
                <wp:extent cx="533400" cy="233304"/>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533400" cy="233304"/>
                        </a:xfrm>
                        <a:prstGeom prst="rect">
                          <a:avLst/>
                        </a:prstGeom>
                        <a:noFill/>
                        <a:ln w="6350">
                          <a:noFill/>
                        </a:ln>
                      </wps:spPr>
                      <wps:txbx>
                        <w:txbxContent>
                          <w:p w14:paraId="51230097" w14:textId="77777777" w:rsidR="00F2144F" w:rsidRPr="00680024" w:rsidRDefault="00F2144F" w:rsidP="00F2144F">
                            <w:pPr>
                              <w:rPr>
                                <w:lang w:val="pt-BR"/>
                              </w:rPr>
                            </w:pPr>
                            <w:r>
                              <w:rPr>
                                <w:lang w:val="pt-BR"/>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07565" id="_x0000_t202" coordsize="21600,21600" o:spt="202" path="m,l,21600r21600,l21600,xe">
                <v:stroke joinstyle="miter"/>
                <v:path gradientshapeok="t" o:connecttype="rect"/>
              </v:shapetype>
              <v:shape id="Caixa de Texto 3" o:spid="_x0000_s1026" type="#_x0000_t202" style="position:absolute;left:0;text-align:left;margin-left:64.95pt;margin-top:7.1pt;width:42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" filled="f" stroked="f" strokeweight=".5pt">
                <v:textbox>
                  <w:txbxContent>
                    <w:p w14:paraId="51230097" w14:textId="77777777" w:rsidR="00F2144F" w:rsidRPr="00680024" w:rsidRDefault="00F2144F" w:rsidP="00F2144F">
                      <w:pPr>
                        <w:rPr>
                          <w:lang w:val="pt-BR"/>
                        </w:rPr>
                      </w:pPr>
                      <w:r>
                        <w:rPr>
                          <w:lang w:val="pt-BR"/>
                        </w:rPr>
                        <w:t>2b</w:t>
                      </w:r>
                    </w:p>
                  </w:txbxContent>
                </v:textbox>
              </v:shape>
            </w:pict>
          </mc:Fallback>
        </mc:AlternateContent>
      </w:r>
      <w:r>
        <w:rPr>
          <w:rFonts w:eastAsiaTheme="minorHAnsi" w:cs="Arial"/>
          <w:noProof/>
          <w:color w:val="000000"/>
          <w:szCs w:val="18"/>
          <w:lang w:val="pt-BR"/>
        </w:rPr>
        <mc:AlternateContent>
          <mc:Choice Requires="wps">
            <w:drawing>
              <wp:anchor distT="0" distB="0" distL="114300" distR="114300" simplePos="0" relativeHeight="251676672" behindDoc="0" locked="0" layoutInCell="1" allowOverlap="1" wp14:anchorId="64508282" wp14:editId="2762405E">
                <wp:simplePos x="0" y="0"/>
                <wp:positionH relativeFrom="column">
                  <wp:posOffset>168910</wp:posOffset>
                </wp:positionH>
                <wp:positionV relativeFrom="paragraph">
                  <wp:posOffset>92075</wp:posOffset>
                </wp:positionV>
                <wp:extent cx="457200" cy="24574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457200" cy="245745"/>
                        </a:xfrm>
                        <a:prstGeom prst="rect">
                          <a:avLst/>
                        </a:prstGeom>
                        <a:noFill/>
                        <a:ln w="6350">
                          <a:noFill/>
                        </a:ln>
                      </wps:spPr>
                      <wps:txbx>
                        <w:txbxContent>
                          <w:p w14:paraId="34754C47" w14:textId="77777777" w:rsidR="00F2144F" w:rsidRPr="00680024" w:rsidRDefault="00F2144F" w:rsidP="00F2144F">
                            <w:pPr>
                              <w:rPr>
                                <w:lang w:val="pt-BR"/>
                              </w:rPr>
                            </w:pPr>
                            <w:r>
                              <w:rPr>
                                <w:lang w:val="pt-BR"/>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8282" id="Caixa de Texto 2" o:spid="_x0000_s1027" type="#_x0000_t202" style="position:absolute;left:0;text-align:left;margin-left:13.3pt;margin-top:7.25pt;width:36pt;height:1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" filled="f" stroked="f" strokeweight=".5pt">
                <v:textbox>
                  <w:txbxContent>
                    <w:p w14:paraId="34754C47" w14:textId="77777777" w:rsidR="00F2144F" w:rsidRPr="00680024" w:rsidRDefault="00F2144F" w:rsidP="00F2144F">
                      <w:pPr>
                        <w:rPr>
                          <w:lang w:val="pt-BR"/>
                        </w:rPr>
                      </w:pPr>
                      <w:r>
                        <w:rPr>
                          <w:lang w:val="pt-BR"/>
                        </w:rPr>
                        <w:t>2a</w:t>
                      </w:r>
                    </w:p>
                  </w:txbxContent>
                </v:textbox>
              </v:shape>
            </w:pict>
          </mc:Fallback>
        </mc:AlternateContent>
      </w:r>
    </w:p>
    <w:p w14:paraId="1E506A23" w14:textId="39375348" w:rsidR="004E6DE9" w:rsidRPr="00D61090" w:rsidRDefault="004E6DE9" w:rsidP="004E6DE9">
      <w:pPr>
        <w:autoSpaceDE w:val="0"/>
        <w:autoSpaceDN w:val="0"/>
        <w:adjustRightInd w:val="0"/>
        <w:rPr>
          <w:rFonts w:eastAsiaTheme="minorHAnsi" w:cs="Arial"/>
          <w:color w:val="000000"/>
          <w:szCs w:val="18"/>
          <w:lang w:val="en-US"/>
        </w:rPr>
      </w:pPr>
    </w:p>
    <w:p w14:paraId="43B1615A" w14:textId="164CCBF4" w:rsidR="00B316A1" w:rsidRPr="00D61090" w:rsidRDefault="00B316A1" w:rsidP="004E6DE9">
      <w:pPr>
        <w:autoSpaceDE w:val="0"/>
        <w:autoSpaceDN w:val="0"/>
        <w:adjustRightInd w:val="0"/>
        <w:rPr>
          <w:rFonts w:eastAsiaTheme="minorHAnsi" w:cs="Arial"/>
          <w:color w:val="000000"/>
          <w:szCs w:val="18"/>
          <w:lang w:val="en-US"/>
        </w:rPr>
      </w:pPr>
      <w:r w:rsidRPr="00B316A1">
        <w:rPr>
          <w:rFonts w:eastAsiaTheme="minorHAnsi" w:cs="Arial"/>
          <w:noProof/>
          <w:color w:val="000000"/>
          <w:szCs w:val="18"/>
          <w:lang w:val="pt-BR"/>
        </w:rPr>
        <w:drawing>
          <wp:inline distT="0" distB="0" distL="0" distR="0" wp14:anchorId="68E7E12B" wp14:editId="2E51E8B3">
            <wp:extent cx="1440000" cy="7535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753575"/>
                    </a:xfrm>
                    <a:prstGeom prst="rect">
                      <a:avLst/>
                    </a:prstGeom>
                  </pic:spPr>
                </pic:pic>
              </a:graphicData>
            </a:graphic>
          </wp:inline>
        </w:drawing>
      </w:r>
      <w:r w:rsidR="00186C29" w:rsidRPr="00D61090">
        <w:rPr>
          <w:rFonts w:eastAsiaTheme="minorHAnsi" w:cs="Arial"/>
          <w:color w:val="000000"/>
          <w:szCs w:val="18"/>
          <w:lang w:val="en-US"/>
        </w:rPr>
        <w:t xml:space="preserve"> </w:t>
      </w:r>
    </w:p>
    <w:p w14:paraId="796C7733" w14:textId="77777777" w:rsidR="00154EDB" w:rsidRPr="00D61090" w:rsidRDefault="00154EDB" w:rsidP="00154EDB">
      <w:pPr>
        <w:autoSpaceDE w:val="0"/>
        <w:autoSpaceDN w:val="0"/>
        <w:adjustRightInd w:val="0"/>
        <w:rPr>
          <w:rFonts w:eastAsiaTheme="minorHAnsi" w:cs="Arial"/>
          <w:i/>
          <w:iCs/>
          <w:color w:val="000000"/>
          <w:szCs w:val="18"/>
          <w:lang w:val="en-US"/>
        </w:rPr>
      </w:pPr>
      <w:r w:rsidRPr="00D61090">
        <w:rPr>
          <w:rFonts w:eastAsiaTheme="minorHAnsi" w:cs="Arial"/>
          <w:i/>
          <w:iCs/>
          <w:color w:val="000000"/>
          <w:szCs w:val="18"/>
          <w:lang w:val="en-US"/>
        </w:rPr>
        <w:t>Figure 1: Front and back of Botrytis cinerea colony in PDA</w:t>
      </w:r>
    </w:p>
    <w:p w14:paraId="548FB501" w14:textId="77777777" w:rsidR="00B316A1" w:rsidRPr="00D61090" w:rsidRDefault="00B316A1" w:rsidP="00186C29">
      <w:pPr>
        <w:autoSpaceDE w:val="0"/>
        <w:autoSpaceDN w:val="0"/>
        <w:adjustRightInd w:val="0"/>
        <w:rPr>
          <w:rFonts w:eastAsiaTheme="minorHAnsi" w:cs="Arial"/>
          <w:color w:val="000000"/>
          <w:szCs w:val="18"/>
          <w:lang w:val="en-US"/>
        </w:rPr>
      </w:pPr>
    </w:p>
    <w:p w14:paraId="314CAE85" w14:textId="696206A2" w:rsidR="004E6DE9" w:rsidRPr="00D61090" w:rsidRDefault="004E6DE9" w:rsidP="004E6DE9">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Figures 2</w:t>
      </w:r>
      <w:r w:rsidR="00C91B38">
        <w:rPr>
          <w:rFonts w:eastAsiaTheme="minorHAnsi" w:cs="Arial"/>
          <w:color w:val="000000"/>
          <w:szCs w:val="18"/>
          <w:lang w:val="en-US"/>
        </w:rPr>
        <w:t>a</w:t>
      </w:r>
      <w:r w:rsidR="00255D2D" w:rsidRPr="00D61090">
        <w:rPr>
          <w:rFonts w:eastAsiaTheme="minorHAnsi" w:cs="Arial"/>
          <w:color w:val="000000"/>
          <w:szCs w:val="18"/>
          <w:lang w:val="en-US"/>
        </w:rPr>
        <w:t>,</w:t>
      </w:r>
      <w:r w:rsidRPr="00D61090">
        <w:rPr>
          <w:rFonts w:eastAsiaTheme="minorHAnsi" w:cs="Arial"/>
          <w:color w:val="000000"/>
          <w:szCs w:val="18"/>
          <w:lang w:val="en-US"/>
        </w:rPr>
        <w:t xml:space="preserve"> and 2</w:t>
      </w:r>
      <w:r w:rsidR="00C91B38">
        <w:rPr>
          <w:rFonts w:eastAsiaTheme="minorHAnsi" w:cs="Arial"/>
          <w:color w:val="000000"/>
          <w:szCs w:val="18"/>
          <w:lang w:val="en-US"/>
        </w:rPr>
        <w:t>b</w:t>
      </w:r>
      <w:r w:rsidRPr="00D61090">
        <w:rPr>
          <w:rFonts w:eastAsiaTheme="minorHAnsi" w:cs="Arial"/>
          <w:color w:val="000000"/>
          <w:szCs w:val="18"/>
          <w:lang w:val="en-US"/>
        </w:rPr>
        <w:t xml:space="preserve"> show the frontal and reverse views of </w:t>
      </w:r>
      <w:r w:rsidRPr="00DE3F20">
        <w:rPr>
          <w:rFonts w:eastAsiaTheme="minorHAnsi" w:cs="Arial"/>
          <w:i/>
          <w:iCs/>
          <w:color w:val="000000"/>
          <w:szCs w:val="18"/>
          <w:lang w:val="en-US"/>
        </w:rPr>
        <w:t>Botrytis cinerea</w:t>
      </w:r>
      <w:r w:rsidRPr="00D61090">
        <w:rPr>
          <w:rFonts w:eastAsiaTheme="minorHAnsi" w:cs="Arial"/>
          <w:color w:val="000000"/>
          <w:szCs w:val="18"/>
          <w:lang w:val="en-US"/>
        </w:rPr>
        <w:t xml:space="preserve">, respectively, developed in different concentrations of </w:t>
      </w:r>
      <w:r w:rsidR="005D7759">
        <w:rPr>
          <w:rFonts w:eastAsiaTheme="minorHAnsi" w:cs="Arial"/>
          <w:color w:val="000000"/>
          <w:szCs w:val="18"/>
          <w:lang w:val="en-US"/>
        </w:rPr>
        <w:t>P</w:t>
      </w:r>
      <w:r w:rsidRPr="00D61090">
        <w:rPr>
          <w:rFonts w:eastAsiaTheme="minorHAnsi" w:cs="Arial"/>
          <w:color w:val="000000"/>
          <w:szCs w:val="18"/>
          <w:lang w:val="en-US"/>
        </w:rPr>
        <w:t>DA with F1.</w:t>
      </w:r>
    </w:p>
    <w:p w14:paraId="081174A1" w14:textId="05587165" w:rsidR="00186C29" w:rsidRPr="00D61090" w:rsidRDefault="00255D2D" w:rsidP="00186C29">
      <w:pPr>
        <w:autoSpaceDE w:val="0"/>
        <w:autoSpaceDN w:val="0"/>
        <w:adjustRightInd w:val="0"/>
        <w:rPr>
          <w:rFonts w:eastAsiaTheme="minorHAnsi" w:cs="Arial"/>
          <w:color w:val="000000"/>
          <w:szCs w:val="18"/>
          <w:lang w:val="en-US"/>
        </w:rPr>
      </w:pPr>
      <w:r>
        <w:rPr>
          <w:rFonts w:eastAsiaTheme="minorHAnsi" w:cs="Arial"/>
          <w:noProof/>
          <w:color w:val="000000"/>
          <w:szCs w:val="18"/>
          <w:lang w:val="pt-BR"/>
        </w:rPr>
        <mc:AlternateContent>
          <mc:Choice Requires="wps">
            <w:drawing>
              <wp:anchor distT="0" distB="0" distL="114300" distR="114300" simplePos="0" relativeHeight="251661312" behindDoc="0" locked="0" layoutInCell="1" allowOverlap="1" wp14:anchorId="29554BA0" wp14:editId="691BF2F2">
                <wp:simplePos x="0" y="0"/>
                <wp:positionH relativeFrom="column">
                  <wp:posOffset>1544735</wp:posOffset>
                </wp:positionH>
                <wp:positionV relativeFrom="paragraph">
                  <wp:posOffset>8890</wp:posOffset>
                </wp:positionV>
                <wp:extent cx="533400" cy="23330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533400" cy="233304"/>
                        </a:xfrm>
                        <a:prstGeom prst="rect">
                          <a:avLst/>
                        </a:prstGeom>
                        <a:noFill/>
                        <a:ln w="6350">
                          <a:noFill/>
                        </a:ln>
                      </wps:spPr>
                      <wps:txbx>
                        <w:txbxContent>
                          <w:p w14:paraId="2188E704" w14:textId="1F85642E" w:rsidR="00680024" w:rsidRPr="00680024" w:rsidRDefault="00471453" w:rsidP="00680024">
                            <w:pPr>
                              <w:rPr>
                                <w:lang w:val="pt-BR"/>
                              </w:rPr>
                            </w:pPr>
                            <w:r>
                              <w:rPr>
                                <w:lang w:val="pt-BR"/>
                              </w:rPr>
                              <w:t>2</w:t>
                            </w:r>
                            <w:r w:rsidR="00C91B38">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4BA0" id="Caixa de Texto 18" o:spid="_x0000_s1028" type="#_x0000_t202" style="position:absolute;left:0;text-align:left;margin-left:121.65pt;margin-top:.7pt;width:42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" filled="f" stroked="f" strokeweight=".5pt">
                <v:textbox>
                  <w:txbxContent>
                    <w:p w14:paraId="2188E704" w14:textId="1F85642E" w:rsidR="00680024" w:rsidRPr="00680024" w:rsidRDefault="00471453" w:rsidP="00680024">
                      <w:pPr>
                        <w:rPr>
                          <w:lang w:val="pt-BR"/>
                        </w:rPr>
                      </w:pPr>
                      <w:r>
                        <w:rPr>
                          <w:lang w:val="pt-BR"/>
                        </w:rPr>
                        <w:t>2</w:t>
                      </w:r>
                      <w:r w:rsidR="00C91B38">
                        <w:rPr>
                          <w:lang w:val="pt-BR"/>
                        </w:rPr>
                        <w:t>b</w:t>
                      </w:r>
                    </w:p>
                  </w:txbxContent>
                </v:textbox>
              </v:shape>
            </w:pict>
          </mc:Fallback>
        </mc:AlternateContent>
      </w:r>
      <w:r>
        <w:rPr>
          <w:rFonts w:eastAsiaTheme="minorHAnsi" w:cs="Arial"/>
          <w:noProof/>
          <w:color w:val="000000"/>
          <w:szCs w:val="18"/>
          <w:lang w:val="pt-BR"/>
        </w:rPr>
        <mc:AlternateContent>
          <mc:Choice Requires="wps">
            <w:drawing>
              <wp:anchor distT="0" distB="0" distL="114300" distR="114300" simplePos="0" relativeHeight="251659264" behindDoc="0" locked="0" layoutInCell="1" allowOverlap="1" wp14:anchorId="41DDCE8C" wp14:editId="040F610C">
                <wp:simplePos x="0" y="0"/>
                <wp:positionH relativeFrom="column">
                  <wp:posOffset>374598</wp:posOffset>
                </wp:positionH>
                <wp:positionV relativeFrom="paragraph">
                  <wp:posOffset>14981</wp:posOffset>
                </wp:positionV>
                <wp:extent cx="457200" cy="245745"/>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457200" cy="245745"/>
                        </a:xfrm>
                        <a:prstGeom prst="rect">
                          <a:avLst/>
                        </a:prstGeom>
                        <a:noFill/>
                        <a:ln w="6350">
                          <a:noFill/>
                        </a:ln>
                      </wps:spPr>
                      <wps:txbx>
                        <w:txbxContent>
                          <w:p w14:paraId="4357306F" w14:textId="5DF9F2DC" w:rsidR="00680024" w:rsidRPr="00680024" w:rsidRDefault="00471453">
                            <w:pPr>
                              <w:rPr>
                                <w:lang w:val="pt-BR"/>
                              </w:rPr>
                            </w:pPr>
                            <w:r>
                              <w:rPr>
                                <w:lang w:val="pt-BR"/>
                              </w:rPr>
                              <w:t>2</w:t>
                            </w:r>
                            <w:r w:rsidR="00C91B38">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CE8C" id="Caixa de Texto 15" o:spid="_x0000_s1029" type="#_x0000_t202" style="position:absolute;left:0;text-align:left;margin-left:29.5pt;margin-top:1.2pt;width:36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" filled="f" stroked="f" strokeweight=".5pt">
                <v:textbox>
                  <w:txbxContent>
                    <w:p w14:paraId="4357306F" w14:textId="5DF9F2DC" w:rsidR="00680024" w:rsidRPr="00680024" w:rsidRDefault="00471453">
                      <w:pPr>
                        <w:rPr>
                          <w:lang w:val="pt-BR"/>
                        </w:rPr>
                      </w:pPr>
                      <w:r>
                        <w:rPr>
                          <w:lang w:val="pt-BR"/>
                        </w:rPr>
                        <w:t>2</w:t>
                      </w:r>
                      <w:r w:rsidR="00C91B38">
                        <w:rPr>
                          <w:lang w:val="pt-BR"/>
                        </w:rPr>
                        <w:t>a</w:t>
                      </w:r>
                    </w:p>
                  </w:txbxContent>
                </v:textbox>
              </v:shape>
            </w:pict>
          </mc:Fallback>
        </mc:AlternateContent>
      </w:r>
      <w:r w:rsidRPr="00D61090">
        <w:rPr>
          <w:rFonts w:eastAsiaTheme="minorHAnsi" w:cs="Arial"/>
          <w:color w:val="000000"/>
          <w:szCs w:val="18"/>
          <w:lang w:val="en-US"/>
        </w:rPr>
        <w:t xml:space="preserve">    </w:t>
      </w:r>
      <w:r w:rsidR="00186C29" w:rsidRPr="00D61090">
        <w:rPr>
          <w:rFonts w:eastAsiaTheme="minorHAnsi" w:cs="Arial"/>
          <w:color w:val="000000"/>
          <w:szCs w:val="18"/>
          <w:lang w:val="en-US"/>
        </w:rPr>
        <w:t xml:space="preserve"> </w:t>
      </w:r>
    </w:p>
    <w:p w14:paraId="6EBB2942" w14:textId="33F0E719" w:rsidR="00186C29" w:rsidRPr="00D61090" w:rsidRDefault="00B316A1" w:rsidP="00186C29">
      <w:pPr>
        <w:autoSpaceDE w:val="0"/>
        <w:autoSpaceDN w:val="0"/>
        <w:adjustRightInd w:val="0"/>
        <w:rPr>
          <w:rFonts w:eastAsiaTheme="minorHAnsi" w:cs="Arial"/>
          <w:color w:val="000000"/>
          <w:szCs w:val="18"/>
          <w:lang w:val="en-US"/>
        </w:rPr>
      </w:pPr>
      <w:r w:rsidRPr="00B316A1">
        <w:rPr>
          <w:rFonts w:eastAsiaTheme="minorHAnsi" w:cs="Arial"/>
          <w:noProof/>
          <w:color w:val="000000"/>
          <w:szCs w:val="18"/>
          <w:lang w:val="pt-BR"/>
        </w:rPr>
        <w:drawing>
          <wp:inline distT="0" distB="0" distL="0" distR="0" wp14:anchorId="4F9F7FB5" wp14:editId="107FA128">
            <wp:extent cx="1136393" cy="1112554"/>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1589" cy="1147011"/>
                    </a:xfrm>
                    <a:prstGeom prst="rect">
                      <a:avLst/>
                    </a:prstGeom>
                  </pic:spPr>
                </pic:pic>
              </a:graphicData>
            </a:graphic>
          </wp:inline>
        </w:drawing>
      </w:r>
      <w:r w:rsidR="00680024" w:rsidRPr="00D61090">
        <w:rPr>
          <w:rFonts w:eastAsiaTheme="minorHAnsi" w:cs="Arial"/>
          <w:color w:val="000000"/>
          <w:szCs w:val="18"/>
          <w:lang w:val="en-US"/>
        </w:rPr>
        <w:t xml:space="preserve">  </w:t>
      </w:r>
      <w:r w:rsidR="00680024" w:rsidRPr="00B316A1">
        <w:rPr>
          <w:rFonts w:eastAsiaTheme="minorHAnsi" w:cs="Arial"/>
          <w:noProof/>
          <w:color w:val="000000"/>
          <w:szCs w:val="18"/>
          <w:lang w:val="pt-BR"/>
        </w:rPr>
        <w:drawing>
          <wp:inline distT="0" distB="0" distL="0" distR="0" wp14:anchorId="34848706" wp14:editId="5F884087">
            <wp:extent cx="1061294" cy="1061294"/>
            <wp:effectExtent l="38100" t="57150" r="43815" b="438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4043" cy="1074043"/>
                    </a:xfrm>
                    <a:prstGeom prst="rect">
                      <a:avLst/>
                    </a:prstGeom>
                    <a:scene3d>
                      <a:camera prst="orthographicFront">
                        <a:rot lat="0" lon="21299999" rev="0"/>
                      </a:camera>
                      <a:lightRig rig="threePt" dir="t"/>
                    </a:scene3d>
                  </pic:spPr>
                </pic:pic>
              </a:graphicData>
            </a:graphic>
          </wp:inline>
        </w:drawing>
      </w:r>
    </w:p>
    <w:p w14:paraId="5F7E08AD" w14:textId="318A7CA7" w:rsidR="00154EDB" w:rsidRPr="00D61090" w:rsidRDefault="00154EDB" w:rsidP="00154EDB">
      <w:pPr>
        <w:autoSpaceDE w:val="0"/>
        <w:autoSpaceDN w:val="0"/>
        <w:adjustRightInd w:val="0"/>
        <w:rPr>
          <w:rFonts w:eastAsiaTheme="minorHAnsi" w:cs="Arial"/>
          <w:i/>
          <w:iCs/>
          <w:color w:val="000000"/>
          <w:szCs w:val="18"/>
          <w:lang w:val="en-US"/>
        </w:rPr>
      </w:pPr>
      <w:r w:rsidRPr="00D61090">
        <w:rPr>
          <w:rFonts w:eastAsiaTheme="minorHAnsi" w:cs="Arial"/>
          <w:i/>
          <w:iCs/>
          <w:color w:val="000000"/>
          <w:szCs w:val="18"/>
          <w:lang w:val="en-US"/>
        </w:rPr>
        <w:t>Figure 2</w:t>
      </w:r>
      <w:r w:rsidR="00CD3E6D">
        <w:rPr>
          <w:rFonts w:eastAsiaTheme="minorHAnsi" w:cs="Arial"/>
          <w:i/>
          <w:iCs/>
          <w:color w:val="000000"/>
          <w:szCs w:val="18"/>
          <w:lang w:val="en-US"/>
        </w:rPr>
        <w:t>a</w:t>
      </w:r>
      <w:r w:rsidRPr="00D61090">
        <w:rPr>
          <w:rFonts w:eastAsiaTheme="minorHAnsi" w:cs="Arial"/>
          <w:i/>
          <w:iCs/>
          <w:color w:val="000000"/>
          <w:szCs w:val="18"/>
          <w:lang w:val="en-US"/>
        </w:rPr>
        <w:t>: Front of Botrytis cinerea colony in PDA and 2</w:t>
      </w:r>
      <w:r w:rsidR="00CD3E6D">
        <w:rPr>
          <w:rFonts w:eastAsiaTheme="minorHAnsi" w:cs="Arial"/>
          <w:i/>
          <w:iCs/>
          <w:color w:val="000000"/>
          <w:szCs w:val="18"/>
          <w:lang w:val="en-US"/>
        </w:rPr>
        <w:t>b</w:t>
      </w:r>
      <w:r w:rsidRPr="00D61090">
        <w:rPr>
          <w:rFonts w:eastAsiaTheme="minorHAnsi" w:cs="Arial"/>
          <w:i/>
          <w:iCs/>
          <w:color w:val="000000"/>
          <w:szCs w:val="18"/>
          <w:lang w:val="en-US"/>
        </w:rPr>
        <w:t>: Reverse of Botrytis cinerea colony in PDA with F1 at concentrations of 50</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12.5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and 6.25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w:t>
      </w:r>
      <w:r w:rsidR="008E21D5">
        <w:rPr>
          <w:rFonts w:eastAsiaTheme="minorHAnsi" w:cs="Arial"/>
          <w:i/>
          <w:iCs/>
          <w:color w:val="000000"/>
          <w:szCs w:val="18"/>
          <w:lang w:val="en-US"/>
        </w:rPr>
        <w:t>.</w:t>
      </w:r>
    </w:p>
    <w:p w14:paraId="3E7C14E4" w14:textId="77777777" w:rsidR="006D5696" w:rsidRPr="00D61090" w:rsidRDefault="006D5696" w:rsidP="00186C29">
      <w:pPr>
        <w:autoSpaceDE w:val="0"/>
        <w:autoSpaceDN w:val="0"/>
        <w:adjustRightInd w:val="0"/>
        <w:rPr>
          <w:rFonts w:eastAsiaTheme="minorHAnsi" w:cs="Arial"/>
          <w:color w:val="000000"/>
          <w:szCs w:val="18"/>
          <w:lang w:val="en-US"/>
        </w:rPr>
      </w:pPr>
    </w:p>
    <w:p w14:paraId="71D33BEB" w14:textId="0A34C0A4" w:rsidR="005163D3" w:rsidRPr="00D61090" w:rsidRDefault="005163D3" w:rsidP="005163D3">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It is observed that the concentration of 50</w:t>
      </w:r>
      <w:r w:rsidR="008E21D5">
        <w:rPr>
          <w:rFonts w:eastAsiaTheme="minorHAnsi" w:cs="Arial"/>
          <w:color w:val="000000"/>
          <w:szCs w:val="18"/>
          <w:lang w:val="en-US"/>
        </w:rPr>
        <w:t xml:space="preserve"> </w:t>
      </w:r>
      <w:r w:rsidRPr="00D61090">
        <w:rPr>
          <w:rFonts w:eastAsiaTheme="minorHAnsi" w:cs="Arial"/>
          <w:color w:val="000000"/>
          <w:szCs w:val="18"/>
          <w:lang w:val="en-US"/>
        </w:rPr>
        <w:t xml:space="preserve">% produced the </w:t>
      </w:r>
      <w:r w:rsidR="004F5211" w:rsidRPr="00D61090">
        <w:rPr>
          <w:rFonts w:eastAsiaTheme="minorHAnsi" w:cs="Arial"/>
          <w:color w:val="000000"/>
          <w:szCs w:val="18"/>
          <w:lang w:val="en-US"/>
        </w:rPr>
        <w:t>most significant</w:t>
      </w:r>
      <w:r w:rsidRPr="00D61090">
        <w:rPr>
          <w:rFonts w:eastAsiaTheme="minorHAnsi" w:cs="Arial"/>
          <w:color w:val="000000"/>
          <w:szCs w:val="18"/>
          <w:lang w:val="en-US"/>
        </w:rPr>
        <w:t xml:space="preserve"> inhibitory effect on the mycelial growth of the fungus, this being 88.9</w:t>
      </w:r>
      <w:r w:rsidR="008E21D5">
        <w:rPr>
          <w:rFonts w:eastAsiaTheme="minorHAnsi" w:cs="Arial"/>
          <w:color w:val="000000"/>
          <w:szCs w:val="18"/>
          <w:lang w:val="en-US"/>
        </w:rPr>
        <w:t xml:space="preserve"> </w:t>
      </w:r>
      <w:r w:rsidRPr="00D61090">
        <w:rPr>
          <w:rFonts w:eastAsiaTheme="minorHAnsi" w:cs="Arial"/>
          <w:color w:val="000000"/>
          <w:szCs w:val="18"/>
          <w:lang w:val="en-US"/>
        </w:rPr>
        <w:t>% (Table 1), followed by the concentrations of 25</w:t>
      </w:r>
      <w:r w:rsidR="008E21D5">
        <w:rPr>
          <w:rFonts w:eastAsiaTheme="minorHAnsi" w:cs="Arial"/>
          <w:color w:val="000000"/>
          <w:szCs w:val="18"/>
          <w:lang w:val="en-US"/>
        </w:rPr>
        <w:t xml:space="preserve"> </w:t>
      </w:r>
      <w:r w:rsidRPr="00D61090">
        <w:rPr>
          <w:rFonts w:eastAsiaTheme="minorHAnsi" w:cs="Arial"/>
          <w:color w:val="000000"/>
          <w:szCs w:val="18"/>
          <w:lang w:val="en-US"/>
        </w:rPr>
        <w:t>% inhibiting 46.7</w:t>
      </w:r>
      <w:r w:rsidR="008E21D5">
        <w:rPr>
          <w:rFonts w:eastAsiaTheme="minorHAnsi" w:cs="Arial"/>
          <w:color w:val="000000"/>
          <w:szCs w:val="18"/>
          <w:lang w:val="en-US"/>
        </w:rPr>
        <w:t xml:space="preserve"> </w:t>
      </w:r>
      <w:r w:rsidRPr="00D61090">
        <w:rPr>
          <w:rFonts w:eastAsiaTheme="minorHAnsi" w:cs="Arial"/>
          <w:color w:val="000000"/>
          <w:szCs w:val="18"/>
          <w:lang w:val="en-US"/>
        </w:rPr>
        <w:t xml:space="preserve">%. The </w:t>
      </w:r>
      <w:r w:rsidR="004F5211" w:rsidRPr="00D61090">
        <w:rPr>
          <w:rFonts w:eastAsiaTheme="minorHAnsi" w:cs="Arial"/>
          <w:color w:val="000000"/>
          <w:szCs w:val="18"/>
          <w:lang w:val="en-US"/>
        </w:rPr>
        <w:t>12.5</w:t>
      </w:r>
      <w:r w:rsidR="008E21D5">
        <w:rPr>
          <w:rFonts w:eastAsiaTheme="minorHAnsi" w:cs="Arial"/>
          <w:color w:val="000000"/>
          <w:szCs w:val="18"/>
          <w:lang w:val="en-US"/>
        </w:rPr>
        <w:t xml:space="preserve"> </w:t>
      </w:r>
      <w:r w:rsidR="004F5211" w:rsidRPr="00D61090">
        <w:rPr>
          <w:rFonts w:eastAsiaTheme="minorHAnsi" w:cs="Arial"/>
          <w:color w:val="000000"/>
          <w:szCs w:val="18"/>
          <w:lang w:val="en-US"/>
        </w:rPr>
        <w:t>% and 6.25</w:t>
      </w:r>
      <w:r w:rsidR="008E21D5">
        <w:rPr>
          <w:rFonts w:eastAsiaTheme="minorHAnsi" w:cs="Arial"/>
          <w:color w:val="000000"/>
          <w:szCs w:val="18"/>
          <w:lang w:val="en-US"/>
        </w:rPr>
        <w:t xml:space="preserve"> </w:t>
      </w:r>
      <w:r w:rsidR="004F5211" w:rsidRPr="00D61090">
        <w:rPr>
          <w:rFonts w:eastAsiaTheme="minorHAnsi" w:cs="Arial"/>
          <w:color w:val="000000"/>
          <w:szCs w:val="18"/>
          <w:lang w:val="en-US"/>
        </w:rPr>
        <w:t xml:space="preserve">% concentrations had less inhibitory power, </w:t>
      </w:r>
      <w:r w:rsidRPr="00D61090">
        <w:rPr>
          <w:rFonts w:eastAsiaTheme="minorHAnsi" w:cs="Arial"/>
          <w:color w:val="000000"/>
          <w:szCs w:val="18"/>
          <w:lang w:val="en-US"/>
        </w:rPr>
        <w:t>17.8</w:t>
      </w:r>
      <w:r w:rsidR="008E21D5">
        <w:rPr>
          <w:rFonts w:eastAsiaTheme="minorHAnsi" w:cs="Arial"/>
          <w:color w:val="000000"/>
          <w:szCs w:val="18"/>
          <w:lang w:val="en-US"/>
        </w:rPr>
        <w:t xml:space="preserve"> </w:t>
      </w:r>
      <w:r w:rsidRPr="00D61090">
        <w:rPr>
          <w:rFonts w:eastAsiaTheme="minorHAnsi" w:cs="Arial"/>
          <w:color w:val="000000"/>
          <w:szCs w:val="18"/>
          <w:lang w:val="en-US"/>
        </w:rPr>
        <w:t>%</w:t>
      </w:r>
      <w:r w:rsidR="00DE3F20">
        <w:rPr>
          <w:rFonts w:eastAsiaTheme="minorHAnsi" w:cs="Arial"/>
          <w:color w:val="000000"/>
          <w:szCs w:val="18"/>
          <w:lang w:val="en-US"/>
        </w:rPr>
        <w:t>,</w:t>
      </w:r>
      <w:r w:rsidRPr="00D61090">
        <w:rPr>
          <w:rFonts w:eastAsiaTheme="minorHAnsi" w:cs="Arial"/>
          <w:color w:val="000000"/>
          <w:szCs w:val="18"/>
          <w:lang w:val="en-US"/>
        </w:rPr>
        <w:t xml:space="preserve"> and 13.3</w:t>
      </w:r>
      <w:r w:rsidR="008E21D5">
        <w:rPr>
          <w:rFonts w:eastAsiaTheme="minorHAnsi" w:cs="Arial"/>
          <w:color w:val="000000"/>
          <w:szCs w:val="18"/>
          <w:lang w:val="en-US"/>
        </w:rPr>
        <w:t xml:space="preserve"> </w:t>
      </w:r>
      <w:r w:rsidRPr="00D61090">
        <w:rPr>
          <w:rFonts w:eastAsiaTheme="minorHAnsi" w:cs="Arial"/>
          <w:color w:val="000000"/>
          <w:szCs w:val="18"/>
          <w:lang w:val="en-US"/>
        </w:rPr>
        <w:t>%</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respectively. The antimicrobial effect of kombucha has been studied, with phenolics, flavonoids, organic acids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ethyl acetate being the likely compounds responsible for such inhibition </w:t>
      </w:r>
      <w:r w:rsidR="00356CEE">
        <w:rPr>
          <w:rFonts w:eastAsiaTheme="minorHAnsi" w:cs="Arial"/>
          <w:color w:val="000000"/>
          <w:szCs w:val="18"/>
          <w:lang w:val="pt-BR"/>
        </w:rPr>
        <w:fldChar w:fldCharType="begin" w:fldLock="1"/>
      </w:r>
      <w:r w:rsidR="00356CEE" w:rsidRPr="00D61090">
        <w:rPr>
          <w:rFonts w:eastAsiaTheme="minorHAnsi" w:cs="Arial"/>
          <w:color w:val="000000"/>
          <w:szCs w:val="18"/>
          <w:lang w:val="en-US"/>
        </w:rPr>
        <w:instrText>ADDIN CSL_CITATION { "citationItems" : [ { "id" : "ITEM-1", "itemData" : { "DOI" : "10.1007/s00284-016-1136-3", "ISSN" : "14320991", "PMID" : "27638313", "abstract" : "The emergence of multi-drug-resistant enteric pathogens has prompted the scientist community to explore the therapeutic potentials of traditional foods and beverages. The present study was undertaken to investigate the efficacy of Kombucha, a fermented beverage of sugared black tea, against enterotoxigenic Escherichia coli, Vibrio cholerae, Shigella flexneri and Salmonella Typhimurium followed by the identification of the antibacterial components present in Kombucha. The antibacterial activity was evaluated by determining the inhibition zone diameter, minimal inhibitory concentration and minimal bactericidal concentration. Kombucha fermented for 14\u00a0days showed maximum activity against the bacterial strains. Its ethyl acetate extract was found to be the most effective upon sequential solvent extraction of the 14-day Kombucha. This potent ethyl acetate extract was then subjected to thin layer chromatography for further purification of antibacterial ingredients which led to the isolation of an active polyphenolic fraction. Catechin and isorhamnetin were detected as the major antibacterial compounds present in this polyphenolic fraction of Kombucha by High Performance Liquid Chromatography. Catechin, one of the primary antibacterial polyphenols in tea was also found to be present in Kombucha. But isorhamnetin is not reported to be present in tea, which may thereby suggest the role of fermentation process of black tea for its production in Kombucha. To the best of our knowledge, this is the first report on the presence of isorhamnetin in Kombucha. The overall study suggests that Kombucha can be used as a potent antibacterial agent against entero-pathogenic bacterial infections, which mainly is attributed to its polyphenolic content.", "author" : [ { "dropping-particle" : "", "family" : "Bhattacharya", "given" : "Debanjana", "non-dropping-particle" : "", "parse-names" : false, "suffix" : "" }, { "dropping-particle" : "", "family" : "Bhattacharya", "given" : "Semantee", "non-dropping-particle" : "", "parse-names" : false, "suffix" : "" }, { "dropping-particle" : "", "family" : "Patra", "given" : "Madhu Manti", "non-dropping-particle" : "", "parse-names" : false, "suffix" : "" }, { "dropping-particle" : "", "family" : "Chakravorty", "given" : "Somnath", "non-dropping-particle" : "", "parse-names" : false, "suffix" : "" }, { "dropping-particle" : "", "family" : "Sarkar", "given" : "Soumyadev", "non-dropping-particle" : "", "parse-names" : false, "suffix" : "" }, { "dropping-particle" : "", "family" : "Chakraborty", "given" : "Writachit", "non-dropping-particle" : "", "parse-names" : false, "suffix" : "" }, { "dropping-particle" : "", "family" : "Koley", "given" : "Hemanta", "non-dropping-particle" : "", "parse-names" : false, "suffix" : "" }, { "dropping-particle" : "", "family" : "Gachhui", "given" : "Ratan", "non-dropping-particle" : "", "parse-names" : false, "suffix" : "" } ], "container-title" : "Current Microbiology", "id" : "ITEM-1", "issue" : "6", "issued" : { "date-parts" : [ [ "2016" ] ] }, "page" : "885-896", "title" : "Antibacterial Activity of Polyphenolic Fraction of Kombucha Against Enteric Bacterial Pathogens", "type" : "article-journal", "volume" : "73" }, "uris" : [ "http://www.mendeley.com/documents/?uuid=d03a7413-b83c-4af6-90d6-12ab0e1f4ba3" ] } ], "mendeley" : { "formattedCitation" : "(Bhattacharya et al., 2016)", "plainTextFormattedCitation" : "(Bhattacharya et al., 2016)", "previouslyFormattedCitation" : "(Bhattacharya et al., 2016)" }, "properties" : { "noteIndex" : 3 }, "schema" : "https://github.com/citation-style-language/schema/raw/master/csl-citation.json" }</w:instrText>
      </w:r>
      <w:r w:rsidR="00356CEE">
        <w:rPr>
          <w:rFonts w:eastAsiaTheme="minorHAnsi" w:cs="Arial"/>
          <w:color w:val="000000"/>
          <w:szCs w:val="18"/>
          <w:lang w:val="pt-BR"/>
        </w:rPr>
        <w:fldChar w:fldCharType="separate"/>
      </w:r>
      <w:r w:rsidR="00356CEE" w:rsidRPr="00D61090">
        <w:rPr>
          <w:rFonts w:eastAsiaTheme="minorHAnsi" w:cs="Arial"/>
          <w:noProof/>
          <w:color w:val="000000"/>
          <w:szCs w:val="18"/>
          <w:lang w:val="en-US"/>
        </w:rPr>
        <w:t>(Bhattacharya et al., 2016)</w:t>
      </w:r>
      <w:r w:rsidR="00356CEE">
        <w:rPr>
          <w:rFonts w:eastAsiaTheme="minorHAnsi" w:cs="Arial"/>
          <w:color w:val="000000"/>
          <w:szCs w:val="18"/>
          <w:lang w:val="pt-BR"/>
        </w:rPr>
        <w:fldChar w:fldCharType="end"/>
      </w:r>
      <w:r w:rsidRPr="00D61090">
        <w:rPr>
          <w:rFonts w:eastAsiaTheme="minorHAnsi" w:cs="Arial"/>
          <w:color w:val="000000"/>
          <w:szCs w:val="18"/>
          <w:lang w:val="en-US"/>
        </w:rPr>
        <w:t xml:space="preserve">. </w:t>
      </w:r>
      <w:r w:rsidR="00356CEE">
        <w:rPr>
          <w:rFonts w:eastAsiaTheme="minorHAnsi" w:cs="Arial"/>
          <w:color w:val="000000"/>
          <w:szCs w:val="18"/>
          <w:lang w:val="pt-BR"/>
        </w:rPr>
        <w:fldChar w:fldCharType="begin" w:fldLock="1"/>
      </w:r>
      <w:r w:rsidR="00356CEE" w:rsidRPr="00D61090">
        <w:rPr>
          <w:rFonts w:eastAsiaTheme="minorHAnsi" w:cs="Arial"/>
          <w:color w:val="000000"/>
          <w:szCs w:val="18"/>
          <w:lang w:val="en-US"/>
        </w:rPr>
        <w:instrText>ADDIN CSL_CITATION { "citationItems" : [ { "id" : "ITEM-1", "itemData" : { "DOI" : "10.22159/ajpcr.2016.v9i5.13432", "ISSN" : "24553891", "abstract" : "Objective: In general, infectious diseases still known as a major contributor to the number of morbidity and mortality in the worldwide beside other diseases. Infections are ordinarily caused by viruses, bacteria, and fungi. Several human pathogenic fungi involving Aspergillus flavus, Candida albicans, and Microsporum gypseum have responsible against infectious diseases. The objective of the research was to evaluate the antifungal activity of kombucha tea against human pathogenic fungi such as A. flavus, C. albicans, and M. gypseum. Methods: The antifungal activity of the kombucha tea against A. flavus, C. albicans, and M. gypseum were tested by disc diffusion method with duration of fermentation in 6, 12, and 18 days. Results: Based on the present study, inhibitory diameter of A. flavus, C. albicans, and M. gypseum are 16.83, 15.36, and 25.06 mm, respectively. The inhibitory diameter was obtained from kombucha tea activity with duration of fermentation in 6 days. Conclusion: The results provide support for the use of kombucha tea as a potential antifungal source against human pathogenic fungi involving A. flavus, C. albicans, and M. gypseum.", "author" : [ { "dropping-particle" : "", "family" : "Yuniarto", "given" : "Ari", "non-dropping-particle" : "", "parse-names" : false, "suffix" : "" }, { "dropping-particle" : "", "family" : "Anggadiredja", "given" : "Kusnandar", "non-dropping-particle" : "", "parse-names" : false, "suffix" : "" }, { "dropping-particle" : "", "family" : "Aqidah", "given" : "Riana Annisa Nur", "non-dropping-particle" : "", "parse-names" : false, "suffix" : "" } ], "container-title" : "Asian Journal of Pharmaceutical and Clinical Research", "id" : "ITEM-1", "issue" : "5", "issued" : { "date-parts" : [ [ "2016" ] ] }, "page" : "253-255", "title" : "Antifungal activity of kombucha tea against human pathogenic fungi", "type" : "article-journal", "volume" : "9" }, "uris" : [ "http://www.mendeley.com/documents/?uuid=db976a9b-f4ca-4c8e-bcef-2c251650f7b9" ] } ], "mendeley" : { "formattedCitation" : "(Yuniarto et al., 2016)", "manualFormatting" : "Yuniarto et al. (2016)", "plainTextFormattedCitation" : "(Yuniarto et al., 2016)", "previouslyFormattedCitation" : "(Yuniarto et al., 2016)" }, "properties" : { "noteIndex" : 3 }, "schema" : "https://github.com/citation-style-language/schema/raw/master/csl-citation.json" }</w:instrText>
      </w:r>
      <w:r w:rsidR="00356CEE">
        <w:rPr>
          <w:rFonts w:eastAsiaTheme="minorHAnsi" w:cs="Arial"/>
          <w:color w:val="000000"/>
          <w:szCs w:val="18"/>
          <w:lang w:val="pt-BR"/>
        </w:rPr>
        <w:fldChar w:fldCharType="separate"/>
      </w:r>
      <w:r w:rsidR="00356CEE" w:rsidRPr="00D61090">
        <w:rPr>
          <w:rFonts w:eastAsiaTheme="minorHAnsi" w:cs="Arial"/>
          <w:noProof/>
          <w:color w:val="000000"/>
          <w:szCs w:val="18"/>
          <w:lang w:val="en-US"/>
        </w:rPr>
        <w:t>Yuniarto et al. (2016)</w:t>
      </w:r>
      <w:r w:rsidR="00356CEE">
        <w:rPr>
          <w:rFonts w:eastAsiaTheme="minorHAnsi" w:cs="Arial"/>
          <w:color w:val="000000"/>
          <w:szCs w:val="18"/>
          <w:lang w:val="pt-BR"/>
        </w:rPr>
        <w:fldChar w:fldCharType="end"/>
      </w:r>
      <w:r w:rsidRPr="00D61090">
        <w:rPr>
          <w:rFonts w:eastAsiaTheme="minorHAnsi" w:cs="Arial"/>
          <w:color w:val="000000"/>
          <w:szCs w:val="18"/>
          <w:lang w:val="en-US"/>
        </w:rPr>
        <w:t xml:space="preserve"> evaluated, using the disk diffusion technique, the antifungal activity of kombucha made with black tea at different fermentation times against fungi and found promising inhibition halos, concluding that the antimicrobial activity of kombucha is inversely proportional to </w:t>
      </w:r>
      <w:r w:rsidR="004F5211" w:rsidRPr="00D61090">
        <w:rPr>
          <w:rFonts w:eastAsiaTheme="minorHAnsi" w:cs="Arial"/>
          <w:color w:val="000000"/>
          <w:szCs w:val="18"/>
          <w:lang w:val="en-US"/>
        </w:rPr>
        <w:t xml:space="preserve">the </w:t>
      </w:r>
      <w:r w:rsidRPr="00D61090">
        <w:rPr>
          <w:rFonts w:eastAsiaTheme="minorHAnsi" w:cs="Arial"/>
          <w:color w:val="000000"/>
          <w:szCs w:val="18"/>
          <w:lang w:val="en-US"/>
        </w:rPr>
        <w:t xml:space="preserve">time of fermentation. </w:t>
      </w:r>
      <w:r w:rsidR="00356CEE">
        <w:rPr>
          <w:rFonts w:eastAsiaTheme="minorHAnsi" w:cs="Arial"/>
          <w:color w:val="000000"/>
          <w:szCs w:val="18"/>
          <w:lang w:val="pt-BR"/>
        </w:rPr>
        <w:fldChar w:fldCharType="begin" w:fldLock="1"/>
      </w:r>
      <w:r w:rsidR="00356CEE" w:rsidRPr="00D61090">
        <w:rPr>
          <w:rFonts w:eastAsiaTheme="minorHAnsi" w:cs="Arial"/>
          <w:color w:val="000000"/>
          <w:szCs w:val="18"/>
          <w:lang w:val="en-US"/>
        </w:rPr>
        <w:instrText>ADDIN CSL_CITATION { "citationItems" : [ { "id" : "ITEM-1", "itemData" : { "ISSN" : "11070625", "PMID" : "18979556", "abstract" : "Purpose: To carry out a preliminary investigation of the biological activity of Kombucha beverages from Camellia sinensis L. (black tea) and Satureja montana L. (winter savory tea), that have consuming acidity. Materials and methods: Cell growth effect was measured by sulforhodamine B colorimetric assay on HeLa (cervix epithelioid carcinoma), HT-29 (colon adenocarcinoma), and MCF-7 (breast adenocarcinoma). Antimicrobial activity to bacteria, yeasts and moulds was determined by agar-well diffusion method. Results: Consuming Kombuchas had the most expressive antimicrobial activity against all investigated bacteria, except Sarcina lutea, while unfermented tea samples had no activity. Traditional Kombucha showed higher activity against Staphylococcus aureus and Escherichia coli than acetic acid, while both neutralized Kombuchas had bacteriostatic activity on Salmonella enteritidis. Examined Kombuchas did not stimulate cell proliferation of the investigated cell lines. Antiproliferative activity of winter savory tea Kombucha was comparable to that of t</w:instrText>
      </w:r>
      <w:r w:rsidR="00356CEE">
        <w:rPr>
          <w:rFonts w:eastAsiaTheme="minorHAnsi" w:cs="Arial"/>
          <w:color w:val="000000"/>
          <w:szCs w:val="18"/>
          <w:lang w:val="pt-BR"/>
        </w:rPr>
        <w:instrText>raditional Kombucha made from black tea. Furthermore, in HeLa cell line Satureja montana L. Kombucha induced cell growth inhibition by 20% (IC20) at lower concentration compared to the activity of water extract of Satureja montana L. obtained in our previous research. Conclusion: Presence of more active antiproliferative component(s) in Satureja montana L. Kombucha compared to Satureja montana L. water extract and antimi</w:instrText>
      </w:r>
      <w:r w:rsidR="00356CEE" w:rsidRPr="00D61090">
        <w:rPr>
          <w:rFonts w:eastAsiaTheme="minorHAnsi" w:cs="Arial"/>
          <w:color w:val="000000"/>
          <w:szCs w:val="18"/>
          <w:lang w:val="en-US"/>
        </w:rPr>
        <w:instrText>crobial component(s) other than acetic acid in both Kombuchas is suggested. \u00a9 2008 Zerbinis Medical Publications.", "author" : [ { "dropping-particle" : "", "family" : "Cetojevic-Simin", "given" : "Dragana D.", "non-dropping-particle" : "", "parse-names" : false, "suffix" : "" }, { "dropping-particle" : "", "family" : "Bogdanovic", "given" : "G. M.", "non-dropping-particle" : "", "parse-names" : false, "suffix" : "" }, { "dropping-particle" : "", "family" : "Cvetkovic", "given" : "D. D.", "non-dropping-particle" : "", "parse-names" : false, "suffix" : "" }, { "dropping-particle" : "", "family" : "Velicanski", "given" : "A. S.", "non-dropping-particle" : "", "parse-names" : false, "suffix" : "" } ], "container-title" : "Journal of B.U.ON.", "id" : "ITEM-1", "issue" : "3", "issued" : { "date-parts" : [ [ "2008" ] ] }, "page" : "395-401", "title" : "Antiproliferative and antimicrobial activity of traditional Kombucha and Satureja montana L. Kombucha", "type" : "article-journal", "volume" : "13" }, "uris" : [ "http://www.mendeley.com/documents/?uuid=c3f34a9a-d6e5-42fb-99a8-9fae9895eb91" ] } ], "mendeley" : { "formattedCitation" : "(Cetojevic-Simin et al., 2008)", "manualFormatting" : "Cetojevic-Simin et al. (2008)", "plainTextFormattedCitation" : "(Cetojevic-Simin et al., 2008)", "previouslyFormattedCitation" : "(Cetojevic-Simin et al., 2008)" }, "properties" : { "noteIndex" : 3 }, "schema" : "https://github.com/citation-style-language/schema/raw/master/csl-citation.json" }</w:instrText>
      </w:r>
      <w:r w:rsidR="00356CEE">
        <w:rPr>
          <w:rFonts w:eastAsiaTheme="minorHAnsi" w:cs="Arial"/>
          <w:color w:val="000000"/>
          <w:szCs w:val="18"/>
          <w:lang w:val="pt-BR"/>
        </w:rPr>
        <w:fldChar w:fldCharType="separate"/>
      </w:r>
      <w:r w:rsidR="00356CEE" w:rsidRPr="00D61090">
        <w:rPr>
          <w:rFonts w:eastAsiaTheme="minorHAnsi" w:cs="Arial"/>
          <w:noProof/>
          <w:color w:val="000000"/>
          <w:szCs w:val="18"/>
          <w:lang w:val="en-US"/>
        </w:rPr>
        <w:t>Cetojevic-Simin et al. (2008)</w:t>
      </w:r>
      <w:r w:rsidR="00356CEE">
        <w:rPr>
          <w:rFonts w:eastAsiaTheme="minorHAnsi" w:cs="Arial"/>
          <w:color w:val="000000"/>
          <w:szCs w:val="18"/>
          <w:lang w:val="pt-BR"/>
        </w:rPr>
        <w:fldChar w:fldCharType="end"/>
      </w:r>
      <w:r w:rsidR="00356CEE" w:rsidRPr="00D61090">
        <w:rPr>
          <w:rFonts w:eastAsiaTheme="minorHAnsi" w:cs="Arial"/>
          <w:color w:val="000000"/>
          <w:szCs w:val="18"/>
          <w:lang w:val="en-US"/>
        </w:rPr>
        <w:t>,</w:t>
      </w:r>
      <w:r w:rsidRPr="00D61090">
        <w:rPr>
          <w:rFonts w:eastAsiaTheme="minorHAnsi" w:cs="Arial"/>
          <w:color w:val="000000"/>
          <w:szCs w:val="18"/>
          <w:lang w:val="en-US"/>
        </w:rPr>
        <w:t xml:space="preserve"> and </w:t>
      </w:r>
      <w:r w:rsidR="00356CEE">
        <w:rPr>
          <w:rFonts w:eastAsiaTheme="minorHAnsi" w:cs="Arial"/>
          <w:color w:val="000000"/>
          <w:szCs w:val="18"/>
          <w:lang w:val="pt-BR"/>
        </w:rPr>
        <w:fldChar w:fldCharType="begin" w:fldLock="1"/>
      </w:r>
      <w:r w:rsidR="00424946" w:rsidRPr="00D61090">
        <w:rPr>
          <w:rFonts w:eastAsiaTheme="minorHAnsi" w:cs="Arial"/>
          <w:color w:val="000000"/>
          <w:szCs w:val="18"/>
          <w:lang w:val="en-US"/>
        </w:rPr>
        <w:instrText>ADDIN CSL_CITATION { "citationItems" : [ { "id" : "ITEM-1", "itemData" : { "DOI" : "10.1016/j.lwt.2021.112726", "ISSN" : "00236438", "abstract" : "Kombucha beverage was produced using effluent from clarifying the grape must. Substrate for fermentation was prepared by diluting sterilized winery effluent to 70, 50, and 30 g/L of total sugars. Fermentation lasted for nine days at 20, 25, and 30 \u00b0C. A pleasant taste kombucha was produced. The beverage was ready to drink after three days of fermentation. From 300 mL fermentation volume, more than 40 g/L of biomass was produced at maximum temperature and sugar content. Acetic acid was the acid, with a peak concentration of 14.63 g/L after nine days at 30 \u00b0C and 70 g/L. Tartaric acid originated from the grape. Oxalic acid content was higher at the lower fermentation temperature. Produced kombucha had good antimicrobial properties. Higher temperature and sugar content promote antimicrobial activity against both Gram-positive and Gram-negative bacteria. No activity against yeast was observed. Antimicrobial properties against bacteria and acetic, tartaric, and oxalic acids content were modelled using RSM. Correlation analysis showed a positive relationship between acetic and tartaric acid content and antimicrobial activity.", "author" : [ { "dropping-particle" : "", "family" : "Vukmanovi\u0107", "given" : "Stefan", "non-dropping-particle" : "", "parse-names" : false, "suffix" : "" }, { "dropping-particle" : "", "family" : "Vitas", "given" : "Jasmina", "non-dropping-particle" : "", "parse-names" : false, "suffix" : "" }, { "dropping-particle" : "", "family" : "Ranitovi\u0107", "given" : "Aleksandra", "non-dropping-particle" : "", "parse-names" : false, "suffix" : "" }, { "dropping-particle" : "", "family" : "Cvetkovi\u0107", "given" : "Dragoljub", "non-dropping-particle" : "", "parse-names" : false, "suffix" : "" }, { "dropping-particle" : "", "family" : "Tomi\u0107", "given" : "Ana", "non-dropping-particle" : "", "parse-names" : false, "suffix" : "" }, { "dropping-particle" : "", "family" : "Malba\u0161a", "given" : "Radomir", "non-dropping-particle" : "", "parse-names" : false, "suffix" : "" } ], "container-title" : "LWT", "id" : "ITEM-1", "issued" : { "date-parts" : [ [ "2022" ] ] }, "title" : "Certain production variables and antimicrobial activity of novel winery effluent based kombucha", "type" : "article-journal", "volume" : "154" }, "uris" : [ "http://www.mendeley.com/documents/?uuid=6addffc1-a046-47b6-b1e9-4f6045fd2d2f" ] } ], "mendeley" : { "formattedCitation" : "(Vukmanovi\u0107 et al., 2022)", "manualFormatting" : "Vukmanovi\u0107 et al. (2022)", "plainTextFormattedCitation" : "(Vukmanovi\u0107 et al., 2022)", "previouslyFormattedCitation" : "(Vukmanovi\u0107 et al., 2022)" }, "properties" : { "noteIndex" : 3 }, "schema" : "https://github.com/citation-style-language/schema/raw/master/csl-citation.json" }</w:instrText>
      </w:r>
      <w:r w:rsidR="00356CEE">
        <w:rPr>
          <w:rFonts w:eastAsiaTheme="minorHAnsi" w:cs="Arial"/>
          <w:color w:val="000000"/>
          <w:szCs w:val="18"/>
          <w:lang w:val="pt-BR"/>
        </w:rPr>
        <w:fldChar w:fldCharType="separate"/>
      </w:r>
      <w:r w:rsidR="00356CEE" w:rsidRPr="00D61090">
        <w:rPr>
          <w:rFonts w:eastAsiaTheme="minorHAnsi" w:cs="Arial"/>
          <w:noProof/>
          <w:color w:val="000000"/>
          <w:szCs w:val="18"/>
          <w:lang w:val="en-US"/>
        </w:rPr>
        <w:t>Vukmanović et al. (2022)</w:t>
      </w:r>
      <w:r w:rsidR="00356CEE">
        <w:rPr>
          <w:rFonts w:eastAsiaTheme="minorHAnsi" w:cs="Arial"/>
          <w:color w:val="000000"/>
          <w:szCs w:val="18"/>
          <w:lang w:val="pt-BR"/>
        </w:rPr>
        <w:fldChar w:fldCharType="end"/>
      </w:r>
      <w:r w:rsidRPr="00D61090">
        <w:rPr>
          <w:rFonts w:eastAsiaTheme="minorHAnsi" w:cs="Arial"/>
          <w:color w:val="000000"/>
          <w:szCs w:val="18"/>
          <w:lang w:val="en-US"/>
        </w:rPr>
        <w:t xml:space="preserve"> showed kombucha inhibition results against </w:t>
      </w:r>
      <w:r w:rsidR="004F5211" w:rsidRPr="00D61090">
        <w:rPr>
          <w:rFonts w:eastAsiaTheme="minorHAnsi" w:cs="Arial"/>
          <w:color w:val="000000"/>
          <w:szCs w:val="18"/>
          <w:lang w:val="en-US"/>
        </w:rPr>
        <w:t>Gram-positive</w:t>
      </w:r>
      <w:r w:rsidRPr="00D61090">
        <w:rPr>
          <w:rFonts w:eastAsiaTheme="minorHAnsi" w:cs="Arial"/>
          <w:color w:val="000000"/>
          <w:szCs w:val="18"/>
          <w:lang w:val="en-US"/>
        </w:rPr>
        <w:t xml:space="preserve"> and </w:t>
      </w:r>
      <w:r w:rsidR="004F5211" w:rsidRPr="00D61090">
        <w:rPr>
          <w:rFonts w:eastAsiaTheme="minorHAnsi" w:cs="Arial"/>
          <w:color w:val="000000"/>
          <w:szCs w:val="18"/>
          <w:lang w:val="en-US"/>
        </w:rPr>
        <w:t>Gram-negative</w:t>
      </w:r>
      <w:r w:rsidRPr="00D61090">
        <w:rPr>
          <w:rFonts w:eastAsiaTheme="minorHAnsi" w:cs="Arial"/>
          <w:color w:val="000000"/>
          <w:szCs w:val="18"/>
          <w:lang w:val="en-US"/>
        </w:rPr>
        <w:t xml:space="preserve"> bacteria, </w:t>
      </w:r>
      <w:r w:rsidR="004F5211" w:rsidRPr="00D61090">
        <w:rPr>
          <w:rFonts w:eastAsiaTheme="minorHAnsi" w:cs="Arial"/>
          <w:color w:val="000000"/>
          <w:szCs w:val="18"/>
          <w:lang w:val="en-US"/>
        </w:rPr>
        <w:t>concluding</w:t>
      </w:r>
      <w:r w:rsidRPr="00D61090">
        <w:rPr>
          <w:rFonts w:eastAsiaTheme="minorHAnsi" w:cs="Arial"/>
          <w:color w:val="000000"/>
          <w:szCs w:val="18"/>
          <w:lang w:val="en-US"/>
        </w:rPr>
        <w:t xml:space="preserve"> that the acetic acid present in kombucha is one of the main compounds with antimicrobial action. </w:t>
      </w:r>
      <w:r w:rsidR="00870627">
        <w:rPr>
          <w:rFonts w:eastAsiaTheme="minorHAnsi" w:cs="Arial"/>
          <w:color w:val="000000"/>
          <w:szCs w:val="18"/>
          <w:lang w:val="pt-BR"/>
        </w:rPr>
        <w:fldChar w:fldCharType="begin" w:fldLock="1"/>
      </w:r>
      <w:r w:rsidR="00870627" w:rsidRPr="00D61090">
        <w:rPr>
          <w:rFonts w:eastAsiaTheme="minorHAnsi" w:cs="Arial"/>
          <w:color w:val="000000"/>
          <w:szCs w:val="18"/>
          <w:lang w:val="en-US"/>
        </w:rPr>
        <w:instrText>ADDIN CSL_CITATION { "citationItems" : [ { "id" : "ITEM-1", "itemData" : { "DOI" : "10.1016/j.lwt.2011.12.033", "ISSN" : "00236438", "abstract" : "Kombucha is a traditional refreshing beverage obtained by the fermentation of sugared tea with a powerful symbiosis of acetic bacteria and yeasts. This drink has been intensively consumed during a long time worldwide for its prophylactic and therapeutic properties. In the present study, we have screened traditional fermented black tea for antibacterial and antifungal activity against Gram (+) and Gram (-) human pathogenic bacteria (n = 7) and candida yeasts (n = 7) using agar diffusion method. Additionally, antimicrobial activity of five new fermented beverages produced from the following medicinal herbal extracts: Thymus vulgaris L., Lippia citriodora, Rosmarinus officinalis, Foeniculum vulgare and Mentha piperita noted as Kombucha-analogues were investigated, using agar diffusion method. Strong antimicrobial potentials were found with the new fermented beverages, particularly those prepared by the fermentation of L. citriodora and F. vulgare infusions, exhibiting the most important inhibition zone observed against the Candida strains tested (Candida glabrata, Candida tropicalis, Candida sake, Candida dubliniensis and Candida albicans). In view of their antimicrobial activity demonstrated against a range of pathogenic bacteria and against a number of clinical Candida species, the fermented L. citriodora and F. vulgare may be very healthful. \u00a9 2012 Elsevier Ltd.", "author" : [ { "dropping-particle" : "", "family" : "Battikh", "given" : "Houda", "non-dropping-particle" : "", "parse-names" : false, "suffix" : "" }, { "dropping-particle" : "", "family" : "Bakhrouf", "given" : "Amina", "non-dropping-particle" : "", "parse-names" : false, "suffix" : "" }, { "dropping-particle" : "", "family" : "Ammar", "given" : "Emna", "non-dropping-particle" : "", "parse-names" : false, "suffix" : "" } ], "container-title" : "LWT", "id" : "ITEM-1", "issue" : "1", "issued" : { "date-parts" : [ [ "2012" ] ] }, "page" : "71-77", "title" : "Antimicrobial effect of Kombucha analogues", "type" : "article-journal", "volume" : "47" }, "uris" : [ "http://www.mendeley.com/documents/?uuid=a0c9edf4-bf27-4358-94b8-eb67bd9761ee" ] } ], "mendeley" : { "formattedCitation" : "(Battikh et al., 2012)", "manualFormatting" : "Battikh et al. (2012)", "plainTextFormattedCitation" : "(Battikh et al., 2012)", "previouslyFormattedCitation" : "(Battikh et al., 2012)" }, "properties" : { "noteIndex" : 3 }, "schema" : "https://github.com/citation-style-language/schema/raw/master/csl-citation.json" }</w:instrText>
      </w:r>
      <w:r w:rsidR="00870627">
        <w:rPr>
          <w:rFonts w:eastAsiaTheme="minorHAnsi" w:cs="Arial"/>
          <w:color w:val="000000"/>
          <w:szCs w:val="18"/>
          <w:lang w:val="pt-BR"/>
        </w:rPr>
        <w:fldChar w:fldCharType="separate"/>
      </w:r>
      <w:r w:rsidR="00870627" w:rsidRPr="00D61090">
        <w:rPr>
          <w:rFonts w:eastAsiaTheme="minorHAnsi" w:cs="Arial"/>
          <w:noProof/>
          <w:color w:val="000000"/>
          <w:szCs w:val="18"/>
          <w:lang w:val="en-US"/>
        </w:rPr>
        <w:t>Battikh et al. (2012)</w:t>
      </w:r>
      <w:r w:rsidR="00870627">
        <w:rPr>
          <w:rFonts w:eastAsiaTheme="minorHAnsi" w:cs="Arial"/>
          <w:color w:val="000000"/>
          <w:szCs w:val="18"/>
          <w:lang w:val="pt-BR"/>
        </w:rPr>
        <w:fldChar w:fldCharType="end"/>
      </w:r>
      <w:r w:rsidRPr="00D61090">
        <w:rPr>
          <w:rFonts w:eastAsiaTheme="minorHAnsi" w:cs="Arial"/>
          <w:color w:val="000000"/>
          <w:szCs w:val="18"/>
          <w:lang w:val="en-US"/>
        </w:rPr>
        <w:t xml:space="preserve"> compared the antifungal activity of kombucha with green tea and black tea, observing inhibition over a wide range of pathogenic </w:t>
      </w:r>
      <w:r w:rsidR="00DE3F20">
        <w:rPr>
          <w:rFonts w:eastAsiaTheme="minorHAnsi" w:cs="Arial"/>
          <w:color w:val="000000"/>
          <w:szCs w:val="18"/>
          <w:lang w:val="en-US"/>
        </w:rPr>
        <w:t>candida</w:t>
      </w:r>
      <w:r w:rsidRPr="00D61090">
        <w:rPr>
          <w:rFonts w:eastAsiaTheme="minorHAnsi" w:cs="Arial"/>
          <w:color w:val="000000"/>
          <w:szCs w:val="18"/>
          <w:lang w:val="en-US"/>
        </w:rPr>
        <w:t xml:space="preserve">, with </w:t>
      </w:r>
      <w:r w:rsidR="004F5211" w:rsidRPr="00D61090">
        <w:rPr>
          <w:rFonts w:eastAsiaTheme="minorHAnsi" w:cs="Arial"/>
          <w:color w:val="000000"/>
          <w:szCs w:val="18"/>
          <w:lang w:val="en-US"/>
        </w:rPr>
        <w:t>more significant</w:t>
      </w:r>
      <w:r w:rsidRPr="00D61090">
        <w:rPr>
          <w:rFonts w:eastAsiaTheme="minorHAnsi" w:cs="Arial"/>
          <w:color w:val="000000"/>
          <w:szCs w:val="18"/>
          <w:lang w:val="en-US"/>
        </w:rPr>
        <w:t xml:space="preserve"> antifungal potential being seen in kombucha produced with green tea. They also pointed out that, in addition to acetic acid and other organic acids, the presence of biologically active components, such as bacteriocins, proteins, enzymes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phenolic compounds derived from tea may be responsible for the antimicrobial activity. Figures 3 A and 3 B show the front and reverse view</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respectively</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of </w:t>
      </w:r>
      <w:r w:rsidRPr="00DE3F20">
        <w:rPr>
          <w:rFonts w:eastAsiaTheme="minorHAnsi" w:cs="Arial"/>
          <w:i/>
          <w:iCs/>
          <w:color w:val="000000"/>
          <w:szCs w:val="18"/>
          <w:lang w:val="en-US"/>
        </w:rPr>
        <w:t>B. cinerea</w:t>
      </w:r>
      <w:r w:rsidRPr="00D61090">
        <w:rPr>
          <w:rFonts w:eastAsiaTheme="minorHAnsi" w:cs="Arial"/>
          <w:color w:val="000000"/>
          <w:szCs w:val="18"/>
          <w:lang w:val="en-US"/>
        </w:rPr>
        <w:t xml:space="preserve"> inoculated in PDA with F2H, where the </w:t>
      </w:r>
      <w:r w:rsidR="004F5211" w:rsidRPr="00D61090">
        <w:rPr>
          <w:rFonts w:eastAsiaTheme="minorHAnsi" w:cs="Arial"/>
          <w:color w:val="000000"/>
          <w:szCs w:val="18"/>
          <w:lang w:val="en-US"/>
        </w:rPr>
        <w:t>most significant</w:t>
      </w:r>
      <w:r w:rsidRPr="00D61090">
        <w:rPr>
          <w:rFonts w:eastAsiaTheme="minorHAnsi" w:cs="Arial"/>
          <w:color w:val="000000"/>
          <w:szCs w:val="18"/>
          <w:lang w:val="en-US"/>
        </w:rPr>
        <w:t xml:space="preserve"> inhibition occurred at a concentration of 50</w:t>
      </w:r>
      <w:r w:rsidR="008E21D5">
        <w:rPr>
          <w:rFonts w:eastAsiaTheme="minorHAnsi" w:cs="Arial"/>
          <w:color w:val="000000"/>
          <w:szCs w:val="18"/>
          <w:lang w:val="en-US"/>
        </w:rPr>
        <w:t xml:space="preserve"> </w:t>
      </w:r>
      <w:r w:rsidRPr="00D61090">
        <w:rPr>
          <w:rFonts w:eastAsiaTheme="minorHAnsi" w:cs="Arial"/>
          <w:color w:val="000000"/>
          <w:szCs w:val="18"/>
          <w:lang w:val="en-US"/>
        </w:rPr>
        <w:t>%, with a percentage of inhibition of 58.9</w:t>
      </w:r>
      <w:r w:rsidR="008E21D5">
        <w:rPr>
          <w:rFonts w:eastAsiaTheme="minorHAnsi" w:cs="Arial"/>
          <w:color w:val="000000"/>
          <w:szCs w:val="18"/>
          <w:lang w:val="en-US"/>
        </w:rPr>
        <w:t xml:space="preserve"> </w:t>
      </w:r>
      <w:r w:rsidRPr="00D61090">
        <w:rPr>
          <w:rFonts w:eastAsiaTheme="minorHAnsi" w:cs="Arial"/>
          <w:color w:val="000000"/>
          <w:szCs w:val="18"/>
          <w:lang w:val="en-US"/>
        </w:rPr>
        <w:t xml:space="preserve">% (Table 1) when compared to the control, followed </w:t>
      </w:r>
      <w:r w:rsidRPr="00D61090">
        <w:rPr>
          <w:rFonts w:eastAsiaTheme="minorHAnsi" w:cs="Arial"/>
          <w:color w:val="000000"/>
          <w:szCs w:val="18"/>
          <w:lang w:val="en-US"/>
        </w:rPr>
        <w:lastRenderedPageBreak/>
        <w:t>by the concentration of 25</w:t>
      </w:r>
      <w:r w:rsidR="008E21D5">
        <w:rPr>
          <w:rFonts w:eastAsiaTheme="minorHAnsi" w:cs="Arial"/>
          <w:color w:val="000000"/>
          <w:szCs w:val="18"/>
          <w:lang w:val="en-US"/>
        </w:rPr>
        <w:t xml:space="preserve"> </w:t>
      </w:r>
      <w:r w:rsidRPr="00D61090">
        <w:rPr>
          <w:rFonts w:eastAsiaTheme="minorHAnsi" w:cs="Arial"/>
          <w:color w:val="000000"/>
          <w:szCs w:val="18"/>
          <w:lang w:val="en-US"/>
        </w:rPr>
        <w:t>%, which obtained 20</w:t>
      </w:r>
      <w:r w:rsidR="008E21D5">
        <w:rPr>
          <w:rFonts w:eastAsiaTheme="minorHAnsi" w:cs="Arial"/>
          <w:color w:val="000000"/>
          <w:szCs w:val="18"/>
          <w:lang w:val="en-US"/>
        </w:rPr>
        <w:t xml:space="preserve"> </w:t>
      </w:r>
      <w:r w:rsidRPr="00D61090">
        <w:rPr>
          <w:rFonts w:eastAsiaTheme="minorHAnsi" w:cs="Arial"/>
          <w:color w:val="000000"/>
          <w:szCs w:val="18"/>
          <w:lang w:val="en-US"/>
        </w:rPr>
        <w:t xml:space="preserve">% inhibition of mycelial growth. The </w:t>
      </w:r>
      <w:r w:rsidR="004F5211" w:rsidRPr="00D61090">
        <w:rPr>
          <w:rFonts w:eastAsiaTheme="minorHAnsi" w:cs="Arial"/>
          <w:color w:val="000000"/>
          <w:szCs w:val="18"/>
          <w:lang w:val="en-US"/>
        </w:rPr>
        <w:t>12.5</w:t>
      </w:r>
      <w:r w:rsidR="008E21D5">
        <w:rPr>
          <w:rFonts w:eastAsiaTheme="minorHAnsi" w:cs="Arial"/>
          <w:color w:val="000000"/>
          <w:szCs w:val="18"/>
          <w:lang w:val="en-US"/>
        </w:rPr>
        <w:t xml:space="preserve"> </w:t>
      </w:r>
      <w:r w:rsidR="004F5211" w:rsidRPr="00D61090">
        <w:rPr>
          <w:rFonts w:eastAsiaTheme="minorHAnsi" w:cs="Arial"/>
          <w:color w:val="000000"/>
          <w:szCs w:val="18"/>
          <w:lang w:val="en-US"/>
        </w:rPr>
        <w:t>% and 6.25</w:t>
      </w:r>
      <w:r w:rsidR="008E21D5">
        <w:rPr>
          <w:rFonts w:eastAsiaTheme="minorHAnsi" w:cs="Arial"/>
          <w:color w:val="000000"/>
          <w:szCs w:val="18"/>
          <w:lang w:val="en-US"/>
        </w:rPr>
        <w:t xml:space="preserve"> </w:t>
      </w:r>
      <w:r w:rsidR="004F5211" w:rsidRPr="00D61090">
        <w:rPr>
          <w:rFonts w:eastAsiaTheme="minorHAnsi" w:cs="Arial"/>
          <w:color w:val="000000"/>
          <w:szCs w:val="18"/>
          <w:lang w:val="en-US"/>
        </w:rPr>
        <w:t xml:space="preserve">% concentrations showed less mycelial inhibition, </w:t>
      </w:r>
      <w:r w:rsidRPr="00D61090">
        <w:rPr>
          <w:rFonts w:eastAsiaTheme="minorHAnsi" w:cs="Arial"/>
          <w:color w:val="000000"/>
          <w:szCs w:val="18"/>
          <w:lang w:val="en-US"/>
        </w:rPr>
        <w:t>13.3</w:t>
      </w:r>
      <w:r w:rsidR="008E21D5">
        <w:rPr>
          <w:rFonts w:eastAsiaTheme="minorHAnsi" w:cs="Arial"/>
          <w:color w:val="000000"/>
          <w:szCs w:val="18"/>
          <w:lang w:val="en-US"/>
        </w:rPr>
        <w:t xml:space="preserve"> </w:t>
      </w:r>
      <w:r w:rsidRPr="00D61090">
        <w:rPr>
          <w:rFonts w:eastAsiaTheme="minorHAnsi" w:cs="Arial"/>
          <w:color w:val="000000"/>
          <w:szCs w:val="18"/>
          <w:lang w:val="en-US"/>
        </w:rPr>
        <w:t>%</w:t>
      </w:r>
      <w:r w:rsidR="00DE3F20">
        <w:rPr>
          <w:rFonts w:eastAsiaTheme="minorHAnsi" w:cs="Arial"/>
          <w:color w:val="000000"/>
          <w:szCs w:val="18"/>
          <w:lang w:val="en-US"/>
        </w:rPr>
        <w:t>,</w:t>
      </w:r>
      <w:r w:rsidRPr="00D61090">
        <w:rPr>
          <w:rFonts w:eastAsiaTheme="minorHAnsi" w:cs="Arial"/>
          <w:color w:val="000000"/>
          <w:szCs w:val="18"/>
          <w:lang w:val="en-US"/>
        </w:rPr>
        <w:t xml:space="preserve"> and 8.9</w:t>
      </w:r>
      <w:r w:rsidR="008E21D5">
        <w:rPr>
          <w:rFonts w:eastAsiaTheme="minorHAnsi" w:cs="Arial"/>
          <w:color w:val="000000"/>
          <w:szCs w:val="18"/>
          <w:lang w:val="en-US"/>
        </w:rPr>
        <w:t xml:space="preserve"> </w:t>
      </w:r>
      <w:r w:rsidRPr="00D61090">
        <w:rPr>
          <w:rFonts w:eastAsiaTheme="minorHAnsi" w:cs="Arial"/>
          <w:color w:val="000000"/>
          <w:szCs w:val="18"/>
          <w:lang w:val="en-US"/>
        </w:rPr>
        <w:t>%</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respectively.</w:t>
      </w:r>
    </w:p>
    <w:p w14:paraId="4FAEAA05" w14:textId="77777777" w:rsidR="005163D3" w:rsidRPr="00D61090" w:rsidRDefault="005163D3" w:rsidP="005163D3">
      <w:pPr>
        <w:autoSpaceDE w:val="0"/>
        <w:autoSpaceDN w:val="0"/>
        <w:adjustRightInd w:val="0"/>
        <w:rPr>
          <w:rFonts w:eastAsiaTheme="minorHAnsi" w:cs="Arial"/>
          <w:color w:val="000000"/>
          <w:szCs w:val="18"/>
          <w:lang w:val="en-US"/>
        </w:rPr>
      </w:pPr>
    </w:p>
    <w:p w14:paraId="575F3053" w14:textId="40B68764" w:rsidR="00B316A1" w:rsidRPr="00D61090" w:rsidRDefault="00B34DDC" w:rsidP="00A60B49">
      <w:pPr>
        <w:autoSpaceDE w:val="0"/>
        <w:autoSpaceDN w:val="0"/>
        <w:adjustRightInd w:val="0"/>
        <w:rPr>
          <w:rFonts w:eastAsiaTheme="minorHAnsi" w:cs="Arial"/>
          <w:color w:val="000000"/>
          <w:szCs w:val="18"/>
          <w:lang w:val="en-US"/>
        </w:rPr>
      </w:pPr>
      <w:r>
        <w:rPr>
          <w:rFonts w:eastAsiaTheme="minorHAnsi" w:cs="Arial"/>
          <w:noProof/>
          <w:color w:val="000000"/>
          <w:szCs w:val="18"/>
          <w:lang w:val="pt-BR"/>
        </w:rPr>
        <mc:AlternateContent>
          <mc:Choice Requires="wps">
            <w:drawing>
              <wp:anchor distT="0" distB="0" distL="114300" distR="114300" simplePos="0" relativeHeight="251665408" behindDoc="0" locked="0" layoutInCell="1" allowOverlap="1" wp14:anchorId="5F94C9AB" wp14:editId="4554B39A">
                <wp:simplePos x="0" y="0"/>
                <wp:positionH relativeFrom="column">
                  <wp:posOffset>1927860</wp:posOffset>
                </wp:positionH>
                <wp:positionV relativeFrom="paragraph">
                  <wp:posOffset>-30051</wp:posOffset>
                </wp:positionV>
                <wp:extent cx="498475" cy="245745"/>
                <wp:effectExtent l="0" t="0" r="0" b="1905"/>
                <wp:wrapNone/>
                <wp:docPr id="20" name="Caixa de Texto 20"/>
                <wp:cNvGraphicFramePr/>
                <a:graphic xmlns:a="http://schemas.openxmlformats.org/drawingml/2006/main">
                  <a:graphicData uri="http://schemas.microsoft.com/office/word/2010/wordprocessingShape">
                    <wps:wsp>
                      <wps:cNvSpPr txBox="1"/>
                      <wps:spPr>
                        <a:xfrm>
                          <a:off x="0" y="0"/>
                          <a:ext cx="498475" cy="245745"/>
                        </a:xfrm>
                        <a:prstGeom prst="rect">
                          <a:avLst/>
                        </a:prstGeom>
                        <a:noFill/>
                        <a:ln w="6350">
                          <a:noFill/>
                        </a:ln>
                      </wps:spPr>
                      <wps:txbx>
                        <w:txbxContent>
                          <w:p w14:paraId="179EDBF0" w14:textId="3FCE1147" w:rsidR="00680024" w:rsidRPr="00680024" w:rsidRDefault="00471453" w:rsidP="00680024">
                            <w:pPr>
                              <w:rPr>
                                <w:lang w:val="pt-BR"/>
                              </w:rPr>
                            </w:pPr>
                            <w:r>
                              <w:rPr>
                                <w:lang w:val="pt-BR"/>
                              </w:rPr>
                              <w:t>3</w:t>
                            </w:r>
                            <w:r w:rsidR="00CD3E6D">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C9AB" id="Caixa de Texto 20" o:spid="_x0000_s1030" type="#_x0000_t202" style="position:absolute;left:0;text-align:left;margin-left:151.8pt;margin-top:-2.35pt;width:39.2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" filled="f" stroked="f" strokeweight=".5pt">
                <v:textbox>
                  <w:txbxContent>
                    <w:p w14:paraId="179EDBF0" w14:textId="3FCE1147" w:rsidR="00680024" w:rsidRPr="00680024" w:rsidRDefault="00471453" w:rsidP="00680024">
                      <w:pPr>
                        <w:rPr>
                          <w:lang w:val="pt-BR"/>
                        </w:rPr>
                      </w:pPr>
                      <w:r>
                        <w:rPr>
                          <w:lang w:val="pt-BR"/>
                        </w:rPr>
                        <w:t>3</w:t>
                      </w:r>
                      <w:r w:rsidR="00CD3E6D">
                        <w:rPr>
                          <w:lang w:val="pt-BR"/>
                        </w:rPr>
                        <w:t>b</w:t>
                      </w:r>
                    </w:p>
                  </w:txbxContent>
                </v:textbox>
              </v:shape>
            </w:pict>
          </mc:Fallback>
        </mc:AlternateContent>
      </w:r>
      <w:r>
        <w:rPr>
          <w:rFonts w:eastAsiaTheme="minorHAnsi" w:cs="Arial"/>
          <w:noProof/>
          <w:color w:val="000000"/>
          <w:szCs w:val="18"/>
          <w:lang w:val="pt-BR"/>
        </w:rPr>
        <mc:AlternateContent>
          <mc:Choice Requires="wps">
            <w:drawing>
              <wp:anchor distT="0" distB="0" distL="114300" distR="114300" simplePos="0" relativeHeight="251671552" behindDoc="0" locked="0" layoutInCell="1" allowOverlap="1" wp14:anchorId="460872C6" wp14:editId="3574D0AF">
                <wp:simplePos x="0" y="0"/>
                <wp:positionH relativeFrom="column">
                  <wp:posOffset>498475</wp:posOffset>
                </wp:positionH>
                <wp:positionV relativeFrom="paragraph">
                  <wp:posOffset>-64752</wp:posOffset>
                </wp:positionV>
                <wp:extent cx="498475" cy="245745"/>
                <wp:effectExtent l="0" t="0" r="0" b="1905"/>
                <wp:wrapNone/>
                <wp:docPr id="25" name="Caixa de Texto 25"/>
                <wp:cNvGraphicFramePr/>
                <a:graphic xmlns:a="http://schemas.openxmlformats.org/drawingml/2006/main">
                  <a:graphicData uri="http://schemas.microsoft.com/office/word/2010/wordprocessingShape">
                    <wps:wsp>
                      <wps:cNvSpPr txBox="1"/>
                      <wps:spPr>
                        <a:xfrm>
                          <a:off x="0" y="0"/>
                          <a:ext cx="498475" cy="245745"/>
                        </a:xfrm>
                        <a:prstGeom prst="rect">
                          <a:avLst/>
                        </a:prstGeom>
                        <a:noFill/>
                        <a:ln w="6350">
                          <a:noFill/>
                        </a:ln>
                      </wps:spPr>
                      <wps:txbx>
                        <w:txbxContent>
                          <w:p w14:paraId="1D8C14C4" w14:textId="281CFF20" w:rsidR="00A60B49" w:rsidRPr="00680024" w:rsidRDefault="00A60B49" w:rsidP="00A60B49">
                            <w:pPr>
                              <w:rPr>
                                <w:lang w:val="pt-BR"/>
                              </w:rPr>
                            </w:pPr>
                            <w:r>
                              <w:rPr>
                                <w:lang w:val="pt-BR"/>
                              </w:rPr>
                              <w:t>3</w:t>
                            </w:r>
                            <w:r w:rsidR="00CD3E6D">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872C6" id="Caixa de Texto 25" o:spid="_x0000_s1031" type="#_x0000_t202" style="position:absolute;left:0;text-align:left;margin-left:39.25pt;margin-top:-5.1pt;width:39.2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" filled="f" stroked="f" strokeweight=".5pt">
                <v:textbox>
                  <w:txbxContent>
                    <w:p w14:paraId="1D8C14C4" w14:textId="281CFF20" w:rsidR="00A60B49" w:rsidRPr="00680024" w:rsidRDefault="00A60B49" w:rsidP="00A60B49">
                      <w:pPr>
                        <w:rPr>
                          <w:lang w:val="pt-BR"/>
                        </w:rPr>
                      </w:pPr>
                      <w:r>
                        <w:rPr>
                          <w:lang w:val="pt-BR"/>
                        </w:rPr>
                        <w:t>3</w:t>
                      </w:r>
                      <w:r w:rsidR="00CD3E6D">
                        <w:rPr>
                          <w:lang w:val="pt-BR"/>
                        </w:rPr>
                        <w:t>a</w:t>
                      </w:r>
                    </w:p>
                  </w:txbxContent>
                </v:textbox>
              </v:shape>
            </w:pict>
          </mc:Fallback>
        </mc:AlternateContent>
      </w:r>
      <w:r w:rsidR="00471453">
        <w:rPr>
          <w:rFonts w:eastAsiaTheme="minorHAnsi" w:cs="Arial"/>
          <w:noProof/>
          <w:color w:val="000000"/>
          <w:szCs w:val="18"/>
          <w:lang w:val="pt-BR"/>
        </w:rPr>
        <mc:AlternateContent>
          <mc:Choice Requires="wps">
            <w:drawing>
              <wp:anchor distT="0" distB="0" distL="114300" distR="114300" simplePos="0" relativeHeight="251663360" behindDoc="0" locked="0" layoutInCell="1" allowOverlap="1" wp14:anchorId="07734AF3" wp14:editId="67A7E23B">
                <wp:simplePos x="0" y="0"/>
                <wp:positionH relativeFrom="column">
                  <wp:posOffset>155444</wp:posOffset>
                </wp:positionH>
                <wp:positionV relativeFrom="paragraph">
                  <wp:posOffset>139700</wp:posOffset>
                </wp:positionV>
                <wp:extent cx="63062" cy="245745"/>
                <wp:effectExtent l="38100" t="0" r="38735" b="0"/>
                <wp:wrapNone/>
                <wp:docPr id="19" name="Caixa de Texto 19"/>
                <wp:cNvGraphicFramePr/>
                <a:graphic xmlns:a="http://schemas.openxmlformats.org/drawingml/2006/main">
                  <a:graphicData uri="http://schemas.microsoft.com/office/word/2010/wordprocessingShape">
                    <wps:wsp>
                      <wps:cNvSpPr txBox="1"/>
                      <wps:spPr>
                        <a:xfrm>
                          <a:off x="0" y="0"/>
                          <a:ext cx="63062" cy="245745"/>
                        </a:xfrm>
                        <a:prstGeom prst="rect">
                          <a:avLst/>
                        </a:prstGeom>
                        <a:noFill/>
                        <a:ln w="6350">
                          <a:noFill/>
                        </a:ln>
                      </wps:spPr>
                      <wps:txbx>
                        <w:txbxContent>
                          <w:p w14:paraId="4B8074F2" w14:textId="23CE4584" w:rsidR="00680024" w:rsidRPr="00680024" w:rsidRDefault="00680024" w:rsidP="00680024">
                            <w:pPr>
                              <w:rPr>
                                <w:lang w:val="pt-BR"/>
                              </w:rPr>
                            </w:pPr>
                            <w:r>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4AF3" id="Caixa de Texto 19" o:spid="_x0000_s1032" type="#_x0000_t202" style="position:absolute;left:0;text-align:left;margin-left:12.25pt;margin-top:11pt;width:4.95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" filled="f" stroked="f" strokeweight=".5pt">
                <v:textbox>
                  <w:txbxContent>
                    <w:p w14:paraId="4B8074F2" w14:textId="23CE4584" w:rsidR="00680024" w:rsidRPr="00680024" w:rsidRDefault="00680024" w:rsidP="00680024">
                      <w:pPr>
                        <w:rPr>
                          <w:lang w:val="pt-BR"/>
                        </w:rPr>
                      </w:pPr>
                      <w:r>
                        <w:rPr>
                          <w:lang w:val="pt-BR"/>
                        </w:rPr>
                        <w:t>A</w:t>
                      </w:r>
                    </w:p>
                  </w:txbxContent>
                </v:textbox>
              </v:shape>
            </w:pict>
          </mc:Fallback>
        </mc:AlternateContent>
      </w:r>
    </w:p>
    <w:p w14:paraId="0C20273D" w14:textId="30AA1761" w:rsidR="00186C29" w:rsidRPr="00D61090" w:rsidRDefault="00B316A1" w:rsidP="00186C29">
      <w:pPr>
        <w:autoSpaceDE w:val="0"/>
        <w:autoSpaceDN w:val="0"/>
        <w:adjustRightInd w:val="0"/>
        <w:rPr>
          <w:rFonts w:eastAsiaTheme="minorHAnsi" w:cs="Arial"/>
          <w:color w:val="000000"/>
          <w:szCs w:val="18"/>
          <w:lang w:val="en-US"/>
        </w:rPr>
      </w:pPr>
      <w:r w:rsidRPr="00B316A1">
        <w:rPr>
          <w:rFonts w:eastAsiaTheme="minorHAnsi" w:cs="Arial"/>
          <w:noProof/>
          <w:color w:val="000000"/>
          <w:szCs w:val="18"/>
          <w:lang w:val="pt-BR"/>
        </w:rPr>
        <w:drawing>
          <wp:inline distT="0" distB="0" distL="0" distR="0" wp14:anchorId="32A9677B" wp14:editId="22F6CC9F">
            <wp:extent cx="1422305" cy="1008000"/>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2305" cy="1008000"/>
                    </a:xfrm>
                    <a:prstGeom prst="rect">
                      <a:avLst/>
                    </a:prstGeom>
                  </pic:spPr>
                </pic:pic>
              </a:graphicData>
            </a:graphic>
          </wp:inline>
        </w:drawing>
      </w:r>
      <w:r w:rsidR="004D2825" w:rsidRPr="00D61090">
        <w:rPr>
          <w:rFonts w:eastAsiaTheme="minorHAnsi" w:cs="Arial"/>
          <w:color w:val="000000"/>
          <w:szCs w:val="18"/>
          <w:lang w:val="en-US"/>
        </w:rPr>
        <w:t xml:space="preserve"> </w:t>
      </w:r>
      <w:r w:rsidR="004D2825" w:rsidRPr="00B316A1">
        <w:rPr>
          <w:rFonts w:eastAsiaTheme="minorHAnsi" w:cs="Arial"/>
          <w:noProof/>
          <w:color w:val="000000"/>
          <w:szCs w:val="18"/>
          <w:lang w:val="pt-BR"/>
        </w:rPr>
        <w:drawing>
          <wp:inline distT="0" distB="0" distL="0" distR="0" wp14:anchorId="58D124E9" wp14:editId="48F17B9A">
            <wp:extent cx="1413937" cy="1008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3937" cy="1008000"/>
                    </a:xfrm>
                    <a:prstGeom prst="rect">
                      <a:avLst/>
                    </a:prstGeom>
                  </pic:spPr>
                </pic:pic>
              </a:graphicData>
            </a:graphic>
          </wp:inline>
        </w:drawing>
      </w:r>
    </w:p>
    <w:p w14:paraId="05C8EA73" w14:textId="36A4FAF5" w:rsidR="00154EDB" w:rsidRPr="00D61090" w:rsidRDefault="00154EDB" w:rsidP="00154EDB">
      <w:pPr>
        <w:autoSpaceDE w:val="0"/>
        <w:autoSpaceDN w:val="0"/>
        <w:adjustRightInd w:val="0"/>
        <w:rPr>
          <w:rFonts w:eastAsiaTheme="minorHAnsi" w:cs="Arial"/>
          <w:i/>
          <w:iCs/>
          <w:color w:val="000000"/>
          <w:szCs w:val="18"/>
          <w:lang w:val="en-US"/>
        </w:rPr>
      </w:pPr>
      <w:r w:rsidRPr="00D61090">
        <w:rPr>
          <w:rFonts w:eastAsiaTheme="minorHAnsi" w:cs="Arial"/>
          <w:i/>
          <w:iCs/>
          <w:color w:val="000000"/>
          <w:szCs w:val="18"/>
          <w:lang w:val="en-US"/>
        </w:rPr>
        <w:t>Figure 3</w:t>
      </w:r>
      <w:r w:rsidR="00CD3E6D">
        <w:rPr>
          <w:rFonts w:eastAsiaTheme="minorHAnsi" w:cs="Arial"/>
          <w:i/>
          <w:iCs/>
          <w:color w:val="000000"/>
          <w:szCs w:val="18"/>
          <w:lang w:val="en-US"/>
        </w:rPr>
        <w:t>a</w:t>
      </w:r>
      <w:r w:rsidRPr="00D61090">
        <w:rPr>
          <w:rFonts w:eastAsiaTheme="minorHAnsi" w:cs="Arial"/>
          <w:i/>
          <w:iCs/>
          <w:color w:val="000000"/>
          <w:szCs w:val="18"/>
          <w:lang w:val="en-US"/>
        </w:rPr>
        <w:t>: Front of the colony of B. cinerea in PDA and 3</w:t>
      </w:r>
      <w:r w:rsidR="00CD3E6D">
        <w:rPr>
          <w:rFonts w:eastAsiaTheme="minorHAnsi" w:cs="Arial"/>
          <w:i/>
          <w:iCs/>
          <w:color w:val="000000"/>
          <w:szCs w:val="18"/>
          <w:lang w:val="en-US"/>
        </w:rPr>
        <w:t>b</w:t>
      </w:r>
      <w:r w:rsidRPr="00D61090">
        <w:rPr>
          <w:rFonts w:eastAsiaTheme="minorHAnsi" w:cs="Arial"/>
          <w:i/>
          <w:iCs/>
          <w:color w:val="000000"/>
          <w:szCs w:val="18"/>
          <w:lang w:val="en-US"/>
        </w:rPr>
        <w:t>: Reverse of the colony of B. cinerea in F2H of kombucha at concentrations of 50</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12.5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and 6.25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w:t>
      </w:r>
    </w:p>
    <w:p w14:paraId="64C21C6A" w14:textId="77777777" w:rsidR="00154EDB" w:rsidRPr="00D61090" w:rsidRDefault="00154EDB" w:rsidP="00186C29">
      <w:pPr>
        <w:autoSpaceDE w:val="0"/>
        <w:autoSpaceDN w:val="0"/>
        <w:adjustRightInd w:val="0"/>
        <w:rPr>
          <w:rFonts w:eastAsiaTheme="minorHAnsi" w:cs="Arial"/>
          <w:color w:val="000000"/>
          <w:szCs w:val="18"/>
          <w:lang w:val="en-US"/>
        </w:rPr>
      </w:pPr>
    </w:p>
    <w:p w14:paraId="7FF099F6" w14:textId="4340F11F" w:rsidR="005163D3" w:rsidRPr="00D61090" w:rsidRDefault="005163D3" w:rsidP="005163D3">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 xml:space="preserve">Studies carried out with hibiscus revealed the presence of probable active compounds in the antimicrobial activity. Chao and Yin (2009) used the alcoholic and aqueous extract of hibiscus calyx and protocatechuic acid against bacteria, reporting a possible relationship between the </w:t>
      </w:r>
      <w:r w:rsidR="004F5211" w:rsidRPr="00D61090">
        <w:rPr>
          <w:rFonts w:eastAsiaTheme="minorHAnsi" w:cs="Arial"/>
          <w:color w:val="000000"/>
          <w:szCs w:val="18"/>
          <w:lang w:val="en-US"/>
        </w:rPr>
        <w:t>number</w:t>
      </w:r>
      <w:r w:rsidRPr="00D61090">
        <w:rPr>
          <w:rFonts w:eastAsiaTheme="minorHAnsi" w:cs="Arial"/>
          <w:color w:val="000000"/>
          <w:szCs w:val="18"/>
          <w:lang w:val="en-US"/>
        </w:rPr>
        <w:t xml:space="preserve"> of phenolic compounds, anthocyanins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the antimicrobial activity of hibiscus, suggesting their efficiency as </w:t>
      </w:r>
      <w:proofErr w:type="spellStart"/>
      <w:r w:rsidRPr="00D61090">
        <w:rPr>
          <w:rFonts w:eastAsiaTheme="minorHAnsi" w:cs="Arial"/>
          <w:color w:val="000000"/>
          <w:szCs w:val="18"/>
          <w:lang w:val="en-US"/>
        </w:rPr>
        <w:t>antibacterials</w:t>
      </w:r>
      <w:proofErr w:type="spellEnd"/>
      <w:r w:rsidRPr="00D61090">
        <w:rPr>
          <w:rFonts w:eastAsiaTheme="minorHAnsi" w:cs="Arial"/>
          <w:color w:val="000000"/>
          <w:szCs w:val="18"/>
          <w:lang w:val="en-US"/>
        </w:rPr>
        <w:t xml:space="preserve"> in foods. Figures 4 A and 4 B show the frontal and reverse view of </w:t>
      </w:r>
      <w:r w:rsidRPr="00DE3F20">
        <w:rPr>
          <w:rFonts w:eastAsiaTheme="minorHAnsi" w:cs="Arial"/>
          <w:i/>
          <w:iCs/>
          <w:color w:val="000000"/>
          <w:szCs w:val="18"/>
          <w:lang w:val="en-US"/>
        </w:rPr>
        <w:t xml:space="preserve">B. </w:t>
      </w:r>
      <w:r w:rsidR="004F5211" w:rsidRPr="00DE3F20">
        <w:rPr>
          <w:rFonts w:eastAsiaTheme="minorHAnsi" w:cs="Arial"/>
          <w:i/>
          <w:iCs/>
          <w:color w:val="000000"/>
          <w:szCs w:val="18"/>
          <w:lang w:val="en-US"/>
        </w:rPr>
        <w:t>cin</w:t>
      </w:r>
      <w:r w:rsidR="00DE3F20" w:rsidRPr="00DE3F20">
        <w:rPr>
          <w:rFonts w:eastAsiaTheme="minorHAnsi" w:cs="Arial"/>
          <w:i/>
          <w:iCs/>
          <w:color w:val="000000"/>
          <w:szCs w:val="18"/>
          <w:lang w:val="en-US"/>
        </w:rPr>
        <w:t>e</w:t>
      </w:r>
      <w:r w:rsidR="004F5211" w:rsidRPr="00DE3F20">
        <w:rPr>
          <w:rFonts w:eastAsiaTheme="minorHAnsi" w:cs="Arial"/>
          <w:i/>
          <w:iCs/>
          <w:color w:val="000000"/>
          <w:szCs w:val="18"/>
          <w:lang w:val="en-US"/>
        </w:rPr>
        <w:t>rea</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respectively inoculated in PDA with hibiscus tea, where according to the results shown in table 1, the concentrations of 50</w:t>
      </w:r>
      <w:r w:rsidR="00E2323C">
        <w:rPr>
          <w:rFonts w:eastAsiaTheme="minorHAnsi" w:cs="Arial"/>
          <w:color w:val="000000"/>
          <w:szCs w:val="18"/>
          <w:lang w:val="en-US"/>
        </w:rPr>
        <w:t xml:space="preserve"> </w:t>
      </w:r>
      <w:r w:rsidRPr="00D61090">
        <w:rPr>
          <w:rFonts w:eastAsiaTheme="minorHAnsi" w:cs="Arial"/>
          <w:color w:val="000000"/>
          <w:szCs w:val="18"/>
          <w:lang w:val="en-US"/>
        </w:rPr>
        <w:t>%, 25</w:t>
      </w:r>
      <w:r w:rsidR="00E2323C">
        <w:rPr>
          <w:rFonts w:eastAsiaTheme="minorHAnsi" w:cs="Arial"/>
          <w:color w:val="000000"/>
          <w:szCs w:val="18"/>
          <w:lang w:val="en-US"/>
        </w:rPr>
        <w:t xml:space="preserve"> </w:t>
      </w:r>
      <w:r w:rsidRPr="00D61090">
        <w:rPr>
          <w:rFonts w:eastAsiaTheme="minorHAnsi" w:cs="Arial"/>
          <w:color w:val="000000"/>
          <w:szCs w:val="18"/>
          <w:lang w:val="en-US"/>
        </w:rPr>
        <w:t>%, 12.5</w:t>
      </w:r>
      <w:r w:rsidR="00E2323C">
        <w:rPr>
          <w:rFonts w:eastAsiaTheme="minorHAnsi" w:cs="Arial"/>
          <w:color w:val="000000"/>
          <w:szCs w:val="18"/>
          <w:lang w:val="en-US"/>
        </w:rPr>
        <w:t xml:space="preserve"> </w:t>
      </w:r>
      <w:r w:rsidRPr="00D61090">
        <w:rPr>
          <w:rFonts w:eastAsiaTheme="minorHAnsi" w:cs="Arial"/>
          <w:color w:val="000000"/>
          <w:szCs w:val="18"/>
          <w:lang w:val="en-US"/>
        </w:rPr>
        <w:t>% showed inhibition of 21.1</w:t>
      </w:r>
      <w:r w:rsidR="00E2323C">
        <w:rPr>
          <w:rFonts w:eastAsiaTheme="minorHAnsi" w:cs="Arial"/>
          <w:color w:val="000000"/>
          <w:szCs w:val="18"/>
          <w:lang w:val="en-US"/>
        </w:rPr>
        <w:t xml:space="preserve"> </w:t>
      </w:r>
      <w:r w:rsidRPr="00D61090">
        <w:rPr>
          <w:rFonts w:eastAsiaTheme="minorHAnsi" w:cs="Arial"/>
          <w:color w:val="000000"/>
          <w:szCs w:val="18"/>
          <w:lang w:val="en-US"/>
        </w:rPr>
        <w:t>%, 12.2</w:t>
      </w:r>
      <w:r w:rsidR="008E21D5">
        <w:rPr>
          <w:rFonts w:eastAsiaTheme="minorHAnsi" w:cs="Arial"/>
          <w:color w:val="000000"/>
          <w:szCs w:val="18"/>
          <w:lang w:val="en-US"/>
        </w:rPr>
        <w:t xml:space="preserve"> </w:t>
      </w:r>
      <w:r w:rsidRPr="00D61090">
        <w:rPr>
          <w:rFonts w:eastAsiaTheme="minorHAnsi" w:cs="Arial"/>
          <w:color w:val="000000"/>
          <w:szCs w:val="18"/>
          <w:lang w:val="en-US"/>
        </w:rPr>
        <w:t>%, 2.2</w:t>
      </w:r>
      <w:r w:rsidR="008E21D5">
        <w:rPr>
          <w:rFonts w:eastAsiaTheme="minorHAnsi" w:cs="Arial"/>
          <w:color w:val="000000"/>
          <w:szCs w:val="18"/>
          <w:lang w:val="en-US"/>
        </w:rPr>
        <w:t xml:space="preserve"> </w:t>
      </w:r>
      <w:r w:rsidRPr="00D61090">
        <w:rPr>
          <w:rFonts w:eastAsiaTheme="minorHAnsi" w:cs="Arial"/>
          <w:color w:val="000000"/>
          <w:szCs w:val="18"/>
          <w:lang w:val="en-US"/>
        </w:rPr>
        <w:t>% respectively and the concentration of 6.25</w:t>
      </w:r>
      <w:r w:rsidR="00E2323C">
        <w:rPr>
          <w:rFonts w:eastAsiaTheme="minorHAnsi" w:cs="Arial"/>
          <w:color w:val="000000"/>
          <w:szCs w:val="18"/>
          <w:lang w:val="en-US"/>
        </w:rPr>
        <w:t xml:space="preserve"> </w:t>
      </w:r>
      <w:r w:rsidRPr="00D61090">
        <w:rPr>
          <w:rFonts w:eastAsiaTheme="minorHAnsi" w:cs="Arial"/>
          <w:color w:val="000000"/>
          <w:szCs w:val="18"/>
          <w:lang w:val="en-US"/>
        </w:rPr>
        <w:t>% did not show inhibitory activity when compared to the control.</w:t>
      </w:r>
    </w:p>
    <w:p w14:paraId="3338BBC7" w14:textId="65B98CE3" w:rsidR="00186C29" w:rsidRPr="00D61090" w:rsidRDefault="00E917DC" w:rsidP="005163D3">
      <w:pPr>
        <w:autoSpaceDE w:val="0"/>
        <w:autoSpaceDN w:val="0"/>
        <w:adjustRightInd w:val="0"/>
        <w:rPr>
          <w:rFonts w:eastAsiaTheme="minorHAnsi" w:cs="Arial"/>
          <w:color w:val="000000"/>
          <w:szCs w:val="18"/>
          <w:lang w:val="en-US"/>
        </w:rPr>
      </w:pPr>
      <w:r>
        <w:rPr>
          <w:rFonts w:eastAsiaTheme="minorHAnsi" w:cs="Arial"/>
          <w:noProof/>
          <w:color w:val="000000"/>
          <w:szCs w:val="18"/>
          <w:lang w:val="pt-BR"/>
        </w:rPr>
        <mc:AlternateContent>
          <mc:Choice Requires="wps">
            <w:drawing>
              <wp:anchor distT="0" distB="0" distL="114300" distR="114300" simplePos="0" relativeHeight="251669504" behindDoc="0" locked="0" layoutInCell="1" allowOverlap="1" wp14:anchorId="03A5DBCF" wp14:editId="5622E2E0">
                <wp:simplePos x="0" y="0"/>
                <wp:positionH relativeFrom="column">
                  <wp:posOffset>1478059</wp:posOffset>
                </wp:positionH>
                <wp:positionV relativeFrom="paragraph">
                  <wp:posOffset>88123</wp:posOffset>
                </wp:positionV>
                <wp:extent cx="436418" cy="245745"/>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436418" cy="245745"/>
                        </a:xfrm>
                        <a:prstGeom prst="rect">
                          <a:avLst/>
                        </a:prstGeom>
                        <a:noFill/>
                        <a:ln w="6350">
                          <a:noFill/>
                        </a:ln>
                      </wps:spPr>
                      <wps:txbx>
                        <w:txbxContent>
                          <w:p w14:paraId="110E3833" w14:textId="0205B92C" w:rsidR="00680024" w:rsidRPr="00680024" w:rsidRDefault="00471453" w:rsidP="00680024">
                            <w:pPr>
                              <w:rPr>
                                <w:lang w:val="pt-BR"/>
                              </w:rPr>
                            </w:pPr>
                            <w:r>
                              <w:rPr>
                                <w:lang w:val="pt-BR"/>
                              </w:rPr>
                              <w:t>4</w:t>
                            </w:r>
                            <w:r w:rsidR="00B03281">
                              <w:rPr>
                                <w:lang w:val="pt-B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DBCF" id="Caixa de Texto 22" o:spid="_x0000_s1033" type="#_x0000_t202" style="position:absolute;left:0;text-align:left;margin-left:116.4pt;margin-top:6.95pt;width:34.35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" filled="f" stroked="f" strokeweight=".5pt">
                <v:textbox>
                  <w:txbxContent>
                    <w:p w14:paraId="110E3833" w14:textId="0205B92C" w:rsidR="00680024" w:rsidRPr="00680024" w:rsidRDefault="00471453" w:rsidP="00680024">
                      <w:pPr>
                        <w:rPr>
                          <w:lang w:val="pt-BR"/>
                        </w:rPr>
                      </w:pPr>
                      <w:r>
                        <w:rPr>
                          <w:lang w:val="pt-BR"/>
                        </w:rPr>
                        <w:t>4</w:t>
                      </w:r>
                      <w:r w:rsidR="00B03281">
                        <w:rPr>
                          <w:lang w:val="pt-BR"/>
                        </w:rPr>
                        <w:t>b</w:t>
                      </w:r>
                    </w:p>
                  </w:txbxContent>
                </v:textbox>
              </v:shape>
            </w:pict>
          </mc:Fallback>
        </mc:AlternateContent>
      </w:r>
      <w:r w:rsidR="00E11FF1">
        <w:rPr>
          <w:rFonts w:eastAsiaTheme="minorHAnsi" w:cs="Arial"/>
          <w:noProof/>
          <w:color w:val="000000"/>
          <w:szCs w:val="18"/>
          <w:lang w:val="pt-BR"/>
        </w:rPr>
        <mc:AlternateContent>
          <mc:Choice Requires="wps">
            <w:drawing>
              <wp:anchor distT="0" distB="0" distL="114300" distR="114300" simplePos="0" relativeHeight="251667456" behindDoc="0" locked="0" layoutInCell="1" allowOverlap="1" wp14:anchorId="2D7EBB20" wp14:editId="5F6E0769">
                <wp:simplePos x="0" y="0"/>
                <wp:positionH relativeFrom="column">
                  <wp:posOffset>391886</wp:posOffset>
                </wp:positionH>
                <wp:positionV relativeFrom="paragraph">
                  <wp:posOffset>67193</wp:posOffset>
                </wp:positionV>
                <wp:extent cx="332509" cy="245745"/>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332509" cy="245745"/>
                        </a:xfrm>
                        <a:prstGeom prst="rect">
                          <a:avLst/>
                        </a:prstGeom>
                        <a:noFill/>
                        <a:ln w="6350">
                          <a:noFill/>
                        </a:ln>
                      </wps:spPr>
                      <wps:txbx>
                        <w:txbxContent>
                          <w:p w14:paraId="153426B7" w14:textId="62E46ED5" w:rsidR="00680024" w:rsidRPr="00680024" w:rsidRDefault="00471453" w:rsidP="00680024">
                            <w:pPr>
                              <w:rPr>
                                <w:lang w:val="pt-BR"/>
                              </w:rPr>
                            </w:pPr>
                            <w:r>
                              <w:rPr>
                                <w:lang w:val="pt-BR"/>
                              </w:rPr>
                              <w:t>4</w:t>
                            </w:r>
                            <w:r w:rsidR="00B03281">
                              <w:rPr>
                                <w:lang w:val="pt-B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EBB20" id="Caixa de Texto 21" o:spid="_x0000_s1034" type="#_x0000_t202" style="position:absolute;left:0;text-align:left;margin-left:30.85pt;margin-top:5.3pt;width:26.2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" filled="f" stroked="f" strokeweight=".5pt">
                <v:textbox>
                  <w:txbxContent>
                    <w:p w14:paraId="153426B7" w14:textId="62E46ED5" w:rsidR="00680024" w:rsidRPr="00680024" w:rsidRDefault="00471453" w:rsidP="00680024">
                      <w:pPr>
                        <w:rPr>
                          <w:lang w:val="pt-BR"/>
                        </w:rPr>
                      </w:pPr>
                      <w:r>
                        <w:rPr>
                          <w:lang w:val="pt-BR"/>
                        </w:rPr>
                        <w:t>4</w:t>
                      </w:r>
                      <w:r w:rsidR="00B03281">
                        <w:rPr>
                          <w:lang w:val="pt-BR"/>
                        </w:rPr>
                        <w:t>a</w:t>
                      </w:r>
                    </w:p>
                  </w:txbxContent>
                </v:textbox>
              </v:shape>
            </w:pict>
          </mc:Fallback>
        </mc:AlternateContent>
      </w:r>
    </w:p>
    <w:p w14:paraId="249F2F7B" w14:textId="68533CEC" w:rsidR="00B316A1" w:rsidRPr="00D61090" w:rsidRDefault="00B316A1" w:rsidP="00186C29">
      <w:pPr>
        <w:autoSpaceDE w:val="0"/>
        <w:autoSpaceDN w:val="0"/>
        <w:adjustRightInd w:val="0"/>
        <w:rPr>
          <w:rFonts w:eastAsiaTheme="minorHAnsi" w:cs="Arial"/>
          <w:color w:val="000000"/>
          <w:szCs w:val="18"/>
          <w:lang w:val="en-US"/>
        </w:rPr>
      </w:pPr>
    </w:p>
    <w:p w14:paraId="6D81A787" w14:textId="63FE8B5F" w:rsidR="00B316A1" w:rsidRPr="00D61090" w:rsidRDefault="00B316A1" w:rsidP="00186C29">
      <w:pPr>
        <w:autoSpaceDE w:val="0"/>
        <w:autoSpaceDN w:val="0"/>
        <w:adjustRightInd w:val="0"/>
        <w:rPr>
          <w:rFonts w:eastAsiaTheme="minorHAnsi" w:cs="Arial"/>
          <w:color w:val="000000"/>
          <w:szCs w:val="18"/>
          <w:lang w:val="en-US"/>
        </w:rPr>
      </w:pPr>
      <w:r w:rsidRPr="00B316A1">
        <w:rPr>
          <w:rFonts w:eastAsiaTheme="minorHAnsi" w:cs="Arial"/>
          <w:noProof/>
          <w:color w:val="000000"/>
          <w:szCs w:val="18"/>
          <w:lang w:val="pt-BR"/>
        </w:rPr>
        <w:drawing>
          <wp:inline distT="0" distB="0" distL="0" distR="0" wp14:anchorId="03DCBD02" wp14:editId="30392D96">
            <wp:extent cx="1080000" cy="76513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765138"/>
                    </a:xfrm>
                    <a:prstGeom prst="rect">
                      <a:avLst/>
                    </a:prstGeom>
                  </pic:spPr>
                </pic:pic>
              </a:graphicData>
            </a:graphic>
          </wp:inline>
        </w:drawing>
      </w:r>
      <w:r w:rsidR="00680024" w:rsidRPr="00D61090">
        <w:rPr>
          <w:rFonts w:eastAsiaTheme="minorHAnsi" w:cs="Arial"/>
          <w:color w:val="000000"/>
          <w:szCs w:val="18"/>
          <w:lang w:val="en-US"/>
        </w:rPr>
        <w:t xml:space="preserve">  </w:t>
      </w:r>
      <w:r w:rsidR="00680024" w:rsidRPr="00B316A1">
        <w:rPr>
          <w:rFonts w:eastAsiaTheme="minorHAnsi" w:cs="Arial"/>
          <w:noProof/>
          <w:color w:val="000000"/>
          <w:szCs w:val="18"/>
          <w:lang w:val="pt-BR"/>
        </w:rPr>
        <w:drawing>
          <wp:inline distT="0" distB="0" distL="0" distR="0" wp14:anchorId="3735B246" wp14:editId="2204FD73">
            <wp:extent cx="1080000" cy="768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768000"/>
                    </a:xfrm>
                    <a:prstGeom prst="rect">
                      <a:avLst/>
                    </a:prstGeom>
                  </pic:spPr>
                </pic:pic>
              </a:graphicData>
            </a:graphic>
          </wp:inline>
        </w:drawing>
      </w:r>
    </w:p>
    <w:p w14:paraId="268C0310" w14:textId="420EEE25" w:rsidR="00154EDB" w:rsidRPr="00D61090" w:rsidRDefault="00154EDB" w:rsidP="00154EDB">
      <w:pPr>
        <w:autoSpaceDE w:val="0"/>
        <w:autoSpaceDN w:val="0"/>
        <w:adjustRightInd w:val="0"/>
        <w:rPr>
          <w:rFonts w:eastAsiaTheme="minorHAnsi" w:cs="Arial"/>
          <w:i/>
          <w:iCs/>
          <w:color w:val="000000"/>
          <w:szCs w:val="18"/>
          <w:lang w:val="en-US"/>
        </w:rPr>
      </w:pPr>
      <w:r w:rsidRPr="00D61090">
        <w:rPr>
          <w:rFonts w:eastAsiaTheme="minorHAnsi" w:cs="Arial"/>
          <w:i/>
          <w:iCs/>
          <w:color w:val="000000"/>
          <w:szCs w:val="18"/>
          <w:lang w:val="en-US"/>
        </w:rPr>
        <w:t>Figure 4</w:t>
      </w:r>
      <w:r w:rsidR="00B03281">
        <w:rPr>
          <w:rFonts w:eastAsiaTheme="minorHAnsi" w:cs="Arial"/>
          <w:i/>
          <w:iCs/>
          <w:color w:val="000000"/>
          <w:szCs w:val="18"/>
          <w:lang w:val="en-US"/>
        </w:rPr>
        <w:t>a</w:t>
      </w:r>
      <w:r w:rsidRPr="00D61090">
        <w:rPr>
          <w:rFonts w:eastAsiaTheme="minorHAnsi" w:cs="Arial"/>
          <w:i/>
          <w:iCs/>
          <w:color w:val="000000"/>
          <w:szCs w:val="18"/>
          <w:lang w:val="en-US"/>
        </w:rPr>
        <w:t>: Front of the colony of B. cinerea in PDA and 4</w:t>
      </w:r>
      <w:r w:rsidR="00B03281">
        <w:rPr>
          <w:rFonts w:eastAsiaTheme="minorHAnsi" w:cs="Arial"/>
          <w:i/>
          <w:iCs/>
          <w:color w:val="000000"/>
          <w:szCs w:val="18"/>
          <w:lang w:val="en-US"/>
        </w:rPr>
        <w:t>b</w:t>
      </w:r>
      <w:r w:rsidRPr="00D61090">
        <w:rPr>
          <w:rFonts w:eastAsiaTheme="minorHAnsi" w:cs="Arial"/>
          <w:i/>
          <w:iCs/>
          <w:color w:val="000000"/>
          <w:szCs w:val="18"/>
          <w:lang w:val="en-US"/>
        </w:rPr>
        <w:t>: Reverse of the colony of B. cinerea in hibiscus tea at concentrations of 50</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12.5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 and 6.25</w:t>
      </w:r>
      <w:r w:rsidR="00E2323C">
        <w:rPr>
          <w:rFonts w:eastAsiaTheme="minorHAnsi" w:cs="Arial"/>
          <w:i/>
          <w:iCs/>
          <w:color w:val="000000"/>
          <w:szCs w:val="18"/>
          <w:lang w:val="en-US"/>
        </w:rPr>
        <w:t xml:space="preserve"> </w:t>
      </w:r>
      <w:r w:rsidRPr="00D61090">
        <w:rPr>
          <w:rFonts w:eastAsiaTheme="minorHAnsi" w:cs="Arial"/>
          <w:i/>
          <w:iCs/>
          <w:color w:val="000000"/>
          <w:szCs w:val="18"/>
          <w:lang w:val="en-US"/>
        </w:rPr>
        <w:t>%</w:t>
      </w:r>
    </w:p>
    <w:p w14:paraId="349B8175" w14:textId="3691B677" w:rsidR="00B316A1" w:rsidRPr="00D61090" w:rsidRDefault="00186C29" w:rsidP="00186C29">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 xml:space="preserve"> </w:t>
      </w:r>
    </w:p>
    <w:p w14:paraId="6F06E42A" w14:textId="213852AF" w:rsidR="00186C29" w:rsidRPr="00D61090" w:rsidRDefault="005163D3" w:rsidP="00186C29">
      <w:pPr>
        <w:autoSpaceDE w:val="0"/>
        <w:autoSpaceDN w:val="0"/>
        <w:adjustRightInd w:val="0"/>
        <w:rPr>
          <w:rFonts w:eastAsiaTheme="minorHAnsi" w:cs="Arial"/>
          <w:color w:val="000000"/>
          <w:szCs w:val="18"/>
          <w:lang w:val="en-US"/>
        </w:rPr>
      </w:pPr>
      <w:r w:rsidRPr="00D61090">
        <w:rPr>
          <w:rFonts w:eastAsiaTheme="minorHAnsi" w:cs="Arial"/>
          <w:color w:val="000000"/>
          <w:szCs w:val="18"/>
          <w:lang w:val="en-US"/>
        </w:rPr>
        <w:t>When comparing the antimicrobial activity of F1, F2H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hibiscus tea, it is observed that the best inhibition occurred in F1, followed by F2H, with hibiscus tea showing the lowest inhibition. Hibiscus with kombucha (F2H) had its potentiated inhibition effect. </w:t>
      </w:r>
      <w:r w:rsidR="003048A2">
        <w:rPr>
          <w:rFonts w:eastAsiaTheme="minorHAnsi" w:cs="Arial"/>
          <w:color w:val="000000"/>
          <w:szCs w:val="18"/>
          <w:lang w:val="pt-BR"/>
        </w:rPr>
        <w:fldChar w:fldCharType="begin" w:fldLock="1"/>
      </w:r>
      <w:r w:rsidR="003048A2" w:rsidRPr="00D61090">
        <w:rPr>
          <w:rFonts w:eastAsiaTheme="minorHAnsi" w:cs="Arial"/>
          <w:color w:val="000000"/>
          <w:szCs w:val="18"/>
          <w:lang w:val="en-US"/>
        </w:rPr>
        <w:instrText>ADDIN CSL_CITATION { "citationItems" : [ { "id" : "ITEM-1", "itemData" : { "author" : [ { "dropping-particle" : "", "family" : "Mazuchi-Brizzotti; Lemes, N. S.;Siqueira, T. H.; Ribeiro, J. P. Z.; Maschio-Lima, M. D.;Almeida, T.; Polaquini, B. G.; Regasini, C. R.; Castilho, L. O.; Almeida, E. M.; Gottardo", "given" : "M. T.", "non-dropping-particle" : "", "parse-names" : false, "suffix" : "" } ], "container-title" : "Simp\u00f3sio de Microbiologia de Rond\u00f4nia: Sa\u00fade, Ambiente e Inova\u00e7\u00e3o", "id" : "ITEM-1", "issued" : { "date-parts" : [ [ "2021" ] ] }, "title" : "Atividade antif\u00fangica do extrato da infus\u00e3o de Hibiscus sabdariffa com kombucha contra Trichophyton rubrum", "type" : "paper-conference" }, "uris" : [ "http://www.mendeley.com/documents/?uuid=ad22b580-a9fb-4dad-8935-a96c0943dce8" ] } ], "mendeley" : { "formattedCitation" : "(Mazuchi-Brizzotti; Lemes, N. S.;Siqueira, T. H.; Ribeiro, J. P. Z.; Maschio-Lima, M. D.;Almeida, T.; Polaquini, B. G.; Regasini, C. R.; Castilho, L. O.; Almeida, E. M.; Gottardo, 2021)", "manualFormatting" : "Mazuchi-Brizzotti et al. (2021)", "plainTextFormattedCitation" : "(Mazuchi-Brizzotti; Lemes, N. S.;Siqueira, T. H.; Ribeiro, J. P. Z.; Maschio-Lima, M. D.;Almeida, T.; Polaquini, B. G.; Regasini, C. R.; Castilho, L. O.; Almeida, E. M.; Gottardo, 2021)", "previouslyFormattedCitation" : "(Mazuchi-Brizzotti; Lemes, N. S.;Siqueira, T. H.; Ribeiro, J. P. Z.; Maschio-Lima, M. D.;Almeida, T.; Polaquini, B. G.; Regasini, C. R.; Castilho, L. O.; Almeida, E. M.; Gottardo, 2021)" }, "properties" : { "noteIndex" : 4 }, "schema" : "https://github.com/citation-style-language/schema/raw/master/csl-citation.json" }</w:instrText>
      </w:r>
      <w:r w:rsidR="003048A2">
        <w:rPr>
          <w:rFonts w:eastAsiaTheme="minorHAnsi" w:cs="Arial"/>
          <w:color w:val="000000"/>
          <w:szCs w:val="18"/>
          <w:lang w:val="pt-BR"/>
        </w:rPr>
        <w:fldChar w:fldCharType="separate"/>
      </w:r>
      <w:r w:rsidR="003048A2" w:rsidRPr="00D61090">
        <w:rPr>
          <w:rFonts w:eastAsiaTheme="minorHAnsi" w:cs="Arial"/>
          <w:noProof/>
          <w:color w:val="000000"/>
          <w:szCs w:val="18"/>
          <w:lang w:val="en-US"/>
        </w:rPr>
        <w:t>Mazuchi-Brizzotti et al. (2021)</w:t>
      </w:r>
      <w:r w:rsidR="003048A2">
        <w:rPr>
          <w:rFonts w:eastAsiaTheme="minorHAnsi" w:cs="Arial"/>
          <w:color w:val="000000"/>
          <w:szCs w:val="18"/>
          <w:lang w:val="pt-BR"/>
        </w:rPr>
        <w:fldChar w:fldCharType="end"/>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when evaluating the minimum inhibitory concentration and minimum fungicidal concentration of kombucha extract with hibiscus on the fungus </w:t>
      </w:r>
      <w:r w:rsidRPr="00E55557">
        <w:rPr>
          <w:rFonts w:eastAsiaTheme="minorHAnsi" w:cs="Arial"/>
          <w:i/>
          <w:iCs/>
          <w:color w:val="000000"/>
          <w:szCs w:val="18"/>
          <w:lang w:val="en-US"/>
        </w:rPr>
        <w:t>T. rubrum</w:t>
      </w:r>
      <w:r w:rsidRPr="00D61090">
        <w:rPr>
          <w:rFonts w:eastAsiaTheme="minorHAnsi" w:cs="Arial"/>
          <w:color w:val="000000"/>
          <w:szCs w:val="18"/>
          <w:lang w:val="en-US"/>
        </w:rPr>
        <w:t xml:space="preserve">, found results of 62.5 </w:t>
      </w:r>
      <w:r w:rsidRPr="005163D3">
        <w:rPr>
          <w:rFonts w:eastAsiaTheme="minorHAnsi" w:cs="Arial"/>
          <w:color w:val="000000"/>
          <w:szCs w:val="18"/>
          <w:lang w:val="pt-BR"/>
        </w:rPr>
        <w:t>μ</w:t>
      </w:r>
      <w:r w:rsidRPr="00D61090">
        <w:rPr>
          <w:rFonts w:eastAsiaTheme="minorHAnsi" w:cs="Arial"/>
          <w:color w:val="000000"/>
          <w:szCs w:val="18"/>
          <w:lang w:val="en-US"/>
        </w:rPr>
        <w:t xml:space="preserve">g/mL and 125 </w:t>
      </w:r>
      <w:r w:rsidRPr="005163D3">
        <w:rPr>
          <w:rFonts w:eastAsiaTheme="minorHAnsi" w:cs="Arial"/>
          <w:color w:val="000000"/>
          <w:szCs w:val="18"/>
          <w:lang w:val="pt-BR"/>
        </w:rPr>
        <w:t>μ</w:t>
      </w:r>
      <w:r w:rsidRPr="00D61090">
        <w:rPr>
          <w:rFonts w:eastAsiaTheme="minorHAnsi" w:cs="Arial"/>
          <w:color w:val="000000"/>
          <w:szCs w:val="18"/>
          <w:lang w:val="en-US"/>
        </w:rPr>
        <w:t>g/mL</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respectively. </w:t>
      </w:r>
      <w:r w:rsidR="003048A2">
        <w:rPr>
          <w:rFonts w:eastAsiaTheme="minorHAnsi" w:cs="Arial"/>
          <w:color w:val="000000"/>
          <w:szCs w:val="18"/>
          <w:lang w:val="pt-BR"/>
        </w:rPr>
        <w:fldChar w:fldCharType="begin" w:fldLock="1"/>
      </w:r>
      <w:r w:rsidR="003048A2" w:rsidRPr="00D61090">
        <w:rPr>
          <w:rFonts w:eastAsiaTheme="minorHAnsi" w:cs="Arial"/>
          <w:color w:val="000000"/>
          <w:szCs w:val="18"/>
          <w:lang w:val="en-US"/>
        </w:rPr>
        <w:instrText>ADDIN CSL_CITATION { "citationItems" : [ { "id" : "ITEM-1", "itemData" : { "DOI" : "10.46311/2318-0579.58.euj4124", "abstract" : "Candidiasis is an infection caused by fungi of the genus Candida, Candida albicans being the species that most causes the disease in Brazil. The Fluconazole is the conventional medicine used as a treatment of these infections; however, it causes many adverse reactions in the patient and its continued use can induce the resistance of the pathogen. The medicinal plants can be very effective as an alternative treatment of diseases and have been used in folk medicine for years. In this study, it was evaluated the antifungal activity of extracts of Ruta graveolens, Pelargonium graveolens and Hibiscus cannabinus against the fungal development of Candida albicans, comparing the efficiency of these extracts to Fluconazole. The extracts were prepared in the concentration of 1g of the plant for each 5 mL of alcohol 70%. The data were obtained using the agar diffusion method. The minimum inhibitory concentration test (MIC) was performed, and showed that R. graveolens was able of inhibiting 100% of the pathogen when using 100 mg.ml-1 concentration. From the results obtained, it was possible to conclude that R. graveolens was the most effective extr</w:instrText>
      </w:r>
      <w:r w:rsidR="003048A2">
        <w:rPr>
          <w:rFonts w:eastAsiaTheme="minorHAnsi" w:cs="Arial"/>
          <w:color w:val="000000"/>
          <w:szCs w:val="18"/>
          <w:lang w:val="pt-BR"/>
        </w:rPr>
        <w:instrText>act when compared to Fluconazole, suggesting that this extract can be used as an alternative to conventional treatment to improve the efficiency of current treatments. The extracts of P. graveolens and H. cannabinus also presented antifungal activity but in smaller proportion than Fluconazole. The data from this study suggests that R. graveolens extract can be tested in future in vivo studies with the objective of proposing its use in alternative or simultaneous treatment of the synthetic drug used.", "author" : [ { "dropping-particle" : "", "family" : "", "given" : "", "non-dropping-particle" : "", "parse-names" :</w:instrText>
      </w:r>
      <w:r w:rsidR="003048A2" w:rsidRPr="00D61090">
        <w:rPr>
          <w:rFonts w:eastAsiaTheme="minorHAnsi" w:cs="Arial"/>
          <w:color w:val="000000"/>
          <w:szCs w:val="18"/>
          <w:lang w:val="en-US"/>
        </w:rPr>
        <w:instrText xml:space="preserve"> false, "suffix" : "" }, { "dropping-particle" : "", "family" : "", "given" : "", "non-dropping-particle" : "", "parse-names" : false, "suffix" : "" }, { "dropping-particle" : "", "family" : "", "given" : "", "non-dropping-particle" : "", "parse-names" : false, "suffix" : "" }, { "dropping-particle" : "dos", "family" : "Reis", "given" : "Camila Mara", "non-dropping-particle" : "", "parse-names" : false, "suffix" : "" }, { "dropping-particle" : "", "family" : "Azevedo", "given" : "Let\u00edcia Maria Soares", "non-dropping-particle" : "", "parse-names" : false, "suffix" : "" }, { "dropping-particle" : "", "family" : "Casteluber", "given" : "Marisa Cristina da Fonseca", "non-dropping-particle" : "", "parse-names" : false, "suffix" : "" } ], "container-title" : "Revista Uning\u00e1", "id" : "ITEM-1", "issue" : "1", "issued" : { "date-parts" : [ [ "2021" ] ] }, "page" : "eUJ4124", "title" : "Ruta graveolens, Pelargonium graveolens E Hibiscus cannabinus COMO INIBIDORES NATURAIS DO CRESCIMENTO DE Candida albicans", "type" : "article-journal", "volume" : "58" }, "uris" : [ "http://www.mendeley.com/documents/?uuid=c1882c9f-8cb7-43fa-9324-b795f5ac2755" ] } ], "mendeley" : { "formattedCitation" : "( et al., 2021)", "manualFormatting" : "Reis et al. (2021)", "plainTextFormattedCitation" : "( et al., 2021)", "previouslyFormattedCitation" : "( et al., 2021)" }, "properties" : { "noteIndex" : 4 }, "schema" : "https://github.com/citation-style-language/schema/raw/master/csl-citation.json" }</w:instrText>
      </w:r>
      <w:r w:rsidR="003048A2">
        <w:rPr>
          <w:rFonts w:eastAsiaTheme="minorHAnsi" w:cs="Arial"/>
          <w:color w:val="000000"/>
          <w:szCs w:val="18"/>
          <w:lang w:val="pt-BR"/>
        </w:rPr>
        <w:fldChar w:fldCharType="separate"/>
      </w:r>
      <w:r w:rsidR="003048A2" w:rsidRPr="00D61090">
        <w:rPr>
          <w:rFonts w:eastAsiaTheme="minorHAnsi" w:cs="Arial"/>
          <w:noProof/>
          <w:color w:val="000000"/>
          <w:szCs w:val="18"/>
          <w:lang w:val="en-US"/>
        </w:rPr>
        <w:t>Reis et al. (2021)</w:t>
      </w:r>
      <w:r w:rsidR="003048A2">
        <w:rPr>
          <w:rFonts w:eastAsiaTheme="minorHAnsi" w:cs="Arial"/>
          <w:color w:val="000000"/>
          <w:szCs w:val="18"/>
          <w:lang w:val="pt-BR"/>
        </w:rPr>
        <w:fldChar w:fldCharType="end"/>
      </w:r>
      <w:r w:rsidRPr="00D61090">
        <w:rPr>
          <w:rFonts w:eastAsiaTheme="minorHAnsi" w:cs="Arial"/>
          <w:color w:val="000000"/>
          <w:szCs w:val="18"/>
          <w:lang w:val="en-US"/>
        </w:rPr>
        <w:t xml:space="preserve"> demonstrated the minimum inhibitory concentration, </w:t>
      </w:r>
      <w:r w:rsidR="004F5211" w:rsidRPr="00D61090">
        <w:rPr>
          <w:rFonts w:eastAsiaTheme="minorHAnsi" w:cs="Arial"/>
          <w:color w:val="000000"/>
          <w:szCs w:val="18"/>
          <w:lang w:val="en-US"/>
        </w:rPr>
        <w:t xml:space="preserve">and </w:t>
      </w:r>
      <w:r w:rsidRPr="00D61090">
        <w:rPr>
          <w:rFonts w:eastAsiaTheme="minorHAnsi" w:cs="Arial"/>
          <w:color w:val="000000"/>
          <w:szCs w:val="18"/>
          <w:lang w:val="en-US"/>
        </w:rPr>
        <w:t xml:space="preserve">antifungal activity of the </w:t>
      </w:r>
      <w:r w:rsidRPr="00E55557">
        <w:rPr>
          <w:rFonts w:eastAsiaTheme="minorHAnsi" w:cs="Arial"/>
          <w:i/>
          <w:iCs/>
          <w:color w:val="000000"/>
          <w:szCs w:val="18"/>
          <w:lang w:val="en-US"/>
        </w:rPr>
        <w:t>Hibiscus cannabinus</w:t>
      </w:r>
      <w:r w:rsidRPr="00D61090">
        <w:rPr>
          <w:rFonts w:eastAsiaTheme="minorHAnsi" w:cs="Arial"/>
          <w:color w:val="000000"/>
          <w:szCs w:val="18"/>
          <w:lang w:val="en-US"/>
        </w:rPr>
        <w:t xml:space="preserve"> </w:t>
      </w:r>
      <w:r w:rsidR="00E55557">
        <w:rPr>
          <w:rFonts w:eastAsiaTheme="minorHAnsi" w:cs="Arial"/>
          <w:color w:val="000000"/>
          <w:szCs w:val="18"/>
          <w:lang w:val="en-US"/>
        </w:rPr>
        <w:t>extracts</w:t>
      </w:r>
      <w:r w:rsidRPr="00D61090">
        <w:rPr>
          <w:rFonts w:eastAsiaTheme="minorHAnsi" w:cs="Arial"/>
          <w:color w:val="000000"/>
          <w:szCs w:val="18"/>
          <w:lang w:val="en-US"/>
        </w:rPr>
        <w:t xml:space="preserve"> on </w:t>
      </w:r>
      <w:r w:rsidRPr="00E55557">
        <w:rPr>
          <w:rFonts w:eastAsiaTheme="minorHAnsi" w:cs="Arial"/>
          <w:i/>
          <w:iCs/>
          <w:color w:val="000000"/>
          <w:szCs w:val="18"/>
          <w:lang w:val="en-US"/>
        </w:rPr>
        <w:t>Candida albicans</w:t>
      </w:r>
      <w:r w:rsidRPr="00D61090">
        <w:rPr>
          <w:rFonts w:eastAsiaTheme="minorHAnsi" w:cs="Arial"/>
          <w:color w:val="000000"/>
          <w:szCs w:val="18"/>
          <w:lang w:val="en-US"/>
        </w:rPr>
        <w:t xml:space="preserve">, comparing the efficacy with fluconazole. </w:t>
      </w:r>
      <w:r w:rsidR="003048A2">
        <w:rPr>
          <w:rFonts w:eastAsiaTheme="minorHAnsi" w:cs="Arial"/>
          <w:color w:val="000000"/>
          <w:szCs w:val="18"/>
          <w:lang w:val="pt-BR"/>
        </w:rPr>
        <w:fldChar w:fldCharType="begin" w:fldLock="1"/>
      </w:r>
      <w:r w:rsidR="003048A2" w:rsidRPr="00D61090">
        <w:rPr>
          <w:rFonts w:eastAsiaTheme="minorHAnsi" w:cs="Arial"/>
          <w:color w:val="000000"/>
          <w:szCs w:val="18"/>
          <w:lang w:val="en-US"/>
        </w:rPr>
        <w:instrText>ADDIN CSL_CITATION { "citationItems" : [ { "id" : "ITEM-1", "itemData" : { "ISBN" : "9199403870", "abstract" : "Aqueous, methanol and chloroform extracts from the leaves of Ficus religiosa, Thespesia populnea and Hibiscus tiliaceus were completely screened for antibacterial and antifungal activity. The chloroform extract of F. religiosa possessed a broad spectrum of antibacterial activity with a zone of inhibition of 10 to 21 mm at very low MIC values. The methanolic extracts possessed moderate antibacterial activity against a few bacterial strains. There was less antibacterial activity or none at all using aqueous extracts. The extracts of F. religiosa were found to be active against Aspergillus niger and Penicillium notatum. The extracts from the leaves exhibited considerable and variable inhibitory effects against most of the microorganisms tested.", "author" : [ { "dropping-particle" : "", "family" : "Hemaiswarya", "given" : "S.", "non-dropping-particle" : "", "parse-names" : false, "suffix" : "" }, { "dropping-particle" : "", "family" : "Poonkothai", "given" : "M.", "non-dropping-particle" : "", "parse-names" : false, "suffix" : "" }, { "dropping-particle" : "", "family" : "Raja", "given" : "R.", "non-dropping-particle" : "", "parse-names" : false, "suffix" : "" }, { "dropping-particle" : "", "family" : "Anbazhagan", "given" : "C.", "non-dropping-particle" : "", "parse-names" : false, "suffix" : "" } ], "container-title" : "Egyptian Journal of Biology", "id" : "ITEM-1", "issued" : { "date-parts" : [ [ "2009" ] ] }, "page" : "52-57", "title" : "Comparative study on the antimicrobial activities of three Indian medicinal plants", "type" : "article-journal", "volume" : "11" }, "uris" : [ "http://www.mendeley.com/documents/?uuid=b41e25df-d458-44e4-886a-3874cdb09e5b" ] } ], "mendeley" : { "formattedCitation" : "(Hemaiswarya et al., 2009)", "manualFormatting" : "Hemaiswarya et al. (2009)", "plainTextFormattedCitation" : "(Hemaiswarya et al., 2009)", "previouslyFormattedCitation" : "(Hemaiswarya et al., 2009)" }, "properties" : { "noteIndex" : 4 }, "schema" : "https://github.com/citation-style-language/schema/raw/master/csl-citation.json" }</w:instrText>
      </w:r>
      <w:r w:rsidR="003048A2">
        <w:rPr>
          <w:rFonts w:eastAsiaTheme="minorHAnsi" w:cs="Arial"/>
          <w:color w:val="000000"/>
          <w:szCs w:val="18"/>
          <w:lang w:val="pt-BR"/>
        </w:rPr>
        <w:fldChar w:fldCharType="separate"/>
      </w:r>
      <w:r w:rsidR="003048A2" w:rsidRPr="00D61090">
        <w:rPr>
          <w:rFonts w:eastAsiaTheme="minorHAnsi" w:cs="Arial"/>
          <w:noProof/>
          <w:color w:val="000000"/>
          <w:szCs w:val="18"/>
          <w:lang w:val="en-US"/>
        </w:rPr>
        <w:t>Hemaiswarya et al. (2009)</w:t>
      </w:r>
      <w:r w:rsidR="003048A2">
        <w:rPr>
          <w:rFonts w:eastAsiaTheme="minorHAnsi" w:cs="Arial"/>
          <w:color w:val="000000"/>
          <w:szCs w:val="18"/>
          <w:lang w:val="pt-BR"/>
        </w:rPr>
        <w:fldChar w:fldCharType="end"/>
      </w:r>
      <w:r w:rsidR="003048A2" w:rsidRPr="00D61090">
        <w:rPr>
          <w:rFonts w:eastAsiaTheme="minorHAnsi" w:cs="Arial"/>
          <w:color w:val="000000"/>
          <w:szCs w:val="18"/>
          <w:lang w:val="en-US"/>
        </w:rPr>
        <w:t xml:space="preserve">, </w:t>
      </w:r>
      <w:r w:rsidRPr="00D61090">
        <w:rPr>
          <w:rFonts w:eastAsiaTheme="minorHAnsi" w:cs="Arial"/>
          <w:color w:val="000000"/>
          <w:szCs w:val="18"/>
          <w:lang w:val="en-US"/>
        </w:rPr>
        <w:t xml:space="preserve">and </w:t>
      </w:r>
      <w:r w:rsidR="00607693">
        <w:rPr>
          <w:rFonts w:eastAsiaTheme="minorHAnsi" w:cs="Arial"/>
          <w:color w:val="000000"/>
          <w:szCs w:val="18"/>
          <w:lang w:val="pt-BR"/>
        </w:rPr>
        <w:fldChar w:fldCharType="begin" w:fldLock="1"/>
      </w:r>
      <w:r w:rsidR="00607693" w:rsidRPr="00D61090">
        <w:rPr>
          <w:rFonts w:eastAsiaTheme="minorHAnsi" w:cs="Arial"/>
          <w:color w:val="000000"/>
          <w:szCs w:val="18"/>
          <w:lang w:val="en-US"/>
        </w:rPr>
        <w:instrText>ADDIN CSL_CITATION { "citationItems" : [ { "id" : "ITEM-1", "itemData" : { "DOI" : "10.1080/03235401003633832", "ISSN" : "14772906", "abstract" : "The antifungal activity for several medicinal plants against the early blight fungus (Alternaria solani) has been investigated. These plants were Syrian marjoram (Majorana syriaca), rosemary (Rosmarinus officinalis), Greek sage (Salvia fruticosa), roselle (Hibiscus sabdariffa) and cotton lavender (Santolina chamaecyparissus). The inhibitory effect of these extracts on the radial mycelial growth as well as on spore germination was measured in vitro at various concentrations of crude extract (0.5 g dry plant powder/ml medium). Extracts of M. syriaca and H. sabdariffa were most effective causing total inhibition of mycelial growth and spore germination at 8-10% concentration. Extract of R. officinalis also caused total inhibition of the above two parameters but at double the concentration (20%). Extracts of S. fructicosa and S. chamaecyparissus produced relatively moderate antifungal activity. At 25% concentration, these extracts showed an incomplete inhibition in mycelial growth being around 75-85% and 70-90%, respectively. However, at this same concentration both plant extracts produced total inhibition of spore germination. Results of this study indicated that both extracts of M. syriaca and H. sabdariffa were strong inhibitors of this fungus and to levels comparable to standard fungicides. Further studies are required to determine the effect of these extracts in vivo to evaluate their potential as natural treatments for this disease. \u00a9 2010 Taylor &amp; Francis.", "author" : [ { "dropping-particle" : "", "family" : "Goussous", "given" : "Saba J.", "non-dropping-particle" : "", "parse-names" : false, "suffix" : "" }, { "dropping-particle" : "", "family" : "Abu el-Samen", "given" : "Firas M.", "non-dropping-particle" : "", "parse-names" : false, "suffix" : "" }, { "dropping-particle" : "", "family" : "Tahhan", "given" : "Ragheb A.", "non-dropping-particle" : "", "parse-names" : false, "suffix" : "" } ], "container-title" : "Archives of Phytopathology and Plant Protection", "id" : "ITEM-1", "issue" : "17", "issued" : { "date-parts" : [ [ "2010" ] ] }, "page" : "1745-1757", "title" : "Antifungal activity of several medicinal plants extracts against the early blight pathogen (Alternaria solani)", "type" : "article-journal", "volume" : "43" }, "uris" : [ "http://www.mendeley.com/documents/?uuid=cff3415a-c641-4e43-95c7-41db5c20137b" ] } ], "mendeley" : { "formattedCitation" : "(Goussous et al., 2010)", "manualFormatting" : "Goussous et al., (2010)", "plainTextFormattedCitation" : "(Goussous et al., 2010)", "previouslyFormattedCitation" : "(Goussous et al., 2010)" }, "properties" : { "noteIndex" : 4 }, "schema" : "https://github.com/citation-style-language/schema/raw/master/csl-citation.json" }</w:instrText>
      </w:r>
      <w:r w:rsidR="00607693">
        <w:rPr>
          <w:rFonts w:eastAsiaTheme="minorHAnsi" w:cs="Arial"/>
          <w:color w:val="000000"/>
          <w:szCs w:val="18"/>
          <w:lang w:val="pt-BR"/>
        </w:rPr>
        <w:fldChar w:fldCharType="separate"/>
      </w:r>
      <w:r w:rsidR="00607693" w:rsidRPr="00D61090">
        <w:rPr>
          <w:rFonts w:eastAsiaTheme="minorHAnsi" w:cs="Arial"/>
          <w:noProof/>
          <w:color w:val="000000"/>
          <w:szCs w:val="18"/>
          <w:lang w:val="en-US"/>
        </w:rPr>
        <w:t>Goussous et al. (2010)</w:t>
      </w:r>
      <w:r w:rsidR="00607693">
        <w:rPr>
          <w:rFonts w:eastAsiaTheme="minorHAnsi" w:cs="Arial"/>
          <w:color w:val="000000"/>
          <w:szCs w:val="18"/>
          <w:lang w:val="pt-BR"/>
        </w:rPr>
        <w:fldChar w:fldCharType="end"/>
      </w:r>
      <w:r w:rsidRPr="00D61090">
        <w:rPr>
          <w:rFonts w:eastAsiaTheme="minorHAnsi" w:cs="Arial"/>
          <w:color w:val="000000"/>
          <w:szCs w:val="18"/>
          <w:lang w:val="en-US"/>
        </w:rPr>
        <w:t xml:space="preserve"> reported total in vitro inhibition of the mycelial growth of </w:t>
      </w:r>
      <w:r w:rsidRPr="00E55557">
        <w:rPr>
          <w:rFonts w:eastAsiaTheme="minorHAnsi" w:cs="Arial"/>
          <w:i/>
          <w:iCs/>
          <w:color w:val="000000"/>
          <w:szCs w:val="18"/>
          <w:lang w:val="en-US"/>
        </w:rPr>
        <w:t xml:space="preserve">Aspergillus </w:t>
      </w:r>
      <w:proofErr w:type="spellStart"/>
      <w:r w:rsidRPr="00E55557">
        <w:rPr>
          <w:rFonts w:eastAsiaTheme="minorHAnsi" w:cs="Arial"/>
          <w:i/>
          <w:iCs/>
          <w:color w:val="000000"/>
          <w:szCs w:val="18"/>
          <w:lang w:val="en-US"/>
        </w:rPr>
        <w:t>niger</w:t>
      </w:r>
      <w:proofErr w:type="spellEnd"/>
      <w:r w:rsidR="004B4133" w:rsidRPr="00D61090">
        <w:rPr>
          <w:rFonts w:eastAsiaTheme="minorHAnsi" w:cs="Arial"/>
          <w:color w:val="000000"/>
          <w:szCs w:val="18"/>
          <w:lang w:val="en-US"/>
        </w:rPr>
        <w:t>,</w:t>
      </w:r>
      <w:r w:rsidRPr="00D61090">
        <w:rPr>
          <w:rFonts w:eastAsiaTheme="minorHAnsi" w:cs="Arial"/>
          <w:color w:val="000000"/>
          <w:szCs w:val="18"/>
          <w:lang w:val="en-US"/>
        </w:rPr>
        <w:t xml:space="preserve"> and </w:t>
      </w:r>
      <w:r w:rsidRPr="00E55557">
        <w:rPr>
          <w:rFonts w:eastAsiaTheme="minorHAnsi" w:cs="Arial"/>
          <w:i/>
          <w:iCs/>
          <w:color w:val="000000"/>
          <w:szCs w:val="18"/>
          <w:lang w:val="en-US"/>
        </w:rPr>
        <w:t xml:space="preserve">Alternaria </w:t>
      </w:r>
      <w:proofErr w:type="spellStart"/>
      <w:r w:rsidRPr="00E55557">
        <w:rPr>
          <w:rFonts w:eastAsiaTheme="minorHAnsi" w:cs="Arial"/>
          <w:i/>
          <w:iCs/>
          <w:color w:val="000000"/>
          <w:szCs w:val="18"/>
          <w:lang w:val="en-US"/>
        </w:rPr>
        <w:t>solani</w:t>
      </w:r>
      <w:proofErr w:type="spellEnd"/>
      <w:r w:rsidRPr="00D61090">
        <w:rPr>
          <w:rFonts w:eastAsiaTheme="minorHAnsi" w:cs="Arial"/>
          <w:color w:val="000000"/>
          <w:szCs w:val="18"/>
          <w:lang w:val="en-US"/>
        </w:rPr>
        <w:t xml:space="preserve"> by the aqueous extract of </w:t>
      </w:r>
      <w:r w:rsidRPr="00E55557">
        <w:rPr>
          <w:rFonts w:eastAsiaTheme="minorHAnsi" w:cs="Arial"/>
          <w:i/>
          <w:iCs/>
          <w:color w:val="000000"/>
          <w:szCs w:val="18"/>
          <w:lang w:val="en-US"/>
        </w:rPr>
        <w:t>H. tiliaceus</w:t>
      </w:r>
      <w:r w:rsidRPr="00D61090">
        <w:rPr>
          <w:rFonts w:eastAsiaTheme="minorHAnsi" w:cs="Arial"/>
          <w:color w:val="000000"/>
          <w:szCs w:val="18"/>
          <w:lang w:val="en-US"/>
        </w:rPr>
        <w:t xml:space="preserve"> and </w:t>
      </w:r>
      <w:r w:rsidRPr="00E55557">
        <w:rPr>
          <w:rFonts w:eastAsiaTheme="minorHAnsi" w:cs="Arial"/>
          <w:i/>
          <w:iCs/>
          <w:color w:val="000000"/>
          <w:szCs w:val="18"/>
          <w:lang w:val="en-US"/>
        </w:rPr>
        <w:t>H. sabdariffa</w:t>
      </w:r>
      <w:r w:rsidRPr="00D61090">
        <w:rPr>
          <w:rFonts w:eastAsiaTheme="minorHAnsi" w:cs="Arial"/>
          <w:color w:val="000000"/>
          <w:szCs w:val="18"/>
          <w:lang w:val="en-US"/>
        </w:rPr>
        <w:t xml:space="preserve">, respectively. Studies have evaluated the antibacterial activity of hibiscus in alcoholic solution on </w:t>
      </w:r>
      <w:r w:rsidR="004F5211" w:rsidRPr="00D61090">
        <w:rPr>
          <w:rFonts w:eastAsiaTheme="minorHAnsi" w:cs="Arial"/>
          <w:color w:val="000000"/>
          <w:szCs w:val="18"/>
          <w:lang w:val="en-US"/>
        </w:rPr>
        <w:t>Gram-positive</w:t>
      </w:r>
      <w:r w:rsidRPr="00D61090">
        <w:rPr>
          <w:rFonts w:eastAsiaTheme="minorHAnsi" w:cs="Arial"/>
          <w:color w:val="000000"/>
          <w:szCs w:val="18"/>
          <w:lang w:val="en-US"/>
        </w:rPr>
        <w:t xml:space="preserve"> and negative bacteria strains </w:t>
      </w:r>
      <w:r w:rsidR="003048A2">
        <w:rPr>
          <w:rFonts w:eastAsiaTheme="minorHAnsi" w:cs="Arial"/>
          <w:color w:val="000000"/>
          <w:szCs w:val="18"/>
          <w:lang w:val="pt-BR"/>
        </w:rPr>
        <w:fldChar w:fldCharType="begin" w:fldLock="1"/>
      </w:r>
      <w:r w:rsidR="003048A2" w:rsidRPr="00D61090">
        <w:rPr>
          <w:rFonts w:eastAsiaTheme="minorHAnsi" w:cs="Arial"/>
          <w:color w:val="000000"/>
          <w:szCs w:val="18"/>
          <w:lang w:val="en-US"/>
        </w:rPr>
        <w:instrText xml:space="preserve">ADDIN CSL_CITATION { "citationItems" : [ { "id" : "ITEM-1", "itemData" : { "DOI" : "10.1002/ptr.1760", "ISSN" : "0951418X", "PMID" : "16317650", "abstract" : "The in vitro inhibitory effect of roselle calyx and protocatechuic acid, a compound derived from roselle calyx, on the growth of methicillin-resistant Staphylococcus aureus, Klebsiella pneumonias, Pseudomonas aeruginosa and Acinetobacter baumannii was studied. The data from inhibition zone and minimum inhibitory concentration (MIC) values showed that both roselle calyx extract and protocatechuic acid inhibited effectively the growth of all test bacterial pathogens, the antibacterial activity of protocatechuic acid being significantly greater than roselle calyx (p &lt; 0.05). Furthermore, heat treatment did not affect the antibacterial activity of roselle calyx and protocatechuic acid against all test pathogens. The time-kill data from protocatechuic acid showed this agent provided concentration dependent antibacterial activities in broth and human plasma (p &lt; 0.05); however, protocatechuic acid showed less inhibitory activity in human plasma than in broth (p &lt; 0.05). These agents based on their lower MIC values, heat tolerance and concentration dependent antibacterial activity may be useful in clinical infection prevention or therapy. Copyright \u00a9 2005 John Wiley &amp; Sons, Ltd.", "author" : </w:instrText>
      </w:r>
      <w:r w:rsidR="003048A2">
        <w:rPr>
          <w:rFonts w:eastAsiaTheme="minorHAnsi" w:cs="Arial"/>
          <w:color w:val="000000"/>
          <w:szCs w:val="18"/>
          <w:lang w:val="pt-BR"/>
        </w:rPr>
        <w:instrText>[ { "dropping-particle" : "Sen", "family" : "Liu", "given" : "Keh", "non-dropping-particle" : "", "parse-names" : false, "suffix" : "" }, { "dropping-particle" : "", "family" : "Tsao", "given" : "Shyh Ming", "non-dropping-particle" : "", "parse-names" : false, "suffix" : "" }, { "dropping-particle" : "", "family" : "Yin", "given" : "Mei Chin", "non-dropping-particle" : "", "parse-names" : false, "suffix" : "" } ], "container-title" : "Phytotherapy Research", "id" : "ITEM-1", "issue" : "11", "issued" : { "date-parts" : [ [ "2005" ] ] }, "page" : "942-945", "title" : "In vitro antibacterial activity of roselle calyx and protocatechuic acid", "type" : "article-journal", "volume" : "19" }, "uris" : [ "http://www.mendeley.com/documents/?uuid=d42f3005-b1ba-4d86-bdd2-f41a2d434a43" ] }, { "id" : "ITEM-2", "itemData" : { "ISSN" : "0073-9855", "abstract" : "The hibiscus (Hibiscus sabdariffa L.) has antioxidant and antimicrobial properties, it can be used as functional food and medicinal plant. This study aimed at determining the intensity of activity inhibition (IINIB) and of inactivation (IINAB) of two alcoholic extracts obtained from calyxes and fruits with seeds of different accesses of hibiscus on international standards bacterial Enterococcus faecalis, Escherichia coli, Salmonella Enteritidis and Staphylococcus aureus. And the correlation between these results and the presence of total polyphenols and anthocyanins was done. The antimicrobial activity of alcoholic extract from both accesses showed a significant difference. While Salmonella Enteritidis (11,5) and Escherichia coli (12) were more susceptible to the alcoholic extract from hibiscus calyxes and fruits with seeds, respectively, the Staphylococcus aureus (5.2 e 0.1) was the most resistant in both extracts. The IINIB values were higher than IINAB values, showing that the bacteriostatic activity was usually higher than the bactericide. Total polyphenols and anthocyanins contents in calyxes alcoholic extract showed a significant difference, and they were higher than in alcohol extract from fruits with seeds. It seems likely that occurs a direct correlation between the anthocyanin concentration and the antib</w:instrText>
      </w:r>
      <w:r w:rsidR="003048A2" w:rsidRPr="00D61090">
        <w:rPr>
          <w:rFonts w:eastAsiaTheme="minorHAnsi" w:cs="Arial"/>
          <w:color w:val="000000"/>
          <w:szCs w:val="18"/>
          <w:lang w:val="en-US"/>
        </w:rPr>
        <w:instrText>acterial activity in different structures of the hibiscus plant.", "author" : [ { "dropping-particle" : "", "family" : "Maciel", "given" : "M\u00f4nica Jachetti", "non-dropping-particle" : "", "parse-names" : false, "suffix" : "" }, { "dropping-particle" : "", "family" : "Paim", "given" : "Marcelo Pinto", "non-dropping-particle" : "", "parse-names" : false, "suffix" : "" }, { "dropping-particle" : "", "family" : "Carvalho", "given" : "Heloisa Helena Chaves", "non-dropping-particle" : "", "parse-names" : false, "suffix" : "" }, { "dropping-particle" : "", "family" : "Wiest", "given" : "Jos\u00e9 Maria", "non-dropping-particle" : "", "parse-names" : false, "suffix" : "" } ], "container-title" : "Revista do Instituto Adolfo Lutz", "id" : "ITEM-2", "issue" : "3", "issued" : { "date-parts" : [ [ "2012" ] ] }, "page" : "462-470", "title" : "Avalia\u00e7\u00e3o do extrato alco\u00f3lico de hibisco (Hibiscus sabdariffa L. ) como fator de prote\u00e7\u00e3o antibacteriana e antioxidante", "type" : "article-journal", "volume" : "71" }, "uris" : [ "http://www.mendeley.com/documents/?uuid=09e24991-b30a-42e0-a7e0-c622edc79ece" ] } ], "mendeley" : { "formattedCitation" : "(Liu et al., 2005; Maciel et al., 2012)", "plainTextFormattedCitation" : "(Liu et al., 2005; Maciel et al., 2012)", "previouslyFormattedCitation" : "(Liu et al., 2005; Maciel et al., 2012)" }, "properties" : { "noteIndex" : 4 }, "schema" : "https://github.com/citation-style-language/schema/raw/master/csl-citation.json" }</w:instrText>
      </w:r>
      <w:r w:rsidR="003048A2">
        <w:rPr>
          <w:rFonts w:eastAsiaTheme="minorHAnsi" w:cs="Arial"/>
          <w:color w:val="000000"/>
          <w:szCs w:val="18"/>
          <w:lang w:val="pt-BR"/>
        </w:rPr>
        <w:fldChar w:fldCharType="separate"/>
      </w:r>
      <w:r w:rsidR="003048A2" w:rsidRPr="00D61090">
        <w:rPr>
          <w:rFonts w:eastAsiaTheme="minorHAnsi" w:cs="Arial"/>
          <w:noProof/>
          <w:color w:val="000000"/>
          <w:szCs w:val="18"/>
          <w:lang w:val="en-US"/>
        </w:rPr>
        <w:t>(Liu et al., 2005; Maciel et al., 2012)</w:t>
      </w:r>
      <w:r w:rsidR="003048A2">
        <w:rPr>
          <w:rFonts w:eastAsiaTheme="minorHAnsi" w:cs="Arial"/>
          <w:color w:val="000000"/>
          <w:szCs w:val="18"/>
          <w:lang w:val="pt-BR"/>
        </w:rPr>
        <w:fldChar w:fldCharType="end"/>
      </w:r>
      <w:r w:rsidRPr="00D61090">
        <w:rPr>
          <w:rFonts w:eastAsiaTheme="minorHAnsi" w:cs="Arial"/>
          <w:color w:val="000000"/>
          <w:szCs w:val="18"/>
          <w:lang w:val="en-US"/>
        </w:rPr>
        <w:t>.</w:t>
      </w:r>
      <w:r w:rsidR="00E55557">
        <w:rPr>
          <w:rFonts w:eastAsiaTheme="minorHAnsi" w:cs="Arial"/>
          <w:color w:val="000000"/>
          <w:szCs w:val="18"/>
          <w:lang w:val="en-US"/>
        </w:rPr>
        <w:t xml:space="preserve"> </w:t>
      </w:r>
      <w:r w:rsidRPr="00D61090">
        <w:rPr>
          <w:rFonts w:eastAsiaTheme="minorHAnsi" w:cs="Arial"/>
          <w:color w:val="000000"/>
          <w:szCs w:val="18"/>
          <w:lang w:val="en-US"/>
        </w:rPr>
        <w:t xml:space="preserve">The effect of applying treatments directly on strawberries, stored at 12 </w:t>
      </w:r>
      <w:proofErr w:type="spellStart"/>
      <w:r w:rsidRPr="00D61090">
        <w:rPr>
          <w:rFonts w:eastAsiaTheme="minorHAnsi" w:cs="Arial"/>
          <w:color w:val="000000"/>
          <w:szCs w:val="18"/>
          <w:vertAlign w:val="superscript"/>
          <w:lang w:val="en-US"/>
        </w:rPr>
        <w:t>o</w:t>
      </w:r>
      <w:r w:rsidRPr="00D61090">
        <w:rPr>
          <w:rFonts w:eastAsiaTheme="minorHAnsi" w:cs="Arial"/>
          <w:color w:val="000000"/>
          <w:szCs w:val="18"/>
          <w:lang w:val="en-US"/>
        </w:rPr>
        <w:t>C</w:t>
      </w:r>
      <w:proofErr w:type="spellEnd"/>
      <w:r w:rsidRPr="00D61090">
        <w:rPr>
          <w:rFonts w:eastAsiaTheme="minorHAnsi" w:cs="Arial"/>
          <w:color w:val="000000"/>
          <w:szCs w:val="18"/>
          <w:lang w:val="en-US"/>
        </w:rPr>
        <w:t xml:space="preserve"> for </w:t>
      </w:r>
      <w:r w:rsidR="004F5211" w:rsidRPr="00D61090">
        <w:rPr>
          <w:rFonts w:eastAsiaTheme="minorHAnsi" w:cs="Arial"/>
          <w:color w:val="000000"/>
          <w:szCs w:val="18"/>
          <w:lang w:val="en-US"/>
        </w:rPr>
        <w:t>six</w:t>
      </w:r>
      <w:r w:rsidRPr="00D61090">
        <w:rPr>
          <w:rFonts w:eastAsiaTheme="minorHAnsi" w:cs="Arial"/>
          <w:color w:val="000000"/>
          <w:szCs w:val="18"/>
          <w:lang w:val="en-US"/>
        </w:rPr>
        <w:t xml:space="preserve"> days, was observed at intervals of three days. For this, F1, F2H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hibiscus tea were applied directly to the surface of the strawberries. Strawberries </w:t>
      </w:r>
      <w:r w:rsidR="004F5211" w:rsidRPr="00D61090">
        <w:rPr>
          <w:rFonts w:eastAsiaTheme="minorHAnsi" w:cs="Arial"/>
          <w:color w:val="000000"/>
          <w:szCs w:val="18"/>
          <w:lang w:val="en-US"/>
        </w:rPr>
        <w:t>did not show any visible signs of</w:t>
      </w:r>
      <w:r w:rsidR="00E55557">
        <w:rPr>
          <w:rFonts w:eastAsiaTheme="minorHAnsi" w:cs="Arial"/>
          <w:color w:val="000000"/>
          <w:szCs w:val="18"/>
          <w:lang w:val="en-US"/>
        </w:rPr>
        <w:t xml:space="preserve"> </w:t>
      </w:r>
      <w:r w:rsidR="00E55557" w:rsidRPr="00D61090">
        <w:rPr>
          <w:rFonts w:eastAsiaTheme="minorHAnsi" w:cs="Arial"/>
          <w:color w:val="000000"/>
          <w:szCs w:val="18"/>
          <w:lang w:val="en-US"/>
        </w:rPr>
        <w:t>deterioration</w:t>
      </w:r>
      <w:r w:rsidR="00E55557">
        <w:rPr>
          <w:rFonts w:eastAsiaTheme="minorHAnsi" w:cs="Arial"/>
          <w:color w:val="000000"/>
          <w:szCs w:val="18"/>
          <w:lang w:val="en-US"/>
        </w:rPr>
        <w:t xml:space="preserve"> </w:t>
      </w:r>
      <w:r w:rsidR="004F5211" w:rsidRPr="00D61090">
        <w:rPr>
          <w:rFonts w:eastAsiaTheme="minorHAnsi" w:cs="Arial"/>
          <w:color w:val="000000"/>
          <w:szCs w:val="18"/>
          <w:lang w:val="en-US"/>
        </w:rPr>
        <w:t>immediately after the treatments were applied (zero time)</w:t>
      </w:r>
      <w:r w:rsidRPr="00D61090">
        <w:rPr>
          <w:rFonts w:eastAsiaTheme="minorHAnsi" w:cs="Arial"/>
          <w:color w:val="000000"/>
          <w:szCs w:val="18"/>
          <w:lang w:val="en-US"/>
        </w:rPr>
        <w:t>. On the third day after treatment, the strawberries began to show the first signs of fungal deterioration. In those treated with F1, an average of 3 points of deterioration was identified; with F2H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around 2 points of deterioration were observed; with hibiscus tea</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1 point of deterioration and in control strawberries (untreated), 3 to 4 signs of deterioration. After six days of storage at 12 ºC, there was an increase in the deterioration process in all strawberries, represented by </w:t>
      </w:r>
      <w:r w:rsidR="004F5211" w:rsidRPr="00D61090">
        <w:rPr>
          <w:rFonts w:eastAsiaTheme="minorHAnsi" w:cs="Arial"/>
          <w:color w:val="000000"/>
          <w:szCs w:val="18"/>
          <w:lang w:val="en-US"/>
        </w:rPr>
        <w:t xml:space="preserve">the </w:t>
      </w:r>
      <w:r w:rsidRPr="00D61090">
        <w:rPr>
          <w:rFonts w:eastAsiaTheme="minorHAnsi" w:cs="Arial"/>
          <w:color w:val="000000"/>
          <w:szCs w:val="18"/>
          <w:lang w:val="en-US"/>
        </w:rPr>
        <w:t xml:space="preserve">growth of the points initially visualized. Comparing all treated samples and the control, it is observed that strawberries treated with hibiscus tea showed less deterioration, followed by those treated with F2H. Strawberries treated with F1, on the other hand, showed little inhibition of deterioration, similar to what happened with strawberries called control. Such results were obtained visually, with the naked eye, and that future quantitative studies may be carried out. </w:t>
      </w:r>
      <w:r w:rsidR="003048A2">
        <w:rPr>
          <w:rFonts w:eastAsiaTheme="minorHAnsi" w:cs="Arial"/>
          <w:color w:val="000000"/>
          <w:szCs w:val="18"/>
          <w:lang w:val="pt-BR"/>
        </w:rPr>
        <w:fldChar w:fldCharType="begin" w:fldLock="1"/>
      </w:r>
      <w:r w:rsidR="003048A2" w:rsidRPr="00D61090">
        <w:rPr>
          <w:rFonts w:eastAsiaTheme="minorHAnsi" w:cs="Arial"/>
          <w:color w:val="000000"/>
          <w:szCs w:val="18"/>
          <w:lang w:val="en-US"/>
        </w:rPr>
        <w:instrText>ADDIN CSL_CITATION { "citationItems" : [ { "id" : "ITEM-1", "itemData" : { "DOI" : "10.1016/j.foodchem.2018.04.063", "ISSN" : "18737072", "abstract" : "The antifungal effect of chitosan edible coatings (ChEC) functionalized with cinnamon essential oil and aqueous extract of Roselle calyces on Colletotrichum fragariae growth and physical-chemical, physiological and nutraceutical features of strawberries at 5 and 20 \u00b0C were evaluated. ChEC was characterized with respect to its water vapor permeability (WVP) and mechanical properties. Results indicated that C. fragariae grew from the third day in strawberries stored at 20 \u00b0C, whilst at 5 \u00b0C disease symptoms were observed after 10 days in fruit inoculated and treated with ChEC after 24 h. The weight loss was reduced 15 times and firmness was higher by 33% in fruit treated with ChEC and stored at 5 \u00b0C. The antioxidant capacity of strawberries increased at the end of the storage only in control group. In conclusion, ChEC can be an effective technology for preserving quality strawberries for 17 days at 5 \u00b0C.", "author" : [ { "dropping-particle" : "", "family" : "Ventura-Aguilar", "given" : "R. I.", "non-dropping-particle" : "", "parse-names" : false, "suffix" : "" }, { "dropping-particle" : "", "family" : "Bautista-Ba\u00f1os", "given" : "S.", "non-dropping-particle" : "", "parse-names" : false, "suffix" : "" }, { "dropping-particle" : "", "family" : "Flores-Garc\u00eda", "given" : "G.", "non-dropping-particle" : "", "parse-names" : false, "suffix" : "" }, { "dropping-particle" : "", "family" : "Zavaleta-Avejar", "given" : "L.", "non-dropping-particle" : "", "parse-names" : false, "suffix" : "" } ], "container-title" : "Food Chemistry", "id" : "ITEM-1", "issued" : { "date-parts" : [ [ "2018" ] ] }, "page" : "142-149", "title" : "Impact of chitosan based edible coatings functionalized with natural compounds on Colletotrichum fragariae development and the quality of strawberries", "type" : "article-journal", "volume" : "262" }, "uris" : [ "http://www.mendeley.com/documents/?uuid=12abe069-168a-4dda-809b-784c392e379c" ] } ], "mendeley" : { "formattedCitation" : "(Ventura-Aguilar et al., 2018)", "manualFormatting" : "Ventura-Aguilar et al. (2018)", "plainTextFormattedCitation" : "(Ventura-Aguilar et al., 2018)", "previouslyFormattedCitation" : "(Ventura-Aguilar et al., 2018)" }, "properties" : { "noteIndex" : 4 }, "schema" : "https://github.com/citation-style-language/schema/raw/master/csl-citation.json" }</w:instrText>
      </w:r>
      <w:r w:rsidR="003048A2">
        <w:rPr>
          <w:rFonts w:eastAsiaTheme="minorHAnsi" w:cs="Arial"/>
          <w:color w:val="000000"/>
          <w:szCs w:val="18"/>
          <w:lang w:val="pt-BR"/>
        </w:rPr>
        <w:fldChar w:fldCharType="separate"/>
      </w:r>
      <w:r w:rsidR="003048A2" w:rsidRPr="00D61090">
        <w:rPr>
          <w:rFonts w:eastAsiaTheme="minorHAnsi" w:cs="Arial"/>
          <w:noProof/>
          <w:color w:val="000000"/>
          <w:szCs w:val="18"/>
          <w:lang w:val="en-US"/>
        </w:rPr>
        <w:t>Ventura-Aguilar et al. (2018)</w:t>
      </w:r>
      <w:r w:rsidR="003048A2">
        <w:rPr>
          <w:rFonts w:eastAsiaTheme="minorHAnsi" w:cs="Arial"/>
          <w:color w:val="000000"/>
          <w:szCs w:val="18"/>
          <w:lang w:val="pt-BR"/>
        </w:rPr>
        <w:fldChar w:fldCharType="end"/>
      </w:r>
      <w:r w:rsidRPr="00D61090">
        <w:rPr>
          <w:rFonts w:eastAsiaTheme="minorHAnsi" w:cs="Arial"/>
          <w:color w:val="000000"/>
          <w:szCs w:val="18"/>
          <w:lang w:val="en-US"/>
        </w:rPr>
        <w:t xml:space="preserve"> concluded that </w:t>
      </w:r>
      <w:r w:rsidRPr="00E55557">
        <w:rPr>
          <w:rFonts w:eastAsiaTheme="minorHAnsi" w:cs="Arial"/>
          <w:i/>
          <w:iCs/>
          <w:color w:val="000000"/>
          <w:szCs w:val="18"/>
          <w:lang w:val="en-US"/>
        </w:rPr>
        <w:t>Hibiscus sabdariffa</w:t>
      </w:r>
      <w:r w:rsidRPr="00D61090">
        <w:rPr>
          <w:rFonts w:eastAsiaTheme="minorHAnsi" w:cs="Arial"/>
          <w:color w:val="000000"/>
          <w:szCs w:val="18"/>
          <w:lang w:val="en-US"/>
        </w:rPr>
        <w:t xml:space="preserve"> L. was effective against </w:t>
      </w:r>
      <w:r w:rsidRPr="00E55557">
        <w:rPr>
          <w:rFonts w:eastAsiaTheme="minorHAnsi" w:cs="Arial"/>
          <w:i/>
          <w:iCs/>
          <w:color w:val="000000"/>
          <w:szCs w:val="18"/>
          <w:lang w:val="en-US"/>
        </w:rPr>
        <w:t xml:space="preserve">Colletotrichum </w:t>
      </w:r>
      <w:proofErr w:type="spellStart"/>
      <w:r w:rsidRPr="00E55557">
        <w:rPr>
          <w:rFonts w:eastAsiaTheme="minorHAnsi" w:cs="Arial"/>
          <w:i/>
          <w:iCs/>
          <w:color w:val="000000"/>
          <w:szCs w:val="18"/>
          <w:lang w:val="en-US"/>
        </w:rPr>
        <w:t>fragariae</w:t>
      </w:r>
      <w:proofErr w:type="spellEnd"/>
      <w:r w:rsidRPr="00D61090">
        <w:rPr>
          <w:rFonts w:eastAsiaTheme="minorHAnsi" w:cs="Arial"/>
          <w:color w:val="000000"/>
          <w:szCs w:val="18"/>
          <w:lang w:val="en-US"/>
        </w:rPr>
        <w:t xml:space="preserve"> and when applied to strawberries, it maintained its appearance and properties, in addition to increasing its antioxidant capacity. </w:t>
      </w:r>
      <w:r w:rsidR="004F5211" w:rsidRPr="00D61090">
        <w:rPr>
          <w:rFonts w:eastAsiaTheme="minorHAnsi" w:cs="Arial"/>
          <w:color w:val="000000"/>
          <w:szCs w:val="18"/>
          <w:lang w:val="en-US"/>
        </w:rPr>
        <w:t>The visual study demonstrated that the hibiscus presented greater control of fruit deterioration in this work</w:t>
      </w:r>
      <w:r w:rsidRPr="00D61090">
        <w:rPr>
          <w:rFonts w:eastAsiaTheme="minorHAnsi" w:cs="Arial"/>
          <w:color w:val="000000"/>
          <w:szCs w:val="18"/>
          <w:lang w:val="en-US"/>
        </w:rPr>
        <w:t>. Studies carried out with other compounds</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different </w:t>
      </w:r>
      <w:r w:rsidR="004F5211" w:rsidRPr="00D61090">
        <w:rPr>
          <w:rFonts w:eastAsiaTheme="minorHAnsi" w:cs="Arial"/>
          <w:color w:val="000000"/>
          <w:szCs w:val="18"/>
          <w:lang w:val="en-US"/>
        </w:rPr>
        <w:t>strawberry application methods</w:t>
      </w:r>
      <w:r w:rsidRPr="00D61090">
        <w:rPr>
          <w:rFonts w:eastAsiaTheme="minorHAnsi" w:cs="Arial"/>
          <w:color w:val="000000"/>
          <w:szCs w:val="18"/>
          <w:lang w:val="en-US"/>
        </w:rPr>
        <w:t xml:space="preserve"> showed antimicrobial activity</w:t>
      </w:r>
      <w:r w:rsidR="00E55557">
        <w:rPr>
          <w:rFonts w:eastAsiaTheme="minorHAnsi" w:cs="Arial"/>
          <w:color w:val="000000"/>
          <w:szCs w:val="18"/>
          <w:lang w:val="en-US"/>
        </w:rPr>
        <w:t xml:space="preserve">. </w:t>
      </w:r>
      <w:r w:rsidR="00721113">
        <w:rPr>
          <w:rFonts w:eastAsiaTheme="minorHAnsi" w:cs="Arial"/>
          <w:color w:val="000000"/>
          <w:szCs w:val="18"/>
          <w:lang w:val="pt-BR"/>
        </w:rPr>
        <w:fldChar w:fldCharType="begin" w:fldLock="1"/>
      </w:r>
      <w:r w:rsidR="00667C28" w:rsidRPr="00D61090">
        <w:rPr>
          <w:rFonts w:eastAsiaTheme="minorHAnsi" w:cs="Arial"/>
          <w:color w:val="000000"/>
          <w:szCs w:val="18"/>
          <w:lang w:val="en-US"/>
        </w:rPr>
        <w:instrText>ADDIN CSL_CITATION { "citationItems" : [ { "id" : "ITEM-1", "itemData" : { "ISSN" : "15163725", "abstract" : "The objective was to evaluate the conservation of strawberries with coatings based on xanthan gum and, or, sage essential oil. The strawberries were minimally processed, added with coatings, dried under ventilation, packaged in trays of polyethylene terephthalate and stored at 4 \u00b0C for 12 days. Analyses of fungal decay, weight loss, firmness, color, soluble solids and pH were carried out, and at the end of storage, fungi and yeasts count as well. Regardless of the coating, mass loss of strawberries was reduced during the refrigerated storage period. However, the coatings based on xanthan gum indicated to be more efficient, by providing greater fruit firmness, while those containing xanthan gum and sage essential oil were the ones which provided the lowest incidence of fungi. In general, the coatings did not affect the color and pH of the strawberries.", "author" : [ { "dropping-particle" : "", "family" : "Borges", "given" : "Caroline Dellinghausen", "non-dropping-particle" : "", "parse-names" : false, "suffix" : "" }, { "dropping-particle" : "", "family" : "Mendon\u00e7a", "given" : "Carla Rosane Barboza", "non-dropping-particle" : "", "parse-names" : false, "suffix" : "" }, { "dropping-particle" : "", "family" : "Zambiazi", "given" : "Rui Carlos", "non-dropping-particle" : "", "parse-names" : false, "suffix" : "" }, { "dropping-particle" : "", "family" : "Nogueira", "given" : "Daiane", "non-dropping-particle" : "", "parse-names" : false, "suffix" : "" }, { "dropping-particle" : "", "family" : "Pinto", "given" : "Evelize Maia", "non-dropping-particle" : "", "parse-names" : false, "suffix" : "" }, { "dropping-particle" : "", "family" : "Paiva", "given" : "Fl\u00e1via Fernandes", "non-dropping-particle" : "", "parse-names" : false, "suffix" : "" } ], "container-title" : "Bioscience Journal", "id" : "ITEM-1", "issue" : "5", "issued" : { "date-parts" : [ [ "2013" ] ] }, "page" : "1071-1083", "title" : "Conserva\u00e7\u00e3o de morangos com revestimentos \u00e0 base de goma xantana e \u00f3leo essencial de s\u00e1lvia", "type" : "article-journal", "volume" : "29" }, "uris" : [ "http://www.mendeley.com/documents/?uuid=41b457ad-25a4-4dc8-aee2-fd772ad1e89b" ] } ], "mendeley" : { "formattedCitation" : "(Borges et al., 2013)", "manualFormatting" : " Borges et al. (2013)", "plainTextFormattedCitation" : "(Borges et al., 2013)", "previouslyFormattedCitation" : "(Borges et al., 2013)" }, "properties" : { "noteIndex" : 5 }, "schema" : "https://github.com/citation-style-language/schema/raw/master/csl-citation.json" }</w:instrText>
      </w:r>
      <w:r w:rsidR="00721113">
        <w:rPr>
          <w:rFonts w:eastAsiaTheme="minorHAnsi" w:cs="Arial"/>
          <w:color w:val="000000"/>
          <w:szCs w:val="18"/>
          <w:lang w:val="pt-BR"/>
        </w:rPr>
        <w:fldChar w:fldCharType="separate"/>
      </w:r>
      <w:r w:rsidR="00667C28" w:rsidRPr="00D61090">
        <w:rPr>
          <w:rFonts w:eastAsiaTheme="minorHAnsi" w:cs="Arial"/>
          <w:noProof/>
          <w:color w:val="000000"/>
          <w:szCs w:val="18"/>
          <w:lang w:val="en-US"/>
        </w:rPr>
        <w:t xml:space="preserve"> </w:t>
      </w:r>
      <w:r w:rsidR="00721113" w:rsidRPr="00D61090">
        <w:rPr>
          <w:rFonts w:eastAsiaTheme="minorHAnsi" w:cs="Arial"/>
          <w:noProof/>
          <w:color w:val="000000"/>
          <w:szCs w:val="18"/>
          <w:lang w:val="en-US"/>
        </w:rPr>
        <w:t xml:space="preserve">Borges et al. </w:t>
      </w:r>
      <w:r w:rsidR="00667C28" w:rsidRPr="00D61090">
        <w:rPr>
          <w:rFonts w:eastAsiaTheme="minorHAnsi" w:cs="Arial"/>
          <w:noProof/>
          <w:color w:val="000000"/>
          <w:szCs w:val="18"/>
          <w:lang w:val="en-US"/>
        </w:rPr>
        <w:t>(</w:t>
      </w:r>
      <w:r w:rsidR="00721113" w:rsidRPr="00D61090">
        <w:rPr>
          <w:rFonts w:eastAsiaTheme="minorHAnsi" w:cs="Arial"/>
          <w:noProof/>
          <w:color w:val="000000"/>
          <w:szCs w:val="18"/>
          <w:lang w:val="en-US"/>
        </w:rPr>
        <w:t>2013)</w:t>
      </w:r>
      <w:r w:rsidR="00721113">
        <w:rPr>
          <w:rFonts w:eastAsiaTheme="minorHAnsi" w:cs="Arial"/>
          <w:color w:val="000000"/>
          <w:szCs w:val="18"/>
          <w:lang w:val="pt-BR"/>
        </w:rPr>
        <w:fldChar w:fldCharType="end"/>
      </w:r>
      <w:r w:rsidRPr="00D61090">
        <w:rPr>
          <w:rFonts w:eastAsiaTheme="minorHAnsi" w:cs="Arial"/>
          <w:color w:val="000000"/>
          <w:szCs w:val="18"/>
          <w:lang w:val="en-US"/>
        </w:rPr>
        <w:t xml:space="preserve"> </w:t>
      </w:r>
      <w:r w:rsidRPr="00D61090">
        <w:rPr>
          <w:rFonts w:eastAsiaTheme="minorHAnsi" w:cs="Arial"/>
          <w:color w:val="000000"/>
          <w:szCs w:val="18"/>
          <w:lang w:val="en-US"/>
        </w:rPr>
        <w:lastRenderedPageBreak/>
        <w:t xml:space="preserve">found </w:t>
      </w:r>
      <w:r w:rsidR="00E55557">
        <w:rPr>
          <w:rFonts w:eastAsiaTheme="minorHAnsi" w:cs="Arial"/>
          <w:color w:val="000000"/>
          <w:szCs w:val="18"/>
          <w:lang w:val="en-US"/>
        </w:rPr>
        <w:t xml:space="preserve">a </w:t>
      </w:r>
      <w:r w:rsidR="004F5211" w:rsidRPr="00D61090">
        <w:rPr>
          <w:rFonts w:eastAsiaTheme="minorHAnsi" w:cs="Arial"/>
          <w:color w:val="000000"/>
          <w:szCs w:val="18"/>
          <w:lang w:val="en-US"/>
        </w:rPr>
        <w:t>more significant</w:t>
      </w:r>
      <w:r w:rsidRPr="00D61090">
        <w:rPr>
          <w:rFonts w:eastAsiaTheme="minorHAnsi" w:cs="Arial"/>
          <w:color w:val="000000"/>
          <w:szCs w:val="18"/>
          <w:lang w:val="en-US"/>
        </w:rPr>
        <w:t xml:space="preserve"> conservation of strawberries coated with xanthan gum and sage essential oil, indicating that their association increases shelf life.</w:t>
      </w:r>
      <w:r w:rsidR="00DE4F38" w:rsidRPr="00D61090">
        <w:rPr>
          <w:rFonts w:eastAsiaTheme="minorHAnsi" w:cs="Arial"/>
          <w:color w:val="000000"/>
          <w:szCs w:val="18"/>
          <w:lang w:val="en-US"/>
        </w:rPr>
        <w:t xml:space="preserve"> </w:t>
      </w:r>
      <w:r w:rsidR="00DE4F38">
        <w:rPr>
          <w:rFonts w:eastAsiaTheme="minorHAnsi" w:cs="Arial"/>
          <w:color w:val="000000"/>
          <w:szCs w:val="18"/>
          <w:lang w:val="pt-BR"/>
        </w:rPr>
        <w:fldChar w:fldCharType="begin" w:fldLock="1"/>
      </w:r>
      <w:r w:rsidR="0041280B" w:rsidRPr="00D61090">
        <w:rPr>
          <w:rFonts w:eastAsiaTheme="minorHAnsi" w:cs="Arial"/>
          <w:color w:val="000000"/>
          <w:szCs w:val="18"/>
          <w:lang w:val="en-US"/>
        </w:rPr>
        <w:instrText>ADDIN CSL_CITATION { "citationItems" : [ { "id" : "ITEM-1", "itemData" : { "DOI" : "10.1080/14786419.2022.2142220", "author" : [ { "dropping-particle" : "", "family" : "Leite, Ana Rita Zulim Cardoso", "given" : "Fl\u00e1via Aparecida Reitz", "non-dropping-particle" : "", "parse-names" : false, "suffix" : "" }, { "dropping-particle" : "de", "family" : "Gardenal, Amanda Correia Mello", "given" : "Jo\u00e3o Carlos Palazzo", "non-dropping-particle" : "", "parse-names" : false, "suffix" : "" }, { "dropping-particle" : "", "family" : "Marques", "given" : "Leila Larisa Medeiros", "non-dropping-particle" : "", "parse-names" : false, "suffix" : "" }, { "dropping-particle" : "", "family" : "Perdoncini", "given" : "Marcia Regina Ferreira Geraldo", "non-dropping-particle" : "", "parse-names" : false, "suffix" : "" } ], "container-title" : "Natural Product Research", "id" : "ITEM-1", "issued" : { "date-parts" : [ [ "2022" ] ] }, "page" : "1-14", "title" : "Control of fungal spoilage in strawberries using crude plant extracts against the fungus Botrytis cinerea", "type" : "article-journal", "volume" : "7" }, "uris" : [ "http://www.mendeley.com/documents/?uuid=863b027d-8708-4716-b7a3-6e6c37dd38bc" ] } ], "mendeley" : { "formattedCitation" : "(Leite, Ana Rita Zulim Cardoso et al., 2022)", "manualFormatting" : "Leite et al. (2022)</w:instrText>
      </w:r>
      <w:r w:rsidR="0041280B">
        <w:rPr>
          <w:rFonts w:eastAsiaTheme="minorHAnsi" w:cs="Arial"/>
          <w:color w:val="000000"/>
          <w:szCs w:val="18"/>
          <w:lang w:val="pt-BR"/>
        </w:rPr>
        <w:instrText>", "plainTextFormattedCitation" : "(Leite, Ana Rita Zulim Cardoso et al., 2022)", "previouslyFormattedCitation" : "(Leite, Ana Rita Zulim Cardoso et al., 2022)" }, "properties" : { "noteIndex" : 5 }, "schema" : "https://github.com/citation-style-language/schema/raw/master/csl-citation.json" }</w:instrText>
      </w:r>
      <w:r w:rsidR="00DE4F38">
        <w:rPr>
          <w:rFonts w:eastAsiaTheme="minorHAnsi" w:cs="Arial"/>
          <w:color w:val="000000"/>
          <w:szCs w:val="18"/>
          <w:lang w:val="pt-BR"/>
        </w:rPr>
        <w:fldChar w:fldCharType="separate"/>
      </w:r>
      <w:r w:rsidR="00DE4F38" w:rsidRPr="00D61090">
        <w:rPr>
          <w:rFonts w:eastAsiaTheme="minorHAnsi" w:cs="Arial"/>
          <w:noProof/>
          <w:color w:val="000000"/>
          <w:szCs w:val="18"/>
          <w:lang w:val="en-US"/>
        </w:rPr>
        <w:t>Leite et al. (2022)</w:t>
      </w:r>
      <w:r w:rsidR="00DE4F38">
        <w:rPr>
          <w:rFonts w:eastAsiaTheme="minorHAnsi" w:cs="Arial"/>
          <w:color w:val="000000"/>
          <w:szCs w:val="18"/>
          <w:lang w:val="pt-BR"/>
        </w:rPr>
        <w:fldChar w:fldCharType="end"/>
      </w:r>
      <w:r w:rsidRPr="00D61090">
        <w:rPr>
          <w:rFonts w:eastAsiaTheme="minorHAnsi" w:cs="Arial"/>
          <w:color w:val="000000"/>
          <w:szCs w:val="18"/>
          <w:lang w:val="en-US"/>
        </w:rPr>
        <w:t xml:space="preserve"> carried out a study on the control of fungal deterioration in strawberries using crude vegetable extracts against the fungus </w:t>
      </w:r>
      <w:r w:rsidRPr="00E55557">
        <w:rPr>
          <w:rFonts w:eastAsiaTheme="minorHAnsi" w:cs="Arial"/>
          <w:i/>
          <w:iCs/>
          <w:color w:val="000000"/>
          <w:szCs w:val="18"/>
          <w:lang w:val="en-US"/>
        </w:rPr>
        <w:t>B. cinerea</w:t>
      </w:r>
      <w:r w:rsidRPr="00D61090">
        <w:rPr>
          <w:rFonts w:eastAsiaTheme="minorHAnsi" w:cs="Arial"/>
          <w:color w:val="000000"/>
          <w:szCs w:val="18"/>
          <w:lang w:val="en-US"/>
        </w:rPr>
        <w:t xml:space="preserve">, where the results showed the synergy of the extracts with the refrigeration method in strawberry conservation since they have inhibitory substances to the fungus </w:t>
      </w:r>
      <w:r w:rsidRPr="00E55557">
        <w:rPr>
          <w:rFonts w:eastAsiaTheme="minorHAnsi" w:cs="Arial"/>
          <w:i/>
          <w:iCs/>
          <w:color w:val="000000"/>
          <w:szCs w:val="18"/>
          <w:lang w:val="en-US"/>
        </w:rPr>
        <w:t>B. cinerea</w:t>
      </w:r>
      <w:r w:rsidRPr="00D61090">
        <w:rPr>
          <w:rFonts w:eastAsiaTheme="minorHAnsi" w:cs="Arial"/>
          <w:color w:val="000000"/>
          <w:szCs w:val="18"/>
          <w:lang w:val="en-US"/>
        </w:rPr>
        <w:t xml:space="preserve"> that causes fruit deterioration and loss.</w:t>
      </w:r>
    </w:p>
    <w:p w14:paraId="1122E8EB" w14:textId="77777777" w:rsidR="005163D3" w:rsidRPr="00D61090" w:rsidRDefault="005163D3" w:rsidP="00186C29">
      <w:pPr>
        <w:autoSpaceDE w:val="0"/>
        <w:autoSpaceDN w:val="0"/>
        <w:adjustRightInd w:val="0"/>
        <w:rPr>
          <w:rFonts w:eastAsiaTheme="minorHAnsi" w:cs="Arial"/>
          <w:color w:val="000000"/>
          <w:szCs w:val="18"/>
          <w:lang w:val="en-US"/>
        </w:rPr>
      </w:pPr>
    </w:p>
    <w:p w14:paraId="0B5663D9" w14:textId="47FD65E3" w:rsidR="00201014" w:rsidRPr="009C40C0" w:rsidRDefault="00201014" w:rsidP="00201014">
      <w:pPr>
        <w:pStyle w:val="CETReferencetext"/>
        <w:rPr>
          <w:rFonts w:eastAsiaTheme="minorHAnsi" w:cs="Arial"/>
          <w:b/>
          <w:bCs/>
          <w:color w:val="000000"/>
          <w:sz w:val="20"/>
          <w:lang w:val="en-US"/>
        </w:rPr>
      </w:pPr>
      <w:r w:rsidRPr="009C40C0">
        <w:rPr>
          <w:rFonts w:eastAsiaTheme="minorHAnsi" w:cs="Arial"/>
          <w:b/>
          <w:bCs/>
          <w:color w:val="000000"/>
          <w:sz w:val="20"/>
          <w:lang w:val="en-US"/>
        </w:rPr>
        <w:t>4</w:t>
      </w:r>
      <w:r w:rsidR="009C40C0">
        <w:rPr>
          <w:rFonts w:eastAsiaTheme="minorHAnsi" w:cs="Arial"/>
          <w:b/>
          <w:bCs/>
          <w:color w:val="000000"/>
          <w:sz w:val="20"/>
          <w:lang w:val="en-US"/>
        </w:rPr>
        <w:t>.</w:t>
      </w:r>
      <w:r w:rsidRPr="009C40C0">
        <w:rPr>
          <w:rFonts w:eastAsiaTheme="minorHAnsi" w:cs="Arial"/>
          <w:b/>
          <w:bCs/>
          <w:color w:val="000000"/>
          <w:sz w:val="20"/>
          <w:lang w:val="en-US"/>
        </w:rPr>
        <w:t xml:space="preserve"> Conclusion</w:t>
      </w:r>
    </w:p>
    <w:p w14:paraId="0C41433E" w14:textId="48F87DD9" w:rsidR="00201014" w:rsidRPr="00D61090" w:rsidRDefault="00201014" w:rsidP="00201014">
      <w:pPr>
        <w:pStyle w:val="CETReferencetext"/>
        <w:ind w:left="0" w:firstLine="0"/>
        <w:rPr>
          <w:rFonts w:eastAsiaTheme="minorHAnsi" w:cs="Arial"/>
          <w:color w:val="000000"/>
          <w:szCs w:val="18"/>
          <w:lang w:val="en-US"/>
        </w:rPr>
      </w:pPr>
      <w:r w:rsidRPr="00D61090">
        <w:rPr>
          <w:rFonts w:eastAsiaTheme="minorHAnsi" w:cs="Arial"/>
          <w:color w:val="000000"/>
          <w:szCs w:val="18"/>
          <w:lang w:val="en-US"/>
        </w:rPr>
        <w:t xml:space="preserve">The inhibition of </w:t>
      </w:r>
      <w:r w:rsidRPr="00E55557">
        <w:rPr>
          <w:rFonts w:eastAsiaTheme="minorHAnsi" w:cs="Arial"/>
          <w:i/>
          <w:iCs/>
          <w:color w:val="000000"/>
          <w:szCs w:val="18"/>
          <w:lang w:val="en-US"/>
        </w:rPr>
        <w:t>B. cinerea</w:t>
      </w:r>
      <w:r w:rsidRPr="00D61090">
        <w:rPr>
          <w:rFonts w:eastAsiaTheme="minorHAnsi" w:cs="Arial"/>
          <w:color w:val="000000"/>
          <w:szCs w:val="18"/>
          <w:lang w:val="en-US"/>
        </w:rPr>
        <w:t xml:space="preserve"> was demonstrated by the reduction of mycelial growth in PDA with concentrations of 50</w:t>
      </w:r>
      <w:r w:rsidR="00E2323C">
        <w:rPr>
          <w:rFonts w:eastAsiaTheme="minorHAnsi" w:cs="Arial"/>
          <w:color w:val="000000"/>
          <w:szCs w:val="18"/>
          <w:lang w:val="en-US"/>
        </w:rPr>
        <w:t xml:space="preserve"> </w:t>
      </w:r>
      <w:r w:rsidRPr="00D61090">
        <w:rPr>
          <w:rFonts w:eastAsiaTheme="minorHAnsi" w:cs="Arial"/>
          <w:color w:val="000000"/>
          <w:szCs w:val="18"/>
          <w:lang w:val="en-US"/>
        </w:rPr>
        <w:t>%, 25</w:t>
      </w:r>
      <w:r w:rsidR="00E2323C">
        <w:rPr>
          <w:rFonts w:eastAsiaTheme="minorHAnsi" w:cs="Arial"/>
          <w:color w:val="000000"/>
          <w:szCs w:val="18"/>
          <w:lang w:val="en-US"/>
        </w:rPr>
        <w:t xml:space="preserve"> </w:t>
      </w:r>
      <w:r w:rsidRPr="00D61090">
        <w:rPr>
          <w:rFonts w:eastAsiaTheme="minorHAnsi" w:cs="Arial"/>
          <w:color w:val="000000"/>
          <w:szCs w:val="18"/>
          <w:lang w:val="en-US"/>
        </w:rPr>
        <w:t>%, 12.5</w:t>
      </w:r>
      <w:r w:rsidR="00E2323C">
        <w:rPr>
          <w:rFonts w:eastAsiaTheme="minorHAnsi" w:cs="Arial"/>
          <w:color w:val="000000"/>
          <w:szCs w:val="18"/>
          <w:lang w:val="en-US"/>
        </w:rPr>
        <w:t xml:space="preserve"> </w:t>
      </w:r>
      <w:r w:rsidRPr="00D61090">
        <w:rPr>
          <w:rFonts w:eastAsiaTheme="minorHAnsi" w:cs="Arial"/>
          <w:color w:val="000000"/>
          <w:szCs w:val="18"/>
          <w:lang w:val="en-US"/>
        </w:rPr>
        <w:t>%</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6.25</w:t>
      </w:r>
      <w:r w:rsidR="00E2323C">
        <w:rPr>
          <w:rFonts w:eastAsiaTheme="minorHAnsi" w:cs="Arial"/>
          <w:color w:val="000000"/>
          <w:szCs w:val="18"/>
          <w:lang w:val="en-US"/>
        </w:rPr>
        <w:t xml:space="preserve"> </w:t>
      </w:r>
      <w:r w:rsidRPr="00D61090">
        <w:rPr>
          <w:rFonts w:eastAsiaTheme="minorHAnsi" w:cs="Arial"/>
          <w:color w:val="000000"/>
          <w:szCs w:val="18"/>
          <w:lang w:val="en-US"/>
        </w:rPr>
        <w:t>% of F1, since the concentrations of 50</w:t>
      </w:r>
      <w:r w:rsidR="00E2323C">
        <w:rPr>
          <w:rFonts w:eastAsiaTheme="minorHAnsi" w:cs="Arial"/>
          <w:color w:val="000000"/>
          <w:szCs w:val="18"/>
          <w:lang w:val="en-US"/>
        </w:rPr>
        <w:t xml:space="preserve"> </w:t>
      </w:r>
      <w:r w:rsidRPr="00D61090">
        <w:rPr>
          <w:rFonts w:eastAsiaTheme="minorHAnsi" w:cs="Arial"/>
          <w:color w:val="000000"/>
          <w:szCs w:val="18"/>
          <w:lang w:val="en-US"/>
        </w:rPr>
        <w:t>% and 25</w:t>
      </w:r>
      <w:r w:rsidR="00E2323C">
        <w:rPr>
          <w:rFonts w:eastAsiaTheme="minorHAnsi" w:cs="Arial"/>
          <w:color w:val="000000"/>
          <w:szCs w:val="18"/>
          <w:lang w:val="en-US"/>
        </w:rPr>
        <w:t xml:space="preserve"> </w:t>
      </w:r>
      <w:r w:rsidRPr="00D61090">
        <w:rPr>
          <w:rFonts w:eastAsiaTheme="minorHAnsi" w:cs="Arial"/>
          <w:color w:val="000000"/>
          <w:szCs w:val="18"/>
          <w:lang w:val="en-US"/>
        </w:rPr>
        <w:t xml:space="preserve">% showed </w:t>
      </w:r>
      <w:r w:rsidR="004F5211" w:rsidRPr="00D61090">
        <w:rPr>
          <w:rFonts w:eastAsiaTheme="minorHAnsi" w:cs="Arial"/>
          <w:color w:val="000000"/>
          <w:szCs w:val="18"/>
          <w:lang w:val="en-US"/>
        </w:rPr>
        <w:t>more excellent</w:t>
      </w:r>
      <w:r w:rsidRPr="00D61090">
        <w:rPr>
          <w:rFonts w:eastAsiaTheme="minorHAnsi" w:cs="Arial"/>
          <w:color w:val="000000"/>
          <w:szCs w:val="18"/>
          <w:lang w:val="en-US"/>
        </w:rPr>
        <w:t xml:space="preserve"> antifungal activity in which they obtained percentages of inhibition </w:t>
      </w:r>
      <w:r w:rsidR="004F5211" w:rsidRPr="00D61090">
        <w:rPr>
          <w:rFonts w:eastAsiaTheme="minorHAnsi" w:cs="Arial"/>
          <w:color w:val="000000"/>
          <w:szCs w:val="18"/>
          <w:lang w:val="en-US"/>
        </w:rPr>
        <w:t>about</w:t>
      </w:r>
      <w:r w:rsidRPr="00D61090">
        <w:rPr>
          <w:rFonts w:eastAsiaTheme="minorHAnsi" w:cs="Arial"/>
          <w:color w:val="000000"/>
          <w:szCs w:val="18"/>
          <w:lang w:val="en-US"/>
        </w:rPr>
        <w:t xml:space="preserve"> the control of 88.9</w:t>
      </w:r>
      <w:r w:rsidR="00E2323C">
        <w:rPr>
          <w:rFonts w:eastAsiaTheme="minorHAnsi" w:cs="Arial"/>
          <w:color w:val="000000"/>
          <w:szCs w:val="18"/>
          <w:lang w:val="en-US"/>
        </w:rPr>
        <w:t xml:space="preserve"> </w:t>
      </w:r>
      <w:r w:rsidRPr="00D61090">
        <w:rPr>
          <w:rFonts w:eastAsiaTheme="minorHAnsi" w:cs="Arial"/>
          <w:color w:val="000000"/>
          <w:szCs w:val="18"/>
          <w:lang w:val="en-US"/>
        </w:rPr>
        <w:t>% and 46.7</w:t>
      </w:r>
      <w:r w:rsidR="00E2323C">
        <w:rPr>
          <w:rFonts w:eastAsiaTheme="minorHAnsi" w:cs="Arial"/>
          <w:color w:val="000000"/>
          <w:szCs w:val="18"/>
          <w:lang w:val="en-US"/>
        </w:rPr>
        <w:t xml:space="preserve"> </w:t>
      </w:r>
      <w:r w:rsidRPr="00D61090">
        <w:rPr>
          <w:rFonts w:eastAsiaTheme="minorHAnsi" w:cs="Arial"/>
          <w:color w:val="000000"/>
          <w:szCs w:val="18"/>
          <w:lang w:val="en-US"/>
        </w:rPr>
        <w:t>%, respectively. PDA medium with concentrations of 50</w:t>
      </w:r>
      <w:r w:rsidR="00E2323C">
        <w:rPr>
          <w:rFonts w:eastAsiaTheme="minorHAnsi" w:cs="Arial"/>
          <w:color w:val="000000"/>
          <w:szCs w:val="18"/>
          <w:lang w:val="en-US"/>
        </w:rPr>
        <w:t xml:space="preserve"> </w:t>
      </w:r>
      <w:r w:rsidRPr="00D61090">
        <w:rPr>
          <w:rFonts w:eastAsiaTheme="minorHAnsi" w:cs="Arial"/>
          <w:color w:val="000000"/>
          <w:szCs w:val="18"/>
          <w:lang w:val="en-US"/>
        </w:rPr>
        <w:t>%, 25</w:t>
      </w:r>
      <w:r w:rsidR="00E2323C">
        <w:rPr>
          <w:rFonts w:eastAsiaTheme="minorHAnsi" w:cs="Arial"/>
          <w:color w:val="000000"/>
          <w:szCs w:val="18"/>
          <w:lang w:val="en-US"/>
        </w:rPr>
        <w:t xml:space="preserve"> </w:t>
      </w:r>
      <w:r w:rsidRPr="00D61090">
        <w:rPr>
          <w:rFonts w:eastAsiaTheme="minorHAnsi" w:cs="Arial"/>
          <w:color w:val="000000"/>
          <w:szCs w:val="18"/>
          <w:lang w:val="en-US"/>
        </w:rPr>
        <w:t>%, 12.5</w:t>
      </w:r>
      <w:r w:rsidR="00E2323C">
        <w:rPr>
          <w:rFonts w:eastAsiaTheme="minorHAnsi" w:cs="Arial"/>
          <w:color w:val="000000"/>
          <w:szCs w:val="18"/>
          <w:lang w:val="en-US"/>
        </w:rPr>
        <w:t xml:space="preserve"> </w:t>
      </w:r>
      <w:r w:rsidRPr="00D61090">
        <w:rPr>
          <w:rFonts w:eastAsiaTheme="minorHAnsi" w:cs="Arial"/>
          <w:color w:val="000000"/>
          <w:szCs w:val="18"/>
          <w:lang w:val="en-US"/>
        </w:rPr>
        <w:t>%</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6.25</w:t>
      </w:r>
      <w:r w:rsidR="00E2323C">
        <w:rPr>
          <w:rFonts w:eastAsiaTheme="minorHAnsi" w:cs="Arial"/>
          <w:color w:val="000000"/>
          <w:szCs w:val="18"/>
          <w:lang w:val="en-US"/>
        </w:rPr>
        <w:t xml:space="preserve"> </w:t>
      </w:r>
      <w:r w:rsidRPr="00D61090">
        <w:rPr>
          <w:rFonts w:eastAsiaTheme="minorHAnsi" w:cs="Arial"/>
          <w:color w:val="000000"/>
          <w:szCs w:val="18"/>
          <w:lang w:val="en-US"/>
        </w:rPr>
        <w:t xml:space="preserve">% of kombucha with hibiscus (F2H) inhibited </w:t>
      </w:r>
      <w:r w:rsidRPr="00E55557">
        <w:rPr>
          <w:rFonts w:eastAsiaTheme="minorHAnsi" w:cs="Arial"/>
          <w:i/>
          <w:iCs/>
          <w:color w:val="000000"/>
          <w:szCs w:val="18"/>
          <w:lang w:val="en-US"/>
        </w:rPr>
        <w:t>B. cinerea</w:t>
      </w:r>
      <w:r w:rsidRPr="00D61090">
        <w:rPr>
          <w:rFonts w:eastAsiaTheme="minorHAnsi" w:cs="Arial"/>
          <w:color w:val="000000"/>
          <w:szCs w:val="18"/>
          <w:lang w:val="en-US"/>
        </w:rPr>
        <w:t>, and the most expressive inhibition was demonstrated by the concentration of 50</w:t>
      </w:r>
      <w:r w:rsidR="00E2323C">
        <w:rPr>
          <w:rFonts w:eastAsiaTheme="minorHAnsi" w:cs="Arial"/>
          <w:color w:val="000000"/>
          <w:szCs w:val="18"/>
          <w:lang w:val="en-US"/>
        </w:rPr>
        <w:t xml:space="preserve"> </w:t>
      </w:r>
      <w:r w:rsidRPr="00D61090">
        <w:rPr>
          <w:rFonts w:eastAsiaTheme="minorHAnsi" w:cs="Arial"/>
          <w:color w:val="000000"/>
          <w:szCs w:val="18"/>
          <w:lang w:val="en-US"/>
        </w:rPr>
        <w:t>%, inhibiting mycelial growth in 58.9</w:t>
      </w:r>
      <w:r w:rsidR="00E2323C">
        <w:rPr>
          <w:rFonts w:eastAsiaTheme="minorHAnsi" w:cs="Arial"/>
          <w:color w:val="000000"/>
          <w:szCs w:val="18"/>
          <w:lang w:val="en-US"/>
        </w:rPr>
        <w:t xml:space="preserve"> </w:t>
      </w:r>
      <w:r w:rsidRPr="00D61090">
        <w:rPr>
          <w:rFonts w:eastAsiaTheme="minorHAnsi" w:cs="Arial"/>
          <w:color w:val="000000"/>
          <w:szCs w:val="18"/>
          <w:lang w:val="en-US"/>
        </w:rPr>
        <w:t xml:space="preserve">% </w:t>
      </w:r>
      <w:r w:rsidR="004F5211" w:rsidRPr="00D61090">
        <w:rPr>
          <w:rFonts w:eastAsiaTheme="minorHAnsi" w:cs="Arial"/>
          <w:color w:val="000000"/>
          <w:szCs w:val="18"/>
          <w:lang w:val="en-US"/>
        </w:rPr>
        <w:t>about</w:t>
      </w:r>
      <w:r w:rsidRPr="00D61090">
        <w:rPr>
          <w:rFonts w:eastAsiaTheme="minorHAnsi" w:cs="Arial"/>
          <w:color w:val="000000"/>
          <w:szCs w:val="18"/>
          <w:lang w:val="en-US"/>
        </w:rPr>
        <w:t xml:space="preserve"> the control. Hibiscus tea at the same concentrations showed less inhibitory power, and at a concentration of 50</w:t>
      </w:r>
      <w:r w:rsidR="00E2323C">
        <w:rPr>
          <w:rFonts w:eastAsiaTheme="minorHAnsi" w:cs="Arial"/>
          <w:color w:val="000000"/>
          <w:szCs w:val="18"/>
          <w:lang w:val="en-US"/>
        </w:rPr>
        <w:t xml:space="preserve"> </w:t>
      </w:r>
      <w:r w:rsidRPr="00D61090">
        <w:rPr>
          <w:rFonts w:eastAsiaTheme="minorHAnsi" w:cs="Arial"/>
          <w:color w:val="000000"/>
          <w:szCs w:val="18"/>
          <w:lang w:val="en-US"/>
        </w:rPr>
        <w:t>%, it showed a mycelial inhibition of 21.1</w:t>
      </w:r>
      <w:r w:rsidR="00E2323C">
        <w:rPr>
          <w:rFonts w:eastAsiaTheme="minorHAnsi" w:cs="Arial"/>
          <w:color w:val="000000"/>
          <w:szCs w:val="18"/>
          <w:lang w:val="en-US"/>
        </w:rPr>
        <w:t xml:space="preserve"> </w:t>
      </w:r>
      <w:r w:rsidRPr="00D61090">
        <w:rPr>
          <w:rFonts w:eastAsiaTheme="minorHAnsi" w:cs="Arial"/>
          <w:color w:val="000000"/>
          <w:szCs w:val="18"/>
          <w:lang w:val="en-US"/>
        </w:rPr>
        <w:t xml:space="preserve">% </w:t>
      </w:r>
      <w:r w:rsidR="004F5211" w:rsidRPr="00D61090">
        <w:rPr>
          <w:rFonts w:eastAsiaTheme="minorHAnsi" w:cs="Arial"/>
          <w:color w:val="000000"/>
          <w:szCs w:val="18"/>
          <w:lang w:val="en-US"/>
        </w:rPr>
        <w:t>about</w:t>
      </w:r>
      <w:r w:rsidRPr="00D61090">
        <w:rPr>
          <w:rFonts w:eastAsiaTheme="minorHAnsi" w:cs="Arial"/>
          <w:color w:val="000000"/>
          <w:szCs w:val="18"/>
          <w:lang w:val="en-US"/>
        </w:rPr>
        <w:t xml:space="preserve"> the control. It is concluded that of the treatments tested, </w:t>
      </w:r>
      <w:r w:rsidRPr="00E55557">
        <w:rPr>
          <w:rFonts w:eastAsiaTheme="minorHAnsi" w:cs="Arial"/>
          <w:i/>
          <w:iCs/>
          <w:color w:val="000000"/>
          <w:szCs w:val="18"/>
          <w:lang w:val="en-US"/>
        </w:rPr>
        <w:t>B. cinerea</w:t>
      </w:r>
      <w:r w:rsidRPr="00D61090">
        <w:rPr>
          <w:rFonts w:eastAsiaTheme="minorHAnsi" w:cs="Arial"/>
          <w:color w:val="000000"/>
          <w:szCs w:val="18"/>
          <w:lang w:val="en-US"/>
        </w:rPr>
        <w:t xml:space="preserve"> has significantly inhibited mycelial growth when cultivated in PDA with kombucha (F1) and kombucha with hibiscus (F2H), depending on the concentration. Therefore, these natural compounds showed antifungal action against </w:t>
      </w:r>
      <w:r w:rsidRPr="00E55557">
        <w:rPr>
          <w:rFonts w:eastAsiaTheme="minorHAnsi" w:cs="Arial"/>
          <w:i/>
          <w:iCs/>
          <w:color w:val="000000"/>
          <w:szCs w:val="18"/>
          <w:lang w:val="en-US"/>
        </w:rPr>
        <w:t>B. cinerea</w:t>
      </w:r>
      <w:r w:rsidRPr="00D61090">
        <w:rPr>
          <w:rFonts w:eastAsiaTheme="minorHAnsi" w:cs="Arial"/>
          <w:color w:val="000000"/>
          <w:szCs w:val="18"/>
          <w:lang w:val="en-US"/>
        </w:rPr>
        <w:t>, potential antifungal agents to be applied in foods. Complementary studies need to be carried out so that this alternative can become a reality in the food industry. When strawberries were directly treated with F1, F2H</w:t>
      </w:r>
      <w:r w:rsidR="004F5211" w:rsidRPr="00D61090">
        <w:rPr>
          <w:rFonts w:eastAsiaTheme="minorHAnsi" w:cs="Arial"/>
          <w:color w:val="000000"/>
          <w:szCs w:val="18"/>
          <w:lang w:val="en-US"/>
        </w:rPr>
        <w:t>,</w:t>
      </w:r>
      <w:r w:rsidRPr="00D61090">
        <w:rPr>
          <w:rFonts w:eastAsiaTheme="minorHAnsi" w:cs="Arial"/>
          <w:color w:val="000000"/>
          <w:szCs w:val="18"/>
          <w:lang w:val="en-US"/>
        </w:rPr>
        <w:t xml:space="preserve"> and hibiscus tea, those treated with hibiscus tea showed less visual deterioration </w:t>
      </w:r>
      <w:r w:rsidR="004F5211" w:rsidRPr="00D61090">
        <w:rPr>
          <w:rFonts w:eastAsiaTheme="minorHAnsi" w:cs="Arial"/>
          <w:color w:val="000000"/>
          <w:szCs w:val="18"/>
          <w:lang w:val="en-US"/>
        </w:rPr>
        <w:t>than</w:t>
      </w:r>
      <w:r w:rsidRPr="00D61090">
        <w:rPr>
          <w:rFonts w:eastAsiaTheme="minorHAnsi" w:cs="Arial"/>
          <w:color w:val="000000"/>
          <w:szCs w:val="18"/>
          <w:lang w:val="en-US"/>
        </w:rPr>
        <w:t xml:space="preserve"> those treated with F2H and F1. Other methods for applying kombucha to strawberries, such as film coatings, could be analyzed to verify the effects on the conservation of these fruits, seeking the effectiveness of the antifungal action of these compounds on strawberries.</w:t>
      </w:r>
    </w:p>
    <w:p w14:paraId="3EBD58F9" w14:textId="77777777" w:rsidR="00201014" w:rsidRPr="00D61090" w:rsidRDefault="00201014" w:rsidP="00201014">
      <w:pPr>
        <w:pStyle w:val="CETReferencetext"/>
        <w:rPr>
          <w:rFonts w:eastAsiaTheme="minorHAnsi" w:cs="Arial"/>
          <w:b/>
          <w:bCs/>
          <w:color w:val="000000"/>
          <w:szCs w:val="18"/>
          <w:lang w:val="en-US"/>
        </w:rPr>
      </w:pPr>
    </w:p>
    <w:p w14:paraId="7D0CC8D1" w14:textId="1E61F899" w:rsidR="008C5ED6" w:rsidRPr="00D61090" w:rsidRDefault="00201014" w:rsidP="00201014">
      <w:pPr>
        <w:pStyle w:val="CETReferencetext"/>
        <w:rPr>
          <w:rFonts w:eastAsiaTheme="minorHAnsi" w:cs="Arial"/>
          <w:b/>
          <w:bCs/>
          <w:color w:val="000000"/>
          <w:szCs w:val="18"/>
          <w:lang w:val="en-US"/>
        </w:rPr>
      </w:pPr>
      <w:r w:rsidRPr="00D61090">
        <w:rPr>
          <w:rFonts w:eastAsiaTheme="minorHAnsi" w:cs="Arial"/>
          <w:b/>
          <w:bCs/>
          <w:color w:val="000000"/>
          <w:szCs w:val="18"/>
          <w:lang w:val="en-US"/>
        </w:rPr>
        <w:t>References</w:t>
      </w:r>
    </w:p>
    <w:p w14:paraId="2F8ADB27" w14:textId="77777777" w:rsidR="0041280B" w:rsidRPr="00D61090" w:rsidRDefault="0041280B" w:rsidP="00201014">
      <w:pPr>
        <w:pStyle w:val="CETReferencetext"/>
        <w:rPr>
          <w:rFonts w:eastAsiaTheme="minorHAnsi" w:cs="Arial"/>
          <w:b/>
          <w:bCs/>
          <w:color w:val="000000"/>
          <w:szCs w:val="18"/>
          <w:lang w:val="en-US"/>
        </w:rPr>
      </w:pPr>
    </w:p>
    <w:p w14:paraId="244D9342" w14:textId="3115697A" w:rsidR="00607693" w:rsidRPr="00607693" w:rsidRDefault="0041280B" w:rsidP="00607693">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607693" w:rsidRPr="00607693">
        <w:rPr>
          <w:rFonts w:cs="Arial"/>
          <w:noProof/>
          <w:szCs w:val="24"/>
        </w:rPr>
        <w:t xml:space="preserve">Battikh, H., Bakhrouf, A., &amp; Ammar, E. (2012). Antimicrobial effect of Kombucha analogues. </w:t>
      </w:r>
      <w:r w:rsidR="00607693" w:rsidRPr="00607693">
        <w:rPr>
          <w:rFonts w:cs="Arial"/>
          <w:i/>
          <w:iCs/>
          <w:noProof/>
          <w:szCs w:val="24"/>
        </w:rPr>
        <w:t>LWT</w:t>
      </w:r>
      <w:r w:rsidR="00607693" w:rsidRPr="00607693">
        <w:rPr>
          <w:rFonts w:cs="Arial"/>
          <w:noProof/>
          <w:szCs w:val="24"/>
        </w:rPr>
        <w:t xml:space="preserve">, </w:t>
      </w:r>
      <w:r w:rsidR="00607693" w:rsidRPr="00607693">
        <w:rPr>
          <w:rFonts w:cs="Arial"/>
          <w:i/>
          <w:iCs/>
          <w:noProof/>
          <w:szCs w:val="24"/>
        </w:rPr>
        <w:t>47</w:t>
      </w:r>
      <w:r w:rsidR="00607693" w:rsidRPr="00607693">
        <w:rPr>
          <w:rFonts w:cs="Arial"/>
          <w:noProof/>
          <w:szCs w:val="24"/>
        </w:rPr>
        <w:t>(1), 71–77. https://doi.org/10.1016/j.lwt.2011.12.033</w:t>
      </w:r>
    </w:p>
    <w:p w14:paraId="4F171BD3" w14:textId="77777777"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607693">
        <w:rPr>
          <w:rFonts w:cs="Arial"/>
          <w:noProof/>
          <w:szCs w:val="24"/>
        </w:rPr>
        <w:t xml:space="preserve">Bhattacharya, D., Bhattacharya, S., Patra, M. M., Chakravorty, S., Sarkar, S., Chakraborty, W., Koley, H., &amp; Gachhui, R. (2016). Antibacterial Activity of Polyphenolic Fraction of Kombucha Against Enteric Bacterial Pathogens. </w:t>
      </w:r>
      <w:r w:rsidRPr="00D61090">
        <w:rPr>
          <w:rFonts w:cs="Arial"/>
          <w:i/>
          <w:iCs/>
          <w:noProof/>
          <w:szCs w:val="24"/>
          <w:lang w:val="pt-BR"/>
        </w:rPr>
        <w:t>Current Microbiology</w:t>
      </w:r>
      <w:r w:rsidRPr="00D61090">
        <w:rPr>
          <w:rFonts w:cs="Arial"/>
          <w:noProof/>
          <w:szCs w:val="24"/>
          <w:lang w:val="pt-BR"/>
        </w:rPr>
        <w:t xml:space="preserve">, </w:t>
      </w:r>
      <w:r w:rsidRPr="00D61090">
        <w:rPr>
          <w:rFonts w:cs="Arial"/>
          <w:i/>
          <w:iCs/>
          <w:noProof/>
          <w:szCs w:val="24"/>
          <w:lang w:val="pt-BR"/>
        </w:rPr>
        <w:t>73</w:t>
      </w:r>
      <w:r w:rsidRPr="00D61090">
        <w:rPr>
          <w:rFonts w:cs="Arial"/>
          <w:noProof/>
          <w:szCs w:val="24"/>
          <w:lang w:val="pt-BR"/>
        </w:rPr>
        <w:t>(6), 885–896. https://doi.org/10.1007/s00284-016-1136-3</w:t>
      </w:r>
    </w:p>
    <w:p w14:paraId="4493471E" w14:textId="77777777"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D61090">
        <w:rPr>
          <w:rFonts w:cs="Arial"/>
          <w:noProof/>
          <w:szCs w:val="24"/>
          <w:lang w:val="pt-BR"/>
        </w:rPr>
        <w:t xml:space="preserve">Borges, C. D., Mendonça, C. R. B., Zambiazi, R. C., Nogueira, D., Pinto, E. M., &amp; Paiva, F. F. (2013). Conservação de morangos com revestimentos à base de goma xantana e óleo essencial de sálvia. </w:t>
      </w:r>
      <w:r w:rsidRPr="00D61090">
        <w:rPr>
          <w:rFonts w:cs="Arial"/>
          <w:i/>
          <w:iCs/>
          <w:noProof/>
          <w:szCs w:val="24"/>
          <w:lang w:val="pt-BR"/>
        </w:rPr>
        <w:t>Bioscience Journal</w:t>
      </w:r>
      <w:r w:rsidRPr="00D61090">
        <w:rPr>
          <w:rFonts w:cs="Arial"/>
          <w:noProof/>
          <w:szCs w:val="24"/>
          <w:lang w:val="pt-BR"/>
        </w:rPr>
        <w:t xml:space="preserve">, </w:t>
      </w:r>
      <w:r w:rsidRPr="00D61090">
        <w:rPr>
          <w:rFonts w:cs="Arial"/>
          <w:i/>
          <w:iCs/>
          <w:noProof/>
          <w:szCs w:val="24"/>
          <w:lang w:val="pt-BR"/>
        </w:rPr>
        <w:t>29</w:t>
      </w:r>
      <w:r w:rsidRPr="00D61090">
        <w:rPr>
          <w:rFonts w:cs="Arial"/>
          <w:noProof/>
          <w:szCs w:val="24"/>
          <w:lang w:val="pt-BR"/>
        </w:rPr>
        <w:t>(5), 1071–1083.</w:t>
      </w:r>
    </w:p>
    <w:p w14:paraId="611C1F17" w14:textId="77777777"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D61090">
        <w:rPr>
          <w:rFonts w:cs="Arial"/>
          <w:noProof/>
          <w:szCs w:val="24"/>
          <w:lang w:val="pt-BR"/>
        </w:rPr>
        <w:t xml:space="preserve">Bruschi, J. dos S., Sousa, R. C. dos S., &amp; Modesto, K. R. (2018). O Ressurgimento do Chá de Kombucha. </w:t>
      </w:r>
      <w:r w:rsidRPr="00D61090">
        <w:rPr>
          <w:rFonts w:cs="Arial"/>
          <w:i/>
          <w:iCs/>
          <w:noProof/>
          <w:szCs w:val="24"/>
          <w:lang w:val="pt-BR"/>
        </w:rPr>
        <w:t>Revista de Iniciação Científica E Extensão</w:t>
      </w:r>
      <w:r w:rsidRPr="00D61090">
        <w:rPr>
          <w:rFonts w:cs="Arial"/>
          <w:noProof/>
          <w:szCs w:val="24"/>
          <w:lang w:val="pt-BR"/>
        </w:rPr>
        <w:t xml:space="preserve">, </w:t>
      </w:r>
      <w:r w:rsidRPr="00D61090">
        <w:rPr>
          <w:rFonts w:cs="Arial"/>
          <w:i/>
          <w:iCs/>
          <w:noProof/>
          <w:szCs w:val="24"/>
          <w:lang w:val="pt-BR"/>
        </w:rPr>
        <w:t>1</w:t>
      </w:r>
      <w:r w:rsidRPr="00D61090">
        <w:rPr>
          <w:rFonts w:cs="Arial"/>
          <w:noProof/>
          <w:szCs w:val="24"/>
          <w:lang w:val="pt-BR"/>
        </w:rPr>
        <w:t>(Especial), 166–168.</w:t>
      </w:r>
    </w:p>
    <w:p w14:paraId="0EE1A35B"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Cetojevic-Simin, D. D., Bogdanovic, G. M., Cvetkovic, D. D., &amp; Velicanski, A. S. (2008). Antiproliferative and antimicrobial activity of traditional Kombucha and Satureja montana L. Kombucha. </w:t>
      </w:r>
      <w:r w:rsidRPr="00607693">
        <w:rPr>
          <w:rFonts w:cs="Arial"/>
          <w:i/>
          <w:iCs/>
          <w:noProof/>
          <w:szCs w:val="24"/>
        </w:rPr>
        <w:t>Journal of B.U.ON.</w:t>
      </w:r>
      <w:r w:rsidRPr="00607693">
        <w:rPr>
          <w:rFonts w:cs="Arial"/>
          <w:noProof/>
          <w:szCs w:val="24"/>
        </w:rPr>
        <w:t xml:space="preserve">, </w:t>
      </w:r>
      <w:r w:rsidRPr="00607693">
        <w:rPr>
          <w:rFonts w:cs="Arial"/>
          <w:i/>
          <w:iCs/>
          <w:noProof/>
          <w:szCs w:val="24"/>
        </w:rPr>
        <w:t>13</w:t>
      </w:r>
      <w:r w:rsidRPr="00607693">
        <w:rPr>
          <w:rFonts w:cs="Arial"/>
          <w:noProof/>
          <w:szCs w:val="24"/>
        </w:rPr>
        <w:t>(3), 395–401.</w:t>
      </w:r>
    </w:p>
    <w:p w14:paraId="0144800D"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Chakravorty, S., Bhattacharya, S., Chatzinotas, A., Chakraborty, W., Bhattacharya, D., &amp; Gachhui, R. (2016). Kombucha tea fermentation: Microbial and biochemical dynamics. </w:t>
      </w:r>
      <w:r w:rsidRPr="00607693">
        <w:rPr>
          <w:rFonts w:cs="Arial"/>
          <w:i/>
          <w:iCs/>
          <w:noProof/>
          <w:szCs w:val="24"/>
        </w:rPr>
        <w:t>International Journal of Food Microbiology</w:t>
      </w:r>
      <w:r w:rsidRPr="00607693">
        <w:rPr>
          <w:rFonts w:cs="Arial"/>
          <w:noProof/>
          <w:szCs w:val="24"/>
        </w:rPr>
        <w:t xml:space="preserve">, </w:t>
      </w:r>
      <w:r w:rsidRPr="00607693">
        <w:rPr>
          <w:rFonts w:cs="Arial"/>
          <w:i/>
          <w:iCs/>
          <w:noProof/>
          <w:szCs w:val="24"/>
        </w:rPr>
        <w:t>220</w:t>
      </w:r>
      <w:r w:rsidRPr="00607693">
        <w:rPr>
          <w:rFonts w:cs="Arial"/>
          <w:noProof/>
          <w:szCs w:val="24"/>
        </w:rPr>
        <w:t>, 63–72. https://doi.org/10.1016/j.ijfoodmicro.2015.12.015</w:t>
      </w:r>
    </w:p>
    <w:p w14:paraId="3BF129B8"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Chao, C. Y., &amp; Yin, M. C. (2009). Antibacterial effects of roselle calyx extracts and protocatechuic acid in ground beef and apple juice. </w:t>
      </w:r>
      <w:r w:rsidRPr="00607693">
        <w:rPr>
          <w:rFonts w:cs="Arial"/>
          <w:i/>
          <w:iCs/>
          <w:noProof/>
          <w:szCs w:val="24"/>
        </w:rPr>
        <w:t>Foodborne Pathogens and Disease</w:t>
      </w:r>
      <w:r w:rsidRPr="00607693">
        <w:rPr>
          <w:rFonts w:cs="Arial"/>
          <w:noProof/>
          <w:szCs w:val="24"/>
        </w:rPr>
        <w:t xml:space="preserve">, </w:t>
      </w:r>
      <w:r w:rsidRPr="00607693">
        <w:rPr>
          <w:rFonts w:cs="Arial"/>
          <w:i/>
          <w:iCs/>
          <w:noProof/>
          <w:szCs w:val="24"/>
        </w:rPr>
        <w:t>6</w:t>
      </w:r>
      <w:r w:rsidRPr="00607693">
        <w:rPr>
          <w:rFonts w:cs="Arial"/>
          <w:noProof/>
          <w:szCs w:val="24"/>
        </w:rPr>
        <w:t>(2), 201–206. https://doi.org/10.1089/fpd.2008.0187</w:t>
      </w:r>
    </w:p>
    <w:p w14:paraId="2DDA5E20"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Farombi, E. O., &amp; Fakoya, A. (2005). Free radical scavenging and antigenotoxic activities of natural phenolic compounds in dried flowers of Hibiscus sabdariffa L. </w:t>
      </w:r>
      <w:r w:rsidRPr="00607693">
        <w:rPr>
          <w:rFonts w:cs="Arial"/>
          <w:i/>
          <w:iCs/>
          <w:noProof/>
          <w:szCs w:val="24"/>
        </w:rPr>
        <w:t>Molecular Nutrition and Food Research</w:t>
      </w:r>
      <w:r w:rsidRPr="00607693">
        <w:rPr>
          <w:rFonts w:cs="Arial"/>
          <w:noProof/>
          <w:szCs w:val="24"/>
        </w:rPr>
        <w:t xml:space="preserve">, </w:t>
      </w:r>
      <w:r w:rsidRPr="00607693">
        <w:rPr>
          <w:rFonts w:cs="Arial"/>
          <w:i/>
          <w:iCs/>
          <w:noProof/>
          <w:szCs w:val="24"/>
        </w:rPr>
        <w:t>49</w:t>
      </w:r>
      <w:r w:rsidRPr="00607693">
        <w:rPr>
          <w:rFonts w:cs="Arial"/>
          <w:noProof/>
          <w:szCs w:val="24"/>
        </w:rPr>
        <w:t>(12), 1120–1128. https://doi.org/10.1002/mnfr.200500084</w:t>
      </w:r>
    </w:p>
    <w:p w14:paraId="2D59AE3E"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D61090">
        <w:rPr>
          <w:rFonts w:cs="Arial"/>
          <w:noProof/>
          <w:szCs w:val="24"/>
          <w:lang w:val="pt-BR"/>
        </w:rPr>
        <w:t xml:space="preserve">Freitas, P. M., López-Gálvez, F., Tudela, J. A., Gil, M. I., &amp; Allende, A. (2015). </w:t>
      </w:r>
      <w:r w:rsidRPr="00607693">
        <w:rPr>
          <w:rFonts w:cs="Arial"/>
          <w:noProof/>
          <w:szCs w:val="24"/>
        </w:rPr>
        <w:t xml:space="preserve">Postharvest treatment of table grapes with ultraviolet-C and chitosan coating preserves quality and increases stilbene content. </w:t>
      </w:r>
      <w:r w:rsidRPr="00607693">
        <w:rPr>
          <w:rFonts w:cs="Arial"/>
          <w:i/>
          <w:iCs/>
          <w:noProof/>
          <w:szCs w:val="24"/>
        </w:rPr>
        <w:t>Postharvest Biology and Technology</w:t>
      </w:r>
      <w:r w:rsidRPr="00607693">
        <w:rPr>
          <w:rFonts w:cs="Arial"/>
          <w:noProof/>
          <w:szCs w:val="24"/>
        </w:rPr>
        <w:t xml:space="preserve">, </w:t>
      </w:r>
      <w:r w:rsidRPr="00607693">
        <w:rPr>
          <w:rFonts w:cs="Arial"/>
          <w:i/>
          <w:iCs/>
          <w:noProof/>
          <w:szCs w:val="24"/>
        </w:rPr>
        <w:t>105</w:t>
      </w:r>
      <w:r w:rsidRPr="00607693">
        <w:rPr>
          <w:rFonts w:cs="Arial"/>
          <w:noProof/>
          <w:szCs w:val="24"/>
        </w:rPr>
        <w:t>, 51–57. https://doi.org/10.1016/j.postharvbio.2015.03.011</w:t>
      </w:r>
    </w:p>
    <w:p w14:paraId="647E5856"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Goussous, S. J., Abu el-Samen, F. M., &amp; Tahhan, R. A. (2010). Antifungal activity of several medicinal plants extracts against the early blight pathogen (Alternaria solani). </w:t>
      </w:r>
      <w:r w:rsidRPr="00607693">
        <w:rPr>
          <w:rFonts w:cs="Arial"/>
          <w:i/>
          <w:iCs/>
          <w:noProof/>
          <w:szCs w:val="24"/>
        </w:rPr>
        <w:t>Archives of Phytopathology and Plant Protection</w:t>
      </w:r>
      <w:r w:rsidRPr="00607693">
        <w:rPr>
          <w:rFonts w:cs="Arial"/>
          <w:noProof/>
          <w:szCs w:val="24"/>
        </w:rPr>
        <w:t xml:space="preserve">, </w:t>
      </w:r>
      <w:r w:rsidRPr="00607693">
        <w:rPr>
          <w:rFonts w:cs="Arial"/>
          <w:i/>
          <w:iCs/>
          <w:noProof/>
          <w:szCs w:val="24"/>
        </w:rPr>
        <w:t>43</w:t>
      </w:r>
      <w:r w:rsidRPr="00607693">
        <w:rPr>
          <w:rFonts w:cs="Arial"/>
          <w:noProof/>
          <w:szCs w:val="24"/>
        </w:rPr>
        <w:t>(17), 1745–1757. https://doi.org/10.1080/03235401003633832</w:t>
      </w:r>
    </w:p>
    <w:p w14:paraId="5E0FD6F3"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Hemaiswarya, S., Poonkothai, M., Raja, R., &amp; Anbazhagan, C. (2009). Comparative study on the antimicrobial activities of three Indian medicinal plants. </w:t>
      </w:r>
      <w:r w:rsidRPr="00607693">
        <w:rPr>
          <w:rFonts w:cs="Arial"/>
          <w:i/>
          <w:iCs/>
          <w:noProof/>
          <w:szCs w:val="24"/>
        </w:rPr>
        <w:t>Egyptian Journal of Biology</w:t>
      </w:r>
      <w:r w:rsidRPr="00607693">
        <w:rPr>
          <w:rFonts w:cs="Arial"/>
          <w:noProof/>
          <w:szCs w:val="24"/>
        </w:rPr>
        <w:t xml:space="preserve">, </w:t>
      </w:r>
      <w:r w:rsidRPr="00607693">
        <w:rPr>
          <w:rFonts w:cs="Arial"/>
          <w:i/>
          <w:iCs/>
          <w:noProof/>
          <w:szCs w:val="24"/>
        </w:rPr>
        <w:t>11</w:t>
      </w:r>
      <w:r w:rsidRPr="00607693">
        <w:rPr>
          <w:rFonts w:cs="Arial"/>
          <w:noProof/>
          <w:szCs w:val="24"/>
        </w:rPr>
        <w:t>, 52–57.</w:t>
      </w:r>
    </w:p>
    <w:p w14:paraId="20B5FDD9" w14:textId="33750AEF"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607693">
        <w:rPr>
          <w:rFonts w:cs="Arial"/>
          <w:noProof/>
          <w:szCs w:val="24"/>
        </w:rPr>
        <w:t xml:space="preserve">Hohmann, F., Kunz, M. D., &amp; Vandresen, D. F. (2020). </w:t>
      </w:r>
      <w:r w:rsidR="00844B00" w:rsidRPr="00D61090">
        <w:rPr>
          <w:rFonts w:cs="Arial"/>
          <w:noProof/>
          <w:szCs w:val="24"/>
          <w:lang w:val="pt-BR"/>
        </w:rPr>
        <w:t>Análise da atividade antibacteriana da kombucha em chá preto e verde analysis of antibacterial activity of kombucha in black and green tea.</w:t>
      </w:r>
      <w:r w:rsidRPr="00D61090">
        <w:rPr>
          <w:rFonts w:cs="Arial"/>
          <w:noProof/>
          <w:szCs w:val="24"/>
          <w:lang w:val="pt-BR"/>
        </w:rPr>
        <w:t xml:space="preserve"> </w:t>
      </w:r>
      <w:r w:rsidRPr="00D61090">
        <w:rPr>
          <w:rFonts w:cs="Arial"/>
          <w:i/>
          <w:iCs/>
          <w:noProof/>
          <w:szCs w:val="24"/>
          <w:lang w:val="pt-BR"/>
        </w:rPr>
        <w:t>Revista de Iniciação Científica E Extensão</w:t>
      </w:r>
      <w:r w:rsidRPr="00D61090">
        <w:rPr>
          <w:rFonts w:cs="Arial"/>
          <w:noProof/>
          <w:szCs w:val="24"/>
          <w:lang w:val="pt-BR"/>
        </w:rPr>
        <w:t xml:space="preserve">, </w:t>
      </w:r>
      <w:r w:rsidRPr="00D61090">
        <w:rPr>
          <w:rFonts w:cs="Arial"/>
          <w:i/>
          <w:iCs/>
          <w:noProof/>
          <w:szCs w:val="24"/>
          <w:lang w:val="pt-BR"/>
        </w:rPr>
        <w:t>3</w:t>
      </w:r>
      <w:r w:rsidRPr="00D61090">
        <w:rPr>
          <w:rFonts w:cs="Arial"/>
          <w:noProof/>
          <w:szCs w:val="24"/>
          <w:lang w:val="pt-BR"/>
        </w:rPr>
        <w:t>(2), 505–510.</w:t>
      </w:r>
    </w:p>
    <w:p w14:paraId="00D831F2"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D61090">
        <w:rPr>
          <w:rFonts w:cs="Arial"/>
          <w:noProof/>
          <w:szCs w:val="24"/>
          <w:lang w:val="pt-BR"/>
        </w:rPr>
        <w:t xml:space="preserve">Jayabalan, R., Malbaša, R. V., Lončar, E. S., Vitas, J. S., &amp; Sathishkumar, M. (2014). </w:t>
      </w:r>
      <w:r w:rsidRPr="00607693">
        <w:rPr>
          <w:rFonts w:cs="Arial"/>
          <w:noProof/>
          <w:szCs w:val="24"/>
        </w:rPr>
        <w:t xml:space="preserve">A review on kombucha tea-microbiology, composition, fermentation, beneficial effects, toxicity, and tea fungus. In </w:t>
      </w:r>
      <w:r w:rsidRPr="00607693">
        <w:rPr>
          <w:rFonts w:cs="Arial"/>
          <w:i/>
          <w:iCs/>
          <w:noProof/>
          <w:szCs w:val="24"/>
        </w:rPr>
        <w:t>Comprehensive Reviews in Food Science and Food Safety</w:t>
      </w:r>
      <w:r w:rsidRPr="00607693">
        <w:rPr>
          <w:rFonts w:cs="Arial"/>
          <w:noProof/>
          <w:szCs w:val="24"/>
        </w:rPr>
        <w:t xml:space="preserve"> (Vol. 13, Issue 4, pp. 538–550). https://doi.org/10.1111/1541-4337.12073</w:t>
      </w:r>
    </w:p>
    <w:p w14:paraId="0100C8AA"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lastRenderedPageBreak/>
        <w:t xml:space="preserve">Jia, H., Zhao, P., Wang, B., Tariq, P., Zhao, F., Zhao, M., Wang, Q., Yang, T., &amp; Fang, J. (2016). Overexpression of Polyphenol Oxidase Gene in Strawberry Fruit Delays the Fungus Infection Process. </w:t>
      </w:r>
      <w:r w:rsidRPr="00607693">
        <w:rPr>
          <w:rFonts w:cs="Arial"/>
          <w:i/>
          <w:iCs/>
          <w:noProof/>
          <w:szCs w:val="24"/>
        </w:rPr>
        <w:t>Plant Molecular Biology Reporter</w:t>
      </w:r>
      <w:r w:rsidRPr="00607693">
        <w:rPr>
          <w:rFonts w:cs="Arial"/>
          <w:noProof/>
          <w:szCs w:val="24"/>
        </w:rPr>
        <w:t xml:space="preserve">, </w:t>
      </w:r>
      <w:r w:rsidRPr="00607693">
        <w:rPr>
          <w:rFonts w:cs="Arial"/>
          <w:i/>
          <w:iCs/>
          <w:noProof/>
          <w:szCs w:val="24"/>
        </w:rPr>
        <w:t>34</w:t>
      </w:r>
      <w:r w:rsidRPr="00607693">
        <w:rPr>
          <w:rFonts w:cs="Arial"/>
          <w:noProof/>
          <w:szCs w:val="24"/>
        </w:rPr>
        <w:t>(3), 592–606. https://doi.org/10.1007/s11105-015-0946-y</w:t>
      </w:r>
    </w:p>
    <w:p w14:paraId="161EDAA2" w14:textId="77777777"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607693">
        <w:rPr>
          <w:rFonts w:cs="Arial"/>
          <w:noProof/>
          <w:szCs w:val="24"/>
        </w:rPr>
        <w:t xml:space="preserve">Khamsan, S., Liawruangrath, B., Liawruangrath, S., Teerawutkulrag, A., Pyne, S. G., &amp; Garson, M. J. (2011). Antimalarial, Anticancer, Antimicrobial Activities and Chemical Constituents of Essential oil from the Aerial Parts of Cyperus kyllingia Endl. </w:t>
      </w:r>
      <w:r w:rsidRPr="00D61090">
        <w:rPr>
          <w:rFonts w:cs="Arial"/>
          <w:i/>
          <w:iCs/>
          <w:noProof/>
          <w:szCs w:val="24"/>
          <w:lang w:val="pt-BR"/>
        </w:rPr>
        <w:t>Records of Natural Products</w:t>
      </w:r>
      <w:r w:rsidRPr="00D61090">
        <w:rPr>
          <w:rFonts w:cs="Arial"/>
          <w:noProof/>
          <w:szCs w:val="24"/>
          <w:lang w:val="pt-BR"/>
        </w:rPr>
        <w:t xml:space="preserve">, </w:t>
      </w:r>
      <w:r w:rsidRPr="00D61090">
        <w:rPr>
          <w:rFonts w:cs="Arial"/>
          <w:i/>
          <w:iCs/>
          <w:noProof/>
          <w:szCs w:val="24"/>
          <w:lang w:val="pt-BR"/>
        </w:rPr>
        <w:t>5</w:t>
      </w:r>
      <w:r w:rsidRPr="00D61090">
        <w:rPr>
          <w:rFonts w:cs="Arial"/>
          <w:noProof/>
          <w:szCs w:val="24"/>
          <w:lang w:val="pt-BR"/>
        </w:rPr>
        <w:t>(4), 324–327.</w:t>
      </w:r>
    </w:p>
    <w:p w14:paraId="38B632A8"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D61090">
        <w:rPr>
          <w:rFonts w:cs="Arial"/>
          <w:noProof/>
          <w:szCs w:val="24"/>
          <w:lang w:val="pt-BR"/>
        </w:rPr>
        <w:t xml:space="preserve">Leite, Ana Rita Zulim Cardoso, F. A. R., Gardenal, Amanda Correia Mello, J. C. P. de, Marques, L. L. M., &amp; Perdoncini, M. R. F. G. (2022). </w:t>
      </w:r>
      <w:r w:rsidRPr="00607693">
        <w:rPr>
          <w:rFonts w:cs="Arial"/>
          <w:noProof/>
          <w:szCs w:val="24"/>
        </w:rPr>
        <w:t xml:space="preserve">Control of fungal spoilage in strawberries using crude plant extracts against the fungus Botrytis cinerea. </w:t>
      </w:r>
      <w:r w:rsidRPr="00607693">
        <w:rPr>
          <w:rFonts w:cs="Arial"/>
          <w:i/>
          <w:iCs/>
          <w:noProof/>
          <w:szCs w:val="24"/>
        </w:rPr>
        <w:t>Natural Product Research</w:t>
      </w:r>
      <w:r w:rsidRPr="00607693">
        <w:rPr>
          <w:rFonts w:cs="Arial"/>
          <w:noProof/>
          <w:szCs w:val="24"/>
        </w:rPr>
        <w:t xml:space="preserve">, </w:t>
      </w:r>
      <w:r w:rsidRPr="00607693">
        <w:rPr>
          <w:rFonts w:cs="Arial"/>
          <w:i/>
          <w:iCs/>
          <w:noProof/>
          <w:szCs w:val="24"/>
        </w:rPr>
        <w:t>7</w:t>
      </w:r>
      <w:r w:rsidRPr="00607693">
        <w:rPr>
          <w:rFonts w:cs="Arial"/>
          <w:noProof/>
          <w:szCs w:val="24"/>
        </w:rPr>
        <w:t>, 1–14. https://doi.org/10.1080/14786419.2022.2142220</w:t>
      </w:r>
    </w:p>
    <w:p w14:paraId="40C23242"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Liu, K. Sen, Tsao, S. M., &amp; Yin, M. C. (2005). In vitro antibacterial activity of roselle calyx and protocatechuic acid. </w:t>
      </w:r>
      <w:r w:rsidRPr="00607693">
        <w:rPr>
          <w:rFonts w:cs="Arial"/>
          <w:i/>
          <w:iCs/>
          <w:noProof/>
          <w:szCs w:val="24"/>
        </w:rPr>
        <w:t>Phytotherapy Research</w:t>
      </w:r>
      <w:r w:rsidRPr="00607693">
        <w:rPr>
          <w:rFonts w:cs="Arial"/>
          <w:noProof/>
          <w:szCs w:val="24"/>
        </w:rPr>
        <w:t xml:space="preserve">, </w:t>
      </w:r>
      <w:r w:rsidRPr="00607693">
        <w:rPr>
          <w:rFonts w:cs="Arial"/>
          <w:i/>
          <w:iCs/>
          <w:noProof/>
          <w:szCs w:val="24"/>
        </w:rPr>
        <w:t>19</w:t>
      </w:r>
      <w:r w:rsidRPr="00607693">
        <w:rPr>
          <w:rFonts w:cs="Arial"/>
          <w:noProof/>
          <w:szCs w:val="24"/>
        </w:rPr>
        <w:t>(11), 942–945. https://doi.org/10.1002/ptr.1760</w:t>
      </w:r>
    </w:p>
    <w:p w14:paraId="750EDA40"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Lynch, K. M., Zannini, E., Wilkinson, S., Daenen, L., &amp; Arendt, E. K. (2019). Physiology of Acetic Acid Bacteria and Their Role in Vinegar and Fermented Beverages. In </w:t>
      </w:r>
      <w:r w:rsidRPr="00607693">
        <w:rPr>
          <w:rFonts w:cs="Arial"/>
          <w:i/>
          <w:iCs/>
          <w:noProof/>
          <w:szCs w:val="24"/>
        </w:rPr>
        <w:t>Comprehensive Reviews in Food Science and Food Safety</w:t>
      </w:r>
      <w:r w:rsidRPr="00607693">
        <w:rPr>
          <w:rFonts w:cs="Arial"/>
          <w:noProof/>
          <w:szCs w:val="24"/>
        </w:rPr>
        <w:t xml:space="preserve"> (Vol. 18, Issue 3, pp. 587–625). https://doi.org/10.1111/1541-4337.12440</w:t>
      </w:r>
    </w:p>
    <w:p w14:paraId="55D7C601" w14:textId="77777777"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D61090">
        <w:rPr>
          <w:rFonts w:cs="Arial"/>
          <w:noProof/>
          <w:szCs w:val="24"/>
          <w:lang w:val="pt-BR"/>
        </w:rPr>
        <w:t xml:space="preserve">Maciel, M. J., Paim, M. P., Carvalho, H. H. C., &amp; Wiest, J. M. (2012). Avaliação do extrato alcoólico de hibisco (Hibiscus sabdariffa L. ) como fator de proteção antibacteriana e antioxidante. </w:t>
      </w:r>
      <w:r w:rsidRPr="00D61090">
        <w:rPr>
          <w:rFonts w:cs="Arial"/>
          <w:i/>
          <w:iCs/>
          <w:noProof/>
          <w:szCs w:val="24"/>
          <w:lang w:val="pt-BR"/>
        </w:rPr>
        <w:t>Revista Do Instituto Adolfo Lutz</w:t>
      </w:r>
      <w:r w:rsidRPr="00D61090">
        <w:rPr>
          <w:rFonts w:cs="Arial"/>
          <w:noProof/>
          <w:szCs w:val="24"/>
          <w:lang w:val="pt-BR"/>
        </w:rPr>
        <w:t xml:space="preserve">, </w:t>
      </w:r>
      <w:r w:rsidRPr="00D61090">
        <w:rPr>
          <w:rFonts w:cs="Arial"/>
          <w:i/>
          <w:iCs/>
          <w:noProof/>
          <w:szCs w:val="24"/>
          <w:lang w:val="pt-BR"/>
        </w:rPr>
        <w:t>71</w:t>
      </w:r>
      <w:r w:rsidRPr="00D61090">
        <w:rPr>
          <w:rFonts w:cs="Arial"/>
          <w:noProof/>
          <w:szCs w:val="24"/>
          <w:lang w:val="pt-BR"/>
        </w:rPr>
        <w:t>(3), 462–470.</w:t>
      </w:r>
    </w:p>
    <w:p w14:paraId="51D3FED6" w14:textId="77777777"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D61090">
        <w:rPr>
          <w:rFonts w:cs="Arial"/>
          <w:noProof/>
          <w:szCs w:val="24"/>
          <w:lang w:val="pt-BR"/>
        </w:rPr>
        <w:t xml:space="preserve">Mazuchi-Brizzotti; Lemes, N. S.;Siqueira, T. H.; Ribeiro, J. P. Z.; Maschio-Lima, M. D.;Almeida, T.; Polaquini, B. G.; Regasini, C. R.; Castilho, L. O.; Almeida, E. M.; Gottardo, M. T. (2021). Atividade antifúngica do extrato da infusão de Hibiscus sabdariffa com kombucha contra Trichophyton rubrum. </w:t>
      </w:r>
      <w:r w:rsidRPr="00D61090">
        <w:rPr>
          <w:rFonts w:cs="Arial"/>
          <w:i/>
          <w:iCs/>
          <w:noProof/>
          <w:szCs w:val="24"/>
          <w:lang w:val="pt-BR"/>
        </w:rPr>
        <w:t>Simpósio de Microbiologia de Rondônia: Saúde, Ambiente E Inovação</w:t>
      </w:r>
      <w:r w:rsidRPr="00D61090">
        <w:rPr>
          <w:rFonts w:cs="Arial"/>
          <w:noProof/>
          <w:szCs w:val="24"/>
          <w:lang w:val="pt-BR"/>
        </w:rPr>
        <w:t>.</w:t>
      </w:r>
    </w:p>
    <w:p w14:paraId="4CE435DA"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D61090">
        <w:rPr>
          <w:rFonts w:cs="Arial"/>
          <w:noProof/>
          <w:szCs w:val="24"/>
          <w:lang w:val="pt-BR"/>
        </w:rPr>
        <w:t xml:space="preserve">Monteiro, M. J. P., Costa, A. I. A., Fliedel, G., Cissé, M., Bechoff, A., Pallet, D., Tomlins, K., &amp; Pintado, M. M. E. (2017). </w:t>
      </w:r>
      <w:r w:rsidRPr="00607693">
        <w:rPr>
          <w:rFonts w:cs="Arial"/>
          <w:noProof/>
          <w:szCs w:val="24"/>
        </w:rPr>
        <w:t xml:space="preserve">Chemical-sensory properties and consumer preference of hibiscus beverages produced by improved industrial processes. </w:t>
      </w:r>
      <w:r w:rsidRPr="00607693">
        <w:rPr>
          <w:rFonts w:cs="Arial"/>
          <w:i/>
          <w:iCs/>
          <w:noProof/>
          <w:szCs w:val="24"/>
        </w:rPr>
        <w:t>Food Chemistry</w:t>
      </w:r>
      <w:r w:rsidRPr="00607693">
        <w:rPr>
          <w:rFonts w:cs="Arial"/>
          <w:noProof/>
          <w:szCs w:val="24"/>
        </w:rPr>
        <w:t xml:space="preserve">, </w:t>
      </w:r>
      <w:r w:rsidRPr="00607693">
        <w:rPr>
          <w:rFonts w:cs="Arial"/>
          <w:i/>
          <w:iCs/>
          <w:noProof/>
          <w:szCs w:val="24"/>
        </w:rPr>
        <w:t>225</w:t>
      </w:r>
      <w:r w:rsidRPr="00607693">
        <w:rPr>
          <w:rFonts w:cs="Arial"/>
          <w:noProof/>
          <w:szCs w:val="24"/>
        </w:rPr>
        <w:t>, 202–212. https://doi.org/10.1016/j.foodchem.2016.11.127</w:t>
      </w:r>
    </w:p>
    <w:p w14:paraId="69F2CB6D" w14:textId="0B724630" w:rsidR="00607693" w:rsidRPr="00D61090" w:rsidRDefault="00607693" w:rsidP="00607693">
      <w:pPr>
        <w:widowControl w:val="0"/>
        <w:autoSpaceDE w:val="0"/>
        <w:autoSpaceDN w:val="0"/>
        <w:adjustRightInd w:val="0"/>
        <w:spacing w:line="240" w:lineRule="auto"/>
        <w:ind w:left="480" w:hanging="480"/>
        <w:rPr>
          <w:rFonts w:cs="Arial"/>
          <w:noProof/>
          <w:szCs w:val="24"/>
          <w:lang w:val="pt-BR"/>
        </w:rPr>
      </w:pPr>
      <w:r w:rsidRPr="00607693">
        <w:rPr>
          <w:rFonts w:cs="Arial"/>
          <w:noProof/>
          <w:szCs w:val="24"/>
        </w:rPr>
        <w:t xml:space="preserve">Reis, C. M. dos, Azevedo, L. M. S., &amp; Casteluber, M. C. da F. (2021). </w:t>
      </w:r>
      <w:r w:rsidRPr="00D61090">
        <w:rPr>
          <w:rFonts w:cs="Arial"/>
          <w:noProof/>
          <w:szCs w:val="24"/>
          <w:lang w:val="pt-BR"/>
        </w:rPr>
        <w:t xml:space="preserve">Ruta graveolens, Pelargonium graveolens </w:t>
      </w:r>
      <w:r w:rsidR="00844B00" w:rsidRPr="00D61090">
        <w:rPr>
          <w:rFonts w:cs="Arial"/>
          <w:noProof/>
          <w:szCs w:val="24"/>
          <w:lang w:val="pt-BR"/>
        </w:rPr>
        <w:t>e</w:t>
      </w:r>
      <w:r w:rsidRPr="00D61090">
        <w:rPr>
          <w:rFonts w:cs="Arial"/>
          <w:noProof/>
          <w:szCs w:val="24"/>
          <w:lang w:val="pt-BR"/>
        </w:rPr>
        <w:t xml:space="preserve"> Hibiscus cannabinus </w:t>
      </w:r>
      <w:r w:rsidR="00844B00" w:rsidRPr="00D61090">
        <w:rPr>
          <w:rFonts w:cs="Arial"/>
          <w:noProof/>
          <w:szCs w:val="24"/>
          <w:lang w:val="pt-BR"/>
        </w:rPr>
        <w:t>como inibidores naturais do crescimento de</w:t>
      </w:r>
      <w:r w:rsidRPr="00D61090">
        <w:rPr>
          <w:rFonts w:cs="Arial"/>
          <w:noProof/>
          <w:szCs w:val="24"/>
          <w:lang w:val="pt-BR"/>
        </w:rPr>
        <w:t xml:space="preserve"> Candida albicans. </w:t>
      </w:r>
      <w:r w:rsidRPr="00D61090">
        <w:rPr>
          <w:rFonts w:cs="Arial"/>
          <w:i/>
          <w:iCs/>
          <w:noProof/>
          <w:szCs w:val="24"/>
          <w:lang w:val="pt-BR"/>
        </w:rPr>
        <w:t>Revista Uningá</w:t>
      </w:r>
      <w:r w:rsidRPr="00D61090">
        <w:rPr>
          <w:rFonts w:cs="Arial"/>
          <w:noProof/>
          <w:szCs w:val="24"/>
          <w:lang w:val="pt-BR"/>
        </w:rPr>
        <w:t xml:space="preserve">, </w:t>
      </w:r>
      <w:r w:rsidRPr="00D61090">
        <w:rPr>
          <w:rFonts w:cs="Arial"/>
          <w:i/>
          <w:iCs/>
          <w:noProof/>
          <w:szCs w:val="24"/>
          <w:lang w:val="pt-BR"/>
        </w:rPr>
        <w:t>58</w:t>
      </w:r>
      <w:r w:rsidRPr="00D61090">
        <w:rPr>
          <w:rFonts w:cs="Arial"/>
          <w:noProof/>
          <w:szCs w:val="24"/>
          <w:lang w:val="pt-BR"/>
        </w:rPr>
        <w:t>(1), eUJ4124. https://doi.org/10.46311/2318-0579.58.euj4124</w:t>
      </w:r>
    </w:p>
    <w:p w14:paraId="22730FA2"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D61090">
        <w:rPr>
          <w:rFonts w:cs="Arial"/>
          <w:noProof/>
          <w:szCs w:val="24"/>
          <w:lang w:val="pt-BR"/>
        </w:rPr>
        <w:t xml:space="preserve">Sansone, G., Lambrese, Y., Calvente, V., Fernández, G., Benuzzi, D., &amp; Sanz Ferramola, M. (2018). </w:t>
      </w:r>
      <w:r w:rsidRPr="00607693">
        <w:rPr>
          <w:rFonts w:cs="Arial"/>
          <w:noProof/>
          <w:szCs w:val="24"/>
        </w:rPr>
        <w:t xml:space="preserve">Evaluation of Rhodosporidium fluviale as biocontrol agent against Botrytis cinerea on apple fruit. </w:t>
      </w:r>
      <w:r w:rsidRPr="00607693">
        <w:rPr>
          <w:rFonts w:cs="Arial"/>
          <w:i/>
          <w:iCs/>
          <w:noProof/>
          <w:szCs w:val="24"/>
        </w:rPr>
        <w:t>Letters in Applied Microbiology</w:t>
      </w:r>
      <w:r w:rsidRPr="00607693">
        <w:rPr>
          <w:rFonts w:cs="Arial"/>
          <w:noProof/>
          <w:szCs w:val="24"/>
        </w:rPr>
        <w:t xml:space="preserve">, </w:t>
      </w:r>
      <w:r w:rsidRPr="00607693">
        <w:rPr>
          <w:rFonts w:cs="Arial"/>
          <w:i/>
          <w:iCs/>
          <w:noProof/>
          <w:szCs w:val="24"/>
        </w:rPr>
        <w:t>66</w:t>
      </w:r>
      <w:r w:rsidRPr="00607693">
        <w:rPr>
          <w:rFonts w:cs="Arial"/>
          <w:noProof/>
          <w:szCs w:val="24"/>
        </w:rPr>
        <w:t>(5), 455–461. https://doi.org/10.1111/lam.12872</w:t>
      </w:r>
    </w:p>
    <w:p w14:paraId="332B7712"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Savvaidis, I. N., &amp; Ayala-Zavala, J. F. (2021). Editorial for special issue of food natural antimicrobials. In </w:t>
      </w:r>
      <w:r w:rsidRPr="00607693">
        <w:rPr>
          <w:rFonts w:cs="Arial"/>
          <w:i/>
          <w:iCs/>
          <w:noProof/>
          <w:szCs w:val="24"/>
        </w:rPr>
        <w:t>International Journal of Food Microbiology</w:t>
      </w:r>
      <w:r w:rsidRPr="00607693">
        <w:rPr>
          <w:rFonts w:cs="Arial"/>
          <w:noProof/>
          <w:szCs w:val="24"/>
        </w:rPr>
        <w:t xml:space="preserve"> (Vol. 358). https://doi.org/10.1016/j.ijfoodmicro.2021.109414</w:t>
      </w:r>
    </w:p>
    <w:p w14:paraId="2583B061"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D61090">
        <w:rPr>
          <w:rFonts w:cs="Arial"/>
          <w:noProof/>
          <w:szCs w:val="24"/>
          <w:lang w:val="pt-BR"/>
        </w:rPr>
        <w:t xml:space="preserve">Ventura-Aguilar, R. I., Bautista-Baños, S., Flores-García, G., &amp; Zavaleta-Avejar, L. (2018). </w:t>
      </w:r>
      <w:r w:rsidRPr="00607693">
        <w:rPr>
          <w:rFonts w:cs="Arial"/>
          <w:noProof/>
          <w:szCs w:val="24"/>
        </w:rPr>
        <w:t xml:space="preserve">Impact of chitosan based edible coatings functionalized with natural compounds on Colletotrichum fragariae development and the quality of strawberries. </w:t>
      </w:r>
      <w:r w:rsidRPr="00607693">
        <w:rPr>
          <w:rFonts w:cs="Arial"/>
          <w:i/>
          <w:iCs/>
          <w:noProof/>
          <w:szCs w:val="24"/>
        </w:rPr>
        <w:t>Food Chemistry</w:t>
      </w:r>
      <w:r w:rsidRPr="00607693">
        <w:rPr>
          <w:rFonts w:cs="Arial"/>
          <w:noProof/>
          <w:szCs w:val="24"/>
        </w:rPr>
        <w:t xml:space="preserve">, </w:t>
      </w:r>
      <w:r w:rsidRPr="00607693">
        <w:rPr>
          <w:rFonts w:cs="Arial"/>
          <w:i/>
          <w:iCs/>
          <w:noProof/>
          <w:szCs w:val="24"/>
        </w:rPr>
        <w:t>262</w:t>
      </w:r>
      <w:r w:rsidRPr="00607693">
        <w:rPr>
          <w:rFonts w:cs="Arial"/>
          <w:noProof/>
          <w:szCs w:val="24"/>
        </w:rPr>
        <w:t>, 142–149. https://doi.org/10.1016/j.foodchem.2018.04.063</w:t>
      </w:r>
    </w:p>
    <w:p w14:paraId="48122D9D"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Villarreal-Soto, S. A., Beaufort, S., Bouajila, J., Souchard, J. P., &amp; Taillandier, P. (2018). Understanding Kombucha Tea Fermentation: A Review. In </w:t>
      </w:r>
      <w:r w:rsidRPr="00607693">
        <w:rPr>
          <w:rFonts w:cs="Arial"/>
          <w:i/>
          <w:iCs/>
          <w:noProof/>
          <w:szCs w:val="24"/>
        </w:rPr>
        <w:t>Journal of Food Science</w:t>
      </w:r>
      <w:r w:rsidRPr="00607693">
        <w:rPr>
          <w:rFonts w:cs="Arial"/>
          <w:noProof/>
          <w:szCs w:val="24"/>
        </w:rPr>
        <w:t xml:space="preserve"> (Vol. 83, Issue 3, pp. 580–588). https://doi.org/10.1111/1750-3841.14068</w:t>
      </w:r>
    </w:p>
    <w:p w14:paraId="7C6CB899" w14:textId="77777777" w:rsidR="00607693" w:rsidRPr="00607693" w:rsidRDefault="00607693" w:rsidP="00607693">
      <w:pPr>
        <w:widowControl w:val="0"/>
        <w:autoSpaceDE w:val="0"/>
        <w:autoSpaceDN w:val="0"/>
        <w:adjustRightInd w:val="0"/>
        <w:spacing w:line="240" w:lineRule="auto"/>
        <w:ind w:left="480" w:hanging="480"/>
        <w:rPr>
          <w:rFonts w:cs="Arial"/>
          <w:noProof/>
          <w:szCs w:val="24"/>
        </w:rPr>
      </w:pPr>
      <w:r w:rsidRPr="00607693">
        <w:rPr>
          <w:rFonts w:cs="Arial"/>
          <w:noProof/>
          <w:szCs w:val="24"/>
        </w:rPr>
        <w:t xml:space="preserve">Vukmanović, S., Vitas, J., Ranitović, A., Cvetković, D., Tomić, A., &amp; Malbaša, R. (2022). Certain production variables and antimicrobial activity of novel winery effluent based kombucha. </w:t>
      </w:r>
      <w:r w:rsidRPr="00607693">
        <w:rPr>
          <w:rFonts w:cs="Arial"/>
          <w:i/>
          <w:iCs/>
          <w:noProof/>
          <w:szCs w:val="24"/>
        </w:rPr>
        <w:t>LWT</w:t>
      </w:r>
      <w:r w:rsidRPr="00607693">
        <w:rPr>
          <w:rFonts w:cs="Arial"/>
          <w:noProof/>
          <w:szCs w:val="24"/>
        </w:rPr>
        <w:t xml:space="preserve">, </w:t>
      </w:r>
      <w:r w:rsidRPr="00607693">
        <w:rPr>
          <w:rFonts w:cs="Arial"/>
          <w:i/>
          <w:iCs/>
          <w:noProof/>
          <w:szCs w:val="24"/>
        </w:rPr>
        <w:t>154</w:t>
      </w:r>
      <w:r w:rsidRPr="00607693">
        <w:rPr>
          <w:rFonts w:cs="Arial"/>
          <w:noProof/>
          <w:szCs w:val="24"/>
        </w:rPr>
        <w:t>. https://doi.org/10.1016/j.lwt.2021.112726</w:t>
      </w:r>
    </w:p>
    <w:p w14:paraId="71F2BA3E" w14:textId="77777777" w:rsidR="00607693" w:rsidRPr="00607693" w:rsidRDefault="00607693" w:rsidP="00607693">
      <w:pPr>
        <w:widowControl w:val="0"/>
        <w:autoSpaceDE w:val="0"/>
        <w:autoSpaceDN w:val="0"/>
        <w:adjustRightInd w:val="0"/>
        <w:spacing w:line="240" w:lineRule="auto"/>
        <w:ind w:left="480" w:hanging="480"/>
        <w:rPr>
          <w:rFonts w:cs="Arial"/>
          <w:noProof/>
        </w:rPr>
      </w:pPr>
      <w:r w:rsidRPr="00607693">
        <w:rPr>
          <w:rFonts w:cs="Arial"/>
          <w:noProof/>
          <w:szCs w:val="24"/>
        </w:rPr>
        <w:t xml:space="preserve">Yuniarto, A., Anggadiredja, K., &amp; Aqidah, R. A. N. (2016). Antifungal activity of kombucha tea against human pathogenic fungi. </w:t>
      </w:r>
      <w:r w:rsidRPr="00607693">
        <w:rPr>
          <w:rFonts w:cs="Arial"/>
          <w:i/>
          <w:iCs/>
          <w:noProof/>
          <w:szCs w:val="24"/>
        </w:rPr>
        <w:t>Asian Journal of Pharmaceutical and Clinical Research</w:t>
      </w:r>
      <w:r w:rsidRPr="00607693">
        <w:rPr>
          <w:rFonts w:cs="Arial"/>
          <w:noProof/>
          <w:szCs w:val="24"/>
        </w:rPr>
        <w:t xml:space="preserve">, </w:t>
      </w:r>
      <w:r w:rsidRPr="00607693">
        <w:rPr>
          <w:rFonts w:cs="Arial"/>
          <w:i/>
          <w:iCs/>
          <w:noProof/>
          <w:szCs w:val="24"/>
        </w:rPr>
        <w:t>9</w:t>
      </w:r>
      <w:r w:rsidRPr="00607693">
        <w:rPr>
          <w:rFonts w:cs="Arial"/>
          <w:noProof/>
          <w:szCs w:val="24"/>
        </w:rPr>
        <w:t>(5), 253–255. https://doi.org/10.22159/ajpcr.2016.v9i5.13432</w:t>
      </w:r>
    </w:p>
    <w:p w14:paraId="7655A2D1" w14:textId="400C9DB4" w:rsidR="0041280B" w:rsidRDefault="0041280B" w:rsidP="00201014">
      <w:pPr>
        <w:pStyle w:val="CETReferencetext"/>
      </w:pPr>
      <w:r>
        <w:fldChar w:fldCharType="end"/>
      </w:r>
    </w:p>
    <w:sectPr w:rsidR="0041280B" w:rsidSect="009C40C0">
      <w:type w:val="continuous"/>
      <w:pgSz w:w="11906" w:h="16838" w:code="9"/>
      <w:pgMar w:top="1701" w:right="1418" w:bottom="1701" w:left="1701" w:header="1701" w:footer="0" w:gutter="0"/>
      <w:lnNumType w:countBy="1" w:restart="continuous"/>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9D2B" w14:textId="77777777" w:rsidR="00D60ED7" w:rsidRDefault="00D60ED7" w:rsidP="004F5E36">
      <w:r>
        <w:separator/>
      </w:r>
    </w:p>
  </w:endnote>
  <w:endnote w:type="continuationSeparator" w:id="0">
    <w:p w14:paraId="5153B9D2" w14:textId="77777777" w:rsidR="00D60ED7" w:rsidRDefault="00D60ED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5C5E" w14:textId="77777777" w:rsidR="00D60ED7" w:rsidRDefault="00D60ED7" w:rsidP="004F5E36">
      <w:r>
        <w:separator/>
      </w:r>
    </w:p>
  </w:footnote>
  <w:footnote w:type="continuationSeparator" w:id="0">
    <w:p w14:paraId="317BB8D4" w14:textId="77777777" w:rsidR="00D60ED7" w:rsidRDefault="00D60ED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33.6pt;height:235.8pt;visibility:visible;mso-wrap-style:square" o:bullet="t">
        <v:imagedata r:id="rId1" o:title=""/>
      </v:shape>
    </w:pict>
  </w:numPicBullet>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75CC"/>
    <w:rsid w:val="000434A1"/>
    <w:rsid w:val="00050CC1"/>
    <w:rsid w:val="00051566"/>
    <w:rsid w:val="000562A9"/>
    <w:rsid w:val="00062A9A"/>
    <w:rsid w:val="00064F51"/>
    <w:rsid w:val="00065058"/>
    <w:rsid w:val="00086C39"/>
    <w:rsid w:val="000A03B2"/>
    <w:rsid w:val="000B0F15"/>
    <w:rsid w:val="000D0268"/>
    <w:rsid w:val="000D34BE"/>
    <w:rsid w:val="000E102F"/>
    <w:rsid w:val="000E36F1"/>
    <w:rsid w:val="000E3A73"/>
    <w:rsid w:val="000E414A"/>
    <w:rsid w:val="000F093C"/>
    <w:rsid w:val="000F4C0F"/>
    <w:rsid w:val="000F787B"/>
    <w:rsid w:val="00102C0D"/>
    <w:rsid w:val="0012091F"/>
    <w:rsid w:val="00126BC2"/>
    <w:rsid w:val="001308B6"/>
    <w:rsid w:val="0013121F"/>
    <w:rsid w:val="00131FE6"/>
    <w:rsid w:val="0013263F"/>
    <w:rsid w:val="001331DF"/>
    <w:rsid w:val="00134DE4"/>
    <w:rsid w:val="00136245"/>
    <w:rsid w:val="0014034D"/>
    <w:rsid w:val="00144D16"/>
    <w:rsid w:val="00147B2A"/>
    <w:rsid w:val="00150E59"/>
    <w:rsid w:val="00152DE3"/>
    <w:rsid w:val="00154EDB"/>
    <w:rsid w:val="00164CF9"/>
    <w:rsid w:val="001667A6"/>
    <w:rsid w:val="00174D4E"/>
    <w:rsid w:val="00184AD6"/>
    <w:rsid w:val="00186C29"/>
    <w:rsid w:val="001A4AF7"/>
    <w:rsid w:val="001B0349"/>
    <w:rsid w:val="001B1E93"/>
    <w:rsid w:val="001B39E0"/>
    <w:rsid w:val="001B65C1"/>
    <w:rsid w:val="001C684B"/>
    <w:rsid w:val="001D0CFB"/>
    <w:rsid w:val="001D21AF"/>
    <w:rsid w:val="001D53FC"/>
    <w:rsid w:val="001F42A5"/>
    <w:rsid w:val="001F7B9D"/>
    <w:rsid w:val="00201014"/>
    <w:rsid w:val="00201C93"/>
    <w:rsid w:val="00202C33"/>
    <w:rsid w:val="002224B4"/>
    <w:rsid w:val="002447EF"/>
    <w:rsid w:val="00251550"/>
    <w:rsid w:val="002530FD"/>
    <w:rsid w:val="002553A0"/>
    <w:rsid w:val="00255D2D"/>
    <w:rsid w:val="00263B05"/>
    <w:rsid w:val="0027221A"/>
    <w:rsid w:val="00275B61"/>
    <w:rsid w:val="00280FAF"/>
    <w:rsid w:val="00282656"/>
    <w:rsid w:val="00296B83"/>
    <w:rsid w:val="002A1C10"/>
    <w:rsid w:val="002B4015"/>
    <w:rsid w:val="002B78CE"/>
    <w:rsid w:val="002C2FB6"/>
    <w:rsid w:val="002E5FA7"/>
    <w:rsid w:val="002F3309"/>
    <w:rsid w:val="003008CE"/>
    <w:rsid w:val="003009B7"/>
    <w:rsid w:val="00300E56"/>
    <w:rsid w:val="0030152C"/>
    <w:rsid w:val="0030469C"/>
    <w:rsid w:val="003048A2"/>
    <w:rsid w:val="00321CA6"/>
    <w:rsid w:val="00322DFB"/>
    <w:rsid w:val="00323763"/>
    <w:rsid w:val="00323C5F"/>
    <w:rsid w:val="00334C09"/>
    <w:rsid w:val="00356CEE"/>
    <w:rsid w:val="003723D4"/>
    <w:rsid w:val="00375BF5"/>
    <w:rsid w:val="00381905"/>
    <w:rsid w:val="00384CC8"/>
    <w:rsid w:val="003871FD"/>
    <w:rsid w:val="003A1E30"/>
    <w:rsid w:val="003A2829"/>
    <w:rsid w:val="003A6FC6"/>
    <w:rsid w:val="003A7D1C"/>
    <w:rsid w:val="003B304B"/>
    <w:rsid w:val="003B3146"/>
    <w:rsid w:val="003D2506"/>
    <w:rsid w:val="003F015E"/>
    <w:rsid w:val="00400414"/>
    <w:rsid w:val="0041280B"/>
    <w:rsid w:val="0041446B"/>
    <w:rsid w:val="00424946"/>
    <w:rsid w:val="00433695"/>
    <w:rsid w:val="0044071E"/>
    <w:rsid w:val="0044329C"/>
    <w:rsid w:val="00453E24"/>
    <w:rsid w:val="00457456"/>
    <w:rsid w:val="004577FE"/>
    <w:rsid w:val="00457B9C"/>
    <w:rsid w:val="0046164A"/>
    <w:rsid w:val="004628D2"/>
    <w:rsid w:val="00462DCD"/>
    <w:rsid w:val="004648AD"/>
    <w:rsid w:val="00465E44"/>
    <w:rsid w:val="004703A9"/>
    <w:rsid w:val="00471453"/>
    <w:rsid w:val="004760DE"/>
    <w:rsid w:val="004763D7"/>
    <w:rsid w:val="004A004E"/>
    <w:rsid w:val="004A24CF"/>
    <w:rsid w:val="004B4133"/>
    <w:rsid w:val="004C3D1D"/>
    <w:rsid w:val="004C3D84"/>
    <w:rsid w:val="004C7913"/>
    <w:rsid w:val="004D2825"/>
    <w:rsid w:val="004E4DD6"/>
    <w:rsid w:val="004E6DE9"/>
    <w:rsid w:val="004F1D94"/>
    <w:rsid w:val="004F5211"/>
    <w:rsid w:val="004F5E36"/>
    <w:rsid w:val="00507B47"/>
    <w:rsid w:val="00507BEF"/>
    <w:rsid w:val="00507CC9"/>
    <w:rsid w:val="005119A5"/>
    <w:rsid w:val="005163D3"/>
    <w:rsid w:val="00516AAC"/>
    <w:rsid w:val="005213F1"/>
    <w:rsid w:val="005278B7"/>
    <w:rsid w:val="00532016"/>
    <w:rsid w:val="0053253C"/>
    <w:rsid w:val="005346C8"/>
    <w:rsid w:val="00543E7D"/>
    <w:rsid w:val="00547A68"/>
    <w:rsid w:val="005531C9"/>
    <w:rsid w:val="00570C43"/>
    <w:rsid w:val="005A2F70"/>
    <w:rsid w:val="005B2110"/>
    <w:rsid w:val="005B61E6"/>
    <w:rsid w:val="005C48A0"/>
    <w:rsid w:val="005C77E1"/>
    <w:rsid w:val="005D668A"/>
    <w:rsid w:val="005D6A2F"/>
    <w:rsid w:val="005D7070"/>
    <w:rsid w:val="005D7759"/>
    <w:rsid w:val="005E09B4"/>
    <w:rsid w:val="005E1A82"/>
    <w:rsid w:val="005E1CF6"/>
    <w:rsid w:val="005E794C"/>
    <w:rsid w:val="005F0A28"/>
    <w:rsid w:val="005F0E5E"/>
    <w:rsid w:val="00600535"/>
    <w:rsid w:val="00605574"/>
    <w:rsid w:val="00607693"/>
    <w:rsid w:val="006108C1"/>
    <w:rsid w:val="00610CD6"/>
    <w:rsid w:val="00620DEE"/>
    <w:rsid w:val="00621F92"/>
    <w:rsid w:val="0062280A"/>
    <w:rsid w:val="00625639"/>
    <w:rsid w:val="00631B33"/>
    <w:rsid w:val="0064184D"/>
    <w:rsid w:val="006422CC"/>
    <w:rsid w:val="00660E3E"/>
    <w:rsid w:val="00662E74"/>
    <w:rsid w:val="00667C28"/>
    <w:rsid w:val="00671433"/>
    <w:rsid w:val="00680024"/>
    <w:rsid w:val="00680C23"/>
    <w:rsid w:val="00693766"/>
    <w:rsid w:val="006A3281"/>
    <w:rsid w:val="006B4888"/>
    <w:rsid w:val="006C2E45"/>
    <w:rsid w:val="006C359C"/>
    <w:rsid w:val="006C5579"/>
    <w:rsid w:val="006D5696"/>
    <w:rsid w:val="006D6E8B"/>
    <w:rsid w:val="006E737D"/>
    <w:rsid w:val="00713973"/>
    <w:rsid w:val="00720A24"/>
    <w:rsid w:val="00721113"/>
    <w:rsid w:val="00732386"/>
    <w:rsid w:val="0073514D"/>
    <w:rsid w:val="007447F3"/>
    <w:rsid w:val="007514AD"/>
    <w:rsid w:val="0075499F"/>
    <w:rsid w:val="007661C8"/>
    <w:rsid w:val="0077098D"/>
    <w:rsid w:val="007931FA"/>
    <w:rsid w:val="007A4861"/>
    <w:rsid w:val="007A7BBA"/>
    <w:rsid w:val="007B0C50"/>
    <w:rsid w:val="007B48F9"/>
    <w:rsid w:val="007C11D8"/>
    <w:rsid w:val="007C1A43"/>
    <w:rsid w:val="007D0951"/>
    <w:rsid w:val="0080013E"/>
    <w:rsid w:val="00813288"/>
    <w:rsid w:val="008168FC"/>
    <w:rsid w:val="00822B03"/>
    <w:rsid w:val="00830996"/>
    <w:rsid w:val="008345F1"/>
    <w:rsid w:val="00844B00"/>
    <w:rsid w:val="00864FB6"/>
    <w:rsid w:val="00865B07"/>
    <w:rsid w:val="008667EA"/>
    <w:rsid w:val="00870627"/>
    <w:rsid w:val="0087637F"/>
    <w:rsid w:val="00892AD5"/>
    <w:rsid w:val="008A1512"/>
    <w:rsid w:val="008A1F1E"/>
    <w:rsid w:val="008A2284"/>
    <w:rsid w:val="008A23E5"/>
    <w:rsid w:val="008B7C03"/>
    <w:rsid w:val="008C5ED6"/>
    <w:rsid w:val="008D32B9"/>
    <w:rsid w:val="008D433B"/>
    <w:rsid w:val="008D4A16"/>
    <w:rsid w:val="008E21D5"/>
    <w:rsid w:val="008E566E"/>
    <w:rsid w:val="0090161A"/>
    <w:rsid w:val="00901EB6"/>
    <w:rsid w:val="00904C62"/>
    <w:rsid w:val="00922BA8"/>
    <w:rsid w:val="00924DAC"/>
    <w:rsid w:val="00927058"/>
    <w:rsid w:val="00932A67"/>
    <w:rsid w:val="00940DD1"/>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40C0"/>
    <w:rsid w:val="009C7C86"/>
    <w:rsid w:val="009D2FF7"/>
    <w:rsid w:val="009E3D4A"/>
    <w:rsid w:val="009E7884"/>
    <w:rsid w:val="009E788A"/>
    <w:rsid w:val="009F0E08"/>
    <w:rsid w:val="00A1763D"/>
    <w:rsid w:val="00A17CEC"/>
    <w:rsid w:val="00A27EF0"/>
    <w:rsid w:val="00A32782"/>
    <w:rsid w:val="00A42361"/>
    <w:rsid w:val="00A50B20"/>
    <w:rsid w:val="00A51390"/>
    <w:rsid w:val="00A60B49"/>
    <w:rsid w:val="00A60D13"/>
    <w:rsid w:val="00A615E6"/>
    <w:rsid w:val="00A7223D"/>
    <w:rsid w:val="00A72745"/>
    <w:rsid w:val="00A76EFC"/>
    <w:rsid w:val="00A84F2F"/>
    <w:rsid w:val="00A87D50"/>
    <w:rsid w:val="00A91010"/>
    <w:rsid w:val="00A97756"/>
    <w:rsid w:val="00A97F29"/>
    <w:rsid w:val="00AA702E"/>
    <w:rsid w:val="00AA7D26"/>
    <w:rsid w:val="00AB0964"/>
    <w:rsid w:val="00AB5011"/>
    <w:rsid w:val="00AC7368"/>
    <w:rsid w:val="00AD16B9"/>
    <w:rsid w:val="00AD6024"/>
    <w:rsid w:val="00AE377D"/>
    <w:rsid w:val="00AF0EBA"/>
    <w:rsid w:val="00B02C8A"/>
    <w:rsid w:val="00B03281"/>
    <w:rsid w:val="00B12C2D"/>
    <w:rsid w:val="00B17FBD"/>
    <w:rsid w:val="00B315A6"/>
    <w:rsid w:val="00B316A1"/>
    <w:rsid w:val="00B31813"/>
    <w:rsid w:val="00B33365"/>
    <w:rsid w:val="00B34DDC"/>
    <w:rsid w:val="00B524FE"/>
    <w:rsid w:val="00B57B36"/>
    <w:rsid w:val="00B57E6F"/>
    <w:rsid w:val="00B74931"/>
    <w:rsid w:val="00B8686D"/>
    <w:rsid w:val="00B93F69"/>
    <w:rsid w:val="00BB1DDC"/>
    <w:rsid w:val="00BB515C"/>
    <w:rsid w:val="00BB5655"/>
    <w:rsid w:val="00BB5F12"/>
    <w:rsid w:val="00BC30C9"/>
    <w:rsid w:val="00BD077D"/>
    <w:rsid w:val="00BE3E58"/>
    <w:rsid w:val="00C01616"/>
    <w:rsid w:val="00C0162B"/>
    <w:rsid w:val="00C068ED"/>
    <w:rsid w:val="00C22E0C"/>
    <w:rsid w:val="00C345B1"/>
    <w:rsid w:val="00C37338"/>
    <w:rsid w:val="00C40142"/>
    <w:rsid w:val="00C52C3C"/>
    <w:rsid w:val="00C57182"/>
    <w:rsid w:val="00C57863"/>
    <w:rsid w:val="00C640AF"/>
    <w:rsid w:val="00C655FD"/>
    <w:rsid w:val="00C75407"/>
    <w:rsid w:val="00C870A8"/>
    <w:rsid w:val="00C91B38"/>
    <w:rsid w:val="00C94434"/>
    <w:rsid w:val="00CA0D4A"/>
    <w:rsid w:val="00CA0D75"/>
    <w:rsid w:val="00CA1C95"/>
    <w:rsid w:val="00CA5A9C"/>
    <w:rsid w:val="00CB3215"/>
    <w:rsid w:val="00CC4C20"/>
    <w:rsid w:val="00CD3517"/>
    <w:rsid w:val="00CD3E6D"/>
    <w:rsid w:val="00CD5FE2"/>
    <w:rsid w:val="00CE7C68"/>
    <w:rsid w:val="00D02B4C"/>
    <w:rsid w:val="00D040C4"/>
    <w:rsid w:val="00D20AD1"/>
    <w:rsid w:val="00D25CE4"/>
    <w:rsid w:val="00D46B7E"/>
    <w:rsid w:val="00D54B5B"/>
    <w:rsid w:val="00D57C84"/>
    <w:rsid w:val="00D6057D"/>
    <w:rsid w:val="00D60ED7"/>
    <w:rsid w:val="00D61090"/>
    <w:rsid w:val="00D648EC"/>
    <w:rsid w:val="00D71640"/>
    <w:rsid w:val="00D72D54"/>
    <w:rsid w:val="00D836C5"/>
    <w:rsid w:val="00D84576"/>
    <w:rsid w:val="00DA1399"/>
    <w:rsid w:val="00DA24C6"/>
    <w:rsid w:val="00DA4D7B"/>
    <w:rsid w:val="00DC3365"/>
    <w:rsid w:val="00DC7EA2"/>
    <w:rsid w:val="00DD271C"/>
    <w:rsid w:val="00DE264A"/>
    <w:rsid w:val="00DE3F20"/>
    <w:rsid w:val="00DE4F38"/>
    <w:rsid w:val="00DF5072"/>
    <w:rsid w:val="00E02D18"/>
    <w:rsid w:val="00E041E7"/>
    <w:rsid w:val="00E11FF1"/>
    <w:rsid w:val="00E2323C"/>
    <w:rsid w:val="00E23CA1"/>
    <w:rsid w:val="00E33DD7"/>
    <w:rsid w:val="00E409A8"/>
    <w:rsid w:val="00E50C12"/>
    <w:rsid w:val="00E55557"/>
    <w:rsid w:val="00E65B91"/>
    <w:rsid w:val="00E7209D"/>
    <w:rsid w:val="00E72EAD"/>
    <w:rsid w:val="00E77223"/>
    <w:rsid w:val="00E81E3A"/>
    <w:rsid w:val="00E8528B"/>
    <w:rsid w:val="00E85B94"/>
    <w:rsid w:val="00E917DC"/>
    <w:rsid w:val="00E978D0"/>
    <w:rsid w:val="00EA4613"/>
    <w:rsid w:val="00EA7F91"/>
    <w:rsid w:val="00EB1523"/>
    <w:rsid w:val="00EC0E49"/>
    <w:rsid w:val="00EC101F"/>
    <w:rsid w:val="00EC1D9F"/>
    <w:rsid w:val="00EE0131"/>
    <w:rsid w:val="00EE17B0"/>
    <w:rsid w:val="00EF03D1"/>
    <w:rsid w:val="00EF06D9"/>
    <w:rsid w:val="00F10642"/>
    <w:rsid w:val="00F2144F"/>
    <w:rsid w:val="00F3049E"/>
    <w:rsid w:val="00F30C64"/>
    <w:rsid w:val="00F32BA2"/>
    <w:rsid w:val="00F32CDB"/>
    <w:rsid w:val="00F565FE"/>
    <w:rsid w:val="00F63A70"/>
    <w:rsid w:val="00F63D8C"/>
    <w:rsid w:val="00F7534E"/>
    <w:rsid w:val="00F93EDF"/>
    <w:rsid w:val="00FA1802"/>
    <w:rsid w:val="00FA21D0"/>
    <w:rsid w:val="00FA5F5F"/>
    <w:rsid w:val="00FB730C"/>
    <w:rsid w:val="00FC2695"/>
    <w:rsid w:val="00FC3E03"/>
    <w:rsid w:val="00FC3FC1"/>
    <w:rsid w:val="00FE300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styleId="MenoPendente">
    <w:name w:val="Unresolved Mention"/>
    <w:basedOn w:val="Fontepargpadro"/>
    <w:uiPriority w:val="99"/>
    <w:semiHidden/>
    <w:unhideWhenUsed/>
    <w:rsid w:val="00A84F2F"/>
    <w:rPr>
      <w:color w:val="605E5C"/>
      <w:shd w:val="clear" w:color="auto" w:fill="E1DFDD"/>
    </w:rPr>
  </w:style>
  <w:style w:type="character" w:styleId="TextodoEspaoReservado">
    <w:name w:val="Placeholder Text"/>
    <w:basedOn w:val="Fontepargpadro"/>
    <w:uiPriority w:val="99"/>
    <w:semiHidden/>
    <w:rsid w:val="009E3D4A"/>
    <w:rPr>
      <w:color w:val="808080"/>
    </w:rPr>
  </w:style>
  <w:style w:type="character" w:styleId="Nmerodelinha">
    <w:name w:val="line number"/>
    <w:basedOn w:val="Fontepargpadro"/>
    <w:uiPriority w:val="99"/>
    <w:semiHidden/>
    <w:unhideWhenUsed/>
    <w:rsid w:val="009C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279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7649541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0291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17119</Words>
  <Characters>92447</Characters>
  <Application>Microsoft Office Word</Application>
  <DocSecurity>0</DocSecurity>
  <Lines>770</Lines>
  <Paragraphs>218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109348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Microsoft Office User</cp:lastModifiedBy>
  <cp:revision>12</cp:revision>
  <cp:lastPrinted>2015-05-12T18:31:00Z</cp:lastPrinted>
  <dcterms:created xsi:type="dcterms:W3CDTF">2023-05-09T13:59:00Z</dcterms:created>
  <dcterms:modified xsi:type="dcterms:W3CDTF">2023-05-12T19:42:00Z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Unique User Id_1">
    <vt:lpwstr>191ed4fb-205b-304b-910f-58b7d4474e60</vt:lpwstr>
  </property>
  <property fmtid="{D5CDD505-2E9C-101B-9397-08002B2CF9AE}" pid="7" name="Mendeley Recent Style Id 0_1">
    <vt:lpwstr>http://www.zotero.org/styles/african-online-scientific-information-systems-harvard</vt:lpwstr>
  </property>
  <property fmtid="{D5CDD505-2E9C-101B-9397-08002B2CF9AE}" pid="8" name="Mendeley Recent Style Name 0_1">
    <vt:lpwstr>African Online Scientific Information Systems - Harvard</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http://www.zotero.org/styles/associacao-brasileira-de-normas-tecnicas</vt:lpwstr>
  </property>
  <property fmtid="{D5CDD505-2E9C-101B-9397-08002B2CF9AE}" pid="12" name="Mendeley Recent Style Name 2_1">
    <vt:lpwstr>Associação Brasileira de Normas Técnicas (Portuguese - Brazil)</vt:lpwstr>
  </property>
  <property fmtid="{D5CDD505-2E9C-101B-9397-08002B2CF9AE}" pid="13" name="Mendeley Recent Style Id 3_1">
    <vt:lpwstr>http://www.zotero.org/styles/chicago-fullnote-bibliography</vt:lpwstr>
  </property>
  <property fmtid="{D5CDD505-2E9C-101B-9397-08002B2CF9AE}" pid="14" name="Mendeley Recent Style Name 3_1">
    <vt:lpwstr>Chicago Manual of Style 17th edition (full note)</vt:lpwstr>
  </property>
  <property fmtid="{D5CDD505-2E9C-101B-9397-08002B2CF9AE}" pid="15" name="Mendeley Recent Style Id 4_1">
    <vt:lpwstr>http://www.zotero.org/styles/food-and-function</vt:lpwstr>
  </property>
  <property fmtid="{D5CDD505-2E9C-101B-9397-08002B2CF9AE}" pid="16" name="Mendeley Recent Style Name 4_1">
    <vt:lpwstr>Food &amp; Function</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(author-date)</vt:lpwstr>
  </property>
  <property fmtid="{D5CDD505-2E9C-101B-9397-08002B2CF9AE}" pid="19" name="Mendeley Recent Style Id 6_1">
    <vt:lpwstr>http://www.zotero.org/styles/international-journal-of-food-science-and-technology</vt:lpwstr>
  </property>
  <property fmtid="{D5CDD505-2E9C-101B-9397-08002B2CF9AE}" pid="20" name="Mendeley Recent Style Name 6_1">
    <vt:lpwstr>International Journal of Food Science &amp; Technology</vt:lpwstr>
  </property>
  <property fmtid="{D5CDD505-2E9C-101B-9397-08002B2CF9AE}" pid="21" name="Mendeley Recent Style Id 7_1">
    <vt:lpwstr>http://www.zotero.org/styles/meat-science</vt:lpwstr>
  </property>
  <property fmtid="{D5CDD505-2E9C-101B-9397-08002B2CF9AE}" pid="22" name="Mendeley Recent Style Name 7_1">
    <vt:lpwstr>Meat Science</vt:lpwstr>
  </property>
  <property fmtid="{D5CDD505-2E9C-101B-9397-08002B2CF9AE}" pid="23" name="Mendeley Recent Style Id 8_1">
    <vt:lpwstr>http://www.zotero.org/styles/universidade-estadual-de-alagoas-abnt</vt:lpwstr>
  </property>
  <property fmtid="{D5CDD505-2E9C-101B-9397-08002B2CF9AE}" pid="24" name="Mendeley Recent Style Name 8_1">
    <vt:lpwstr>Universidade Estadual de Alagoas - ABNT (Portuguese - Brazil)</vt:lpwstr>
  </property>
  <property fmtid="{D5CDD505-2E9C-101B-9397-08002B2CF9AE}" pid="25" name="Mendeley Recent Style Id 9_1">
    <vt:lpwstr>http://www.zotero.org/styles/ecole-de-technologie-superieure-apa</vt:lpwstr>
  </property>
  <property fmtid="{D5CDD505-2E9C-101B-9397-08002B2CF9AE}" pid="26" name="Mendeley Recent Style Name 9_1">
    <vt:lpwstr>École de technologie supérieure - APA (French - Canada)</vt:lpwstr>
  </property>
  <property fmtid="{D5CDD505-2E9C-101B-9397-08002B2CF9AE}" pid="27" name="GrammarlyDocumentId">
    <vt:lpwstr>d81b3289d3d964bcb8a95a2d658e60b7b09d50f92107d623243c31360ba92244</vt:lpwstr>
  </property>
</Properties>
</file>