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66BA666" w:rsidR="00E978D0" w:rsidRPr="00B57B36" w:rsidRDefault="00D31600" w:rsidP="00E978D0">
      <w:pPr>
        <w:pStyle w:val="CETTitle"/>
      </w:pPr>
      <w:r w:rsidRPr="00D31600">
        <w:t>Investigation of Spray-Drying for Encapsulation of Antioxidant-Rich Grape Pomace Extracts: A Mathematical and Experimental Approach</w:t>
      </w:r>
    </w:p>
    <w:p w14:paraId="0488FED2" w14:textId="5EF55102" w:rsidR="00B57E6F" w:rsidRPr="00486B80" w:rsidRDefault="00CC131C" w:rsidP="00B57E6F">
      <w:pPr>
        <w:pStyle w:val="CETAuthors"/>
        <w:rPr>
          <w:lang w:val="it-IT"/>
        </w:rPr>
      </w:pPr>
      <w:r w:rsidRPr="00486B80">
        <w:rPr>
          <w:lang w:val="it-IT"/>
        </w:rPr>
        <w:t>Andrea Bassani</w:t>
      </w:r>
      <w:r w:rsidR="00B57E6F" w:rsidRPr="00486B80">
        <w:rPr>
          <w:vertAlign w:val="superscript"/>
          <w:lang w:val="it-IT"/>
        </w:rPr>
        <w:t>a</w:t>
      </w:r>
      <w:r w:rsidRPr="00486B80">
        <w:rPr>
          <w:vertAlign w:val="superscript"/>
          <w:lang w:val="it-IT"/>
        </w:rPr>
        <w:t>,*</w:t>
      </w:r>
      <w:r w:rsidR="00B57E6F" w:rsidRPr="00486B80">
        <w:rPr>
          <w:lang w:val="it-IT"/>
        </w:rPr>
        <w:t xml:space="preserve">, </w:t>
      </w:r>
      <w:r w:rsidR="00341DAC" w:rsidRPr="00486B80">
        <w:rPr>
          <w:lang w:val="it-IT"/>
        </w:rPr>
        <w:t>Mehri Karim</w:t>
      </w:r>
      <w:r w:rsidR="00B57E6F" w:rsidRPr="00486B80">
        <w:rPr>
          <w:vertAlign w:val="superscript"/>
          <w:lang w:val="it-IT"/>
        </w:rPr>
        <w:t>b</w:t>
      </w:r>
      <w:r w:rsidR="00B57E6F" w:rsidRPr="00486B80">
        <w:rPr>
          <w:lang w:val="it-IT"/>
        </w:rPr>
        <w:t xml:space="preserve">, </w:t>
      </w:r>
      <w:r w:rsidR="00486B80" w:rsidRPr="00486B80">
        <w:rPr>
          <w:lang w:val="it-IT"/>
        </w:rPr>
        <w:t>Dan</w:t>
      </w:r>
      <w:r w:rsidR="00486B80">
        <w:rPr>
          <w:lang w:val="it-IT"/>
        </w:rPr>
        <w:t>iele Carullo</w:t>
      </w:r>
      <w:r w:rsidR="00486B80" w:rsidRPr="00751A14">
        <w:rPr>
          <w:vertAlign w:val="superscript"/>
          <w:lang w:val="it-IT"/>
        </w:rPr>
        <w:t>c</w:t>
      </w:r>
      <w:r w:rsidR="00486B80">
        <w:rPr>
          <w:lang w:val="it-IT"/>
        </w:rPr>
        <w:t xml:space="preserve">, </w:t>
      </w:r>
      <w:r w:rsidR="00DA217E">
        <w:rPr>
          <w:lang w:val="it-IT"/>
        </w:rPr>
        <w:t>Roberta Dordoni</w:t>
      </w:r>
      <w:r w:rsidR="00DA217E" w:rsidRPr="00DA217E">
        <w:rPr>
          <w:vertAlign w:val="superscript"/>
          <w:lang w:val="it-IT"/>
        </w:rPr>
        <w:t>a</w:t>
      </w:r>
      <w:r w:rsidR="00DA217E">
        <w:rPr>
          <w:lang w:val="it-IT"/>
        </w:rPr>
        <w:t xml:space="preserve">, </w:t>
      </w:r>
      <w:r w:rsidR="006D6E96" w:rsidRPr="006D6E96">
        <w:rPr>
          <w:lang w:val="it-IT"/>
        </w:rPr>
        <w:t>Milad Fathi</w:t>
      </w:r>
      <w:r w:rsidR="006D6E96" w:rsidRPr="00751A14">
        <w:rPr>
          <w:vertAlign w:val="superscript"/>
          <w:lang w:val="it-IT"/>
        </w:rPr>
        <w:t>b</w:t>
      </w:r>
      <w:r w:rsidR="006D6E96" w:rsidRPr="006D6E96">
        <w:rPr>
          <w:lang w:val="it-IT"/>
        </w:rPr>
        <w:t>, Giorgia Spigno</w:t>
      </w:r>
      <w:r w:rsidR="00751A14" w:rsidRPr="00751A14">
        <w:rPr>
          <w:vertAlign w:val="superscript"/>
          <w:lang w:val="it-IT"/>
        </w:rPr>
        <w:t>a</w:t>
      </w:r>
    </w:p>
    <w:p w14:paraId="5A1F1510" w14:textId="04D17780" w:rsidR="004B7FAF" w:rsidRPr="00052CBC" w:rsidRDefault="00B57E6F" w:rsidP="00B57E6F">
      <w:pPr>
        <w:pStyle w:val="CETAddress"/>
        <w:rPr>
          <w:lang w:val="it-IT"/>
        </w:rPr>
      </w:pPr>
      <w:r w:rsidRPr="00052CBC">
        <w:rPr>
          <w:vertAlign w:val="superscript"/>
          <w:lang w:val="it-IT"/>
        </w:rPr>
        <w:t>a</w:t>
      </w:r>
      <w:r w:rsidR="00052CBC" w:rsidRPr="00052CBC">
        <w:rPr>
          <w:lang w:val="it-IT"/>
        </w:rPr>
        <w:t>Università Cattolica del Sacro Cuore, Department for Sustainbale Food Process (DiSTAS), Via Emilia Parmense 84, 29122 Piacenza, Italy</w:t>
      </w:r>
    </w:p>
    <w:p w14:paraId="6B2D21B3" w14:textId="338F9032" w:rsidR="00B57E6F" w:rsidRPr="00B57B36" w:rsidRDefault="004B7FAF" w:rsidP="00B57E6F">
      <w:pPr>
        <w:pStyle w:val="CETAddress"/>
      </w:pPr>
      <w:r w:rsidRPr="00B57B36">
        <w:rPr>
          <w:vertAlign w:val="superscript"/>
        </w:rPr>
        <w:t>b</w:t>
      </w:r>
      <w:r w:rsidR="00E81AA2" w:rsidRPr="00E81AA2">
        <w:t>Department of Food Science and Technology, College of Agriculture, Isfahan University of Technology, Isfahan 84156-83111, the Islamic Republic of Iran</w:t>
      </w:r>
      <w:r w:rsidRPr="00B57B36">
        <w:t xml:space="preserve"> </w:t>
      </w:r>
      <w:r w:rsidR="00B57E6F" w:rsidRPr="00B57B36">
        <w:t xml:space="preserve"> </w:t>
      </w:r>
    </w:p>
    <w:p w14:paraId="3D72B0B0" w14:textId="1557B8F6" w:rsidR="00B57E6F" w:rsidRPr="00315856" w:rsidRDefault="00E81AA2" w:rsidP="00B57E6F">
      <w:pPr>
        <w:pStyle w:val="CETAddress"/>
        <w:rPr>
          <w:lang w:val="en-US"/>
        </w:rPr>
      </w:pPr>
      <w:r w:rsidRPr="00315856">
        <w:rPr>
          <w:vertAlign w:val="superscript"/>
          <w:lang w:val="en-US"/>
        </w:rPr>
        <w:t>c</w:t>
      </w:r>
      <w:r w:rsidR="00315856" w:rsidRPr="00315856">
        <w:rPr>
          <w:lang w:val="en-US"/>
        </w:rPr>
        <w:t>Department of Food, Environmental and Nutritional Sciences (DeFENS), Food Packaging Laboratory, University of Milan, via Celoria 2, Milan, 20133, Italy</w:t>
      </w:r>
    </w:p>
    <w:p w14:paraId="325C1225" w14:textId="73FBF6F2" w:rsidR="00681460" w:rsidRPr="00BD693F" w:rsidRDefault="004B7FAF" w:rsidP="00681460">
      <w:pPr>
        <w:pStyle w:val="CETemail"/>
        <w:rPr>
          <w:lang w:val="en-US"/>
        </w:rPr>
      </w:pPr>
      <w:hyperlink r:id="rId10" w:history="1">
        <w:r w:rsidRPr="00BD693F">
          <w:rPr>
            <w:rStyle w:val="Collegamentoipertestuale"/>
            <w:lang w:val="en-US"/>
          </w:rPr>
          <w:t>andrea.bassani@unicatt.it</w:t>
        </w:r>
      </w:hyperlink>
      <w:r w:rsidRPr="00BD693F">
        <w:rPr>
          <w:lang w:val="en-US"/>
        </w:rPr>
        <w:t xml:space="preserve"> </w:t>
      </w:r>
    </w:p>
    <w:p w14:paraId="69E75A4E" w14:textId="6D5EE045" w:rsidR="00431D67" w:rsidRDefault="0001118E" w:rsidP="00607545">
      <w:pPr>
        <w:pStyle w:val="CETBodytext"/>
      </w:pPr>
      <w:r w:rsidRPr="0001118E">
        <w:t>This study explores the use of food industry by-products, specifically grape pomace, to recover bioactive compounds and reduce environmental impact. The goal is to optimize the spray-drying process to encapsulate antioxidant-rich extracts, enhancing the stability of phenolic compounds and anthocyanins. Experiments used a 60% ethanol solution for extraction, followed by spray-drying with maltodextrins as encapsulating agents. Parameters such as inlet air temperature (120°C–200°C) and maltodextrin concentrations (0.4–0.8 w/w) were varied. Results showed maximum recovery of total polyphenols (89.2%) and anthocyanins (78.4%) at 140°C with a maltodextrin concentration of 0.6 w/w. Higher temperatures increased degradation rates, highlighting the importance of temperature optimization</w:t>
      </w:r>
      <w:r w:rsidR="00DC2C84">
        <w:t xml:space="preserve"> </w:t>
      </w:r>
      <w:r w:rsidR="00B75041">
        <w:t>while</w:t>
      </w:r>
      <w:r w:rsidRPr="0001118E">
        <w:t xml:space="preserve"> </w:t>
      </w:r>
      <w:r w:rsidR="00F623F9">
        <w:t xml:space="preserve">the </w:t>
      </w:r>
      <w:r w:rsidRPr="0001118E">
        <w:t xml:space="preserve">moisture content of the powders </w:t>
      </w:r>
      <w:r w:rsidR="00F623F9">
        <w:t>was</w:t>
      </w:r>
      <w:r w:rsidRPr="0001118E">
        <w:t xml:space="preserve"> within optimal ranges for industrial applications, with final moisture content below 4%, </w:t>
      </w:r>
      <w:r w:rsidR="00F623F9" w:rsidRPr="0001118E">
        <w:t>enhancing</w:t>
      </w:r>
      <w:r w:rsidRPr="0001118E">
        <w:t xml:space="preserve"> stability. </w:t>
      </w:r>
      <w:r w:rsidR="00DC2C84">
        <w:t>In parallel a</w:t>
      </w:r>
      <w:r w:rsidRPr="0001118E">
        <w:t xml:space="preserve"> mathematical model was developed to predict moisture and temperature profiles, aiding in designing efficient drying protocols. This study demonstrates the feasibility of valorizing agro-industrial residues through advanced spray-drying techniques, supporting circular economy initiatives in food processing.</w:t>
      </w:r>
    </w:p>
    <w:p w14:paraId="476B2F2E" w14:textId="77777777" w:rsidR="00600535" w:rsidRDefault="00600535" w:rsidP="00600535">
      <w:pPr>
        <w:pStyle w:val="CETHeading1"/>
        <w:rPr>
          <w:lang w:val="en-GB"/>
        </w:rPr>
      </w:pPr>
      <w:r w:rsidRPr="00B57B36">
        <w:rPr>
          <w:lang w:val="en-GB"/>
        </w:rPr>
        <w:t>Introduction</w:t>
      </w:r>
    </w:p>
    <w:p w14:paraId="5D517C91" w14:textId="34330779" w:rsidR="00841BE0" w:rsidRPr="00841BE0" w:rsidRDefault="009D6237" w:rsidP="009D6237">
      <w:pPr>
        <w:pStyle w:val="CETBodytext"/>
        <w:rPr>
          <w:lang w:val="en-GB"/>
        </w:rPr>
      </w:pPr>
      <w:r w:rsidRPr="009D6237">
        <w:rPr>
          <w:lang w:val="en-GB"/>
        </w:rPr>
        <w:t>The growing demand for sustainable food processing solutions has led to increasing interest in the valorization of agro-industrial by-products</w:t>
      </w:r>
      <w:r w:rsidR="007C5AB1">
        <w:rPr>
          <w:lang w:val="en-GB"/>
        </w:rPr>
        <w:t xml:space="preserve"> (</w:t>
      </w:r>
      <w:r w:rsidR="007C5AB1" w:rsidRPr="007C5AB1">
        <w:rPr>
          <w:lang w:val="en-GB"/>
        </w:rPr>
        <w:t>Belaud</w:t>
      </w:r>
      <w:r w:rsidR="007C5AB1">
        <w:rPr>
          <w:lang w:val="en-GB"/>
        </w:rPr>
        <w:t xml:space="preserve"> et al., 2019)</w:t>
      </w:r>
      <w:r w:rsidRPr="009D6237">
        <w:rPr>
          <w:lang w:val="en-GB"/>
        </w:rPr>
        <w:t>. Grape pomace, a major by-product of the wine industry, is particularly rich in bioactive compounds, including polyphenols and anthocyanins, which exhibit strong antioxidant properties</w:t>
      </w:r>
      <w:r w:rsidR="006702CC">
        <w:rPr>
          <w:lang w:val="en-GB"/>
        </w:rPr>
        <w:t xml:space="preserve"> (</w:t>
      </w:r>
      <w:r w:rsidR="006702CC" w:rsidRPr="006702CC">
        <w:rPr>
          <w:lang w:val="en-GB"/>
        </w:rPr>
        <w:t>Karastergiou</w:t>
      </w:r>
      <w:r w:rsidR="006702CC">
        <w:rPr>
          <w:lang w:val="en-GB"/>
        </w:rPr>
        <w:t xml:space="preserve"> et al., 2024)</w:t>
      </w:r>
      <w:r w:rsidRPr="009D6237">
        <w:rPr>
          <w:lang w:val="en-GB"/>
        </w:rPr>
        <w:t xml:space="preserve">. However, the stability and bioavailability of these compounds can be significantly affected by </w:t>
      </w:r>
      <w:r w:rsidR="0029607C">
        <w:rPr>
          <w:lang w:val="en-GB"/>
        </w:rPr>
        <w:t>different</w:t>
      </w:r>
      <w:r w:rsidRPr="009D6237">
        <w:rPr>
          <w:lang w:val="en-GB"/>
        </w:rPr>
        <w:t xml:space="preserve"> factors such as temperature, oxygen, and light exposure. In this context, encapsulation via spray-drying has emerged as an effective strategy to enhance the stability of these bioactive compounds, ensuring their potential application in functional foods</w:t>
      </w:r>
      <w:r w:rsidR="007D5646">
        <w:rPr>
          <w:lang w:val="en-GB"/>
        </w:rPr>
        <w:t>, active food packaging</w:t>
      </w:r>
      <w:r w:rsidR="00CB351F">
        <w:rPr>
          <w:lang w:val="en-GB"/>
        </w:rPr>
        <w:t>,</w:t>
      </w:r>
      <w:r w:rsidRPr="009D6237">
        <w:rPr>
          <w:lang w:val="en-GB"/>
        </w:rPr>
        <w:t xml:space="preserve"> and nutraceuticals</w:t>
      </w:r>
      <w:r w:rsidR="00E70D1C">
        <w:rPr>
          <w:lang w:val="en-GB"/>
        </w:rPr>
        <w:t xml:space="preserve"> (</w:t>
      </w:r>
      <w:r w:rsidR="00E70D1C" w:rsidRPr="00E70D1C">
        <w:rPr>
          <w:lang w:val="en-GB"/>
        </w:rPr>
        <w:t>Archaina</w:t>
      </w:r>
      <w:r w:rsidR="00E70D1C">
        <w:rPr>
          <w:lang w:val="en-GB"/>
        </w:rPr>
        <w:t xml:space="preserve"> et al.</w:t>
      </w:r>
      <w:r w:rsidR="007D5646">
        <w:rPr>
          <w:lang w:val="en-GB"/>
        </w:rPr>
        <w:t>,</w:t>
      </w:r>
      <w:r w:rsidR="00E70D1C">
        <w:rPr>
          <w:lang w:val="en-GB"/>
        </w:rPr>
        <w:t xml:space="preserve"> 2</w:t>
      </w:r>
      <w:r w:rsidR="007D5646">
        <w:rPr>
          <w:lang w:val="en-GB"/>
        </w:rPr>
        <w:t>017)</w:t>
      </w:r>
      <w:r w:rsidRPr="009D6237">
        <w:rPr>
          <w:lang w:val="en-GB"/>
        </w:rPr>
        <w:t>.</w:t>
      </w:r>
      <w:r w:rsidR="00D372BF">
        <w:rPr>
          <w:lang w:val="en-GB"/>
        </w:rPr>
        <w:t xml:space="preserve"> </w:t>
      </w:r>
      <w:r w:rsidRPr="009D6237">
        <w:rPr>
          <w:lang w:val="en-GB"/>
        </w:rPr>
        <w:t>Spray-drying is widely used in the food and pharmaceutical industries due to its ability to produce stable powders with controlled properties. The success of this technique relies on careful optimization of process conditions, particularly inlet air temperature, drying time, and the choice of encapsulating agents. Maltodextrins are commonly used carriers in spray-drying due to their excellent film-forming abilities</w:t>
      </w:r>
      <w:r w:rsidR="001714EB">
        <w:rPr>
          <w:lang w:val="en-GB"/>
        </w:rPr>
        <w:t xml:space="preserve"> </w:t>
      </w:r>
      <w:r w:rsidRPr="009D6237">
        <w:rPr>
          <w:lang w:val="en-GB"/>
        </w:rPr>
        <w:t>and capacity to protect sensitive bioactive compounds from degradation</w:t>
      </w:r>
      <w:r w:rsidR="00747C5A">
        <w:rPr>
          <w:lang w:val="en-GB"/>
        </w:rPr>
        <w:t xml:space="preserve"> (Sansone et al., 2011)</w:t>
      </w:r>
      <w:r w:rsidRPr="009D6237">
        <w:rPr>
          <w:lang w:val="en-GB"/>
        </w:rPr>
        <w:t>. However, achieving the optimal balance between bioactive retention and powder characteristics requires a thorough understanding of the physicochemical interactions</w:t>
      </w:r>
      <w:r w:rsidR="0011141A">
        <w:rPr>
          <w:lang w:val="en-GB"/>
        </w:rPr>
        <w:t>, the kinetics</w:t>
      </w:r>
      <w:r w:rsidR="003E008D">
        <w:rPr>
          <w:lang w:val="en-GB"/>
        </w:rPr>
        <w:t>,</w:t>
      </w:r>
      <w:r w:rsidR="0011141A">
        <w:rPr>
          <w:lang w:val="en-GB"/>
        </w:rPr>
        <w:t xml:space="preserve"> and the </w:t>
      </w:r>
      <w:r w:rsidR="003E008D">
        <w:rPr>
          <w:lang w:val="en-GB"/>
        </w:rPr>
        <w:t>energy consumption</w:t>
      </w:r>
      <w:r w:rsidRPr="009D6237">
        <w:rPr>
          <w:lang w:val="en-GB"/>
        </w:rPr>
        <w:t xml:space="preserve"> occurring during the drying process.</w:t>
      </w:r>
      <w:r w:rsidR="0081729C">
        <w:rPr>
          <w:lang w:val="en-GB"/>
        </w:rPr>
        <w:t xml:space="preserve"> </w:t>
      </w:r>
      <w:r w:rsidRPr="009D6237">
        <w:rPr>
          <w:lang w:val="en-GB"/>
        </w:rPr>
        <w:t>This study</w:t>
      </w:r>
      <w:r w:rsidR="001B68DD">
        <w:rPr>
          <w:lang w:val="en-GB"/>
        </w:rPr>
        <w:t xml:space="preserve">, </w:t>
      </w:r>
      <w:r w:rsidR="001B68DD" w:rsidRPr="001B68DD">
        <w:rPr>
          <w:lang w:val="en-GB"/>
        </w:rPr>
        <w:t xml:space="preserve">subsequent development of the previous research of </w:t>
      </w:r>
      <w:r w:rsidR="001B68DD">
        <w:rPr>
          <w:lang w:val="en-GB"/>
        </w:rPr>
        <w:t>Bassani et al. (2022),</w:t>
      </w:r>
      <w:r w:rsidRPr="009D6237">
        <w:rPr>
          <w:lang w:val="en-GB"/>
        </w:rPr>
        <w:t xml:space="preserve"> aims to </w:t>
      </w:r>
      <w:r w:rsidR="00CA53DD">
        <w:rPr>
          <w:lang w:val="en-GB"/>
        </w:rPr>
        <w:t xml:space="preserve">investigate and </w:t>
      </w:r>
      <w:r w:rsidRPr="009D6237">
        <w:rPr>
          <w:lang w:val="en-GB"/>
        </w:rPr>
        <w:t xml:space="preserve">optimize the spray-drying process for the encapsulation of antioxidant-rich grape pomace extracts, using maltodextrins as carrier agents. The research employs a combined experimental and </w:t>
      </w:r>
      <w:r w:rsidRPr="009D6237">
        <w:rPr>
          <w:lang w:val="en-GB"/>
        </w:rPr>
        <w:lastRenderedPageBreak/>
        <w:t>mathematical modeling approach to understand the effects of process variables, such as inlet air temperature and carrier concentration, on the retention of polyphenols and anthocyanins. The development of a predictive mathematical model provides valuable insights into the moisture and temperature profiles during drying, helping to design efficient and sustainable drying protocols.</w:t>
      </w:r>
      <w:r w:rsidR="00E80425">
        <w:rPr>
          <w:lang w:val="en-GB"/>
        </w:rPr>
        <w:t xml:space="preserve"> </w:t>
      </w:r>
      <w:r w:rsidRPr="009D6237">
        <w:rPr>
          <w:lang w:val="en-GB"/>
        </w:rPr>
        <w:t>By integrating experimental findings with computational modeling, this study highlights the potential of a cooperative approach to improving encapsulation techniques and advancing sustainable food processing practices. The synergy between experimental validation and predictive simulations allows for process optimization with minimal resource consumption, thereby contributing to the broader goal of enhancing circular economy strategies in the food industry</w:t>
      </w:r>
      <w:r w:rsidR="00A324D2">
        <w:rPr>
          <w:lang w:val="en-GB"/>
        </w:rPr>
        <w:t xml:space="preserve"> (</w:t>
      </w:r>
      <w:r w:rsidR="004C5EAB">
        <w:rPr>
          <w:lang w:val="en-GB"/>
        </w:rPr>
        <w:t>Bassani et al., 2024</w:t>
      </w:r>
      <w:r w:rsidR="00A324D2">
        <w:rPr>
          <w:lang w:val="en-GB"/>
        </w:rPr>
        <w:t>)</w:t>
      </w:r>
      <w:r w:rsidRPr="009D6237">
        <w:rPr>
          <w:lang w:val="en-GB"/>
        </w:rPr>
        <w:t>. The findings of this work provide a scientific foundation for improving the industrial application of spray-drying, offering practical insights into the design of more effective and environmentally friendly encapsulation methods</w:t>
      </w:r>
      <w:r w:rsidR="00207D87">
        <w:rPr>
          <w:lang w:val="en-GB"/>
        </w:rPr>
        <w:t>.</w:t>
      </w:r>
    </w:p>
    <w:p w14:paraId="5741900F" w14:textId="4BE1E32D" w:rsidR="00453E24" w:rsidRDefault="009B7D2A" w:rsidP="00453E24">
      <w:pPr>
        <w:pStyle w:val="CETHeading1"/>
      </w:pPr>
      <w:r>
        <w:t>Material and Methods</w:t>
      </w:r>
    </w:p>
    <w:p w14:paraId="6CACB621" w14:textId="08EC051B" w:rsidR="00683636" w:rsidRDefault="00936BBA" w:rsidP="00453E24">
      <w:pPr>
        <w:pStyle w:val="CETBodytext"/>
      </w:pPr>
      <w:r>
        <w:t>Figure 1</w:t>
      </w:r>
      <w:r w:rsidR="005A0CF0" w:rsidRPr="005A0CF0">
        <w:t xml:space="preserve"> schematically illustrates the process of extraction and encapsulation of bioactive compounds and related analysis</w:t>
      </w:r>
      <w:r w:rsidR="004C46FE">
        <w:t xml:space="preserve">. Briefly, </w:t>
      </w:r>
      <w:r w:rsidR="00E0434E">
        <w:t>g</w:t>
      </w:r>
      <w:r w:rsidR="00E0434E" w:rsidRPr="00E0434E">
        <w:t xml:space="preserve">rape </w:t>
      </w:r>
      <w:r w:rsidR="00E0434E">
        <w:t>pomace</w:t>
      </w:r>
      <w:r w:rsidR="00E0434E" w:rsidRPr="00E0434E">
        <w:t xml:space="preserve"> samples </w:t>
      </w:r>
      <w:r w:rsidR="00E0434E">
        <w:t>(</w:t>
      </w:r>
      <w:r w:rsidR="00E0434E" w:rsidRPr="00E0434E">
        <w:rPr>
          <w:i/>
          <w:iCs/>
        </w:rPr>
        <w:t>Croatina</w:t>
      </w:r>
      <w:r w:rsidR="00E0434E" w:rsidRPr="00E0434E">
        <w:t xml:space="preserve"> variety</w:t>
      </w:r>
      <w:r w:rsidR="00E0434E">
        <w:t>)</w:t>
      </w:r>
      <w:r w:rsidR="00E0434E" w:rsidRPr="00E0434E">
        <w:t xml:space="preserve"> were subjected to an ethanol extraction process (Amendola et al., 2010). The obtained extracts were mixed with a carrier (i.e., maltodextrins) and used as raw material for the subsequent spray-drying process. This process was tested under various operating conditions, specifically evaluating different </w:t>
      </w:r>
      <w:r w:rsidR="00420E9D" w:rsidRPr="00E0434E">
        <w:t>air-drying</w:t>
      </w:r>
      <w:r w:rsidR="00E0434E" w:rsidRPr="00E0434E">
        <w:t xml:space="preserve"> temperatures and different </w:t>
      </w:r>
      <w:r w:rsidR="00CF63F4">
        <w:t xml:space="preserve">maltodextrins </w:t>
      </w:r>
      <w:r w:rsidR="00E0434E" w:rsidRPr="00E0434E">
        <w:t>mass ratios</w:t>
      </w:r>
      <w:r w:rsidR="00F8385C">
        <w:t xml:space="preserve"> between the grams</w:t>
      </w:r>
      <w:r w:rsidR="0009150A">
        <w:t xml:space="preserve"> of maltodextrins and the grams of the raw material dry matter</w:t>
      </w:r>
      <w:r w:rsidR="00E0434E" w:rsidRPr="00E0434E">
        <w:t xml:space="preserve"> </w:t>
      </w:r>
      <w:r w:rsidR="00E0434E" w:rsidRPr="00156166">
        <w:t>(</w:t>
      </w:r>
      <m:oMath>
        <m:sSub>
          <m:sSubPr>
            <m:ctrlPr>
              <w:rPr>
                <w:rFonts w:ascii="Cambria Math" w:hAnsi="Cambria Math"/>
                <w:i/>
              </w:rPr>
            </m:ctrlPr>
          </m:sSubPr>
          <m:e>
            <m:r>
              <w:rPr>
                <w:rFonts w:ascii="Cambria Math" w:hAnsi="Cambria Math"/>
              </w:rPr>
              <m:t>w</m:t>
            </m:r>
          </m:e>
          <m:sub>
            <m:r>
              <w:rPr>
                <w:rFonts w:ascii="Cambria Math" w:hAnsi="Cambria Math"/>
              </w:rPr>
              <m:t>md</m:t>
            </m:r>
          </m:sub>
        </m:sSub>
        <m:r>
          <w:rPr>
            <w:rFonts w:ascii="Cambria Math" w:hAnsi="Cambria Math"/>
          </w:rPr>
          <m:t xml:space="preserve"> (g/g</m:t>
        </m:r>
      </m:oMath>
      <w:r w:rsidR="00E0434E" w:rsidRPr="00156166">
        <w:t>)</w:t>
      </w:r>
      <w:r w:rsidR="00F8385C">
        <w:t xml:space="preserve">, </w:t>
      </w:r>
      <w:r w:rsidR="00420E9D">
        <w:t>a</w:t>
      </w:r>
      <w:r w:rsidR="00E0434E" w:rsidRPr="00E0434E">
        <w:t xml:space="preserve">s shown in Figure 1. The aim was to thoroughly investigate the effect of these operating conditions on the degradation of bioactive compounds. All other parameters (extract flow rate, air flow rate, etc.) were kept </w:t>
      </w:r>
      <w:r w:rsidR="00150549">
        <w:t>constant</w:t>
      </w:r>
      <w:r w:rsidR="00E0434E" w:rsidRPr="00E0434E">
        <w:t xml:space="preserve"> for all experimental trials. Finally, the dried powders obtained were characterized in terms of moisture, total polyphenols, and anthocyanins, with detailed methods provided later.</w:t>
      </w:r>
    </w:p>
    <w:p w14:paraId="1D596009" w14:textId="77777777" w:rsidR="00E00816" w:rsidRDefault="00E00816" w:rsidP="00453E24">
      <w:pPr>
        <w:pStyle w:val="CETBodytext"/>
      </w:pPr>
    </w:p>
    <w:p w14:paraId="658E2362" w14:textId="618C8ABD" w:rsidR="00E8055A" w:rsidRDefault="00872F68" w:rsidP="00E8055A">
      <w:pPr>
        <w:pStyle w:val="CETBodytext"/>
        <w:keepNext/>
      </w:pPr>
      <w:r>
        <w:rPr>
          <w:noProof/>
        </w:rPr>
        <w:drawing>
          <wp:inline distT="0" distB="0" distL="0" distR="0" wp14:anchorId="0392A40C" wp14:editId="54849EA4">
            <wp:extent cx="5122236" cy="1602691"/>
            <wp:effectExtent l="0" t="0" r="2540" b="0"/>
            <wp:docPr id="13297327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4787" cy="1616005"/>
                    </a:xfrm>
                    <a:prstGeom prst="rect">
                      <a:avLst/>
                    </a:prstGeom>
                    <a:noFill/>
                  </pic:spPr>
                </pic:pic>
              </a:graphicData>
            </a:graphic>
          </wp:inline>
        </w:drawing>
      </w:r>
    </w:p>
    <w:p w14:paraId="23150D02" w14:textId="02170B80" w:rsidR="00926ADC" w:rsidRPr="007C5AB1" w:rsidRDefault="00E8055A" w:rsidP="000954DA">
      <w:pPr>
        <w:pStyle w:val="CETCaption"/>
        <w:spacing w:before="0"/>
        <w:rPr>
          <w:i w:val="0"/>
          <w:iCs/>
        </w:rPr>
      </w:pPr>
      <w:r w:rsidRPr="007C5AB1">
        <w:rPr>
          <w:rStyle w:val="CETCaptionCarattere"/>
          <w:i/>
          <w:iCs/>
        </w:rPr>
        <w:t xml:space="preserve">Figure </w:t>
      </w:r>
      <w:r w:rsidRPr="007C5AB1">
        <w:rPr>
          <w:rStyle w:val="CETCaptionCarattere"/>
          <w:i/>
          <w:iCs/>
        </w:rPr>
        <w:fldChar w:fldCharType="begin"/>
      </w:r>
      <w:r w:rsidRPr="007C5AB1">
        <w:rPr>
          <w:rStyle w:val="CETCaptionCarattere"/>
          <w:i/>
          <w:iCs/>
        </w:rPr>
        <w:instrText xml:space="preserve"> SEQ Figure \* ARABIC </w:instrText>
      </w:r>
      <w:r w:rsidRPr="007C5AB1">
        <w:rPr>
          <w:rStyle w:val="CETCaptionCarattere"/>
          <w:i/>
          <w:iCs/>
        </w:rPr>
        <w:fldChar w:fldCharType="separate"/>
      </w:r>
      <w:r w:rsidRPr="007C5AB1">
        <w:rPr>
          <w:rStyle w:val="CETCaptionCarattere"/>
          <w:i/>
          <w:iCs/>
        </w:rPr>
        <w:t>1</w:t>
      </w:r>
      <w:r w:rsidRPr="007C5AB1">
        <w:rPr>
          <w:rStyle w:val="CETCaptionCarattere"/>
          <w:i/>
          <w:iCs/>
        </w:rPr>
        <w:fldChar w:fldCharType="end"/>
      </w:r>
      <w:r w:rsidRPr="007C5AB1">
        <w:rPr>
          <w:rStyle w:val="CETCaptionCarattere"/>
          <w:i/>
          <w:iCs/>
        </w:rPr>
        <w:t xml:space="preserve"> </w:t>
      </w:r>
      <w:r w:rsidR="009924E0" w:rsidRPr="007C5AB1">
        <w:rPr>
          <w:rStyle w:val="CETCaptionCarattere"/>
          <w:i/>
          <w:iCs/>
        </w:rPr>
        <w:t>Extraction and encapsulation process with the related operating conditions and analyses</w:t>
      </w:r>
    </w:p>
    <w:p w14:paraId="42A61A89" w14:textId="32BEF52C" w:rsidR="00926ADC" w:rsidRPr="00571877" w:rsidRDefault="004055D6" w:rsidP="00571877">
      <w:pPr>
        <w:pStyle w:val="CETheadingx"/>
        <w:spacing w:line="240" w:lineRule="auto"/>
        <w:jc w:val="left"/>
        <w:rPr>
          <w:b/>
          <w:bCs w:val="0"/>
        </w:rPr>
      </w:pPr>
      <w:r>
        <w:rPr>
          <w:b/>
          <w:bCs w:val="0"/>
        </w:rPr>
        <w:t xml:space="preserve">2.1 </w:t>
      </w:r>
      <w:r w:rsidR="00926ADC" w:rsidRPr="00571877">
        <w:rPr>
          <w:b/>
          <w:bCs w:val="0"/>
        </w:rPr>
        <w:t>Moisture content and Mass recovery yield</w:t>
      </w:r>
    </w:p>
    <w:p w14:paraId="6F16396E" w14:textId="55DA69F4" w:rsidR="00926ADC" w:rsidRDefault="00F010FA" w:rsidP="00453E24">
      <w:pPr>
        <w:pStyle w:val="CETBodytext"/>
      </w:pPr>
      <w:r>
        <w:t xml:space="preserve">The moisture content of the </w:t>
      </w:r>
      <w:r w:rsidR="004466DD">
        <w:t>outlet</w:t>
      </w:r>
      <w:r>
        <w:t xml:space="preserve"> powder from </w:t>
      </w:r>
      <w:r w:rsidR="004466DD">
        <w:t xml:space="preserve">the </w:t>
      </w:r>
      <w:r>
        <w:t>spray-dryer was evaluated following the traditional pro</w:t>
      </w:r>
      <w:r w:rsidR="004466DD">
        <w:t xml:space="preserve">cedure reported in different scientific work and also in the previous work of Bassani et al, </w:t>
      </w:r>
      <w:r w:rsidR="00150549">
        <w:t>(</w:t>
      </w:r>
      <w:r w:rsidR="004466DD">
        <w:t>2022</w:t>
      </w:r>
      <w:r w:rsidR="00150549">
        <w:t>)</w:t>
      </w:r>
      <w:r w:rsidR="004466DD">
        <w:t>. Regarding the mass recovery yield, this was calculated as</w:t>
      </w:r>
      <w:r w:rsidR="00477C04">
        <w:t xml:space="preserve"> the ratio between</w:t>
      </w:r>
      <w:r w:rsidR="0014465D">
        <w:t xml:space="preserve"> </w:t>
      </w:r>
      <w:r w:rsidR="00477C04" w:rsidRPr="00477C04">
        <w:rPr>
          <w:lang w:val="en-GB"/>
        </w:rPr>
        <w:t xml:space="preserve">the mass recovered </w:t>
      </w:r>
      <w:r w:rsidR="0014465D">
        <w:rPr>
          <w:lang w:val="en-GB"/>
        </w:rPr>
        <w:t xml:space="preserve">in the </w:t>
      </w:r>
      <w:r w:rsidR="00477C04" w:rsidRPr="00477C04">
        <w:rPr>
          <w:lang w:val="en-GB"/>
        </w:rPr>
        <w:t>powder on dry matter and the theoretical amount of solids present in the feed</w:t>
      </w:r>
      <w:r w:rsidR="00150549">
        <w:rPr>
          <w:lang w:val="en-GB"/>
        </w:rPr>
        <w:t>.</w:t>
      </w:r>
    </w:p>
    <w:p w14:paraId="343B3B09" w14:textId="5A7FBB2D" w:rsidR="004F1F14" w:rsidRPr="00571877" w:rsidRDefault="004055D6" w:rsidP="00571877">
      <w:pPr>
        <w:pStyle w:val="CETheadingx"/>
        <w:spacing w:line="240" w:lineRule="auto"/>
        <w:jc w:val="left"/>
        <w:rPr>
          <w:b/>
          <w:bCs w:val="0"/>
        </w:rPr>
      </w:pPr>
      <w:r>
        <w:rPr>
          <w:b/>
          <w:bCs w:val="0"/>
        </w:rPr>
        <w:t xml:space="preserve">2.2 </w:t>
      </w:r>
      <w:r w:rsidR="0060542C" w:rsidRPr="00571877">
        <w:rPr>
          <w:b/>
          <w:bCs w:val="0"/>
        </w:rPr>
        <w:t>Total Polyphenols Content (TPC)</w:t>
      </w:r>
      <w:r w:rsidR="00AE093A" w:rsidRPr="00571877">
        <w:rPr>
          <w:b/>
          <w:bCs w:val="0"/>
        </w:rPr>
        <w:t xml:space="preserve"> and Total Ant</w:t>
      </w:r>
      <w:r w:rsidR="009F4E1A" w:rsidRPr="00571877">
        <w:rPr>
          <w:b/>
          <w:bCs w:val="0"/>
        </w:rPr>
        <w:t>hocyanins Content (TAC)</w:t>
      </w:r>
    </w:p>
    <w:p w14:paraId="4B0FF289" w14:textId="1CB32CB7" w:rsidR="004F1F14" w:rsidRDefault="003851F3" w:rsidP="004F1F14">
      <w:pPr>
        <w:pStyle w:val="CETBodytext"/>
        <w:rPr>
          <w:lang w:val="en-GB"/>
        </w:rPr>
      </w:pPr>
      <w:r w:rsidRPr="003851F3">
        <w:rPr>
          <w:lang w:val="en-GB"/>
        </w:rPr>
        <w:t xml:space="preserve">All the extracts and powders obtained from spray-drying tests were subjected to TPC and TAC measurements adopting the method proposed by Amendola </w:t>
      </w:r>
      <w:r>
        <w:rPr>
          <w:lang w:val="en-GB"/>
        </w:rPr>
        <w:t>et</w:t>
      </w:r>
      <w:r w:rsidRPr="003851F3">
        <w:rPr>
          <w:lang w:val="en-GB"/>
        </w:rPr>
        <w:t xml:space="preserve"> al. (2010) (i.e. Folin-Ciocalteau method)</w:t>
      </w:r>
      <w:r w:rsidR="00BF35C0">
        <w:rPr>
          <w:lang w:val="en-GB"/>
        </w:rPr>
        <w:t xml:space="preserve"> and</w:t>
      </w:r>
      <w:r w:rsidRPr="003851F3">
        <w:rPr>
          <w:lang w:val="en-GB"/>
        </w:rPr>
        <w:t xml:space="preserve"> by Lavelli </w:t>
      </w:r>
      <w:r>
        <w:rPr>
          <w:lang w:val="en-GB"/>
        </w:rPr>
        <w:t>et</w:t>
      </w:r>
      <w:r w:rsidRPr="003851F3">
        <w:rPr>
          <w:lang w:val="en-GB"/>
        </w:rPr>
        <w:t xml:space="preserve"> al. (2016) respectively. The results were expressed as mg of gallic acid equivalent (GAE) per g of dry weight powder </w:t>
      </w:r>
      <w:r w:rsidRPr="00841003">
        <w:rPr>
          <w:lang w:val="en-GB"/>
        </w:rPr>
        <w:t>(mg /g)</w:t>
      </w:r>
      <w:r w:rsidRPr="003851F3">
        <w:rPr>
          <w:lang w:val="en-GB"/>
        </w:rPr>
        <w:t xml:space="preserve"> regarding the TPC, while as mg of cyanidin-3-glucoside equivalents per g dry product regarding the TAC. Moreover, this work aims to evaluate the effect of drying temperature and carrier mass ratio on bioactive compounds </w:t>
      </w:r>
      <w:r w:rsidR="009B574D" w:rsidRPr="003851F3">
        <w:rPr>
          <w:lang w:val="en-GB"/>
        </w:rPr>
        <w:t>(i.e. polyphenols and anthocyanins)</w:t>
      </w:r>
      <w:r w:rsidR="009B574D">
        <w:rPr>
          <w:lang w:val="en-GB"/>
        </w:rPr>
        <w:t xml:space="preserve"> </w:t>
      </w:r>
      <w:r w:rsidRPr="003851F3">
        <w:rPr>
          <w:lang w:val="en-GB"/>
        </w:rPr>
        <w:t>degradation. For this reason, the recovery</w:t>
      </w:r>
      <w:r w:rsidR="009B574D">
        <w:rPr>
          <w:lang w:val="en-GB"/>
        </w:rPr>
        <w:t xml:space="preserve"> of</w:t>
      </w:r>
      <w:r w:rsidRPr="003851F3">
        <w:rPr>
          <w:lang w:val="en-GB"/>
        </w:rPr>
        <w:t xml:space="preserve"> polyphenols and anthocyanins w</w:t>
      </w:r>
      <w:r w:rsidR="0006499E">
        <w:rPr>
          <w:lang w:val="en-GB"/>
        </w:rPr>
        <w:t>as</w:t>
      </w:r>
      <w:r w:rsidRPr="003851F3">
        <w:rPr>
          <w:lang w:val="en-GB"/>
        </w:rPr>
        <w:t xml:space="preserve"> calculated as follows:</w:t>
      </w:r>
    </w:p>
    <w:p w14:paraId="43477EEE" w14:textId="77777777" w:rsidR="007A34A5" w:rsidRDefault="007A34A5" w:rsidP="004F1F14">
      <w:pPr>
        <w:pStyle w:val="CETBodytext"/>
        <w:rPr>
          <w:lang w:val="en-GB"/>
        </w:rPr>
      </w:pPr>
    </w:p>
    <w:tbl>
      <w:tblPr>
        <w:tblW w:w="5000" w:type="pct"/>
        <w:tblLook w:val="04A0" w:firstRow="1" w:lastRow="0" w:firstColumn="1" w:lastColumn="0" w:noHBand="0" w:noVBand="1"/>
      </w:tblPr>
      <w:tblGrid>
        <w:gridCol w:w="7984"/>
        <w:gridCol w:w="803"/>
      </w:tblGrid>
      <w:tr w:rsidR="0018493F" w:rsidRPr="00B57B36" w14:paraId="3324CB61" w14:textId="77777777" w:rsidTr="007A34A5">
        <w:tc>
          <w:tcPr>
            <w:tcW w:w="7984" w:type="dxa"/>
            <w:shd w:val="clear" w:color="auto" w:fill="auto"/>
            <w:vAlign w:val="center"/>
          </w:tcPr>
          <w:p w14:paraId="42ECCB71" w14:textId="2576CFE4" w:rsidR="0018493F" w:rsidRPr="007A34A5" w:rsidRDefault="007A34A5" w:rsidP="007A34A5">
            <w:pPr>
              <w:spacing w:before="100" w:beforeAutospacing="1" w:after="100" w:afterAutospacing="1" w:line="360" w:lineRule="auto"/>
              <w:rPr>
                <w:rFonts w:cs="Arial"/>
              </w:rPr>
            </w:pPr>
            <m:oMathPara>
              <m:oMathParaPr>
                <m:jc m:val="left"/>
              </m:oMathParaPr>
              <m:oMath>
                <m:r>
                  <w:rPr>
                    <w:rFonts w:ascii="Cambria Math" w:hAnsi="Cambria Math" w:cs="Arial"/>
                    <w:lang w:val="en-US" w:eastAsia="it-IT"/>
                  </w:rPr>
                  <m:t>TP</m:t>
                </m:r>
                <m:sSub>
                  <m:sSubPr>
                    <m:ctrlPr>
                      <w:rPr>
                        <w:rFonts w:ascii="Cambria Math" w:hAnsi="Cambria Math" w:cs="Arial"/>
                        <w:i/>
                        <w:lang w:val="en-US" w:eastAsia="it-IT"/>
                      </w:rPr>
                    </m:ctrlPr>
                  </m:sSubPr>
                  <m:e>
                    <m:r>
                      <w:rPr>
                        <w:rFonts w:ascii="Cambria Math" w:hAnsi="Cambria Math" w:cs="Arial"/>
                        <w:lang w:val="en-US" w:eastAsia="it-IT"/>
                      </w:rPr>
                      <m:t>C</m:t>
                    </m:r>
                  </m:e>
                  <m:sub>
                    <m:r>
                      <w:rPr>
                        <w:rFonts w:ascii="Cambria Math" w:hAnsi="Cambria Math" w:cs="Arial"/>
                        <w:lang w:val="en-US" w:eastAsia="it-IT"/>
                      </w:rPr>
                      <m:t>recovery</m:t>
                    </m:r>
                  </m:sub>
                </m:sSub>
                <m:r>
                  <w:rPr>
                    <w:rFonts w:ascii="Cambria Math" w:hAnsi="Cambria Math" w:cs="Arial"/>
                    <w:lang w:val="en-US" w:eastAsia="it-IT"/>
                  </w:rPr>
                  <m:t>=</m:t>
                </m:r>
                <m:f>
                  <m:fPr>
                    <m:ctrlPr>
                      <w:rPr>
                        <w:rFonts w:ascii="Cambria Math" w:hAnsi="Cambria Math" w:cs="Arial"/>
                        <w:i/>
                        <w:lang w:val="en-US" w:eastAsia="it-IT"/>
                      </w:rPr>
                    </m:ctrlPr>
                  </m:fPr>
                  <m:num>
                    <m:r>
                      <w:rPr>
                        <w:rFonts w:ascii="Cambria Math" w:hAnsi="Cambria Math" w:cs="Arial"/>
                        <w:lang w:val="en-US" w:eastAsia="it-IT"/>
                      </w:rPr>
                      <m:t>TP</m:t>
                    </m:r>
                    <m:sSubSup>
                      <m:sSubSupPr>
                        <m:ctrlPr>
                          <w:rPr>
                            <w:rFonts w:ascii="Cambria Math" w:hAnsi="Cambria Math" w:cs="Arial"/>
                            <w:i/>
                            <w:lang w:val="en-US" w:eastAsia="it-IT"/>
                          </w:rPr>
                        </m:ctrlPr>
                      </m:sSubSupPr>
                      <m:e>
                        <m:r>
                          <w:rPr>
                            <w:rFonts w:ascii="Cambria Math" w:hAnsi="Cambria Math" w:cs="Arial"/>
                            <w:lang w:val="en-US" w:eastAsia="it-IT"/>
                          </w:rPr>
                          <m:t>C</m:t>
                        </m:r>
                      </m:e>
                      <m:sub>
                        <m:r>
                          <w:rPr>
                            <w:rFonts w:ascii="Cambria Math" w:hAnsi="Cambria Math" w:cs="Arial"/>
                            <w:lang w:val="en-US" w:eastAsia="it-IT"/>
                          </w:rPr>
                          <m:t>powder</m:t>
                        </m:r>
                      </m:sub>
                      <m:sup>
                        <m:r>
                          <w:rPr>
                            <w:rFonts w:ascii="Cambria Math" w:hAnsi="Cambria Math" w:cs="Arial"/>
                            <w:lang w:val="en-US" w:eastAsia="it-IT"/>
                          </w:rPr>
                          <m:t>afterspray</m:t>
                        </m:r>
                      </m:sup>
                    </m:sSubSup>
                  </m:num>
                  <m:den>
                    <m:r>
                      <w:rPr>
                        <w:rFonts w:ascii="Cambria Math" w:hAnsi="Cambria Math" w:cs="Arial"/>
                        <w:lang w:val="en-US" w:eastAsia="it-IT"/>
                      </w:rPr>
                      <m:t>TP</m:t>
                    </m:r>
                    <m:sSubSup>
                      <m:sSubSupPr>
                        <m:ctrlPr>
                          <w:rPr>
                            <w:rFonts w:ascii="Cambria Math" w:hAnsi="Cambria Math" w:cs="Arial"/>
                            <w:i/>
                            <w:lang w:val="en-US" w:eastAsia="it-IT"/>
                          </w:rPr>
                        </m:ctrlPr>
                      </m:sSubSupPr>
                      <m:e>
                        <m:r>
                          <w:rPr>
                            <w:rFonts w:ascii="Cambria Math" w:hAnsi="Cambria Math" w:cs="Arial"/>
                            <w:lang w:val="en-US" w:eastAsia="it-IT"/>
                          </w:rPr>
                          <m:t>C</m:t>
                        </m:r>
                      </m:e>
                      <m:sub>
                        <m:r>
                          <w:rPr>
                            <w:rFonts w:ascii="Cambria Math" w:hAnsi="Cambria Math" w:cs="Arial"/>
                            <w:lang w:val="en-US" w:eastAsia="it-IT"/>
                          </w:rPr>
                          <m:t>theoretical</m:t>
                        </m:r>
                      </m:sub>
                      <m:sup>
                        <m:r>
                          <w:rPr>
                            <w:rFonts w:ascii="Cambria Math" w:hAnsi="Cambria Math" w:cs="Arial"/>
                            <w:lang w:val="en-US" w:eastAsia="it-IT"/>
                          </w:rPr>
                          <m:t>afterspray</m:t>
                        </m:r>
                      </m:sup>
                    </m:sSubSup>
                  </m:den>
                </m:f>
              </m:oMath>
            </m:oMathPara>
          </w:p>
        </w:tc>
        <w:tc>
          <w:tcPr>
            <w:tcW w:w="803" w:type="dxa"/>
            <w:shd w:val="clear" w:color="auto" w:fill="auto"/>
            <w:vAlign w:val="center"/>
          </w:tcPr>
          <w:p w14:paraId="114585A5" w14:textId="77777777" w:rsidR="0018493F" w:rsidRPr="00B57B36" w:rsidRDefault="0018493F" w:rsidP="00993D4C">
            <w:pPr>
              <w:pStyle w:val="CETEquation"/>
              <w:jc w:val="right"/>
            </w:pPr>
            <w:r w:rsidRPr="00B57B36">
              <w:t>(1)</w:t>
            </w:r>
          </w:p>
        </w:tc>
      </w:tr>
      <w:tr w:rsidR="007A34A5" w:rsidRPr="00B57B36" w14:paraId="229F820A" w14:textId="77777777" w:rsidTr="007A34A5">
        <w:tc>
          <w:tcPr>
            <w:tcW w:w="7984" w:type="dxa"/>
            <w:shd w:val="clear" w:color="auto" w:fill="auto"/>
            <w:vAlign w:val="center"/>
          </w:tcPr>
          <w:p w14:paraId="0FA6C2D0" w14:textId="52D67584" w:rsidR="007A34A5" w:rsidRPr="007A34A5" w:rsidRDefault="007A34A5" w:rsidP="00993D4C">
            <w:pPr>
              <w:spacing w:before="100" w:beforeAutospacing="1" w:after="100" w:afterAutospacing="1" w:line="360" w:lineRule="auto"/>
              <w:rPr>
                <w:rFonts w:ascii="Cambria Math" w:hAnsi="Cambria Math" w:cs="Arial"/>
                <w:lang w:val="en-US" w:eastAsia="it-IT"/>
                <w:oMath/>
              </w:rPr>
            </w:pPr>
            <m:oMathPara>
              <m:oMathParaPr>
                <m:jc m:val="left"/>
              </m:oMathParaPr>
              <m:oMath>
                <m:r>
                  <w:rPr>
                    <w:rFonts w:ascii="Cambria Math" w:hAnsi="Cambria Math" w:cs="Arial"/>
                    <w:lang w:val="en-US" w:eastAsia="it-IT"/>
                  </w:rPr>
                  <m:t>TA</m:t>
                </m:r>
                <m:sSub>
                  <m:sSubPr>
                    <m:ctrlPr>
                      <w:rPr>
                        <w:rFonts w:ascii="Cambria Math" w:hAnsi="Cambria Math" w:cs="Arial"/>
                        <w:i/>
                        <w:lang w:val="en-US" w:eastAsia="it-IT"/>
                      </w:rPr>
                    </m:ctrlPr>
                  </m:sSubPr>
                  <m:e>
                    <m:r>
                      <w:rPr>
                        <w:rFonts w:ascii="Cambria Math" w:hAnsi="Cambria Math" w:cs="Arial"/>
                        <w:lang w:val="en-US" w:eastAsia="it-IT"/>
                      </w:rPr>
                      <m:t>C</m:t>
                    </m:r>
                  </m:e>
                  <m:sub>
                    <m:r>
                      <w:rPr>
                        <w:rFonts w:ascii="Cambria Math" w:hAnsi="Cambria Math" w:cs="Arial"/>
                        <w:lang w:val="en-US" w:eastAsia="it-IT"/>
                      </w:rPr>
                      <m:t>recovery</m:t>
                    </m:r>
                  </m:sub>
                </m:sSub>
                <m:r>
                  <w:rPr>
                    <w:rFonts w:ascii="Cambria Math" w:hAnsi="Cambria Math" w:cs="Arial"/>
                    <w:lang w:val="en-US" w:eastAsia="it-IT"/>
                  </w:rPr>
                  <m:t>=</m:t>
                </m:r>
                <m:f>
                  <m:fPr>
                    <m:ctrlPr>
                      <w:rPr>
                        <w:rFonts w:ascii="Cambria Math" w:hAnsi="Cambria Math" w:cs="Arial"/>
                        <w:i/>
                        <w:lang w:val="en-US" w:eastAsia="it-IT"/>
                      </w:rPr>
                    </m:ctrlPr>
                  </m:fPr>
                  <m:num>
                    <m:r>
                      <w:rPr>
                        <w:rFonts w:ascii="Cambria Math" w:hAnsi="Cambria Math" w:cs="Arial"/>
                        <w:lang w:val="en-US" w:eastAsia="it-IT"/>
                      </w:rPr>
                      <m:t>TA</m:t>
                    </m:r>
                    <m:sSubSup>
                      <m:sSubSupPr>
                        <m:ctrlPr>
                          <w:rPr>
                            <w:rFonts w:ascii="Cambria Math" w:hAnsi="Cambria Math" w:cs="Arial"/>
                            <w:i/>
                            <w:lang w:val="en-US" w:eastAsia="it-IT"/>
                          </w:rPr>
                        </m:ctrlPr>
                      </m:sSubSupPr>
                      <m:e>
                        <m:r>
                          <w:rPr>
                            <w:rFonts w:ascii="Cambria Math" w:hAnsi="Cambria Math" w:cs="Arial"/>
                            <w:lang w:val="en-US" w:eastAsia="it-IT"/>
                          </w:rPr>
                          <m:t>C</m:t>
                        </m:r>
                      </m:e>
                      <m:sub>
                        <m:r>
                          <w:rPr>
                            <w:rFonts w:ascii="Cambria Math" w:hAnsi="Cambria Math" w:cs="Arial"/>
                            <w:lang w:val="en-US" w:eastAsia="it-IT"/>
                          </w:rPr>
                          <m:t>powder</m:t>
                        </m:r>
                      </m:sub>
                      <m:sup>
                        <m:r>
                          <w:rPr>
                            <w:rFonts w:ascii="Cambria Math" w:hAnsi="Cambria Math" w:cs="Arial"/>
                            <w:lang w:val="en-US" w:eastAsia="it-IT"/>
                          </w:rPr>
                          <m:t>afterspray</m:t>
                        </m:r>
                      </m:sup>
                    </m:sSubSup>
                  </m:num>
                  <m:den>
                    <m:r>
                      <w:rPr>
                        <w:rFonts w:ascii="Cambria Math" w:hAnsi="Cambria Math" w:cs="Arial"/>
                        <w:lang w:val="en-US" w:eastAsia="it-IT"/>
                      </w:rPr>
                      <m:t>TA</m:t>
                    </m:r>
                    <m:sSubSup>
                      <m:sSubSupPr>
                        <m:ctrlPr>
                          <w:rPr>
                            <w:rFonts w:ascii="Cambria Math" w:hAnsi="Cambria Math" w:cs="Arial"/>
                            <w:i/>
                            <w:lang w:val="en-US" w:eastAsia="it-IT"/>
                          </w:rPr>
                        </m:ctrlPr>
                      </m:sSubSupPr>
                      <m:e>
                        <m:r>
                          <w:rPr>
                            <w:rFonts w:ascii="Cambria Math" w:hAnsi="Cambria Math" w:cs="Arial"/>
                            <w:lang w:val="en-US" w:eastAsia="it-IT"/>
                          </w:rPr>
                          <m:t>C</m:t>
                        </m:r>
                      </m:e>
                      <m:sub>
                        <m:r>
                          <w:rPr>
                            <w:rFonts w:ascii="Cambria Math" w:hAnsi="Cambria Math" w:cs="Arial"/>
                            <w:lang w:val="en-US" w:eastAsia="it-IT"/>
                          </w:rPr>
                          <m:t>theoretical</m:t>
                        </m:r>
                      </m:sub>
                      <m:sup>
                        <m:r>
                          <w:rPr>
                            <w:rFonts w:ascii="Cambria Math" w:hAnsi="Cambria Math" w:cs="Arial"/>
                            <w:lang w:val="en-US" w:eastAsia="it-IT"/>
                          </w:rPr>
                          <m:t>afterspray</m:t>
                        </m:r>
                      </m:sup>
                    </m:sSubSup>
                  </m:den>
                </m:f>
              </m:oMath>
            </m:oMathPara>
          </w:p>
        </w:tc>
        <w:tc>
          <w:tcPr>
            <w:tcW w:w="803" w:type="dxa"/>
            <w:shd w:val="clear" w:color="auto" w:fill="auto"/>
            <w:vAlign w:val="center"/>
          </w:tcPr>
          <w:p w14:paraId="0B8C5B84" w14:textId="42F16160" w:rsidR="007A34A5" w:rsidRPr="00B57B36" w:rsidRDefault="007A34A5" w:rsidP="00993D4C">
            <w:pPr>
              <w:pStyle w:val="CETEquation"/>
              <w:jc w:val="right"/>
            </w:pPr>
            <w:r w:rsidRPr="00B57B36">
              <w:t>(</w:t>
            </w:r>
            <w:r>
              <w:t>2</w:t>
            </w:r>
            <w:r w:rsidRPr="00B57B36">
              <w:t>)</w:t>
            </w:r>
          </w:p>
        </w:tc>
      </w:tr>
    </w:tbl>
    <w:p w14:paraId="7DF4EA53" w14:textId="2771AFA2" w:rsidR="00AE093A" w:rsidRPr="00AE093A" w:rsidRDefault="00AE093A" w:rsidP="00AE093A">
      <w:pPr>
        <w:pStyle w:val="CETBodytext"/>
      </w:pPr>
      <w:r w:rsidRPr="00AE093A">
        <w:lastRenderedPageBreak/>
        <w:t xml:space="preserve">where </w:t>
      </w:r>
      <m:oMath>
        <m:r>
          <w:rPr>
            <w:rFonts w:ascii="Cambria Math" w:hAnsi="Cambria Math"/>
          </w:rPr>
          <m:t>TP</m:t>
        </m:r>
        <m:sSubSup>
          <m:sSubSupPr>
            <m:ctrlPr>
              <w:rPr>
                <w:rFonts w:ascii="Cambria Math" w:hAnsi="Cambria Math"/>
                <w:i/>
              </w:rPr>
            </m:ctrlPr>
          </m:sSubSupPr>
          <m:e>
            <m:r>
              <w:rPr>
                <w:rFonts w:ascii="Cambria Math" w:hAnsi="Cambria Math"/>
              </w:rPr>
              <m:t>C</m:t>
            </m:r>
          </m:e>
          <m:sub>
            <m:r>
              <w:rPr>
                <w:rFonts w:ascii="Cambria Math" w:hAnsi="Cambria Math"/>
              </w:rPr>
              <m:t>powder</m:t>
            </m:r>
          </m:sub>
          <m:sup>
            <m:r>
              <w:rPr>
                <w:rFonts w:ascii="Cambria Math" w:hAnsi="Cambria Math"/>
              </w:rPr>
              <m:t>afterspray</m:t>
            </m:r>
          </m:sup>
        </m:sSubSup>
      </m:oMath>
      <w:r w:rsidRPr="00AE093A">
        <w:t xml:space="preserve">  and </w:t>
      </w:r>
      <m:oMath>
        <m:r>
          <w:rPr>
            <w:rFonts w:ascii="Cambria Math" w:hAnsi="Cambria Math"/>
          </w:rPr>
          <m:t>TA</m:t>
        </m:r>
        <m:sSubSup>
          <m:sSubSupPr>
            <m:ctrlPr>
              <w:rPr>
                <w:rFonts w:ascii="Cambria Math" w:hAnsi="Cambria Math"/>
                <w:i/>
              </w:rPr>
            </m:ctrlPr>
          </m:sSubSupPr>
          <m:e>
            <m:r>
              <w:rPr>
                <w:rFonts w:ascii="Cambria Math" w:hAnsi="Cambria Math"/>
              </w:rPr>
              <m:t>C</m:t>
            </m:r>
          </m:e>
          <m:sub>
            <m:r>
              <w:rPr>
                <w:rFonts w:ascii="Cambria Math" w:hAnsi="Cambria Math"/>
              </w:rPr>
              <m:t>powder</m:t>
            </m:r>
          </m:sub>
          <m:sup>
            <m:r>
              <w:rPr>
                <w:rFonts w:ascii="Cambria Math" w:hAnsi="Cambria Math"/>
              </w:rPr>
              <m:t>afterspray</m:t>
            </m:r>
          </m:sup>
        </m:sSubSup>
      </m:oMath>
      <w:r w:rsidRPr="00AE093A">
        <w:t xml:space="preserve">are the amount of phenolic compounds  and anthocyanins detected in the collected powder, while </w:t>
      </w:r>
      <m:oMath>
        <m:r>
          <w:rPr>
            <w:rFonts w:ascii="Cambria Math" w:hAnsi="Cambria Math"/>
          </w:rPr>
          <m:t>TP</m:t>
        </m:r>
        <m:sSubSup>
          <m:sSubSupPr>
            <m:ctrlPr>
              <w:rPr>
                <w:rFonts w:ascii="Cambria Math" w:hAnsi="Cambria Math"/>
                <w:i/>
              </w:rPr>
            </m:ctrlPr>
          </m:sSubSupPr>
          <m:e>
            <m:r>
              <w:rPr>
                <w:rFonts w:ascii="Cambria Math" w:hAnsi="Cambria Math"/>
              </w:rPr>
              <m:t>C</m:t>
            </m:r>
          </m:e>
          <m:sub>
            <m:r>
              <w:rPr>
                <w:rFonts w:ascii="Cambria Math" w:hAnsi="Cambria Math"/>
              </w:rPr>
              <m:t>theoretical</m:t>
            </m:r>
          </m:sub>
          <m:sup>
            <m:r>
              <w:rPr>
                <w:rFonts w:ascii="Cambria Math" w:hAnsi="Cambria Math"/>
              </w:rPr>
              <m:t>afterspray</m:t>
            </m:r>
          </m:sup>
        </m:sSubSup>
      </m:oMath>
      <w:r w:rsidRPr="00AE093A">
        <w:t xml:space="preserve"> and </w:t>
      </w:r>
      <m:oMath>
        <m:r>
          <w:rPr>
            <w:rFonts w:ascii="Cambria Math" w:hAnsi="Cambria Math"/>
          </w:rPr>
          <m:t>TA</m:t>
        </m:r>
        <m:sSubSup>
          <m:sSubSupPr>
            <m:ctrlPr>
              <w:rPr>
                <w:rFonts w:ascii="Cambria Math" w:hAnsi="Cambria Math"/>
                <w:i/>
              </w:rPr>
            </m:ctrlPr>
          </m:sSubSupPr>
          <m:e>
            <m:r>
              <w:rPr>
                <w:rFonts w:ascii="Cambria Math" w:hAnsi="Cambria Math"/>
              </w:rPr>
              <m:t>C</m:t>
            </m:r>
          </m:e>
          <m:sub>
            <m:r>
              <w:rPr>
                <w:rFonts w:ascii="Cambria Math" w:hAnsi="Cambria Math"/>
              </w:rPr>
              <m:t>theoretical</m:t>
            </m:r>
          </m:sub>
          <m:sup>
            <m:r>
              <w:rPr>
                <w:rFonts w:ascii="Cambria Math" w:hAnsi="Cambria Math"/>
              </w:rPr>
              <m:t>afterspray</m:t>
            </m:r>
          </m:sup>
        </m:sSubSup>
      </m:oMath>
      <w:r w:rsidRPr="00AE093A">
        <w:t xml:space="preserve"> are the theoretical amount of polyphenols anthocyanins that could be found in the powder in the event that degradation effects due to high process temperatures were not present. It is important to point out that the theoretical TPC and TAC were evaluated considering the mass recovery yield of the spray dryer. Indeed, during the spray drying process, part of the content of the extract is lost, so this effect must be taken into account to properly evaluate the correct amount of polyphenols and anthocyanins that are expected to be found after spray drying.</w:t>
      </w:r>
    </w:p>
    <w:p w14:paraId="4E068401" w14:textId="2D663485" w:rsidR="00591D01" w:rsidRPr="00571877" w:rsidRDefault="004055D6" w:rsidP="00CB4BCF">
      <w:pPr>
        <w:pStyle w:val="CETheadingx"/>
        <w:rPr>
          <w:b/>
          <w:bCs w:val="0"/>
        </w:rPr>
      </w:pPr>
      <w:r>
        <w:rPr>
          <w:b/>
          <w:bCs w:val="0"/>
        </w:rPr>
        <w:t xml:space="preserve">2.3 </w:t>
      </w:r>
      <w:r w:rsidR="001771F3" w:rsidRPr="00571877">
        <w:rPr>
          <w:b/>
          <w:bCs w:val="0"/>
        </w:rPr>
        <w:t>Statistical Analysis</w:t>
      </w:r>
    </w:p>
    <w:p w14:paraId="08D71567" w14:textId="450C4959" w:rsidR="003F624D" w:rsidRDefault="003F624D" w:rsidP="00591D01">
      <w:pPr>
        <w:pStyle w:val="CETBodytext"/>
      </w:pPr>
      <w:r w:rsidRPr="00583CE2">
        <w:t xml:space="preserve">The statistical analysis was carried out using IBM SPSS Statistics </w:t>
      </w:r>
      <w:r>
        <w:t>29</w:t>
      </w:r>
      <w:r w:rsidRPr="00583CE2">
        <w:t xml:space="preserve"> software (SPSS Inc, Chicago, USA</w:t>
      </w:r>
      <w:r w:rsidR="009C784A">
        <w:t>)</w:t>
      </w:r>
      <w:r w:rsidR="007B1602">
        <w:t xml:space="preserve"> </w:t>
      </w:r>
      <w:r w:rsidR="00662C90">
        <w:t>to</w:t>
      </w:r>
      <w:r w:rsidR="007B1602">
        <w:t xml:space="preserve"> perform </w:t>
      </w:r>
      <w:r w:rsidR="007B1602" w:rsidRPr="00583CE2">
        <w:t>ANOVA test to assess the impact of specific process variables on the measured parameters</w:t>
      </w:r>
      <w:r w:rsidR="003E2B37">
        <w:t xml:space="preserve">. In case of </w:t>
      </w:r>
      <w:r w:rsidR="003E2B37" w:rsidRPr="00583CE2">
        <w:t xml:space="preserve">significant effect was found </w:t>
      </w:r>
      <w:r w:rsidR="000F6BB1">
        <w:t>(</w:t>
      </w:r>
      <w:r w:rsidR="003E2B37" w:rsidRPr="00583CE2">
        <w:t>99% confidence level</w:t>
      </w:r>
      <w:r w:rsidR="000F6BB1">
        <w:t>)</w:t>
      </w:r>
      <w:r w:rsidR="003E2B37" w:rsidRPr="00583CE2">
        <w:t>, variance homogeneity was verified, and Tukey's post-hoc test was used for mean discrimination (p ≤ 0.01),</w:t>
      </w:r>
      <w:r w:rsidR="00662C90">
        <w:t xml:space="preserve"> </w:t>
      </w:r>
      <w:r w:rsidR="00662C90" w:rsidRPr="00583CE2">
        <w:t>All experiments and analyses were conducted three times, with the results presented as mean ± standard deviation.</w:t>
      </w:r>
    </w:p>
    <w:p w14:paraId="18BAFA6F" w14:textId="16024AF3" w:rsidR="00453E24" w:rsidRPr="00571877" w:rsidRDefault="004055D6" w:rsidP="00CB4BCF">
      <w:pPr>
        <w:pStyle w:val="CETheadingx"/>
        <w:rPr>
          <w:b/>
          <w:bCs w:val="0"/>
        </w:rPr>
      </w:pPr>
      <w:r>
        <w:rPr>
          <w:b/>
          <w:bCs w:val="0"/>
        </w:rPr>
        <w:t xml:space="preserve">2.4 </w:t>
      </w:r>
      <w:r w:rsidR="00540356" w:rsidRPr="00571877">
        <w:rPr>
          <w:b/>
          <w:bCs w:val="0"/>
        </w:rPr>
        <w:t>Mathematical</w:t>
      </w:r>
      <w:r w:rsidR="00AA6E8B" w:rsidRPr="00571877">
        <w:rPr>
          <w:b/>
          <w:bCs w:val="0"/>
        </w:rPr>
        <w:t xml:space="preserve"> model</w:t>
      </w:r>
      <w:r w:rsidR="00540356" w:rsidRPr="00571877">
        <w:rPr>
          <w:b/>
          <w:bCs w:val="0"/>
        </w:rPr>
        <w:t xml:space="preserve"> of Spray Dryer</w:t>
      </w:r>
    </w:p>
    <w:p w14:paraId="1CABF539" w14:textId="0ADAC12F" w:rsidR="00453E24" w:rsidRDefault="009B2CDB" w:rsidP="000276E2">
      <w:pPr>
        <w:pStyle w:val="CETBodytext"/>
      </w:pPr>
      <w:r w:rsidRPr="009B2CDB">
        <w:t>In parallel</w:t>
      </w:r>
      <w:r w:rsidR="006B31E6">
        <w:t xml:space="preserve"> </w:t>
      </w:r>
      <w:r w:rsidRPr="009B2CDB">
        <w:t>a mathematical model of th</w:t>
      </w:r>
      <w:r>
        <w:t>e</w:t>
      </w:r>
      <w:r w:rsidRPr="009B2CDB">
        <w:t xml:space="preserve"> spray drying process has been developed and further validated, </w:t>
      </w:r>
      <w:r>
        <w:t xml:space="preserve">starting from </w:t>
      </w:r>
      <w:r w:rsidRPr="009B2CDB">
        <w:t xml:space="preserve">the work of </w:t>
      </w:r>
      <w:r w:rsidRPr="00C86643">
        <w:t>Bassani et al.</w:t>
      </w:r>
      <w:r w:rsidR="00C86643">
        <w:t xml:space="preserve"> (2022).</w:t>
      </w:r>
      <w:r w:rsidRPr="00C86643">
        <w:t xml:space="preserve"> Specifically</w:t>
      </w:r>
      <w:r w:rsidRPr="009B2CDB">
        <w:t xml:space="preserve">, from the previous model, the equations related to momentum, mass and energy balances, and absorption isotherms were taken, while equations to predict the degradation of extracts </w:t>
      </w:r>
      <w:r w:rsidR="00E91999">
        <w:t>regarding</w:t>
      </w:r>
      <w:r w:rsidRPr="009B2CDB">
        <w:t xml:space="preserve"> the reduction of polyphenol and total anthocyanin content were improved and introduced</w:t>
      </w:r>
      <w:r w:rsidR="009731F8">
        <w:t xml:space="preserve"> a</w:t>
      </w:r>
      <w:r w:rsidR="00A70F48">
        <w:t>s</w:t>
      </w:r>
      <w:r w:rsidR="009731F8">
        <w:t xml:space="preserve"> novel </w:t>
      </w:r>
      <w:r w:rsidR="00A70F48">
        <w:t>elements</w:t>
      </w:r>
      <w:r w:rsidR="009731F8">
        <w:t xml:space="preserve"> into the model</w:t>
      </w:r>
      <w:r w:rsidRPr="009B2CDB">
        <w:t xml:space="preserve">. </w:t>
      </w:r>
      <w:r w:rsidR="000276E2">
        <w:t>Indeed, as already reported, the development of a validated mathematical model can help in understanding the process and optimizing it, for example, to reduce the degradation of bioactive compounds, which are essential for adding value to the final product obtained.</w:t>
      </w:r>
      <w:r w:rsidR="00A70F48">
        <w:t xml:space="preserve"> </w:t>
      </w:r>
      <w:r w:rsidR="000276E2">
        <w:t>For this reason, t</w:t>
      </w:r>
      <w:r w:rsidRPr="009B2CDB">
        <w:t xml:space="preserve">he following equations were included in </w:t>
      </w:r>
      <w:r w:rsidRPr="006B31E6">
        <w:t>the Bassani et al.</w:t>
      </w:r>
      <w:r w:rsidR="006B31E6">
        <w:t xml:space="preserve"> (2022)</w:t>
      </w:r>
      <w:r w:rsidRPr="006B31E6">
        <w:t xml:space="preserve"> </w:t>
      </w:r>
      <w:r w:rsidRPr="009B2CDB">
        <w:t>model to evaluate the degradation of polyphenols and anthocyanins in terms of concentration (</w:t>
      </w:r>
      <m:oMath>
        <m:sSubSup>
          <m:sSubSupPr>
            <m:ctrlPr>
              <w:rPr>
                <w:rFonts w:ascii="Cambria Math" w:hAnsi="Cambria Math" w:cstheme="minorHAnsi"/>
                <w:i/>
                <w:lang w:eastAsia="it-IT"/>
              </w:rPr>
            </m:ctrlPr>
          </m:sSubSupPr>
          <m:e>
            <m:r>
              <w:rPr>
                <w:rFonts w:ascii="Cambria Math" w:hAnsi="Cambria Math" w:cstheme="minorHAnsi"/>
                <w:lang w:eastAsia="it-IT"/>
              </w:rPr>
              <m:t>C</m:t>
            </m:r>
          </m:e>
          <m:sub>
            <m:r>
              <w:rPr>
                <w:rFonts w:ascii="Cambria Math" w:hAnsi="Cambria Math" w:cstheme="minorHAnsi"/>
                <w:lang w:eastAsia="it-IT"/>
              </w:rPr>
              <m:t>phe</m:t>
            </m:r>
          </m:sub>
          <m:sup>
            <m:r>
              <w:rPr>
                <w:rFonts w:ascii="Cambria Math" w:hAnsi="Cambria Math" w:cstheme="minorHAnsi"/>
                <w:lang w:eastAsia="it-IT"/>
              </w:rPr>
              <m:t>out</m:t>
            </m:r>
          </m:sup>
        </m:sSubSup>
      </m:oMath>
      <w:r w:rsidRPr="009B2CDB">
        <w:t xml:space="preserve"> and </w:t>
      </w:r>
      <m:oMath>
        <m:sSubSup>
          <m:sSubSupPr>
            <m:ctrlPr>
              <w:rPr>
                <w:rFonts w:ascii="Cambria Math" w:hAnsi="Cambria Math" w:cstheme="minorHAnsi"/>
                <w:i/>
                <w:lang w:eastAsia="it-IT"/>
              </w:rPr>
            </m:ctrlPr>
          </m:sSubSupPr>
          <m:e>
            <m:r>
              <w:rPr>
                <w:rFonts w:ascii="Cambria Math" w:hAnsi="Cambria Math" w:cstheme="minorHAnsi"/>
                <w:lang w:eastAsia="it-IT"/>
              </w:rPr>
              <m:t>C</m:t>
            </m:r>
          </m:e>
          <m:sub>
            <m:r>
              <w:rPr>
                <w:rFonts w:ascii="Cambria Math" w:hAnsi="Cambria Math" w:cstheme="minorHAnsi"/>
                <w:lang w:eastAsia="it-IT"/>
              </w:rPr>
              <m:t>ant</m:t>
            </m:r>
          </m:sub>
          <m:sup>
            <m:r>
              <w:rPr>
                <w:rFonts w:ascii="Cambria Math" w:hAnsi="Cambria Math" w:cstheme="minorHAnsi"/>
                <w:lang w:eastAsia="it-IT"/>
              </w:rPr>
              <m:t>out</m:t>
            </m:r>
          </m:sup>
        </m:sSubSup>
      </m:oMath>
      <w:r w:rsidRPr="009B2CDB">
        <w:t>) as a function of the distance</w:t>
      </w:r>
      <w:r w:rsidR="006B31E6">
        <w:t xml:space="preserve"> (</w:t>
      </w:r>
      <w:r w:rsidR="00836B09" w:rsidRPr="00836B09">
        <w:rPr>
          <w:i/>
          <w:iCs/>
        </w:rPr>
        <w:t>h</w:t>
      </w:r>
      <w:r w:rsidR="006B31E6">
        <w:t>)</w:t>
      </w:r>
      <w:r w:rsidRPr="009B2CDB">
        <w:t xml:space="preserve"> from the atomization point:</w:t>
      </w:r>
    </w:p>
    <w:p w14:paraId="5EEF2E22" w14:textId="77777777" w:rsidR="00C74BBC" w:rsidRDefault="00C74BBC" w:rsidP="000276E2">
      <w:pPr>
        <w:pStyle w:val="CETBodytext"/>
      </w:pPr>
    </w:p>
    <w:tbl>
      <w:tblPr>
        <w:tblW w:w="5000" w:type="pct"/>
        <w:tblLook w:val="04A0" w:firstRow="1" w:lastRow="0" w:firstColumn="1" w:lastColumn="0" w:noHBand="0" w:noVBand="1"/>
      </w:tblPr>
      <w:tblGrid>
        <w:gridCol w:w="7986"/>
        <w:gridCol w:w="801"/>
      </w:tblGrid>
      <w:tr w:rsidR="000276E2" w:rsidRPr="00B57B36" w14:paraId="4F0F8FD1" w14:textId="77777777" w:rsidTr="000276E2">
        <w:tc>
          <w:tcPr>
            <w:tcW w:w="7986" w:type="dxa"/>
            <w:shd w:val="clear" w:color="auto" w:fill="auto"/>
            <w:vAlign w:val="center"/>
          </w:tcPr>
          <w:p w14:paraId="2293AE16" w14:textId="2AEE32BE" w:rsidR="000276E2" w:rsidRPr="00C17FD5" w:rsidRDefault="00571877" w:rsidP="00C74BBC">
            <w:pPr>
              <w:spacing w:before="100" w:beforeAutospacing="1" w:after="100" w:afterAutospacing="1" w:line="360" w:lineRule="auto"/>
              <w:rPr>
                <w:rFonts w:cs="Arial"/>
              </w:rPr>
            </w:pPr>
            <m:oMathPara>
              <m:oMathParaPr>
                <m:jc m:val="left"/>
              </m:oMathParaPr>
              <m:oMath>
                <m:f>
                  <m:fPr>
                    <m:ctrlPr>
                      <w:rPr>
                        <w:rFonts w:ascii="Cambria Math" w:hAnsi="Cambria Math" w:cs="Arial"/>
                        <w:i/>
                        <w:lang w:eastAsia="it-IT"/>
                      </w:rPr>
                    </m:ctrlPr>
                  </m:fPr>
                  <m:num>
                    <m:r>
                      <w:rPr>
                        <w:rFonts w:ascii="Cambria Math" w:hAnsi="Cambria Math" w:cs="Arial"/>
                        <w:lang w:eastAsia="it-IT"/>
                      </w:rPr>
                      <m:t>d</m:t>
                    </m:r>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phe</m:t>
                        </m:r>
                      </m:sub>
                      <m:sup>
                        <m:r>
                          <w:rPr>
                            <w:rFonts w:ascii="Cambria Math" w:hAnsi="Cambria Math" w:cs="Arial"/>
                            <w:lang w:eastAsia="it-IT"/>
                          </w:rPr>
                          <m:t>out</m:t>
                        </m:r>
                      </m:sup>
                    </m:sSubSup>
                  </m:num>
                  <m:den>
                    <m:r>
                      <w:rPr>
                        <w:rFonts w:ascii="Cambria Math" w:hAnsi="Cambria Math" w:cs="Arial"/>
                        <w:lang w:eastAsia="it-IT"/>
                      </w:rPr>
                      <m:t>dh</m:t>
                    </m:r>
                  </m:den>
                </m:f>
                <m:r>
                  <w:rPr>
                    <w:rFonts w:ascii="Cambria Math" w:hAnsi="Cambria Math" w:cs="Arial"/>
                    <w:lang w:eastAsia="it-IT"/>
                  </w:rPr>
                  <m:t>=</m:t>
                </m:r>
                <m:f>
                  <m:fPr>
                    <m:ctrlPr>
                      <w:rPr>
                        <w:rFonts w:ascii="Cambria Math" w:hAnsi="Cambria Math" w:cs="Arial"/>
                        <w:i/>
                        <w:lang w:eastAsia="it-IT"/>
                      </w:rPr>
                    </m:ctrlPr>
                  </m:fPr>
                  <m:num>
                    <m:sSub>
                      <m:sSubPr>
                        <m:ctrlPr>
                          <w:rPr>
                            <w:rFonts w:ascii="Cambria Math" w:hAnsi="Cambria Math" w:cs="Arial"/>
                            <w:i/>
                            <w:lang w:eastAsia="it-IT"/>
                          </w:rPr>
                        </m:ctrlPr>
                      </m:sSubPr>
                      <m:e>
                        <m:r>
                          <w:rPr>
                            <w:rFonts w:ascii="Cambria Math" w:hAnsi="Cambria Math" w:cs="Arial"/>
                            <w:lang w:eastAsia="it-IT"/>
                          </w:rPr>
                          <m:t>F</m:t>
                        </m:r>
                      </m:e>
                      <m:sub>
                        <m:r>
                          <w:rPr>
                            <w:rFonts w:ascii="Cambria Math" w:hAnsi="Cambria Math" w:cs="Arial"/>
                            <w:lang w:eastAsia="it-IT"/>
                          </w:rPr>
                          <m:t>dry</m:t>
                        </m:r>
                      </m:sub>
                    </m:sSub>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phe</m:t>
                        </m:r>
                      </m:sub>
                      <m:sup>
                        <m:r>
                          <w:rPr>
                            <w:rFonts w:ascii="Cambria Math" w:hAnsi="Cambria Math" w:cs="Arial"/>
                            <w:lang w:eastAsia="it-IT"/>
                          </w:rPr>
                          <m:t>in</m:t>
                        </m:r>
                      </m:sup>
                    </m:sSubSup>
                    <m:r>
                      <w:rPr>
                        <w:rFonts w:ascii="Cambria Math" w:hAnsi="Cambria Math" w:cs="Arial"/>
                        <w:lang w:eastAsia="it-IT"/>
                      </w:rPr>
                      <m:t>-</m:t>
                    </m:r>
                    <m:sSub>
                      <m:sSubPr>
                        <m:ctrlPr>
                          <w:rPr>
                            <w:rFonts w:ascii="Cambria Math" w:hAnsi="Cambria Math" w:cs="Arial"/>
                            <w:i/>
                            <w:lang w:eastAsia="it-IT"/>
                          </w:rPr>
                        </m:ctrlPr>
                      </m:sSubPr>
                      <m:e>
                        <m:r>
                          <w:rPr>
                            <w:rFonts w:ascii="Cambria Math" w:hAnsi="Cambria Math" w:cs="Arial"/>
                            <w:lang w:eastAsia="it-IT"/>
                          </w:rPr>
                          <m:t>F</m:t>
                        </m:r>
                      </m:e>
                      <m:sub>
                        <m:r>
                          <w:rPr>
                            <w:rFonts w:ascii="Cambria Math" w:hAnsi="Cambria Math" w:cs="Arial"/>
                            <w:lang w:eastAsia="it-IT"/>
                          </w:rPr>
                          <m:t>dry</m:t>
                        </m:r>
                      </m:sub>
                    </m:sSub>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phe</m:t>
                        </m:r>
                      </m:sub>
                      <m:sup>
                        <m:r>
                          <w:rPr>
                            <w:rFonts w:ascii="Cambria Math" w:hAnsi="Cambria Math" w:cs="Arial"/>
                            <w:lang w:eastAsia="it-IT"/>
                          </w:rPr>
                          <m:t>out</m:t>
                        </m:r>
                      </m:sup>
                    </m:sSubSup>
                    <m:r>
                      <w:rPr>
                        <w:rFonts w:ascii="Cambria Math" w:hAnsi="Cambria Math" w:cs="Arial"/>
                        <w:lang w:eastAsia="it-IT"/>
                      </w:rPr>
                      <m:t>-</m:t>
                    </m:r>
                    <m:sSub>
                      <m:sSubPr>
                        <m:ctrlPr>
                          <w:rPr>
                            <w:rFonts w:ascii="Cambria Math" w:hAnsi="Cambria Math" w:cs="Arial"/>
                            <w:i/>
                            <w:lang w:eastAsia="it-IT"/>
                          </w:rPr>
                        </m:ctrlPr>
                      </m:sSubPr>
                      <m:e>
                        <m:r>
                          <w:rPr>
                            <w:rFonts w:ascii="Cambria Math" w:hAnsi="Cambria Math" w:cs="Arial"/>
                            <w:lang w:eastAsia="it-IT"/>
                          </w:rPr>
                          <m:t>r</m:t>
                        </m:r>
                      </m:e>
                      <m:sub>
                        <m:r>
                          <w:rPr>
                            <w:rFonts w:ascii="Cambria Math" w:hAnsi="Cambria Math" w:cs="Arial"/>
                            <w:lang w:eastAsia="it-IT"/>
                          </w:rPr>
                          <m:t>phe</m:t>
                        </m:r>
                      </m:sub>
                    </m:sSub>
                  </m:num>
                  <m:den>
                    <m:sSub>
                      <m:sSubPr>
                        <m:ctrlPr>
                          <w:rPr>
                            <w:rFonts w:ascii="Cambria Math" w:hAnsi="Cambria Math" w:cs="Arial"/>
                            <w:i/>
                            <w:lang w:eastAsia="it-IT"/>
                          </w:rPr>
                        </m:ctrlPr>
                      </m:sSubPr>
                      <m:e>
                        <m:r>
                          <w:rPr>
                            <w:rFonts w:ascii="Cambria Math" w:hAnsi="Cambria Math" w:cs="Arial"/>
                            <w:lang w:eastAsia="it-IT"/>
                          </w:rPr>
                          <m:t>v</m:t>
                        </m:r>
                      </m:e>
                      <m:sub>
                        <m:r>
                          <w:rPr>
                            <w:rFonts w:ascii="Cambria Math" w:hAnsi="Cambria Math" w:cs="Arial"/>
                            <w:lang w:eastAsia="it-IT"/>
                          </w:rPr>
                          <m:t>px</m:t>
                        </m:r>
                      </m:sub>
                    </m:sSub>
                    <m:sSub>
                      <m:sSubPr>
                        <m:ctrlPr>
                          <w:rPr>
                            <w:rFonts w:ascii="Cambria Math" w:hAnsi="Cambria Math" w:cs="Arial"/>
                            <w:i/>
                            <w:lang w:eastAsia="it-IT"/>
                          </w:rPr>
                        </m:ctrlPr>
                      </m:sSubPr>
                      <m:e>
                        <m:r>
                          <w:rPr>
                            <w:rFonts w:ascii="Cambria Math" w:hAnsi="Cambria Math" w:cs="Arial"/>
                            <w:lang w:eastAsia="it-IT"/>
                          </w:rPr>
                          <m:t>m</m:t>
                        </m:r>
                      </m:e>
                      <m:sub>
                        <m:r>
                          <w:rPr>
                            <w:rFonts w:ascii="Cambria Math" w:hAnsi="Cambria Math" w:cs="Arial"/>
                            <w:lang w:eastAsia="it-IT"/>
                          </w:rPr>
                          <m:t>dry</m:t>
                        </m:r>
                      </m:sub>
                    </m:sSub>
                  </m:den>
                </m:f>
              </m:oMath>
            </m:oMathPara>
          </w:p>
        </w:tc>
        <w:tc>
          <w:tcPr>
            <w:tcW w:w="801" w:type="dxa"/>
            <w:shd w:val="clear" w:color="auto" w:fill="auto"/>
            <w:vAlign w:val="center"/>
          </w:tcPr>
          <w:p w14:paraId="168A3492" w14:textId="0F7C20FB" w:rsidR="000276E2" w:rsidRPr="00B57B36" w:rsidRDefault="000276E2" w:rsidP="002C4AAF">
            <w:pPr>
              <w:pStyle w:val="CETEquation"/>
              <w:jc w:val="right"/>
            </w:pPr>
            <w:r w:rsidRPr="00B57B36">
              <w:t>(</w:t>
            </w:r>
            <w:r w:rsidR="00C74BBC">
              <w:t>3</w:t>
            </w:r>
            <w:r w:rsidRPr="00B57B36">
              <w:t>)</w:t>
            </w:r>
          </w:p>
        </w:tc>
      </w:tr>
      <w:tr w:rsidR="00C74BBC" w:rsidRPr="00B57B36" w14:paraId="7B95C8B5" w14:textId="77777777" w:rsidTr="00C74BBC">
        <w:tc>
          <w:tcPr>
            <w:tcW w:w="7986" w:type="dxa"/>
            <w:shd w:val="clear" w:color="auto" w:fill="auto"/>
            <w:vAlign w:val="center"/>
          </w:tcPr>
          <w:p w14:paraId="151DA947" w14:textId="5FEB6243" w:rsidR="00C74BBC" w:rsidRPr="00C17FD5" w:rsidRDefault="00571877" w:rsidP="00E973BC">
            <w:pPr>
              <w:spacing w:before="100" w:beforeAutospacing="1" w:after="100" w:afterAutospacing="1" w:line="360" w:lineRule="auto"/>
              <w:rPr>
                <w:rFonts w:ascii="Cambria Math" w:hAnsi="Cambria Math" w:cs="Arial"/>
                <w:lang w:eastAsia="it-IT"/>
                <w:oMath/>
              </w:rPr>
            </w:pPr>
            <m:oMathPara>
              <m:oMathParaPr>
                <m:jc m:val="left"/>
              </m:oMathParaPr>
              <m:oMath>
                <m:f>
                  <m:fPr>
                    <m:ctrlPr>
                      <w:rPr>
                        <w:rFonts w:ascii="Cambria Math" w:hAnsi="Cambria Math" w:cs="Arial"/>
                        <w:i/>
                        <w:lang w:eastAsia="it-IT"/>
                      </w:rPr>
                    </m:ctrlPr>
                  </m:fPr>
                  <m:num>
                    <m:r>
                      <w:rPr>
                        <w:rFonts w:ascii="Cambria Math" w:hAnsi="Cambria Math" w:cs="Arial"/>
                        <w:lang w:eastAsia="it-IT"/>
                      </w:rPr>
                      <m:t>d</m:t>
                    </m:r>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ant</m:t>
                        </m:r>
                      </m:sub>
                      <m:sup>
                        <m:r>
                          <w:rPr>
                            <w:rFonts w:ascii="Cambria Math" w:hAnsi="Cambria Math" w:cs="Arial"/>
                            <w:lang w:eastAsia="it-IT"/>
                          </w:rPr>
                          <m:t>out</m:t>
                        </m:r>
                      </m:sup>
                    </m:sSubSup>
                  </m:num>
                  <m:den>
                    <m:r>
                      <w:rPr>
                        <w:rFonts w:ascii="Cambria Math" w:hAnsi="Cambria Math" w:cs="Arial"/>
                        <w:lang w:eastAsia="it-IT"/>
                      </w:rPr>
                      <m:t>dh</m:t>
                    </m:r>
                  </m:den>
                </m:f>
                <m:r>
                  <w:rPr>
                    <w:rFonts w:ascii="Cambria Math" w:hAnsi="Cambria Math" w:cs="Arial"/>
                    <w:lang w:eastAsia="it-IT"/>
                  </w:rPr>
                  <m:t>=</m:t>
                </m:r>
                <m:f>
                  <m:fPr>
                    <m:ctrlPr>
                      <w:rPr>
                        <w:rFonts w:ascii="Cambria Math" w:hAnsi="Cambria Math" w:cs="Arial"/>
                        <w:i/>
                        <w:lang w:eastAsia="it-IT"/>
                      </w:rPr>
                    </m:ctrlPr>
                  </m:fPr>
                  <m:num>
                    <m:sSub>
                      <m:sSubPr>
                        <m:ctrlPr>
                          <w:rPr>
                            <w:rFonts w:ascii="Cambria Math" w:hAnsi="Cambria Math" w:cs="Arial"/>
                            <w:i/>
                            <w:lang w:eastAsia="it-IT"/>
                          </w:rPr>
                        </m:ctrlPr>
                      </m:sSubPr>
                      <m:e>
                        <m:r>
                          <w:rPr>
                            <w:rFonts w:ascii="Cambria Math" w:hAnsi="Cambria Math" w:cs="Arial"/>
                            <w:lang w:eastAsia="it-IT"/>
                          </w:rPr>
                          <m:t>F</m:t>
                        </m:r>
                      </m:e>
                      <m:sub>
                        <m:r>
                          <w:rPr>
                            <w:rFonts w:ascii="Cambria Math" w:hAnsi="Cambria Math" w:cs="Arial"/>
                            <w:lang w:eastAsia="it-IT"/>
                          </w:rPr>
                          <m:t>dry</m:t>
                        </m:r>
                      </m:sub>
                    </m:sSub>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ant</m:t>
                        </m:r>
                      </m:sub>
                      <m:sup>
                        <m:r>
                          <w:rPr>
                            <w:rFonts w:ascii="Cambria Math" w:hAnsi="Cambria Math" w:cs="Arial"/>
                            <w:lang w:eastAsia="it-IT"/>
                          </w:rPr>
                          <m:t>in</m:t>
                        </m:r>
                      </m:sup>
                    </m:sSubSup>
                    <m:r>
                      <w:rPr>
                        <w:rFonts w:ascii="Cambria Math" w:hAnsi="Cambria Math" w:cs="Arial"/>
                        <w:lang w:eastAsia="it-IT"/>
                      </w:rPr>
                      <m:t>-</m:t>
                    </m:r>
                    <m:sSub>
                      <m:sSubPr>
                        <m:ctrlPr>
                          <w:rPr>
                            <w:rFonts w:ascii="Cambria Math" w:hAnsi="Cambria Math" w:cs="Arial"/>
                            <w:i/>
                            <w:lang w:eastAsia="it-IT"/>
                          </w:rPr>
                        </m:ctrlPr>
                      </m:sSubPr>
                      <m:e>
                        <m:r>
                          <w:rPr>
                            <w:rFonts w:ascii="Cambria Math" w:hAnsi="Cambria Math" w:cs="Arial"/>
                            <w:lang w:eastAsia="it-IT"/>
                          </w:rPr>
                          <m:t>F</m:t>
                        </m:r>
                      </m:e>
                      <m:sub>
                        <m:r>
                          <w:rPr>
                            <w:rFonts w:ascii="Cambria Math" w:hAnsi="Cambria Math" w:cs="Arial"/>
                            <w:lang w:eastAsia="it-IT"/>
                          </w:rPr>
                          <m:t>ant</m:t>
                        </m:r>
                      </m:sub>
                    </m:sSub>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phe</m:t>
                        </m:r>
                      </m:sub>
                      <m:sup>
                        <m:r>
                          <w:rPr>
                            <w:rFonts w:ascii="Cambria Math" w:hAnsi="Cambria Math" w:cs="Arial"/>
                            <w:lang w:eastAsia="it-IT"/>
                          </w:rPr>
                          <m:t>out</m:t>
                        </m:r>
                      </m:sup>
                    </m:sSubSup>
                    <m:r>
                      <w:rPr>
                        <w:rFonts w:ascii="Cambria Math" w:hAnsi="Cambria Math" w:cs="Arial"/>
                        <w:lang w:eastAsia="it-IT"/>
                      </w:rPr>
                      <m:t>-</m:t>
                    </m:r>
                    <m:sSub>
                      <m:sSubPr>
                        <m:ctrlPr>
                          <w:rPr>
                            <w:rFonts w:ascii="Cambria Math" w:hAnsi="Cambria Math" w:cs="Arial"/>
                            <w:i/>
                            <w:lang w:eastAsia="it-IT"/>
                          </w:rPr>
                        </m:ctrlPr>
                      </m:sSubPr>
                      <m:e>
                        <m:r>
                          <w:rPr>
                            <w:rFonts w:ascii="Cambria Math" w:hAnsi="Cambria Math" w:cs="Arial"/>
                            <w:lang w:eastAsia="it-IT"/>
                          </w:rPr>
                          <m:t>r</m:t>
                        </m:r>
                      </m:e>
                      <m:sub>
                        <m:r>
                          <w:rPr>
                            <w:rFonts w:ascii="Cambria Math" w:hAnsi="Cambria Math" w:cs="Arial"/>
                            <w:lang w:eastAsia="it-IT"/>
                          </w:rPr>
                          <m:t>ant</m:t>
                        </m:r>
                      </m:sub>
                    </m:sSub>
                  </m:num>
                  <m:den>
                    <m:sSub>
                      <m:sSubPr>
                        <m:ctrlPr>
                          <w:rPr>
                            <w:rFonts w:ascii="Cambria Math" w:hAnsi="Cambria Math" w:cs="Arial"/>
                            <w:i/>
                            <w:lang w:eastAsia="it-IT"/>
                          </w:rPr>
                        </m:ctrlPr>
                      </m:sSubPr>
                      <m:e>
                        <m:r>
                          <w:rPr>
                            <w:rFonts w:ascii="Cambria Math" w:hAnsi="Cambria Math" w:cs="Arial"/>
                            <w:lang w:eastAsia="it-IT"/>
                          </w:rPr>
                          <m:t>v</m:t>
                        </m:r>
                      </m:e>
                      <m:sub>
                        <m:r>
                          <w:rPr>
                            <w:rFonts w:ascii="Cambria Math" w:hAnsi="Cambria Math" w:cs="Arial"/>
                            <w:lang w:eastAsia="it-IT"/>
                          </w:rPr>
                          <m:t>px</m:t>
                        </m:r>
                      </m:sub>
                    </m:sSub>
                    <m:sSub>
                      <m:sSubPr>
                        <m:ctrlPr>
                          <w:rPr>
                            <w:rFonts w:ascii="Cambria Math" w:hAnsi="Cambria Math" w:cs="Arial"/>
                            <w:i/>
                            <w:lang w:eastAsia="it-IT"/>
                          </w:rPr>
                        </m:ctrlPr>
                      </m:sSubPr>
                      <m:e>
                        <m:r>
                          <w:rPr>
                            <w:rFonts w:ascii="Cambria Math" w:hAnsi="Cambria Math" w:cs="Arial"/>
                            <w:lang w:eastAsia="it-IT"/>
                          </w:rPr>
                          <m:t>m</m:t>
                        </m:r>
                      </m:e>
                      <m:sub>
                        <m:r>
                          <w:rPr>
                            <w:rFonts w:ascii="Cambria Math" w:hAnsi="Cambria Math" w:cs="Arial"/>
                            <w:lang w:eastAsia="it-IT"/>
                          </w:rPr>
                          <m:t>dry</m:t>
                        </m:r>
                      </m:sub>
                    </m:sSub>
                  </m:den>
                </m:f>
              </m:oMath>
            </m:oMathPara>
          </w:p>
        </w:tc>
        <w:tc>
          <w:tcPr>
            <w:tcW w:w="801" w:type="dxa"/>
            <w:shd w:val="clear" w:color="auto" w:fill="auto"/>
            <w:vAlign w:val="center"/>
          </w:tcPr>
          <w:p w14:paraId="2DF3C33D" w14:textId="1EB04899" w:rsidR="00C74BBC" w:rsidRPr="00B57B36" w:rsidRDefault="00C74BBC" w:rsidP="00993D4C">
            <w:pPr>
              <w:pStyle w:val="CETEquation"/>
              <w:jc w:val="right"/>
            </w:pPr>
            <w:r w:rsidRPr="00B57B36">
              <w:t>(</w:t>
            </w:r>
            <w:r>
              <w:t>4</w:t>
            </w:r>
            <w:r w:rsidRPr="00B57B36">
              <w:t>)</w:t>
            </w:r>
          </w:p>
        </w:tc>
      </w:tr>
    </w:tbl>
    <w:p w14:paraId="3CEF269E" w14:textId="1D3F4DE7" w:rsidR="00946546" w:rsidRDefault="007B7D11" w:rsidP="00946546">
      <w:pPr>
        <w:pStyle w:val="CETBodytext"/>
      </w:pPr>
      <w:r w:rsidRPr="007B7D11">
        <w:t>Where </w:t>
      </w:r>
      <m:oMath>
        <m:sSub>
          <m:sSubPr>
            <m:ctrlPr>
              <w:rPr>
                <w:rFonts w:ascii="Cambria Math" w:hAnsi="Cambria Math" w:cstheme="minorHAnsi"/>
                <w:i/>
                <w:lang w:eastAsia="it-IT"/>
              </w:rPr>
            </m:ctrlPr>
          </m:sSubPr>
          <m:e>
            <m:r>
              <w:rPr>
                <w:rFonts w:ascii="Cambria Math" w:hAnsi="Cambria Math" w:cstheme="minorHAnsi"/>
                <w:lang w:eastAsia="it-IT"/>
              </w:rPr>
              <m:t>F</m:t>
            </m:r>
          </m:e>
          <m:sub>
            <m:r>
              <w:rPr>
                <w:rFonts w:ascii="Cambria Math" w:hAnsi="Cambria Math" w:cstheme="minorHAnsi"/>
                <w:lang w:eastAsia="it-IT"/>
              </w:rPr>
              <m:t>dry</m:t>
            </m:r>
          </m:sub>
        </m:sSub>
      </m:oMath>
      <w:r w:rsidRPr="007B7D11">
        <w:t>​ is the mass flow rate of the dried powders, </w:t>
      </w:r>
      <m:oMath>
        <m:sSub>
          <m:sSubPr>
            <m:ctrlPr>
              <w:rPr>
                <w:rFonts w:ascii="Cambria Math" w:hAnsi="Cambria Math" w:cstheme="minorHAnsi"/>
                <w:i/>
                <w:lang w:eastAsia="it-IT"/>
              </w:rPr>
            </m:ctrlPr>
          </m:sSubPr>
          <m:e>
            <m:r>
              <w:rPr>
                <w:rFonts w:ascii="Cambria Math" w:hAnsi="Cambria Math" w:cstheme="minorHAnsi"/>
                <w:lang w:eastAsia="it-IT"/>
              </w:rPr>
              <m:t>m</m:t>
            </m:r>
          </m:e>
          <m:sub>
            <m:r>
              <w:rPr>
                <w:rFonts w:ascii="Cambria Math" w:hAnsi="Cambria Math" w:cstheme="minorHAnsi"/>
                <w:lang w:eastAsia="it-IT"/>
              </w:rPr>
              <m:t>dry</m:t>
            </m:r>
          </m:sub>
        </m:sSub>
      </m:oMath>
      <w:r w:rsidRPr="007B7D11">
        <w:t>​ is the total dry mass of the particles, while </w:t>
      </w:r>
      <m:oMath>
        <m:sSub>
          <m:sSubPr>
            <m:ctrlPr>
              <w:rPr>
                <w:rFonts w:ascii="Cambria Math" w:hAnsi="Cambria Math" w:cstheme="minorHAnsi"/>
                <w:i/>
                <w:lang w:eastAsia="it-IT"/>
              </w:rPr>
            </m:ctrlPr>
          </m:sSubPr>
          <m:e>
            <m:r>
              <w:rPr>
                <w:rFonts w:ascii="Cambria Math" w:hAnsi="Cambria Math" w:cstheme="minorHAnsi"/>
                <w:lang w:eastAsia="it-IT"/>
              </w:rPr>
              <m:t>r</m:t>
            </m:r>
          </m:e>
          <m:sub>
            <m:r>
              <w:rPr>
                <w:rFonts w:ascii="Cambria Math" w:hAnsi="Cambria Math" w:cstheme="minorHAnsi"/>
                <w:lang w:eastAsia="it-IT"/>
              </w:rPr>
              <m:t>phe</m:t>
            </m:r>
          </m:sub>
        </m:sSub>
      </m:oMath>
      <w:r w:rsidRPr="007B7D11">
        <w:t>​and </w:t>
      </w:r>
      <m:oMath>
        <m:sSub>
          <m:sSubPr>
            <m:ctrlPr>
              <w:rPr>
                <w:rFonts w:ascii="Cambria Math" w:hAnsi="Cambria Math" w:cstheme="minorHAnsi"/>
                <w:i/>
                <w:lang w:eastAsia="it-IT"/>
              </w:rPr>
            </m:ctrlPr>
          </m:sSubPr>
          <m:e>
            <m:r>
              <w:rPr>
                <w:rFonts w:ascii="Cambria Math" w:hAnsi="Cambria Math" w:cstheme="minorHAnsi"/>
                <w:lang w:eastAsia="it-IT"/>
              </w:rPr>
              <m:t>r</m:t>
            </m:r>
          </m:e>
          <m:sub>
            <m:r>
              <w:rPr>
                <w:rFonts w:ascii="Cambria Math" w:hAnsi="Cambria Math" w:cstheme="minorHAnsi"/>
                <w:lang w:eastAsia="it-IT"/>
              </w:rPr>
              <m:t>ant</m:t>
            </m:r>
          </m:sub>
        </m:sSub>
      </m:oMath>
      <w:r w:rsidRPr="007B7D11">
        <w:t>​ refer to the kinetic degradation laws of polyphenols (</w:t>
      </w:r>
      <w:r w:rsidR="002905CD">
        <w:t xml:space="preserve">expressed as </w:t>
      </w:r>
      <w:r w:rsidRPr="007B7D11">
        <w:t>mg</w:t>
      </w:r>
      <w:r w:rsidR="002905CD">
        <w:t xml:space="preserve"> of GAE per second, mg/s</w:t>
      </w:r>
      <w:r w:rsidRPr="007B7D11">
        <w:t>) and anthocyanins, assumed to be first-order for this initial study, and specifically:</w:t>
      </w:r>
    </w:p>
    <w:p w14:paraId="16691B33" w14:textId="77777777" w:rsidR="003B1E4F" w:rsidRDefault="003B1E4F" w:rsidP="00946546">
      <w:pPr>
        <w:pStyle w:val="CETBodytext"/>
      </w:pPr>
    </w:p>
    <w:tbl>
      <w:tblPr>
        <w:tblW w:w="5000" w:type="pct"/>
        <w:tblLook w:val="04A0" w:firstRow="1" w:lastRow="0" w:firstColumn="1" w:lastColumn="0" w:noHBand="0" w:noVBand="1"/>
      </w:tblPr>
      <w:tblGrid>
        <w:gridCol w:w="7986"/>
        <w:gridCol w:w="801"/>
      </w:tblGrid>
      <w:tr w:rsidR="003B1E4F" w:rsidRPr="00B57B36" w14:paraId="1532AA48" w14:textId="77777777" w:rsidTr="00993D4C">
        <w:tc>
          <w:tcPr>
            <w:tcW w:w="7986" w:type="dxa"/>
            <w:shd w:val="clear" w:color="auto" w:fill="auto"/>
            <w:vAlign w:val="center"/>
          </w:tcPr>
          <w:p w14:paraId="097DBB2B" w14:textId="3A5FDE40" w:rsidR="003B1E4F" w:rsidRPr="00C17FD5" w:rsidRDefault="00571877" w:rsidP="008E2308">
            <w:pPr>
              <w:spacing w:before="100" w:beforeAutospacing="1" w:after="100" w:afterAutospacing="1" w:line="360" w:lineRule="auto"/>
              <w:rPr>
                <w:rFonts w:cs="Arial"/>
              </w:rPr>
            </w:pPr>
            <m:oMathPara>
              <m:oMathParaPr>
                <m:jc m:val="left"/>
              </m:oMathParaPr>
              <m:oMath>
                <m:sSub>
                  <m:sSubPr>
                    <m:ctrlPr>
                      <w:rPr>
                        <w:rFonts w:ascii="Cambria Math" w:hAnsi="Cambria Math" w:cs="Arial"/>
                        <w:i/>
                        <w:lang w:eastAsia="it-IT"/>
                      </w:rPr>
                    </m:ctrlPr>
                  </m:sSubPr>
                  <m:e>
                    <m:r>
                      <w:rPr>
                        <w:rFonts w:ascii="Cambria Math" w:hAnsi="Cambria Math" w:cs="Arial"/>
                        <w:lang w:eastAsia="it-IT"/>
                      </w:rPr>
                      <m:t>r</m:t>
                    </m:r>
                  </m:e>
                  <m:sub>
                    <m:r>
                      <w:rPr>
                        <w:rFonts w:ascii="Cambria Math" w:hAnsi="Cambria Math" w:cs="Arial"/>
                        <w:lang w:eastAsia="it-IT"/>
                      </w:rPr>
                      <m:t>phe</m:t>
                    </m:r>
                  </m:sub>
                </m:sSub>
                <m:r>
                  <w:rPr>
                    <w:rFonts w:ascii="Cambria Math" w:hAnsi="Cambria Math" w:cs="Arial"/>
                    <w:lang w:eastAsia="it-IT"/>
                  </w:rPr>
                  <m:t>=</m:t>
                </m:r>
                <m:sSubSup>
                  <m:sSubSupPr>
                    <m:ctrlPr>
                      <w:rPr>
                        <w:rFonts w:ascii="Cambria Math" w:hAnsi="Cambria Math" w:cs="Arial"/>
                        <w:i/>
                        <w:lang w:eastAsia="it-IT"/>
                      </w:rPr>
                    </m:ctrlPr>
                  </m:sSubSupPr>
                  <m:e>
                    <m:r>
                      <w:rPr>
                        <w:rFonts w:ascii="Cambria Math" w:hAnsi="Cambria Math" w:cs="Arial"/>
                        <w:lang w:eastAsia="it-IT"/>
                      </w:rPr>
                      <m:t>A</m:t>
                    </m:r>
                  </m:e>
                  <m:sub>
                    <m:r>
                      <w:rPr>
                        <w:rFonts w:ascii="Cambria Math" w:hAnsi="Cambria Math" w:cs="Arial"/>
                        <w:lang w:eastAsia="it-IT"/>
                      </w:rPr>
                      <m:t>0</m:t>
                    </m:r>
                  </m:sub>
                  <m:sup>
                    <m:r>
                      <w:rPr>
                        <w:rFonts w:ascii="Cambria Math" w:hAnsi="Cambria Math" w:cs="Arial"/>
                        <w:lang w:eastAsia="it-IT"/>
                      </w:rPr>
                      <m:t>phe</m:t>
                    </m:r>
                  </m:sup>
                </m:sSubSup>
                <m:sSup>
                  <m:sSupPr>
                    <m:ctrlPr>
                      <w:rPr>
                        <w:rFonts w:ascii="Cambria Math" w:hAnsi="Cambria Math" w:cs="Arial"/>
                        <w:i/>
                        <w:lang w:eastAsia="it-IT"/>
                      </w:rPr>
                    </m:ctrlPr>
                  </m:sSupPr>
                  <m:e>
                    <m:r>
                      <w:rPr>
                        <w:rFonts w:ascii="Cambria Math" w:hAnsi="Cambria Math" w:cs="Arial"/>
                        <w:lang w:eastAsia="it-IT"/>
                      </w:rPr>
                      <m:t>e</m:t>
                    </m:r>
                  </m:e>
                  <m:sup>
                    <m:f>
                      <m:fPr>
                        <m:ctrlPr>
                          <w:rPr>
                            <w:rFonts w:ascii="Cambria Math" w:hAnsi="Cambria Math" w:cs="Arial"/>
                            <w:i/>
                            <w:lang w:eastAsia="it-IT"/>
                          </w:rPr>
                        </m:ctrlPr>
                      </m:fPr>
                      <m:num>
                        <m:sSub>
                          <m:sSubPr>
                            <m:ctrlPr>
                              <w:rPr>
                                <w:rFonts w:ascii="Cambria Math" w:hAnsi="Cambria Math" w:cs="Arial"/>
                                <w:i/>
                                <w:lang w:eastAsia="it-IT"/>
                              </w:rPr>
                            </m:ctrlPr>
                          </m:sSubPr>
                          <m:e>
                            <m:r>
                              <w:rPr>
                                <w:rFonts w:ascii="Cambria Math" w:hAnsi="Cambria Math" w:cs="Arial"/>
                                <w:lang w:eastAsia="it-IT"/>
                              </w:rPr>
                              <m:t>E</m:t>
                            </m:r>
                          </m:e>
                          <m:sub>
                            <m:r>
                              <w:rPr>
                                <w:rFonts w:ascii="Cambria Math" w:hAnsi="Cambria Math" w:cs="Arial"/>
                                <w:lang w:eastAsia="it-IT"/>
                              </w:rPr>
                              <m:t>a</m:t>
                            </m:r>
                            <m:sSub>
                              <m:sSubPr>
                                <m:ctrlPr>
                                  <w:rPr>
                                    <w:rFonts w:ascii="Cambria Math" w:hAnsi="Cambria Math" w:cs="Arial"/>
                                    <w:i/>
                                    <w:lang w:eastAsia="it-IT"/>
                                  </w:rPr>
                                </m:ctrlPr>
                              </m:sSubPr>
                              <m:e>
                                <m:r>
                                  <w:rPr>
                                    <w:rFonts w:ascii="Cambria Math" w:hAnsi="Cambria Math" w:cs="Arial"/>
                                    <w:lang w:eastAsia="it-IT"/>
                                  </w:rPr>
                                  <m:t>t</m:t>
                                </m:r>
                              </m:e>
                              <m:sub>
                                <m:r>
                                  <w:rPr>
                                    <w:rFonts w:ascii="Cambria Math" w:hAnsi="Cambria Math" w:cs="Arial"/>
                                    <w:lang w:eastAsia="it-IT"/>
                                  </w:rPr>
                                  <m:t>phe</m:t>
                                </m:r>
                              </m:sub>
                            </m:sSub>
                          </m:sub>
                        </m:sSub>
                      </m:num>
                      <m:den>
                        <m:r>
                          <w:rPr>
                            <w:rFonts w:ascii="Cambria Math" w:hAnsi="Cambria Math" w:cs="Arial"/>
                            <w:lang w:eastAsia="it-IT"/>
                          </w:rPr>
                          <m:t>RT</m:t>
                        </m:r>
                      </m:den>
                    </m:f>
                  </m:sup>
                </m:sSup>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phe</m:t>
                    </m:r>
                  </m:sub>
                  <m:sup>
                    <m:r>
                      <w:rPr>
                        <w:rFonts w:ascii="Cambria Math" w:hAnsi="Cambria Math" w:cs="Arial"/>
                        <w:lang w:eastAsia="it-IT"/>
                      </w:rPr>
                      <m:t>out</m:t>
                    </m:r>
                  </m:sup>
                </m:sSubSup>
              </m:oMath>
            </m:oMathPara>
          </w:p>
        </w:tc>
        <w:tc>
          <w:tcPr>
            <w:tcW w:w="801" w:type="dxa"/>
            <w:shd w:val="clear" w:color="auto" w:fill="auto"/>
            <w:vAlign w:val="center"/>
          </w:tcPr>
          <w:p w14:paraId="37821A2B" w14:textId="50E435C5" w:rsidR="003B1E4F" w:rsidRPr="00B57B36" w:rsidRDefault="003B1E4F" w:rsidP="00993D4C">
            <w:pPr>
              <w:pStyle w:val="CETEquation"/>
              <w:jc w:val="right"/>
            </w:pPr>
            <w:r w:rsidRPr="00B57B36">
              <w:t>(</w:t>
            </w:r>
            <w:r>
              <w:t>5</w:t>
            </w:r>
            <w:r w:rsidRPr="00B57B36">
              <w:t>)</w:t>
            </w:r>
          </w:p>
        </w:tc>
      </w:tr>
      <w:tr w:rsidR="003B1E4F" w:rsidRPr="00B57B36" w14:paraId="4820EAFF" w14:textId="77777777" w:rsidTr="00993D4C">
        <w:tc>
          <w:tcPr>
            <w:tcW w:w="7986" w:type="dxa"/>
            <w:shd w:val="clear" w:color="auto" w:fill="auto"/>
            <w:vAlign w:val="center"/>
          </w:tcPr>
          <w:p w14:paraId="53BB4AA5" w14:textId="4A9E6D98" w:rsidR="003B1E4F" w:rsidRPr="00C17FD5" w:rsidRDefault="00571877" w:rsidP="00993D4C">
            <w:pPr>
              <w:spacing w:before="100" w:beforeAutospacing="1" w:after="100" w:afterAutospacing="1" w:line="360" w:lineRule="auto"/>
              <w:rPr>
                <w:rFonts w:ascii="Cambria Math" w:hAnsi="Cambria Math" w:cs="Arial"/>
                <w:lang w:eastAsia="it-IT"/>
                <w:oMath/>
              </w:rPr>
            </w:pPr>
            <m:oMathPara>
              <m:oMathParaPr>
                <m:jc m:val="left"/>
              </m:oMathParaPr>
              <m:oMath>
                <m:sSub>
                  <m:sSubPr>
                    <m:ctrlPr>
                      <w:rPr>
                        <w:rFonts w:ascii="Cambria Math" w:hAnsi="Cambria Math" w:cs="Arial"/>
                        <w:i/>
                        <w:lang w:eastAsia="it-IT"/>
                      </w:rPr>
                    </m:ctrlPr>
                  </m:sSubPr>
                  <m:e>
                    <m:r>
                      <w:rPr>
                        <w:rFonts w:ascii="Cambria Math" w:hAnsi="Cambria Math" w:cs="Arial"/>
                        <w:lang w:eastAsia="it-IT"/>
                      </w:rPr>
                      <m:t>r</m:t>
                    </m:r>
                  </m:e>
                  <m:sub>
                    <m:r>
                      <w:rPr>
                        <w:rFonts w:ascii="Cambria Math" w:hAnsi="Cambria Math" w:cs="Arial"/>
                        <w:lang w:eastAsia="it-IT"/>
                      </w:rPr>
                      <m:t>ant</m:t>
                    </m:r>
                  </m:sub>
                </m:sSub>
                <m:r>
                  <w:rPr>
                    <w:rFonts w:ascii="Cambria Math" w:hAnsi="Cambria Math" w:cs="Arial"/>
                    <w:lang w:eastAsia="it-IT"/>
                  </w:rPr>
                  <m:t>=</m:t>
                </m:r>
                <m:sSubSup>
                  <m:sSubSupPr>
                    <m:ctrlPr>
                      <w:rPr>
                        <w:rFonts w:ascii="Cambria Math" w:hAnsi="Cambria Math" w:cs="Arial"/>
                        <w:i/>
                        <w:lang w:eastAsia="it-IT"/>
                      </w:rPr>
                    </m:ctrlPr>
                  </m:sSubSupPr>
                  <m:e>
                    <m:r>
                      <w:rPr>
                        <w:rFonts w:ascii="Cambria Math" w:hAnsi="Cambria Math" w:cs="Arial"/>
                        <w:lang w:eastAsia="it-IT"/>
                      </w:rPr>
                      <m:t>A</m:t>
                    </m:r>
                  </m:e>
                  <m:sub>
                    <m:r>
                      <w:rPr>
                        <w:rFonts w:ascii="Cambria Math" w:hAnsi="Cambria Math" w:cs="Arial"/>
                        <w:lang w:eastAsia="it-IT"/>
                      </w:rPr>
                      <m:t>0</m:t>
                    </m:r>
                  </m:sub>
                  <m:sup>
                    <m:r>
                      <w:rPr>
                        <w:rFonts w:ascii="Cambria Math" w:hAnsi="Cambria Math" w:cs="Arial"/>
                        <w:lang w:eastAsia="it-IT"/>
                      </w:rPr>
                      <m:t>ant</m:t>
                    </m:r>
                  </m:sup>
                </m:sSubSup>
                <m:sSup>
                  <m:sSupPr>
                    <m:ctrlPr>
                      <w:rPr>
                        <w:rFonts w:ascii="Cambria Math" w:hAnsi="Cambria Math" w:cs="Arial"/>
                        <w:i/>
                        <w:lang w:eastAsia="it-IT"/>
                      </w:rPr>
                    </m:ctrlPr>
                  </m:sSupPr>
                  <m:e>
                    <m:r>
                      <w:rPr>
                        <w:rFonts w:ascii="Cambria Math" w:hAnsi="Cambria Math" w:cs="Arial"/>
                        <w:lang w:eastAsia="it-IT"/>
                      </w:rPr>
                      <m:t>e</m:t>
                    </m:r>
                  </m:e>
                  <m:sup>
                    <m:f>
                      <m:fPr>
                        <m:ctrlPr>
                          <w:rPr>
                            <w:rFonts w:ascii="Cambria Math" w:hAnsi="Cambria Math" w:cs="Arial"/>
                            <w:i/>
                            <w:lang w:eastAsia="it-IT"/>
                          </w:rPr>
                        </m:ctrlPr>
                      </m:fPr>
                      <m:num>
                        <m:sSub>
                          <m:sSubPr>
                            <m:ctrlPr>
                              <w:rPr>
                                <w:rFonts w:ascii="Cambria Math" w:hAnsi="Cambria Math" w:cs="Arial"/>
                                <w:i/>
                                <w:lang w:eastAsia="it-IT"/>
                              </w:rPr>
                            </m:ctrlPr>
                          </m:sSubPr>
                          <m:e>
                            <m:r>
                              <w:rPr>
                                <w:rFonts w:ascii="Cambria Math" w:hAnsi="Cambria Math" w:cs="Arial"/>
                                <w:lang w:eastAsia="it-IT"/>
                              </w:rPr>
                              <m:t>E</m:t>
                            </m:r>
                          </m:e>
                          <m:sub>
                            <m:r>
                              <w:rPr>
                                <w:rFonts w:ascii="Cambria Math" w:hAnsi="Cambria Math" w:cs="Arial"/>
                                <w:lang w:eastAsia="it-IT"/>
                              </w:rPr>
                              <m:t>a</m:t>
                            </m:r>
                            <m:sSub>
                              <m:sSubPr>
                                <m:ctrlPr>
                                  <w:rPr>
                                    <w:rFonts w:ascii="Cambria Math" w:hAnsi="Cambria Math" w:cs="Arial"/>
                                    <w:i/>
                                    <w:lang w:eastAsia="it-IT"/>
                                  </w:rPr>
                                </m:ctrlPr>
                              </m:sSubPr>
                              <m:e>
                                <m:r>
                                  <w:rPr>
                                    <w:rFonts w:ascii="Cambria Math" w:hAnsi="Cambria Math" w:cs="Arial"/>
                                    <w:lang w:eastAsia="it-IT"/>
                                  </w:rPr>
                                  <m:t>t</m:t>
                                </m:r>
                              </m:e>
                              <m:sub>
                                <m:r>
                                  <w:rPr>
                                    <w:rFonts w:ascii="Cambria Math" w:hAnsi="Cambria Math" w:cs="Arial"/>
                                    <w:lang w:eastAsia="it-IT"/>
                                  </w:rPr>
                                  <m:t>ant</m:t>
                                </m:r>
                              </m:sub>
                            </m:sSub>
                          </m:sub>
                        </m:sSub>
                      </m:num>
                      <m:den>
                        <m:r>
                          <w:rPr>
                            <w:rFonts w:ascii="Cambria Math" w:hAnsi="Cambria Math" w:cs="Arial"/>
                            <w:lang w:eastAsia="it-IT"/>
                          </w:rPr>
                          <m:t>RT</m:t>
                        </m:r>
                      </m:den>
                    </m:f>
                  </m:sup>
                </m:sSup>
                <m:sSubSup>
                  <m:sSubSupPr>
                    <m:ctrlPr>
                      <w:rPr>
                        <w:rFonts w:ascii="Cambria Math" w:hAnsi="Cambria Math" w:cs="Arial"/>
                        <w:i/>
                        <w:lang w:eastAsia="it-IT"/>
                      </w:rPr>
                    </m:ctrlPr>
                  </m:sSubSupPr>
                  <m:e>
                    <m:r>
                      <w:rPr>
                        <w:rFonts w:ascii="Cambria Math" w:hAnsi="Cambria Math" w:cs="Arial"/>
                        <w:lang w:eastAsia="it-IT"/>
                      </w:rPr>
                      <m:t>C</m:t>
                    </m:r>
                  </m:e>
                  <m:sub>
                    <m:r>
                      <w:rPr>
                        <w:rFonts w:ascii="Cambria Math" w:hAnsi="Cambria Math" w:cs="Arial"/>
                        <w:lang w:eastAsia="it-IT"/>
                      </w:rPr>
                      <m:t>ant</m:t>
                    </m:r>
                  </m:sub>
                  <m:sup>
                    <m:r>
                      <w:rPr>
                        <w:rFonts w:ascii="Cambria Math" w:hAnsi="Cambria Math" w:cs="Arial"/>
                        <w:lang w:eastAsia="it-IT"/>
                      </w:rPr>
                      <m:t>out</m:t>
                    </m:r>
                  </m:sup>
                </m:sSubSup>
              </m:oMath>
            </m:oMathPara>
          </w:p>
        </w:tc>
        <w:tc>
          <w:tcPr>
            <w:tcW w:w="801" w:type="dxa"/>
            <w:shd w:val="clear" w:color="auto" w:fill="auto"/>
            <w:vAlign w:val="center"/>
          </w:tcPr>
          <w:p w14:paraId="532B8883" w14:textId="4F286D96" w:rsidR="003B1E4F" w:rsidRPr="00B57B36" w:rsidRDefault="003B1E4F" w:rsidP="00993D4C">
            <w:pPr>
              <w:pStyle w:val="CETEquation"/>
              <w:jc w:val="right"/>
            </w:pPr>
            <w:r w:rsidRPr="00B57B36">
              <w:t>(</w:t>
            </w:r>
            <w:r>
              <w:t>6</w:t>
            </w:r>
            <w:r w:rsidRPr="00B57B36">
              <w:t>)</w:t>
            </w:r>
          </w:p>
        </w:tc>
      </w:tr>
    </w:tbl>
    <w:p w14:paraId="041FDD70" w14:textId="57598418" w:rsidR="007B7D11" w:rsidRDefault="00F26C90" w:rsidP="00946546">
      <w:pPr>
        <w:pStyle w:val="CETBodytext"/>
      </w:pPr>
      <w:r w:rsidRPr="00F26C90">
        <w:t>Where </w:t>
      </w:r>
      <m:oMath>
        <m:sSubSup>
          <m:sSubSupPr>
            <m:ctrlPr>
              <w:rPr>
                <w:rFonts w:ascii="Cambria Math" w:hAnsi="Cambria Math" w:cs="Arial"/>
                <w:i/>
                <w:lang w:eastAsia="it-IT"/>
              </w:rPr>
            </m:ctrlPr>
          </m:sSubSupPr>
          <m:e>
            <m:r>
              <w:rPr>
                <w:rFonts w:ascii="Cambria Math" w:hAnsi="Cambria Math" w:cs="Arial"/>
                <w:lang w:eastAsia="it-IT"/>
              </w:rPr>
              <m:t>A</m:t>
            </m:r>
          </m:e>
          <m:sub>
            <m:r>
              <w:rPr>
                <w:rFonts w:ascii="Cambria Math" w:hAnsi="Cambria Math" w:cs="Arial"/>
                <w:lang w:eastAsia="it-IT"/>
              </w:rPr>
              <m:t>0</m:t>
            </m:r>
          </m:sub>
          <m:sup>
            <m:r>
              <w:rPr>
                <w:rFonts w:ascii="Cambria Math" w:hAnsi="Cambria Math" w:cs="Arial"/>
                <w:lang w:eastAsia="it-IT"/>
              </w:rPr>
              <m:t>phe</m:t>
            </m:r>
          </m:sup>
        </m:sSubSup>
      </m:oMath>
      <w:r w:rsidRPr="00F26C90">
        <w:t>​</w:t>
      </w:r>
      <w:r w:rsidR="00B642AA">
        <w:t xml:space="preserve">, </w:t>
      </w:r>
      <m:oMath>
        <m:sSubSup>
          <m:sSubSupPr>
            <m:ctrlPr>
              <w:rPr>
                <w:rFonts w:ascii="Cambria Math" w:hAnsi="Cambria Math" w:cs="Arial"/>
                <w:i/>
                <w:lang w:eastAsia="it-IT"/>
              </w:rPr>
            </m:ctrlPr>
          </m:sSubSupPr>
          <m:e>
            <m:r>
              <w:rPr>
                <w:rFonts w:ascii="Cambria Math" w:hAnsi="Cambria Math" w:cs="Arial"/>
                <w:lang w:eastAsia="it-IT"/>
              </w:rPr>
              <m:t>A</m:t>
            </m:r>
          </m:e>
          <m:sub>
            <m:r>
              <w:rPr>
                <w:rFonts w:ascii="Cambria Math" w:hAnsi="Cambria Math" w:cs="Arial"/>
                <w:lang w:eastAsia="it-IT"/>
              </w:rPr>
              <m:t>0</m:t>
            </m:r>
          </m:sub>
          <m:sup>
            <m:r>
              <w:rPr>
                <w:rFonts w:ascii="Cambria Math" w:hAnsi="Cambria Math" w:cs="Arial"/>
                <w:lang w:eastAsia="it-IT"/>
              </w:rPr>
              <m:t>ant</m:t>
            </m:r>
          </m:sup>
        </m:sSubSup>
      </m:oMath>
      <w:r w:rsidR="00B642AA">
        <w:t xml:space="preserve">  are </w:t>
      </w:r>
      <w:r w:rsidRPr="00F26C90">
        <w:t>the pre-exponential factor, and </w:t>
      </w:r>
      <m:oMath>
        <m:sSub>
          <m:sSubPr>
            <m:ctrlPr>
              <w:rPr>
                <w:rFonts w:ascii="Cambria Math" w:hAnsi="Cambria Math" w:cs="Arial"/>
                <w:i/>
                <w:lang w:eastAsia="it-IT"/>
              </w:rPr>
            </m:ctrlPr>
          </m:sSubPr>
          <m:e>
            <m:r>
              <w:rPr>
                <w:rFonts w:ascii="Cambria Math" w:hAnsi="Cambria Math" w:cs="Arial"/>
                <w:lang w:eastAsia="it-IT"/>
              </w:rPr>
              <m:t>E</m:t>
            </m:r>
          </m:e>
          <m:sub>
            <m:r>
              <w:rPr>
                <w:rFonts w:ascii="Cambria Math" w:hAnsi="Cambria Math" w:cs="Arial"/>
                <w:lang w:eastAsia="it-IT"/>
              </w:rPr>
              <m:t>a</m:t>
            </m:r>
            <m:sSub>
              <m:sSubPr>
                <m:ctrlPr>
                  <w:rPr>
                    <w:rFonts w:ascii="Cambria Math" w:hAnsi="Cambria Math" w:cs="Arial"/>
                    <w:i/>
                    <w:lang w:eastAsia="it-IT"/>
                  </w:rPr>
                </m:ctrlPr>
              </m:sSubPr>
              <m:e>
                <m:r>
                  <w:rPr>
                    <w:rFonts w:ascii="Cambria Math" w:hAnsi="Cambria Math" w:cs="Arial"/>
                    <w:lang w:eastAsia="it-IT"/>
                  </w:rPr>
                  <m:t>t</m:t>
                </m:r>
              </m:e>
              <m:sub>
                <m:r>
                  <w:rPr>
                    <w:rFonts w:ascii="Cambria Math" w:hAnsi="Cambria Math" w:cs="Arial"/>
                    <w:lang w:eastAsia="it-IT"/>
                  </w:rPr>
                  <m:t>phe</m:t>
                </m:r>
              </m:sub>
            </m:sSub>
          </m:sub>
        </m:sSub>
      </m:oMath>
      <w:r w:rsidR="00B642AA">
        <w:rPr>
          <w:lang w:eastAsia="it-IT"/>
        </w:rPr>
        <w:t xml:space="preserve">, </w:t>
      </w:r>
      <w:r w:rsidR="00B642AA" w:rsidRPr="00F26C90">
        <w:t xml:space="preserve"> </w:t>
      </w:r>
      <m:oMath>
        <m:sSub>
          <m:sSubPr>
            <m:ctrlPr>
              <w:rPr>
                <w:rFonts w:ascii="Cambria Math" w:hAnsi="Cambria Math" w:cs="Arial"/>
                <w:i/>
                <w:lang w:eastAsia="it-IT"/>
              </w:rPr>
            </m:ctrlPr>
          </m:sSubPr>
          <m:e>
            <m:r>
              <w:rPr>
                <w:rFonts w:ascii="Cambria Math" w:hAnsi="Cambria Math" w:cs="Arial"/>
                <w:lang w:eastAsia="it-IT"/>
              </w:rPr>
              <m:t>E</m:t>
            </m:r>
          </m:e>
          <m:sub>
            <m:r>
              <w:rPr>
                <w:rFonts w:ascii="Cambria Math" w:hAnsi="Cambria Math" w:cs="Arial"/>
                <w:lang w:eastAsia="it-IT"/>
              </w:rPr>
              <m:t>a</m:t>
            </m:r>
            <m:sSub>
              <m:sSubPr>
                <m:ctrlPr>
                  <w:rPr>
                    <w:rFonts w:ascii="Cambria Math" w:hAnsi="Cambria Math" w:cs="Arial"/>
                    <w:i/>
                    <w:lang w:eastAsia="it-IT"/>
                  </w:rPr>
                </m:ctrlPr>
              </m:sSubPr>
              <m:e>
                <m:r>
                  <w:rPr>
                    <w:rFonts w:ascii="Cambria Math" w:hAnsi="Cambria Math" w:cs="Arial"/>
                    <w:lang w:eastAsia="it-IT"/>
                  </w:rPr>
                  <m:t>t</m:t>
                </m:r>
              </m:e>
              <m:sub>
                <m:r>
                  <w:rPr>
                    <w:rFonts w:ascii="Cambria Math" w:hAnsi="Cambria Math" w:cs="Arial"/>
                    <w:lang w:eastAsia="it-IT"/>
                  </w:rPr>
                  <m:t>ant</m:t>
                </m:r>
              </m:sub>
            </m:sSub>
          </m:sub>
        </m:sSub>
      </m:oMath>
      <w:r w:rsidR="00B642AA">
        <w:rPr>
          <w:lang w:eastAsia="it-IT"/>
        </w:rPr>
        <w:t xml:space="preserve"> </w:t>
      </w:r>
      <w:r w:rsidRPr="00F26C90">
        <w:t>is the activation energy of the two reactions. These parameters will be evaluated through experimental data collected via non-linear regression implemented within MATLAB software</w:t>
      </w:r>
      <w:r w:rsidRPr="00F26C90">
        <w:rPr>
          <w:lang w:val="en-GB"/>
        </w:rPr>
        <w:t>.</w:t>
      </w:r>
    </w:p>
    <w:p w14:paraId="677EBFF0" w14:textId="1684AA7F" w:rsidR="00600535" w:rsidRPr="00B57B36" w:rsidRDefault="00003F48" w:rsidP="00600535">
      <w:pPr>
        <w:pStyle w:val="CETHeading1"/>
        <w:tabs>
          <w:tab w:val="right" w:pos="7100"/>
        </w:tabs>
        <w:jc w:val="both"/>
        <w:rPr>
          <w:lang w:val="en-GB"/>
        </w:rPr>
      </w:pPr>
      <w:r>
        <w:rPr>
          <w:lang w:val="en-GB"/>
        </w:rPr>
        <w:t>Results and Discussion</w:t>
      </w:r>
    </w:p>
    <w:p w14:paraId="40B8D83E" w14:textId="0379EF77" w:rsidR="00003F48" w:rsidRPr="00CB4BCF" w:rsidRDefault="00281071" w:rsidP="00CB4BCF">
      <w:pPr>
        <w:pStyle w:val="CETheadingx"/>
      </w:pPr>
      <w:r w:rsidRPr="00CB4BCF">
        <w:t>Grape pomace</w:t>
      </w:r>
      <w:r w:rsidR="00D80AE9" w:rsidRPr="00CB4BCF">
        <w:t xml:space="preserve"> extract was initially analyze</w:t>
      </w:r>
      <w:r w:rsidR="00B66A6F" w:rsidRPr="00CB4BCF">
        <w:t xml:space="preserve">d </w:t>
      </w:r>
      <w:r w:rsidR="004440ED" w:rsidRPr="00CB4BCF">
        <w:t>to evaluate the maltodextrin</w:t>
      </w:r>
      <w:r w:rsidR="00CB4BCF">
        <w:t xml:space="preserve"> mass</w:t>
      </w:r>
      <w:r w:rsidR="004440ED" w:rsidRPr="00CB4BCF">
        <w:t xml:space="preserve"> ratio accurately</w:t>
      </w:r>
      <w:r w:rsidR="00D80AE9" w:rsidRPr="00CB4BCF">
        <w:t xml:space="preserve"> and </w:t>
      </w:r>
      <w:r w:rsidR="004440ED" w:rsidRPr="00CB4BCF">
        <w:t>to assess the degradation of phenols and anthocyanins correctly</w:t>
      </w:r>
      <w:r w:rsidR="00D80AE9" w:rsidRPr="00CB4BCF">
        <w:t>. Specifically, the dry matter present</w:t>
      </w:r>
      <w:r w:rsidR="009B34AE">
        <w:t xml:space="preserve"> in the liquid extract</w:t>
      </w:r>
      <w:r w:rsidR="00D80AE9" w:rsidRPr="00CB4BCF">
        <w:t xml:space="preserve"> was measured in an oven at 105 ±</w:t>
      </w:r>
      <w:r w:rsidR="00B66A6F" w:rsidRPr="00CB4BCF">
        <w:t xml:space="preserve"> </w:t>
      </w:r>
      <w:r w:rsidR="00D80AE9" w:rsidRPr="00CB4BCF">
        <w:t>2 °C to constant weight and was found to be 32.15 ± 2.96 g/L,</w:t>
      </w:r>
      <w:r w:rsidR="00B66A6F" w:rsidRPr="00CB4BCF">
        <w:t xml:space="preserve"> </w:t>
      </w:r>
      <w:r w:rsidR="00D80AE9" w:rsidRPr="00CB4BCF">
        <w:t>while the density value of the extract</w:t>
      </w:r>
      <w:r w:rsidR="00FC22E3" w:rsidRPr="00CB4BCF">
        <w:t xml:space="preserve"> was</w:t>
      </w:r>
      <w:r w:rsidR="00D80AE9" w:rsidRPr="00CB4BCF">
        <w:t xml:space="preserve"> 0.98 ±</w:t>
      </w:r>
      <w:r w:rsidR="004055D6">
        <w:t xml:space="preserve"> </w:t>
      </w:r>
      <w:r w:rsidR="00D80AE9" w:rsidRPr="00CB4BCF">
        <w:t xml:space="preserve">0.09 g/mL. Regarding the active compounds, the </w:t>
      </w:r>
      <w:r w:rsidR="00FC22E3" w:rsidRPr="00CB4BCF">
        <w:t xml:space="preserve">TPC and TAC </w:t>
      </w:r>
      <w:r w:rsidR="00D80AE9" w:rsidRPr="00CB4BCF">
        <w:t>content</w:t>
      </w:r>
      <w:r w:rsidR="00FC22E3" w:rsidRPr="00CB4BCF">
        <w:t xml:space="preserve"> were</w:t>
      </w:r>
      <w:r w:rsidR="00D80AE9" w:rsidRPr="00CB4BCF">
        <w:t xml:space="preserve"> 166.37 ± 16.57 mg /g, </w:t>
      </w:r>
      <w:r w:rsidR="00764106" w:rsidRPr="00CB4BCF">
        <w:t xml:space="preserve">and </w:t>
      </w:r>
      <w:r w:rsidR="00D80AE9" w:rsidRPr="00CB4BCF">
        <w:t>398.81 ± 36.71 mg /g</w:t>
      </w:r>
      <w:r w:rsidR="00764106" w:rsidRPr="00CB4BCF">
        <w:t xml:space="preserve"> respectively.</w:t>
      </w:r>
      <w:r w:rsidR="00124AAB" w:rsidRPr="00CB4BCF">
        <w:t xml:space="preserve"> </w:t>
      </w:r>
      <w:r w:rsidR="00266B4C" w:rsidRPr="00CB4BCF">
        <w:t xml:space="preserve">Starting from these initial data and processing them together with the data collected from the analyses related to the encapsulated extract powders, it was possible to obtain the results reported in </w:t>
      </w:r>
      <w:r w:rsidR="00824105" w:rsidRPr="00CB4BCF">
        <w:fldChar w:fldCharType="begin"/>
      </w:r>
      <w:r w:rsidR="00824105" w:rsidRPr="00CB4BCF">
        <w:instrText xml:space="preserve"> REF _Ref192946754 \h  \* MERGEFORMAT </w:instrText>
      </w:r>
      <w:r w:rsidR="00824105" w:rsidRPr="00CB4BCF">
        <w:fldChar w:fldCharType="separate"/>
      </w:r>
      <w:r w:rsidR="00824105" w:rsidRPr="00CB4BCF">
        <w:t>Table 1</w:t>
      </w:r>
      <w:r w:rsidR="00824105" w:rsidRPr="00CB4BCF">
        <w:fldChar w:fldCharType="end"/>
      </w:r>
      <w:r w:rsidR="00824105" w:rsidRPr="00CB4BCF">
        <w:t xml:space="preserve"> </w:t>
      </w:r>
      <w:r w:rsidR="00266B4C" w:rsidRPr="00CB4BCF">
        <w:t xml:space="preserve">and </w:t>
      </w:r>
      <w:r w:rsidR="00824105" w:rsidRPr="00CB4BCF">
        <w:fldChar w:fldCharType="begin"/>
      </w:r>
      <w:r w:rsidR="00824105" w:rsidRPr="00CB4BCF">
        <w:instrText xml:space="preserve"> REF _Ref192946762 \h  \* MERGEFORMAT </w:instrText>
      </w:r>
      <w:r w:rsidR="00824105" w:rsidRPr="00CB4BCF">
        <w:fldChar w:fldCharType="separate"/>
      </w:r>
      <w:r w:rsidR="00824105" w:rsidRPr="00CB4BCF">
        <w:t>Table 2</w:t>
      </w:r>
      <w:r w:rsidR="00824105" w:rsidRPr="00CB4BCF">
        <w:fldChar w:fldCharType="end"/>
      </w:r>
      <w:r w:rsidR="00266B4C" w:rsidRPr="00CB4BCF">
        <w:t xml:space="preserve"> based on the different drying air temperatures and maltodextrin fractions in the encapsulated extract. Additionally, the tables also report the values predicted by the mathematical model developed in this study. Specifically, </w:t>
      </w:r>
      <w:r w:rsidR="00824105" w:rsidRPr="00CB4BCF">
        <w:fldChar w:fldCharType="begin"/>
      </w:r>
      <w:r w:rsidR="00824105" w:rsidRPr="00CB4BCF">
        <w:instrText xml:space="preserve"> REF _Ref192946754 \h  \* MERGEFORMAT </w:instrText>
      </w:r>
      <w:r w:rsidR="00824105" w:rsidRPr="00CB4BCF">
        <w:fldChar w:fldCharType="separate"/>
      </w:r>
      <w:r w:rsidR="00824105" w:rsidRPr="00CB4BCF">
        <w:t>Table 1</w:t>
      </w:r>
      <w:r w:rsidR="00824105" w:rsidRPr="00CB4BCF">
        <w:fldChar w:fldCharType="end"/>
      </w:r>
      <w:r w:rsidR="00824105" w:rsidRPr="00CB4BCF">
        <w:t xml:space="preserve"> </w:t>
      </w:r>
      <w:r w:rsidR="00266B4C" w:rsidRPr="00CB4BCF">
        <w:t xml:space="preserve">provides further validation of the model developed in the previous work by Bassani et al. (2022) on a different variety of grape pomace, while </w:t>
      </w:r>
      <w:r w:rsidR="00504C2B" w:rsidRPr="00CB4BCF">
        <w:fldChar w:fldCharType="begin"/>
      </w:r>
      <w:r w:rsidR="00504C2B" w:rsidRPr="00CB4BCF">
        <w:instrText xml:space="preserve"> REF _Ref192946762 \h  \* MERGEFORMAT </w:instrText>
      </w:r>
      <w:r w:rsidR="00504C2B" w:rsidRPr="00CB4BCF">
        <w:fldChar w:fldCharType="separate"/>
      </w:r>
      <w:r w:rsidR="00504C2B" w:rsidRPr="00CB4BCF">
        <w:t>Table 2</w:t>
      </w:r>
      <w:r w:rsidR="00504C2B" w:rsidRPr="00CB4BCF">
        <w:fldChar w:fldCharType="end"/>
      </w:r>
      <w:r w:rsidR="00266B4C" w:rsidRPr="00CB4BCF">
        <w:t xml:space="preserve"> shows the development and validation of the model regarding the degradation of </w:t>
      </w:r>
      <w:r w:rsidR="00FB04F5" w:rsidRPr="00CB4BCF">
        <w:t xml:space="preserve">total </w:t>
      </w:r>
      <w:r w:rsidR="00266B4C" w:rsidRPr="00CB4BCF">
        <w:lastRenderedPageBreak/>
        <w:t>polyphenols and anthocyanins. As mentioned earlier, the idea is to highlight the potential of an integrated approach between experiments and modeling for a better understanding of the process itself.</w:t>
      </w:r>
      <w:r w:rsidR="00C00803" w:rsidRPr="00CB4BCF">
        <w:t xml:space="preserve"> </w:t>
      </w:r>
    </w:p>
    <w:p w14:paraId="5D9D23A2" w14:textId="1184E8FC" w:rsidR="000A716A" w:rsidRDefault="000A716A" w:rsidP="000A716A">
      <w:pPr>
        <w:pStyle w:val="CETTabletitle"/>
      </w:pPr>
      <w:bookmarkStart w:id="0" w:name="_Ref192946754"/>
      <w:r>
        <w:t xml:space="preserve">Table </w:t>
      </w:r>
      <w:r>
        <w:fldChar w:fldCharType="begin"/>
      </w:r>
      <w:r>
        <w:instrText xml:space="preserve"> SEQ Table \* ARABIC </w:instrText>
      </w:r>
      <w:r>
        <w:fldChar w:fldCharType="separate"/>
      </w:r>
      <w:r w:rsidR="00F10ECB">
        <w:rPr>
          <w:noProof/>
        </w:rPr>
        <w:t>1</w:t>
      </w:r>
      <w:r>
        <w:fldChar w:fldCharType="end"/>
      </w:r>
      <w:bookmarkEnd w:id="0"/>
      <w:r>
        <w:t xml:space="preserve"> </w:t>
      </w:r>
      <w:r w:rsidRPr="000A716A">
        <w:t>Experimental</w:t>
      </w:r>
      <w:r w:rsidR="00B10C46">
        <w:t xml:space="preserve"> spray-dryer mass recovery, </w:t>
      </w:r>
      <w:r w:rsidRPr="000A716A">
        <w:t>outlet air temperature, and powder moisture content. Values were reported as means ± standard deviations. For each investigated temperature, different superscript letters within the same column indicate significant differences among samples (p ≤ 0.05).</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882"/>
        <w:gridCol w:w="1177"/>
        <w:gridCol w:w="1327"/>
        <w:gridCol w:w="1327"/>
        <w:gridCol w:w="666"/>
        <w:gridCol w:w="1327"/>
        <w:gridCol w:w="663"/>
      </w:tblGrid>
      <w:tr w:rsidR="009F126C" w:rsidRPr="00B57B36" w14:paraId="0286C8D3" w14:textId="77777777" w:rsidTr="00F077D1">
        <w:tc>
          <w:tcPr>
            <w:tcW w:w="807" w:type="pct"/>
            <w:tcBorders>
              <w:top w:val="single" w:sz="12" w:space="0" w:color="008000"/>
              <w:bottom w:val="single" w:sz="6" w:space="0" w:color="008000"/>
            </w:tcBorders>
            <w:shd w:val="clear" w:color="auto" w:fill="FFFFFF"/>
            <w:vAlign w:val="center"/>
          </w:tcPr>
          <w:p w14:paraId="04C7E3BE" w14:textId="39D76B17" w:rsidR="00185B64" w:rsidRPr="00B57B36" w:rsidRDefault="00185B64" w:rsidP="00A35609">
            <w:pPr>
              <w:pStyle w:val="CETBodytext"/>
              <w:jc w:val="center"/>
              <w:rPr>
                <w:lang w:val="en-GB"/>
              </w:rPr>
            </w:pPr>
            <w:r>
              <w:rPr>
                <w:lang w:val="en-GB"/>
              </w:rPr>
              <w:t>Inlet Air Temperature [°C]</w:t>
            </w:r>
          </w:p>
        </w:tc>
        <w:tc>
          <w:tcPr>
            <w:tcW w:w="502" w:type="pct"/>
            <w:tcBorders>
              <w:top w:val="single" w:sz="12" w:space="0" w:color="008000"/>
              <w:bottom w:val="single" w:sz="6" w:space="0" w:color="008000"/>
            </w:tcBorders>
            <w:shd w:val="clear" w:color="auto" w:fill="FFFFFF"/>
            <w:vAlign w:val="center"/>
          </w:tcPr>
          <w:p w14:paraId="61BF1539" w14:textId="77777777" w:rsidR="006E71D7" w:rsidRDefault="00571877" w:rsidP="00A35609">
            <w:pPr>
              <w:pStyle w:val="CETBodytext"/>
              <w:jc w:val="center"/>
              <w:rPr>
                <w:lang w:val="en-GB"/>
              </w:rPr>
            </w:pP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md</m:t>
                  </m:r>
                </m:sub>
              </m:sSub>
            </m:oMath>
            <w:r w:rsidR="007A7A81" w:rsidRPr="007A3325">
              <w:rPr>
                <w:lang w:val="en-GB"/>
              </w:rPr>
              <w:t xml:space="preserve"> </w:t>
            </w:r>
          </w:p>
          <w:p w14:paraId="0378B004" w14:textId="0E00E78B" w:rsidR="00185B64" w:rsidRPr="007A3325" w:rsidRDefault="00185B64" w:rsidP="00A35609">
            <w:pPr>
              <w:pStyle w:val="CETBodytext"/>
              <w:jc w:val="center"/>
              <w:rPr>
                <w:lang w:val="en-GB"/>
              </w:rPr>
            </w:pPr>
            <w:r w:rsidRPr="007A3325">
              <w:rPr>
                <w:lang w:val="en-GB"/>
              </w:rPr>
              <w:t>(g/g)</w:t>
            </w:r>
          </w:p>
        </w:tc>
        <w:tc>
          <w:tcPr>
            <w:tcW w:w="670" w:type="pct"/>
            <w:tcBorders>
              <w:top w:val="single" w:sz="12" w:space="0" w:color="008000"/>
              <w:bottom w:val="single" w:sz="6" w:space="0" w:color="008000"/>
            </w:tcBorders>
            <w:shd w:val="clear" w:color="auto" w:fill="FFFFFF"/>
            <w:vAlign w:val="center"/>
          </w:tcPr>
          <w:p w14:paraId="48054193" w14:textId="5C3597BF" w:rsidR="00185B64" w:rsidRPr="00B57B36" w:rsidRDefault="00185B64" w:rsidP="00A35609">
            <w:pPr>
              <w:pStyle w:val="CETBodytext"/>
              <w:jc w:val="center"/>
              <w:rPr>
                <w:lang w:val="en-GB"/>
              </w:rPr>
            </w:pPr>
            <w:r>
              <w:rPr>
                <w:lang w:val="en-GB"/>
              </w:rPr>
              <w:t>Initial Moisture content [%]</w:t>
            </w:r>
          </w:p>
        </w:tc>
        <w:tc>
          <w:tcPr>
            <w:tcW w:w="755" w:type="pct"/>
            <w:tcBorders>
              <w:top w:val="single" w:sz="12" w:space="0" w:color="008000"/>
              <w:bottom w:val="single" w:sz="6" w:space="0" w:color="008000"/>
            </w:tcBorders>
            <w:shd w:val="clear" w:color="auto" w:fill="FFFFFF"/>
            <w:vAlign w:val="center"/>
          </w:tcPr>
          <w:p w14:paraId="7B0E6A16" w14:textId="58FADF7D" w:rsidR="00185B64" w:rsidRPr="00B57B36" w:rsidRDefault="00185B64" w:rsidP="00A35609">
            <w:pPr>
              <w:pStyle w:val="CETBodytext"/>
              <w:ind w:right="-1"/>
              <w:jc w:val="center"/>
              <w:rPr>
                <w:rFonts w:cs="Arial"/>
                <w:szCs w:val="18"/>
                <w:lang w:val="en-GB"/>
              </w:rPr>
            </w:pPr>
            <w:r>
              <w:rPr>
                <w:rFonts w:cs="Arial"/>
                <w:szCs w:val="18"/>
                <w:lang w:val="en-GB"/>
              </w:rPr>
              <w:t>Mass Recovery [%]</w:t>
            </w:r>
          </w:p>
        </w:tc>
        <w:tc>
          <w:tcPr>
            <w:tcW w:w="1134" w:type="pct"/>
            <w:gridSpan w:val="2"/>
            <w:tcBorders>
              <w:top w:val="single" w:sz="12" w:space="0" w:color="008000"/>
              <w:bottom w:val="single" w:sz="6" w:space="0" w:color="008000"/>
            </w:tcBorders>
            <w:shd w:val="clear" w:color="auto" w:fill="FFFFFF"/>
            <w:vAlign w:val="center"/>
          </w:tcPr>
          <w:p w14:paraId="1563DFD4" w14:textId="30F84254" w:rsidR="00185B64" w:rsidRDefault="00185B64" w:rsidP="00A35609">
            <w:pPr>
              <w:pStyle w:val="CETBodytext"/>
              <w:ind w:right="-1"/>
              <w:jc w:val="center"/>
              <w:rPr>
                <w:lang w:val="en-GB"/>
              </w:rPr>
            </w:pPr>
            <w:r>
              <w:rPr>
                <w:rFonts w:cs="Arial"/>
                <w:szCs w:val="18"/>
                <w:lang w:val="en-GB"/>
              </w:rPr>
              <w:t>Outlet Air Temperature [°C]</w:t>
            </w:r>
          </w:p>
        </w:tc>
        <w:tc>
          <w:tcPr>
            <w:tcW w:w="1132" w:type="pct"/>
            <w:gridSpan w:val="2"/>
            <w:tcBorders>
              <w:top w:val="single" w:sz="12" w:space="0" w:color="008000"/>
              <w:bottom w:val="single" w:sz="6" w:space="0" w:color="008000"/>
            </w:tcBorders>
            <w:shd w:val="clear" w:color="auto" w:fill="FFFFFF"/>
            <w:vAlign w:val="center"/>
          </w:tcPr>
          <w:p w14:paraId="34CF3CAC" w14:textId="53312BF7" w:rsidR="00185B64" w:rsidRPr="00B57B36" w:rsidRDefault="00185B64" w:rsidP="00A35609">
            <w:pPr>
              <w:pStyle w:val="CETBodytext"/>
              <w:ind w:right="-1"/>
              <w:jc w:val="center"/>
              <w:rPr>
                <w:rFonts w:cs="Arial"/>
                <w:szCs w:val="18"/>
                <w:lang w:val="en-GB"/>
              </w:rPr>
            </w:pPr>
            <w:r>
              <w:rPr>
                <w:lang w:val="en-GB"/>
              </w:rPr>
              <w:t>Outlet Moisture content [%]</w:t>
            </w:r>
          </w:p>
        </w:tc>
      </w:tr>
      <w:tr w:rsidR="009F126C" w:rsidRPr="00B57B36" w14:paraId="3F65E5B9" w14:textId="77777777" w:rsidTr="00F077D1">
        <w:tc>
          <w:tcPr>
            <w:tcW w:w="807" w:type="pct"/>
            <w:tcBorders>
              <w:top w:val="single" w:sz="12" w:space="0" w:color="008000"/>
              <w:bottom w:val="single" w:sz="6" w:space="0" w:color="008000"/>
            </w:tcBorders>
            <w:shd w:val="clear" w:color="auto" w:fill="FFFFFF"/>
          </w:tcPr>
          <w:p w14:paraId="723EA662" w14:textId="77777777" w:rsidR="00185B64" w:rsidRDefault="00185B64" w:rsidP="008663EB">
            <w:pPr>
              <w:pStyle w:val="CETBodytext"/>
              <w:jc w:val="center"/>
              <w:rPr>
                <w:lang w:val="en-GB"/>
              </w:rPr>
            </w:pPr>
          </w:p>
        </w:tc>
        <w:tc>
          <w:tcPr>
            <w:tcW w:w="502" w:type="pct"/>
            <w:tcBorders>
              <w:top w:val="single" w:sz="12" w:space="0" w:color="008000"/>
              <w:bottom w:val="single" w:sz="6" w:space="0" w:color="008000"/>
            </w:tcBorders>
            <w:shd w:val="clear" w:color="auto" w:fill="FFFFFF"/>
          </w:tcPr>
          <w:p w14:paraId="6881F556" w14:textId="77777777" w:rsidR="00185B64" w:rsidRDefault="00185B64" w:rsidP="002C4AAF">
            <w:pPr>
              <w:pStyle w:val="CETBodytext"/>
              <w:rPr>
                <w:lang w:val="en-GB"/>
              </w:rPr>
            </w:pPr>
          </w:p>
        </w:tc>
        <w:tc>
          <w:tcPr>
            <w:tcW w:w="670" w:type="pct"/>
            <w:tcBorders>
              <w:top w:val="single" w:sz="12" w:space="0" w:color="008000"/>
              <w:bottom w:val="single" w:sz="6" w:space="0" w:color="008000"/>
            </w:tcBorders>
            <w:shd w:val="clear" w:color="auto" w:fill="FFFFFF"/>
          </w:tcPr>
          <w:p w14:paraId="5CADC845" w14:textId="77777777" w:rsidR="00185B64" w:rsidRDefault="00185B64" w:rsidP="00A30E32">
            <w:pPr>
              <w:pStyle w:val="CETBodytext"/>
              <w:jc w:val="center"/>
              <w:rPr>
                <w:lang w:val="en-GB"/>
              </w:rPr>
            </w:pPr>
          </w:p>
        </w:tc>
        <w:tc>
          <w:tcPr>
            <w:tcW w:w="755" w:type="pct"/>
            <w:tcBorders>
              <w:top w:val="single" w:sz="12" w:space="0" w:color="008000"/>
              <w:bottom w:val="single" w:sz="6" w:space="0" w:color="008000"/>
            </w:tcBorders>
            <w:shd w:val="clear" w:color="auto" w:fill="FFFFFF"/>
          </w:tcPr>
          <w:p w14:paraId="11E8EBB7" w14:textId="1DB06ED2" w:rsidR="00185B64" w:rsidRDefault="00C0492C" w:rsidP="00C0492C">
            <w:pPr>
              <w:pStyle w:val="CETBodytext"/>
              <w:ind w:right="-1"/>
              <w:jc w:val="center"/>
              <w:rPr>
                <w:rFonts w:cs="Arial"/>
                <w:szCs w:val="18"/>
                <w:lang w:val="en-GB"/>
              </w:rPr>
            </w:pPr>
            <w:r>
              <w:rPr>
                <w:rFonts w:cs="Arial"/>
                <w:szCs w:val="18"/>
                <w:lang w:val="en-GB"/>
              </w:rPr>
              <w:t>Exp</w:t>
            </w:r>
          </w:p>
        </w:tc>
        <w:tc>
          <w:tcPr>
            <w:tcW w:w="755" w:type="pct"/>
            <w:tcBorders>
              <w:top w:val="single" w:sz="12" w:space="0" w:color="008000"/>
              <w:bottom w:val="single" w:sz="6" w:space="0" w:color="008000"/>
            </w:tcBorders>
            <w:shd w:val="clear" w:color="auto" w:fill="FFFFFF"/>
          </w:tcPr>
          <w:p w14:paraId="2FA78D7E" w14:textId="25A9F2AB" w:rsidR="00185B64" w:rsidRDefault="00185B64" w:rsidP="003C1E1E">
            <w:pPr>
              <w:pStyle w:val="CETBodytext"/>
              <w:ind w:right="-1"/>
              <w:jc w:val="center"/>
              <w:rPr>
                <w:rFonts w:cs="Arial"/>
                <w:szCs w:val="18"/>
                <w:lang w:val="en-GB"/>
              </w:rPr>
            </w:pPr>
            <w:r>
              <w:rPr>
                <w:rFonts w:cs="Arial"/>
                <w:szCs w:val="18"/>
                <w:lang w:val="en-GB"/>
              </w:rPr>
              <w:t>Exp</w:t>
            </w:r>
          </w:p>
        </w:tc>
        <w:tc>
          <w:tcPr>
            <w:tcW w:w="379" w:type="pct"/>
            <w:tcBorders>
              <w:top w:val="single" w:sz="12" w:space="0" w:color="008000"/>
              <w:bottom w:val="single" w:sz="6" w:space="0" w:color="008000"/>
            </w:tcBorders>
            <w:shd w:val="clear" w:color="auto" w:fill="FFFFFF"/>
          </w:tcPr>
          <w:p w14:paraId="02BE7F5F" w14:textId="20A4CE9E" w:rsidR="00185B64" w:rsidRDefault="00185B64" w:rsidP="00333C05">
            <w:pPr>
              <w:pStyle w:val="CETBodytext"/>
              <w:ind w:right="-1"/>
              <w:jc w:val="center"/>
              <w:rPr>
                <w:lang w:val="en-GB"/>
              </w:rPr>
            </w:pPr>
            <w:r>
              <w:rPr>
                <w:lang w:val="en-GB"/>
              </w:rPr>
              <w:t>Model</w:t>
            </w:r>
          </w:p>
        </w:tc>
        <w:tc>
          <w:tcPr>
            <w:tcW w:w="755" w:type="pct"/>
            <w:tcBorders>
              <w:top w:val="single" w:sz="12" w:space="0" w:color="008000"/>
              <w:bottom w:val="single" w:sz="6" w:space="0" w:color="008000"/>
            </w:tcBorders>
            <w:shd w:val="clear" w:color="auto" w:fill="FFFFFF"/>
          </w:tcPr>
          <w:p w14:paraId="49EBF596" w14:textId="1EC1050A" w:rsidR="00185B64" w:rsidRDefault="00185B64" w:rsidP="009F126C">
            <w:pPr>
              <w:pStyle w:val="CETBodytext"/>
              <w:ind w:right="-1"/>
              <w:jc w:val="center"/>
              <w:rPr>
                <w:lang w:val="en-GB"/>
              </w:rPr>
            </w:pPr>
            <w:r>
              <w:rPr>
                <w:lang w:val="en-GB"/>
              </w:rPr>
              <w:t>Exp</w:t>
            </w:r>
          </w:p>
        </w:tc>
        <w:tc>
          <w:tcPr>
            <w:tcW w:w="377" w:type="pct"/>
            <w:tcBorders>
              <w:top w:val="single" w:sz="12" w:space="0" w:color="008000"/>
              <w:bottom w:val="single" w:sz="6" w:space="0" w:color="008000"/>
            </w:tcBorders>
            <w:shd w:val="clear" w:color="auto" w:fill="FFFFFF"/>
          </w:tcPr>
          <w:p w14:paraId="5C11F6D3" w14:textId="3F7B8516" w:rsidR="00185B64" w:rsidRPr="00B57B36" w:rsidRDefault="00185B64" w:rsidP="009F126C">
            <w:pPr>
              <w:pStyle w:val="CETBodytext"/>
              <w:ind w:right="-1"/>
              <w:jc w:val="center"/>
              <w:rPr>
                <w:rFonts w:cs="Arial"/>
                <w:szCs w:val="18"/>
                <w:lang w:val="en-GB"/>
              </w:rPr>
            </w:pPr>
            <w:r>
              <w:rPr>
                <w:rFonts w:cs="Arial"/>
                <w:szCs w:val="18"/>
                <w:lang w:val="en-GB"/>
              </w:rPr>
              <w:t>Model</w:t>
            </w:r>
          </w:p>
        </w:tc>
      </w:tr>
      <w:tr w:rsidR="009F126C" w:rsidRPr="00B57B36" w14:paraId="6D9026E0" w14:textId="77777777" w:rsidTr="00F077D1">
        <w:tc>
          <w:tcPr>
            <w:tcW w:w="807" w:type="pct"/>
            <w:vMerge w:val="restart"/>
            <w:shd w:val="clear" w:color="auto" w:fill="FFFFFF"/>
            <w:vAlign w:val="center"/>
          </w:tcPr>
          <w:p w14:paraId="07D2F7E2" w14:textId="0EEBA9B4" w:rsidR="00EE1D65" w:rsidRPr="00B57B36" w:rsidRDefault="00EE1D65" w:rsidP="00EE1D65">
            <w:pPr>
              <w:pStyle w:val="CETBodytext"/>
              <w:jc w:val="center"/>
              <w:rPr>
                <w:lang w:val="en-GB"/>
              </w:rPr>
            </w:pPr>
            <w:r>
              <w:rPr>
                <w:lang w:val="en-GB"/>
              </w:rPr>
              <w:t>120</w:t>
            </w:r>
          </w:p>
        </w:tc>
        <w:tc>
          <w:tcPr>
            <w:tcW w:w="502" w:type="pct"/>
            <w:shd w:val="clear" w:color="auto" w:fill="FFFFFF"/>
          </w:tcPr>
          <w:p w14:paraId="437C598B" w14:textId="558BE492" w:rsidR="00EE1D65" w:rsidRPr="00B57B36" w:rsidRDefault="00EE1D65" w:rsidP="00EE1D65">
            <w:pPr>
              <w:pStyle w:val="CETBodytext"/>
              <w:jc w:val="center"/>
              <w:rPr>
                <w:lang w:val="en-GB"/>
              </w:rPr>
            </w:pPr>
            <w:r>
              <w:rPr>
                <w:lang w:val="en-GB"/>
              </w:rPr>
              <w:t>0.4</w:t>
            </w:r>
          </w:p>
        </w:tc>
        <w:tc>
          <w:tcPr>
            <w:tcW w:w="670" w:type="pct"/>
            <w:shd w:val="clear" w:color="auto" w:fill="FFFFFF"/>
          </w:tcPr>
          <w:p w14:paraId="1483FC10" w14:textId="5D44DE67" w:rsidR="00EE1D65" w:rsidRPr="00B57B36" w:rsidRDefault="00EE1D65" w:rsidP="00EE1D65">
            <w:pPr>
              <w:pStyle w:val="CETBodytext"/>
              <w:jc w:val="center"/>
              <w:rPr>
                <w:lang w:val="en-GB"/>
              </w:rPr>
            </w:pPr>
            <w:r w:rsidRPr="009A72D2">
              <w:t>94.78</w:t>
            </w:r>
          </w:p>
        </w:tc>
        <w:tc>
          <w:tcPr>
            <w:tcW w:w="755" w:type="pct"/>
            <w:shd w:val="clear" w:color="auto" w:fill="FFFFFF"/>
          </w:tcPr>
          <w:p w14:paraId="1C25BB20" w14:textId="49AE38A7" w:rsidR="00EE1D65" w:rsidRPr="00B57B36" w:rsidRDefault="00EE1D65" w:rsidP="00C0492C">
            <w:pPr>
              <w:pStyle w:val="CETBodytext"/>
              <w:ind w:right="-1"/>
              <w:jc w:val="center"/>
              <w:rPr>
                <w:rFonts w:cs="Arial"/>
                <w:szCs w:val="18"/>
                <w:lang w:val="en-GB"/>
              </w:rPr>
            </w:pPr>
            <w:r w:rsidRPr="00AB7B42">
              <w:t>84.24 ± 2.21</w:t>
            </w:r>
            <w:r w:rsidRPr="00432604">
              <w:rPr>
                <w:vertAlign w:val="superscript"/>
              </w:rPr>
              <w:t>a</w:t>
            </w:r>
          </w:p>
        </w:tc>
        <w:tc>
          <w:tcPr>
            <w:tcW w:w="755" w:type="pct"/>
            <w:shd w:val="clear" w:color="auto" w:fill="FFFFFF"/>
          </w:tcPr>
          <w:p w14:paraId="5EE003F3" w14:textId="08EF0A19" w:rsidR="00EE1D65" w:rsidRPr="00B57B36" w:rsidRDefault="00EE1D65" w:rsidP="00EE1D65">
            <w:pPr>
              <w:pStyle w:val="CETBodytext"/>
              <w:ind w:right="-1"/>
              <w:jc w:val="center"/>
              <w:rPr>
                <w:rFonts w:cs="Arial"/>
                <w:szCs w:val="18"/>
                <w:lang w:val="en-GB"/>
              </w:rPr>
            </w:pPr>
            <w:r w:rsidRPr="00F16FC1">
              <w:t>64.3 ± 0.6</w:t>
            </w:r>
            <w:r w:rsidRPr="009F126C">
              <w:rPr>
                <w:vertAlign w:val="superscript"/>
              </w:rPr>
              <w:t>a</w:t>
            </w:r>
          </w:p>
        </w:tc>
        <w:tc>
          <w:tcPr>
            <w:tcW w:w="379" w:type="pct"/>
            <w:shd w:val="clear" w:color="auto" w:fill="FFFFFF"/>
          </w:tcPr>
          <w:p w14:paraId="5D567ADB" w14:textId="35992BF8" w:rsidR="00EE1D65" w:rsidRPr="00B57B36" w:rsidRDefault="00EE1D65" w:rsidP="00EE1D65">
            <w:pPr>
              <w:pStyle w:val="CETBodytext"/>
              <w:ind w:right="-1"/>
              <w:jc w:val="center"/>
              <w:rPr>
                <w:rFonts w:cs="Arial"/>
                <w:szCs w:val="18"/>
                <w:lang w:val="en-GB"/>
              </w:rPr>
            </w:pPr>
            <w:r w:rsidRPr="00D3402E">
              <w:t>65.31</w:t>
            </w:r>
          </w:p>
        </w:tc>
        <w:tc>
          <w:tcPr>
            <w:tcW w:w="755" w:type="pct"/>
            <w:shd w:val="clear" w:color="auto" w:fill="FFFFFF"/>
          </w:tcPr>
          <w:p w14:paraId="26699C73" w14:textId="271BF83B" w:rsidR="00EE1D65" w:rsidRPr="00B57B36" w:rsidRDefault="00EE1D65" w:rsidP="009F126C">
            <w:pPr>
              <w:pStyle w:val="CETBodytext"/>
              <w:ind w:right="-1"/>
              <w:jc w:val="center"/>
              <w:rPr>
                <w:rFonts w:cs="Arial"/>
                <w:szCs w:val="18"/>
                <w:lang w:val="en-GB"/>
              </w:rPr>
            </w:pPr>
            <w:r w:rsidRPr="000F54A8">
              <w:t>7.00 ± 0.30</w:t>
            </w:r>
            <w:r w:rsidRPr="009F126C">
              <w:rPr>
                <w:vertAlign w:val="superscript"/>
              </w:rPr>
              <w:t>b</w:t>
            </w:r>
          </w:p>
        </w:tc>
        <w:tc>
          <w:tcPr>
            <w:tcW w:w="377" w:type="pct"/>
            <w:shd w:val="clear" w:color="auto" w:fill="FFFFFF"/>
          </w:tcPr>
          <w:p w14:paraId="6F67235C" w14:textId="4240F163" w:rsidR="00EE1D65" w:rsidRPr="00B57B36" w:rsidRDefault="00EE1D65" w:rsidP="009F126C">
            <w:pPr>
              <w:pStyle w:val="CETBodytext"/>
              <w:ind w:right="-1"/>
              <w:jc w:val="center"/>
              <w:rPr>
                <w:rFonts w:cs="Arial"/>
                <w:szCs w:val="18"/>
                <w:lang w:val="en-GB"/>
              </w:rPr>
            </w:pPr>
            <w:r w:rsidRPr="006201F7">
              <w:t>5.86</w:t>
            </w:r>
          </w:p>
        </w:tc>
      </w:tr>
      <w:tr w:rsidR="009F126C" w:rsidRPr="00B57B36" w14:paraId="30909105" w14:textId="77777777" w:rsidTr="00F077D1">
        <w:tc>
          <w:tcPr>
            <w:tcW w:w="807" w:type="pct"/>
            <w:vMerge/>
            <w:shd w:val="clear" w:color="auto" w:fill="FFFFFF"/>
          </w:tcPr>
          <w:p w14:paraId="54D460BB" w14:textId="77777777" w:rsidR="00EE1D65" w:rsidRPr="00B57B36" w:rsidRDefault="00EE1D65" w:rsidP="00EE1D65">
            <w:pPr>
              <w:pStyle w:val="CETBodytext"/>
              <w:jc w:val="center"/>
              <w:rPr>
                <w:lang w:val="en-GB"/>
              </w:rPr>
            </w:pPr>
          </w:p>
        </w:tc>
        <w:tc>
          <w:tcPr>
            <w:tcW w:w="502" w:type="pct"/>
            <w:shd w:val="clear" w:color="auto" w:fill="FFFFFF"/>
          </w:tcPr>
          <w:p w14:paraId="728FBB80" w14:textId="78FE108E" w:rsidR="00EE1D65" w:rsidRPr="00B57B36" w:rsidRDefault="00EE1D65" w:rsidP="00EE1D65">
            <w:pPr>
              <w:pStyle w:val="CETBodytext"/>
              <w:jc w:val="center"/>
              <w:rPr>
                <w:lang w:val="en-GB"/>
              </w:rPr>
            </w:pPr>
            <w:r>
              <w:rPr>
                <w:lang w:val="en-GB"/>
              </w:rPr>
              <w:t>0.6</w:t>
            </w:r>
          </w:p>
        </w:tc>
        <w:tc>
          <w:tcPr>
            <w:tcW w:w="670" w:type="pct"/>
            <w:shd w:val="clear" w:color="auto" w:fill="FFFFFF"/>
          </w:tcPr>
          <w:p w14:paraId="0F1907FA" w14:textId="3614EB96" w:rsidR="00EE1D65" w:rsidRPr="00B57B36" w:rsidRDefault="00EE1D65" w:rsidP="00EE1D65">
            <w:pPr>
              <w:pStyle w:val="CETBodytext"/>
              <w:jc w:val="center"/>
              <w:rPr>
                <w:lang w:val="en-GB"/>
              </w:rPr>
            </w:pPr>
            <w:r w:rsidRPr="009A72D2">
              <w:t>91.65</w:t>
            </w:r>
          </w:p>
        </w:tc>
        <w:tc>
          <w:tcPr>
            <w:tcW w:w="755" w:type="pct"/>
            <w:shd w:val="clear" w:color="auto" w:fill="FFFFFF"/>
          </w:tcPr>
          <w:p w14:paraId="4E53B9A4" w14:textId="3BC04372" w:rsidR="00EE1D65" w:rsidRPr="00B57B36" w:rsidRDefault="00EE1D65" w:rsidP="00C0492C">
            <w:pPr>
              <w:pStyle w:val="CETBodytext"/>
              <w:ind w:right="-1"/>
              <w:jc w:val="center"/>
              <w:rPr>
                <w:rFonts w:cs="Arial"/>
                <w:szCs w:val="18"/>
                <w:lang w:val="en-GB"/>
              </w:rPr>
            </w:pPr>
            <w:r w:rsidRPr="00AB7B42">
              <w:t>82.86 ± 0.72</w:t>
            </w:r>
            <w:r w:rsidRPr="00432604">
              <w:rPr>
                <w:vertAlign w:val="superscript"/>
              </w:rPr>
              <w:t>a</w:t>
            </w:r>
          </w:p>
        </w:tc>
        <w:tc>
          <w:tcPr>
            <w:tcW w:w="755" w:type="pct"/>
            <w:shd w:val="clear" w:color="auto" w:fill="FFFFFF"/>
          </w:tcPr>
          <w:p w14:paraId="7D05AEC7" w14:textId="55C4FBDC" w:rsidR="00EE1D65" w:rsidRPr="00B57B36" w:rsidRDefault="00EE1D65" w:rsidP="00EE1D65">
            <w:pPr>
              <w:pStyle w:val="CETBodytext"/>
              <w:ind w:right="-1"/>
              <w:jc w:val="center"/>
              <w:rPr>
                <w:rFonts w:cs="Arial"/>
                <w:szCs w:val="18"/>
                <w:lang w:val="en-GB"/>
              </w:rPr>
            </w:pPr>
            <w:r w:rsidRPr="00F16FC1">
              <w:t>65.7 ± 0.6</w:t>
            </w:r>
            <w:r w:rsidRPr="009F126C">
              <w:rPr>
                <w:vertAlign w:val="superscript"/>
              </w:rPr>
              <w:t>b</w:t>
            </w:r>
          </w:p>
        </w:tc>
        <w:tc>
          <w:tcPr>
            <w:tcW w:w="379" w:type="pct"/>
            <w:shd w:val="clear" w:color="auto" w:fill="FFFFFF"/>
          </w:tcPr>
          <w:p w14:paraId="7088B481" w14:textId="50388928" w:rsidR="00EE1D65" w:rsidRPr="00B57B36" w:rsidRDefault="00EE1D65" w:rsidP="00EE1D65">
            <w:pPr>
              <w:pStyle w:val="CETBodytext"/>
              <w:ind w:right="-1"/>
              <w:jc w:val="center"/>
              <w:rPr>
                <w:rFonts w:cs="Arial"/>
                <w:szCs w:val="18"/>
                <w:lang w:val="en-GB"/>
              </w:rPr>
            </w:pPr>
            <w:r w:rsidRPr="00D3402E">
              <w:t>65.56</w:t>
            </w:r>
          </w:p>
        </w:tc>
        <w:tc>
          <w:tcPr>
            <w:tcW w:w="755" w:type="pct"/>
            <w:shd w:val="clear" w:color="auto" w:fill="FFFFFF"/>
          </w:tcPr>
          <w:p w14:paraId="5E0EFF34" w14:textId="770EB749" w:rsidR="00EE1D65" w:rsidRPr="00B57B36" w:rsidRDefault="00EE1D65" w:rsidP="009F126C">
            <w:pPr>
              <w:pStyle w:val="CETBodytext"/>
              <w:ind w:right="-1"/>
              <w:jc w:val="center"/>
              <w:rPr>
                <w:rFonts w:cs="Arial"/>
                <w:szCs w:val="18"/>
                <w:lang w:val="en-GB"/>
              </w:rPr>
            </w:pPr>
            <w:r w:rsidRPr="000F54A8">
              <w:t>7.16 ± 0.39</w:t>
            </w:r>
            <w:r w:rsidRPr="009F126C">
              <w:rPr>
                <w:vertAlign w:val="superscript"/>
              </w:rPr>
              <w:t>b</w:t>
            </w:r>
          </w:p>
        </w:tc>
        <w:tc>
          <w:tcPr>
            <w:tcW w:w="377" w:type="pct"/>
            <w:shd w:val="clear" w:color="auto" w:fill="FFFFFF"/>
          </w:tcPr>
          <w:p w14:paraId="4C1B62DD" w14:textId="50793769" w:rsidR="00EE1D65" w:rsidRPr="00B57B36" w:rsidRDefault="00EE1D65" w:rsidP="009F126C">
            <w:pPr>
              <w:pStyle w:val="CETBodytext"/>
              <w:ind w:right="-1"/>
              <w:jc w:val="center"/>
              <w:rPr>
                <w:rFonts w:cs="Arial"/>
                <w:szCs w:val="18"/>
                <w:lang w:val="en-GB"/>
              </w:rPr>
            </w:pPr>
            <w:r w:rsidRPr="006201F7">
              <w:t>5.71</w:t>
            </w:r>
          </w:p>
        </w:tc>
      </w:tr>
      <w:tr w:rsidR="009F126C" w:rsidRPr="00B57B36" w14:paraId="440754B0" w14:textId="77777777" w:rsidTr="00F077D1">
        <w:tc>
          <w:tcPr>
            <w:tcW w:w="807" w:type="pct"/>
            <w:vMerge/>
            <w:shd w:val="clear" w:color="auto" w:fill="FFFFFF"/>
          </w:tcPr>
          <w:p w14:paraId="1B2E5ECA" w14:textId="77777777" w:rsidR="00EE1D65" w:rsidRPr="00B57B36" w:rsidRDefault="00EE1D65" w:rsidP="00EE1D65">
            <w:pPr>
              <w:pStyle w:val="CETBodytext"/>
              <w:jc w:val="center"/>
              <w:rPr>
                <w:lang w:val="en-GB"/>
              </w:rPr>
            </w:pPr>
          </w:p>
        </w:tc>
        <w:tc>
          <w:tcPr>
            <w:tcW w:w="502" w:type="pct"/>
            <w:tcBorders>
              <w:bottom w:val="single" w:sz="4" w:space="0" w:color="00B050"/>
            </w:tcBorders>
            <w:shd w:val="clear" w:color="auto" w:fill="FFFFFF"/>
          </w:tcPr>
          <w:p w14:paraId="5CF72334" w14:textId="45730630" w:rsidR="00EE1D65" w:rsidRPr="00B57B36" w:rsidRDefault="00EE1D65" w:rsidP="00EE1D65">
            <w:pPr>
              <w:pStyle w:val="CETBodytext"/>
              <w:jc w:val="center"/>
              <w:rPr>
                <w:lang w:val="en-GB"/>
              </w:rPr>
            </w:pPr>
            <w:r>
              <w:rPr>
                <w:lang w:val="en-GB"/>
              </w:rPr>
              <w:t>0.8</w:t>
            </w:r>
          </w:p>
        </w:tc>
        <w:tc>
          <w:tcPr>
            <w:tcW w:w="670" w:type="pct"/>
            <w:tcBorders>
              <w:bottom w:val="single" w:sz="4" w:space="0" w:color="00B050"/>
            </w:tcBorders>
            <w:shd w:val="clear" w:color="auto" w:fill="FFFFFF"/>
          </w:tcPr>
          <w:p w14:paraId="100E6819" w14:textId="3E8F25D2" w:rsidR="00EE1D65" w:rsidRPr="00B57B36" w:rsidRDefault="00EE1D65" w:rsidP="00EE1D65">
            <w:pPr>
              <w:pStyle w:val="CETBodytext"/>
              <w:jc w:val="center"/>
              <w:rPr>
                <w:lang w:val="en-GB"/>
              </w:rPr>
            </w:pPr>
            <w:r w:rsidRPr="009A72D2">
              <w:t>85.9</w:t>
            </w:r>
            <w:r>
              <w:t>0</w:t>
            </w:r>
          </w:p>
        </w:tc>
        <w:tc>
          <w:tcPr>
            <w:tcW w:w="755" w:type="pct"/>
            <w:tcBorders>
              <w:bottom w:val="single" w:sz="4" w:space="0" w:color="00B050"/>
            </w:tcBorders>
            <w:shd w:val="clear" w:color="auto" w:fill="FFFFFF"/>
          </w:tcPr>
          <w:p w14:paraId="13BC3145" w14:textId="59E85204" w:rsidR="00EE1D65" w:rsidRPr="00B57B36" w:rsidRDefault="00EE1D65" w:rsidP="00C0492C">
            <w:pPr>
              <w:pStyle w:val="CETBodytext"/>
              <w:ind w:right="-1"/>
              <w:jc w:val="center"/>
              <w:rPr>
                <w:rFonts w:cs="Arial"/>
                <w:szCs w:val="18"/>
                <w:lang w:val="en-GB"/>
              </w:rPr>
            </w:pPr>
            <w:r w:rsidRPr="00AB7B42">
              <w:t>81.78 ± 2.48</w:t>
            </w:r>
            <w:r w:rsidRPr="00432604">
              <w:rPr>
                <w:vertAlign w:val="superscript"/>
              </w:rPr>
              <w:t>a</w:t>
            </w:r>
          </w:p>
        </w:tc>
        <w:tc>
          <w:tcPr>
            <w:tcW w:w="755" w:type="pct"/>
            <w:tcBorders>
              <w:bottom w:val="single" w:sz="4" w:space="0" w:color="00B050"/>
            </w:tcBorders>
            <w:shd w:val="clear" w:color="auto" w:fill="FFFFFF"/>
          </w:tcPr>
          <w:p w14:paraId="35BAE1A9" w14:textId="54EC268F" w:rsidR="00EE1D65" w:rsidRPr="00B57B36" w:rsidRDefault="00EE1D65" w:rsidP="00EE1D65">
            <w:pPr>
              <w:pStyle w:val="CETBodytext"/>
              <w:ind w:right="-1"/>
              <w:jc w:val="center"/>
              <w:rPr>
                <w:rFonts w:cs="Arial"/>
                <w:szCs w:val="18"/>
                <w:lang w:val="en-GB"/>
              </w:rPr>
            </w:pPr>
            <w:r w:rsidRPr="00F16FC1">
              <w:t>66.0 ± 0.0</w:t>
            </w:r>
            <w:r w:rsidRPr="009F126C">
              <w:rPr>
                <w:vertAlign w:val="superscript"/>
              </w:rPr>
              <w:t>b</w:t>
            </w:r>
          </w:p>
        </w:tc>
        <w:tc>
          <w:tcPr>
            <w:tcW w:w="379" w:type="pct"/>
            <w:tcBorders>
              <w:bottom w:val="single" w:sz="4" w:space="0" w:color="00B050"/>
            </w:tcBorders>
            <w:shd w:val="clear" w:color="auto" w:fill="FFFFFF"/>
          </w:tcPr>
          <w:p w14:paraId="1321D1DC" w14:textId="23F2A8FC" w:rsidR="00EE1D65" w:rsidRPr="00B57B36" w:rsidRDefault="00EE1D65" w:rsidP="00EE1D65">
            <w:pPr>
              <w:pStyle w:val="CETBodytext"/>
              <w:ind w:right="-1"/>
              <w:jc w:val="center"/>
              <w:rPr>
                <w:rFonts w:cs="Arial"/>
                <w:szCs w:val="18"/>
                <w:lang w:val="en-GB"/>
              </w:rPr>
            </w:pPr>
            <w:r w:rsidRPr="00D3402E">
              <w:t>65.98</w:t>
            </w:r>
          </w:p>
        </w:tc>
        <w:tc>
          <w:tcPr>
            <w:tcW w:w="755" w:type="pct"/>
            <w:tcBorders>
              <w:bottom w:val="single" w:sz="4" w:space="0" w:color="00B050"/>
            </w:tcBorders>
            <w:shd w:val="clear" w:color="auto" w:fill="FFFFFF"/>
          </w:tcPr>
          <w:p w14:paraId="5D6FCFB5" w14:textId="0A9A7325" w:rsidR="00EE1D65" w:rsidRPr="00B57B36" w:rsidRDefault="00EE1D65" w:rsidP="009F126C">
            <w:pPr>
              <w:pStyle w:val="CETBodytext"/>
              <w:ind w:right="-1"/>
              <w:jc w:val="center"/>
              <w:rPr>
                <w:rFonts w:cs="Arial"/>
                <w:szCs w:val="18"/>
                <w:lang w:val="en-GB"/>
              </w:rPr>
            </w:pPr>
            <w:r w:rsidRPr="000F54A8">
              <w:t>5.43 ± 0.49</w:t>
            </w:r>
            <w:r w:rsidRPr="009F126C">
              <w:rPr>
                <w:vertAlign w:val="superscript"/>
              </w:rPr>
              <w:t>a</w:t>
            </w:r>
          </w:p>
        </w:tc>
        <w:tc>
          <w:tcPr>
            <w:tcW w:w="377" w:type="pct"/>
            <w:tcBorders>
              <w:bottom w:val="single" w:sz="4" w:space="0" w:color="00B050"/>
            </w:tcBorders>
            <w:shd w:val="clear" w:color="auto" w:fill="FFFFFF"/>
          </w:tcPr>
          <w:p w14:paraId="25C47D24" w14:textId="554F85D1" w:rsidR="00EE1D65" w:rsidRPr="00B57B36" w:rsidRDefault="00EE1D65" w:rsidP="009F126C">
            <w:pPr>
              <w:pStyle w:val="CETBodytext"/>
              <w:ind w:right="-1"/>
              <w:jc w:val="center"/>
              <w:rPr>
                <w:rFonts w:cs="Arial"/>
                <w:szCs w:val="18"/>
                <w:lang w:val="en-GB"/>
              </w:rPr>
            </w:pPr>
            <w:r w:rsidRPr="006201F7">
              <w:t>5.47</w:t>
            </w:r>
          </w:p>
        </w:tc>
      </w:tr>
      <w:tr w:rsidR="009F126C" w:rsidRPr="00B57B36" w14:paraId="6E0881DD" w14:textId="77777777" w:rsidTr="00F077D1">
        <w:tc>
          <w:tcPr>
            <w:tcW w:w="807" w:type="pct"/>
            <w:vMerge w:val="restart"/>
            <w:shd w:val="clear" w:color="auto" w:fill="FFFFFF"/>
            <w:vAlign w:val="center"/>
          </w:tcPr>
          <w:p w14:paraId="27BBB849" w14:textId="40390E5B" w:rsidR="00EE1D65" w:rsidRPr="00B57B36" w:rsidRDefault="00EE1D65" w:rsidP="00EE1D65">
            <w:pPr>
              <w:pStyle w:val="CETBodytext"/>
              <w:jc w:val="center"/>
              <w:rPr>
                <w:lang w:val="en-GB"/>
              </w:rPr>
            </w:pPr>
            <w:r>
              <w:rPr>
                <w:lang w:val="en-GB"/>
              </w:rPr>
              <w:t>140</w:t>
            </w:r>
          </w:p>
        </w:tc>
        <w:tc>
          <w:tcPr>
            <w:tcW w:w="502" w:type="pct"/>
            <w:tcBorders>
              <w:top w:val="single" w:sz="4" w:space="0" w:color="00B050"/>
            </w:tcBorders>
            <w:shd w:val="clear" w:color="auto" w:fill="FFFFFF"/>
          </w:tcPr>
          <w:p w14:paraId="6799922C" w14:textId="519F643A" w:rsidR="00EE1D65" w:rsidRPr="00B57B36" w:rsidRDefault="00EE1D65" w:rsidP="00EE1D65">
            <w:pPr>
              <w:pStyle w:val="CETBodytext"/>
              <w:jc w:val="center"/>
              <w:rPr>
                <w:lang w:val="en-GB"/>
              </w:rPr>
            </w:pPr>
            <w:r>
              <w:rPr>
                <w:lang w:val="en-GB"/>
              </w:rPr>
              <w:t>0.4</w:t>
            </w:r>
          </w:p>
        </w:tc>
        <w:tc>
          <w:tcPr>
            <w:tcW w:w="670" w:type="pct"/>
            <w:tcBorders>
              <w:top w:val="single" w:sz="4" w:space="0" w:color="00B050"/>
            </w:tcBorders>
            <w:shd w:val="clear" w:color="auto" w:fill="FFFFFF"/>
          </w:tcPr>
          <w:p w14:paraId="09899108" w14:textId="71ABDD0D" w:rsidR="00EE1D65" w:rsidRPr="00B57B36" w:rsidRDefault="00EE1D65" w:rsidP="00EE1D65">
            <w:pPr>
              <w:pStyle w:val="CETBodytext"/>
              <w:jc w:val="center"/>
              <w:rPr>
                <w:lang w:val="en-GB"/>
              </w:rPr>
            </w:pPr>
            <w:r w:rsidRPr="009A72D2">
              <w:t>93.69</w:t>
            </w:r>
          </w:p>
        </w:tc>
        <w:tc>
          <w:tcPr>
            <w:tcW w:w="755" w:type="pct"/>
            <w:tcBorders>
              <w:top w:val="single" w:sz="4" w:space="0" w:color="00B050"/>
            </w:tcBorders>
            <w:shd w:val="clear" w:color="auto" w:fill="FFFFFF"/>
          </w:tcPr>
          <w:p w14:paraId="7D8D9AB9" w14:textId="409F48FB" w:rsidR="00EE1D65" w:rsidRPr="00B57B36" w:rsidRDefault="00EE1D65" w:rsidP="00C0492C">
            <w:pPr>
              <w:pStyle w:val="CETBodytext"/>
              <w:ind w:right="-1"/>
              <w:jc w:val="center"/>
              <w:rPr>
                <w:rFonts w:cs="Arial"/>
                <w:szCs w:val="18"/>
                <w:lang w:val="en-GB"/>
              </w:rPr>
            </w:pPr>
            <w:r w:rsidRPr="00AB7B42">
              <w:t>81.02 ± 1.01</w:t>
            </w:r>
            <w:r w:rsidRPr="00432604">
              <w:rPr>
                <w:vertAlign w:val="superscript"/>
              </w:rPr>
              <w:t>a</w:t>
            </w:r>
          </w:p>
        </w:tc>
        <w:tc>
          <w:tcPr>
            <w:tcW w:w="755" w:type="pct"/>
            <w:tcBorders>
              <w:top w:val="single" w:sz="4" w:space="0" w:color="00B050"/>
            </w:tcBorders>
            <w:shd w:val="clear" w:color="auto" w:fill="FFFFFF"/>
          </w:tcPr>
          <w:p w14:paraId="3C759B9A" w14:textId="6D58BB3D" w:rsidR="00EE1D65" w:rsidRPr="00B57B36" w:rsidRDefault="00EE1D65" w:rsidP="00EE1D65">
            <w:pPr>
              <w:pStyle w:val="CETBodytext"/>
              <w:ind w:right="-1"/>
              <w:jc w:val="center"/>
              <w:rPr>
                <w:rFonts w:cs="Arial"/>
                <w:szCs w:val="18"/>
                <w:lang w:val="en-GB"/>
              </w:rPr>
            </w:pPr>
            <w:r w:rsidRPr="00F16FC1">
              <w:t>74.0 ± 1.0</w:t>
            </w:r>
            <w:r w:rsidRPr="009F126C">
              <w:rPr>
                <w:vertAlign w:val="superscript"/>
              </w:rPr>
              <w:t>a</w:t>
            </w:r>
          </w:p>
        </w:tc>
        <w:tc>
          <w:tcPr>
            <w:tcW w:w="379" w:type="pct"/>
            <w:tcBorders>
              <w:top w:val="single" w:sz="4" w:space="0" w:color="00B050"/>
            </w:tcBorders>
            <w:shd w:val="clear" w:color="auto" w:fill="FFFFFF"/>
          </w:tcPr>
          <w:p w14:paraId="32A84943" w14:textId="2F49A324" w:rsidR="00EE1D65" w:rsidRPr="00B57B36" w:rsidRDefault="00EE1D65" w:rsidP="00EE1D65">
            <w:pPr>
              <w:pStyle w:val="CETBodytext"/>
              <w:ind w:right="-1"/>
              <w:jc w:val="center"/>
              <w:rPr>
                <w:rFonts w:cs="Arial"/>
                <w:szCs w:val="18"/>
                <w:lang w:val="en-GB"/>
              </w:rPr>
            </w:pPr>
            <w:r w:rsidRPr="00D3402E">
              <w:t>73.90</w:t>
            </w:r>
          </w:p>
        </w:tc>
        <w:tc>
          <w:tcPr>
            <w:tcW w:w="755" w:type="pct"/>
            <w:tcBorders>
              <w:top w:val="single" w:sz="4" w:space="0" w:color="00B050"/>
            </w:tcBorders>
            <w:shd w:val="clear" w:color="auto" w:fill="FFFFFF"/>
          </w:tcPr>
          <w:p w14:paraId="06DF281C" w14:textId="623FFD39" w:rsidR="00EE1D65" w:rsidRPr="00B57B36" w:rsidRDefault="00EE1D65" w:rsidP="009F126C">
            <w:pPr>
              <w:pStyle w:val="CETBodytext"/>
              <w:ind w:right="-1"/>
              <w:jc w:val="center"/>
              <w:rPr>
                <w:rFonts w:cs="Arial"/>
                <w:szCs w:val="18"/>
                <w:lang w:val="en-GB"/>
              </w:rPr>
            </w:pPr>
            <w:r w:rsidRPr="000F54A8">
              <w:t>3.76 ± 0.21</w:t>
            </w:r>
            <w:r w:rsidRPr="009F126C">
              <w:rPr>
                <w:vertAlign w:val="superscript"/>
              </w:rPr>
              <w:t>b</w:t>
            </w:r>
          </w:p>
        </w:tc>
        <w:tc>
          <w:tcPr>
            <w:tcW w:w="377" w:type="pct"/>
            <w:tcBorders>
              <w:top w:val="single" w:sz="4" w:space="0" w:color="00B050"/>
            </w:tcBorders>
            <w:shd w:val="clear" w:color="auto" w:fill="FFFFFF"/>
          </w:tcPr>
          <w:p w14:paraId="201E3E37" w14:textId="66CD987C" w:rsidR="00EE1D65" w:rsidRPr="00B57B36" w:rsidRDefault="00EE1D65" w:rsidP="009F126C">
            <w:pPr>
              <w:pStyle w:val="CETBodytext"/>
              <w:ind w:right="-1"/>
              <w:jc w:val="center"/>
              <w:rPr>
                <w:rFonts w:cs="Arial"/>
                <w:szCs w:val="18"/>
                <w:lang w:val="en-GB"/>
              </w:rPr>
            </w:pPr>
            <w:r w:rsidRPr="006201F7">
              <w:t>4.42</w:t>
            </w:r>
          </w:p>
        </w:tc>
      </w:tr>
      <w:tr w:rsidR="009F126C" w:rsidRPr="00B57B36" w14:paraId="139FC37A" w14:textId="77777777" w:rsidTr="00F077D1">
        <w:tc>
          <w:tcPr>
            <w:tcW w:w="807" w:type="pct"/>
            <w:vMerge/>
            <w:shd w:val="clear" w:color="auto" w:fill="FFFFFF"/>
          </w:tcPr>
          <w:p w14:paraId="3A3D956B" w14:textId="77777777" w:rsidR="00EE1D65" w:rsidRPr="00B57B36" w:rsidRDefault="00EE1D65" w:rsidP="00EE1D65">
            <w:pPr>
              <w:pStyle w:val="CETBodytext"/>
              <w:rPr>
                <w:lang w:val="en-GB"/>
              </w:rPr>
            </w:pPr>
          </w:p>
        </w:tc>
        <w:tc>
          <w:tcPr>
            <w:tcW w:w="502" w:type="pct"/>
            <w:shd w:val="clear" w:color="auto" w:fill="FFFFFF"/>
          </w:tcPr>
          <w:p w14:paraId="679A02F5" w14:textId="6AD4DC96" w:rsidR="00EE1D65" w:rsidRPr="00B57B36" w:rsidRDefault="00EE1D65" w:rsidP="00EE1D65">
            <w:pPr>
              <w:pStyle w:val="CETBodytext"/>
              <w:jc w:val="center"/>
              <w:rPr>
                <w:lang w:val="en-GB"/>
              </w:rPr>
            </w:pPr>
            <w:r>
              <w:rPr>
                <w:lang w:val="en-GB"/>
              </w:rPr>
              <w:t>0.6</w:t>
            </w:r>
          </w:p>
        </w:tc>
        <w:tc>
          <w:tcPr>
            <w:tcW w:w="670" w:type="pct"/>
            <w:shd w:val="clear" w:color="auto" w:fill="FFFFFF"/>
          </w:tcPr>
          <w:p w14:paraId="1A707016" w14:textId="694C1DF4" w:rsidR="00EE1D65" w:rsidRPr="00B57B36" w:rsidRDefault="00EE1D65" w:rsidP="00EE1D65">
            <w:pPr>
              <w:pStyle w:val="CETBodytext"/>
              <w:jc w:val="center"/>
              <w:rPr>
                <w:lang w:val="en-GB"/>
              </w:rPr>
            </w:pPr>
            <w:r w:rsidRPr="009A72D2">
              <w:t>92.61</w:t>
            </w:r>
          </w:p>
        </w:tc>
        <w:tc>
          <w:tcPr>
            <w:tcW w:w="755" w:type="pct"/>
            <w:shd w:val="clear" w:color="auto" w:fill="FFFFFF"/>
          </w:tcPr>
          <w:p w14:paraId="6688B1DD" w14:textId="39BFA3BE" w:rsidR="00EE1D65" w:rsidRPr="00B57B36" w:rsidRDefault="00EE1D65" w:rsidP="00C0492C">
            <w:pPr>
              <w:pStyle w:val="CETBodytext"/>
              <w:ind w:right="-1"/>
              <w:jc w:val="center"/>
              <w:rPr>
                <w:rFonts w:cs="Arial"/>
                <w:szCs w:val="18"/>
                <w:lang w:val="en-GB"/>
              </w:rPr>
            </w:pPr>
            <w:r w:rsidRPr="00AB7B42">
              <w:t>81.47 ± 2.55</w:t>
            </w:r>
            <w:r w:rsidRPr="00432604">
              <w:rPr>
                <w:vertAlign w:val="superscript"/>
              </w:rPr>
              <w:t>a</w:t>
            </w:r>
          </w:p>
        </w:tc>
        <w:tc>
          <w:tcPr>
            <w:tcW w:w="755" w:type="pct"/>
            <w:shd w:val="clear" w:color="auto" w:fill="FFFFFF"/>
          </w:tcPr>
          <w:p w14:paraId="251C5C21" w14:textId="1CAAE5E0" w:rsidR="00EE1D65" w:rsidRPr="00B57B36" w:rsidRDefault="00EE1D65" w:rsidP="00EE1D65">
            <w:pPr>
              <w:pStyle w:val="CETBodytext"/>
              <w:ind w:right="-1"/>
              <w:jc w:val="center"/>
              <w:rPr>
                <w:rFonts w:cs="Arial"/>
                <w:szCs w:val="18"/>
                <w:lang w:val="en-GB"/>
              </w:rPr>
            </w:pPr>
            <w:r w:rsidRPr="00F16FC1">
              <w:t>74.3 ± 0.6</w:t>
            </w:r>
            <w:r w:rsidRPr="009F126C">
              <w:rPr>
                <w:vertAlign w:val="superscript"/>
              </w:rPr>
              <w:t>a</w:t>
            </w:r>
          </w:p>
        </w:tc>
        <w:tc>
          <w:tcPr>
            <w:tcW w:w="379" w:type="pct"/>
            <w:shd w:val="clear" w:color="auto" w:fill="FFFFFF"/>
          </w:tcPr>
          <w:p w14:paraId="60238D2F" w14:textId="37045C84" w:rsidR="00EE1D65" w:rsidRPr="00B57B36" w:rsidRDefault="00EE1D65" w:rsidP="00EE1D65">
            <w:pPr>
              <w:pStyle w:val="CETBodytext"/>
              <w:ind w:right="-1"/>
              <w:jc w:val="center"/>
              <w:rPr>
                <w:rFonts w:cs="Arial"/>
                <w:szCs w:val="18"/>
                <w:lang w:val="en-GB"/>
              </w:rPr>
            </w:pPr>
            <w:r w:rsidRPr="00D3402E">
              <w:t>73.93</w:t>
            </w:r>
          </w:p>
        </w:tc>
        <w:tc>
          <w:tcPr>
            <w:tcW w:w="755" w:type="pct"/>
            <w:shd w:val="clear" w:color="auto" w:fill="FFFFFF"/>
          </w:tcPr>
          <w:p w14:paraId="4C072698" w14:textId="4BE2690B" w:rsidR="00EE1D65" w:rsidRPr="00B57B36" w:rsidRDefault="00EE1D65" w:rsidP="009F126C">
            <w:pPr>
              <w:pStyle w:val="CETBodytext"/>
              <w:ind w:right="-1"/>
              <w:jc w:val="center"/>
              <w:rPr>
                <w:rFonts w:cs="Arial"/>
                <w:szCs w:val="18"/>
                <w:lang w:val="en-GB"/>
              </w:rPr>
            </w:pPr>
            <w:r w:rsidRPr="000F54A8">
              <w:t>3.83 ± 0.17</w:t>
            </w:r>
            <w:r w:rsidRPr="009F126C">
              <w:rPr>
                <w:vertAlign w:val="superscript"/>
              </w:rPr>
              <w:t>b</w:t>
            </w:r>
          </w:p>
        </w:tc>
        <w:tc>
          <w:tcPr>
            <w:tcW w:w="377" w:type="pct"/>
            <w:shd w:val="clear" w:color="auto" w:fill="FFFFFF"/>
          </w:tcPr>
          <w:p w14:paraId="7395B9BB" w14:textId="785FCD05" w:rsidR="00EE1D65" w:rsidRPr="00B57B36" w:rsidRDefault="00EE1D65" w:rsidP="009F126C">
            <w:pPr>
              <w:pStyle w:val="CETBodytext"/>
              <w:ind w:right="-1"/>
              <w:jc w:val="center"/>
              <w:rPr>
                <w:rFonts w:cs="Arial"/>
                <w:szCs w:val="18"/>
                <w:lang w:val="en-GB"/>
              </w:rPr>
            </w:pPr>
            <w:r w:rsidRPr="006201F7">
              <w:t>4.41</w:t>
            </w:r>
          </w:p>
        </w:tc>
      </w:tr>
      <w:tr w:rsidR="009F126C" w:rsidRPr="00B57B36" w14:paraId="631F6D1F" w14:textId="77777777" w:rsidTr="00F077D1">
        <w:tc>
          <w:tcPr>
            <w:tcW w:w="807" w:type="pct"/>
            <w:vMerge/>
            <w:shd w:val="clear" w:color="auto" w:fill="FFFFFF"/>
          </w:tcPr>
          <w:p w14:paraId="4B1E68FC" w14:textId="77777777" w:rsidR="00EE1D65" w:rsidRPr="00B57B36" w:rsidRDefault="00EE1D65" w:rsidP="00EE1D65">
            <w:pPr>
              <w:pStyle w:val="CETBodytext"/>
              <w:rPr>
                <w:lang w:val="en-GB"/>
              </w:rPr>
            </w:pPr>
          </w:p>
        </w:tc>
        <w:tc>
          <w:tcPr>
            <w:tcW w:w="502" w:type="pct"/>
            <w:tcBorders>
              <w:bottom w:val="single" w:sz="4" w:space="0" w:color="00B050"/>
            </w:tcBorders>
            <w:shd w:val="clear" w:color="auto" w:fill="FFFFFF"/>
          </w:tcPr>
          <w:p w14:paraId="68AE6C47" w14:textId="031F4654" w:rsidR="00EE1D65" w:rsidRPr="00B57B36" w:rsidRDefault="00EE1D65" w:rsidP="00EE1D65">
            <w:pPr>
              <w:pStyle w:val="CETBodytext"/>
              <w:jc w:val="center"/>
              <w:rPr>
                <w:lang w:val="en-GB"/>
              </w:rPr>
            </w:pPr>
            <w:r>
              <w:rPr>
                <w:lang w:val="en-GB"/>
              </w:rPr>
              <w:t>0.8</w:t>
            </w:r>
          </w:p>
        </w:tc>
        <w:tc>
          <w:tcPr>
            <w:tcW w:w="670" w:type="pct"/>
            <w:tcBorders>
              <w:bottom w:val="single" w:sz="4" w:space="0" w:color="00B050"/>
            </w:tcBorders>
            <w:shd w:val="clear" w:color="auto" w:fill="FFFFFF"/>
          </w:tcPr>
          <w:p w14:paraId="067CCCBE" w14:textId="2825F894" w:rsidR="00EE1D65" w:rsidRPr="00B57B36" w:rsidRDefault="00EE1D65" w:rsidP="00EE1D65">
            <w:pPr>
              <w:pStyle w:val="CETBodytext"/>
              <w:jc w:val="center"/>
              <w:rPr>
                <w:lang w:val="en-GB"/>
              </w:rPr>
            </w:pPr>
            <w:r w:rsidRPr="009A72D2">
              <w:t>87.55</w:t>
            </w:r>
          </w:p>
        </w:tc>
        <w:tc>
          <w:tcPr>
            <w:tcW w:w="755" w:type="pct"/>
            <w:tcBorders>
              <w:bottom w:val="single" w:sz="4" w:space="0" w:color="00B050"/>
            </w:tcBorders>
            <w:shd w:val="clear" w:color="auto" w:fill="FFFFFF"/>
          </w:tcPr>
          <w:p w14:paraId="7CC74C8B" w14:textId="07F992B5" w:rsidR="00EE1D65" w:rsidRPr="00B57B36" w:rsidRDefault="00EE1D65" w:rsidP="00C0492C">
            <w:pPr>
              <w:pStyle w:val="CETBodytext"/>
              <w:ind w:right="-1"/>
              <w:jc w:val="center"/>
              <w:rPr>
                <w:rFonts w:cs="Arial"/>
                <w:szCs w:val="18"/>
                <w:lang w:val="en-GB"/>
              </w:rPr>
            </w:pPr>
            <w:r w:rsidRPr="00AB7B42">
              <w:t>85.87 ± 2.59</w:t>
            </w:r>
            <w:r w:rsidRPr="00432604">
              <w:rPr>
                <w:vertAlign w:val="superscript"/>
              </w:rPr>
              <w:t>a</w:t>
            </w:r>
          </w:p>
        </w:tc>
        <w:tc>
          <w:tcPr>
            <w:tcW w:w="755" w:type="pct"/>
            <w:tcBorders>
              <w:bottom w:val="single" w:sz="4" w:space="0" w:color="00B050"/>
            </w:tcBorders>
            <w:shd w:val="clear" w:color="auto" w:fill="FFFFFF"/>
          </w:tcPr>
          <w:p w14:paraId="04D06131" w14:textId="62755E71" w:rsidR="00EE1D65" w:rsidRPr="00B57B36" w:rsidRDefault="00EE1D65" w:rsidP="00EE1D65">
            <w:pPr>
              <w:pStyle w:val="CETBodytext"/>
              <w:ind w:right="-1"/>
              <w:jc w:val="center"/>
              <w:rPr>
                <w:rFonts w:cs="Arial"/>
                <w:szCs w:val="18"/>
                <w:lang w:val="en-GB"/>
              </w:rPr>
            </w:pPr>
            <w:r w:rsidRPr="00F16FC1">
              <w:t>76.3 ± 0.6</w:t>
            </w:r>
            <w:r w:rsidRPr="009F126C">
              <w:rPr>
                <w:vertAlign w:val="superscript"/>
              </w:rPr>
              <w:t>b</w:t>
            </w:r>
          </w:p>
        </w:tc>
        <w:tc>
          <w:tcPr>
            <w:tcW w:w="379" w:type="pct"/>
            <w:tcBorders>
              <w:bottom w:val="single" w:sz="4" w:space="0" w:color="00B050"/>
            </w:tcBorders>
            <w:shd w:val="clear" w:color="auto" w:fill="FFFFFF"/>
          </w:tcPr>
          <w:p w14:paraId="598C5EC6" w14:textId="3D5E15E3" w:rsidR="00EE1D65" w:rsidRPr="00B57B36" w:rsidRDefault="00EE1D65" w:rsidP="00EE1D65">
            <w:pPr>
              <w:pStyle w:val="CETBodytext"/>
              <w:ind w:right="-1"/>
              <w:jc w:val="center"/>
              <w:rPr>
                <w:rFonts w:cs="Arial"/>
                <w:szCs w:val="18"/>
                <w:lang w:val="en-GB"/>
              </w:rPr>
            </w:pPr>
            <w:r w:rsidRPr="00D3402E">
              <w:t>74.30</w:t>
            </w:r>
          </w:p>
        </w:tc>
        <w:tc>
          <w:tcPr>
            <w:tcW w:w="755" w:type="pct"/>
            <w:tcBorders>
              <w:bottom w:val="single" w:sz="4" w:space="0" w:color="00B050"/>
            </w:tcBorders>
            <w:shd w:val="clear" w:color="auto" w:fill="FFFFFF"/>
          </w:tcPr>
          <w:p w14:paraId="492D4F78" w14:textId="47E4B612" w:rsidR="00EE1D65" w:rsidRPr="00B57B36" w:rsidRDefault="00EE1D65" w:rsidP="009F126C">
            <w:pPr>
              <w:pStyle w:val="CETBodytext"/>
              <w:ind w:right="-1"/>
              <w:jc w:val="center"/>
              <w:rPr>
                <w:rFonts w:cs="Arial"/>
                <w:szCs w:val="18"/>
                <w:lang w:val="en-GB"/>
              </w:rPr>
            </w:pPr>
            <w:r w:rsidRPr="000F54A8">
              <w:t>2.75 ± 0.15</w:t>
            </w:r>
            <w:r w:rsidRPr="009F126C">
              <w:rPr>
                <w:vertAlign w:val="superscript"/>
              </w:rPr>
              <w:t>a</w:t>
            </w:r>
          </w:p>
        </w:tc>
        <w:tc>
          <w:tcPr>
            <w:tcW w:w="377" w:type="pct"/>
            <w:tcBorders>
              <w:bottom w:val="single" w:sz="4" w:space="0" w:color="00B050"/>
            </w:tcBorders>
            <w:shd w:val="clear" w:color="auto" w:fill="FFFFFF"/>
          </w:tcPr>
          <w:p w14:paraId="239D114A" w14:textId="0E494250" w:rsidR="00EE1D65" w:rsidRPr="00B57B36" w:rsidRDefault="00EE1D65" w:rsidP="009F126C">
            <w:pPr>
              <w:pStyle w:val="CETBodytext"/>
              <w:ind w:right="-1"/>
              <w:jc w:val="center"/>
              <w:rPr>
                <w:rFonts w:cs="Arial"/>
                <w:szCs w:val="18"/>
                <w:lang w:val="en-GB"/>
              </w:rPr>
            </w:pPr>
            <w:r w:rsidRPr="006201F7">
              <w:t>4.23</w:t>
            </w:r>
          </w:p>
        </w:tc>
      </w:tr>
      <w:tr w:rsidR="009F126C" w:rsidRPr="00B57B36" w14:paraId="6FDBECA3" w14:textId="77777777" w:rsidTr="00F077D1">
        <w:tc>
          <w:tcPr>
            <w:tcW w:w="807" w:type="pct"/>
            <w:vMerge w:val="restart"/>
            <w:shd w:val="clear" w:color="auto" w:fill="FFFFFF"/>
            <w:vAlign w:val="center"/>
          </w:tcPr>
          <w:p w14:paraId="3DC93E58" w14:textId="5F70F4C5" w:rsidR="00EE1D65" w:rsidRPr="00B57B36" w:rsidRDefault="00EE1D65" w:rsidP="00EE1D65">
            <w:pPr>
              <w:pStyle w:val="CETBodytext"/>
              <w:jc w:val="center"/>
              <w:rPr>
                <w:lang w:val="en-GB"/>
              </w:rPr>
            </w:pPr>
            <w:r>
              <w:rPr>
                <w:lang w:val="en-GB"/>
              </w:rPr>
              <w:t>160</w:t>
            </w:r>
          </w:p>
        </w:tc>
        <w:tc>
          <w:tcPr>
            <w:tcW w:w="502" w:type="pct"/>
            <w:tcBorders>
              <w:top w:val="single" w:sz="4" w:space="0" w:color="00B050"/>
            </w:tcBorders>
            <w:shd w:val="clear" w:color="auto" w:fill="FFFFFF"/>
          </w:tcPr>
          <w:p w14:paraId="6C698D1C" w14:textId="2141FCD4" w:rsidR="00EE1D65" w:rsidRPr="00B57B36" w:rsidRDefault="00EE1D65" w:rsidP="00EE1D65">
            <w:pPr>
              <w:pStyle w:val="CETBodytext"/>
              <w:jc w:val="center"/>
              <w:rPr>
                <w:lang w:val="en-GB"/>
              </w:rPr>
            </w:pPr>
            <w:r>
              <w:rPr>
                <w:lang w:val="en-GB"/>
              </w:rPr>
              <w:t>0.4</w:t>
            </w:r>
          </w:p>
        </w:tc>
        <w:tc>
          <w:tcPr>
            <w:tcW w:w="670" w:type="pct"/>
            <w:tcBorders>
              <w:top w:val="single" w:sz="4" w:space="0" w:color="00B050"/>
            </w:tcBorders>
            <w:shd w:val="clear" w:color="auto" w:fill="FFFFFF"/>
          </w:tcPr>
          <w:p w14:paraId="28574E87" w14:textId="53BDFE8F" w:rsidR="00EE1D65" w:rsidRPr="00B57B36" w:rsidRDefault="00EE1D65" w:rsidP="00EE1D65">
            <w:pPr>
              <w:pStyle w:val="CETBodytext"/>
              <w:jc w:val="center"/>
              <w:rPr>
                <w:lang w:val="en-GB"/>
              </w:rPr>
            </w:pPr>
            <w:r w:rsidRPr="009A72D2">
              <w:t>94.05</w:t>
            </w:r>
          </w:p>
        </w:tc>
        <w:tc>
          <w:tcPr>
            <w:tcW w:w="755" w:type="pct"/>
            <w:tcBorders>
              <w:top w:val="single" w:sz="4" w:space="0" w:color="00B050"/>
            </w:tcBorders>
            <w:shd w:val="clear" w:color="auto" w:fill="FFFFFF"/>
          </w:tcPr>
          <w:p w14:paraId="386C657D" w14:textId="0C7DE5B3" w:rsidR="00EE1D65" w:rsidRPr="00B57B36" w:rsidRDefault="00EE1D65" w:rsidP="00C0492C">
            <w:pPr>
              <w:pStyle w:val="CETBodytext"/>
              <w:ind w:right="-1"/>
              <w:jc w:val="center"/>
              <w:rPr>
                <w:rFonts w:cs="Arial"/>
                <w:szCs w:val="18"/>
                <w:lang w:val="en-GB"/>
              </w:rPr>
            </w:pPr>
            <w:r w:rsidRPr="00AB7B42">
              <w:t>78.90 ± 5.34</w:t>
            </w:r>
            <w:r w:rsidRPr="00432604">
              <w:rPr>
                <w:vertAlign w:val="superscript"/>
              </w:rPr>
              <w:t>a</w:t>
            </w:r>
          </w:p>
        </w:tc>
        <w:tc>
          <w:tcPr>
            <w:tcW w:w="755" w:type="pct"/>
            <w:tcBorders>
              <w:top w:val="single" w:sz="4" w:space="0" w:color="00B050"/>
            </w:tcBorders>
            <w:shd w:val="clear" w:color="auto" w:fill="FFFFFF"/>
          </w:tcPr>
          <w:p w14:paraId="317E3B16" w14:textId="785FC56F" w:rsidR="00EE1D65" w:rsidRPr="00B57B36" w:rsidRDefault="00EE1D65" w:rsidP="00EE1D65">
            <w:pPr>
              <w:pStyle w:val="CETBodytext"/>
              <w:ind w:right="-1"/>
              <w:jc w:val="center"/>
              <w:rPr>
                <w:rFonts w:cs="Arial"/>
                <w:szCs w:val="18"/>
                <w:lang w:val="en-GB"/>
              </w:rPr>
            </w:pPr>
            <w:r w:rsidRPr="00F16FC1">
              <w:t>82.3 ± 0.6</w:t>
            </w:r>
            <w:r w:rsidRPr="009F126C">
              <w:rPr>
                <w:vertAlign w:val="superscript"/>
              </w:rPr>
              <w:t>a</w:t>
            </w:r>
          </w:p>
        </w:tc>
        <w:tc>
          <w:tcPr>
            <w:tcW w:w="379" w:type="pct"/>
            <w:tcBorders>
              <w:top w:val="single" w:sz="4" w:space="0" w:color="00B050"/>
            </w:tcBorders>
            <w:shd w:val="clear" w:color="auto" w:fill="FFFFFF"/>
          </w:tcPr>
          <w:p w14:paraId="6E7A765F" w14:textId="5D7A6873" w:rsidR="00EE1D65" w:rsidRPr="00B57B36" w:rsidRDefault="00EE1D65" w:rsidP="00EE1D65">
            <w:pPr>
              <w:pStyle w:val="CETBodytext"/>
              <w:ind w:right="-1"/>
              <w:jc w:val="center"/>
              <w:rPr>
                <w:rFonts w:cs="Arial"/>
                <w:szCs w:val="18"/>
                <w:lang w:val="en-GB"/>
              </w:rPr>
            </w:pPr>
            <w:r w:rsidRPr="00D3402E">
              <w:t>81.78</w:t>
            </w:r>
          </w:p>
        </w:tc>
        <w:tc>
          <w:tcPr>
            <w:tcW w:w="755" w:type="pct"/>
            <w:tcBorders>
              <w:top w:val="single" w:sz="4" w:space="0" w:color="00B050"/>
            </w:tcBorders>
            <w:shd w:val="clear" w:color="auto" w:fill="FFFFFF"/>
          </w:tcPr>
          <w:p w14:paraId="52AD8A31" w14:textId="2C2999AC" w:rsidR="00EE1D65" w:rsidRPr="00B57B36" w:rsidRDefault="00EE1D65" w:rsidP="009F126C">
            <w:pPr>
              <w:pStyle w:val="CETBodytext"/>
              <w:ind w:right="-1"/>
              <w:jc w:val="center"/>
              <w:rPr>
                <w:rFonts w:cs="Arial"/>
                <w:szCs w:val="18"/>
                <w:lang w:val="en-GB"/>
              </w:rPr>
            </w:pPr>
            <w:r w:rsidRPr="000F54A8">
              <w:t>2.38 ± 0.38</w:t>
            </w:r>
            <w:r w:rsidRPr="009F126C">
              <w:rPr>
                <w:vertAlign w:val="superscript"/>
              </w:rPr>
              <w:t>a</w:t>
            </w:r>
          </w:p>
        </w:tc>
        <w:tc>
          <w:tcPr>
            <w:tcW w:w="377" w:type="pct"/>
            <w:tcBorders>
              <w:top w:val="single" w:sz="4" w:space="0" w:color="00B050"/>
            </w:tcBorders>
            <w:shd w:val="clear" w:color="auto" w:fill="FFFFFF"/>
          </w:tcPr>
          <w:p w14:paraId="13E6D902" w14:textId="2B81B687" w:rsidR="00EE1D65" w:rsidRPr="00B57B36" w:rsidRDefault="00EE1D65" w:rsidP="009F126C">
            <w:pPr>
              <w:pStyle w:val="CETBodytext"/>
              <w:ind w:right="-1"/>
              <w:jc w:val="center"/>
              <w:rPr>
                <w:rFonts w:cs="Arial"/>
                <w:szCs w:val="18"/>
                <w:lang w:val="en-GB"/>
              </w:rPr>
            </w:pPr>
            <w:r w:rsidRPr="006201F7">
              <w:t>3.43</w:t>
            </w:r>
          </w:p>
        </w:tc>
      </w:tr>
      <w:tr w:rsidR="009F126C" w:rsidRPr="00B57B36" w14:paraId="1424A1A0" w14:textId="77777777" w:rsidTr="00F077D1">
        <w:tc>
          <w:tcPr>
            <w:tcW w:w="807" w:type="pct"/>
            <w:vMerge/>
            <w:shd w:val="clear" w:color="auto" w:fill="FFFFFF"/>
          </w:tcPr>
          <w:p w14:paraId="4AEBFCC4" w14:textId="77777777" w:rsidR="00EE1D65" w:rsidRPr="00B57B36" w:rsidRDefault="00EE1D65" w:rsidP="00EE1D65">
            <w:pPr>
              <w:pStyle w:val="CETBodytext"/>
              <w:rPr>
                <w:lang w:val="en-GB"/>
              </w:rPr>
            </w:pPr>
          </w:p>
        </w:tc>
        <w:tc>
          <w:tcPr>
            <w:tcW w:w="502" w:type="pct"/>
            <w:shd w:val="clear" w:color="auto" w:fill="FFFFFF"/>
          </w:tcPr>
          <w:p w14:paraId="5A4CCA96" w14:textId="7B8D04B6" w:rsidR="00EE1D65" w:rsidRPr="00B57B36" w:rsidRDefault="00EE1D65" w:rsidP="00EE1D65">
            <w:pPr>
              <w:pStyle w:val="CETBodytext"/>
              <w:jc w:val="center"/>
              <w:rPr>
                <w:lang w:val="en-GB"/>
              </w:rPr>
            </w:pPr>
            <w:r>
              <w:rPr>
                <w:lang w:val="en-GB"/>
              </w:rPr>
              <w:t>0.6</w:t>
            </w:r>
          </w:p>
        </w:tc>
        <w:tc>
          <w:tcPr>
            <w:tcW w:w="670" w:type="pct"/>
            <w:shd w:val="clear" w:color="auto" w:fill="FFFFFF"/>
          </w:tcPr>
          <w:p w14:paraId="4F04BF19" w14:textId="3ADBA804" w:rsidR="00EE1D65" w:rsidRPr="00B57B36" w:rsidRDefault="00EE1D65" w:rsidP="00EE1D65">
            <w:pPr>
              <w:pStyle w:val="CETBodytext"/>
              <w:jc w:val="center"/>
              <w:rPr>
                <w:lang w:val="en-GB"/>
              </w:rPr>
            </w:pPr>
            <w:r w:rsidRPr="009A72D2">
              <w:t>92.81</w:t>
            </w:r>
          </w:p>
        </w:tc>
        <w:tc>
          <w:tcPr>
            <w:tcW w:w="755" w:type="pct"/>
            <w:shd w:val="clear" w:color="auto" w:fill="FFFFFF"/>
          </w:tcPr>
          <w:p w14:paraId="0423FD6C" w14:textId="54E1C37E" w:rsidR="00EE1D65" w:rsidRPr="00B57B36" w:rsidRDefault="00EE1D65" w:rsidP="00C0492C">
            <w:pPr>
              <w:pStyle w:val="CETBodytext"/>
              <w:ind w:right="-1"/>
              <w:jc w:val="center"/>
              <w:rPr>
                <w:rFonts w:cs="Arial"/>
                <w:szCs w:val="18"/>
                <w:lang w:val="en-GB"/>
              </w:rPr>
            </w:pPr>
            <w:r w:rsidRPr="00AB7B42">
              <w:t>81.08 ± 7.43</w:t>
            </w:r>
            <w:r w:rsidRPr="00432604">
              <w:rPr>
                <w:vertAlign w:val="superscript"/>
              </w:rPr>
              <w:t>a</w:t>
            </w:r>
          </w:p>
        </w:tc>
        <w:tc>
          <w:tcPr>
            <w:tcW w:w="755" w:type="pct"/>
            <w:shd w:val="clear" w:color="auto" w:fill="FFFFFF"/>
          </w:tcPr>
          <w:p w14:paraId="73BDDBD1" w14:textId="0E5FAAB0" w:rsidR="00EE1D65" w:rsidRPr="00B57B36" w:rsidRDefault="00EE1D65" w:rsidP="00EE1D65">
            <w:pPr>
              <w:pStyle w:val="CETBodytext"/>
              <w:ind w:right="-1"/>
              <w:jc w:val="center"/>
              <w:rPr>
                <w:rFonts w:cs="Arial"/>
                <w:szCs w:val="18"/>
                <w:lang w:val="en-GB"/>
              </w:rPr>
            </w:pPr>
            <w:r w:rsidRPr="00F16FC1">
              <w:t>85.0 ± 2.6</w:t>
            </w:r>
            <w:r w:rsidRPr="009F126C">
              <w:rPr>
                <w:vertAlign w:val="superscript"/>
              </w:rPr>
              <w:t>a</w:t>
            </w:r>
          </w:p>
        </w:tc>
        <w:tc>
          <w:tcPr>
            <w:tcW w:w="379" w:type="pct"/>
            <w:shd w:val="clear" w:color="auto" w:fill="FFFFFF"/>
          </w:tcPr>
          <w:p w14:paraId="1FE7AEA9" w14:textId="3C05EC74" w:rsidR="00EE1D65" w:rsidRPr="00B57B36" w:rsidRDefault="00EE1D65" w:rsidP="00EE1D65">
            <w:pPr>
              <w:pStyle w:val="CETBodytext"/>
              <w:ind w:right="-1"/>
              <w:jc w:val="center"/>
              <w:rPr>
                <w:rFonts w:cs="Arial"/>
                <w:szCs w:val="18"/>
                <w:lang w:val="en-GB"/>
              </w:rPr>
            </w:pPr>
            <w:r w:rsidRPr="00D3402E">
              <w:t>81.83</w:t>
            </w:r>
          </w:p>
        </w:tc>
        <w:tc>
          <w:tcPr>
            <w:tcW w:w="755" w:type="pct"/>
            <w:shd w:val="clear" w:color="auto" w:fill="FFFFFF"/>
          </w:tcPr>
          <w:p w14:paraId="55A6DAFC" w14:textId="52F919C0" w:rsidR="00EE1D65" w:rsidRPr="00B57B36" w:rsidRDefault="00EE1D65" w:rsidP="009F126C">
            <w:pPr>
              <w:pStyle w:val="CETBodytext"/>
              <w:ind w:right="-1"/>
              <w:jc w:val="center"/>
              <w:rPr>
                <w:rFonts w:cs="Arial"/>
                <w:szCs w:val="18"/>
                <w:lang w:val="en-GB"/>
              </w:rPr>
            </w:pPr>
            <w:r w:rsidRPr="000F54A8">
              <w:t>4.41 ± 0.06</w:t>
            </w:r>
            <w:r w:rsidRPr="009F126C">
              <w:rPr>
                <w:vertAlign w:val="superscript"/>
              </w:rPr>
              <w:t>b</w:t>
            </w:r>
          </w:p>
        </w:tc>
        <w:tc>
          <w:tcPr>
            <w:tcW w:w="377" w:type="pct"/>
            <w:shd w:val="clear" w:color="auto" w:fill="FFFFFF"/>
          </w:tcPr>
          <w:p w14:paraId="4B380B59" w14:textId="2A442D1D" w:rsidR="00EE1D65" w:rsidRPr="00B57B36" w:rsidRDefault="00EE1D65" w:rsidP="009F126C">
            <w:pPr>
              <w:pStyle w:val="CETBodytext"/>
              <w:ind w:right="-1"/>
              <w:jc w:val="center"/>
              <w:rPr>
                <w:rFonts w:cs="Arial"/>
                <w:szCs w:val="18"/>
                <w:lang w:val="en-GB"/>
              </w:rPr>
            </w:pPr>
            <w:r w:rsidRPr="006201F7">
              <w:t>3.41</w:t>
            </w:r>
          </w:p>
        </w:tc>
      </w:tr>
      <w:tr w:rsidR="009F126C" w:rsidRPr="00B57B36" w14:paraId="17C4D8FD" w14:textId="77777777" w:rsidTr="00F077D1">
        <w:tc>
          <w:tcPr>
            <w:tcW w:w="807" w:type="pct"/>
            <w:vMerge/>
            <w:shd w:val="clear" w:color="auto" w:fill="FFFFFF"/>
          </w:tcPr>
          <w:p w14:paraId="74F52A6A" w14:textId="77777777" w:rsidR="00EE1D65" w:rsidRPr="00B57B36" w:rsidRDefault="00EE1D65" w:rsidP="00EE1D65">
            <w:pPr>
              <w:pStyle w:val="CETBodytext"/>
              <w:rPr>
                <w:lang w:val="en-GB"/>
              </w:rPr>
            </w:pPr>
          </w:p>
        </w:tc>
        <w:tc>
          <w:tcPr>
            <w:tcW w:w="502" w:type="pct"/>
            <w:tcBorders>
              <w:bottom w:val="single" w:sz="4" w:space="0" w:color="00B050"/>
            </w:tcBorders>
            <w:shd w:val="clear" w:color="auto" w:fill="FFFFFF"/>
          </w:tcPr>
          <w:p w14:paraId="7C6909BC" w14:textId="6BFAC70E" w:rsidR="00EE1D65" w:rsidRPr="00B57B36" w:rsidRDefault="00EE1D65" w:rsidP="00EE1D65">
            <w:pPr>
              <w:pStyle w:val="CETBodytext"/>
              <w:jc w:val="center"/>
              <w:rPr>
                <w:lang w:val="en-GB"/>
              </w:rPr>
            </w:pPr>
            <w:r>
              <w:rPr>
                <w:lang w:val="en-GB"/>
              </w:rPr>
              <w:t>0.8</w:t>
            </w:r>
          </w:p>
        </w:tc>
        <w:tc>
          <w:tcPr>
            <w:tcW w:w="670" w:type="pct"/>
            <w:tcBorders>
              <w:bottom w:val="single" w:sz="4" w:space="0" w:color="00B050"/>
            </w:tcBorders>
            <w:shd w:val="clear" w:color="auto" w:fill="FFFFFF"/>
          </w:tcPr>
          <w:p w14:paraId="64A75A6B" w14:textId="17C962CB" w:rsidR="00EE1D65" w:rsidRPr="00B57B36" w:rsidRDefault="00EE1D65" w:rsidP="00EE1D65">
            <w:pPr>
              <w:pStyle w:val="CETBodytext"/>
              <w:jc w:val="center"/>
              <w:rPr>
                <w:lang w:val="en-GB"/>
              </w:rPr>
            </w:pPr>
            <w:r w:rsidRPr="009A72D2">
              <w:t>87.25</w:t>
            </w:r>
          </w:p>
        </w:tc>
        <w:tc>
          <w:tcPr>
            <w:tcW w:w="755" w:type="pct"/>
            <w:tcBorders>
              <w:bottom w:val="single" w:sz="4" w:space="0" w:color="00B050"/>
            </w:tcBorders>
            <w:shd w:val="clear" w:color="auto" w:fill="FFFFFF"/>
          </w:tcPr>
          <w:p w14:paraId="0344B515" w14:textId="74158CD7" w:rsidR="00EE1D65" w:rsidRPr="00B57B36" w:rsidRDefault="00EE1D65" w:rsidP="00C0492C">
            <w:pPr>
              <w:pStyle w:val="CETBodytext"/>
              <w:ind w:right="-1"/>
              <w:jc w:val="center"/>
              <w:rPr>
                <w:rFonts w:cs="Arial"/>
                <w:szCs w:val="18"/>
                <w:lang w:val="en-GB"/>
              </w:rPr>
            </w:pPr>
            <w:r w:rsidRPr="00AB7B42">
              <w:t>82.88 ± 8.80</w:t>
            </w:r>
            <w:r w:rsidRPr="00432604">
              <w:rPr>
                <w:vertAlign w:val="superscript"/>
              </w:rPr>
              <w:t>a</w:t>
            </w:r>
          </w:p>
        </w:tc>
        <w:tc>
          <w:tcPr>
            <w:tcW w:w="755" w:type="pct"/>
            <w:tcBorders>
              <w:bottom w:val="single" w:sz="4" w:space="0" w:color="00B050"/>
            </w:tcBorders>
            <w:shd w:val="clear" w:color="auto" w:fill="FFFFFF"/>
          </w:tcPr>
          <w:p w14:paraId="7DE3A3EB" w14:textId="0329C76B" w:rsidR="00EE1D65" w:rsidRPr="00B57B36" w:rsidRDefault="00EE1D65" w:rsidP="00EE1D65">
            <w:pPr>
              <w:pStyle w:val="CETBodytext"/>
              <w:ind w:right="-1"/>
              <w:jc w:val="center"/>
              <w:rPr>
                <w:rFonts w:cs="Arial"/>
                <w:szCs w:val="18"/>
                <w:lang w:val="en-GB"/>
              </w:rPr>
            </w:pPr>
            <w:r w:rsidRPr="00F16FC1">
              <w:t>86.7 ± 1.5</w:t>
            </w:r>
            <w:r w:rsidRPr="009F126C">
              <w:rPr>
                <w:vertAlign w:val="superscript"/>
              </w:rPr>
              <w:t>a</w:t>
            </w:r>
          </w:p>
        </w:tc>
        <w:tc>
          <w:tcPr>
            <w:tcW w:w="379" w:type="pct"/>
            <w:tcBorders>
              <w:bottom w:val="single" w:sz="4" w:space="0" w:color="00B050"/>
            </w:tcBorders>
            <w:shd w:val="clear" w:color="auto" w:fill="FFFFFF"/>
          </w:tcPr>
          <w:p w14:paraId="6B584E2A" w14:textId="4A4CEE77" w:rsidR="00EE1D65" w:rsidRPr="00B57B36" w:rsidRDefault="00EE1D65" w:rsidP="00EE1D65">
            <w:pPr>
              <w:pStyle w:val="CETBodytext"/>
              <w:ind w:right="-1"/>
              <w:jc w:val="center"/>
              <w:rPr>
                <w:rFonts w:cs="Arial"/>
                <w:szCs w:val="18"/>
                <w:lang w:val="en-GB"/>
              </w:rPr>
            </w:pPr>
            <w:r w:rsidRPr="00D3402E">
              <w:t>82.25</w:t>
            </w:r>
          </w:p>
        </w:tc>
        <w:tc>
          <w:tcPr>
            <w:tcW w:w="755" w:type="pct"/>
            <w:tcBorders>
              <w:bottom w:val="single" w:sz="4" w:space="0" w:color="00B050"/>
            </w:tcBorders>
            <w:shd w:val="clear" w:color="auto" w:fill="FFFFFF"/>
          </w:tcPr>
          <w:p w14:paraId="21145E8B" w14:textId="395DB26B" w:rsidR="00EE1D65" w:rsidRPr="00B57B36" w:rsidRDefault="00EE1D65" w:rsidP="009F126C">
            <w:pPr>
              <w:pStyle w:val="CETBodytext"/>
              <w:ind w:right="-1"/>
              <w:jc w:val="center"/>
              <w:rPr>
                <w:rFonts w:cs="Arial"/>
                <w:szCs w:val="18"/>
                <w:lang w:val="en-GB"/>
              </w:rPr>
            </w:pPr>
            <w:r w:rsidRPr="000F54A8">
              <w:t>3.89 ± 1.00</w:t>
            </w:r>
            <w:r w:rsidRPr="009F126C">
              <w:rPr>
                <w:vertAlign w:val="superscript"/>
              </w:rPr>
              <w:t>b</w:t>
            </w:r>
          </w:p>
        </w:tc>
        <w:tc>
          <w:tcPr>
            <w:tcW w:w="377" w:type="pct"/>
            <w:tcBorders>
              <w:bottom w:val="single" w:sz="4" w:space="0" w:color="00B050"/>
            </w:tcBorders>
            <w:shd w:val="clear" w:color="auto" w:fill="FFFFFF"/>
          </w:tcPr>
          <w:p w14:paraId="7291B771" w14:textId="148383BC" w:rsidR="00EE1D65" w:rsidRPr="00B57B36" w:rsidRDefault="00EE1D65" w:rsidP="009F126C">
            <w:pPr>
              <w:pStyle w:val="CETBodytext"/>
              <w:ind w:right="-1"/>
              <w:jc w:val="center"/>
              <w:rPr>
                <w:rFonts w:cs="Arial"/>
                <w:szCs w:val="18"/>
                <w:lang w:val="en-GB"/>
              </w:rPr>
            </w:pPr>
            <w:r w:rsidRPr="006201F7">
              <w:t>3.25</w:t>
            </w:r>
          </w:p>
        </w:tc>
      </w:tr>
      <w:tr w:rsidR="009F126C" w:rsidRPr="00B57B36" w14:paraId="0AD31F40" w14:textId="77777777" w:rsidTr="00F077D1">
        <w:tc>
          <w:tcPr>
            <w:tcW w:w="807" w:type="pct"/>
            <w:vMerge w:val="restart"/>
            <w:shd w:val="clear" w:color="auto" w:fill="FFFFFF"/>
            <w:vAlign w:val="center"/>
          </w:tcPr>
          <w:p w14:paraId="150BC1FD" w14:textId="5FCEA40B" w:rsidR="00EE1D65" w:rsidRPr="00B57B36" w:rsidRDefault="00EE1D65" w:rsidP="00EE1D65">
            <w:pPr>
              <w:pStyle w:val="CETBodytext"/>
              <w:jc w:val="center"/>
              <w:rPr>
                <w:lang w:val="en-GB"/>
              </w:rPr>
            </w:pPr>
            <w:r>
              <w:rPr>
                <w:lang w:val="en-GB"/>
              </w:rPr>
              <w:t>180</w:t>
            </w:r>
          </w:p>
        </w:tc>
        <w:tc>
          <w:tcPr>
            <w:tcW w:w="502" w:type="pct"/>
            <w:tcBorders>
              <w:top w:val="single" w:sz="4" w:space="0" w:color="00B050"/>
            </w:tcBorders>
            <w:shd w:val="clear" w:color="auto" w:fill="FFFFFF"/>
          </w:tcPr>
          <w:p w14:paraId="7F1DC3D3" w14:textId="18982B28" w:rsidR="00EE1D65" w:rsidRDefault="00EE1D65" w:rsidP="00EE1D65">
            <w:pPr>
              <w:pStyle w:val="CETBodytext"/>
              <w:jc w:val="center"/>
              <w:rPr>
                <w:lang w:val="en-GB"/>
              </w:rPr>
            </w:pPr>
            <w:r>
              <w:rPr>
                <w:lang w:val="en-GB"/>
              </w:rPr>
              <w:t>0.4</w:t>
            </w:r>
          </w:p>
        </w:tc>
        <w:tc>
          <w:tcPr>
            <w:tcW w:w="670" w:type="pct"/>
            <w:tcBorders>
              <w:top w:val="single" w:sz="4" w:space="0" w:color="00B050"/>
            </w:tcBorders>
            <w:shd w:val="clear" w:color="auto" w:fill="FFFFFF"/>
          </w:tcPr>
          <w:p w14:paraId="33EE6958" w14:textId="23DFC836" w:rsidR="00EE1D65" w:rsidRPr="00B57B36" w:rsidRDefault="00EE1D65" w:rsidP="00EE1D65">
            <w:pPr>
              <w:pStyle w:val="CETBodytext"/>
              <w:jc w:val="center"/>
              <w:rPr>
                <w:lang w:val="en-GB"/>
              </w:rPr>
            </w:pPr>
            <w:r w:rsidRPr="009A72D2">
              <w:t>93.69</w:t>
            </w:r>
          </w:p>
        </w:tc>
        <w:tc>
          <w:tcPr>
            <w:tcW w:w="755" w:type="pct"/>
            <w:tcBorders>
              <w:top w:val="single" w:sz="4" w:space="0" w:color="00B050"/>
            </w:tcBorders>
            <w:shd w:val="clear" w:color="auto" w:fill="FFFFFF"/>
          </w:tcPr>
          <w:p w14:paraId="5C4C19D4" w14:textId="79C90CA9" w:rsidR="00EE1D65" w:rsidRPr="00B57B36" w:rsidRDefault="00EE1D65" w:rsidP="00C0492C">
            <w:pPr>
              <w:pStyle w:val="CETBodytext"/>
              <w:ind w:right="-1"/>
              <w:jc w:val="center"/>
              <w:rPr>
                <w:rFonts w:cs="Arial"/>
                <w:szCs w:val="18"/>
                <w:lang w:val="en-GB"/>
              </w:rPr>
            </w:pPr>
            <w:r w:rsidRPr="00AB7B42">
              <w:t>78.55 ± 2.55</w:t>
            </w:r>
            <w:r w:rsidRPr="00432604">
              <w:rPr>
                <w:vertAlign w:val="superscript"/>
              </w:rPr>
              <w:t>a</w:t>
            </w:r>
          </w:p>
        </w:tc>
        <w:tc>
          <w:tcPr>
            <w:tcW w:w="755" w:type="pct"/>
            <w:tcBorders>
              <w:top w:val="single" w:sz="4" w:space="0" w:color="00B050"/>
            </w:tcBorders>
            <w:shd w:val="clear" w:color="auto" w:fill="FFFFFF"/>
          </w:tcPr>
          <w:p w14:paraId="6E87B114" w14:textId="05F10A16" w:rsidR="00EE1D65" w:rsidRPr="00B57B36" w:rsidRDefault="00EE1D65" w:rsidP="00EE1D65">
            <w:pPr>
              <w:pStyle w:val="CETBodytext"/>
              <w:ind w:right="-1"/>
              <w:jc w:val="center"/>
              <w:rPr>
                <w:rFonts w:cs="Arial"/>
                <w:szCs w:val="18"/>
                <w:lang w:val="en-GB"/>
              </w:rPr>
            </w:pPr>
            <w:r w:rsidRPr="00F16FC1">
              <w:t>97.0 ± 1.0</w:t>
            </w:r>
            <w:r w:rsidRPr="009F126C">
              <w:rPr>
                <w:vertAlign w:val="superscript"/>
              </w:rPr>
              <w:t>a</w:t>
            </w:r>
          </w:p>
        </w:tc>
        <w:tc>
          <w:tcPr>
            <w:tcW w:w="379" w:type="pct"/>
            <w:tcBorders>
              <w:top w:val="single" w:sz="4" w:space="0" w:color="00B050"/>
            </w:tcBorders>
            <w:shd w:val="clear" w:color="auto" w:fill="FFFFFF"/>
          </w:tcPr>
          <w:p w14:paraId="3EE1A072" w14:textId="04651A49" w:rsidR="00EE1D65" w:rsidRPr="00B57B36" w:rsidRDefault="00EE1D65" w:rsidP="00EE1D65">
            <w:pPr>
              <w:pStyle w:val="CETBodytext"/>
              <w:ind w:right="-1"/>
              <w:jc w:val="center"/>
              <w:rPr>
                <w:rFonts w:cs="Arial"/>
                <w:szCs w:val="18"/>
                <w:lang w:val="en-GB"/>
              </w:rPr>
            </w:pPr>
            <w:r w:rsidRPr="00D3402E">
              <w:t>89.22</w:t>
            </w:r>
          </w:p>
        </w:tc>
        <w:tc>
          <w:tcPr>
            <w:tcW w:w="755" w:type="pct"/>
            <w:tcBorders>
              <w:top w:val="single" w:sz="4" w:space="0" w:color="00B050"/>
            </w:tcBorders>
            <w:shd w:val="clear" w:color="auto" w:fill="FFFFFF"/>
          </w:tcPr>
          <w:p w14:paraId="66A14F03" w14:textId="5A927A47" w:rsidR="00EE1D65" w:rsidRPr="00B57B36" w:rsidRDefault="00EE1D65" w:rsidP="009F126C">
            <w:pPr>
              <w:pStyle w:val="CETBodytext"/>
              <w:ind w:right="-1"/>
              <w:jc w:val="center"/>
              <w:rPr>
                <w:rFonts w:cs="Arial"/>
                <w:szCs w:val="18"/>
                <w:lang w:val="en-GB"/>
              </w:rPr>
            </w:pPr>
            <w:r w:rsidRPr="000F54A8">
              <w:t>1.55 ± 0.15</w:t>
            </w:r>
            <w:r w:rsidRPr="009F126C">
              <w:rPr>
                <w:vertAlign w:val="superscript"/>
              </w:rPr>
              <w:t>a</w:t>
            </w:r>
          </w:p>
        </w:tc>
        <w:tc>
          <w:tcPr>
            <w:tcW w:w="377" w:type="pct"/>
            <w:tcBorders>
              <w:top w:val="single" w:sz="4" w:space="0" w:color="00B050"/>
            </w:tcBorders>
            <w:shd w:val="clear" w:color="auto" w:fill="FFFFFF"/>
          </w:tcPr>
          <w:p w14:paraId="26E62F9D" w14:textId="146180BE" w:rsidR="00EE1D65" w:rsidRPr="00B57B36" w:rsidRDefault="00EE1D65" w:rsidP="009F126C">
            <w:pPr>
              <w:pStyle w:val="CETBodytext"/>
              <w:ind w:right="-1"/>
              <w:jc w:val="center"/>
              <w:rPr>
                <w:rFonts w:cs="Arial"/>
                <w:szCs w:val="18"/>
                <w:lang w:val="en-GB"/>
              </w:rPr>
            </w:pPr>
            <w:r w:rsidRPr="006201F7">
              <w:t>2.67</w:t>
            </w:r>
          </w:p>
        </w:tc>
      </w:tr>
      <w:tr w:rsidR="009F126C" w:rsidRPr="00B57B36" w14:paraId="1BA3585D" w14:textId="77777777" w:rsidTr="00F077D1">
        <w:tc>
          <w:tcPr>
            <w:tcW w:w="807" w:type="pct"/>
            <w:vMerge/>
            <w:shd w:val="clear" w:color="auto" w:fill="FFFFFF"/>
          </w:tcPr>
          <w:p w14:paraId="53C71A80" w14:textId="77777777" w:rsidR="00EE1D65" w:rsidRPr="00B57B36" w:rsidRDefault="00EE1D65" w:rsidP="00EE1D65">
            <w:pPr>
              <w:pStyle w:val="CETBodytext"/>
              <w:rPr>
                <w:lang w:val="en-GB"/>
              </w:rPr>
            </w:pPr>
          </w:p>
        </w:tc>
        <w:tc>
          <w:tcPr>
            <w:tcW w:w="502" w:type="pct"/>
            <w:shd w:val="clear" w:color="auto" w:fill="FFFFFF"/>
          </w:tcPr>
          <w:p w14:paraId="1850716D" w14:textId="20BC5581" w:rsidR="00EE1D65" w:rsidRDefault="00EE1D65" w:rsidP="00EE1D65">
            <w:pPr>
              <w:pStyle w:val="CETBodytext"/>
              <w:jc w:val="center"/>
              <w:rPr>
                <w:lang w:val="en-GB"/>
              </w:rPr>
            </w:pPr>
            <w:r>
              <w:rPr>
                <w:lang w:val="en-GB"/>
              </w:rPr>
              <w:t>0.6</w:t>
            </w:r>
          </w:p>
        </w:tc>
        <w:tc>
          <w:tcPr>
            <w:tcW w:w="670" w:type="pct"/>
            <w:shd w:val="clear" w:color="auto" w:fill="FFFFFF"/>
          </w:tcPr>
          <w:p w14:paraId="611C1CAA" w14:textId="5B107783" w:rsidR="00EE1D65" w:rsidRPr="00B57B36" w:rsidRDefault="00EE1D65" w:rsidP="00EE1D65">
            <w:pPr>
              <w:pStyle w:val="CETBodytext"/>
              <w:jc w:val="center"/>
              <w:rPr>
                <w:lang w:val="en-GB"/>
              </w:rPr>
            </w:pPr>
            <w:r w:rsidRPr="009A72D2">
              <w:t>92.71</w:t>
            </w:r>
          </w:p>
        </w:tc>
        <w:tc>
          <w:tcPr>
            <w:tcW w:w="755" w:type="pct"/>
            <w:shd w:val="clear" w:color="auto" w:fill="FFFFFF"/>
          </w:tcPr>
          <w:p w14:paraId="0E849D32" w14:textId="30F7B9A3" w:rsidR="00EE1D65" w:rsidRPr="00B57B36" w:rsidRDefault="00EE1D65" w:rsidP="00C0492C">
            <w:pPr>
              <w:pStyle w:val="CETBodytext"/>
              <w:ind w:right="-1"/>
              <w:jc w:val="center"/>
              <w:rPr>
                <w:rFonts w:cs="Arial"/>
                <w:szCs w:val="18"/>
                <w:lang w:val="en-GB"/>
              </w:rPr>
            </w:pPr>
            <w:r w:rsidRPr="00AB7B42">
              <w:t>83.37 ± 4.30</w:t>
            </w:r>
            <w:r w:rsidRPr="00432604">
              <w:rPr>
                <w:vertAlign w:val="superscript"/>
              </w:rPr>
              <w:t>ab</w:t>
            </w:r>
          </w:p>
        </w:tc>
        <w:tc>
          <w:tcPr>
            <w:tcW w:w="755" w:type="pct"/>
            <w:shd w:val="clear" w:color="auto" w:fill="FFFFFF"/>
          </w:tcPr>
          <w:p w14:paraId="108F4F2C" w14:textId="656DFEA0" w:rsidR="00EE1D65" w:rsidRPr="00B57B36" w:rsidRDefault="00EE1D65" w:rsidP="00EE1D65">
            <w:pPr>
              <w:pStyle w:val="CETBodytext"/>
              <w:ind w:right="-1"/>
              <w:jc w:val="center"/>
              <w:rPr>
                <w:rFonts w:cs="Arial"/>
                <w:szCs w:val="18"/>
                <w:lang w:val="en-GB"/>
              </w:rPr>
            </w:pPr>
            <w:r w:rsidRPr="00F16FC1">
              <w:t>94.7 ± 2.3</w:t>
            </w:r>
            <w:r w:rsidRPr="009F126C">
              <w:rPr>
                <w:vertAlign w:val="superscript"/>
              </w:rPr>
              <w:t>a</w:t>
            </w:r>
          </w:p>
        </w:tc>
        <w:tc>
          <w:tcPr>
            <w:tcW w:w="379" w:type="pct"/>
            <w:shd w:val="clear" w:color="auto" w:fill="FFFFFF"/>
          </w:tcPr>
          <w:p w14:paraId="0C599EBB" w14:textId="35AE07D6" w:rsidR="00EE1D65" w:rsidRPr="00B57B36" w:rsidRDefault="00EE1D65" w:rsidP="00EE1D65">
            <w:pPr>
              <w:pStyle w:val="CETBodytext"/>
              <w:ind w:right="-1"/>
              <w:jc w:val="center"/>
              <w:rPr>
                <w:rFonts w:cs="Arial"/>
                <w:szCs w:val="18"/>
                <w:lang w:val="en-GB"/>
              </w:rPr>
            </w:pPr>
            <w:r w:rsidRPr="00D3402E">
              <w:t>89.24</w:t>
            </w:r>
          </w:p>
        </w:tc>
        <w:tc>
          <w:tcPr>
            <w:tcW w:w="755" w:type="pct"/>
            <w:shd w:val="clear" w:color="auto" w:fill="FFFFFF"/>
          </w:tcPr>
          <w:p w14:paraId="64DD13D0" w14:textId="4069D39A" w:rsidR="00EE1D65" w:rsidRPr="00B57B36" w:rsidRDefault="00EE1D65" w:rsidP="009F126C">
            <w:pPr>
              <w:pStyle w:val="CETBodytext"/>
              <w:ind w:right="-1"/>
              <w:jc w:val="center"/>
              <w:rPr>
                <w:rFonts w:cs="Arial"/>
                <w:szCs w:val="18"/>
                <w:lang w:val="en-GB"/>
              </w:rPr>
            </w:pPr>
            <w:r w:rsidRPr="000F54A8">
              <w:t>2.85 ± 0.16</w:t>
            </w:r>
            <w:r w:rsidRPr="009F126C">
              <w:rPr>
                <w:vertAlign w:val="superscript"/>
              </w:rPr>
              <w:t>b</w:t>
            </w:r>
          </w:p>
        </w:tc>
        <w:tc>
          <w:tcPr>
            <w:tcW w:w="377" w:type="pct"/>
            <w:shd w:val="clear" w:color="auto" w:fill="FFFFFF"/>
          </w:tcPr>
          <w:p w14:paraId="0826422B" w14:textId="7B94AA66" w:rsidR="00EE1D65" w:rsidRPr="00B57B36" w:rsidRDefault="00EE1D65" w:rsidP="009F126C">
            <w:pPr>
              <w:pStyle w:val="CETBodytext"/>
              <w:ind w:right="-1"/>
              <w:jc w:val="center"/>
              <w:rPr>
                <w:rFonts w:cs="Arial"/>
                <w:szCs w:val="18"/>
                <w:lang w:val="en-GB"/>
              </w:rPr>
            </w:pPr>
            <w:r w:rsidRPr="006201F7">
              <w:t>2.67</w:t>
            </w:r>
          </w:p>
        </w:tc>
      </w:tr>
      <w:tr w:rsidR="009F126C" w:rsidRPr="00B57B36" w14:paraId="673279EE" w14:textId="77777777" w:rsidTr="00F077D1">
        <w:tc>
          <w:tcPr>
            <w:tcW w:w="807" w:type="pct"/>
            <w:vMerge/>
            <w:shd w:val="clear" w:color="auto" w:fill="FFFFFF"/>
          </w:tcPr>
          <w:p w14:paraId="630EB932" w14:textId="77777777" w:rsidR="00EE1D65" w:rsidRPr="00B57B36" w:rsidRDefault="00EE1D65" w:rsidP="00EE1D65">
            <w:pPr>
              <w:pStyle w:val="CETBodytext"/>
              <w:rPr>
                <w:lang w:val="en-GB"/>
              </w:rPr>
            </w:pPr>
          </w:p>
        </w:tc>
        <w:tc>
          <w:tcPr>
            <w:tcW w:w="502" w:type="pct"/>
            <w:tcBorders>
              <w:bottom w:val="single" w:sz="4" w:space="0" w:color="00B050"/>
            </w:tcBorders>
            <w:shd w:val="clear" w:color="auto" w:fill="FFFFFF"/>
          </w:tcPr>
          <w:p w14:paraId="46E39B94" w14:textId="742903A3" w:rsidR="00EE1D65" w:rsidRDefault="00EE1D65" w:rsidP="00EE1D65">
            <w:pPr>
              <w:pStyle w:val="CETBodytext"/>
              <w:jc w:val="center"/>
              <w:rPr>
                <w:lang w:val="en-GB"/>
              </w:rPr>
            </w:pPr>
            <w:r>
              <w:rPr>
                <w:lang w:val="en-GB"/>
              </w:rPr>
              <w:t>0.8</w:t>
            </w:r>
          </w:p>
        </w:tc>
        <w:tc>
          <w:tcPr>
            <w:tcW w:w="670" w:type="pct"/>
            <w:tcBorders>
              <w:bottom w:val="single" w:sz="4" w:space="0" w:color="00B050"/>
            </w:tcBorders>
            <w:shd w:val="clear" w:color="auto" w:fill="FFFFFF"/>
          </w:tcPr>
          <w:p w14:paraId="24D447D9" w14:textId="21C5C9C3" w:rsidR="00EE1D65" w:rsidRPr="00B57B36" w:rsidRDefault="00EE1D65" w:rsidP="00EE1D65">
            <w:pPr>
              <w:pStyle w:val="CETBodytext"/>
              <w:jc w:val="center"/>
              <w:rPr>
                <w:lang w:val="en-GB"/>
              </w:rPr>
            </w:pPr>
            <w:r w:rsidRPr="009A72D2">
              <w:t>87.69</w:t>
            </w:r>
          </w:p>
        </w:tc>
        <w:tc>
          <w:tcPr>
            <w:tcW w:w="755" w:type="pct"/>
            <w:tcBorders>
              <w:bottom w:val="single" w:sz="4" w:space="0" w:color="00B050"/>
            </w:tcBorders>
            <w:shd w:val="clear" w:color="auto" w:fill="FFFFFF"/>
          </w:tcPr>
          <w:p w14:paraId="7ED50374" w14:textId="2A998100" w:rsidR="00EE1D65" w:rsidRPr="00B57B36" w:rsidRDefault="00EE1D65" w:rsidP="00C0492C">
            <w:pPr>
              <w:pStyle w:val="CETBodytext"/>
              <w:ind w:right="-1"/>
              <w:jc w:val="center"/>
              <w:rPr>
                <w:rFonts w:cs="Arial"/>
                <w:szCs w:val="18"/>
                <w:lang w:val="en-GB"/>
              </w:rPr>
            </w:pPr>
            <w:r w:rsidRPr="00AB7B42">
              <w:t>88.27 ± 0.92</w:t>
            </w:r>
            <w:r w:rsidRPr="00432604">
              <w:rPr>
                <w:vertAlign w:val="superscript"/>
              </w:rPr>
              <w:t>b</w:t>
            </w:r>
          </w:p>
        </w:tc>
        <w:tc>
          <w:tcPr>
            <w:tcW w:w="755" w:type="pct"/>
            <w:tcBorders>
              <w:bottom w:val="single" w:sz="4" w:space="0" w:color="00B050"/>
            </w:tcBorders>
            <w:shd w:val="clear" w:color="auto" w:fill="FFFFFF"/>
          </w:tcPr>
          <w:p w14:paraId="4CF27F1D" w14:textId="4A9E5531" w:rsidR="00EE1D65" w:rsidRPr="00B57B36" w:rsidRDefault="00EE1D65" w:rsidP="00EE1D65">
            <w:pPr>
              <w:pStyle w:val="CETBodytext"/>
              <w:ind w:right="-1"/>
              <w:jc w:val="center"/>
              <w:rPr>
                <w:rFonts w:cs="Arial"/>
                <w:szCs w:val="18"/>
                <w:lang w:val="en-GB"/>
              </w:rPr>
            </w:pPr>
            <w:r w:rsidRPr="00F16FC1">
              <w:t>95.3 ± 2.1</w:t>
            </w:r>
            <w:r w:rsidRPr="009F126C">
              <w:rPr>
                <w:vertAlign w:val="superscript"/>
              </w:rPr>
              <w:t>a</w:t>
            </w:r>
          </w:p>
        </w:tc>
        <w:tc>
          <w:tcPr>
            <w:tcW w:w="379" w:type="pct"/>
            <w:tcBorders>
              <w:bottom w:val="single" w:sz="4" w:space="0" w:color="00B050"/>
            </w:tcBorders>
            <w:shd w:val="clear" w:color="auto" w:fill="FFFFFF"/>
          </w:tcPr>
          <w:p w14:paraId="35B75F08" w14:textId="706F61C0" w:rsidR="00EE1D65" w:rsidRPr="00B57B36" w:rsidRDefault="00EE1D65" w:rsidP="00EE1D65">
            <w:pPr>
              <w:pStyle w:val="CETBodytext"/>
              <w:ind w:right="-1"/>
              <w:jc w:val="center"/>
              <w:rPr>
                <w:rFonts w:cs="Arial"/>
                <w:szCs w:val="18"/>
                <w:lang w:val="en-GB"/>
              </w:rPr>
            </w:pPr>
            <w:r w:rsidRPr="00D3402E">
              <w:t>89.62</w:t>
            </w:r>
          </w:p>
        </w:tc>
        <w:tc>
          <w:tcPr>
            <w:tcW w:w="755" w:type="pct"/>
            <w:tcBorders>
              <w:bottom w:val="single" w:sz="4" w:space="0" w:color="00B050"/>
            </w:tcBorders>
            <w:shd w:val="clear" w:color="auto" w:fill="FFFFFF"/>
          </w:tcPr>
          <w:p w14:paraId="0E034CB0" w14:textId="36E7A4AC" w:rsidR="00EE1D65" w:rsidRPr="00B57B36" w:rsidRDefault="00EE1D65" w:rsidP="009F126C">
            <w:pPr>
              <w:pStyle w:val="CETBodytext"/>
              <w:ind w:right="-1"/>
              <w:jc w:val="center"/>
              <w:rPr>
                <w:rFonts w:cs="Arial"/>
                <w:szCs w:val="18"/>
                <w:lang w:val="en-GB"/>
              </w:rPr>
            </w:pPr>
            <w:r w:rsidRPr="000F54A8">
              <w:t>3.13 ± 0.06</w:t>
            </w:r>
            <w:r w:rsidRPr="009F126C">
              <w:rPr>
                <w:vertAlign w:val="superscript"/>
              </w:rPr>
              <w:t>b</w:t>
            </w:r>
          </w:p>
        </w:tc>
        <w:tc>
          <w:tcPr>
            <w:tcW w:w="377" w:type="pct"/>
            <w:tcBorders>
              <w:bottom w:val="single" w:sz="4" w:space="0" w:color="00B050"/>
            </w:tcBorders>
            <w:shd w:val="clear" w:color="auto" w:fill="FFFFFF"/>
          </w:tcPr>
          <w:p w14:paraId="56B486C6" w14:textId="1159FFCC" w:rsidR="00EE1D65" w:rsidRPr="00B57B36" w:rsidRDefault="00EE1D65" w:rsidP="009F126C">
            <w:pPr>
              <w:pStyle w:val="CETBodytext"/>
              <w:ind w:right="-1"/>
              <w:jc w:val="center"/>
              <w:rPr>
                <w:rFonts w:cs="Arial"/>
                <w:szCs w:val="18"/>
                <w:lang w:val="en-GB"/>
              </w:rPr>
            </w:pPr>
            <w:r w:rsidRPr="006201F7">
              <w:t>2.55</w:t>
            </w:r>
          </w:p>
        </w:tc>
      </w:tr>
      <w:tr w:rsidR="009F126C" w:rsidRPr="00B57B36" w14:paraId="0D4F518F" w14:textId="77777777" w:rsidTr="00F077D1">
        <w:tc>
          <w:tcPr>
            <w:tcW w:w="807" w:type="pct"/>
            <w:vMerge w:val="restart"/>
            <w:shd w:val="clear" w:color="auto" w:fill="FFFFFF"/>
            <w:vAlign w:val="center"/>
          </w:tcPr>
          <w:p w14:paraId="01645F19" w14:textId="2A8D4F8E" w:rsidR="00EE1D65" w:rsidRPr="00B57B36" w:rsidRDefault="00EE1D65" w:rsidP="00EE1D65">
            <w:pPr>
              <w:pStyle w:val="CETBodytext"/>
              <w:jc w:val="center"/>
              <w:rPr>
                <w:lang w:val="en-GB"/>
              </w:rPr>
            </w:pPr>
            <w:r>
              <w:rPr>
                <w:lang w:val="en-GB"/>
              </w:rPr>
              <w:t>200</w:t>
            </w:r>
          </w:p>
        </w:tc>
        <w:tc>
          <w:tcPr>
            <w:tcW w:w="502" w:type="pct"/>
            <w:tcBorders>
              <w:top w:val="single" w:sz="4" w:space="0" w:color="00B050"/>
            </w:tcBorders>
            <w:shd w:val="clear" w:color="auto" w:fill="FFFFFF"/>
          </w:tcPr>
          <w:p w14:paraId="02A0F915" w14:textId="44ADA60B" w:rsidR="00EE1D65" w:rsidRDefault="00EE1D65" w:rsidP="00EE1D65">
            <w:pPr>
              <w:pStyle w:val="CETBodytext"/>
              <w:jc w:val="center"/>
              <w:rPr>
                <w:lang w:val="en-GB"/>
              </w:rPr>
            </w:pPr>
            <w:r>
              <w:rPr>
                <w:lang w:val="en-GB"/>
              </w:rPr>
              <w:t>0.4</w:t>
            </w:r>
          </w:p>
        </w:tc>
        <w:tc>
          <w:tcPr>
            <w:tcW w:w="670" w:type="pct"/>
            <w:tcBorders>
              <w:top w:val="single" w:sz="4" w:space="0" w:color="00B050"/>
            </w:tcBorders>
            <w:shd w:val="clear" w:color="auto" w:fill="FFFFFF"/>
          </w:tcPr>
          <w:p w14:paraId="74805A8B" w14:textId="3BDA0A44" w:rsidR="00EE1D65" w:rsidRPr="00B57B36" w:rsidRDefault="00EE1D65" w:rsidP="00EE1D65">
            <w:pPr>
              <w:pStyle w:val="CETBodytext"/>
              <w:jc w:val="center"/>
              <w:rPr>
                <w:lang w:val="en-GB"/>
              </w:rPr>
            </w:pPr>
            <w:r w:rsidRPr="009A72D2">
              <w:t>93.69</w:t>
            </w:r>
          </w:p>
        </w:tc>
        <w:tc>
          <w:tcPr>
            <w:tcW w:w="755" w:type="pct"/>
            <w:tcBorders>
              <w:top w:val="single" w:sz="4" w:space="0" w:color="00B050"/>
            </w:tcBorders>
            <w:shd w:val="clear" w:color="auto" w:fill="FFFFFF"/>
          </w:tcPr>
          <w:p w14:paraId="7B1E6982" w14:textId="5DF6AE39" w:rsidR="00EE1D65" w:rsidRPr="00B57B36" w:rsidRDefault="00EE1D65" w:rsidP="00C0492C">
            <w:pPr>
              <w:pStyle w:val="CETBodytext"/>
              <w:ind w:right="-1"/>
              <w:jc w:val="center"/>
              <w:rPr>
                <w:rFonts w:cs="Arial"/>
                <w:szCs w:val="18"/>
                <w:lang w:val="en-GB"/>
              </w:rPr>
            </w:pPr>
            <w:r w:rsidRPr="00AB7B42">
              <w:t>73.84 ± 4.07</w:t>
            </w:r>
            <w:r w:rsidRPr="00432604">
              <w:rPr>
                <w:vertAlign w:val="superscript"/>
              </w:rPr>
              <w:t>a</w:t>
            </w:r>
          </w:p>
        </w:tc>
        <w:tc>
          <w:tcPr>
            <w:tcW w:w="755" w:type="pct"/>
            <w:tcBorders>
              <w:top w:val="single" w:sz="4" w:space="0" w:color="00B050"/>
            </w:tcBorders>
            <w:shd w:val="clear" w:color="auto" w:fill="FFFFFF"/>
          </w:tcPr>
          <w:p w14:paraId="58C29E2E" w14:textId="58F516AD" w:rsidR="00EE1D65" w:rsidRPr="00B57B36" w:rsidRDefault="00EE1D65" w:rsidP="00EE1D65">
            <w:pPr>
              <w:pStyle w:val="CETBodytext"/>
              <w:ind w:right="-1"/>
              <w:jc w:val="center"/>
              <w:rPr>
                <w:rFonts w:cs="Arial"/>
                <w:szCs w:val="18"/>
                <w:lang w:val="en-GB"/>
              </w:rPr>
            </w:pPr>
            <w:r w:rsidRPr="00F16FC1">
              <w:t>95.0 ± 8.7</w:t>
            </w:r>
            <w:r w:rsidRPr="009F126C">
              <w:rPr>
                <w:vertAlign w:val="superscript"/>
              </w:rPr>
              <w:t>a</w:t>
            </w:r>
          </w:p>
        </w:tc>
        <w:tc>
          <w:tcPr>
            <w:tcW w:w="379" w:type="pct"/>
            <w:tcBorders>
              <w:top w:val="single" w:sz="4" w:space="0" w:color="00B050"/>
            </w:tcBorders>
            <w:shd w:val="clear" w:color="auto" w:fill="FFFFFF"/>
          </w:tcPr>
          <w:p w14:paraId="222DC0B6" w14:textId="7C05E7C0" w:rsidR="00EE1D65" w:rsidRPr="00B57B36" w:rsidRDefault="00EE1D65" w:rsidP="00EE1D65">
            <w:pPr>
              <w:pStyle w:val="CETBodytext"/>
              <w:ind w:right="-1"/>
              <w:jc w:val="center"/>
              <w:rPr>
                <w:rFonts w:cs="Arial"/>
                <w:szCs w:val="18"/>
                <w:lang w:val="en-GB"/>
              </w:rPr>
            </w:pPr>
            <w:r w:rsidRPr="00D3402E">
              <w:t>96.14</w:t>
            </w:r>
          </w:p>
        </w:tc>
        <w:tc>
          <w:tcPr>
            <w:tcW w:w="755" w:type="pct"/>
            <w:tcBorders>
              <w:top w:val="single" w:sz="4" w:space="0" w:color="00B050"/>
            </w:tcBorders>
            <w:shd w:val="clear" w:color="auto" w:fill="FFFFFF"/>
          </w:tcPr>
          <w:p w14:paraId="3D3B3197" w14:textId="6FA51946" w:rsidR="00EE1D65" w:rsidRPr="00B57B36" w:rsidRDefault="00EE1D65" w:rsidP="009F126C">
            <w:pPr>
              <w:pStyle w:val="CETBodytext"/>
              <w:ind w:right="-1"/>
              <w:jc w:val="center"/>
              <w:rPr>
                <w:rFonts w:cs="Arial"/>
                <w:szCs w:val="18"/>
                <w:lang w:val="en-GB"/>
              </w:rPr>
            </w:pPr>
            <w:r w:rsidRPr="000F54A8">
              <w:t>2.33 ± 0.72</w:t>
            </w:r>
            <w:r w:rsidRPr="009F126C">
              <w:rPr>
                <w:vertAlign w:val="superscript"/>
              </w:rPr>
              <w:t>a</w:t>
            </w:r>
          </w:p>
        </w:tc>
        <w:tc>
          <w:tcPr>
            <w:tcW w:w="377" w:type="pct"/>
            <w:tcBorders>
              <w:top w:val="single" w:sz="4" w:space="0" w:color="00B050"/>
            </w:tcBorders>
            <w:shd w:val="clear" w:color="auto" w:fill="FFFFFF"/>
          </w:tcPr>
          <w:p w14:paraId="5CB1BF9C" w14:textId="44B6E896" w:rsidR="00EE1D65" w:rsidRPr="00B57B36" w:rsidRDefault="00EE1D65" w:rsidP="009F126C">
            <w:pPr>
              <w:pStyle w:val="CETBodytext"/>
              <w:ind w:right="-1"/>
              <w:jc w:val="center"/>
              <w:rPr>
                <w:rFonts w:cs="Arial"/>
                <w:szCs w:val="18"/>
                <w:lang w:val="en-GB"/>
              </w:rPr>
            </w:pPr>
            <w:r w:rsidRPr="006201F7">
              <w:t>2.13</w:t>
            </w:r>
          </w:p>
        </w:tc>
      </w:tr>
      <w:tr w:rsidR="009F126C" w:rsidRPr="00B57B36" w14:paraId="435B6A80" w14:textId="77777777" w:rsidTr="00F077D1">
        <w:tc>
          <w:tcPr>
            <w:tcW w:w="807" w:type="pct"/>
            <w:vMerge/>
            <w:shd w:val="clear" w:color="auto" w:fill="FFFFFF"/>
          </w:tcPr>
          <w:p w14:paraId="2D42C1B6" w14:textId="77777777" w:rsidR="00EE1D65" w:rsidRPr="00B57B36" w:rsidRDefault="00EE1D65" w:rsidP="00EE1D65">
            <w:pPr>
              <w:pStyle w:val="CETBodytext"/>
              <w:rPr>
                <w:lang w:val="en-GB"/>
              </w:rPr>
            </w:pPr>
          </w:p>
        </w:tc>
        <w:tc>
          <w:tcPr>
            <w:tcW w:w="502" w:type="pct"/>
            <w:shd w:val="clear" w:color="auto" w:fill="FFFFFF"/>
          </w:tcPr>
          <w:p w14:paraId="750E2C9E" w14:textId="54C7BBC7" w:rsidR="00EE1D65" w:rsidRDefault="00EE1D65" w:rsidP="00EE1D65">
            <w:pPr>
              <w:pStyle w:val="CETBodytext"/>
              <w:jc w:val="center"/>
              <w:rPr>
                <w:lang w:val="en-GB"/>
              </w:rPr>
            </w:pPr>
            <w:r>
              <w:rPr>
                <w:lang w:val="en-GB"/>
              </w:rPr>
              <w:t>0.6</w:t>
            </w:r>
          </w:p>
        </w:tc>
        <w:tc>
          <w:tcPr>
            <w:tcW w:w="670" w:type="pct"/>
            <w:shd w:val="clear" w:color="auto" w:fill="FFFFFF"/>
          </w:tcPr>
          <w:p w14:paraId="3BD2B0DF" w14:textId="36C8B708" w:rsidR="00EE1D65" w:rsidRPr="00B57B36" w:rsidRDefault="00EE1D65" w:rsidP="00EE1D65">
            <w:pPr>
              <w:pStyle w:val="CETBodytext"/>
              <w:jc w:val="center"/>
              <w:rPr>
                <w:lang w:val="en-GB"/>
              </w:rPr>
            </w:pPr>
            <w:r w:rsidRPr="009A72D2">
              <w:t>92.03</w:t>
            </w:r>
          </w:p>
        </w:tc>
        <w:tc>
          <w:tcPr>
            <w:tcW w:w="755" w:type="pct"/>
            <w:shd w:val="clear" w:color="auto" w:fill="FFFFFF"/>
          </w:tcPr>
          <w:p w14:paraId="1CD81E13" w14:textId="5B8696A6" w:rsidR="00EE1D65" w:rsidRPr="00B57B36" w:rsidRDefault="00EE1D65" w:rsidP="00C0492C">
            <w:pPr>
              <w:pStyle w:val="CETBodytext"/>
              <w:ind w:right="-1"/>
              <w:jc w:val="center"/>
              <w:rPr>
                <w:rFonts w:cs="Arial"/>
                <w:szCs w:val="18"/>
                <w:lang w:val="en-GB"/>
              </w:rPr>
            </w:pPr>
            <w:r w:rsidRPr="00AB7B42">
              <w:t>74.90 ± 4.23</w:t>
            </w:r>
            <w:r w:rsidRPr="00432604">
              <w:rPr>
                <w:vertAlign w:val="superscript"/>
              </w:rPr>
              <w:t>a</w:t>
            </w:r>
          </w:p>
        </w:tc>
        <w:tc>
          <w:tcPr>
            <w:tcW w:w="755" w:type="pct"/>
            <w:shd w:val="clear" w:color="auto" w:fill="FFFFFF"/>
          </w:tcPr>
          <w:p w14:paraId="2A06882F" w14:textId="70A03F54" w:rsidR="00EE1D65" w:rsidRPr="00B57B36" w:rsidRDefault="00EE1D65" w:rsidP="00EE1D65">
            <w:pPr>
              <w:pStyle w:val="CETBodytext"/>
              <w:ind w:right="-1"/>
              <w:jc w:val="center"/>
              <w:rPr>
                <w:rFonts w:cs="Arial"/>
                <w:szCs w:val="18"/>
                <w:lang w:val="en-GB"/>
              </w:rPr>
            </w:pPr>
            <w:r w:rsidRPr="00F16FC1">
              <w:t>96.0 ± 0.0</w:t>
            </w:r>
            <w:r w:rsidRPr="009F126C">
              <w:rPr>
                <w:vertAlign w:val="superscript"/>
              </w:rPr>
              <w:t>a</w:t>
            </w:r>
          </w:p>
        </w:tc>
        <w:tc>
          <w:tcPr>
            <w:tcW w:w="379" w:type="pct"/>
            <w:shd w:val="clear" w:color="auto" w:fill="FFFFFF"/>
          </w:tcPr>
          <w:p w14:paraId="6CCAE55B" w14:textId="0998AB43" w:rsidR="00EE1D65" w:rsidRPr="00B57B36" w:rsidRDefault="00EE1D65" w:rsidP="00EE1D65">
            <w:pPr>
              <w:pStyle w:val="CETBodytext"/>
              <w:ind w:right="-1"/>
              <w:jc w:val="center"/>
              <w:rPr>
                <w:rFonts w:cs="Arial"/>
                <w:szCs w:val="18"/>
                <w:lang w:val="en-GB"/>
              </w:rPr>
            </w:pPr>
            <w:r w:rsidRPr="00D3402E">
              <w:t>96.23</w:t>
            </w:r>
          </w:p>
        </w:tc>
        <w:tc>
          <w:tcPr>
            <w:tcW w:w="755" w:type="pct"/>
            <w:shd w:val="clear" w:color="auto" w:fill="FFFFFF"/>
          </w:tcPr>
          <w:p w14:paraId="57A33F46" w14:textId="2BC77483" w:rsidR="00EE1D65" w:rsidRPr="00B57B36" w:rsidRDefault="00EE1D65" w:rsidP="009F126C">
            <w:pPr>
              <w:pStyle w:val="CETBodytext"/>
              <w:ind w:right="-1"/>
              <w:jc w:val="center"/>
              <w:rPr>
                <w:rFonts w:cs="Arial"/>
                <w:szCs w:val="18"/>
                <w:lang w:val="en-GB"/>
              </w:rPr>
            </w:pPr>
            <w:r w:rsidRPr="000F54A8">
              <w:t>4.02 ± 0.70</w:t>
            </w:r>
            <w:r w:rsidRPr="009F126C">
              <w:rPr>
                <w:vertAlign w:val="superscript"/>
              </w:rPr>
              <w:t>b</w:t>
            </w:r>
          </w:p>
        </w:tc>
        <w:tc>
          <w:tcPr>
            <w:tcW w:w="377" w:type="pct"/>
            <w:shd w:val="clear" w:color="auto" w:fill="FFFFFF"/>
          </w:tcPr>
          <w:p w14:paraId="173B56F5" w14:textId="3805942A" w:rsidR="00EE1D65" w:rsidRPr="00B57B36" w:rsidRDefault="00EE1D65" w:rsidP="009F126C">
            <w:pPr>
              <w:pStyle w:val="CETBodytext"/>
              <w:ind w:right="-1"/>
              <w:jc w:val="center"/>
              <w:rPr>
                <w:rFonts w:cs="Arial"/>
                <w:szCs w:val="18"/>
                <w:lang w:val="en-GB"/>
              </w:rPr>
            </w:pPr>
            <w:r w:rsidRPr="006201F7">
              <w:t>2.11</w:t>
            </w:r>
          </w:p>
        </w:tc>
      </w:tr>
      <w:tr w:rsidR="009F126C" w:rsidRPr="00B57B36" w14:paraId="791BEA8E" w14:textId="77777777" w:rsidTr="00F077D1">
        <w:tc>
          <w:tcPr>
            <w:tcW w:w="807" w:type="pct"/>
            <w:vMerge/>
            <w:shd w:val="clear" w:color="auto" w:fill="FFFFFF"/>
          </w:tcPr>
          <w:p w14:paraId="4E304E1E" w14:textId="77777777" w:rsidR="00EE1D65" w:rsidRPr="00B57B36" w:rsidRDefault="00EE1D65" w:rsidP="00EE1D65">
            <w:pPr>
              <w:pStyle w:val="CETBodytext"/>
              <w:ind w:right="-1"/>
              <w:rPr>
                <w:rFonts w:cs="Arial"/>
                <w:szCs w:val="18"/>
                <w:lang w:val="en-GB"/>
              </w:rPr>
            </w:pPr>
          </w:p>
        </w:tc>
        <w:tc>
          <w:tcPr>
            <w:tcW w:w="502" w:type="pct"/>
            <w:shd w:val="clear" w:color="auto" w:fill="FFFFFF"/>
            <w:vAlign w:val="center"/>
          </w:tcPr>
          <w:p w14:paraId="2E31C0B9" w14:textId="0D7B9B96" w:rsidR="00EE1D65" w:rsidRPr="00B57B36" w:rsidRDefault="00EE1D65" w:rsidP="00EE1D65">
            <w:pPr>
              <w:pStyle w:val="CETBodytext"/>
              <w:ind w:right="-1"/>
              <w:jc w:val="center"/>
              <w:rPr>
                <w:rFonts w:cs="Arial"/>
                <w:szCs w:val="18"/>
                <w:lang w:val="en-GB"/>
              </w:rPr>
            </w:pPr>
            <w:r>
              <w:rPr>
                <w:lang w:val="en-GB"/>
              </w:rPr>
              <w:t>0.8</w:t>
            </w:r>
          </w:p>
        </w:tc>
        <w:tc>
          <w:tcPr>
            <w:tcW w:w="670" w:type="pct"/>
            <w:shd w:val="clear" w:color="auto" w:fill="FFFFFF"/>
          </w:tcPr>
          <w:p w14:paraId="45BB3B4B" w14:textId="4D229010" w:rsidR="00EE1D65" w:rsidRPr="00B57B36" w:rsidRDefault="00EE1D65" w:rsidP="00EE1D65">
            <w:pPr>
              <w:pStyle w:val="CETBodytext"/>
              <w:ind w:right="-1"/>
              <w:jc w:val="center"/>
              <w:rPr>
                <w:rFonts w:cs="Arial"/>
                <w:szCs w:val="18"/>
                <w:lang w:val="en-GB"/>
              </w:rPr>
            </w:pPr>
            <w:r w:rsidRPr="009A72D2">
              <w:t>87.11</w:t>
            </w:r>
          </w:p>
        </w:tc>
        <w:tc>
          <w:tcPr>
            <w:tcW w:w="755" w:type="pct"/>
            <w:shd w:val="clear" w:color="auto" w:fill="FFFFFF"/>
          </w:tcPr>
          <w:p w14:paraId="1D6D3AC6" w14:textId="554E4541" w:rsidR="00EE1D65" w:rsidRPr="00B57B36" w:rsidRDefault="00EE1D65" w:rsidP="00C0492C">
            <w:pPr>
              <w:pStyle w:val="CETBodytext"/>
              <w:ind w:right="-1"/>
              <w:jc w:val="center"/>
              <w:rPr>
                <w:rFonts w:cs="Arial"/>
                <w:szCs w:val="18"/>
                <w:lang w:val="en-GB"/>
              </w:rPr>
            </w:pPr>
            <w:r w:rsidRPr="00AB7B42">
              <w:t>84.86 ± 2.58</w:t>
            </w:r>
            <w:r w:rsidRPr="00432604">
              <w:rPr>
                <w:vertAlign w:val="superscript"/>
              </w:rPr>
              <w:t>b</w:t>
            </w:r>
          </w:p>
        </w:tc>
        <w:tc>
          <w:tcPr>
            <w:tcW w:w="755" w:type="pct"/>
            <w:shd w:val="clear" w:color="auto" w:fill="FFFFFF"/>
          </w:tcPr>
          <w:p w14:paraId="7E30EBFA" w14:textId="78664F21" w:rsidR="00EE1D65" w:rsidRPr="00B57B36" w:rsidRDefault="00EE1D65" w:rsidP="00EE1D65">
            <w:pPr>
              <w:pStyle w:val="CETBodytext"/>
              <w:ind w:right="-1"/>
              <w:jc w:val="center"/>
              <w:rPr>
                <w:rFonts w:cs="Arial"/>
                <w:szCs w:val="18"/>
                <w:lang w:val="en-GB"/>
              </w:rPr>
            </w:pPr>
            <w:r w:rsidRPr="00F16FC1">
              <w:t>97.0 ± 1.0</w:t>
            </w:r>
            <w:r w:rsidRPr="009F126C">
              <w:rPr>
                <w:vertAlign w:val="superscript"/>
              </w:rPr>
              <w:t>a</w:t>
            </w:r>
          </w:p>
        </w:tc>
        <w:tc>
          <w:tcPr>
            <w:tcW w:w="379" w:type="pct"/>
            <w:shd w:val="clear" w:color="auto" w:fill="FFFFFF"/>
          </w:tcPr>
          <w:p w14:paraId="7776D21B" w14:textId="40EEDC37" w:rsidR="00EE1D65" w:rsidRPr="00B57B36" w:rsidRDefault="00EE1D65" w:rsidP="00EE1D65">
            <w:pPr>
              <w:pStyle w:val="CETBodytext"/>
              <w:ind w:right="-1"/>
              <w:jc w:val="center"/>
              <w:rPr>
                <w:rFonts w:cs="Arial"/>
                <w:szCs w:val="18"/>
                <w:lang w:val="en-GB"/>
              </w:rPr>
            </w:pPr>
            <w:r w:rsidRPr="00D3402E">
              <w:t>96.60</w:t>
            </w:r>
          </w:p>
        </w:tc>
        <w:tc>
          <w:tcPr>
            <w:tcW w:w="755" w:type="pct"/>
            <w:shd w:val="clear" w:color="auto" w:fill="FFFFFF"/>
          </w:tcPr>
          <w:p w14:paraId="3ADE8E07" w14:textId="1DCD9697" w:rsidR="00EE1D65" w:rsidRPr="00B57B36" w:rsidRDefault="00EE1D65" w:rsidP="009F126C">
            <w:pPr>
              <w:pStyle w:val="CETBodytext"/>
              <w:ind w:right="-1"/>
              <w:jc w:val="center"/>
              <w:rPr>
                <w:rFonts w:cs="Arial"/>
                <w:szCs w:val="18"/>
                <w:lang w:val="en-GB"/>
              </w:rPr>
            </w:pPr>
            <w:r w:rsidRPr="000F54A8">
              <w:t>3.11 ± 0.58</w:t>
            </w:r>
            <w:r w:rsidRPr="009F126C">
              <w:rPr>
                <w:vertAlign w:val="superscript"/>
              </w:rPr>
              <w:t>ab</w:t>
            </w:r>
          </w:p>
        </w:tc>
        <w:tc>
          <w:tcPr>
            <w:tcW w:w="377" w:type="pct"/>
            <w:shd w:val="clear" w:color="auto" w:fill="FFFFFF"/>
          </w:tcPr>
          <w:p w14:paraId="5F58D93A" w14:textId="4911E8A6" w:rsidR="00EE1D65" w:rsidRPr="00B57B36" w:rsidRDefault="00EE1D65" w:rsidP="009F126C">
            <w:pPr>
              <w:pStyle w:val="CETBodytext"/>
              <w:ind w:right="-1"/>
              <w:jc w:val="center"/>
              <w:rPr>
                <w:rFonts w:cs="Arial"/>
                <w:szCs w:val="18"/>
                <w:lang w:val="en-GB"/>
              </w:rPr>
            </w:pPr>
            <w:r w:rsidRPr="006201F7">
              <w:t>2.02</w:t>
            </w:r>
          </w:p>
        </w:tc>
      </w:tr>
    </w:tbl>
    <w:p w14:paraId="78C9FB97" w14:textId="77777777" w:rsidR="00003F48" w:rsidRPr="00D80AE9" w:rsidRDefault="00003F48" w:rsidP="00003F48">
      <w:pPr>
        <w:pStyle w:val="CETBodytext"/>
      </w:pPr>
    </w:p>
    <w:p w14:paraId="7BDFE0B7" w14:textId="6BC36498" w:rsidR="00E8055A" w:rsidRPr="00E8055A" w:rsidRDefault="00C00803" w:rsidP="00E8055A">
      <w:pPr>
        <w:rPr>
          <w:lang w:val="en-US"/>
        </w:rPr>
      </w:pPr>
      <w:r>
        <w:t>Entering</w:t>
      </w:r>
      <w:r w:rsidRPr="00C00803">
        <w:t xml:space="preserve"> into the details of the results obtained, regarding the mass recovery of the extracts after the spray-drying process, the results do not show significant differences (about 81.5% recovery) with the only exceptions </w:t>
      </w:r>
      <w:r w:rsidR="00B066B0">
        <w:t>of</w:t>
      </w:r>
      <w:r w:rsidRPr="00C00803">
        <w:t xml:space="preserve"> the cases with </w:t>
      </w:r>
      <m:oMath>
        <m:sSub>
          <m:sSubPr>
            <m:ctrlPr>
              <w:rPr>
                <w:rFonts w:ascii="Cambria Math" w:hAnsi="Cambria Math"/>
                <w:i/>
              </w:rPr>
            </m:ctrlPr>
          </m:sSubPr>
          <m:e>
            <m:r>
              <w:rPr>
                <w:rFonts w:ascii="Cambria Math" w:hAnsi="Cambria Math"/>
              </w:rPr>
              <m:t>w</m:t>
            </m:r>
          </m:e>
          <m:sub>
            <m:r>
              <w:rPr>
                <w:rFonts w:ascii="Cambria Math" w:hAnsi="Cambria Math"/>
              </w:rPr>
              <m:t>md</m:t>
            </m:r>
          </m:sub>
        </m:sSub>
        <m:r>
          <w:rPr>
            <w:rFonts w:ascii="Cambria Math" w:hAnsi="Cambria Math"/>
          </w:rPr>
          <m:t>=0.8</m:t>
        </m:r>
      </m:oMath>
      <w:r w:rsidRPr="00C00803">
        <w:t xml:space="preserve"> </w:t>
      </w:r>
      <m:oMath>
        <m:sSub>
          <m:sSubPr>
            <m:ctrlPr>
              <w:rPr>
                <w:rFonts w:ascii="Cambria Math" w:hAnsi="Cambria Math"/>
                <w:i/>
              </w:rPr>
            </m:ctrlPr>
          </m:sSubPr>
          <m:e>
            <m:r>
              <w:rPr>
                <w:rFonts w:ascii="Cambria Math" w:hAnsi="Cambria Math"/>
              </w:rPr>
              <m:t>T</m:t>
            </m:r>
          </m:e>
          <m:sub>
            <m:r>
              <w:rPr>
                <w:rFonts w:ascii="Cambria Math" w:hAnsi="Cambria Math"/>
              </w:rPr>
              <m:t>air</m:t>
            </m:r>
          </m:sub>
        </m:sSub>
        <m:r>
          <w:rPr>
            <w:rFonts w:ascii="Cambria Math" w:hAnsi="Cambria Math"/>
          </w:rPr>
          <m:t>=180°C and 200°C</m:t>
        </m:r>
      </m:oMath>
      <w:r w:rsidRPr="00C00803">
        <w:t xml:space="preserve">, where the higher recovery could be related to lower viscosity of the encapsulated extract itself. The outlet temperature of the drying air shows results consistent with expectations. </w:t>
      </w:r>
    </w:p>
    <w:p w14:paraId="0BF0706E" w14:textId="77777777" w:rsidR="002D3E12" w:rsidRDefault="002D3E12" w:rsidP="00003F48">
      <w:pPr>
        <w:pStyle w:val="CETBodytext"/>
      </w:pPr>
    </w:p>
    <w:p w14:paraId="1791ADA7" w14:textId="43E6568F" w:rsidR="00F10ECB" w:rsidRPr="00B10C46" w:rsidRDefault="00F10ECB" w:rsidP="00571877">
      <w:pPr>
        <w:pStyle w:val="Didascalia"/>
        <w:keepNext/>
        <w:spacing w:line="276" w:lineRule="auto"/>
        <w:rPr>
          <w:b w:val="0"/>
          <w:bCs w:val="0"/>
          <w:i/>
          <w:color w:val="auto"/>
          <w:szCs w:val="20"/>
        </w:rPr>
      </w:pPr>
      <w:bookmarkStart w:id="1" w:name="_Ref192946762"/>
      <w:r w:rsidRPr="00B10C46">
        <w:rPr>
          <w:b w:val="0"/>
          <w:bCs w:val="0"/>
          <w:i/>
          <w:color w:val="auto"/>
          <w:szCs w:val="20"/>
        </w:rPr>
        <w:t xml:space="preserve">Table </w:t>
      </w:r>
      <w:r w:rsidRPr="00B10C46">
        <w:rPr>
          <w:b w:val="0"/>
          <w:bCs w:val="0"/>
          <w:i/>
          <w:color w:val="auto"/>
          <w:szCs w:val="20"/>
        </w:rPr>
        <w:fldChar w:fldCharType="begin"/>
      </w:r>
      <w:r w:rsidRPr="00B10C46">
        <w:rPr>
          <w:b w:val="0"/>
          <w:bCs w:val="0"/>
          <w:i/>
          <w:color w:val="auto"/>
          <w:szCs w:val="20"/>
        </w:rPr>
        <w:instrText xml:space="preserve"> SEQ Table \* ARABIC </w:instrText>
      </w:r>
      <w:r w:rsidRPr="00B10C46">
        <w:rPr>
          <w:b w:val="0"/>
          <w:bCs w:val="0"/>
          <w:i/>
          <w:color w:val="auto"/>
          <w:szCs w:val="20"/>
        </w:rPr>
        <w:fldChar w:fldCharType="separate"/>
      </w:r>
      <w:r w:rsidRPr="00B10C46">
        <w:rPr>
          <w:b w:val="0"/>
          <w:bCs w:val="0"/>
          <w:i/>
          <w:color w:val="auto"/>
          <w:szCs w:val="20"/>
        </w:rPr>
        <w:t>2</w:t>
      </w:r>
      <w:r w:rsidRPr="00B10C46">
        <w:rPr>
          <w:b w:val="0"/>
          <w:bCs w:val="0"/>
          <w:i/>
          <w:color w:val="auto"/>
          <w:szCs w:val="20"/>
        </w:rPr>
        <w:fldChar w:fldCharType="end"/>
      </w:r>
      <w:bookmarkEnd w:id="1"/>
      <w:r w:rsidRPr="00B10C46">
        <w:rPr>
          <w:b w:val="0"/>
          <w:bCs w:val="0"/>
          <w:i/>
          <w:color w:val="auto"/>
          <w:szCs w:val="20"/>
        </w:rPr>
        <w:t xml:space="preserve"> Experimental </w:t>
      </w:r>
      <w:r w:rsidR="00B10C46" w:rsidRPr="00B10C46">
        <w:rPr>
          <w:b w:val="0"/>
          <w:bCs w:val="0"/>
          <w:i/>
          <w:color w:val="auto"/>
          <w:szCs w:val="20"/>
        </w:rPr>
        <w:t>TPC and TAC in the outlet powder</w:t>
      </w:r>
      <w:r w:rsidRPr="00B10C46">
        <w:rPr>
          <w:b w:val="0"/>
          <w:bCs w:val="0"/>
          <w:i/>
          <w:color w:val="auto"/>
          <w:szCs w:val="20"/>
        </w:rPr>
        <w:t>. Values were reported as means ± standard deviations. For each investigated temperature, different superscript letters within the same column indicate significant differences among samples (p ≤ 0.05).</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6"/>
        <w:gridCol w:w="1090"/>
        <w:gridCol w:w="1856"/>
        <w:gridCol w:w="931"/>
        <w:gridCol w:w="1856"/>
        <w:gridCol w:w="928"/>
      </w:tblGrid>
      <w:tr w:rsidR="00B04A36" w:rsidRPr="00B57B36" w14:paraId="043349F1" w14:textId="77777777" w:rsidTr="00691D1D">
        <w:tc>
          <w:tcPr>
            <w:tcW w:w="1210" w:type="pct"/>
            <w:tcBorders>
              <w:top w:val="single" w:sz="12" w:space="0" w:color="008000"/>
              <w:bottom w:val="single" w:sz="6" w:space="0" w:color="008000"/>
            </w:tcBorders>
            <w:shd w:val="clear" w:color="auto" w:fill="FFFFFF"/>
            <w:vAlign w:val="center"/>
          </w:tcPr>
          <w:p w14:paraId="32F93884" w14:textId="77777777" w:rsidR="00B04A36" w:rsidRPr="00B57B36" w:rsidRDefault="00B04A36" w:rsidP="002C4AAF">
            <w:pPr>
              <w:pStyle w:val="CETBodytext"/>
              <w:jc w:val="center"/>
              <w:rPr>
                <w:lang w:val="en-GB"/>
              </w:rPr>
            </w:pPr>
            <w:r>
              <w:rPr>
                <w:lang w:val="en-GB"/>
              </w:rPr>
              <w:t>Inlet Air Temperature [°C]</w:t>
            </w:r>
          </w:p>
        </w:tc>
        <w:tc>
          <w:tcPr>
            <w:tcW w:w="620" w:type="pct"/>
            <w:tcBorders>
              <w:top w:val="single" w:sz="12" w:space="0" w:color="008000"/>
              <w:bottom w:val="single" w:sz="6" w:space="0" w:color="008000"/>
            </w:tcBorders>
            <w:shd w:val="clear" w:color="auto" w:fill="FFFFFF"/>
            <w:vAlign w:val="center"/>
          </w:tcPr>
          <w:p w14:paraId="1DF9F9CB" w14:textId="1E33E45D" w:rsidR="00B04A36" w:rsidRPr="00B57B36" w:rsidRDefault="00571877" w:rsidP="002C4AAF">
            <w:pPr>
              <w:pStyle w:val="CETBodytext"/>
              <w:jc w:val="center"/>
              <w:rPr>
                <w:lang w:val="en-GB"/>
              </w:rPr>
            </w:pP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md</m:t>
                  </m:r>
                </m:sub>
              </m:sSub>
            </m:oMath>
            <w:r w:rsidR="00691D1D" w:rsidRPr="007A3325">
              <w:rPr>
                <w:lang w:val="en-GB"/>
              </w:rPr>
              <w:t xml:space="preserve"> (g</w:t>
            </w:r>
            <w:r w:rsidR="00691D1D" w:rsidRPr="007A3325">
              <w:rPr>
                <w:vertAlign w:val="subscript"/>
                <w:lang w:val="en-GB"/>
              </w:rPr>
              <w:t>md</w:t>
            </w:r>
            <w:r w:rsidR="00691D1D" w:rsidRPr="007A3325">
              <w:rPr>
                <w:lang w:val="en-GB"/>
              </w:rPr>
              <w:t>/g</w:t>
            </w:r>
            <w:r w:rsidR="00691D1D" w:rsidRPr="007A3325">
              <w:rPr>
                <w:vertAlign w:val="subscript"/>
                <w:lang w:val="en-GB"/>
              </w:rPr>
              <w:t>tot</w:t>
            </w:r>
            <w:r w:rsidR="00691D1D" w:rsidRPr="007A3325">
              <w:rPr>
                <w:lang w:val="en-GB"/>
              </w:rPr>
              <w:t>)</w:t>
            </w:r>
          </w:p>
        </w:tc>
        <w:tc>
          <w:tcPr>
            <w:tcW w:w="1586" w:type="pct"/>
            <w:gridSpan w:val="2"/>
            <w:tcBorders>
              <w:top w:val="single" w:sz="12" w:space="0" w:color="008000"/>
              <w:bottom w:val="single" w:sz="6" w:space="0" w:color="008000"/>
            </w:tcBorders>
            <w:shd w:val="clear" w:color="auto" w:fill="FFFFFF"/>
            <w:vAlign w:val="center"/>
          </w:tcPr>
          <w:p w14:paraId="1D86B491" w14:textId="558123B8" w:rsidR="00B04A36" w:rsidRDefault="00B04A36" w:rsidP="002C4AAF">
            <w:pPr>
              <w:pStyle w:val="CETBodytext"/>
              <w:ind w:right="-1"/>
              <w:jc w:val="center"/>
              <w:rPr>
                <w:lang w:val="en-GB"/>
              </w:rPr>
            </w:pPr>
            <w:r>
              <w:rPr>
                <w:rFonts w:cs="Arial"/>
                <w:szCs w:val="18"/>
                <w:lang w:val="en-GB"/>
              </w:rPr>
              <w:t xml:space="preserve">Total Polyphenols </w:t>
            </w:r>
            <w:r w:rsidR="00567934">
              <w:rPr>
                <w:rFonts w:cs="Arial"/>
                <w:szCs w:val="18"/>
                <w:lang w:val="en-GB"/>
              </w:rPr>
              <w:t>Recovery</w:t>
            </w:r>
            <w:r>
              <w:rPr>
                <w:rFonts w:cs="Arial"/>
                <w:szCs w:val="18"/>
                <w:lang w:val="en-GB"/>
              </w:rPr>
              <w:t xml:space="preserve"> [</w:t>
            </w:r>
            <w:r w:rsidR="0022090F">
              <w:rPr>
                <w:rFonts w:cs="Arial"/>
                <w:szCs w:val="18"/>
                <w:lang w:val="en-GB"/>
              </w:rPr>
              <w:t>%</w:t>
            </w:r>
            <w:r>
              <w:rPr>
                <w:rFonts w:cs="Arial"/>
                <w:szCs w:val="18"/>
                <w:lang w:val="en-GB"/>
              </w:rPr>
              <w:t>]</w:t>
            </w:r>
          </w:p>
        </w:tc>
        <w:tc>
          <w:tcPr>
            <w:tcW w:w="1584" w:type="pct"/>
            <w:gridSpan w:val="2"/>
            <w:tcBorders>
              <w:top w:val="single" w:sz="12" w:space="0" w:color="008000"/>
              <w:bottom w:val="single" w:sz="6" w:space="0" w:color="008000"/>
            </w:tcBorders>
            <w:shd w:val="clear" w:color="auto" w:fill="FFFFFF"/>
            <w:vAlign w:val="center"/>
          </w:tcPr>
          <w:p w14:paraId="53C9EA6D" w14:textId="060A8A6A" w:rsidR="00B04A36" w:rsidRPr="00B57B36" w:rsidRDefault="00B04A36" w:rsidP="002C4AAF">
            <w:pPr>
              <w:pStyle w:val="CETBodytext"/>
              <w:ind w:right="-1"/>
              <w:jc w:val="center"/>
              <w:rPr>
                <w:rFonts w:cs="Arial"/>
                <w:szCs w:val="18"/>
                <w:lang w:val="en-GB"/>
              </w:rPr>
            </w:pPr>
            <w:r>
              <w:rPr>
                <w:rFonts w:cs="Arial"/>
                <w:szCs w:val="18"/>
                <w:lang w:val="en-GB"/>
              </w:rPr>
              <w:t>Total Anto</w:t>
            </w:r>
            <w:r w:rsidR="008A0AC0">
              <w:rPr>
                <w:rFonts w:cs="Arial"/>
                <w:szCs w:val="18"/>
                <w:lang w:val="en-GB"/>
              </w:rPr>
              <w:t>cians</w:t>
            </w:r>
            <w:r>
              <w:rPr>
                <w:rFonts w:cs="Arial"/>
                <w:szCs w:val="18"/>
                <w:lang w:val="en-GB"/>
              </w:rPr>
              <w:t xml:space="preserve"> </w:t>
            </w:r>
            <w:r w:rsidR="00567934">
              <w:rPr>
                <w:rFonts w:cs="Arial"/>
                <w:szCs w:val="18"/>
                <w:lang w:val="en-GB"/>
              </w:rPr>
              <w:t>Recovery</w:t>
            </w:r>
            <w:r>
              <w:rPr>
                <w:rFonts w:cs="Arial"/>
                <w:szCs w:val="18"/>
                <w:lang w:val="en-GB"/>
              </w:rPr>
              <w:t xml:space="preserve"> [</w:t>
            </w:r>
            <w:r w:rsidR="0022090F">
              <w:rPr>
                <w:rFonts w:cs="Arial"/>
                <w:szCs w:val="18"/>
                <w:lang w:val="en-GB"/>
              </w:rPr>
              <w:t>%</w:t>
            </w:r>
            <w:r>
              <w:rPr>
                <w:rFonts w:cs="Arial"/>
                <w:szCs w:val="18"/>
                <w:lang w:val="en-GB"/>
              </w:rPr>
              <w:t>]</w:t>
            </w:r>
          </w:p>
        </w:tc>
      </w:tr>
      <w:tr w:rsidR="00B04A36" w:rsidRPr="00B57B36" w14:paraId="120A27D3" w14:textId="77777777" w:rsidTr="00691D1D">
        <w:tc>
          <w:tcPr>
            <w:tcW w:w="1210" w:type="pct"/>
            <w:tcBorders>
              <w:top w:val="single" w:sz="12" w:space="0" w:color="008000"/>
              <w:bottom w:val="single" w:sz="6" w:space="0" w:color="008000"/>
            </w:tcBorders>
            <w:shd w:val="clear" w:color="auto" w:fill="FFFFFF"/>
          </w:tcPr>
          <w:p w14:paraId="3EA85D12" w14:textId="77777777" w:rsidR="00B04A36" w:rsidRDefault="00B04A36" w:rsidP="002C4AAF">
            <w:pPr>
              <w:pStyle w:val="CETBodytext"/>
              <w:jc w:val="center"/>
              <w:rPr>
                <w:lang w:val="en-GB"/>
              </w:rPr>
            </w:pPr>
          </w:p>
        </w:tc>
        <w:tc>
          <w:tcPr>
            <w:tcW w:w="620" w:type="pct"/>
            <w:tcBorders>
              <w:top w:val="single" w:sz="12" w:space="0" w:color="008000"/>
              <w:bottom w:val="single" w:sz="6" w:space="0" w:color="008000"/>
            </w:tcBorders>
            <w:shd w:val="clear" w:color="auto" w:fill="FFFFFF"/>
          </w:tcPr>
          <w:p w14:paraId="5C07500F" w14:textId="77777777" w:rsidR="00B04A36" w:rsidRDefault="00B04A36" w:rsidP="002C4AAF">
            <w:pPr>
              <w:pStyle w:val="CETBodytext"/>
              <w:rPr>
                <w:lang w:val="en-GB"/>
              </w:rPr>
            </w:pPr>
          </w:p>
        </w:tc>
        <w:tc>
          <w:tcPr>
            <w:tcW w:w="1056" w:type="pct"/>
            <w:tcBorders>
              <w:top w:val="single" w:sz="12" w:space="0" w:color="008000"/>
              <w:bottom w:val="single" w:sz="6" w:space="0" w:color="008000"/>
            </w:tcBorders>
            <w:shd w:val="clear" w:color="auto" w:fill="FFFFFF"/>
          </w:tcPr>
          <w:p w14:paraId="5DCE7019" w14:textId="77777777" w:rsidR="00B04A36" w:rsidRDefault="00B04A36" w:rsidP="002C4AAF">
            <w:pPr>
              <w:pStyle w:val="CETBodytext"/>
              <w:ind w:right="-1"/>
              <w:jc w:val="center"/>
              <w:rPr>
                <w:rFonts w:cs="Arial"/>
                <w:szCs w:val="18"/>
                <w:lang w:val="en-GB"/>
              </w:rPr>
            </w:pPr>
            <w:r>
              <w:rPr>
                <w:rFonts w:cs="Arial"/>
                <w:szCs w:val="18"/>
                <w:lang w:val="en-GB"/>
              </w:rPr>
              <w:t>Exp</w:t>
            </w:r>
          </w:p>
        </w:tc>
        <w:tc>
          <w:tcPr>
            <w:tcW w:w="530" w:type="pct"/>
            <w:tcBorders>
              <w:top w:val="single" w:sz="12" w:space="0" w:color="008000"/>
              <w:bottom w:val="single" w:sz="6" w:space="0" w:color="008000"/>
            </w:tcBorders>
            <w:shd w:val="clear" w:color="auto" w:fill="FFFFFF"/>
          </w:tcPr>
          <w:p w14:paraId="53AF4EB1" w14:textId="77777777" w:rsidR="00B04A36" w:rsidRDefault="00B04A36" w:rsidP="002C4AAF">
            <w:pPr>
              <w:pStyle w:val="CETBodytext"/>
              <w:ind w:right="-1"/>
              <w:jc w:val="center"/>
              <w:rPr>
                <w:lang w:val="en-GB"/>
              </w:rPr>
            </w:pPr>
            <w:r>
              <w:rPr>
                <w:lang w:val="en-GB"/>
              </w:rPr>
              <w:t>Model</w:t>
            </w:r>
          </w:p>
        </w:tc>
        <w:tc>
          <w:tcPr>
            <w:tcW w:w="1056" w:type="pct"/>
            <w:tcBorders>
              <w:top w:val="single" w:sz="12" w:space="0" w:color="008000"/>
              <w:bottom w:val="single" w:sz="6" w:space="0" w:color="008000"/>
            </w:tcBorders>
            <w:shd w:val="clear" w:color="auto" w:fill="FFFFFF"/>
          </w:tcPr>
          <w:p w14:paraId="076AAD74" w14:textId="77777777" w:rsidR="00B04A36" w:rsidRDefault="00B04A36" w:rsidP="002C4AAF">
            <w:pPr>
              <w:pStyle w:val="CETBodytext"/>
              <w:ind w:right="-1"/>
              <w:jc w:val="center"/>
              <w:rPr>
                <w:lang w:val="en-GB"/>
              </w:rPr>
            </w:pPr>
            <w:r>
              <w:rPr>
                <w:lang w:val="en-GB"/>
              </w:rPr>
              <w:t>Exp</w:t>
            </w:r>
          </w:p>
        </w:tc>
        <w:tc>
          <w:tcPr>
            <w:tcW w:w="528" w:type="pct"/>
            <w:tcBorders>
              <w:top w:val="single" w:sz="12" w:space="0" w:color="008000"/>
              <w:bottom w:val="single" w:sz="6" w:space="0" w:color="008000"/>
            </w:tcBorders>
            <w:shd w:val="clear" w:color="auto" w:fill="FFFFFF"/>
          </w:tcPr>
          <w:p w14:paraId="228CE3C1" w14:textId="77777777" w:rsidR="00B04A36" w:rsidRPr="00B57B36" w:rsidRDefault="00B04A36" w:rsidP="002C4AAF">
            <w:pPr>
              <w:pStyle w:val="CETBodytext"/>
              <w:ind w:right="-1"/>
              <w:jc w:val="center"/>
              <w:rPr>
                <w:rFonts w:cs="Arial"/>
                <w:szCs w:val="18"/>
                <w:lang w:val="en-GB"/>
              </w:rPr>
            </w:pPr>
            <w:r>
              <w:rPr>
                <w:rFonts w:cs="Arial"/>
                <w:szCs w:val="18"/>
                <w:lang w:val="en-GB"/>
              </w:rPr>
              <w:t>Model</w:t>
            </w:r>
          </w:p>
        </w:tc>
      </w:tr>
      <w:tr w:rsidR="00742B4D" w:rsidRPr="00B57B36" w14:paraId="3AABB9C0" w14:textId="77777777" w:rsidTr="00691D1D">
        <w:tc>
          <w:tcPr>
            <w:tcW w:w="1210" w:type="pct"/>
            <w:vMerge w:val="restart"/>
            <w:shd w:val="clear" w:color="auto" w:fill="FFFFFF"/>
            <w:vAlign w:val="center"/>
          </w:tcPr>
          <w:p w14:paraId="2AA692C9" w14:textId="77777777" w:rsidR="00742B4D" w:rsidRPr="00B57B36" w:rsidRDefault="00742B4D" w:rsidP="00742B4D">
            <w:pPr>
              <w:pStyle w:val="CETBodytext"/>
              <w:jc w:val="center"/>
              <w:rPr>
                <w:lang w:val="en-GB"/>
              </w:rPr>
            </w:pPr>
            <w:r>
              <w:rPr>
                <w:lang w:val="en-GB"/>
              </w:rPr>
              <w:t>120</w:t>
            </w:r>
          </w:p>
        </w:tc>
        <w:tc>
          <w:tcPr>
            <w:tcW w:w="620" w:type="pct"/>
            <w:shd w:val="clear" w:color="auto" w:fill="FFFFFF"/>
          </w:tcPr>
          <w:p w14:paraId="5359E749" w14:textId="77777777" w:rsidR="00742B4D" w:rsidRPr="00B57B36" w:rsidRDefault="00742B4D" w:rsidP="00742B4D">
            <w:pPr>
              <w:pStyle w:val="CETBodytext"/>
              <w:jc w:val="center"/>
              <w:rPr>
                <w:lang w:val="en-GB"/>
              </w:rPr>
            </w:pPr>
            <w:r>
              <w:rPr>
                <w:lang w:val="en-GB"/>
              </w:rPr>
              <w:t>0.4</w:t>
            </w:r>
          </w:p>
        </w:tc>
        <w:tc>
          <w:tcPr>
            <w:tcW w:w="1056" w:type="pct"/>
            <w:shd w:val="clear" w:color="auto" w:fill="FFFFFF"/>
          </w:tcPr>
          <w:p w14:paraId="36CBDF48" w14:textId="21830551" w:rsidR="00742B4D" w:rsidRPr="00B57B36" w:rsidRDefault="00742B4D" w:rsidP="00742B4D">
            <w:pPr>
              <w:pStyle w:val="CETBodytext"/>
              <w:ind w:right="-1"/>
              <w:jc w:val="center"/>
              <w:rPr>
                <w:rFonts w:cs="Arial"/>
                <w:szCs w:val="18"/>
                <w:lang w:val="en-GB"/>
              </w:rPr>
            </w:pPr>
            <w:r w:rsidRPr="00DF1882">
              <w:t>96.88 ± 2.40</w:t>
            </w:r>
            <w:r w:rsidRPr="007A5E3F">
              <w:rPr>
                <w:vertAlign w:val="superscript"/>
              </w:rPr>
              <w:t>a</w:t>
            </w:r>
          </w:p>
        </w:tc>
        <w:tc>
          <w:tcPr>
            <w:tcW w:w="530" w:type="pct"/>
            <w:shd w:val="clear" w:color="auto" w:fill="FFFFFF"/>
          </w:tcPr>
          <w:p w14:paraId="46419084" w14:textId="6914B526" w:rsidR="00742B4D" w:rsidRPr="00B57B36" w:rsidRDefault="00742B4D" w:rsidP="00742B4D">
            <w:pPr>
              <w:pStyle w:val="CETBodytext"/>
              <w:ind w:right="-1"/>
              <w:jc w:val="center"/>
              <w:rPr>
                <w:rFonts w:cs="Arial"/>
                <w:szCs w:val="18"/>
                <w:lang w:val="en-GB"/>
              </w:rPr>
            </w:pPr>
            <w:r w:rsidRPr="00D74A20">
              <w:t>95.72</w:t>
            </w:r>
          </w:p>
        </w:tc>
        <w:tc>
          <w:tcPr>
            <w:tcW w:w="1056" w:type="pct"/>
            <w:shd w:val="clear" w:color="auto" w:fill="FFFFFF"/>
          </w:tcPr>
          <w:p w14:paraId="5C51FD1B" w14:textId="03BABD7F" w:rsidR="00742B4D" w:rsidRPr="00B57B36" w:rsidRDefault="00742B4D" w:rsidP="00742B4D">
            <w:pPr>
              <w:pStyle w:val="CETBodytext"/>
              <w:ind w:right="-1"/>
              <w:jc w:val="center"/>
              <w:rPr>
                <w:rFonts w:cs="Arial"/>
                <w:szCs w:val="18"/>
                <w:lang w:val="en-GB"/>
              </w:rPr>
            </w:pPr>
            <w:r w:rsidRPr="00DA2480">
              <w:t>7.93 ± 0.30</w:t>
            </w:r>
            <w:r w:rsidRPr="00055A93">
              <w:rPr>
                <w:vertAlign w:val="superscript"/>
              </w:rPr>
              <w:t>b</w:t>
            </w:r>
          </w:p>
        </w:tc>
        <w:tc>
          <w:tcPr>
            <w:tcW w:w="528" w:type="pct"/>
            <w:shd w:val="clear" w:color="auto" w:fill="FFFFFF"/>
          </w:tcPr>
          <w:p w14:paraId="5067D6E4" w14:textId="6E7F0EB7" w:rsidR="00742B4D" w:rsidRPr="00B57B36" w:rsidRDefault="00742B4D" w:rsidP="00742B4D">
            <w:pPr>
              <w:pStyle w:val="CETBodytext"/>
              <w:ind w:right="-1"/>
              <w:jc w:val="center"/>
              <w:rPr>
                <w:rFonts w:cs="Arial"/>
                <w:szCs w:val="18"/>
                <w:lang w:val="en-GB"/>
              </w:rPr>
            </w:pPr>
            <w:r w:rsidRPr="006E1CDD">
              <w:t>3.84</w:t>
            </w:r>
          </w:p>
        </w:tc>
      </w:tr>
      <w:tr w:rsidR="00742B4D" w:rsidRPr="00B57B36" w14:paraId="14FEDD9A" w14:textId="77777777" w:rsidTr="00691D1D">
        <w:tc>
          <w:tcPr>
            <w:tcW w:w="1210" w:type="pct"/>
            <w:vMerge/>
            <w:shd w:val="clear" w:color="auto" w:fill="FFFFFF"/>
          </w:tcPr>
          <w:p w14:paraId="6901DB2E" w14:textId="77777777" w:rsidR="00742B4D" w:rsidRPr="00B57B36" w:rsidRDefault="00742B4D" w:rsidP="00742B4D">
            <w:pPr>
              <w:pStyle w:val="CETBodytext"/>
              <w:jc w:val="center"/>
              <w:rPr>
                <w:lang w:val="en-GB"/>
              </w:rPr>
            </w:pPr>
          </w:p>
        </w:tc>
        <w:tc>
          <w:tcPr>
            <w:tcW w:w="620" w:type="pct"/>
            <w:shd w:val="clear" w:color="auto" w:fill="FFFFFF"/>
          </w:tcPr>
          <w:p w14:paraId="07426B27" w14:textId="77777777" w:rsidR="00742B4D" w:rsidRPr="00B57B36" w:rsidRDefault="00742B4D" w:rsidP="00742B4D">
            <w:pPr>
              <w:pStyle w:val="CETBodytext"/>
              <w:jc w:val="center"/>
              <w:rPr>
                <w:lang w:val="en-GB"/>
              </w:rPr>
            </w:pPr>
            <w:r>
              <w:rPr>
                <w:lang w:val="en-GB"/>
              </w:rPr>
              <w:t>0.6</w:t>
            </w:r>
          </w:p>
        </w:tc>
        <w:tc>
          <w:tcPr>
            <w:tcW w:w="1056" w:type="pct"/>
            <w:shd w:val="clear" w:color="auto" w:fill="FFFFFF"/>
          </w:tcPr>
          <w:p w14:paraId="6505A772" w14:textId="309A8569" w:rsidR="00742B4D" w:rsidRPr="00B57B36" w:rsidRDefault="00742B4D" w:rsidP="00742B4D">
            <w:pPr>
              <w:pStyle w:val="CETBodytext"/>
              <w:ind w:right="-1"/>
              <w:jc w:val="center"/>
              <w:rPr>
                <w:rFonts w:cs="Arial"/>
                <w:szCs w:val="18"/>
                <w:lang w:val="en-GB"/>
              </w:rPr>
            </w:pPr>
            <w:r w:rsidRPr="00DF1882">
              <w:t>1</w:t>
            </w:r>
            <w:r w:rsidR="00A120EF">
              <w:t>10</w:t>
            </w:r>
            <w:r w:rsidRPr="00DF1882">
              <w:t>.</w:t>
            </w:r>
            <w:r w:rsidR="00A120EF">
              <w:t>28</w:t>
            </w:r>
            <w:r w:rsidRPr="00DF1882">
              <w:t xml:space="preserve"> ± </w:t>
            </w:r>
            <w:r w:rsidR="00A120EF">
              <w:t>4.18</w:t>
            </w:r>
            <w:r w:rsidRPr="007A5E3F">
              <w:rPr>
                <w:vertAlign w:val="superscript"/>
              </w:rPr>
              <w:t>a</w:t>
            </w:r>
          </w:p>
        </w:tc>
        <w:tc>
          <w:tcPr>
            <w:tcW w:w="530" w:type="pct"/>
            <w:shd w:val="clear" w:color="auto" w:fill="FFFFFF"/>
          </w:tcPr>
          <w:p w14:paraId="24F5A891" w14:textId="0C608E53" w:rsidR="00742B4D" w:rsidRPr="00B57B36" w:rsidRDefault="00742B4D" w:rsidP="00742B4D">
            <w:pPr>
              <w:pStyle w:val="CETBodytext"/>
              <w:ind w:right="-1"/>
              <w:jc w:val="center"/>
              <w:rPr>
                <w:rFonts w:cs="Arial"/>
                <w:szCs w:val="18"/>
                <w:lang w:val="en-GB"/>
              </w:rPr>
            </w:pPr>
            <w:r w:rsidRPr="00D74A20">
              <w:t>98.16</w:t>
            </w:r>
          </w:p>
        </w:tc>
        <w:tc>
          <w:tcPr>
            <w:tcW w:w="1056" w:type="pct"/>
            <w:shd w:val="clear" w:color="auto" w:fill="FFFFFF"/>
          </w:tcPr>
          <w:p w14:paraId="7F508895" w14:textId="78051EAE" w:rsidR="00742B4D" w:rsidRPr="00B57B36" w:rsidRDefault="00742B4D" w:rsidP="00742B4D">
            <w:pPr>
              <w:pStyle w:val="CETBodytext"/>
              <w:ind w:right="-1"/>
              <w:jc w:val="center"/>
              <w:rPr>
                <w:rFonts w:cs="Arial"/>
                <w:szCs w:val="18"/>
                <w:lang w:val="en-GB"/>
              </w:rPr>
            </w:pPr>
            <w:r w:rsidRPr="00DA2480">
              <w:t>11.37 ± 0.39</w:t>
            </w:r>
            <w:r w:rsidRPr="00055A93">
              <w:rPr>
                <w:vertAlign w:val="superscript"/>
              </w:rPr>
              <w:t>b</w:t>
            </w:r>
          </w:p>
        </w:tc>
        <w:tc>
          <w:tcPr>
            <w:tcW w:w="528" w:type="pct"/>
            <w:shd w:val="clear" w:color="auto" w:fill="FFFFFF"/>
          </w:tcPr>
          <w:p w14:paraId="4F94A806" w14:textId="7A52412E" w:rsidR="00742B4D" w:rsidRPr="00B57B36" w:rsidRDefault="00742B4D" w:rsidP="00742B4D">
            <w:pPr>
              <w:pStyle w:val="CETBodytext"/>
              <w:ind w:right="-1"/>
              <w:jc w:val="center"/>
              <w:rPr>
                <w:rFonts w:cs="Arial"/>
                <w:szCs w:val="18"/>
                <w:lang w:val="en-GB"/>
              </w:rPr>
            </w:pPr>
            <w:r w:rsidRPr="006E1CDD">
              <w:t>8.78</w:t>
            </w:r>
          </w:p>
        </w:tc>
      </w:tr>
      <w:tr w:rsidR="00742B4D" w:rsidRPr="00B57B36" w14:paraId="4586001C" w14:textId="77777777" w:rsidTr="00691D1D">
        <w:tc>
          <w:tcPr>
            <w:tcW w:w="1210" w:type="pct"/>
            <w:vMerge/>
            <w:shd w:val="clear" w:color="auto" w:fill="FFFFFF"/>
          </w:tcPr>
          <w:p w14:paraId="1088143F" w14:textId="77777777" w:rsidR="00742B4D" w:rsidRPr="00B57B36" w:rsidRDefault="00742B4D" w:rsidP="00742B4D">
            <w:pPr>
              <w:pStyle w:val="CETBodytext"/>
              <w:jc w:val="center"/>
              <w:rPr>
                <w:lang w:val="en-GB"/>
              </w:rPr>
            </w:pPr>
          </w:p>
        </w:tc>
        <w:tc>
          <w:tcPr>
            <w:tcW w:w="620" w:type="pct"/>
            <w:tcBorders>
              <w:bottom w:val="single" w:sz="4" w:space="0" w:color="00B050"/>
            </w:tcBorders>
            <w:shd w:val="clear" w:color="auto" w:fill="FFFFFF"/>
          </w:tcPr>
          <w:p w14:paraId="4F7D6A4F" w14:textId="77777777" w:rsidR="00742B4D" w:rsidRPr="00B57B36" w:rsidRDefault="00742B4D" w:rsidP="00742B4D">
            <w:pPr>
              <w:pStyle w:val="CETBodytext"/>
              <w:jc w:val="center"/>
              <w:rPr>
                <w:lang w:val="en-GB"/>
              </w:rPr>
            </w:pPr>
            <w:r>
              <w:rPr>
                <w:lang w:val="en-GB"/>
              </w:rPr>
              <w:t>0.8</w:t>
            </w:r>
          </w:p>
        </w:tc>
        <w:tc>
          <w:tcPr>
            <w:tcW w:w="1056" w:type="pct"/>
            <w:tcBorders>
              <w:bottom w:val="single" w:sz="4" w:space="0" w:color="00B050"/>
            </w:tcBorders>
            <w:shd w:val="clear" w:color="auto" w:fill="FFFFFF"/>
          </w:tcPr>
          <w:p w14:paraId="139012B1" w14:textId="54BB45E8" w:rsidR="00742B4D" w:rsidRPr="00B57B36" w:rsidRDefault="00742B4D" w:rsidP="00742B4D">
            <w:pPr>
              <w:pStyle w:val="CETBodytext"/>
              <w:ind w:right="-1"/>
              <w:jc w:val="center"/>
              <w:rPr>
                <w:rFonts w:cs="Arial"/>
                <w:szCs w:val="18"/>
                <w:lang w:val="en-GB"/>
              </w:rPr>
            </w:pPr>
            <w:r w:rsidRPr="00DF1882">
              <w:t>10</w:t>
            </w:r>
            <w:r w:rsidR="00C958D0">
              <w:t>7.81</w:t>
            </w:r>
            <w:r w:rsidRPr="00DF1882">
              <w:t xml:space="preserve"> ± 0.</w:t>
            </w:r>
            <w:r w:rsidR="00C958D0">
              <w:t>44</w:t>
            </w:r>
            <w:r w:rsidR="00A120EF" w:rsidRPr="00A120EF">
              <w:rPr>
                <w:vertAlign w:val="superscript"/>
              </w:rPr>
              <w:t>b</w:t>
            </w:r>
          </w:p>
        </w:tc>
        <w:tc>
          <w:tcPr>
            <w:tcW w:w="530" w:type="pct"/>
            <w:tcBorders>
              <w:bottom w:val="single" w:sz="4" w:space="0" w:color="00B050"/>
            </w:tcBorders>
            <w:shd w:val="clear" w:color="auto" w:fill="FFFFFF"/>
          </w:tcPr>
          <w:p w14:paraId="1929CD38" w14:textId="236B6CA7" w:rsidR="00742B4D" w:rsidRPr="00B57B36" w:rsidRDefault="00742B4D" w:rsidP="00742B4D">
            <w:pPr>
              <w:pStyle w:val="CETBodytext"/>
              <w:ind w:right="-1"/>
              <w:jc w:val="center"/>
              <w:rPr>
                <w:rFonts w:cs="Arial"/>
                <w:szCs w:val="18"/>
                <w:lang w:val="en-GB"/>
              </w:rPr>
            </w:pPr>
            <w:r w:rsidRPr="00D74A20">
              <w:t>99.17</w:t>
            </w:r>
          </w:p>
        </w:tc>
        <w:tc>
          <w:tcPr>
            <w:tcW w:w="1056" w:type="pct"/>
            <w:tcBorders>
              <w:bottom w:val="single" w:sz="4" w:space="0" w:color="00B050"/>
            </w:tcBorders>
            <w:shd w:val="clear" w:color="auto" w:fill="FFFFFF"/>
          </w:tcPr>
          <w:p w14:paraId="73B2AAAB" w14:textId="29D54EA2" w:rsidR="00742B4D" w:rsidRPr="00B57B36" w:rsidRDefault="00742B4D" w:rsidP="00742B4D">
            <w:pPr>
              <w:pStyle w:val="CETBodytext"/>
              <w:ind w:right="-1"/>
              <w:jc w:val="center"/>
              <w:rPr>
                <w:rFonts w:cs="Arial"/>
                <w:szCs w:val="18"/>
                <w:lang w:val="en-GB"/>
              </w:rPr>
            </w:pPr>
            <w:r w:rsidRPr="00DA2480">
              <w:t>17.99 ± 0.49</w:t>
            </w:r>
            <w:r w:rsidRPr="00055A93">
              <w:rPr>
                <w:vertAlign w:val="superscript"/>
              </w:rPr>
              <w:t>a</w:t>
            </w:r>
          </w:p>
        </w:tc>
        <w:tc>
          <w:tcPr>
            <w:tcW w:w="528" w:type="pct"/>
            <w:tcBorders>
              <w:bottom w:val="single" w:sz="4" w:space="0" w:color="00B050"/>
            </w:tcBorders>
            <w:shd w:val="clear" w:color="auto" w:fill="FFFFFF"/>
          </w:tcPr>
          <w:p w14:paraId="284A4D58" w14:textId="2749F18D" w:rsidR="00742B4D" w:rsidRPr="00B57B36" w:rsidRDefault="00742B4D" w:rsidP="00742B4D">
            <w:pPr>
              <w:pStyle w:val="CETBodytext"/>
              <w:ind w:right="-1"/>
              <w:jc w:val="center"/>
              <w:rPr>
                <w:rFonts w:cs="Arial"/>
                <w:szCs w:val="18"/>
                <w:lang w:val="en-GB"/>
              </w:rPr>
            </w:pPr>
            <w:r w:rsidRPr="006E1CDD">
              <w:t>18.05</w:t>
            </w:r>
          </w:p>
        </w:tc>
      </w:tr>
      <w:tr w:rsidR="00742B4D" w:rsidRPr="00B57B36" w14:paraId="5BA565A8" w14:textId="77777777" w:rsidTr="00691D1D">
        <w:tc>
          <w:tcPr>
            <w:tcW w:w="1210" w:type="pct"/>
            <w:vMerge w:val="restart"/>
            <w:shd w:val="clear" w:color="auto" w:fill="FFFFFF"/>
            <w:vAlign w:val="center"/>
          </w:tcPr>
          <w:p w14:paraId="40BF1587" w14:textId="77777777" w:rsidR="00742B4D" w:rsidRPr="00B57B36" w:rsidRDefault="00742B4D" w:rsidP="00742B4D">
            <w:pPr>
              <w:pStyle w:val="CETBodytext"/>
              <w:jc w:val="center"/>
              <w:rPr>
                <w:lang w:val="en-GB"/>
              </w:rPr>
            </w:pPr>
            <w:r>
              <w:rPr>
                <w:lang w:val="en-GB"/>
              </w:rPr>
              <w:t>140</w:t>
            </w:r>
          </w:p>
        </w:tc>
        <w:tc>
          <w:tcPr>
            <w:tcW w:w="620" w:type="pct"/>
            <w:tcBorders>
              <w:top w:val="single" w:sz="4" w:space="0" w:color="00B050"/>
            </w:tcBorders>
            <w:shd w:val="clear" w:color="auto" w:fill="FFFFFF"/>
          </w:tcPr>
          <w:p w14:paraId="7DA9B055" w14:textId="77777777" w:rsidR="00742B4D" w:rsidRPr="00B57B36" w:rsidRDefault="00742B4D" w:rsidP="00742B4D">
            <w:pPr>
              <w:pStyle w:val="CETBodytext"/>
              <w:jc w:val="center"/>
              <w:rPr>
                <w:lang w:val="en-GB"/>
              </w:rPr>
            </w:pPr>
            <w:r>
              <w:rPr>
                <w:lang w:val="en-GB"/>
              </w:rPr>
              <w:t>0.4</w:t>
            </w:r>
          </w:p>
        </w:tc>
        <w:tc>
          <w:tcPr>
            <w:tcW w:w="1056" w:type="pct"/>
            <w:tcBorders>
              <w:top w:val="single" w:sz="4" w:space="0" w:color="00B050"/>
            </w:tcBorders>
            <w:shd w:val="clear" w:color="auto" w:fill="FFFFFF"/>
          </w:tcPr>
          <w:p w14:paraId="6DCD2A15" w14:textId="4558F2EF" w:rsidR="00742B4D" w:rsidRPr="00B57B36" w:rsidRDefault="00742B4D" w:rsidP="00742B4D">
            <w:pPr>
              <w:pStyle w:val="CETBodytext"/>
              <w:ind w:right="-1"/>
              <w:jc w:val="center"/>
              <w:rPr>
                <w:rFonts w:cs="Arial"/>
                <w:szCs w:val="18"/>
                <w:lang w:val="en-GB"/>
              </w:rPr>
            </w:pPr>
            <w:r w:rsidRPr="00DF1882">
              <w:t>89.93 ± 1.24</w:t>
            </w:r>
            <w:r w:rsidRPr="00B10C46">
              <w:rPr>
                <w:vertAlign w:val="superscript"/>
              </w:rPr>
              <w:t>a</w:t>
            </w:r>
          </w:p>
        </w:tc>
        <w:tc>
          <w:tcPr>
            <w:tcW w:w="530" w:type="pct"/>
            <w:tcBorders>
              <w:top w:val="single" w:sz="4" w:space="0" w:color="00B050"/>
            </w:tcBorders>
            <w:shd w:val="clear" w:color="auto" w:fill="FFFFFF"/>
          </w:tcPr>
          <w:p w14:paraId="72D458C5" w14:textId="4348BD2F" w:rsidR="00742B4D" w:rsidRPr="00B57B36" w:rsidRDefault="00742B4D" w:rsidP="00742B4D">
            <w:pPr>
              <w:pStyle w:val="CETBodytext"/>
              <w:ind w:right="-1"/>
              <w:jc w:val="center"/>
              <w:rPr>
                <w:rFonts w:cs="Arial"/>
                <w:szCs w:val="18"/>
                <w:lang w:val="en-GB"/>
              </w:rPr>
            </w:pPr>
            <w:r w:rsidRPr="00D74A20">
              <w:t>94.08</w:t>
            </w:r>
          </w:p>
        </w:tc>
        <w:tc>
          <w:tcPr>
            <w:tcW w:w="1056" w:type="pct"/>
            <w:tcBorders>
              <w:top w:val="single" w:sz="4" w:space="0" w:color="00B050"/>
            </w:tcBorders>
            <w:shd w:val="clear" w:color="auto" w:fill="FFFFFF"/>
          </w:tcPr>
          <w:p w14:paraId="575E6232" w14:textId="7E0FC601" w:rsidR="00742B4D" w:rsidRPr="00B57B36" w:rsidRDefault="00742B4D" w:rsidP="00742B4D">
            <w:pPr>
              <w:pStyle w:val="CETBodytext"/>
              <w:ind w:right="-1"/>
              <w:jc w:val="center"/>
              <w:rPr>
                <w:rFonts w:cs="Arial"/>
                <w:szCs w:val="18"/>
                <w:lang w:val="en-GB"/>
              </w:rPr>
            </w:pPr>
            <w:r w:rsidRPr="00DA2480">
              <w:t>5.11 ± 0.21</w:t>
            </w:r>
            <w:r w:rsidRPr="00055A93">
              <w:rPr>
                <w:vertAlign w:val="superscript"/>
              </w:rPr>
              <w:t>b</w:t>
            </w:r>
          </w:p>
        </w:tc>
        <w:tc>
          <w:tcPr>
            <w:tcW w:w="528" w:type="pct"/>
            <w:tcBorders>
              <w:top w:val="single" w:sz="4" w:space="0" w:color="00B050"/>
            </w:tcBorders>
            <w:shd w:val="clear" w:color="auto" w:fill="FFFFFF"/>
          </w:tcPr>
          <w:p w14:paraId="5AE9EFE7" w14:textId="3B497D2C" w:rsidR="00742B4D" w:rsidRPr="00B57B36" w:rsidRDefault="00742B4D" w:rsidP="00742B4D">
            <w:pPr>
              <w:pStyle w:val="CETBodytext"/>
              <w:ind w:right="-1"/>
              <w:jc w:val="center"/>
              <w:rPr>
                <w:rFonts w:cs="Arial"/>
                <w:szCs w:val="18"/>
                <w:lang w:val="en-GB"/>
              </w:rPr>
            </w:pPr>
            <w:r w:rsidRPr="006E1CDD">
              <w:t>3.83</w:t>
            </w:r>
          </w:p>
        </w:tc>
      </w:tr>
      <w:tr w:rsidR="00742B4D" w:rsidRPr="00B57B36" w14:paraId="554BA3F2" w14:textId="77777777" w:rsidTr="00691D1D">
        <w:tc>
          <w:tcPr>
            <w:tcW w:w="1210" w:type="pct"/>
            <w:vMerge/>
            <w:shd w:val="clear" w:color="auto" w:fill="FFFFFF"/>
          </w:tcPr>
          <w:p w14:paraId="7339B7B8" w14:textId="77777777" w:rsidR="00742B4D" w:rsidRPr="00B57B36" w:rsidRDefault="00742B4D" w:rsidP="00742B4D">
            <w:pPr>
              <w:pStyle w:val="CETBodytext"/>
              <w:rPr>
                <w:lang w:val="en-GB"/>
              </w:rPr>
            </w:pPr>
          </w:p>
        </w:tc>
        <w:tc>
          <w:tcPr>
            <w:tcW w:w="620" w:type="pct"/>
            <w:shd w:val="clear" w:color="auto" w:fill="FFFFFF"/>
          </w:tcPr>
          <w:p w14:paraId="0849F7F2" w14:textId="77777777" w:rsidR="00742B4D" w:rsidRPr="00B57B36" w:rsidRDefault="00742B4D" w:rsidP="00742B4D">
            <w:pPr>
              <w:pStyle w:val="CETBodytext"/>
              <w:jc w:val="center"/>
              <w:rPr>
                <w:lang w:val="en-GB"/>
              </w:rPr>
            </w:pPr>
            <w:r>
              <w:rPr>
                <w:lang w:val="en-GB"/>
              </w:rPr>
              <w:t>0.6</w:t>
            </w:r>
          </w:p>
        </w:tc>
        <w:tc>
          <w:tcPr>
            <w:tcW w:w="1056" w:type="pct"/>
            <w:shd w:val="clear" w:color="auto" w:fill="FFFFFF"/>
          </w:tcPr>
          <w:p w14:paraId="318C7605" w14:textId="3F1E8E7D" w:rsidR="00742B4D" w:rsidRPr="00B57B36" w:rsidRDefault="00742B4D" w:rsidP="00742B4D">
            <w:pPr>
              <w:pStyle w:val="CETBodytext"/>
              <w:ind w:right="-1"/>
              <w:jc w:val="center"/>
              <w:rPr>
                <w:rFonts w:cs="Arial"/>
                <w:szCs w:val="18"/>
                <w:lang w:val="en-GB"/>
              </w:rPr>
            </w:pPr>
            <w:r w:rsidRPr="00DF1882">
              <w:t>10</w:t>
            </w:r>
            <w:r w:rsidR="0028410B">
              <w:t>9</w:t>
            </w:r>
            <w:r w:rsidRPr="00DF1882">
              <w:t>.</w:t>
            </w:r>
            <w:r w:rsidR="00B975F5">
              <w:t>92</w:t>
            </w:r>
            <w:r w:rsidRPr="00DF1882">
              <w:t xml:space="preserve"> ± </w:t>
            </w:r>
            <w:r w:rsidR="00B975F5">
              <w:t>7</w:t>
            </w:r>
            <w:r w:rsidRPr="00DF1882">
              <w:t>.00</w:t>
            </w:r>
            <w:r w:rsidRPr="00B10C46">
              <w:rPr>
                <w:vertAlign w:val="superscript"/>
              </w:rPr>
              <w:t>b</w:t>
            </w:r>
          </w:p>
        </w:tc>
        <w:tc>
          <w:tcPr>
            <w:tcW w:w="530" w:type="pct"/>
            <w:shd w:val="clear" w:color="auto" w:fill="FFFFFF"/>
          </w:tcPr>
          <w:p w14:paraId="74986CA3" w14:textId="6E3DAED1" w:rsidR="00742B4D" w:rsidRPr="00B57B36" w:rsidRDefault="00742B4D" w:rsidP="00742B4D">
            <w:pPr>
              <w:pStyle w:val="CETBodytext"/>
              <w:ind w:right="-1"/>
              <w:jc w:val="center"/>
              <w:rPr>
                <w:rFonts w:cs="Arial"/>
                <w:szCs w:val="18"/>
                <w:lang w:val="en-GB"/>
              </w:rPr>
            </w:pPr>
            <w:r w:rsidRPr="00D74A20">
              <w:t>96.57</w:t>
            </w:r>
          </w:p>
        </w:tc>
        <w:tc>
          <w:tcPr>
            <w:tcW w:w="1056" w:type="pct"/>
            <w:shd w:val="clear" w:color="auto" w:fill="FFFFFF"/>
          </w:tcPr>
          <w:p w14:paraId="168CACB8" w14:textId="3DE9BBBB" w:rsidR="00742B4D" w:rsidRPr="00B57B36" w:rsidRDefault="00742B4D" w:rsidP="00742B4D">
            <w:pPr>
              <w:pStyle w:val="CETBodytext"/>
              <w:ind w:right="-1"/>
              <w:jc w:val="center"/>
              <w:rPr>
                <w:rFonts w:cs="Arial"/>
                <w:szCs w:val="18"/>
                <w:lang w:val="en-GB"/>
              </w:rPr>
            </w:pPr>
            <w:r w:rsidRPr="00DA2480">
              <w:t>15.04 ± 0.17</w:t>
            </w:r>
            <w:r w:rsidRPr="00055A93">
              <w:rPr>
                <w:vertAlign w:val="superscript"/>
              </w:rPr>
              <w:t>b</w:t>
            </w:r>
          </w:p>
        </w:tc>
        <w:tc>
          <w:tcPr>
            <w:tcW w:w="528" w:type="pct"/>
            <w:shd w:val="clear" w:color="auto" w:fill="FFFFFF"/>
          </w:tcPr>
          <w:p w14:paraId="2DCAB9EE" w14:textId="664EF331" w:rsidR="00742B4D" w:rsidRPr="00B57B36" w:rsidRDefault="00742B4D" w:rsidP="00742B4D">
            <w:pPr>
              <w:pStyle w:val="CETBodytext"/>
              <w:ind w:right="-1"/>
              <w:jc w:val="center"/>
              <w:rPr>
                <w:rFonts w:cs="Arial"/>
                <w:szCs w:val="18"/>
                <w:lang w:val="en-GB"/>
              </w:rPr>
            </w:pPr>
            <w:r w:rsidRPr="006E1CDD">
              <w:t>6.59</w:t>
            </w:r>
          </w:p>
        </w:tc>
      </w:tr>
      <w:tr w:rsidR="00742B4D" w:rsidRPr="00B57B36" w14:paraId="7379E3C7" w14:textId="77777777" w:rsidTr="00691D1D">
        <w:tc>
          <w:tcPr>
            <w:tcW w:w="1210" w:type="pct"/>
            <w:vMerge/>
            <w:shd w:val="clear" w:color="auto" w:fill="FFFFFF"/>
          </w:tcPr>
          <w:p w14:paraId="51DD5580" w14:textId="77777777" w:rsidR="00742B4D" w:rsidRPr="00B57B36" w:rsidRDefault="00742B4D" w:rsidP="00742B4D">
            <w:pPr>
              <w:pStyle w:val="CETBodytext"/>
              <w:rPr>
                <w:lang w:val="en-GB"/>
              </w:rPr>
            </w:pPr>
          </w:p>
        </w:tc>
        <w:tc>
          <w:tcPr>
            <w:tcW w:w="620" w:type="pct"/>
            <w:tcBorders>
              <w:bottom w:val="single" w:sz="4" w:space="0" w:color="00B050"/>
            </w:tcBorders>
            <w:shd w:val="clear" w:color="auto" w:fill="FFFFFF"/>
          </w:tcPr>
          <w:p w14:paraId="3326007E" w14:textId="77777777" w:rsidR="00742B4D" w:rsidRPr="00B57B36" w:rsidRDefault="00742B4D" w:rsidP="00742B4D">
            <w:pPr>
              <w:pStyle w:val="CETBodytext"/>
              <w:jc w:val="center"/>
              <w:rPr>
                <w:lang w:val="en-GB"/>
              </w:rPr>
            </w:pPr>
            <w:r>
              <w:rPr>
                <w:lang w:val="en-GB"/>
              </w:rPr>
              <w:t>0.8</w:t>
            </w:r>
          </w:p>
        </w:tc>
        <w:tc>
          <w:tcPr>
            <w:tcW w:w="1056" w:type="pct"/>
            <w:tcBorders>
              <w:bottom w:val="single" w:sz="4" w:space="0" w:color="00B050"/>
            </w:tcBorders>
            <w:shd w:val="clear" w:color="auto" w:fill="FFFFFF"/>
          </w:tcPr>
          <w:p w14:paraId="560890F4" w14:textId="1B9BB954" w:rsidR="00742B4D" w:rsidRPr="00B57B36" w:rsidRDefault="00742B4D" w:rsidP="00742B4D">
            <w:pPr>
              <w:pStyle w:val="CETBodytext"/>
              <w:ind w:right="-1"/>
              <w:jc w:val="center"/>
              <w:rPr>
                <w:rFonts w:cs="Arial"/>
                <w:szCs w:val="18"/>
                <w:lang w:val="en-GB"/>
              </w:rPr>
            </w:pPr>
            <w:r w:rsidRPr="00DF1882">
              <w:t>1</w:t>
            </w:r>
            <w:r w:rsidR="00B975F5">
              <w:t>12</w:t>
            </w:r>
            <w:r w:rsidRPr="00DF1882">
              <w:t>.</w:t>
            </w:r>
            <w:r w:rsidR="00B975F5">
              <w:t>03</w:t>
            </w:r>
            <w:r w:rsidRPr="00DF1882">
              <w:t xml:space="preserve"> ± </w:t>
            </w:r>
            <w:r w:rsidR="00687E5F">
              <w:t>9.07</w:t>
            </w:r>
            <w:r w:rsidRPr="00B10C46">
              <w:rPr>
                <w:vertAlign w:val="superscript"/>
              </w:rPr>
              <w:t>b</w:t>
            </w:r>
          </w:p>
        </w:tc>
        <w:tc>
          <w:tcPr>
            <w:tcW w:w="530" w:type="pct"/>
            <w:tcBorders>
              <w:bottom w:val="single" w:sz="4" w:space="0" w:color="00B050"/>
            </w:tcBorders>
            <w:shd w:val="clear" w:color="auto" w:fill="FFFFFF"/>
          </w:tcPr>
          <w:p w14:paraId="21ADC4BF" w14:textId="7794733C" w:rsidR="00742B4D" w:rsidRPr="00B57B36" w:rsidRDefault="00742B4D" w:rsidP="00742B4D">
            <w:pPr>
              <w:pStyle w:val="CETBodytext"/>
              <w:ind w:right="-1"/>
              <w:jc w:val="center"/>
              <w:rPr>
                <w:rFonts w:cs="Arial"/>
                <w:szCs w:val="18"/>
                <w:lang w:val="en-GB"/>
              </w:rPr>
            </w:pPr>
            <w:r w:rsidRPr="00D74A20">
              <w:t>98.44</w:t>
            </w:r>
          </w:p>
        </w:tc>
        <w:tc>
          <w:tcPr>
            <w:tcW w:w="1056" w:type="pct"/>
            <w:tcBorders>
              <w:bottom w:val="single" w:sz="4" w:space="0" w:color="00B050"/>
            </w:tcBorders>
            <w:shd w:val="clear" w:color="auto" w:fill="FFFFFF"/>
          </w:tcPr>
          <w:p w14:paraId="2261A0A4" w14:textId="3A9674C4" w:rsidR="00742B4D" w:rsidRPr="00B57B36" w:rsidRDefault="00742B4D" w:rsidP="00742B4D">
            <w:pPr>
              <w:pStyle w:val="CETBodytext"/>
              <w:ind w:right="-1"/>
              <w:jc w:val="center"/>
              <w:rPr>
                <w:rFonts w:cs="Arial"/>
                <w:szCs w:val="18"/>
                <w:lang w:val="en-GB"/>
              </w:rPr>
            </w:pPr>
            <w:r w:rsidRPr="00DA2480">
              <w:t>5.89 ± 0.15</w:t>
            </w:r>
            <w:r w:rsidRPr="00055A93">
              <w:rPr>
                <w:vertAlign w:val="superscript"/>
              </w:rPr>
              <w:t>a</w:t>
            </w:r>
          </w:p>
        </w:tc>
        <w:tc>
          <w:tcPr>
            <w:tcW w:w="528" w:type="pct"/>
            <w:tcBorders>
              <w:bottom w:val="single" w:sz="4" w:space="0" w:color="00B050"/>
            </w:tcBorders>
            <w:shd w:val="clear" w:color="auto" w:fill="FFFFFF"/>
          </w:tcPr>
          <w:p w14:paraId="165C7179" w14:textId="5D8F0172" w:rsidR="00742B4D" w:rsidRPr="00B57B36" w:rsidRDefault="00742B4D" w:rsidP="00742B4D">
            <w:pPr>
              <w:pStyle w:val="CETBodytext"/>
              <w:ind w:right="-1"/>
              <w:jc w:val="center"/>
              <w:rPr>
                <w:rFonts w:cs="Arial"/>
                <w:szCs w:val="18"/>
                <w:lang w:val="en-GB"/>
              </w:rPr>
            </w:pPr>
            <w:r w:rsidRPr="006E1CDD">
              <w:t>13.85</w:t>
            </w:r>
          </w:p>
        </w:tc>
      </w:tr>
      <w:tr w:rsidR="00742B4D" w:rsidRPr="00B57B36" w14:paraId="27D39753" w14:textId="77777777" w:rsidTr="00691D1D">
        <w:tc>
          <w:tcPr>
            <w:tcW w:w="1210" w:type="pct"/>
            <w:vMerge w:val="restart"/>
            <w:shd w:val="clear" w:color="auto" w:fill="FFFFFF"/>
            <w:vAlign w:val="center"/>
          </w:tcPr>
          <w:p w14:paraId="26244BAC" w14:textId="77777777" w:rsidR="00742B4D" w:rsidRPr="00B57B36" w:rsidRDefault="00742B4D" w:rsidP="00742B4D">
            <w:pPr>
              <w:pStyle w:val="CETBodytext"/>
              <w:jc w:val="center"/>
              <w:rPr>
                <w:lang w:val="en-GB"/>
              </w:rPr>
            </w:pPr>
            <w:r>
              <w:rPr>
                <w:lang w:val="en-GB"/>
              </w:rPr>
              <w:t>160</w:t>
            </w:r>
          </w:p>
        </w:tc>
        <w:tc>
          <w:tcPr>
            <w:tcW w:w="620" w:type="pct"/>
            <w:tcBorders>
              <w:top w:val="single" w:sz="4" w:space="0" w:color="00B050"/>
            </w:tcBorders>
            <w:shd w:val="clear" w:color="auto" w:fill="FFFFFF"/>
          </w:tcPr>
          <w:p w14:paraId="5977BB0F" w14:textId="77777777" w:rsidR="00742B4D" w:rsidRPr="00B57B36" w:rsidRDefault="00742B4D" w:rsidP="00742B4D">
            <w:pPr>
              <w:pStyle w:val="CETBodytext"/>
              <w:jc w:val="center"/>
              <w:rPr>
                <w:lang w:val="en-GB"/>
              </w:rPr>
            </w:pPr>
            <w:r>
              <w:rPr>
                <w:lang w:val="en-GB"/>
              </w:rPr>
              <w:t>0.4</w:t>
            </w:r>
          </w:p>
        </w:tc>
        <w:tc>
          <w:tcPr>
            <w:tcW w:w="1056" w:type="pct"/>
            <w:tcBorders>
              <w:top w:val="single" w:sz="4" w:space="0" w:color="00B050"/>
            </w:tcBorders>
            <w:shd w:val="clear" w:color="auto" w:fill="FFFFFF"/>
          </w:tcPr>
          <w:p w14:paraId="751ECE14" w14:textId="4438D187" w:rsidR="00742B4D" w:rsidRPr="00B57B36" w:rsidRDefault="00742B4D" w:rsidP="00742B4D">
            <w:pPr>
              <w:pStyle w:val="CETBodytext"/>
              <w:ind w:right="-1"/>
              <w:jc w:val="center"/>
              <w:rPr>
                <w:rFonts w:cs="Arial"/>
                <w:szCs w:val="18"/>
                <w:lang w:val="en-GB"/>
              </w:rPr>
            </w:pPr>
            <w:r w:rsidRPr="00DF1882">
              <w:t>89.40 ± 1.72</w:t>
            </w:r>
            <w:r w:rsidRPr="00B10C46">
              <w:rPr>
                <w:vertAlign w:val="superscript"/>
              </w:rPr>
              <w:t>a</w:t>
            </w:r>
          </w:p>
        </w:tc>
        <w:tc>
          <w:tcPr>
            <w:tcW w:w="530" w:type="pct"/>
            <w:tcBorders>
              <w:top w:val="single" w:sz="4" w:space="0" w:color="00B050"/>
            </w:tcBorders>
            <w:shd w:val="clear" w:color="auto" w:fill="FFFFFF"/>
          </w:tcPr>
          <w:p w14:paraId="39D4D7DE" w14:textId="7BC0EA5F" w:rsidR="00742B4D" w:rsidRPr="00B57B36" w:rsidRDefault="00742B4D" w:rsidP="00742B4D">
            <w:pPr>
              <w:pStyle w:val="CETBodytext"/>
              <w:ind w:right="-1"/>
              <w:jc w:val="center"/>
              <w:rPr>
                <w:rFonts w:cs="Arial"/>
                <w:szCs w:val="18"/>
                <w:lang w:val="en-GB"/>
              </w:rPr>
            </w:pPr>
            <w:r w:rsidRPr="00D74A20">
              <w:t>90.41</w:t>
            </w:r>
          </w:p>
        </w:tc>
        <w:tc>
          <w:tcPr>
            <w:tcW w:w="1056" w:type="pct"/>
            <w:tcBorders>
              <w:top w:val="single" w:sz="4" w:space="0" w:color="00B050"/>
            </w:tcBorders>
            <w:shd w:val="clear" w:color="auto" w:fill="FFFFFF"/>
          </w:tcPr>
          <w:p w14:paraId="356A2A34" w14:textId="5D5E23A4" w:rsidR="00742B4D" w:rsidRPr="00B57B36" w:rsidRDefault="00742B4D" w:rsidP="00742B4D">
            <w:pPr>
              <w:pStyle w:val="CETBodytext"/>
              <w:ind w:right="-1"/>
              <w:jc w:val="center"/>
              <w:rPr>
                <w:rFonts w:cs="Arial"/>
                <w:szCs w:val="18"/>
                <w:lang w:val="en-GB"/>
              </w:rPr>
            </w:pPr>
            <w:r w:rsidRPr="00DA2480">
              <w:t>6.85 ± 0.38</w:t>
            </w:r>
            <w:r w:rsidRPr="00055A93">
              <w:rPr>
                <w:vertAlign w:val="superscript"/>
              </w:rPr>
              <w:t>a</w:t>
            </w:r>
          </w:p>
        </w:tc>
        <w:tc>
          <w:tcPr>
            <w:tcW w:w="528" w:type="pct"/>
            <w:tcBorders>
              <w:top w:val="single" w:sz="4" w:space="0" w:color="00B050"/>
            </w:tcBorders>
            <w:shd w:val="clear" w:color="auto" w:fill="FFFFFF"/>
          </w:tcPr>
          <w:p w14:paraId="44E1DC77" w14:textId="2DD9F245" w:rsidR="00742B4D" w:rsidRPr="00B57B36" w:rsidRDefault="00742B4D" w:rsidP="00742B4D">
            <w:pPr>
              <w:pStyle w:val="CETBodytext"/>
              <w:ind w:right="-1"/>
              <w:jc w:val="center"/>
              <w:rPr>
                <w:rFonts w:cs="Arial"/>
                <w:szCs w:val="18"/>
                <w:lang w:val="en-GB"/>
              </w:rPr>
            </w:pPr>
            <w:r w:rsidRPr="006E1CDD">
              <w:t>3.07</w:t>
            </w:r>
          </w:p>
        </w:tc>
      </w:tr>
      <w:tr w:rsidR="00742B4D" w:rsidRPr="00B57B36" w14:paraId="45323B96" w14:textId="77777777" w:rsidTr="00691D1D">
        <w:tc>
          <w:tcPr>
            <w:tcW w:w="1210" w:type="pct"/>
            <w:vMerge/>
            <w:shd w:val="clear" w:color="auto" w:fill="FFFFFF"/>
          </w:tcPr>
          <w:p w14:paraId="7B6119AD" w14:textId="77777777" w:rsidR="00742B4D" w:rsidRPr="00B57B36" w:rsidRDefault="00742B4D" w:rsidP="00742B4D">
            <w:pPr>
              <w:pStyle w:val="CETBodytext"/>
              <w:rPr>
                <w:lang w:val="en-GB"/>
              </w:rPr>
            </w:pPr>
          </w:p>
        </w:tc>
        <w:tc>
          <w:tcPr>
            <w:tcW w:w="620" w:type="pct"/>
            <w:shd w:val="clear" w:color="auto" w:fill="FFFFFF"/>
          </w:tcPr>
          <w:p w14:paraId="5722E979" w14:textId="77777777" w:rsidR="00742B4D" w:rsidRPr="00B57B36" w:rsidRDefault="00742B4D" w:rsidP="00742B4D">
            <w:pPr>
              <w:pStyle w:val="CETBodytext"/>
              <w:jc w:val="center"/>
              <w:rPr>
                <w:lang w:val="en-GB"/>
              </w:rPr>
            </w:pPr>
            <w:r>
              <w:rPr>
                <w:lang w:val="en-GB"/>
              </w:rPr>
              <w:t>0.6</w:t>
            </w:r>
          </w:p>
        </w:tc>
        <w:tc>
          <w:tcPr>
            <w:tcW w:w="1056" w:type="pct"/>
            <w:shd w:val="clear" w:color="auto" w:fill="FFFFFF"/>
          </w:tcPr>
          <w:p w14:paraId="64AD1563" w14:textId="4E22EEA8" w:rsidR="00742B4D" w:rsidRPr="00B57B36" w:rsidRDefault="00742B4D" w:rsidP="00742B4D">
            <w:pPr>
              <w:pStyle w:val="CETBodytext"/>
              <w:ind w:right="-1"/>
              <w:jc w:val="center"/>
              <w:rPr>
                <w:rFonts w:cs="Arial"/>
                <w:szCs w:val="18"/>
                <w:lang w:val="en-GB"/>
              </w:rPr>
            </w:pPr>
            <w:r w:rsidRPr="00DF1882">
              <w:t xml:space="preserve"> 95.92 ± 3.98</w:t>
            </w:r>
            <w:r w:rsidRPr="00B10C46">
              <w:rPr>
                <w:vertAlign w:val="superscript"/>
              </w:rPr>
              <w:t>ab</w:t>
            </w:r>
          </w:p>
        </w:tc>
        <w:tc>
          <w:tcPr>
            <w:tcW w:w="530" w:type="pct"/>
            <w:shd w:val="clear" w:color="auto" w:fill="FFFFFF"/>
          </w:tcPr>
          <w:p w14:paraId="5F1A5539" w14:textId="2BFDE681" w:rsidR="00742B4D" w:rsidRPr="00B57B36" w:rsidRDefault="00742B4D" w:rsidP="00742B4D">
            <w:pPr>
              <w:pStyle w:val="CETBodytext"/>
              <w:ind w:right="-1"/>
              <w:jc w:val="center"/>
              <w:rPr>
                <w:rFonts w:cs="Arial"/>
                <w:szCs w:val="18"/>
                <w:lang w:val="en-GB"/>
              </w:rPr>
            </w:pPr>
            <w:r w:rsidRPr="00D74A20">
              <w:t>94.50</w:t>
            </w:r>
          </w:p>
        </w:tc>
        <w:tc>
          <w:tcPr>
            <w:tcW w:w="1056" w:type="pct"/>
            <w:shd w:val="clear" w:color="auto" w:fill="FFFFFF"/>
          </w:tcPr>
          <w:p w14:paraId="104458E1" w14:textId="74477026" w:rsidR="00742B4D" w:rsidRPr="00B57B36" w:rsidRDefault="00742B4D" w:rsidP="00742B4D">
            <w:pPr>
              <w:pStyle w:val="CETBodytext"/>
              <w:ind w:right="-1"/>
              <w:jc w:val="center"/>
              <w:rPr>
                <w:rFonts w:cs="Arial"/>
                <w:szCs w:val="18"/>
                <w:lang w:val="en-GB"/>
              </w:rPr>
            </w:pPr>
            <w:r w:rsidRPr="00DA2480">
              <w:t>10.23 ± 0.06</w:t>
            </w:r>
            <w:r w:rsidRPr="00055A93">
              <w:rPr>
                <w:vertAlign w:val="superscript"/>
              </w:rPr>
              <w:t>b</w:t>
            </w:r>
          </w:p>
        </w:tc>
        <w:tc>
          <w:tcPr>
            <w:tcW w:w="528" w:type="pct"/>
            <w:shd w:val="clear" w:color="auto" w:fill="FFFFFF"/>
          </w:tcPr>
          <w:p w14:paraId="29127C2B" w14:textId="584E95EB" w:rsidR="00742B4D" w:rsidRPr="00B57B36" w:rsidRDefault="00742B4D" w:rsidP="00742B4D">
            <w:pPr>
              <w:pStyle w:val="CETBodytext"/>
              <w:ind w:right="-1"/>
              <w:jc w:val="center"/>
              <w:rPr>
                <w:rFonts w:cs="Arial"/>
                <w:szCs w:val="18"/>
                <w:lang w:val="en-GB"/>
              </w:rPr>
            </w:pPr>
            <w:r w:rsidRPr="006E1CDD">
              <w:t>5.48</w:t>
            </w:r>
          </w:p>
        </w:tc>
      </w:tr>
      <w:tr w:rsidR="00742B4D" w:rsidRPr="00B57B36" w14:paraId="676C5896" w14:textId="77777777" w:rsidTr="00691D1D">
        <w:tc>
          <w:tcPr>
            <w:tcW w:w="1210" w:type="pct"/>
            <w:vMerge/>
            <w:shd w:val="clear" w:color="auto" w:fill="FFFFFF"/>
          </w:tcPr>
          <w:p w14:paraId="3324CBA6" w14:textId="77777777" w:rsidR="00742B4D" w:rsidRPr="00B57B36" w:rsidRDefault="00742B4D" w:rsidP="00742B4D">
            <w:pPr>
              <w:pStyle w:val="CETBodytext"/>
              <w:rPr>
                <w:lang w:val="en-GB"/>
              </w:rPr>
            </w:pPr>
          </w:p>
        </w:tc>
        <w:tc>
          <w:tcPr>
            <w:tcW w:w="620" w:type="pct"/>
            <w:tcBorders>
              <w:bottom w:val="single" w:sz="4" w:space="0" w:color="00B050"/>
            </w:tcBorders>
            <w:shd w:val="clear" w:color="auto" w:fill="FFFFFF"/>
          </w:tcPr>
          <w:p w14:paraId="25A57733" w14:textId="77777777" w:rsidR="00742B4D" w:rsidRPr="00B57B36" w:rsidRDefault="00742B4D" w:rsidP="00742B4D">
            <w:pPr>
              <w:pStyle w:val="CETBodytext"/>
              <w:jc w:val="center"/>
              <w:rPr>
                <w:lang w:val="en-GB"/>
              </w:rPr>
            </w:pPr>
            <w:r>
              <w:rPr>
                <w:lang w:val="en-GB"/>
              </w:rPr>
              <w:t>0.8</w:t>
            </w:r>
          </w:p>
        </w:tc>
        <w:tc>
          <w:tcPr>
            <w:tcW w:w="1056" w:type="pct"/>
            <w:tcBorders>
              <w:bottom w:val="single" w:sz="4" w:space="0" w:color="00B050"/>
            </w:tcBorders>
            <w:shd w:val="clear" w:color="auto" w:fill="FFFFFF"/>
          </w:tcPr>
          <w:p w14:paraId="18CC5C0E" w14:textId="52C8BFE3" w:rsidR="00742B4D" w:rsidRPr="00B57B36" w:rsidRDefault="00742B4D" w:rsidP="00742B4D">
            <w:pPr>
              <w:pStyle w:val="CETBodytext"/>
              <w:ind w:right="-1"/>
              <w:jc w:val="center"/>
              <w:rPr>
                <w:rFonts w:cs="Arial"/>
                <w:szCs w:val="18"/>
                <w:lang w:val="en-GB"/>
              </w:rPr>
            </w:pPr>
            <w:r w:rsidRPr="00DF1882">
              <w:t>97.87 ± 1.85</w:t>
            </w:r>
            <w:r w:rsidRPr="00B10C46">
              <w:rPr>
                <w:vertAlign w:val="superscript"/>
              </w:rPr>
              <w:t>b</w:t>
            </w:r>
          </w:p>
        </w:tc>
        <w:tc>
          <w:tcPr>
            <w:tcW w:w="530" w:type="pct"/>
            <w:tcBorders>
              <w:bottom w:val="single" w:sz="4" w:space="0" w:color="00B050"/>
            </w:tcBorders>
            <w:shd w:val="clear" w:color="auto" w:fill="FFFFFF"/>
          </w:tcPr>
          <w:p w14:paraId="72F43975" w14:textId="4F19ED82" w:rsidR="00742B4D" w:rsidRPr="00B57B36" w:rsidRDefault="00742B4D" w:rsidP="00742B4D">
            <w:pPr>
              <w:pStyle w:val="CETBodytext"/>
              <w:ind w:right="-1"/>
              <w:jc w:val="center"/>
              <w:rPr>
                <w:rFonts w:cs="Arial"/>
                <w:szCs w:val="18"/>
                <w:lang w:val="en-GB"/>
              </w:rPr>
            </w:pPr>
            <w:r w:rsidRPr="00D74A20">
              <w:t>97.60</w:t>
            </w:r>
          </w:p>
        </w:tc>
        <w:tc>
          <w:tcPr>
            <w:tcW w:w="1056" w:type="pct"/>
            <w:tcBorders>
              <w:bottom w:val="single" w:sz="4" w:space="0" w:color="00B050"/>
            </w:tcBorders>
            <w:shd w:val="clear" w:color="auto" w:fill="FFFFFF"/>
          </w:tcPr>
          <w:p w14:paraId="1E4D3C6F" w14:textId="4F950949" w:rsidR="00742B4D" w:rsidRPr="00B57B36" w:rsidRDefault="00742B4D" w:rsidP="00742B4D">
            <w:pPr>
              <w:pStyle w:val="CETBodytext"/>
              <w:ind w:right="-1"/>
              <w:jc w:val="center"/>
              <w:rPr>
                <w:rFonts w:cs="Arial"/>
                <w:szCs w:val="18"/>
                <w:lang w:val="en-GB"/>
              </w:rPr>
            </w:pPr>
            <w:r w:rsidRPr="00DA2480">
              <w:t>7.67 ± 1.00</w:t>
            </w:r>
            <w:r w:rsidRPr="00055A93">
              <w:rPr>
                <w:vertAlign w:val="superscript"/>
              </w:rPr>
              <w:t>b</w:t>
            </w:r>
          </w:p>
        </w:tc>
        <w:tc>
          <w:tcPr>
            <w:tcW w:w="528" w:type="pct"/>
            <w:tcBorders>
              <w:bottom w:val="single" w:sz="4" w:space="0" w:color="00B050"/>
            </w:tcBorders>
            <w:shd w:val="clear" w:color="auto" w:fill="FFFFFF"/>
          </w:tcPr>
          <w:p w14:paraId="14143CC7" w14:textId="26292C3C" w:rsidR="00742B4D" w:rsidRPr="00B57B36" w:rsidRDefault="00742B4D" w:rsidP="00742B4D">
            <w:pPr>
              <w:pStyle w:val="CETBodytext"/>
              <w:ind w:right="-1"/>
              <w:jc w:val="center"/>
              <w:rPr>
                <w:rFonts w:cs="Arial"/>
                <w:szCs w:val="18"/>
                <w:lang w:val="en-GB"/>
              </w:rPr>
            </w:pPr>
            <w:r w:rsidRPr="006E1CDD">
              <w:t>12.20</w:t>
            </w:r>
          </w:p>
        </w:tc>
      </w:tr>
      <w:tr w:rsidR="00742B4D" w:rsidRPr="00B57B36" w14:paraId="71EAC8FF" w14:textId="77777777" w:rsidTr="00691D1D">
        <w:tc>
          <w:tcPr>
            <w:tcW w:w="1210" w:type="pct"/>
            <w:vMerge w:val="restart"/>
            <w:shd w:val="clear" w:color="auto" w:fill="FFFFFF"/>
            <w:vAlign w:val="center"/>
          </w:tcPr>
          <w:p w14:paraId="428F5878" w14:textId="77777777" w:rsidR="00742B4D" w:rsidRPr="00B57B36" w:rsidRDefault="00742B4D" w:rsidP="00742B4D">
            <w:pPr>
              <w:pStyle w:val="CETBodytext"/>
              <w:jc w:val="center"/>
              <w:rPr>
                <w:lang w:val="en-GB"/>
              </w:rPr>
            </w:pPr>
            <w:r>
              <w:rPr>
                <w:lang w:val="en-GB"/>
              </w:rPr>
              <w:t>180</w:t>
            </w:r>
          </w:p>
        </w:tc>
        <w:tc>
          <w:tcPr>
            <w:tcW w:w="620" w:type="pct"/>
            <w:tcBorders>
              <w:top w:val="single" w:sz="4" w:space="0" w:color="00B050"/>
            </w:tcBorders>
            <w:shd w:val="clear" w:color="auto" w:fill="FFFFFF"/>
          </w:tcPr>
          <w:p w14:paraId="1041D59A" w14:textId="77777777" w:rsidR="00742B4D" w:rsidRDefault="00742B4D" w:rsidP="00742B4D">
            <w:pPr>
              <w:pStyle w:val="CETBodytext"/>
              <w:jc w:val="center"/>
              <w:rPr>
                <w:lang w:val="en-GB"/>
              </w:rPr>
            </w:pPr>
            <w:r>
              <w:rPr>
                <w:lang w:val="en-GB"/>
              </w:rPr>
              <w:t>0.4</w:t>
            </w:r>
          </w:p>
        </w:tc>
        <w:tc>
          <w:tcPr>
            <w:tcW w:w="1056" w:type="pct"/>
            <w:tcBorders>
              <w:top w:val="single" w:sz="4" w:space="0" w:color="00B050"/>
            </w:tcBorders>
            <w:shd w:val="clear" w:color="auto" w:fill="FFFFFF"/>
          </w:tcPr>
          <w:p w14:paraId="7DF01CDE" w14:textId="29A231BF" w:rsidR="00742B4D" w:rsidRPr="00B57B36" w:rsidRDefault="00742B4D" w:rsidP="00742B4D">
            <w:pPr>
              <w:pStyle w:val="CETBodytext"/>
              <w:ind w:right="-1"/>
              <w:jc w:val="center"/>
              <w:rPr>
                <w:rFonts w:cs="Arial"/>
                <w:szCs w:val="18"/>
                <w:lang w:val="en-GB"/>
              </w:rPr>
            </w:pPr>
            <w:r w:rsidRPr="00DF1882">
              <w:t>87.70 ± 2.78</w:t>
            </w:r>
            <w:r w:rsidRPr="00B10C46">
              <w:rPr>
                <w:vertAlign w:val="superscript"/>
              </w:rPr>
              <w:t>a</w:t>
            </w:r>
          </w:p>
        </w:tc>
        <w:tc>
          <w:tcPr>
            <w:tcW w:w="530" w:type="pct"/>
            <w:tcBorders>
              <w:top w:val="single" w:sz="4" w:space="0" w:color="00B050"/>
            </w:tcBorders>
            <w:shd w:val="clear" w:color="auto" w:fill="FFFFFF"/>
          </w:tcPr>
          <w:p w14:paraId="7F906289" w14:textId="55F9A5C0" w:rsidR="00742B4D" w:rsidRPr="00B57B36" w:rsidRDefault="00742B4D" w:rsidP="00742B4D">
            <w:pPr>
              <w:pStyle w:val="CETBodytext"/>
              <w:ind w:right="-1"/>
              <w:jc w:val="center"/>
              <w:rPr>
                <w:rFonts w:cs="Arial"/>
                <w:szCs w:val="18"/>
                <w:lang w:val="en-GB"/>
              </w:rPr>
            </w:pPr>
            <w:r w:rsidRPr="00D74A20">
              <w:t>86.79</w:t>
            </w:r>
          </w:p>
        </w:tc>
        <w:tc>
          <w:tcPr>
            <w:tcW w:w="1056" w:type="pct"/>
            <w:tcBorders>
              <w:top w:val="single" w:sz="4" w:space="0" w:color="00B050"/>
            </w:tcBorders>
            <w:shd w:val="clear" w:color="auto" w:fill="FFFFFF"/>
          </w:tcPr>
          <w:p w14:paraId="61212591" w14:textId="362D450B" w:rsidR="00742B4D" w:rsidRPr="00B57B36" w:rsidRDefault="00742B4D" w:rsidP="00742B4D">
            <w:pPr>
              <w:pStyle w:val="CETBodytext"/>
              <w:ind w:right="-1"/>
              <w:jc w:val="center"/>
              <w:rPr>
                <w:rFonts w:cs="Arial"/>
                <w:szCs w:val="18"/>
                <w:lang w:val="en-GB"/>
              </w:rPr>
            </w:pPr>
            <w:r w:rsidRPr="00DA2480">
              <w:t>6.29 ± 0.15</w:t>
            </w:r>
            <w:r w:rsidRPr="00055A93">
              <w:rPr>
                <w:vertAlign w:val="superscript"/>
              </w:rPr>
              <w:t>a</w:t>
            </w:r>
          </w:p>
        </w:tc>
        <w:tc>
          <w:tcPr>
            <w:tcW w:w="528" w:type="pct"/>
            <w:tcBorders>
              <w:top w:val="single" w:sz="4" w:space="0" w:color="00B050"/>
            </w:tcBorders>
            <w:shd w:val="clear" w:color="auto" w:fill="FFFFFF"/>
          </w:tcPr>
          <w:p w14:paraId="4FAB18FF" w14:textId="5D3303E4" w:rsidR="00742B4D" w:rsidRPr="00B57B36" w:rsidRDefault="00742B4D" w:rsidP="00742B4D">
            <w:pPr>
              <w:pStyle w:val="CETBodytext"/>
              <w:ind w:right="-1"/>
              <w:jc w:val="center"/>
              <w:rPr>
                <w:rFonts w:cs="Arial"/>
                <w:szCs w:val="18"/>
                <w:lang w:val="en-GB"/>
              </w:rPr>
            </w:pPr>
            <w:r w:rsidRPr="006E1CDD">
              <w:t>2.80</w:t>
            </w:r>
          </w:p>
        </w:tc>
      </w:tr>
      <w:tr w:rsidR="00742B4D" w:rsidRPr="00B57B36" w14:paraId="1279F6CC" w14:textId="77777777" w:rsidTr="00691D1D">
        <w:tc>
          <w:tcPr>
            <w:tcW w:w="1210" w:type="pct"/>
            <w:vMerge/>
            <w:shd w:val="clear" w:color="auto" w:fill="FFFFFF"/>
          </w:tcPr>
          <w:p w14:paraId="572DE116" w14:textId="77777777" w:rsidR="00742B4D" w:rsidRPr="00B57B36" w:rsidRDefault="00742B4D" w:rsidP="00742B4D">
            <w:pPr>
              <w:pStyle w:val="CETBodytext"/>
              <w:rPr>
                <w:lang w:val="en-GB"/>
              </w:rPr>
            </w:pPr>
          </w:p>
        </w:tc>
        <w:tc>
          <w:tcPr>
            <w:tcW w:w="620" w:type="pct"/>
            <w:shd w:val="clear" w:color="auto" w:fill="FFFFFF"/>
          </w:tcPr>
          <w:p w14:paraId="1620EBFA" w14:textId="77777777" w:rsidR="00742B4D" w:rsidRDefault="00742B4D" w:rsidP="00742B4D">
            <w:pPr>
              <w:pStyle w:val="CETBodytext"/>
              <w:jc w:val="center"/>
              <w:rPr>
                <w:lang w:val="en-GB"/>
              </w:rPr>
            </w:pPr>
            <w:r>
              <w:rPr>
                <w:lang w:val="en-GB"/>
              </w:rPr>
              <w:t>0.6</w:t>
            </w:r>
          </w:p>
        </w:tc>
        <w:tc>
          <w:tcPr>
            <w:tcW w:w="1056" w:type="pct"/>
            <w:shd w:val="clear" w:color="auto" w:fill="FFFFFF"/>
          </w:tcPr>
          <w:p w14:paraId="79F54A7F" w14:textId="1B211918" w:rsidR="00742B4D" w:rsidRPr="00B57B36" w:rsidRDefault="00742B4D" w:rsidP="00742B4D">
            <w:pPr>
              <w:pStyle w:val="CETBodytext"/>
              <w:ind w:right="-1"/>
              <w:jc w:val="center"/>
              <w:rPr>
                <w:rFonts w:cs="Arial"/>
                <w:szCs w:val="18"/>
                <w:lang w:val="en-GB"/>
              </w:rPr>
            </w:pPr>
            <w:r w:rsidRPr="00DF1882">
              <w:t xml:space="preserve"> 90.61 ± 3.16</w:t>
            </w:r>
            <w:r w:rsidRPr="00B10C46">
              <w:rPr>
                <w:vertAlign w:val="superscript"/>
              </w:rPr>
              <w:t>ab</w:t>
            </w:r>
          </w:p>
        </w:tc>
        <w:tc>
          <w:tcPr>
            <w:tcW w:w="530" w:type="pct"/>
            <w:shd w:val="clear" w:color="auto" w:fill="FFFFFF"/>
          </w:tcPr>
          <w:p w14:paraId="5237D4C2" w14:textId="134AD009" w:rsidR="00742B4D" w:rsidRPr="00B57B36" w:rsidRDefault="00742B4D" w:rsidP="00742B4D">
            <w:pPr>
              <w:pStyle w:val="CETBodytext"/>
              <w:ind w:right="-1"/>
              <w:jc w:val="center"/>
              <w:rPr>
                <w:rFonts w:cs="Arial"/>
                <w:szCs w:val="18"/>
                <w:lang w:val="en-GB"/>
              </w:rPr>
            </w:pPr>
            <w:r w:rsidRPr="00D74A20">
              <w:t>91.98</w:t>
            </w:r>
          </w:p>
        </w:tc>
        <w:tc>
          <w:tcPr>
            <w:tcW w:w="1056" w:type="pct"/>
            <w:shd w:val="clear" w:color="auto" w:fill="FFFFFF"/>
          </w:tcPr>
          <w:p w14:paraId="42EA0299" w14:textId="03B95698" w:rsidR="00742B4D" w:rsidRPr="00B57B36" w:rsidRDefault="00742B4D" w:rsidP="00742B4D">
            <w:pPr>
              <w:pStyle w:val="CETBodytext"/>
              <w:ind w:right="-1"/>
              <w:jc w:val="center"/>
              <w:rPr>
                <w:rFonts w:cs="Arial"/>
                <w:szCs w:val="18"/>
                <w:lang w:val="en-GB"/>
              </w:rPr>
            </w:pPr>
            <w:r w:rsidRPr="00DA2480">
              <w:t>8.17 ± 0.16</w:t>
            </w:r>
            <w:r w:rsidRPr="00055A93">
              <w:rPr>
                <w:vertAlign w:val="superscript"/>
              </w:rPr>
              <w:t>b</w:t>
            </w:r>
          </w:p>
        </w:tc>
        <w:tc>
          <w:tcPr>
            <w:tcW w:w="528" w:type="pct"/>
            <w:shd w:val="clear" w:color="auto" w:fill="FFFFFF"/>
          </w:tcPr>
          <w:p w14:paraId="2672858B" w14:textId="089306BF" w:rsidR="00742B4D" w:rsidRPr="00B57B36" w:rsidRDefault="00742B4D" w:rsidP="00742B4D">
            <w:pPr>
              <w:pStyle w:val="CETBodytext"/>
              <w:ind w:right="-1"/>
              <w:jc w:val="center"/>
              <w:rPr>
                <w:rFonts w:cs="Arial"/>
                <w:szCs w:val="18"/>
                <w:lang w:val="en-GB"/>
              </w:rPr>
            </w:pPr>
            <w:r w:rsidRPr="006E1CDD">
              <w:t>4.80</w:t>
            </w:r>
          </w:p>
        </w:tc>
      </w:tr>
      <w:tr w:rsidR="00742B4D" w:rsidRPr="00B57B36" w14:paraId="14B566AF" w14:textId="77777777" w:rsidTr="00691D1D">
        <w:tc>
          <w:tcPr>
            <w:tcW w:w="1210" w:type="pct"/>
            <w:vMerge/>
            <w:shd w:val="clear" w:color="auto" w:fill="FFFFFF"/>
          </w:tcPr>
          <w:p w14:paraId="6BFDA6A8" w14:textId="77777777" w:rsidR="00742B4D" w:rsidRPr="00B57B36" w:rsidRDefault="00742B4D" w:rsidP="00742B4D">
            <w:pPr>
              <w:pStyle w:val="CETBodytext"/>
              <w:rPr>
                <w:lang w:val="en-GB"/>
              </w:rPr>
            </w:pPr>
          </w:p>
        </w:tc>
        <w:tc>
          <w:tcPr>
            <w:tcW w:w="620" w:type="pct"/>
            <w:tcBorders>
              <w:bottom w:val="single" w:sz="4" w:space="0" w:color="00B050"/>
            </w:tcBorders>
            <w:shd w:val="clear" w:color="auto" w:fill="FFFFFF"/>
          </w:tcPr>
          <w:p w14:paraId="7CEF5DDC" w14:textId="77777777" w:rsidR="00742B4D" w:rsidRDefault="00742B4D" w:rsidP="00742B4D">
            <w:pPr>
              <w:pStyle w:val="CETBodytext"/>
              <w:jc w:val="center"/>
              <w:rPr>
                <w:lang w:val="en-GB"/>
              </w:rPr>
            </w:pPr>
            <w:r>
              <w:rPr>
                <w:lang w:val="en-GB"/>
              </w:rPr>
              <w:t>0.8</w:t>
            </w:r>
          </w:p>
        </w:tc>
        <w:tc>
          <w:tcPr>
            <w:tcW w:w="1056" w:type="pct"/>
            <w:tcBorders>
              <w:bottom w:val="single" w:sz="4" w:space="0" w:color="00B050"/>
            </w:tcBorders>
            <w:shd w:val="clear" w:color="auto" w:fill="FFFFFF"/>
          </w:tcPr>
          <w:p w14:paraId="2303FE0D" w14:textId="419F2B78" w:rsidR="00742B4D" w:rsidRPr="00B57B36" w:rsidRDefault="00742B4D" w:rsidP="00742B4D">
            <w:pPr>
              <w:pStyle w:val="CETBodytext"/>
              <w:ind w:right="-1"/>
              <w:jc w:val="center"/>
              <w:rPr>
                <w:rFonts w:cs="Arial"/>
                <w:szCs w:val="18"/>
                <w:lang w:val="en-GB"/>
              </w:rPr>
            </w:pPr>
            <w:r w:rsidRPr="00DF1882">
              <w:t>93.26 ± 2.83</w:t>
            </w:r>
            <w:r w:rsidRPr="00055A93">
              <w:rPr>
                <w:vertAlign w:val="superscript"/>
              </w:rPr>
              <w:t>b</w:t>
            </w:r>
          </w:p>
        </w:tc>
        <w:tc>
          <w:tcPr>
            <w:tcW w:w="530" w:type="pct"/>
            <w:tcBorders>
              <w:bottom w:val="single" w:sz="4" w:space="0" w:color="00B050"/>
            </w:tcBorders>
            <w:shd w:val="clear" w:color="auto" w:fill="FFFFFF"/>
          </w:tcPr>
          <w:p w14:paraId="6B360047" w14:textId="19F3D38C" w:rsidR="00742B4D" w:rsidRPr="00B57B36" w:rsidRDefault="00742B4D" w:rsidP="00742B4D">
            <w:pPr>
              <w:pStyle w:val="CETBodytext"/>
              <w:ind w:right="-1"/>
              <w:jc w:val="center"/>
              <w:rPr>
                <w:rFonts w:cs="Arial"/>
                <w:szCs w:val="18"/>
                <w:lang w:val="en-GB"/>
              </w:rPr>
            </w:pPr>
            <w:r w:rsidRPr="00D74A20">
              <w:t>96.28</w:t>
            </w:r>
          </w:p>
        </w:tc>
        <w:tc>
          <w:tcPr>
            <w:tcW w:w="1056" w:type="pct"/>
            <w:tcBorders>
              <w:bottom w:val="single" w:sz="4" w:space="0" w:color="00B050"/>
            </w:tcBorders>
            <w:shd w:val="clear" w:color="auto" w:fill="FFFFFF"/>
          </w:tcPr>
          <w:p w14:paraId="11B58F8B" w14:textId="53D7E647" w:rsidR="00742B4D" w:rsidRPr="00B57B36" w:rsidRDefault="00742B4D" w:rsidP="00742B4D">
            <w:pPr>
              <w:pStyle w:val="CETBodytext"/>
              <w:ind w:right="-1"/>
              <w:jc w:val="center"/>
              <w:rPr>
                <w:rFonts w:cs="Arial"/>
                <w:szCs w:val="18"/>
                <w:lang w:val="en-GB"/>
              </w:rPr>
            </w:pPr>
            <w:r w:rsidRPr="00DA2480">
              <w:t>5,23 ± 0.06</w:t>
            </w:r>
            <w:r w:rsidRPr="00055A93">
              <w:rPr>
                <w:vertAlign w:val="superscript"/>
              </w:rPr>
              <w:t>a</w:t>
            </w:r>
          </w:p>
        </w:tc>
        <w:tc>
          <w:tcPr>
            <w:tcW w:w="528" w:type="pct"/>
            <w:tcBorders>
              <w:bottom w:val="single" w:sz="4" w:space="0" w:color="00B050"/>
            </w:tcBorders>
            <w:shd w:val="clear" w:color="auto" w:fill="FFFFFF"/>
          </w:tcPr>
          <w:p w14:paraId="7D5082C3" w14:textId="5BD2F49D" w:rsidR="00742B4D" w:rsidRPr="00B57B36" w:rsidRDefault="00742B4D" w:rsidP="00742B4D">
            <w:pPr>
              <w:pStyle w:val="CETBodytext"/>
              <w:ind w:right="-1"/>
              <w:jc w:val="center"/>
              <w:rPr>
                <w:rFonts w:cs="Arial"/>
                <w:szCs w:val="18"/>
                <w:lang w:val="en-GB"/>
              </w:rPr>
            </w:pPr>
            <w:r w:rsidRPr="006E1CDD">
              <w:t>10.33</w:t>
            </w:r>
          </w:p>
        </w:tc>
      </w:tr>
      <w:tr w:rsidR="00742B4D" w:rsidRPr="00B57B36" w14:paraId="47CE0A33" w14:textId="77777777" w:rsidTr="00691D1D">
        <w:tc>
          <w:tcPr>
            <w:tcW w:w="1210" w:type="pct"/>
            <w:vMerge w:val="restart"/>
            <w:shd w:val="clear" w:color="auto" w:fill="FFFFFF"/>
            <w:vAlign w:val="center"/>
          </w:tcPr>
          <w:p w14:paraId="0E30F429" w14:textId="77777777" w:rsidR="00742B4D" w:rsidRPr="00B57B36" w:rsidRDefault="00742B4D" w:rsidP="00742B4D">
            <w:pPr>
              <w:pStyle w:val="CETBodytext"/>
              <w:jc w:val="center"/>
              <w:rPr>
                <w:lang w:val="en-GB"/>
              </w:rPr>
            </w:pPr>
            <w:r>
              <w:rPr>
                <w:lang w:val="en-GB"/>
              </w:rPr>
              <w:t>200</w:t>
            </w:r>
          </w:p>
        </w:tc>
        <w:tc>
          <w:tcPr>
            <w:tcW w:w="620" w:type="pct"/>
            <w:tcBorders>
              <w:top w:val="single" w:sz="4" w:space="0" w:color="00B050"/>
            </w:tcBorders>
            <w:shd w:val="clear" w:color="auto" w:fill="FFFFFF"/>
          </w:tcPr>
          <w:p w14:paraId="07137F4C" w14:textId="77777777" w:rsidR="00742B4D" w:rsidRDefault="00742B4D" w:rsidP="00742B4D">
            <w:pPr>
              <w:pStyle w:val="CETBodytext"/>
              <w:jc w:val="center"/>
              <w:rPr>
                <w:lang w:val="en-GB"/>
              </w:rPr>
            </w:pPr>
            <w:r>
              <w:rPr>
                <w:lang w:val="en-GB"/>
              </w:rPr>
              <w:t>0.4</w:t>
            </w:r>
          </w:p>
        </w:tc>
        <w:tc>
          <w:tcPr>
            <w:tcW w:w="1056" w:type="pct"/>
            <w:tcBorders>
              <w:top w:val="single" w:sz="4" w:space="0" w:color="00B050"/>
            </w:tcBorders>
            <w:shd w:val="clear" w:color="auto" w:fill="FFFFFF"/>
          </w:tcPr>
          <w:p w14:paraId="29A6195D" w14:textId="283905E4" w:rsidR="00742B4D" w:rsidRPr="00B57B36" w:rsidRDefault="00742B4D" w:rsidP="00742B4D">
            <w:pPr>
              <w:pStyle w:val="CETBodytext"/>
              <w:ind w:right="-1"/>
              <w:jc w:val="center"/>
              <w:rPr>
                <w:rFonts w:cs="Arial"/>
                <w:szCs w:val="18"/>
                <w:lang w:val="en-GB"/>
              </w:rPr>
            </w:pPr>
            <w:r w:rsidRPr="00DF1882">
              <w:t>86.44 ± 1.46</w:t>
            </w:r>
            <w:r w:rsidRPr="00055A93">
              <w:rPr>
                <w:vertAlign w:val="superscript"/>
              </w:rPr>
              <w:t>a</w:t>
            </w:r>
          </w:p>
        </w:tc>
        <w:tc>
          <w:tcPr>
            <w:tcW w:w="530" w:type="pct"/>
            <w:tcBorders>
              <w:top w:val="single" w:sz="4" w:space="0" w:color="00B050"/>
            </w:tcBorders>
            <w:shd w:val="clear" w:color="auto" w:fill="FFFFFF"/>
          </w:tcPr>
          <w:p w14:paraId="6427E0A5" w14:textId="494A146B" w:rsidR="00742B4D" w:rsidRPr="00B57B36" w:rsidRDefault="00742B4D" w:rsidP="00742B4D">
            <w:pPr>
              <w:pStyle w:val="CETBodytext"/>
              <w:ind w:right="-1"/>
              <w:jc w:val="center"/>
              <w:rPr>
                <w:rFonts w:cs="Arial"/>
                <w:szCs w:val="18"/>
                <w:lang w:val="en-GB"/>
              </w:rPr>
            </w:pPr>
            <w:r w:rsidRPr="00D74A20">
              <w:t>81.87</w:t>
            </w:r>
          </w:p>
        </w:tc>
        <w:tc>
          <w:tcPr>
            <w:tcW w:w="1056" w:type="pct"/>
            <w:tcBorders>
              <w:top w:val="single" w:sz="4" w:space="0" w:color="00B050"/>
            </w:tcBorders>
            <w:shd w:val="clear" w:color="auto" w:fill="FFFFFF"/>
          </w:tcPr>
          <w:p w14:paraId="68E20E4E" w14:textId="789C17AF" w:rsidR="00742B4D" w:rsidRPr="00B57B36" w:rsidRDefault="00742B4D" w:rsidP="00742B4D">
            <w:pPr>
              <w:pStyle w:val="CETBodytext"/>
              <w:ind w:right="-1"/>
              <w:jc w:val="center"/>
              <w:rPr>
                <w:rFonts w:cs="Arial"/>
                <w:szCs w:val="18"/>
                <w:lang w:val="en-GB"/>
              </w:rPr>
            </w:pPr>
            <w:r w:rsidRPr="00DA2480">
              <w:t>9.12 ± 0.72</w:t>
            </w:r>
            <w:r w:rsidRPr="00055A93">
              <w:rPr>
                <w:vertAlign w:val="superscript"/>
              </w:rPr>
              <w:t>a</w:t>
            </w:r>
          </w:p>
        </w:tc>
        <w:tc>
          <w:tcPr>
            <w:tcW w:w="528" w:type="pct"/>
            <w:tcBorders>
              <w:top w:val="single" w:sz="4" w:space="0" w:color="00B050"/>
            </w:tcBorders>
            <w:shd w:val="clear" w:color="auto" w:fill="FFFFFF"/>
          </w:tcPr>
          <w:p w14:paraId="434BA38C" w14:textId="3F96209E" w:rsidR="00742B4D" w:rsidRPr="00B57B36" w:rsidRDefault="00742B4D" w:rsidP="00742B4D">
            <w:pPr>
              <w:pStyle w:val="CETBodytext"/>
              <w:ind w:right="-1"/>
              <w:jc w:val="center"/>
              <w:rPr>
                <w:rFonts w:cs="Arial"/>
                <w:szCs w:val="18"/>
                <w:lang w:val="en-GB"/>
              </w:rPr>
            </w:pPr>
            <w:r w:rsidRPr="006E1CDD">
              <w:t>2.46</w:t>
            </w:r>
          </w:p>
        </w:tc>
      </w:tr>
      <w:tr w:rsidR="00742B4D" w:rsidRPr="00B57B36" w14:paraId="701230F0" w14:textId="77777777" w:rsidTr="00691D1D">
        <w:tc>
          <w:tcPr>
            <w:tcW w:w="1210" w:type="pct"/>
            <w:vMerge/>
            <w:shd w:val="clear" w:color="auto" w:fill="FFFFFF"/>
          </w:tcPr>
          <w:p w14:paraId="466A2649" w14:textId="77777777" w:rsidR="00742B4D" w:rsidRPr="00B57B36" w:rsidRDefault="00742B4D" w:rsidP="00742B4D">
            <w:pPr>
              <w:pStyle w:val="CETBodytext"/>
              <w:rPr>
                <w:lang w:val="en-GB"/>
              </w:rPr>
            </w:pPr>
          </w:p>
        </w:tc>
        <w:tc>
          <w:tcPr>
            <w:tcW w:w="620" w:type="pct"/>
            <w:shd w:val="clear" w:color="auto" w:fill="FFFFFF"/>
          </w:tcPr>
          <w:p w14:paraId="714B9D9A" w14:textId="77777777" w:rsidR="00742B4D" w:rsidRDefault="00742B4D" w:rsidP="00742B4D">
            <w:pPr>
              <w:pStyle w:val="CETBodytext"/>
              <w:jc w:val="center"/>
              <w:rPr>
                <w:lang w:val="en-GB"/>
              </w:rPr>
            </w:pPr>
            <w:r>
              <w:rPr>
                <w:lang w:val="en-GB"/>
              </w:rPr>
              <w:t>0.6</w:t>
            </w:r>
          </w:p>
        </w:tc>
        <w:tc>
          <w:tcPr>
            <w:tcW w:w="1056" w:type="pct"/>
            <w:shd w:val="clear" w:color="auto" w:fill="FFFFFF"/>
          </w:tcPr>
          <w:p w14:paraId="666103AA" w14:textId="5DFE1627" w:rsidR="00742B4D" w:rsidRPr="00B57B36" w:rsidRDefault="00742B4D" w:rsidP="00742B4D">
            <w:pPr>
              <w:pStyle w:val="CETBodytext"/>
              <w:ind w:right="-1"/>
              <w:jc w:val="center"/>
              <w:rPr>
                <w:rFonts w:cs="Arial"/>
                <w:szCs w:val="18"/>
                <w:lang w:val="en-GB"/>
              </w:rPr>
            </w:pPr>
            <w:r w:rsidRPr="00DF1882">
              <w:t>85.32 ± 1.16</w:t>
            </w:r>
            <w:r w:rsidRPr="00055A93">
              <w:rPr>
                <w:vertAlign w:val="superscript"/>
              </w:rPr>
              <w:t>a</w:t>
            </w:r>
          </w:p>
        </w:tc>
        <w:tc>
          <w:tcPr>
            <w:tcW w:w="530" w:type="pct"/>
            <w:shd w:val="clear" w:color="auto" w:fill="FFFFFF"/>
          </w:tcPr>
          <w:p w14:paraId="32D67982" w14:textId="67143ACB" w:rsidR="00742B4D" w:rsidRPr="00B57B36" w:rsidRDefault="00742B4D" w:rsidP="00742B4D">
            <w:pPr>
              <w:pStyle w:val="CETBodytext"/>
              <w:ind w:right="-1"/>
              <w:jc w:val="center"/>
              <w:rPr>
                <w:rFonts w:cs="Arial"/>
                <w:szCs w:val="18"/>
                <w:lang w:val="en-GB"/>
              </w:rPr>
            </w:pPr>
            <w:r w:rsidRPr="00D74A20">
              <w:t>89.58</w:t>
            </w:r>
          </w:p>
        </w:tc>
        <w:tc>
          <w:tcPr>
            <w:tcW w:w="1056" w:type="pct"/>
            <w:shd w:val="clear" w:color="auto" w:fill="FFFFFF"/>
          </w:tcPr>
          <w:p w14:paraId="69004784" w14:textId="61BA3B70" w:rsidR="00742B4D" w:rsidRPr="00B57B36" w:rsidRDefault="00742B4D" w:rsidP="00742B4D">
            <w:pPr>
              <w:pStyle w:val="CETBodytext"/>
              <w:ind w:right="-1"/>
              <w:jc w:val="center"/>
              <w:rPr>
                <w:rFonts w:cs="Arial"/>
                <w:szCs w:val="18"/>
                <w:lang w:val="en-GB"/>
              </w:rPr>
            </w:pPr>
            <w:r w:rsidRPr="00DA2480">
              <w:t>9.14 ± 0.70</w:t>
            </w:r>
            <w:r w:rsidRPr="00055A93">
              <w:rPr>
                <w:vertAlign w:val="superscript"/>
              </w:rPr>
              <w:t>b</w:t>
            </w:r>
          </w:p>
        </w:tc>
        <w:tc>
          <w:tcPr>
            <w:tcW w:w="528" w:type="pct"/>
            <w:shd w:val="clear" w:color="auto" w:fill="FFFFFF"/>
          </w:tcPr>
          <w:p w14:paraId="4AC4843F" w14:textId="058824F9" w:rsidR="00742B4D" w:rsidRPr="00B57B36" w:rsidRDefault="00742B4D" w:rsidP="00742B4D">
            <w:pPr>
              <w:pStyle w:val="CETBodytext"/>
              <w:ind w:right="-1"/>
              <w:jc w:val="center"/>
              <w:rPr>
                <w:rFonts w:cs="Arial"/>
                <w:szCs w:val="18"/>
                <w:lang w:val="en-GB"/>
              </w:rPr>
            </w:pPr>
            <w:r w:rsidRPr="006E1CDD">
              <w:t>4.59</w:t>
            </w:r>
          </w:p>
        </w:tc>
      </w:tr>
      <w:tr w:rsidR="004F3D42" w:rsidRPr="00B57B36" w14:paraId="44B44DC1" w14:textId="77777777" w:rsidTr="00691D1D">
        <w:tc>
          <w:tcPr>
            <w:tcW w:w="1210" w:type="pct"/>
            <w:vMerge/>
            <w:shd w:val="clear" w:color="auto" w:fill="FFFFFF"/>
          </w:tcPr>
          <w:p w14:paraId="04EC4F0B" w14:textId="77777777" w:rsidR="004F3D42" w:rsidRPr="00B57B36" w:rsidRDefault="004F3D42" w:rsidP="004F3D42">
            <w:pPr>
              <w:pStyle w:val="CETBodytext"/>
              <w:ind w:right="-1"/>
              <w:rPr>
                <w:rFonts w:cs="Arial"/>
                <w:szCs w:val="18"/>
                <w:lang w:val="en-GB"/>
              </w:rPr>
            </w:pPr>
          </w:p>
        </w:tc>
        <w:tc>
          <w:tcPr>
            <w:tcW w:w="620" w:type="pct"/>
            <w:shd w:val="clear" w:color="auto" w:fill="FFFFFF"/>
            <w:vAlign w:val="center"/>
          </w:tcPr>
          <w:p w14:paraId="78A1032D" w14:textId="77777777" w:rsidR="004F3D42" w:rsidRPr="00B57B36" w:rsidRDefault="004F3D42" w:rsidP="004F3D42">
            <w:pPr>
              <w:pStyle w:val="CETBodytext"/>
              <w:ind w:right="-1"/>
              <w:jc w:val="center"/>
              <w:rPr>
                <w:rFonts w:cs="Arial"/>
                <w:szCs w:val="18"/>
                <w:lang w:val="en-GB"/>
              </w:rPr>
            </w:pPr>
            <w:r>
              <w:rPr>
                <w:lang w:val="en-GB"/>
              </w:rPr>
              <w:t>0.8</w:t>
            </w:r>
          </w:p>
        </w:tc>
        <w:tc>
          <w:tcPr>
            <w:tcW w:w="1056" w:type="pct"/>
            <w:shd w:val="clear" w:color="auto" w:fill="FFFFFF"/>
          </w:tcPr>
          <w:p w14:paraId="5DDAE88F" w14:textId="6D86560D" w:rsidR="004F3D42" w:rsidRPr="00B57B36" w:rsidRDefault="004F3D42" w:rsidP="004F3D42">
            <w:pPr>
              <w:pStyle w:val="CETBodytext"/>
              <w:ind w:right="-1"/>
              <w:jc w:val="center"/>
              <w:rPr>
                <w:rFonts w:cs="Arial"/>
                <w:szCs w:val="18"/>
                <w:lang w:val="en-GB"/>
              </w:rPr>
            </w:pPr>
            <w:r>
              <w:t>91.53</w:t>
            </w:r>
            <w:r w:rsidRPr="00DF1882">
              <w:t xml:space="preserve"> ± </w:t>
            </w:r>
            <w:r w:rsidR="007A5E3F">
              <w:t>2.82</w:t>
            </w:r>
            <w:r w:rsidR="00C16278" w:rsidRPr="00055A93">
              <w:rPr>
                <w:vertAlign w:val="superscript"/>
              </w:rPr>
              <w:t>b</w:t>
            </w:r>
          </w:p>
        </w:tc>
        <w:tc>
          <w:tcPr>
            <w:tcW w:w="530" w:type="pct"/>
            <w:shd w:val="clear" w:color="auto" w:fill="FFFFFF"/>
          </w:tcPr>
          <w:p w14:paraId="3218AE83" w14:textId="0EBACE65" w:rsidR="004F3D42" w:rsidRPr="00B57B36" w:rsidRDefault="004F3D42" w:rsidP="004F3D42">
            <w:pPr>
              <w:pStyle w:val="CETBodytext"/>
              <w:ind w:right="-1"/>
              <w:jc w:val="center"/>
              <w:rPr>
                <w:rFonts w:cs="Arial"/>
                <w:szCs w:val="18"/>
                <w:lang w:val="en-GB"/>
              </w:rPr>
            </w:pPr>
            <w:r w:rsidRPr="00D74A20">
              <w:t>94.90</w:t>
            </w:r>
          </w:p>
        </w:tc>
        <w:tc>
          <w:tcPr>
            <w:tcW w:w="1056" w:type="pct"/>
            <w:shd w:val="clear" w:color="auto" w:fill="FFFFFF"/>
          </w:tcPr>
          <w:p w14:paraId="77EB9507" w14:textId="1A5906F7" w:rsidR="004F3D42" w:rsidRPr="00B57B36" w:rsidRDefault="004F3D42" w:rsidP="004F3D42">
            <w:pPr>
              <w:pStyle w:val="CETBodytext"/>
              <w:ind w:right="-1"/>
              <w:jc w:val="center"/>
              <w:rPr>
                <w:rFonts w:cs="Arial"/>
                <w:szCs w:val="18"/>
                <w:lang w:val="en-GB"/>
              </w:rPr>
            </w:pPr>
            <w:r w:rsidRPr="00DA2480">
              <w:t>9.81± 0.58</w:t>
            </w:r>
            <w:r w:rsidRPr="00055A93">
              <w:rPr>
                <w:vertAlign w:val="superscript"/>
              </w:rPr>
              <w:t>ab</w:t>
            </w:r>
          </w:p>
        </w:tc>
        <w:tc>
          <w:tcPr>
            <w:tcW w:w="528" w:type="pct"/>
            <w:shd w:val="clear" w:color="auto" w:fill="FFFFFF"/>
          </w:tcPr>
          <w:p w14:paraId="23C12BA6" w14:textId="21BE610C" w:rsidR="004F3D42" w:rsidRPr="00B57B36" w:rsidRDefault="004F3D42" w:rsidP="004F3D42">
            <w:pPr>
              <w:pStyle w:val="CETBodytext"/>
              <w:ind w:right="-1"/>
              <w:jc w:val="center"/>
              <w:rPr>
                <w:rFonts w:cs="Arial"/>
                <w:szCs w:val="18"/>
                <w:lang w:val="en-GB"/>
              </w:rPr>
            </w:pPr>
            <w:r w:rsidRPr="006E1CDD">
              <w:t>9.53</w:t>
            </w:r>
          </w:p>
        </w:tc>
      </w:tr>
    </w:tbl>
    <w:p w14:paraId="7A4B2064" w14:textId="77777777" w:rsidR="00D73B7B" w:rsidRDefault="00D73B7B" w:rsidP="00487E5A"/>
    <w:p w14:paraId="41F71D38" w14:textId="78489DEA" w:rsidR="00487E5A" w:rsidRPr="00E8055A" w:rsidRDefault="00487E5A" w:rsidP="00487E5A">
      <w:pPr>
        <w:rPr>
          <w:lang w:val="en-US"/>
        </w:rPr>
      </w:pPr>
      <w:r>
        <w:t>Higher</w:t>
      </w:r>
      <w:r w:rsidRPr="00C00803">
        <w:t xml:space="preserve"> outlet temperatures are associated with higher inlet temperatures, while varying the maltodextrin fraction at the same inlet temperature generally does not result in significant temperature differences. </w:t>
      </w:r>
    </w:p>
    <w:p w14:paraId="5B966B0A" w14:textId="6494723C" w:rsidR="00D92090" w:rsidRDefault="00513ED9" w:rsidP="00513ED9">
      <w:r w:rsidRPr="00C00803">
        <w:t xml:space="preserve">This is </w:t>
      </w:r>
      <w:r>
        <w:t>because</w:t>
      </w:r>
      <w:r w:rsidRPr="00C00803">
        <w:t>, despite having a different composition, the amount of extract is still small compared to the airflow rate used. The only slight differences observed (e.g.,</w:t>
      </w:r>
      <w:r>
        <w:t xml:space="preserve"> </w:t>
      </w:r>
      <m:oMath>
        <m:sSub>
          <m:sSubPr>
            <m:ctrlPr>
              <w:rPr>
                <w:rFonts w:ascii="Cambria Math" w:hAnsi="Cambria Math"/>
                <w:i/>
              </w:rPr>
            </m:ctrlPr>
          </m:sSubPr>
          <m:e>
            <m:r>
              <w:rPr>
                <w:rFonts w:ascii="Cambria Math" w:hAnsi="Cambria Math"/>
              </w:rPr>
              <m:t>w</m:t>
            </m:r>
          </m:e>
          <m:sub>
            <m:r>
              <w:rPr>
                <w:rFonts w:ascii="Cambria Math" w:hAnsi="Cambria Math"/>
              </w:rPr>
              <m:t>md</m:t>
            </m:r>
          </m:sub>
        </m:sSub>
        <m:r>
          <w:rPr>
            <w:rFonts w:ascii="Cambria Math" w:hAnsi="Cambria Math"/>
          </w:rPr>
          <m:t>=0.8</m:t>
        </m:r>
      </m:oMath>
      <w:r w:rsidRPr="00C00803">
        <w:t xml:space="preserve"> </w:t>
      </w:r>
      <m:oMath>
        <m:sSub>
          <m:sSubPr>
            <m:ctrlPr>
              <w:rPr>
                <w:rFonts w:ascii="Cambria Math" w:hAnsi="Cambria Math"/>
                <w:i/>
              </w:rPr>
            </m:ctrlPr>
          </m:sSubPr>
          <m:e>
            <m:r>
              <w:rPr>
                <w:rFonts w:ascii="Cambria Math" w:hAnsi="Cambria Math"/>
              </w:rPr>
              <m:t>T</m:t>
            </m:r>
          </m:e>
          <m:sub>
            <m:r>
              <w:rPr>
                <w:rFonts w:ascii="Cambria Math" w:hAnsi="Cambria Math"/>
              </w:rPr>
              <m:t>air</m:t>
            </m:r>
          </m:sub>
        </m:sSub>
        <m:r>
          <w:rPr>
            <w:rFonts w:ascii="Cambria Math" w:hAnsi="Cambria Math"/>
          </w:rPr>
          <m:t>=140°C</m:t>
        </m:r>
      </m:oMath>
      <w:r w:rsidRPr="00C00803">
        <w:t>) could be due to different external temperatures encountered during the experimental trial itself.</w:t>
      </w:r>
      <w:r>
        <w:t xml:space="preserve"> </w:t>
      </w:r>
      <w:r w:rsidRPr="00E8055A">
        <w:rPr>
          <w:lang w:val="en-US"/>
        </w:rPr>
        <w:t xml:space="preserve">Regarding the prediction of temperatures </w:t>
      </w:r>
      <w:r w:rsidRPr="00E8055A">
        <w:rPr>
          <w:lang w:val="en-US"/>
        </w:rPr>
        <w:lastRenderedPageBreak/>
        <w:t xml:space="preserve">by the mathematical model, it is in agreement with the experimental </w:t>
      </w:r>
      <w:r w:rsidRPr="00BA4880">
        <w:rPr>
          <w:lang w:val="en-US"/>
        </w:rPr>
        <w:t>data (</w:t>
      </w:r>
      <w:r w:rsidRPr="00BA4880">
        <w:rPr>
          <w:i/>
          <w:iCs/>
          <w:lang w:val="en-US"/>
        </w:rPr>
        <w:fldChar w:fldCharType="begin"/>
      </w:r>
      <w:r w:rsidRPr="00BA4880">
        <w:rPr>
          <w:i/>
          <w:iCs/>
          <w:lang w:val="en-US"/>
        </w:rPr>
        <w:instrText xml:space="preserve"> REF _Ref192947709 \h  \* MERGEFORMAT </w:instrText>
      </w:r>
      <w:r w:rsidRPr="00BA4880">
        <w:rPr>
          <w:i/>
          <w:iCs/>
          <w:lang w:val="en-US"/>
        </w:rPr>
      </w:r>
      <w:r w:rsidRPr="00BA4880">
        <w:rPr>
          <w:i/>
          <w:iCs/>
          <w:lang w:val="en-US"/>
        </w:rPr>
        <w:fldChar w:fldCharType="separate"/>
      </w:r>
      <w:r w:rsidRPr="00BA4880">
        <w:rPr>
          <w:rStyle w:val="CETCaptionCarattere"/>
          <w:i w:val="0"/>
          <w:iCs/>
        </w:rPr>
        <w:t>Figure 2</w:t>
      </w:r>
      <w:r w:rsidRPr="00BA4880">
        <w:rPr>
          <w:i/>
          <w:iCs/>
          <w:lang w:val="en-US"/>
        </w:rPr>
        <w:fldChar w:fldCharType="end"/>
      </w:r>
      <w:r w:rsidRPr="00BA4880">
        <w:rPr>
          <w:i/>
          <w:iCs/>
          <w:lang w:val="en-US"/>
        </w:rPr>
        <w:t>)</w:t>
      </w:r>
      <w:r w:rsidRPr="00BA4880">
        <w:rPr>
          <w:lang w:val="en-US"/>
        </w:rPr>
        <w:t>,</w:t>
      </w:r>
      <w:r w:rsidRPr="00E8055A">
        <w:rPr>
          <w:lang w:val="en-US"/>
        </w:rPr>
        <w:t xml:space="preserve"> confirming the trends described above and also highlighting a slight increase in the outlet temperature as the maltodextrin fraction increases.</w:t>
      </w:r>
      <w:r>
        <w:rPr>
          <w:lang w:val="en-US"/>
        </w:rPr>
        <w:t xml:space="preserve"> </w:t>
      </w:r>
      <w:r w:rsidRPr="00513ED9">
        <w:t xml:space="preserve">This is </w:t>
      </w:r>
      <w:r w:rsidR="00E10BAC">
        <w:t>additional information</w:t>
      </w:r>
      <w:r w:rsidRPr="00513ED9">
        <w:t xml:space="preserve"> provided by the model and not highlighted by the experiments</w:t>
      </w:r>
      <w:r w:rsidR="00E10BAC">
        <w:t>.</w:t>
      </w:r>
      <w:r w:rsidRPr="00513ED9">
        <w:t xml:space="preserve"> It is important to note that the heat transfer coefficient</w:t>
      </w:r>
      <w:r w:rsidR="00E10BAC">
        <w:t>, needed by the model,</w:t>
      </w:r>
      <w:r w:rsidRPr="00513ED9">
        <w:t xml:space="preserve"> was estimated to be 6.5 W/K following the procedure reported by Hanus and Langrish (2007). The final moisture content of the powders, as expected, decreases with increasing temperature, although above 140°C there does not seem to be a significant decrease. Regarding the maltodextrin content, there does not appear to be a characteristic trend. In fact, it seems to decrease with an increasing maltodextrin fraction at 120°C and 140°C, but this is not true for the other cases. It is worth noting that the final result can be influenced by the strong hygroscopicity of the powders themselves (Bassani et al. 2022). In this case, the developed model can be more helpful as it can highlight some characteristic behaviors of the process. </w:t>
      </w:r>
    </w:p>
    <w:p w14:paraId="5D7316CE" w14:textId="77777777" w:rsidR="00D92090" w:rsidRDefault="00D92090" w:rsidP="00003F48">
      <w:pPr>
        <w:pStyle w:val="CETBodytext"/>
      </w:pPr>
    </w:p>
    <w:p w14:paraId="54D33E48" w14:textId="77777777" w:rsidR="00E8055A" w:rsidRDefault="00124AAB" w:rsidP="00E8055A">
      <w:pPr>
        <w:pStyle w:val="CETBodytext"/>
        <w:keepNext/>
      </w:pPr>
      <w:r>
        <w:rPr>
          <w:noProof/>
        </w:rPr>
        <w:drawing>
          <wp:inline distT="0" distB="0" distL="0" distR="0" wp14:anchorId="6EBA013F" wp14:editId="4AB7518D">
            <wp:extent cx="4704139" cy="2986997"/>
            <wp:effectExtent l="0" t="0" r="1270" b="4445"/>
            <wp:docPr id="10159662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0189" cy="2990839"/>
                    </a:xfrm>
                    <a:prstGeom prst="rect">
                      <a:avLst/>
                    </a:prstGeom>
                    <a:noFill/>
                  </pic:spPr>
                </pic:pic>
              </a:graphicData>
            </a:graphic>
          </wp:inline>
        </w:drawing>
      </w:r>
    </w:p>
    <w:p w14:paraId="3A43CCFF" w14:textId="5CE00F00" w:rsidR="00124AAB" w:rsidRDefault="00E8055A" w:rsidP="000954DA">
      <w:pPr>
        <w:pStyle w:val="CETCaption"/>
        <w:spacing w:before="0"/>
        <w:rPr>
          <w:rStyle w:val="CETCaptionCarattere"/>
        </w:rPr>
      </w:pPr>
      <w:bookmarkStart w:id="2" w:name="_Ref192947709"/>
      <w:r w:rsidRPr="00E8055A">
        <w:rPr>
          <w:rStyle w:val="CETCaptionCarattere"/>
        </w:rPr>
        <w:t xml:space="preserve">Figure </w:t>
      </w:r>
      <w:r w:rsidRPr="00E8055A">
        <w:rPr>
          <w:rStyle w:val="CETCaptionCarattere"/>
        </w:rPr>
        <w:fldChar w:fldCharType="begin"/>
      </w:r>
      <w:r w:rsidRPr="00E8055A">
        <w:rPr>
          <w:rStyle w:val="CETCaptionCarattere"/>
        </w:rPr>
        <w:instrText xml:space="preserve"> SEQ Figure \* ARABIC </w:instrText>
      </w:r>
      <w:r w:rsidRPr="00E8055A">
        <w:rPr>
          <w:rStyle w:val="CETCaptionCarattere"/>
        </w:rPr>
        <w:fldChar w:fldCharType="separate"/>
      </w:r>
      <w:r w:rsidRPr="00E8055A">
        <w:rPr>
          <w:rStyle w:val="CETCaptionCarattere"/>
        </w:rPr>
        <w:t>2</w:t>
      </w:r>
      <w:r w:rsidRPr="00E8055A">
        <w:rPr>
          <w:rStyle w:val="CETCaptionCarattere"/>
        </w:rPr>
        <w:fldChar w:fldCharType="end"/>
      </w:r>
      <w:bookmarkEnd w:id="2"/>
      <w:r w:rsidRPr="00E8055A">
        <w:rPr>
          <w:rStyle w:val="CETCaptionCarattere"/>
        </w:rPr>
        <w:t xml:space="preserve"> </w:t>
      </w:r>
      <w:r w:rsidR="003646F0">
        <w:rPr>
          <w:rStyle w:val="CETCaptionCarattere"/>
        </w:rPr>
        <w:t>Scatter diagra</w:t>
      </w:r>
      <w:r w:rsidR="007B2046">
        <w:rPr>
          <w:rStyle w:val="CETCaptionCarattere"/>
        </w:rPr>
        <w:t xml:space="preserve">ms to compare simulated and experimental data of: outlet moisture content, outlet air temperature, TPC recovery and TAC recovery. </w:t>
      </w:r>
    </w:p>
    <w:p w14:paraId="5F1ACA20" w14:textId="4E77B7FE" w:rsidR="00063164" w:rsidRPr="00513ED9" w:rsidRDefault="00513ED9" w:rsidP="00513ED9">
      <w:pPr>
        <w:rPr>
          <w:rStyle w:val="CETCaptionCarattere"/>
          <w:i w:val="0"/>
          <w:iCs/>
        </w:rPr>
      </w:pPr>
      <w:r w:rsidRPr="00513ED9">
        <w:t>As shown by the scatter diagram (Figure 2), the model's prediction has good adherence to the experimental data, although there seems to be some discrepancy for certain values. However, it is important to consider that the moisture values are low, so a small experimental error can lead to a poor prediction by the model. As mentioned earlier, the model itself</w:t>
      </w:r>
      <w:r w:rsidR="001B40C3">
        <w:t xml:space="preserve"> is both</w:t>
      </w:r>
      <w:r w:rsidR="00183A95">
        <w:t xml:space="preserve"> able</w:t>
      </w:r>
      <w:r w:rsidR="001B40C3" w:rsidRPr="001B40C3">
        <w:t xml:space="preserve"> to predict final moisture content</w:t>
      </w:r>
      <w:r w:rsidRPr="00513ED9">
        <w:t xml:space="preserve"> </w:t>
      </w:r>
      <w:r w:rsidR="00183A95">
        <w:t xml:space="preserve">and to </w:t>
      </w:r>
      <w:r w:rsidRPr="00513ED9">
        <w:t xml:space="preserve">allow us to highlight how, with increasing maltodextrin content at the same temperature, the final moisture content decreases (Table 1). It is important to note that the parameters of the absorption isotherms, useful for predicting the final moisture content, were kept the same as those obtained in the previous work by Bassani et al. (2022), further validating it on a different variety of grape pomace. </w:t>
      </w:r>
      <w:r w:rsidR="00E026DE">
        <w:t>Once</w:t>
      </w:r>
      <w:r w:rsidRPr="00513ED9">
        <w:t xml:space="preserve"> the model </w:t>
      </w:r>
      <w:r w:rsidR="003830BA">
        <w:t xml:space="preserve">is </w:t>
      </w:r>
      <w:r w:rsidR="003830BA" w:rsidRPr="00513ED9">
        <w:t>valida</w:t>
      </w:r>
      <w:r w:rsidR="003830BA">
        <w:t>ted</w:t>
      </w:r>
      <w:r w:rsidR="003830BA" w:rsidRPr="00513ED9">
        <w:t xml:space="preserve"> </w:t>
      </w:r>
      <w:r w:rsidRPr="00513ED9">
        <w:t xml:space="preserve">regarding the prediction of </w:t>
      </w:r>
      <w:r w:rsidR="003830BA">
        <w:t xml:space="preserve">the </w:t>
      </w:r>
      <w:r w:rsidRPr="00513ED9">
        <w:t xml:space="preserve">final moisture content of the powders and </w:t>
      </w:r>
      <w:r w:rsidR="003830BA">
        <w:t xml:space="preserve">outlet air </w:t>
      </w:r>
      <w:r w:rsidRPr="00513ED9">
        <w:t xml:space="preserve">temperature, the next step </w:t>
      </w:r>
      <w:r w:rsidR="00C7075D">
        <w:t>is</w:t>
      </w:r>
      <w:r w:rsidRPr="00513ED9">
        <w:t xml:space="preserve"> to verify the actual validity of the new equations introduced in the model to predict the recovery of active compounds (i.e., polyphenols and anthocyanins) at the end of the encapsulation process. The results are reported in Table 2. As expected, maltodextrins significantly influence the concentration of bioactive compounds present in the recovered powders. In fact, maltodextrins protect the bioactive compounds from thermal degradation, leading to a higher recovery of polyphenols and anthocyanins with increasing maltodextrin fraction. Additionally, as expected, higher temperatures lead to greater degradation of active compounds. Regarding polyphenols, a high recovery can be observed even under the worst conditions (i.e., 200°C), where the recovery is still around 80%.</w:t>
      </w:r>
      <w:r>
        <w:t xml:space="preserve"> </w:t>
      </w:r>
      <w:r w:rsidRPr="008B36C8">
        <w:t>However, for the recovery of total anthocyanins, a greater discrepancy is noted at the experimental level compared to the expected trends (i.e., a decrease in recovery with increasing temperature and decreasing maltodextrin fraction). This could be due to the low concentration of anthocyanins in the powders, as in the case of moisture content, or to possible degradation occurring during the period between powder collection and actual analysis. This latter aspect will certainly need to be investigated further in future studies.</w:t>
      </w:r>
      <w:r>
        <w:t xml:space="preserve"> Regarding the mathematical model, the first step was to regress the kinetic parameters related to the degradation laws of polyphenols and anthocyanins (Eq. 5, 6) using MATLAB routines. The values obtained are as follows: </w:t>
      </w:r>
      <m:oMath>
        <m:sSubSup>
          <m:sSubSupPr>
            <m:ctrlPr>
              <w:rPr>
                <w:rFonts w:ascii="Cambria Math" w:hAnsi="Cambria Math" w:cs="Arial"/>
                <w:i/>
                <w:lang w:eastAsia="it-IT"/>
              </w:rPr>
            </m:ctrlPr>
          </m:sSubSupPr>
          <m:e>
            <m:r>
              <w:rPr>
                <w:rFonts w:ascii="Cambria Math" w:hAnsi="Cambria Math" w:cs="Arial"/>
                <w:lang w:eastAsia="it-IT"/>
              </w:rPr>
              <m:t>A</m:t>
            </m:r>
          </m:e>
          <m:sub>
            <m:r>
              <w:rPr>
                <w:rFonts w:ascii="Cambria Math" w:hAnsi="Cambria Math" w:cs="Arial"/>
                <w:lang w:eastAsia="it-IT"/>
              </w:rPr>
              <m:t>0</m:t>
            </m:r>
          </m:sub>
          <m:sup>
            <m:r>
              <w:rPr>
                <w:rFonts w:ascii="Cambria Math" w:hAnsi="Cambria Math" w:cs="Arial"/>
                <w:lang w:eastAsia="it-IT"/>
              </w:rPr>
              <m:t>phe</m:t>
            </m:r>
          </m:sup>
        </m:sSubSup>
        <m:r>
          <w:rPr>
            <w:rFonts w:ascii="Cambria Math" w:hAnsi="Cambria Math" w:cs="Arial"/>
            <w:lang w:eastAsia="it-IT"/>
          </w:rPr>
          <m:t>=114.66 kg/s</m:t>
        </m:r>
      </m:oMath>
      <w:r w:rsidRPr="00F26C90">
        <w:t>​</w:t>
      </w:r>
      <w:r>
        <w:t xml:space="preserve">, </w:t>
      </w:r>
      <m:oMath>
        <m:sSubSup>
          <m:sSubSupPr>
            <m:ctrlPr>
              <w:rPr>
                <w:rFonts w:ascii="Cambria Math" w:hAnsi="Cambria Math" w:cs="Arial"/>
                <w:i/>
                <w:lang w:eastAsia="it-IT"/>
              </w:rPr>
            </m:ctrlPr>
          </m:sSubSupPr>
          <m:e>
            <m:r>
              <w:rPr>
                <w:rFonts w:ascii="Cambria Math" w:hAnsi="Cambria Math" w:cs="Arial"/>
                <w:lang w:eastAsia="it-IT"/>
              </w:rPr>
              <m:t>A</m:t>
            </m:r>
          </m:e>
          <m:sub>
            <m:r>
              <w:rPr>
                <w:rFonts w:ascii="Cambria Math" w:hAnsi="Cambria Math" w:cs="Arial"/>
                <w:lang w:eastAsia="it-IT"/>
              </w:rPr>
              <m:t>0</m:t>
            </m:r>
          </m:sub>
          <m:sup>
            <m:r>
              <w:rPr>
                <w:rFonts w:ascii="Cambria Math" w:hAnsi="Cambria Math" w:cs="Arial"/>
                <w:lang w:eastAsia="it-IT"/>
              </w:rPr>
              <m:t>ant</m:t>
            </m:r>
          </m:sup>
        </m:sSubSup>
        <m:r>
          <w:rPr>
            <w:rFonts w:ascii="Cambria Math" w:hAnsi="Cambria Math" w:cs="Arial"/>
            <w:lang w:eastAsia="it-IT"/>
          </w:rPr>
          <m:t>=0.076 kg/s</m:t>
        </m:r>
      </m:oMath>
      <w:r>
        <w:t xml:space="preserve">, </w:t>
      </w:r>
      <m:oMath>
        <m:sSub>
          <m:sSubPr>
            <m:ctrlPr>
              <w:rPr>
                <w:rFonts w:ascii="Cambria Math" w:hAnsi="Cambria Math" w:cs="Arial"/>
                <w:i/>
                <w:lang w:eastAsia="it-IT"/>
              </w:rPr>
            </m:ctrlPr>
          </m:sSubPr>
          <m:e>
            <m:r>
              <w:rPr>
                <w:rFonts w:ascii="Cambria Math" w:hAnsi="Cambria Math" w:cs="Arial"/>
                <w:lang w:eastAsia="it-IT"/>
              </w:rPr>
              <m:t>E</m:t>
            </m:r>
          </m:e>
          <m:sub>
            <m:r>
              <w:rPr>
                <w:rFonts w:ascii="Cambria Math" w:hAnsi="Cambria Math" w:cs="Arial"/>
                <w:lang w:eastAsia="it-IT"/>
              </w:rPr>
              <m:t>a</m:t>
            </m:r>
            <m:sSub>
              <m:sSubPr>
                <m:ctrlPr>
                  <w:rPr>
                    <w:rFonts w:ascii="Cambria Math" w:hAnsi="Cambria Math" w:cs="Arial"/>
                    <w:i/>
                    <w:lang w:eastAsia="it-IT"/>
                  </w:rPr>
                </m:ctrlPr>
              </m:sSubPr>
              <m:e>
                <m:r>
                  <w:rPr>
                    <w:rFonts w:ascii="Cambria Math" w:hAnsi="Cambria Math" w:cs="Arial"/>
                    <w:lang w:eastAsia="it-IT"/>
                  </w:rPr>
                  <m:t>t</m:t>
                </m:r>
              </m:e>
              <m:sub>
                <m:r>
                  <w:rPr>
                    <w:rFonts w:ascii="Cambria Math" w:hAnsi="Cambria Math" w:cs="Arial"/>
                    <w:lang w:eastAsia="it-IT"/>
                  </w:rPr>
                  <m:t>phe</m:t>
                </m:r>
              </m:sub>
            </m:sSub>
          </m:sub>
        </m:sSub>
        <m:r>
          <w:rPr>
            <w:rFonts w:ascii="Cambria Math" w:hAnsi="Cambria Math" w:cs="Arial"/>
            <w:lang w:eastAsia="it-IT"/>
          </w:rPr>
          <m:t>=60338.39 J/mol</m:t>
        </m:r>
      </m:oMath>
      <w:r>
        <w:rPr>
          <w:lang w:eastAsia="it-IT"/>
        </w:rPr>
        <w:t xml:space="preserve">, </w:t>
      </w:r>
      <w:r w:rsidRPr="00F26C90">
        <w:t xml:space="preserve"> </w:t>
      </w:r>
      <m:oMath>
        <m:sSub>
          <m:sSubPr>
            <m:ctrlPr>
              <w:rPr>
                <w:rFonts w:ascii="Cambria Math" w:hAnsi="Cambria Math" w:cs="Arial"/>
                <w:i/>
                <w:lang w:eastAsia="it-IT"/>
              </w:rPr>
            </m:ctrlPr>
          </m:sSubPr>
          <m:e>
            <m:r>
              <w:rPr>
                <w:rFonts w:ascii="Cambria Math" w:hAnsi="Cambria Math" w:cs="Arial"/>
                <w:lang w:eastAsia="it-IT"/>
              </w:rPr>
              <m:t>E</m:t>
            </m:r>
          </m:e>
          <m:sub>
            <m:r>
              <w:rPr>
                <w:rFonts w:ascii="Cambria Math" w:hAnsi="Cambria Math" w:cs="Arial"/>
                <w:lang w:eastAsia="it-IT"/>
              </w:rPr>
              <m:t>a</m:t>
            </m:r>
            <m:sSub>
              <m:sSubPr>
                <m:ctrlPr>
                  <w:rPr>
                    <w:rFonts w:ascii="Cambria Math" w:hAnsi="Cambria Math" w:cs="Arial"/>
                    <w:i/>
                    <w:lang w:eastAsia="it-IT"/>
                  </w:rPr>
                </m:ctrlPr>
              </m:sSubPr>
              <m:e>
                <m:r>
                  <w:rPr>
                    <w:rFonts w:ascii="Cambria Math" w:hAnsi="Cambria Math" w:cs="Arial"/>
                    <w:lang w:eastAsia="it-IT"/>
                  </w:rPr>
                  <m:t>t</m:t>
                </m:r>
              </m:e>
              <m:sub>
                <m:r>
                  <w:rPr>
                    <w:rFonts w:ascii="Cambria Math" w:hAnsi="Cambria Math" w:cs="Arial"/>
                    <w:lang w:eastAsia="it-IT"/>
                  </w:rPr>
                  <m:t>ant</m:t>
                </m:r>
              </m:sub>
            </m:sSub>
          </m:sub>
        </m:sSub>
        <m:r>
          <w:rPr>
            <w:rFonts w:ascii="Cambria Math" w:hAnsi="Cambria Math" w:cs="Arial"/>
            <w:lang w:eastAsia="it-IT"/>
          </w:rPr>
          <m:t>=21957.24 J/mol</m:t>
        </m:r>
      </m:oMath>
      <w:r>
        <w:rPr>
          <w:lang w:eastAsia="it-IT"/>
        </w:rPr>
        <w:t>.</w:t>
      </w:r>
      <w:r>
        <w:t xml:space="preserve">  </w:t>
      </w:r>
      <w:r w:rsidR="00063164" w:rsidRPr="00513ED9">
        <w:rPr>
          <w:rStyle w:val="CETCaptionCarattere"/>
          <w:i w:val="0"/>
          <w:iCs/>
        </w:rPr>
        <w:t xml:space="preserve">Figure 2 shows the comparison between the experimental and simulated values. For polyphenol recovery, there is good correspondence between the experimental and simulated data, also </w:t>
      </w:r>
      <w:r w:rsidR="007E74E8" w:rsidRPr="00513ED9">
        <w:rPr>
          <w:rStyle w:val="CETCaptionCarattere"/>
          <w:i w:val="0"/>
          <w:iCs/>
        </w:rPr>
        <w:t>favoured</w:t>
      </w:r>
      <w:r w:rsidR="00063164" w:rsidRPr="00513ED9">
        <w:rPr>
          <w:rStyle w:val="CETCaptionCarattere"/>
          <w:i w:val="0"/>
          <w:iCs/>
        </w:rPr>
        <w:t xml:space="preserve"> by the low standard deviations of the experimental samples. The model also reflects the expected trends (Table 2), where an increase in total polyphenol recovery is associated with a decrease in temperature or an increase in the amount of maltodextrins. Regarding total anthocyanins, as expected, the model does not optimally predict the experimental data for the previously described regions. However, the model confirms the trend observed </w:t>
      </w:r>
      <w:r w:rsidR="00385B1D">
        <w:rPr>
          <w:rStyle w:val="CETCaptionCarattere"/>
          <w:i w:val="0"/>
          <w:iCs/>
        </w:rPr>
        <w:t xml:space="preserve">also </w:t>
      </w:r>
      <w:r w:rsidR="00063164" w:rsidRPr="00513ED9">
        <w:rPr>
          <w:rStyle w:val="CETCaptionCarattere"/>
          <w:i w:val="0"/>
          <w:iCs/>
        </w:rPr>
        <w:t>with polyphenols, namely a reduction in anthocyanin recovery with increasing temperature and decreasing maltodextrin fraction, emphasizing the fundamental role of the model in characterizing</w:t>
      </w:r>
      <w:r w:rsidR="006958F1">
        <w:rPr>
          <w:rStyle w:val="CETCaptionCarattere"/>
          <w:i w:val="0"/>
          <w:iCs/>
        </w:rPr>
        <w:t xml:space="preserve"> the behavoiur of</w:t>
      </w:r>
      <w:r w:rsidR="00063164" w:rsidRPr="00513ED9">
        <w:rPr>
          <w:rStyle w:val="CETCaptionCarattere"/>
          <w:i w:val="0"/>
          <w:iCs/>
        </w:rPr>
        <w:t xml:space="preserve"> the process. </w:t>
      </w:r>
      <w:r w:rsidR="00A46F7D" w:rsidRPr="00A46F7D">
        <w:rPr>
          <w:rStyle w:val="CETCaptionCarattere"/>
          <w:i w:val="0"/>
          <w:iCs/>
        </w:rPr>
        <w:t>Additional investigation is needed</w:t>
      </w:r>
      <w:r w:rsidR="00A46F7D">
        <w:rPr>
          <w:rStyle w:val="CETCaptionCarattere"/>
          <w:i w:val="0"/>
          <w:iCs/>
        </w:rPr>
        <w:t xml:space="preserve"> </w:t>
      </w:r>
      <w:r w:rsidR="00063164" w:rsidRPr="00513ED9">
        <w:rPr>
          <w:rStyle w:val="CETCaptionCarattere"/>
          <w:i w:val="0"/>
          <w:iCs/>
        </w:rPr>
        <w:t>to further improve the model's predictive capabilities.</w:t>
      </w:r>
    </w:p>
    <w:p w14:paraId="68D26B83" w14:textId="77777777" w:rsidR="00600535" w:rsidRPr="00B57B36" w:rsidRDefault="00600535" w:rsidP="00600535">
      <w:pPr>
        <w:pStyle w:val="CETHeading1"/>
        <w:rPr>
          <w:lang w:val="en-GB"/>
        </w:rPr>
      </w:pPr>
      <w:r w:rsidRPr="00B57B36">
        <w:rPr>
          <w:lang w:val="en-GB"/>
        </w:rPr>
        <w:t>Conclusions</w:t>
      </w:r>
    </w:p>
    <w:p w14:paraId="52DAFDE0" w14:textId="03E17BFB" w:rsidR="001D0CFB" w:rsidRDefault="00C61294" w:rsidP="00C61294">
      <w:pPr>
        <w:pStyle w:val="CETBodytext"/>
        <w:rPr>
          <w:lang w:val="en-GB"/>
        </w:rPr>
      </w:pPr>
      <w:r w:rsidRPr="00C61294">
        <w:rPr>
          <w:lang w:val="en-GB"/>
        </w:rPr>
        <w:t>This study demonstrates the feasibility of using spray-drying as an effective encapsulation technique for preserving bioactive compounds from grape pomace extracts. Experimental findings reveal that process parameters, particularly inlet air temperature and maltodextrin concentration, significantly influence the retention of polyphenols and anthocyanins. Optimal drying conditions (140°C and 0.6</w:t>
      </w:r>
      <w:r w:rsidR="005F4684">
        <w:rPr>
          <w:lang w:val="en-GB"/>
        </w:rPr>
        <w:t xml:space="preserve">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md</m:t>
            </m:r>
          </m:sub>
        </m:sSub>
      </m:oMath>
      <w:r w:rsidRPr="00C61294">
        <w:rPr>
          <w:lang w:val="en-GB"/>
        </w:rPr>
        <w:t>) achieved the highest recovery rates, minimizing thermal degradation while ensuring appropriate powder moisture content for</w:t>
      </w:r>
      <w:r w:rsidR="009C14FA">
        <w:rPr>
          <w:lang w:val="en-GB"/>
        </w:rPr>
        <w:t xml:space="preserve"> potential</w:t>
      </w:r>
      <w:r w:rsidRPr="00C61294">
        <w:rPr>
          <w:lang w:val="en-GB"/>
        </w:rPr>
        <w:t xml:space="preserve"> industrial applications.</w:t>
      </w:r>
      <w:r w:rsidR="00975F73">
        <w:rPr>
          <w:lang w:val="en-GB"/>
        </w:rPr>
        <w:t xml:space="preserve"> </w:t>
      </w:r>
      <w:r w:rsidRPr="00C61294">
        <w:rPr>
          <w:lang w:val="en-GB"/>
        </w:rPr>
        <w:t xml:space="preserve">In parallel, the development and validation of a mathematical model provided a deeper understanding of the drying process, accurately predicting moisture content and degradation kinetics of bioactive compounds. </w:t>
      </w:r>
      <w:r w:rsidR="009B4DF0" w:rsidRPr="009B4DF0">
        <w:rPr>
          <w:lang w:val="en-GB"/>
        </w:rPr>
        <w:t>The integration of experimental data with modelling approaches demonstrates the advantages of a cooperative strategy. Computational tools aid in optimizing processes by revealing potential behaviours not evident from experiments and reducing the need for extensive trials. This synergy between experiments and modelling enhances encapsulation efficiency and supports sustainability efforts by improving resource utilization and minimizing waste in food processing.</w:t>
      </w:r>
      <w:r w:rsidR="00D65D80">
        <w:rPr>
          <w:lang w:val="en-GB"/>
        </w:rPr>
        <w:t xml:space="preserve"> </w:t>
      </w:r>
      <w:r w:rsidRPr="00C61294">
        <w:rPr>
          <w:lang w:val="en-GB"/>
        </w:rPr>
        <w:t>Future work may further refine the model by incorporating additional variables, such as different encapsulating agents or alternative drying conditions, to expand the applicability of this approach in food and pharmaceutical industries.</w:t>
      </w:r>
    </w:p>
    <w:p w14:paraId="459D05E6" w14:textId="77777777" w:rsidR="00600535" w:rsidRPr="00B57B36" w:rsidRDefault="00600535" w:rsidP="00600535">
      <w:pPr>
        <w:pStyle w:val="CETAcknowledgementstitle"/>
      </w:pPr>
      <w:r w:rsidRPr="00B57B36">
        <w:t>Acknowledgments</w:t>
      </w:r>
    </w:p>
    <w:p w14:paraId="24876D8A" w14:textId="72FA9867" w:rsidR="00C24AF1" w:rsidRPr="00B57B36" w:rsidRDefault="002A5835" w:rsidP="00600535">
      <w:pPr>
        <w:pStyle w:val="CETBodytext"/>
        <w:rPr>
          <w:lang w:val="en-GB"/>
        </w:rPr>
      </w:pPr>
      <w:r w:rsidRPr="002A5835">
        <w:rPr>
          <w:lang w:val="en-GB"/>
        </w:rPr>
        <w:t>Part of the research has received funding from Ecosystem for Sustainable Transition in Emilia-Romagna”, project funded by European Union under the National Recovery and Resilience Plan (NRRP), Mission 04 Component 2 Investment 1.5—NextGenerationEU, Call for tender n. 3277 dated 30/12/2021, Award Number: 0001052 dated 23/06/2022</w:t>
      </w:r>
    </w:p>
    <w:p w14:paraId="4F1327F8" w14:textId="77777777" w:rsidR="00600535" w:rsidRDefault="00600535" w:rsidP="00600535">
      <w:pPr>
        <w:pStyle w:val="CETReference"/>
      </w:pPr>
      <w:r w:rsidRPr="00B57B36">
        <w:t>References</w:t>
      </w:r>
    </w:p>
    <w:p w14:paraId="2E9360EB" w14:textId="69239826" w:rsidR="00CC0420" w:rsidRDefault="00CC0420" w:rsidP="00C24AF1">
      <w:pPr>
        <w:pStyle w:val="CETReferencetext"/>
        <w:rPr>
          <w:lang w:val="en-US"/>
        </w:rPr>
      </w:pPr>
      <w:r w:rsidRPr="00CC0420">
        <w:rPr>
          <w:lang w:val="en-US"/>
        </w:rPr>
        <w:t>Amendola D., De Faveri D. M., Spigno G., 2010, Grape marc phenolics: Extraction kinetics, quality and stability of extracts</w:t>
      </w:r>
      <w:r>
        <w:rPr>
          <w:lang w:val="en-US"/>
        </w:rPr>
        <w:t>,</w:t>
      </w:r>
      <w:r w:rsidRPr="00CC0420">
        <w:rPr>
          <w:lang w:val="en-US"/>
        </w:rPr>
        <w:t xml:space="preserve"> Journal of Food Engineering, 97(3), 384-392.</w:t>
      </w:r>
    </w:p>
    <w:p w14:paraId="0D013E0B" w14:textId="6B18B98E" w:rsidR="00645A60" w:rsidRDefault="00645A60" w:rsidP="00C24AF1">
      <w:pPr>
        <w:pStyle w:val="CETReferencetext"/>
        <w:rPr>
          <w:lang w:val="en-US"/>
        </w:rPr>
      </w:pPr>
      <w:r w:rsidRPr="00645A60">
        <w:rPr>
          <w:lang w:val="en-US"/>
        </w:rPr>
        <w:t>Archaina D., Leiva G., Salvatori D., Schebor C., 2018</w:t>
      </w:r>
      <w:r>
        <w:rPr>
          <w:lang w:val="en-US"/>
        </w:rPr>
        <w:t>,</w:t>
      </w:r>
      <w:r w:rsidRPr="00645A60">
        <w:rPr>
          <w:lang w:val="en-US"/>
        </w:rPr>
        <w:t xml:space="preserve"> Physical and functional properties of spray-dried powders from blackcurrant juice and extracts obtained from the waste of juice processing</w:t>
      </w:r>
      <w:r w:rsidR="00E70D1C">
        <w:rPr>
          <w:lang w:val="en-US"/>
        </w:rPr>
        <w:t>,</w:t>
      </w:r>
      <w:r w:rsidRPr="00645A60">
        <w:rPr>
          <w:lang w:val="en-US"/>
        </w:rPr>
        <w:t xml:space="preserve"> Food Science and Technology International, 24(1), 78-86.</w:t>
      </w:r>
    </w:p>
    <w:p w14:paraId="01D47BF5" w14:textId="60D72886" w:rsidR="0022243A" w:rsidRDefault="0022243A" w:rsidP="00C24AF1">
      <w:pPr>
        <w:pStyle w:val="CETReferencetext"/>
        <w:rPr>
          <w:lang w:val="en-US"/>
        </w:rPr>
      </w:pPr>
      <w:r w:rsidRPr="0022243A">
        <w:rPr>
          <w:lang w:val="en-US"/>
        </w:rPr>
        <w:t>Belaud J. P., Prioux N., Vialle C., Buche P., Destercke S., Barakat A., Sablayrolles C.</w:t>
      </w:r>
      <w:r>
        <w:rPr>
          <w:lang w:val="en-US"/>
        </w:rPr>
        <w:t xml:space="preserve">, </w:t>
      </w:r>
      <w:r w:rsidRPr="0022243A">
        <w:rPr>
          <w:lang w:val="en-US"/>
        </w:rPr>
        <w:t>2019</w:t>
      </w:r>
      <w:r>
        <w:rPr>
          <w:lang w:val="en-US"/>
        </w:rPr>
        <w:t>,</w:t>
      </w:r>
      <w:r w:rsidRPr="0022243A">
        <w:rPr>
          <w:lang w:val="en-US"/>
        </w:rPr>
        <w:t xml:space="preserve"> Framework for sustainable management of agricultural by-product valorization</w:t>
      </w:r>
      <w:r>
        <w:rPr>
          <w:lang w:val="en-US"/>
        </w:rPr>
        <w:t>,</w:t>
      </w:r>
      <w:r w:rsidRPr="0022243A">
        <w:rPr>
          <w:lang w:val="en-US"/>
        </w:rPr>
        <w:t xml:space="preserve"> Chemical Engineering Transactions, 74(2019).</w:t>
      </w:r>
    </w:p>
    <w:p w14:paraId="1B4EC1C3" w14:textId="0DE769DA" w:rsidR="00AA3AD9" w:rsidRDefault="00AA3AD9" w:rsidP="00C24AF1">
      <w:pPr>
        <w:pStyle w:val="CETReferencetext"/>
        <w:rPr>
          <w:lang w:val="en-US"/>
        </w:rPr>
      </w:pPr>
      <w:r w:rsidRPr="00AA3AD9">
        <w:rPr>
          <w:lang w:val="en-US"/>
        </w:rPr>
        <w:t>Bassani A., García</w:t>
      </w:r>
      <w:r w:rsidRPr="00AA3AD9">
        <w:rPr>
          <w:rFonts w:ascii="Cambria Math" w:hAnsi="Cambria Math" w:cs="Cambria Math"/>
          <w:lang w:val="en-US"/>
        </w:rPr>
        <w:t>‐</w:t>
      </w:r>
      <w:r w:rsidRPr="00AA3AD9">
        <w:rPr>
          <w:lang w:val="en-US"/>
        </w:rPr>
        <w:t>Rold</w:t>
      </w:r>
      <w:r w:rsidRPr="00AA3AD9">
        <w:rPr>
          <w:rFonts w:cs="Arial"/>
          <w:lang w:val="en-US"/>
        </w:rPr>
        <w:t>á</w:t>
      </w:r>
      <w:r w:rsidRPr="00AA3AD9">
        <w:rPr>
          <w:lang w:val="en-US"/>
        </w:rPr>
        <w:t>n A., Spigno G., Jauregi P., 2024, Extraction of phenolic compounds from spent coffee ground using natural deep eutectic solvents: New modeling approach</w:t>
      </w:r>
      <w:r>
        <w:rPr>
          <w:lang w:val="en-US"/>
        </w:rPr>
        <w:t>,</w:t>
      </w:r>
      <w:r w:rsidRPr="00AA3AD9">
        <w:rPr>
          <w:lang w:val="en-US"/>
        </w:rPr>
        <w:t xml:space="preserve"> Journal of Food Process Engineering, 47(3), e14584.</w:t>
      </w:r>
    </w:p>
    <w:p w14:paraId="56D8519C" w14:textId="4520EDC7" w:rsidR="00BB7067" w:rsidRDefault="00CE3E4F" w:rsidP="00C24AF1">
      <w:pPr>
        <w:pStyle w:val="CETReferencetext"/>
      </w:pPr>
      <w:r w:rsidRPr="003F204B">
        <w:rPr>
          <w:lang w:val="en-US"/>
        </w:rPr>
        <w:t>Bassani A., Carullo D., Rossi</w:t>
      </w:r>
      <w:r w:rsidR="003F204B" w:rsidRPr="003F204B">
        <w:rPr>
          <w:lang w:val="en-US"/>
        </w:rPr>
        <w:t xml:space="preserve"> </w:t>
      </w:r>
      <w:r w:rsidRPr="003F204B">
        <w:rPr>
          <w:lang w:val="en-US"/>
        </w:rPr>
        <w:t>F., Fiorentini C., Garrido G. D.</w:t>
      </w:r>
      <w:r w:rsidR="003F204B" w:rsidRPr="003F204B">
        <w:rPr>
          <w:lang w:val="en-US"/>
        </w:rPr>
        <w:t>,</w:t>
      </w:r>
      <w:r w:rsidRPr="003F204B">
        <w:rPr>
          <w:lang w:val="en-US"/>
        </w:rPr>
        <w:t xml:space="preserve"> Reklaitis G. V., Spigno G.</w:t>
      </w:r>
      <w:r w:rsidR="003F204B" w:rsidRPr="003F204B">
        <w:rPr>
          <w:lang w:val="en-US"/>
        </w:rPr>
        <w:t xml:space="preserve">, </w:t>
      </w:r>
      <w:r w:rsidRPr="003F204B">
        <w:rPr>
          <w:lang w:val="en-US"/>
        </w:rPr>
        <w:t>2022</w:t>
      </w:r>
      <w:r w:rsidR="003F204B" w:rsidRPr="003F204B">
        <w:rPr>
          <w:lang w:val="en-US"/>
        </w:rPr>
        <w:t>,</w:t>
      </w:r>
      <w:r w:rsidRPr="003F204B">
        <w:rPr>
          <w:lang w:val="en-US"/>
        </w:rPr>
        <w:t xml:space="preserve"> </w:t>
      </w:r>
      <w:r w:rsidRPr="00CE3E4F">
        <w:t>Modeling of a spray-drying process for the encapsulation of high-added value extracts from food by-products</w:t>
      </w:r>
      <w:r w:rsidR="003F204B">
        <w:t>,</w:t>
      </w:r>
      <w:r w:rsidRPr="00CE3E4F">
        <w:t xml:space="preserve"> Computers &amp; Chemical Engineering, 161, 107772.</w:t>
      </w:r>
    </w:p>
    <w:p w14:paraId="286631F7" w14:textId="5F260012" w:rsidR="00717BFB" w:rsidRDefault="00717BFB" w:rsidP="00C24AF1">
      <w:pPr>
        <w:pStyle w:val="CETReferencetext"/>
      </w:pPr>
      <w:r w:rsidRPr="00717BFB">
        <w:t xml:space="preserve">Hanus M. J., Langrish T. A. G. </w:t>
      </w:r>
      <w:r>
        <w:t>,</w:t>
      </w:r>
      <w:r w:rsidRPr="00717BFB">
        <w:t>2007</w:t>
      </w:r>
      <w:r>
        <w:t>,</w:t>
      </w:r>
      <w:r w:rsidRPr="00717BFB">
        <w:t>. Re</w:t>
      </w:r>
      <w:r w:rsidRPr="00717BFB">
        <w:rPr>
          <w:rFonts w:ascii="Cambria Math" w:hAnsi="Cambria Math" w:cs="Cambria Math"/>
        </w:rPr>
        <w:t>‐</w:t>
      </w:r>
      <w:r w:rsidRPr="00717BFB">
        <w:t>entrainment of wall deposits from a laboratory</w:t>
      </w:r>
      <w:r w:rsidRPr="00717BFB">
        <w:rPr>
          <w:rFonts w:ascii="Cambria Math" w:hAnsi="Cambria Math" w:cs="Cambria Math"/>
        </w:rPr>
        <w:t>‐</w:t>
      </w:r>
      <w:r w:rsidRPr="00717BFB">
        <w:t>scale spray dryer</w:t>
      </w:r>
      <w:r>
        <w:t>,</w:t>
      </w:r>
      <w:r w:rsidRPr="00717BFB">
        <w:t xml:space="preserve"> Asia</w:t>
      </w:r>
      <w:r w:rsidRPr="00717BFB">
        <w:rPr>
          <w:rFonts w:ascii="Cambria Math" w:hAnsi="Cambria Math" w:cs="Cambria Math"/>
        </w:rPr>
        <w:t>‐</w:t>
      </w:r>
      <w:r w:rsidRPr="00717BFB">
        <w:t>Pacific Journal of Chemical Engineering, 2(2), 90-107.</w:t>
      </w:r>
    </w:p>
    <w:p w14:paraId="07E7C703" w14:textId="6745619E" w:rsidR="006702CC" w:rsidRDefault="006702CC" w:rsidP="00C24AF1">
      <w:pPr>
        <w:pStyle w:val="CETReferencetext"/>
      </w:pPr>
      <w:r w:rsidRPr="006702CC">
        <w:t>Karastergiou A., Gancel A. L., Jourdes M., Teissedre P. L.</w:t>
      </w:r>
      <w:r>
        <w:t xml:space="preserve">, </w:t>
      </w:r>
      <w:r w:rsidRPr="006702CC">
        <w:t>2024</w:t>
      </w:r>
      <w:r>
        <w:t>,</w:t>
      </w:r>
      <w:r w:rsidRPr="006702CC">
        <w:t xml:space="preserve"> Valorization of grape pomace: A review of phenolic composition, bioactivity, and therapeutic potential</w:t>
      </w:r>
      <w:r>
        <w:t xml:space="preserve">, </w:t>
      </w:r>
      <w:r w:rsidRPr="006702CC">
        <w:t>Antioxidants, 13(9), 1131.</w:t>
      </w:r>
    </w:p>
    <w:p w14:paraId="275FC273" w14:textId="316C04BE" w:rsidR="00BB7067" w:rsidRDefault="00747C5A" w:rsidP="00B25CDF">
      <w:pPr>
        <w:pStyle w:val="CETReferencetext"/>
      </w:pPr>
      <w:r w:rsidRPr="00747C5A">
        <w:rPr>
          <w:lang w:val="en-US"/>
        </w:rPr>
        <w:t xml:space="preserve">Sansone F., Mencherini T., Picerno P., d’Amore M., Aquino R. P., Lauro M. R., 2011, </w:t>
      </w:r>
      <w:r w:rsidRPr="00747C5A">
        <w:t>Maltodextrin/pectin microparticles by spray drying as carrier for nutraceutical extracts</w:t>
      </w:r>
      <w:r>
        <w:t>,</w:t>
      </w:r>
      <w:r w:rsidRPr="00747C5A">
        <w:t xml:space="preserve"> Journal of Food Engineering, 105(3), 468-476.</w:t>
      </w:r>
    </w:p>
    <w:sectPr w:rsidR="00BB7067"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8779" w14:textId="77777777" w:rsidR="002E7C2A" w:rsidRDefault="002E7C2A" w:rsidP="004F5E36">
      <w:r>
        <w:separator/>
      </w:r>
    </w:p>
  </w:endnote>
  <w:endnote w:type="continuationSeparator" w:id="0">
    <w:p w14:paraId="2BF18667" w14:textId="77777777" w:rsidR="002E7C2A" w:rsidRDefault="002E7C2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2C8B1" w14:textId="77777777" w:rsidR="002E7C2A" w:rsidRDefault="002E7C2A" w:rsidP="004F5E36">
      <w:r>
        <w:separator/>
      </w:r>
    </w:p>
  </w:footnote>
  <w:footnote w:type="continuationSeparator" w:id="0">
    <w:p w14:paraId="5C38C58C" w14:textId="77777777" w:rsidR="002E7C2A" w:rsidRDefault="002E7C2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8400518"/>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4253"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F48"/>
    <w:rsid w:val="00004726"/>
    <w:rsid w:val="000052FB"/>
    <w:rsid w:val="00005A19"/>
    <w:rsid w:val="0001118E"/>
    <w:rsid w:val="000117CB"/>
    <w:rsid w:val="000276E2"/>
    <w:rsid w:val="0003148D"/>
    <w:rsid w:val="00031EEC"/>
    <w:rsid w:val="0004004F"/>
    <w:rsid w:val="00051566"/>
    <w:rsid w:val="00052CBC"/>
    <w:rsid w:val="00054288"/>
    <w:rsid w:val="00054606"/>
    <w:rsid w:val="00055A93"/>
    <w:rsid w:val="0005616E"/>
    <w:rsid w:val="000562A9"/>
    <w:rsid w:val="00062A9A"/>
    <w:rsid w:val="00063164"/>
    <w:rsid w:val="0006499E"/>
    <w:rsid w:val="00065058"/>
    <w:rsid w:val="00074CE7"/>
    <w:rsid w:val="000810E2"/>
    <w:rsid w:val="00086C39"/>
    <w:rsid w:val="0009150A"/>
    <w:rsid w:val="000954DA"/>
    <w:rsid w:val="000A03B2"/>
    <w:rsid w:val="000A5035"/>
    <w:rsid w:val="000A716A"/>
    <w:rsid w:val="000D0268"/>
    <w:rsid w:val="000D34BE"/>
    <w:rsid w:val="000E102F"/>
    <w:rsid w:val="000E36F1"/>
    <w:rsid w:val="000E3A73"/>
    <w:rsid w:val="000E3CDC"/>
    <w:rsid w:val="000E414A"/>
    <w:rsid w:val="000E73DF"/>
    <w:rsid w:val="000F093C"/>
    <w:rsid w:val="000F6BB1"/>
    <w:rsid w:val="000F787B"/>
    <w:rsid w:val="0011141A"/>
    <w:rsid w:val="00117594"/>
    <w:rsid w:val="0012091F"/>
    <w:rsid w:val="00124AAB"/>
    <w:rsid w:val="00125211"/>
    <w:rsid w:val="00126BC2"/>
    <w:rsid w:val="001308B6"/>
    <w:rsid w:val="0013121F"/>
    <w:rsid w:val="00131FE6"/>
    <w:rsid w:val="0013263F"/>
    <w:rsid w:val="001331DF"/>
    <w:rsid w:val="00134DE4"/>
    <w:rsid w:val="0014034D"/>
    <w:rsid w:val="0014465D"/>
    <w:rsid w:val="00144D16"/>
    <w:rsid w:val="00147B78"/>
    <w:rsid w:val="00150549"/>
    <w:rsid w:val="00150E59"/>
    <w:rsid w:val="00152DE3"/>
    <w:rsid w:val="00156166"/>
    <w:rsid w:val="00164CF9"/>
    <w:rsid w:val="001667A6"/>
    <w:rsid w:val="001714EB"/>
    <w:rsid w:val="001771F3"/>
    <w:rsid w:val="00183A95"/>
    <w:rsid w:val="0018493F"/>
    <w:rsid w:val="00184AD6"/>
    <w:rsid w:val="00185B64"/>
    <w:rsid w:val="001A39B0"/>
    <w:rsid w:val="001A4AF7"/>
    <w:rsid w:val="001B0349"/>
    <w:rsid w:val="001B1E93"/>
    <w:rsid w:val="001B40C3"/>
    <w:rsid w:val="001B65C1"/>
    <w:rsid w:val="001B68DD"/>
    <w:rsid w:val="001C684B"/>
    <w:rsid w:val="001C76B0"/>
    <w:rsid w:val="001D0CFB"/>
    <w:rsid w:val="001D21AF"/>
    <w:rsid w:val="001D53FC"/>
    <w:rsid w:val="001E4EE2"/>
    <w:rsid w:val="001F42A5"/>
    <w:rsid w:val="001F7B9D"/>
    <w:rsid w:val="001F7F35"/>
    <w:rsid w:val="00201C93"/>
    <w:rsid w:val="0020797D"/>
    <w:rsid w:val="00207D87"/>
    <w:rsid w:val="0022090F"/>
    <w:rsid w:val="0022243A"/>
    <w:rsid w:val="002224B4"/>
    <w:rsid w:val="002447EF"/>
    <w:rsid w:val="00245571"/>
    <w:rsid w:val="00251550"/>
    <w:rsid w:val="00253D59"/>
    <w:rsid w:val="00263B05"/>
    <w:rsid w:val="00266B4C"/>
    <w:rsid w:val="0027221A"/>
    <w:rsid w:val="00275B61"/>
    <w:rsid w:val="00280FAF"/>
    <w:rsid w:val="00281071"/>
    <w:rsid w:val="00282656"/>
    <w:rsid w:val="0028410B"/>
    <w:rsid w:val="002905CD"/>
    <w:rsid w:val="00295FF5"/>
    <w:rsid w:val="0029607C"/>
    <w:rsid w:val="00296B83"/>
    <w:rsid w:val="002A1750"/>
    <w:rsid w:val="002A5835"/>
    <w:rsid w:val="002B11AF"/>
    <w:rsid w:val="002B4015"/>
    <w:rsid w:val="002B78CE"/>
    <w:rsid w:val="002C2FB6"/>
    <w:rsid w:val="002D12E2"/>
    <w:rsid w:val="002D3E12"/>
    <w:rsid w:val="002D3F20"/>
    <w:rsid w:val="002E5230"/>
    <w:rsid w:val="002E5FA7"/>
    <w:rsid w:val="002E7C2A"/>
    <w:rsid w:val="002F3309"/>
    <w:rsid w:val="002F5AFD"/>
    <w:rsid w:val="002F712E"/>
    <w:rsid w:val="003008CE"/>
    <w:rsid w:val="003009B7"/>
    <w:rsid w:val="00300E56"/>
    <w:rsid w:val="0030152C"/>
    <w:rsid w:val="003032EF"/>
    <w:rsid w:val="0030469C"/>
    <w:rsid w:val="003051B9"/>
    <w:rsid w:val="003127E6"/>
    <w:rsid w:val="00315856"/>
    <w:rsid w:val="00321CA6"/>
    <w:rsid w:val="00323763"/>
    <w:rsid w:val="00323C5F"/>
    <w:rsid w:val="003312AE"/>
    <w:rsid w:val="00331FCD"/>
    <w:rsid w:val="00333C05"/>
    <w:rsid w:val="00334C09"/>
    <w:rsid w:val="00341DAC"/>
    <w:rsid w:val="003646F0"/>
    <w:rsid w:val="003723D4"/>
    <w:rsid w:val="00374F0E"/>
    <w:rsid w:val="00381905"/>
    <w:rsid w:val="003830BA"/>
    <w:rsid w:val="00384CC8"/>
    <w:rsid w:val="003851F3"/>
    <w:rsid w:val="00385B1D"/>
    <w:rsid w:val="003871FD"/>
    <w:rsid w:val="003956DE"/>
    <w:rsid w:val="003A1E30"/>
    <w:rsid w:val="003A2829"/>
    <w:rsid w:val="003A7D1C"/>
    <w:rsid w:val="003B1E4F"/>
    <w:rsid w:val="003B304B"/>
    <w:rsid w:val="003B3146"/>
    <w:rsid w:val="003C1E1E"/>
    <w:rsid w:val="003E008D"/>
    <w:rsid w:val="003E2B37"/>
    <w:rsid w:val="003E6C0F"/>
    <w:rsid w:val="003F015E"/>
    <w:rsid w:val="003F1D6A"/>
    <w:rsid w:val="003F204B"/>
    <w:rsid w:val="003F624D"/>
    <w:rsid w:val="00400414"/>
    <w:rsid w:val="004019FC"/>
    <w:rsid w:val="004055D6"/>
    <w:rsid w:val="0041446B"/>
    <w:rsid w:val="00420E9D"/>
    <w:rsid w:val="004278BA"/>
    <w:rsid w:val="00431D67"/>
    <w:rsid w:val="00432604"/>
    <w:rsid w:val="0044071E"/>
    <w:rsid w:val="0044329C"/>
    <w:rsid w:val="004440ED"/>
    <w:rsid w:val="004466DD"/>
    <w:rsid w:val="00453E24"/>
    <w:rsid w:val="00457456"/>
    <w:rsid w:val="004577FE"/>
    <w:rsid w:val="00457B9C"/>
    <w:rsid w:val="0046164A"/>
    <w:rsid w:val="004628D2"/>
    <w:rsid w:val="00462DCD"/>
    <w:rsid w:val="004648AD"/>
    <w:rsid w:val="004703A9"/>
    <w:rsid w:val="004760DE"/>
    <w:rsid w:val="004763D7"/>
    <w:rsid w:val="00477C04"/>
    <w:rsid w:val="0048101F"/>
    <w:rsid w:val="00481339"/>
    <w:rsid w:val="00486B80"/>
    <w:rsid w:val="00487E5A"/>
    <w:rsid w:val="0049363F"/>
    <w:rsid w:val="004A004E"/>
    <w:rsid w:val="004A0DA9"/>
    <w:rsid w:val="004A24CF"/>
    <w:rsid w:val="004B4D0B"/>
    <w:rsid w:val="004B6CD1"/>
    <w:rsid w:val="004B7FAF"/>
    <w:rsid w:val="004C03EE"/>
    <w:rsid w:val="004C3D1D"/>
    <w:rsid w:val="004C3D84"/>
    <w:rsid w:val="004C46FE"/>
    <w:rsid w:val="004C5EAB"/>
    <w:rsid w:val="004C7913"/>
    <w:rsid w:val="004D198E"/>
    <w:rsid w:val="004D482F"/>
    <w:rsid w:val="004E4DD6"/>
    <w:rsid w:val="004F1F14"/>
    <w:rsid w:val="004F3D42"/>
    <w:rsid w:val="004F49CD"/>
    <w:rsid w:val="004F5E36"/>
    <w:rsid w:val="004F7E0C"/>
    <w:rsid w:val="00504C2B"/>
    <w:rsid w:val="00507B47"/>
    <w:rsid w:val="00507BEF"/>
    <w:rsid w:val="00507CC9"/>
    <w:rsid w:val="005119A5"/>
    <w:rsid w:val="00513B69"/>
    <w:rsid w:val="00513ED9"/>
    <w:rsid w:val="005153D7"/>
    <w:rsid w:val="005278B7"/>
    <w:rsid w:val="00532016"/>
    <w:rsid w:val="005346C8"/>
    <w:rsid w:val="00540356"/>
    <w:rsid w:val="00543E7D"/>
    <w:rsid w:val="00547025"/>
    <w:rsid w:val="00547779"/>
    <w:rsid w:val="00547A68"/>
    <w:rsid w:val="0055074E"/>
    <w:rsid w:val="005531C9"/>
    <w:rsid w:val="00557E00"/>
    <w:rsid w:val="005625E3"/>
    <w:rsid w:val="00567934"/>
    <w:rsid w:val="00570C43"/>
    <w:rsid w:val="00571877"/>
    <w:rsid w:val="00573372"/>
    <w:rsid w:val="00583CE2"/>
    <w:rsid w:val="00591D01"/>
    <w:rsid w:val="005A0CF0"/>
    <w:rsid w:val="005B2110"/>
    <w:rsid w:val="005B61E6"/>
    <w:rsid w:val="005C77E1"/>
    <w:rsid w:val="005D668A"/>
    <w:rsid w:val="005D6A2F"/>
    <w:rsid w:val="005E1A82"/>
    <w:rsid w:val="005E72C6"/>
    <w:rsid w:val="005E794C"/>
    <w:rsid w:val="005E7DDB"/>
    <w:rsid w:val="005F0A28"/>
    <w:rsid w:val="005F0E5E"/>
    <w:rsid w:val="005F4684"/>
    <w:rsid w:val="005F59BD"/>
    <w:rsid w:val="005F7547"/>
    <w:rsid w:val="00600535"/>
    <w:rsid w:val="00603EE3"/>
    <w:rsid w:val="0060542C"/>
    <w:rsid w:val="00607545"/>
    <w:rsid w:val="00610CD6"/>
    <w:rsid w:val="00615919"/>
    <w:rsid w:val="00617E8A"/>
    <w:rsid w:val="00620DEE"/>
    <w:rsid w:val="00621F92"/>
    <w:rsid w:val="0062280A"/>
    <w:rsid w:val="00625639"/>
    <w:rsid w:val="00631B33"/>
    <w:rsid w:val="0064184D"/>
    <w:rsid w:val="006422CC"/>
    <w:rsid w:val="00645A60"/>
    <w:rsid w:val="00660E3E"/>
    <w:rsid w:val="00662895"/>
    <w:rsid w:val="00662C90"/>
    <w:rsid w:val="00662E74"/>
    <w:rsid w:val="006702CC"/>
    <w:rsid w:val="00680C23"/>
    <w:rsid w:val="00681460"/>
    <w:rsid w:val="00683636"/>
    <w:rsid w:val="006869FA"/>
    <w:rsid w:val="00687E5F"/>
    <w:rsid w:val="00691D1D"/>
    <w:rsid w:val="00693766"/>
    <w:rsid w:val="006958F1"/>
    <w:rsid w:val="006A3281"/>
    <w:rsid w:val="006B31E6"/>
    <w:rsid w:val="006B4888"/>
    <w:rsid w:val="006C2E45"/>
    <w:rsid w:val="006C359C"/>
    <w:rsid w:val="006C5579"/>
    <w:rsid w:val="006C6902"/>
    <w:rsid w:val="006C7A5A"/>
    <w:rsid w:val="006D6E8B"/>
    <w:rsid w:val="006D6E96"/>
    <w:rsid w:val="006E71D7"/>
    <w:rsid w:val="006E737D"/>
    <w:rsid w:val="00700B74"/>
    <w:rsid w:val="00707DD1"/>
    <w:rsid w:val="00713973"/>
    <w:rsid w:val="00717BFB"/>
    <w:rsid w:val="00720A24"/>
    <w:rsid w:val="00724955"/>
    <w:rsid w:val="00732386"/>
    <w:rsid w:val="0073514D"/>
    <w:rsid w:val="00742B4D"/>
    <w:rsid w:val="007447F3"/>
    <w:rsid w:val="0074576D"/>
    <w:rsid w:val="00747C5A"/>
    <w:rsid w:val="00750A83"/>
    <w:rsid w:val="00751A14"/>
    <w:rsid w:val="007530DD"/>
    <w:rsid w:val="0075499F"/>
    <w:rsid w:val="00764106"/>
    <w:rsid w:val="007661C8"/>
    <w:rsid w:val="0077098D"/>
    <w:rsid w:val="00775CEF"/>
    <w:rsid w:val="007931FA"/>
    <w:rsid w:val="007A3325"/>
    <w:rsid w:val="007A34A5"/>
    <w:rsid w:val="007A4861"/>
    <w:rsid w:val="007A5E3F"/>
    <w:rsid w:val="007A7A81"/>
    <w:rsid w:val="007A7BBA"/>
    <w:rsid w:val="007B0C50"/>
    <w:rsid w:val="007B1602"/>
    <w:rsid w:val="007B2046"/>
    <w:rsid w:val="007B48F9"/>
    <w:rsid w:val="007B7D11"/>
    <w:rsid w:val="007C1A43"/>
    <w:rsid w:val="007C4916"/>
    <w:rsid w:val="007C5AB1"/>
    <w:rsid w:val="007C6298"/>
    <w:rsid w:val="007D0951"/>
    <w:rsid w:val="007D5646"/>
    <w:rsid w:val="007E74E8"/>
    <w:rsid w:val="0080013E"/>
    <w:rsid w:val="00800C60"/>
    <w:rsid w:val="00813288"/>
    <w:rsid w:val="008168FC"/>
    <w:rsid w:val="0081729C"/>
    <w:rsid w:val="00824105"/>
    <w:rsid w:val="00830996"/>
    <w:rsid w:val="008345F1"/>
    <w:rsid w:val="00836B09"/>
    <w:rsid w:val="00841003"/>
    <w:rsid w:val="00841BE0"/>
    <w:rsid w:val="00844ED2"/>
    <w:rsid w:val="0084786A"/>
    <w:rsid w:val="00865B07"/>
    <w:rsid w:val="008663EB"/>
    <w:rsid w:val="008667EA"/>
    <w:rsid w:val="00872F68"/>
    <w:rsid w:val="0087637F"/>
    <w:rsid w:val="00890A09"/>
    <w:rsid w:val="00892AD5"/>
    <w:rsid w:val="008A0AC0"/>
    <w:rsid w:val="008A1512"/>
    <w:rsid w:val="008B36C8"/>
    <w:rsid w:val="008B5554"/>
    <w:rsid w:val="008C7456"/>
    <w:rsid w:val="008D32B9"/>
    <w:rsid w:val="008D433B"/>
    <w:rsid w:val="008D4A16"/>
    <w:rsid w:val="008E2308"/>
    <w:rsid w:val="008E566E"/>
    <w:rsid w:val="008E58F7"/>
    <w:rsid w:val="0090161A"/>
    <w:rsid w:val="00901EB6"/>
    <w:rsid w:val="00904C62"/>
    <w:rsid w:val="00922BA8"/>
    <w:rsid w:val="00924DAC"/>
    <w:rsid w:val="00926ADC"/>
    <w:rsid w:val="00927058"/>
    <w:rsid w:val="00936BBA"/>
    <w:rsid w:val="00942750"/>
    <w:rsid w:val="009450CE"/>
    <w:rsid w:val="009459BB"/>
    <w:rsid w:val="00946546"/>
    <w:rsid w:val="00947179"/>
    <w:rsid w:val="0095164B"/>
    <w:rsid w:val="00954090"/>
    <w:rsid w:val="00955090"/>
    <w:rsid w:val="009573E7"/>
    <w:rsid w:val="00963E05"/>
    <w:rsid w:val="00964A45"/>
    <w:rsid w:val="00967843"/>
    <w:rsid w:val="00967D54"/>
    <w:rsid w:val="00971028"/>
    <w:rsid w:val="009731F8"/>
    <w:rsid w:val="009759EC"/>
    <w:rsid w:val="00975F73"/>
    <w:rsid w:val="009924E0"/>
    <w:rsid w:val="00993B84"/>
    <w:rsid w:val="00996483"/>
    <w:rsid w:val="00996F5A"/>
    <w:rsid w:val="009B041A"/>
    <w:rsid w:val="009B2CDB"/>
    <w:rsid w:val="009B34AE"/>
    <w:rsid w:val="009B4DF0"/>
    <w:rsid w:val="009B574D"/>
    <w:rsid w:val="009B59EA"/>
    <w:rsid w:val="009B7D2A"/>
    <w:rsid w:val="009C14FA"/>
    <w:rsid w:val="009C2EFE"/>
    <w:rsid w:val="009C37C3"/>
    <w:rsid w:val="009C784A"/>
    <w:rsid w:val="009C7C86"/>
    <w:rsid w:val="009D2FF7"/>
    <w:rsid w:val="009D6237"/>
    <w:rsid w:val="009E7884"/>
    <w:rsid w:val="009E788A"/>
    <w:rsid w:val="009F0E08"/>
    <w:rsid w:val="009F126C"/>
    <w:rsid w:val="009F4E1A"/>
    <w:rsid w:val="00A0035F"/>
    <w:rsid w:val="00A06260"/>
    <w:rsid w:val="00A120EF"/>
    <w:rsid w:val="00A1763D"/>
    <w:rsid w:val="00A17CEC"/>
    <w:rsid w:val="00A27EF0"/>
    <w:rsid w:val="00A30E32"/>
    <w:rsid w:val="00A324D2"/>
    <w:rsid w:val="00A35609"/>
    <w:rsid w:val="00A42361"/>
    <w:rsid w:val="00A46F7D"/>
    <w:rsid w:val="00A50B20"/>
    <w:rsid w:val="00A51390"/>
    <w:rsid w:val="00A60421"/>
    <w:rsid w:val="00A60D13"/>
    <w:rsid w:val="00A70F48"/>
    <w:rsid w:val="00A714EF"/>
    <w:rsid w:val="00A7223D"/>
    <w:rsid w:val="00A72272"/>
    <w:rsid w:val="00A72745"/>
    <w:rsid w:val="00A7561E"/>
    <w:rsid w:val="00A76EFC"/>
    <w:rsid w:val="00A87D50"/>
    <w:rsid w:val="00A91010"/>
    <w:rsid w:val="00A97F29"/>
    <w:rsid w:val="00AA3AD9"/>
    <w:rsid w:val="00AA6E8B"/>
    <w:rsid w:val="00AA702E"/>
    <w:rsid w:val="00AA7D26"/>
    <w:rsid w:val="00AB0964"/>
    <w:rsid w:val="00AB5011"/>
    <w:rsid w:val="00AC35DA"/>
    <w:rsid w:val="00AC7368"/>
    <w:rsid w:val="00AD16B9"/>
    <w:rsid w:val="00AE093A"/>
    <w:rsid w:val="00AE1C68"/>
    <w:rsid w:val="00AE2BE8"/>
    <w:rsid w:val="00AE377D"/>
    <w:rsid w:val="00AF0EBA"/>
    <w:rsid w:val="00AF46C8"/>
    <w:rsid w:val="00B02C8A"/>
    <w:rsid w:val="00B04A36"/>
    <w:rsid w:val="00B059F7"/>
    <w:rsid w:val="00B066B0"/>
    <w:rsid w:val="00B10C46"/>
    <w:rsid w:val="00B17FBD"/>
    <w:rsid w:val="00B25CDF"/>
    <w:rsid w:val="00B27B76"/>
    <w:rsid w:val="00B315A6"/>
    <w:rsid w:val="00B31813"/>
    <w:rsid w:val="00B33365"/>
    <w:rsid w:val="00B34188"/>
    <w:rsid w:val="00B355DE"/>
    <w:rsid w:val="00B57B36"/>
    <w:rsid w:val="00B57E6F"/>
    <w:rsid w:val="00B642AA"/>
    <w:rsid w:val="00B66A6F"/>
    <w:rsid w:val="00B74553"/>
    <w:rsid w:val="00B75041"/>
    <w:rsid w:val="00B8686D"/>
    <w:rsid w:val="00B93F69"/>
    <w:rsid w:val="00B975F5"/>
    <w:rsid w:val="00BA4880"/>
    <w:rsid w:val="00BA658C"/>
    <w:rsid w:val="00BB1DDC"/>
    <w:rsid w:val="00BB7067"/>
    <w:rsid w:val="00BC30C9"/>
    <w:rsid w:val="00BD077D"/>
    <w:rsid w:val="00BD693F"/>
    <w:rsid w:val="00BE3E58"/>
    <w:rsid w:val="00BF35C0"/>
    <w:rsid w:val="00BF3BC0"/>
    <w:rsid w:val="00C00803"/>
    <w:rsid w:val="00C01616"/>
    <w:rsid w:val="00C0162B"/>
    <w:rsid w:val="00C0492C"/>
    <w:rsid w:val="00C049C2"/>
    <w:rsid w:val="00C05AB7"/>
    <w:rsid w:val="00C05D94"/>
    <w:rsid w:val="00C068ED"/>
    <w:rsid w:val="00C16278"/>
    <w:rsid w:val="00C17FD5"/>
    <w:rsid w:val="00C22E0C"/>
    <w:rsid w:val="00C24AF1"/>
    <w:rsid w:val="00C255F8"/>
    <w:rsid w:val="00C345B1"/>
    <w:rsid w:val="00C40142"/>
    <w:rsid w:val="00C52C3C"/>
    <w:rsid w:val="00C55C6A"/>
    <w:rsid w:val="00C57182"/>
    <w:rsid w:val="00C57863"/>
    <w:rsid w:val="00C60BFD"/>
    <w:rsid w:val="00C61294"/>
    <w:rsid w:val="00C640AF"/>
    <w:rsid w:val="00C655FD"/>
    <w:rsid w:val="00C66128"/>
    <w:rsid w:val="00C7075D"/>
    <w:rsid w:val="00C74BBC"/>
    <w:rsid w:val="00C75407"/>
    <w:rsid w:val="00C801FB"/>
    <w:rsid w:val="00C83D3D"/>
    <w:rsid w:val="00C841C6"/>
    <w:rsid w:val="00C86643"/>
    <w:rsid w:val="00C870A8"/>
    <w:rsid w:val="00C94434"/>
    <w:rsid w:val="00C958D0"/>
    <w:rsid w:val="00CA0D75"/>
    <w:rsid w:val="00CA19F1"/>
    <w:rsid w:val="00CA1C95"/>
    <w:rsid w:val="00CA53DD"/>
    <w:rsid w:val="00CA5A9C"/>
    <w:rsid w:val="00CB2C99"/>
    <w:rsid w:val="00CB351F"/>
    <w:rsid w:val="00CB4BCF"/>
    <w:rsid w:val="00CC0420"/>
    <w:rsid w:val="00CC131C"/>
    <w:rsid w:val="00CC4C20"/>
    <w:rsid w:val="00CC702D"/>
    <w:rsid w:val="00CC77D1"/>
    <w:rsid w:val="00CD3517"/>
    <w:rsid w:val="00CD5FE2"/>
    <w:rsid w:val="00CE3E4F"/>
    <w:rsid w:val="00CE4CBC"/>
    <w:rsid w:val="00CE7C68"/>
    <w:rsid w:val="00CF63F4"/>
    <w:rsid w:val="00D02B4C"/>
    <w:rsid w:val="00D040C4"/>
    <w:rsid w:val="00D0433C"/>
    <w:rsid w:val="00D10432"/>
    <w:rsid w:val="00D13755"/>
    <w:rsid w:val="00D20AD1"/>
    <w:rsid w:val="00D2582C"/>
    <w:rsid w:val="00D31600"/>
    <w:rsid w:val="00D372BF"/>
    <w:rsid w:val="00D46B7E"/>
    <w:rsid w:val="00D55CB6"/>
    <w:rsid w:val="00D57C84"/>
    <w:rsid w:val="00D6057D"/>
    <w:rsid w:val="00D65D80"/>
    <w:rsid w:val="00D67A08"/>
    <w:rsid w:val="00D71640"/>
    <w:rsid w:val="00D72172"/>
    <w:rsid w:val="00D73B7B"/>
    <w:rsid w:val="00D80AE9"/>
    <w:rsid w:val="00D836C5"/>
    <w:rsid w:val="00D84576"/>
    <w:rsid w:val="00D8694D"/>
    <w:rsid w:val="00D91E5A"/>
    <w:rsid w:val="00D92090"/>
    <w:rsid w:val="00DA0573"/>
    <w:rsid w:val="00DA1399"/>
    <w:rsid w:val="00DA217E"/>
    <w:rsid w:val="00DA24C6"/>
    <w:rsid w:val="00DA4D7B"/>
    <w:rsid w:val="00DC2C84"/>
    <w:rsid w:val="00DC537D"/>
    <w:rsid w:val="00DD271C"/>
    <w:rsid w:val="00DE264A"/>
    <w:rsid w:val="00DE4F11"/>
    <w:rsid w:val="00DE6048"/>
    <w:rsid w:val="00DF10DB"/>
    <w:rsid w:val="00DF5072"/>
    <w:rsid w:val="00E00816"/>
    <w:rsid w:val="00E026DE"/>
    <w:rsid w:val="00E02D18"/>
    <w:rsid w:val="00E041E7"/>
    <w:rsid w:val="00E0434E"/>
    <w:rsid w:val="00E10BAC"/>
    <w:rsid w:val="00E14CCF"/>
    <w:rsid w:val="00E23CA1"/>
    <w:rsid w:val="00E3102B"/>
    <w:rsid w:val="00E409A8"/>
    <w:rsid w:val="00E50C12"/>
    <w:rsid w:val="00E65B91"/>
    <w:rsid w:val="00E70D1C"/>
    <w:rsid w:val="00E7209D"/>
    <w:rsid w:val="00E72EAD"/>
    <w:rsid w:val="00E77223"/>
    <w:rsid w:val="00E80425"/>
    <w:rsid w:val="00E8055A"/>
    <w:rsid w:val="00E81AA2"/>
    <w:rsid w:val="00E8528B"/>
    <w:rsid w:val="00E85B94"/>
    <w:rsid w:val="00E91999"/>
    <w:rsid w:val="00E973BC"/>
    <w:rsid w:val="00E978D0"/>
    <w:rsid w:val="00EA11D7"/>
    <w:rsid w:val="00EA4613"/>
    <w:rsid w:val="00EA7F91"/>
    <w:rsid w:val="00EB1382"/>
    <w:rsid w:val="00EB1523"/>
    <w:rsid w:val="00EC0E49"/>
    <w:rsid w:val="00EC101F"/>
    <w:rsid w:val="00EC1D9F"/>
    <w:rsid w:val="00EE0131"/>
    <w:rsid w:val="00EE17B0"/>
    <w:rsid w:val="00EE1D65"/>
    <w:rsid w:val="00EF012C"/>
    <w:rsid w:val="00EF06D9"/>
    <w:rsid w:val="00F010FA"/>
    <w:rsid w:val="00F077D1"/>
    <w:rsid w:val="00F10ECB"/>
    <w:rsid w:val="00F25FFD"/>
    <w:rsid w:val="00F26C90"/>
    <w:rsid w:val="00F3049E"/>
    <w:rsid w:val="00F30C64"/>
    <w:rsid w:val="00F32BA2"/>
    <w:rsid w:val="00F32CDB"/>
    <w:rsid w:val="00F53261"/>
    <w:rsid w:val="00F55046"/>
    <w:rsid w:val="00F565FE"/>
    <w:rsid w:val="00F623F9"/>
    <w:rsid w:val="00F63A70"/>
    <w:rsid w:val="00F63D8C"/>
    <w:rsid w:val="00F6647F"/>
    <w:rsid w:val="00F66807"/>
    <w:rsid w:val="00F66828"/>
    <w:rsid w:val="00F7534E"/>
    <w:rsid w:val="00F75469"/>
    <w:rsid w:val="00F75CD0"/>
    <w:rsid w:val="00F8385C"/>
    <w:rsid w:val="00F93EDF"/>
    <w:rsid w:val="00FA1802"/>
    <w:rsid w:val="00FA21D0"/>
    <w:rsid w:val="00FA30CA"/>
    <w:rsid w:val="00FA5F5F"/>
    <w:rsid w:val="00FB04F5"/>
    <w:rsid w:val="00FB730C"/>
    <w:rsid w:val="00FB76B9"/>
    <w:rsid w:val="00FC22E3"/>
    <w:rsid w:val="00FC2695"/>
    <w:rsid w:val="00FC3E03"/>
    <w:rsid w:val="00FC3FC1"/>
    <w:rsid w:val="00FD6A8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B4BCF"/>
    <w:pPr>
      <w:keepNext/>
      <w:suppressAutoHyphens/>
      <w:spacing w:before="120" w:after="120" w:line="264" w:lineRule="auto"/>
      <w:jc w:val="both"/>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B4BCF"/>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4B7FAF"/>
    <w:rPr>
      <w:color w:val="605E5C"/>
      <w:shd w:val="clear" w:color="auto" w:fill="E1DFDD"/>
    </w:rPr>
  </w:style>
  <w:style w:type="character" w:styleId="Testosegnaposto">
    <w:name w:val="Placeholder Text"/>
    <w:basedOn w:val="Carpredefinitoparagrafo"/>
    <w:uiPriority w:val="99"/>
    <w:semiHidden/>
    <w:rsid w:val="00DA0573"/>
    <w:rPr>
      <w:color w:val="666666"/>
    </w:rPr>
  </w:style>
  <w:style w:type="paragraph" w:styleId="Revisione">
    <w:name w:val="Revision"/>
    <w:hidden/>
    <w:uiPriority w:val="99"/>
    <w:semiHidden/>
    <w:rsid w:val="00B7455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andrea.bassani@unicatt.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6</Pages>
  <Words>3508</Words>
  <Characters>20412</Characters>
  <Application>Microsoft Office Word</Application>
  <DocSecurity>0</DocSecurity>
  <Lines>499</Lines>
  <Paragraphs>275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Bassani Andrea (andrea.bassani)</cp:lastModifiedBy>
  <cp:revision>300</cp:revision>
  <cp:lastPrinted>2015-05-12T18:31:00Z</cp:lastPrinted>
  <dcterms:created xsi:type="dcterms:W3CDTF">2025-01-30T09:31:00Z</dcterms:created>
  <dcterms:modified xsi:type="dcterms:W3CDTF">2025-06-12T07:25:00Z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db4072cd-40ae-4a89-b60e-8c60e957dfab</vt:lpwstr>
  </property>
</Properties>
</file>