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72C97"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872C97" w:rsidRDefault="000A03B2" w:rsidP="00872C97">
            <w:pPr>
              <w:tabs>
                <w:tab w:val="left" w:pos="-108"/>
              </w:tabs>
              <w:ind w:left="-108"/>
              <w:jc w:val="left"/>
              <w:rPr>
                <w:rFonts w:cs="Arial"/>
                <w:b/>
                <w:bCs/>
                <w:i/>
                <w:iCs/>
                <w:color w:val="000066"/>
                <w:sz w:val="12"/>
                <w:szCs w:val="12"/>
                <w:lang w:eastAsia="it-IT"/>
              </w:rPr>
            </w:pPr>
            <w:r w:rsidRPr="00872C97">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72C97">
              <w:rPr>
                <w:rFonts w:ascii="AdvP6960" w:hAnsi="AdvP6960" w:cs="AdvP6960"/>
                <w:color w:val="241F20"/>
                <w:szCs w:val="18"/>
                <w:lang w:eastAsia="it-IT"/>
              </w:rPr>
              <w:t xml:space="preserve"> </w:t>
            </w:r>
            <w:r w:rsidRPr="00872C97">
              <w:rPr>
                <w:rFonts w:cs="Arial"/>
                <w:b/>
                <w:bCs/>
                <w:i/>
                <w:iCs/>
                <w:color w:val="000066"/>
                <w:sz w:val="24"/>
                <w:szCs w:val="24"/>
                <w:lang w:eastAsia="it-IT"/>
              </w:rPr>
              <w:t>CHEMICAL ENGINEERING</w:t>
            </w:r>
            <w:r w:rsidRPr="00872C97">
              <w:rPr>
                <w:rFonts w:cs="Arial"/>
                <w:b/>
                <w:bCs/>
                <w:i/>
                <w:iCs/>
                <w:color w:val="0033FF"/>
                <w:sz w:val="24"/>
                <w:szCs w:val="24"/>
                <w:lang w:eastAsia="it-IT"/>
              </w:rPr>
              <w:t xml:space="preserve"> </w:t>
            </w:r>
            <w:r w:rsidRPr="00872C97">
              <w:rPr>
                <w:rFonts w:cs="Arial"/>
                <w:b/>
                <w:bCs/>
                <w:i/>
                <w:iCs/>
                <w:color w:val="666666"/>
                <w:sz w:val="24"/>
                <w:szCs w:val="24"/>
                <w:lang w:eastAsia="it-IT"/>
              </w:rPr>
              <w:t>TRANSACTIONS</w:t>
            </w:r>
            <w:r w:rsidRPr="00872C97">
              <w:rPr>
                <w:color w:val="333333"/>
                <w:sz w:val="24"/>
                <w:szCs w:val="24"/>
                <w:lang w:eastAsia="it-IT"/>
              </w:rPr>
              <w:t xml:space="preserve"> </w:t>
            </w:r>
            <w:r w:rsidRPr="00872C97">
              <w:rPr>
                <w:rFonts w:cs="Arial"/>
                <w:b/>
                <w:bCs/>
                <w:i/>
                <w:iCs/>
                <w:color w:val="000066"/>
                <w:sz w:val="27"/>
                <w:szCs w:val="27"/>
                <w:lang w:eastAsia="it-IT"/>
              </w:rPr>
              <w:br/>
            </w:r>
          </w:p>
          <w:p w14:paraId="4B780582" w14:textId="0DAB3DDA" w:rsidR="000A03B2" w:rsidRPr="00872C97" w:rsidRDefault="00A76EFC" w:rsidP="00872C97">
            <w:pPr>
              <w:tabs>
                <w:tab w:val="left" w:pos="-108"/>
              </w:tabs>
              <w:ind w:left="-108"/>
              <w:rPr>
                <w:rFonts w:cs="Arial"/>
                <w:b/>
                <w:bCs/>
                <w:i/>
                <w:iCs/>
                <w:color w:val="000066"/>
                <w:sz w:val="22"/>
                <w:szCs w:val="22"/>
                <w:lang w:eastAsia="it-IT"/>
              </w:rPr>
            </w:pPr>
            <w:r w:rsidRPr="00872C97">
              <w:rPr>
                <w:rFonts w:cs="Arial"/>
                <w:b/>
                <w:bCs/>
                <w:i/>
                <w:iCs/>
                <w:color w:val="000066"/>
                <w:sz w:val="22"/>
                <w:szCs w:val="22"/>
                <w:lang w:eastAsia="it-IT"/>
              </w:rPr>
              <w:t xml:space="preserve">VOL. </w:t>
            </w:r>
            <w:r w:rsidR="0030152C" w:rsidRPr="00872C97">
              <w:rPr>
                <w:rFonts w:cs="Arial"/>
                <w:b/>
                <w:bCs/>
                <w:i/>
                <w:iCs/>
                <w:color w:val="000066"/>
                <w:sz w:val="22"/>
                <w:szCs w:val="22"/>
                <w:lang w:eastAsia="it-IT"/>
              </w:rPr>
              <w:t xml:space="preserve">   </w:t>
            </w:r>
            <w:r w:rsidR="007B48F9" w:rsidRPr="00872C97">
              <w:rPr>
                <w:rFonts w:cs="Arial"/>
                <w:b/>
                <w:bCs/>
                <w:i/>
                <w:iCs/>
                <w:color w:val="000066"/>
                <w:sz w:val="22"/>
                <w:szCs w:val="22"/>
                <w:lang w:eastAsia="it-IT"/>
              </w:rPr>
              <w:t>,</w:t>
            </w:r>
            <w:r w:rsidR="00FA5F5F" w:rsidRPr="00872C97">
              <w:rPr>
                <w:rFonts w:cs="Arial"/>
                <w:b/>
                <w:bCs/>
                <w:i/>
                <w:iCs/>
                <w:color w:val="000066"/>
                <w:sz w:val="22"/>
                <w:szCs w:val="22"/>
                <w:lang w:eastAsia="it-IT"/>
              </w:rPr>
              <w:t xml:space="preserve"> </w:t>
            </w:r>
            <w:r w:rsidR="0030152C" w:rsidRPr="00872C97">
              <w:rPr>
                <w:rFonts w:cs="Arial"/>
                <w:b/>
                <w:bCs/>
                <w:i/>
                <w:iCs/>
                <w:color w:val="000066"/>
                <w:sz w:val="22"/>
                <w:szCs w:val="22"/>
                <w:lang w:eastAsia="it-IT"/>
              </w:rPr>
              <w:t>202</w:t>
            </w:r>
            <w:r w:rsidR="00C24AF1" w:rsidRPr="00872C97">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872C97" w:rsidRDefault="000A03B2" w:rsidP="00872C97">
            <w:pPr>
              <w:spacing w:line="140" w:lineRule="atLeast"/>
              <w:jc w:val="right"/>
              <w:rPr>
                <w:rFonts w:cs="Arial"/>
                <w:sz w:val="14"/>
                <w:szCs w:val="14"/>
              </w:rPr>
            </w:pPr>
            <w:r w:rsidRPr="00872C97">
              <w:rPr>
                <w:rFonts w:cs="Arial"/>
                <w:sz w:val="14"/>
                <w:szCs w:val="14"/>
              </w:rPr>
              <w:t>A publication of</w:t>
            </w:r>
          </w:p>
          <w:p w14:paraId="599E5441" w14:textId="77777777" w:rsidR="000A03B2" w:rsidRPr="00872C97" w:rsidRDefault="000A03B2" w:rsidP="00872C97">
            <w:pPr>
              <w:jc w:val="right"/>
            </w:pPr>
            <w:r w:rsidRPr="00872C97">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72C97" w14:paraId="380FA3CD" w14:textId="77777777" w:rsidTr="00DE264A">
        <w:trPr>
          <w:trHeight w:val="567"/>
          <w:jc w:val="center"/>
        </w:trPr>
        <w:tc>
          <w:tcPr>
            <w:tcW w:w="6946" w:type="dxa"/>
            <w:vMerge/>
            <w:tcBorders>
              <w:right w:val="single" w:sz="4" w:space="0" w:color="auto"/>
            </w:tcBorders>
          </w:tcPr>
          <w:p w14:paraId="39E5E4C1" w14:textId="77777777" w:rsidR="000A03B2" w:rsidRPr="00872C97" w:rsidRDefault="000A03B2" w:rsidP="00872C97">
            <w:pPr>
              <w:tabs>
                <w:tab w:val="left" w:pos="-108"/>
              </w:tabs>
            </w:pPr>
          </w:p>
        </w:tc>
        <w:tc>
          <w:tcPr>
            <w:tcW w:w="1843" w:type="dxa"/>
            <w:tcBorders>
              <w:left w:val="single" w:sz="4" w:space="0" w:color="auto"/>
              <w:bottom w:val="nil"/>
              <w:right w:val="single" w:sz="4" w:space="0" w:color="auto"/>
            </w:tcBorders>
          </w:tcPr>
          <w:p w14:paraId="43858A98" w14:textId="77777777" w:rsidR="000A03B2" w:rsidRPr="00872C97" w:rsidRDefault="000A03B2" w:rsidP="00872C97">
            <w:pPr>
              <w:spacing w:line="140" w:lineRule="atLeast"/>
              <w:jc w:val="right"/>
              <w:rPr>
                <w:rFonts w:cs="Arial"/>
                <w:sz w:val="14"/>
                <w:szCs w:val="14"/>
              </w:rPr>
            </w:pPr>
            <w:r w:rsidRPr="00872C97">
              <w:rPr>
                <w:rFonts w:cs="Arial"/>
                <w:sz w:val="14"/>
                <w:szCs w:val="14"/>
              </w:rPr>
              <w:t>The Italian Association</w:t>
            </w:r>
          </w:p>
          <w:p w14:paraId="7522B1D2" w14:textId="77777777" w:rsidR="000A03B2" w:rsidRPr="00872C97" w:rsidRDefault="000A03B2" w:rsidP="00872C97">
            <w:pPr>
              <w:spacing w:line="140" w:lineRule="atLeast"/>
              <w:jc w:val="right"/>
              <w:rPr>
                <w:rFonts w:cs="Arial"/>
                <w:sz w:val="14"/>
                <w:szCs w:val="14"/>
              </w:rPr>
            </w:pPr>
            <w:r w:rsidRPr="00872C97">
              <w:rPr>
                <w:rFonts w:cs="Arial"/>
                <w:sz w:val="14"/>
                <w:szCs w:val="14"/>
              </w:rPr>
              <w:t>of Chemical Engineering</w:t>
            </w:r>
          </w:p>
          <w:p w14:paraId="4F0CC5DE" w14:textId="47FDB2FC" w:rsidR="000A03B2" w:rsidRPr="00872C97" w:rsidRDefault="000D0268" w:rsidP="00872C97">
            <w:pPr>
              <w:spacing w:line="140" w:lineRule="atLeast"/>
              <w:jc w:val="right"/>
              <w:rPr>
                <w:rFonts w:cs="Arial"/>
                <w:sz w:val="13"/>
                <w:szCs w:val="13"/>
              </w:rPr>
            </w:pPr>
            <w:r w:rsidRPr="00872C97">
              <w:rPr>
                <w:rFonts w:cs="Arial"/>
                <w:sz w:val="13"/>
                <w:szCs w:val="13"/>
              </w:rPr>
              <w:t>Online at www.cetjournal.it</w:t>
            </w:r>
          </w:p>
        </w:tc>
      </w:tr>
      <w:tr w:rsidR="000A03B2" w:rsidRPr="00872C97" w14:paraId="2D1B7169" w14:textId="77777777" w:rsidTr="00DE264A">
        <w:trPr>
          <w:trHeight w:val="68"/>
          <w:jc w:val="center"/>
        </w:trPr>
        <w:tc>
          <w:tcPr>
            <w:tcW w:w="8789" w:type="dxa"/>
            <w:gridSpan w:val="2"/>
          </w:tcPr>
          <w:p w14:paraId="1D8DD3C9" w14:textId="086598E2" w:rsidR="00AA7D26" w:rsidRPr="00872C97" w:rsidRDefault="00AA7D26" w:rsidP="00872C97">
            <w:pPr>
              <w:ind w:left="-107"/>
              <w:outlineLvl w:val="2"/>
              <w:rPr>
                <w:rFonts w:ascii="Tahoma" w:hAnsi="Tahoma" w:cs="Tahoma"/>
                <w:bCs/>
                <w:color w:val="000000"/>
                <w:sz w:val="14"/>
                <w:szCs w:val="14"/>
                <w:lang w:eastAsia="it-IT"/>
              </w:rPr>
            </w:pPr>
            <w:r w:rsidRPr="00872C97">
              <w:rPr>
                <w:rFonts w:ascii="Tahoma" w:hAnsi="Tahoma" w:cs="Tahoma"/>
                <w:iCs/>
                <w:color w:val="333333"/>
                <w:sz w:val="14"/>
                <w:szCs w:val="14"/>
                <w:lang w:eastAsia="it-IT"/>
              </w:rPr>
              <w:t>Guest Editors:</w:t>
            </w:r>
            <w:r w:rsidRPr="00872C97">
              <w:rPr>
                <w:rFonts w:ascii="Tahoma" w:hAnsi="Tahoma" w:cs="Tahoma"/>
                <w:color w:val="000000"/>
                <w:sz w:val="14"/>
                <w:szCs w:val="14"/>
                <w:shd w:val="clear" w:color="auto" w:fill="FFFFFF"/>
              </w:rPr>
              <w:t xml:space="preserve"> </w:t>
            </w:r>
          </w:p>
          <w:p w14:paraId="1B0F1814" w14:textId="7ED5C289" w:rsidR="000A03B2" w:rsidRPr="00872C97" w:rsidRDefault="00AA7D26" w:rsidP="00872C97">
            <w:pPr>
              <w:tabs>
                <w:tab w:val="left" w:pos="-108"/>
              </w:tabs>
              <w:spacing w:line="140" w:lineRule="atLeast"/>
              <w:ind w:left="-107"/>
              <w:jc w:val="left"/>
            </w:pPr>
            <w:r w:rsidRPr="00872C97">
              <w:rPr>
                <w:rFonts w:ascii="Tahoma" w:hAnsi="Tahoma" w:cs="Tahoma"/>
                <w:iCs/>
                <w:color w:val="333333"/>
                <w:sz w:val="14"/>
                <w:szCs w:val="14"/>
                <w:lang w:eastAsia="it-IT"/>
              </w:rPr>
              <w:t>Copyright © 202</w:t>
            </w:r>
            <w:r w:rsidR="00C24AF1" w:rsidRPr="00872C97">
              <w:rPr>
                <w:rFonts w:ascii="Tahoma" w:hAnsi="Tahoma" w:cs="Tahoma"/>
                <w:iCs/>
                <w:color w:val="333333"/>
                <w:sz w:val="14"/>
                <w:szCs w:val="14"/>
                <w:lang w:eastAsia="it-IT"/>
              </w:rPr>
              <w:t>5</w:t>
            </w:r>
            <w:r w:rsidRPr="00872C97">
              <w:rPr>
                <w:rFonts w:ascii="Tahoma" w:hAnsi="Tahoma" w:cs="Tahoma"/>
                <w:iCs/>
                <w:color w:val="333333"/>
                <w:sz w:val="14"/>
                <w:szCs w:val="14"/>
                <w:lang w:eastAsia="it-IT"/>
              </w:rPr>
              <w:t>, AIDIC Servizi S.r.l.</w:t>
            </w:r>
            <w:r w:rsidRPr="00872C97">
              <w:rPr>
                <w:rFonts w:ascii="Tahoma" w:hAnsi="Tahoma" w:cs="Tahoma"/>
                <w:iCs/>
                <w:color w:val="333333"/>
                <w:sz w:val="14"/>
                <w:szCs w:val="14"/>
                <w:lang w:eastAsia="it-IT"/>
              </w:rPr>
              <w:br/>
            </w:r>
            <w:r w:rsidRPr="00872C97">
              <w:rPr>
                <w:rFonts w:ascii="Tahoma" w:hAnsi="Tahoma" w:cs="Tahoma"/>
                <w:b/>
                <w:iCs/>
                <w:color w:val="000000"/>
                <w:sz w:val="14"/>
                <w:szCs w:val="14"/>
                <w:lang w:eastAsia="it-IT"/>
              </w:rPr>
              <w:t>ISBN</w:t>
            </w:r>
            <w:r w:rsidRPr="00872C97">
              <w:rPr>
                <w:rFonts w:ascii="Tahoma" w:hAnsi="Tahoma" w:cs="Tahoma"/>
                <w:iCs/>
                <w:color w:val="000000"/>
                <w:sz w:val="14"/>
                <w:szCs w:val="14"/>
                <w:lang w:eastAsia="it-IT"/>
              </w:rPr>
              <w:t xml:space="preserve"> </w:t>
            </w:r>
            <w:r w:rsidR="00D2582C" w:rsidRPr="00872C97">
              <w:rPr>
                <w:rFonts w:ascii="Tahoma" w:hAnsi="Tahoma" w:cs="Tahoma"/>
                <w:sz w:val="14"/>
                <w:szCs w:val="14"/>
              </w:rPr>
              <w:t>979-12-81206-</w:t>
            </w:r>
            <w:r w:rsidR="003312AE" w:rsidRPr="00872C97">
              <w:rPr>
                <w:rFonts w:ascii="Tahoma" w:hAnsi="Tahoma" w:cs="Tahoma"/>
                <w:sz w:val="14"/>
                <w:szCs w:val="14"/>
              </w:rPr>
              <w:t>19</w:t>
            </w:r>
            <w:r w:rsidR="00D2582C" w:rsidRPr="00872C97">
              <w:rPr>
                <w:rFonts w:ascii="Tahoma" w:hAnsi="Tahoma" w:cs="Tahoma"/>
                <w:sz w:val="14"/>
                <w:szCs w:val="14"/>
              </w:rPr>
              <w:t>-</w:t>
            </w:r>
            <w:r w:rsidR="003312AE" w:rsidRPr="00872C97">
              <w:rPr>
                <w:rFonts w:ascii="Tahoma" w:hAnsi="Tahoma" w:cs="Tahoma"/>
                <w:sz w:val="14"/>
                <w:szCs w:val="14"/>
              </w:rPr>
              <w:t>9</w:t>
            </w:r>
            <w:r w:rsidRPr="00872C97">
              <w:rPr>
                <w:rFonts w:ascii="Tahoma" w:hAnsi="Tahoma" w:cs="Tahoma"/>
                <w:iCs/>
                <w:color w:val="333333"/>
                <w:sz w:val="14"/>
                <w:szCs w:val="14"/>
                <w:lang w:eastAsia="it-IT"/>
              </w:rPr>
              <w:t xml:space="preserve">; </w:t>
            </w:r>
            <w:r w:rsidRPr="00872C97">
              <w:rPr>
                <w:rFonts w:ascii="Tahoma" w:hAnsi="Tahoma" w:cs="Tahoma"/>
                <w:b/>
                <w:iCs/>
                <w:color w:val="333333"/>
                <w:sz w:val="14"/>
                <w:szCs w:val="14"/>
                <w:lang w:eastAsia="it-IT"/>
              </w:rPr>
              <w:t>ISSN</w:t>
            </w:r>
            <w:r w:rsidRPr="00872C97">
              <w:rPr>
                <w:rFonts w:ascii="Tahoma" w:hAnsi="Tahoma" w:cs="Tahoma"/>
                <w:iCs/>
                <w:color w:val="333333"/>
                <w:sz w:val="14"/>
                <w:szCs w:val="14"/>
                <w:lang w:eastAsia="it-IT"/>
              </w:rPr>
              <w:t xml:space="preserve"> 2283-9216</w:t>
            </w:r>
          </w:p>
        </w:tc>
      </w:tr>
    </w:tbl>
    <w:p w14:paraId="2E667253" w14:textId="7D406938" w:rsidR="00E978D0" w:rsidRPr="00872C97" w:rsidRDefault="006273D2" w:rsidP="00872C97">
      <w:pPr>
        <w:pStyle w:val="CETTitle"/>
      </w:pPr>
      <w:r w:rsidRPr="00872C97">
        <w:t xml:space="preserve">High </w:t>
      </w:r>
      <w:r w:rsidR="00600535" w:rsidRPr="00872C97">
        <w:t>P</w:t>
      </w:r>
      <w:r w:rsidRPr="00872C97">
        <w:t>ressure</w:t>
      </w:r>
      <w:r w:rsidR="00600535" w:rsidRPr="00872C97">
        <w:t xml:space="preserve"> </w:t>
      </w:r>
      <w:r w:rsidRPr="00872C97">
        <w:t>Processing</w:t>
      </w:r>
      <w:r w:rsidR="00600535" w:rsidRPr="00872C97">
        <w:t xml:space="preserve"> </w:t>
      </w:r>
      <w:r w:rsidRPr="00872C97">
        <w:t>(HPP)</w:t>
      </w:r>
      <w:r w:rsidR="00600535" w:rsidRPr="00872C97">
        <w:t xml:space="preserve"> </w:t>
      </w:r>
      <w:r w:rsidRPr="00872C97">
        <w:t>Applied on</w:t>
      </w:r>
      <w:r w:rsidR="00600535" w:rsidRPr="00872C97">
        <w:t xml:space="preserve"> </w:t>
      </w:r>
      <w:r w:rsidRPr="00872C97">
        <w:t>the</w:t>
      </w:r>
      <w:r w:rsidR="00600535" w:rsidRPr="00872C97">
        <w:t xml:space="preserve"> </w:t>
      </w:r>
      <w:r w:rsidRPr="00872C97">
        <w:t>Production and Stabilization of Sicilian Artisanal Gelato Mixture</w:t>
      </w:r>
    </w:p>
    <w:p w14:paraId="0488FED2" w14:textId="133C595E" w:rsidR="00B57E6F" w:rsidRPr="00872C97" w:rsidRDefault="006273D2" w:rsidP="00872C97">
      <w:pPr>
        <w:pStyle w:val="CETAuthors"/>
        <w:rPr>
          <w:lang w:val="it-IT"/>
        </w:rPr>
      </w:pPr>
      <w:r w:rsidRPr="00872C97">
        <w:rPr>
          <w:lang w:val="it-IT"/>
        </w:rPr>
        <w:t>Federica Torregrossa</w:t>
      </w:r>
      <w:r w:rsidR="00B57E6F" w:rsidRPr="00872C97">
        <w:rPr>
          <w:vertAlign w:val="superscript"/>
          <w:lang w:val="it-IT"/>
        </w:rPr>
        <w:t>a</w:t>
      </w:r>
      <w:r w:rsidR="00B57E6F" w:rsidRPr="00872C97">
        <w:rPr>
          <w:lang w:val="it-IT"/>
        </w:rPr>
        <w:t xml:space="preserve">*, </w:t>
      </w:r>
      <w:r w:rsidRPr="00872C97">
        <w:rPr>
          <w:lang w:val="it-IT"/>
        </w:rPr>
        <w:t>Luciano Cinquanta</w:t>
      </w:r>
      <w:r w:rsidRPr="00872C97">
        <w:rPr>
          <w:vertAlign w:val="superscript"/>
          <w:lang w:val="it-IT"/>
        </w:rPr>
        <w:t>a</w:t>
      </w:r>
      <w:r w:rsidRPr="00872C97">
        <w:rPr>
          <w:lang w:val="it-IT"/>
        </w:rPr>
        <w:t>, Monica Di Maria</w:t>
      </w:r>
      <w:r w:rsidRPr="00872C97">
        <w:rPr>
          <w:vertAlign w:val="superscript"/>
          <w:lang w:val="it-IT"/>
        </w:rPr>
        <w:t>a</w:t>
      </w:r>
      <w:r w:rsidRPr="00872C97">
        <w:rPr>
          <w:lang w:val="it-IT"/>
        </w:rPr>
        <w:t>, Matteo Pollon</w:t>
      </w:r>
      <w:r w:rsidRPr="00872C97">
        <w:rPr>
          <w:vertAlign w:val="superscript"/>
          <w:lang w:val="it-IT"/>
        </w:rPr>
        <w:t>a</w:t>
      </w:r>
      <w:r w:rsidRPr="00872C97">
        <w:rPr>
          <w:lang w:val="it-IT"/>
        </w:rPr>
        <w:t>, Giuliana Garofalo</w:t>
      </w:r>
      <w:r w:rsidRPr="00872C97">
        <w:rPr>
          <w:vertAlign w:val="superscript"/>
          <w:lang w:val="it-IT"/>
        </w:rPr>
        <w:t>a</w:t>
      </w:r>
      <w:r w:rsidR="00B462BD" w:rsidRPr="00872C97">
        <w:rPr>
          <w:lang w:val="it-IT"/>
        </w:rPr>
        <w:t>, Raimondo Gaglio</w:t>
      </w:r>
      <w:r w:rsidR="00B462BD" w:rsidRPr="00872C97">
        <w:rPr>
          <w:vertAlign w:val="superscript"/>
          <w:lang w:val="it-IT"/>
        </w:rPr>
        <w:t>a</w:t>
      </w:r>
      <w:r w:rsidRPr="00872C97">
        <w:rPr>
          <w:lang w:val="it-IT"/>
        </w:rPr>
        <w:t>, Diego Planeta</w:t>
      </w:r>
      <w:r w:rsidRPr="00872C97">
        <w:rPr>
          <w:vertAlign w:val="superscript"/>
          <w:lang w:val="it-IT"/>
        </w:rPr>
        <w:t>a</w:t>
      </w:r>
      <w:r w:rsidR="00B5538C" w:rsidRPr="00872C97">
        <w:rPr>
          <w:lang w:val="it-IT"/>
        </w:rPr>
        <w:t>.</w:t>
      </w:r>
    </w:p>
    <w:p w14:paraId="6B2D21B3" w14:textId="19CE74E5" w:rsidR="00B57E6F" w:rsidRPr="00872C97" w:rsidRDefault="00B57E6F" w:rsidP="00872C97">
      <w:pPr>
        <w:pStyle w:val="CETAddress"/>
      </w:pPr>
      <w:r w:rsidRPr="00872C97">
        <w:rPr>
          <w:vertAlign w:val="superscript"/>
        </w:rPr>
        <w:t>a</w:t>
      </w:r>
      <w:r w:rsidR="006273D2" w:rsidRPr="00872C97">
        <w:t>University of Palermo, Department of Agricultural Forestry and Food</w:t>
      </w:r>
      <w:r w:rsidRPr="00872C97">
        <w:t xml:space="preserve"> </w:t>
      </w:r>
      <w:r w:rsidR="006273D2" w:rsidRPr="00872C97">
        <w:t>Sciences, Palermo.</w:t>
      </w:r>
    </w:p>
    <w:p w14:paraId="325C1225" w14:textId="014DB825" w:rsidR="00681460" w:rsidRPr="00872C97" w:rsidRDefault="00B5538C" w:rsidP="00872C97">
      <w:pPr>
        <w:pStyle w:val="CETemail"/>
      </w:pPr>
      <w:r w:rsidRPr="00872C97">
        <w:t>f</w:t>
      </w:r>
      <w:r w:rsidR="006273D2" w:rsidRPr="00872C97">
        <w:t>ederica.torregrossa01@unipa.it</w:t>
      </w:r>
      <w:r w:rsidR="00681460" w:rsidRPr="00872C97">
        <w:t xml:space="preserve"> </w:t>
      </w:r>
    </w:p>
    <w:p w14:paraId="780395BF" w14:textId="7D2CA3A6" w:rsidR="009D70C2" w:rsidRPr="00872C97" w:rsidRDefault="007808DC" w:rsidP="00872C97">
      <w:bookmarkStart w:id="0" w:name="_Hlk199860548"/>
      <w:r w:rsidRPr="00872C97">
        <w:t xml:space="preserve">In this study High Pressure Processing </w:t>
      </w:r>
      <w:r w:rsidR="00201AE1" w:rsidRPr="00872C97">
        <w:t xml:space="preserve">(HPP) </w:t>
      </w:r>
      <w:r w:rsidRPr="00872C97">
        <w:t xml:space="preserve">was applied on mango gelato mixtures to evaluate the possible application as a </w:t>
      </w:r>
      <w:r w:rsidR="00BD3B2D" w:rsidRPr="00872C97">
        <w:t>pasteurization method</w:t>
      </w:r>
      <w:r w:rsidRPr="00872C97">
        <w:t xml:space="preserve"> to prolong shelf life of </w:t>
      </w:r>
      <w:r w:rsidR="00FC3596" w:rsidRPr="00872C97">
        <w:t>gelato</w:t>
      </w:r>
      <w:r w:rsidRPr="00872C97">
        <w:t xml:space="preserve">. </w:t>
      </w:r>
      <w:r w:rsidR="009D70C2" w:rsidRPr="00872C97">
        <w:t>Microbiological analysis revealed that HPP treatment inhibited the growth of the main spoilage and pathogenic microorganisms throughout the entire storage period.</w:t>
      </w:r>
      <w:r w:rsidR="009E7C47" w:rsidRPr="00872C97">
        <w:t xml:space="preserve"> By a sensory point of view, is not per</w:t>
      </w:r>
      <w:r w:rsidR="003E37F1" w:rsidRPr="00872C97">
        <w:t>ceivable the difference between the experimental treated sample and the control untreated sample</w:t>
      </w:r>
      <w:r w:rsidR="00201AE1" w:rsidRPr="00872C97">
        <w:t>.</w:t>
      </w:r>
      <w:r w:rsidR="00EC4B97" w:rsidRPr="00872C97">
        <w:t xml:space="preserve"> Regarding the flavo</w:t>
      </w:r>
      <w:r w:rsidR="00822830" w:rsidRPr="00872C97">
        <w:t>u</w:t>
      </w:r>
      <w:r w:rsidR="00EC4B97" w:rsidRPr="00872C97">
        <w:t xml:space="preserve">r profile, organic acids and alcohols were significantly reduced after 15 days of storage, while terpenes decreased after treatment and were more stable during the storage period. </w:t>
      </w:r>
      <w:r w:rsidR="00201AE1" w:rsidRPr="00872C97">
        <w:t>HPP can be a</w:t>
      </w:r>
      <w:r w:rsidR="00D04515" w:rsidRPr="00872C97">
        <w:t>n</w:t>
      </w:r>
      <w:r w:rsidR="00201AE1" w:rsidRPr="00872C97">
        <w:t xml:space="preserve"> applicable solution to optimize </w:t>
      </w:r>
      <w:r w:rsidR="00FC3596" w:rsidRPr="00872C97">
        <w:t>gelato</w:t>
      </w:r>
      <w:r w:rsidR="00201AE1" w:rsidRPr="00872C97">
        <w:t xml:space="preserve"> production and prolong shelf life of mango gelato mixture.</w:t>
      </w:r>
    </w:p>
    <w:p w14:paraId="476B2F2E" w14:textId="77777777" w:rsidR="00600535" w:rsidRPr="00872C97" w:rsidRDefault="00600535" w:rsidP="00872C97">
      <w:pPr>
        <w:pStyle w:val="CETHeading1"/>
        <w:rPr>
          <w:lang w:val="en-GB"/>
        </w:rPr>
      </w:pPr>
      <w:r w:rsidRPr="00872C97">
        <w:rPr>
          <w:lang w:val="en-GB"/>
        </w:rPr>
        <w:t>Introduction</w:t>
      </w:r>
    </w:p>
    <w:p w14:paraId="0537F377" w14:textId="6AD1DC87" w:rsidR="00A16B5B" w:rsidRPr="00872C97" w:rsidRDefault="00FC3596" w:rsidP="00872C97">
      <w:pPr>
        <w:pStyle w:val="CETBodytext"/>
        <w:rPr>
          <w:lang w:val="en-GB"/>
        </w:rPr>
      </w:pPr>
      <w:r w:rsidRPr="00872C97">
        <w:rPr>
          <w:lang w:val="en-GB"/>
        </w:rPr>
        <w:t>Gelato</w:t>
      </w:r>
      <w:r w:rsidR="00A16B5B" w:rsidRPr="00872C97">
        <w:rPr>
          <w:lang w:val="en-GB"/>
        </w:rPr>
        <w:t xml:space="preserve"> is a worldwide spread product, due to its sweetness and refreshing sensation (Bahram-Parvar, 2015). </w:t>
      </w:r>
    </w:p>
    <w:p w14:paraId="77755E4B" w14:textId="1BC7FC4C" w:rsidR="00E977A0" w:rsidRPr="00872C97" w:rsidRDefault="00A16B5B" w:rsidP="00872C97">
      <w:pPr>
        <w:pStyle w:val="CETBodytext"/>
        <w:rPr>
          <w:lang w:val="en-GB"/>
        </w:rPr>
      </w:pPr>
      <w:r w:rsidRPr="00872C97">
        <w:rPr>
          <w:lang w:val="en-GB"/>
        </w:rPr>
        <w:t xml:space="preserve">Italian style gelato differs from the worldwide spreader </w:t>
      </w:r>
      <w:r w:rsidR="00FC3596" w:rsidRPr="00872C97">
        <w:rPr>
          <w:lang w:val="en-GB"/>
        </w:rPr>
        <w:t>gelato</w:t>
      </w:r>
      <w:r w:rsidRPr="00872C97">
        <w:rPr>
          <w:lang w:val="en-GB"/>
        </w:rPr>
        <w:t xml:space="preserve">: it can be distinguished in </w:t>
      </w:r>
      <w:r w:rsidR="00FE1A25" w:rsidRPr="00872C97">
        <w:rPr>
          <w:lang w:val="en-GB"/>
        </w:rPr>
        <w:t xml:space="preserve">ice </w:t>
      </w:r>
      <w:r w:rsidRPr="00872C97">
        <w:rPr>
          <w:lang w:val="en-GB"/>
        </w:rPr>
        <w:t>creams, sorbets and granitas (Planeta et al., 2020) based on the composition and the production process.</w:t>
      </w:r>
      <w:r w:rsidR="00E1589B" w:rsidRPr="00872C97">
        <w:rPr>
          <w:lang w:val="en-GB"/>
        </w:rPr>
        <w:t xml:space="preserve"> D</w:t>
      </w:r>
      <w:r w:rsidRPr="00872C97">
        <w:rPr>
          <w:lang w:val="en-GB"/>
        </w:rPr>
        <w:t xml:space="preserve">ifferences may be evident </w:t>
      </w:r>
      <w:r w:rsidR="00E1589B" w:rsidRPr="00872C97">
        <w:rPr>
          <w:lang w:val="en-GB"/>
        </w:rPr>
        <w:t xml:space="preserve">between industrial and artisanal product </w:t>
      </w:r>
      <w:r w:rsidRPr="00872C97">
        <w:rPr>
          <w:lang w:val="en-GB"/>
        </w:rPr>
        <w:t>because of the lower fat content, the lower overrun and a significant reduction of the use of stabilizers and emulsifiers (Sacchi et al., 2019). Furthermore, artisanal gelato is generally flavoured by raw materials instead of flavouring additives (Rinaldi et al., 2014). From a larger scale point of view, it</w:t>
      </w:r>
      <w:r w:rsidR="00E1589B" w:rsidRPr="00872C97">
        <w:rPr>
          <w:lang w:val="en-GB"/>
        </w:rPr>
        <w:t xml:space="preserve"> i</w:t>
      </w:r>
      <w:r w:rsidRPr="00872C97">
        <w:rPr>
          <w:lang w:val="en-GB"/>
        </w:rPr>
        <w:t xml:space="preserve">s important to find new alternative solutions able to prolong the shelf life of the gelato mixtures to increase the productivity of artisanal processes while maintaining </w:t>
      </w:r>
      <w:r w:rsidR="00E977A0" w:rsidRPr="00872C97">
        <w:rPr>
          <w:lang w:val="en-GB"/>
        </w:rPr>
        <w:t xml:space="preserve">longer </w:t>
      </w:r>
      <w:r w:rsidRPr="00872C97">
        <w:rPr>
          <w:lang w:val="en-GB"/>
        </w:rPr>
        <w:t>the characteristics of the final product from a qualitative perspective</w:t>
      </w:r>
      <w:r w:rsidR="00E977A0" w:rsidRPr="00872C97">
        <w:rPr>
          <w:lang w:val="en-GB"/>
        </w:rPr>
        <w:t>, since the mandatory thermal pasteurization allows the survival of microbial species, capable of altering the above mixture</w:t>
      </w:r>
      <w:r w:rsidRPr="00872C97">
        <w:rPr>
          <w:lang w:val="en-GB"/>
        </w:rPr>
        <w:t xml:space="preserve">. </w:t>
      </w:r>
      <w:r w:rsidR="00F93F22" w:rsidRPr="00872C97">
        <w:rPr>
          <w:lang w:val="en-GB"/>
        </w:rPr>
        <w:t xml:space="preserve">Novel cold pasteurization techniques have been extensively researched to enhance food safety and longevity without affecting organoleptic properties </w:t>
      </w:r>
      <w:r w:rsidR="00EB1483" w:rsidRPr="00872C97">
        <w:rPr>
          <w:lang w:val="en-GB"/>
        </w:rPr>
        <w:fldChar w:fldCharType="begin" w:fldLock="1"/>
      </w:r>
      <w:r w:rsidR="00774FF0" w:rsidRPr="00872C97">
        <w:rPr>
          <w:lang w:val="en-GB"/>
        </w:rPr>
        <w:instrText>ADDIN CSL_CITATION {"citationItems":[{"id":"ITEM-1","itemData":{"DOI":"10.3303/CET23102025","ISBN":"9791281206014","ISSN":"22839216","abstract":"During the last decades, supercritical carbon dioxide (scCO2) pasteurization has been intensively studied as a potential technology to increase the safety and shelf-life of fresh food. However, the high risk of post-process contamination still represents a barrier to its industrialization. This study reports a proof of concept study in order to demonstrate the applicability of a novel method that combines scCO2 and Modified Atmosphere Packaging (MAP) for fresh-cut potatoes. The process was investigated by a full-factorial design of experiment, studying the effect of temperature (35 - 45 °C), pressure (8 - 12 MPa), and treatment time (5 - 35 min) on the microbial inactivation of E. coli and the color of the processed product. Th</w:instrText>
      </w:r>
      <w:r w:rsidR="00774FF0" w:rsidRPr="003E3423">
        <w:rPr>
          <w:lang w:val="en-GB"/>
        </w:rPr>
        <w:instrText>e method was able to reduce up to 1.50 Log CFU/g the load of inoculated E. coli at 45°C, 8.0 MPa and 35 min, without excessively modifying the product color. Moreover, the color did not significantly change during storage at 4 °C for 7 days.","author":[{"dropping-particle":"","family":"Zulli","given":"Riccardo","non-dropping-particle":"","parse-names":false,"suffix":""},{"dropping-particle":"","family":"Santi","given":"Fabio","non-dropping-particle":"","parse-names":false,"suffix":""},{"dropping-particle":"","family":"Andrigo","given":"Pietro","non-dropping-particle":"","parse-names":false,"suffix":""},{"dropping-particle":"","family":"Zambon","given":"Alessandro","non-dropping-particle":"","parse-names":false,"suffix":""},{"dropping-particle":"","family":"Spilimbergo","given":"Sara","non-dropping-particle":"","parse-names":false,"suffix":""}],"container-title":"Chemical Engineering Transactions","id":"ITEM-1","issue":"July","issued":{"date-parts":[["2023"]]},"page":"145-150","title":"Supercritical C</w:instrText>
      </w:r>
      <w:r w:rsidR="00774FF0" w:rsidRPr="00872C97">
        <w:rPr>
          <w:lang w:val="nl-NL"/>
        </w:rPr>
        <w:instrText>O2 Pasteurization of Solid Products: a Case Study on Fresh-cut Potatoes","type":"article-journal","volume":"102"},"uris":["http://www.mendeley.com/documents/?uuid=4a55c372-e20d-4b16-b57e-a870a803b6b7"]}],"mendeley":{"formattedCitation":"(Zulli et al., 2023)","plainTextFormattedCitation":"(Zulli et al., 2023)","previouslyFormattedCitation":"(Zulli et al., 2023)"},"properties":{"noteIndex":0},"schema":"https://github.com/citation-style-language/schema/raw/master/csl-citation.json"}</w:instrText>
      </w:r>
      <w:r w:rsidR="00EB1483" w:rsidRPr="00872C97">
        <w:rPr>
          <w:lang w:val="en-GB"/>
        </w:rPr>
        <w:fldChar w:fldCharType="separate"/>
      </w:r>
      <w:r w:rsidR="00EB1483" w:rsidRPr="00872C97">
        <w:rPr>
          <w:noProof/>
          <w:lang w:val="nl-NL"/>
        </w:rPr>
        <w:t>(Zulli et al., 2023)</w:t>
      </w:r>
      <w:r w:rsidR="00EB1483" w:rsidRPr="00872C97">
        <w:rPr>
          <w:lang w:val="en-GB"/>
        </w:rPr>
        <w:fldChar w:fldCharType="end"/>
      </w:r>
      <w:r w:rsidR="00774FF0" w:rsidRPr="00872C97">
        <w:rPr>
          <w:lang w:val="nl-NL"/>
        </w:rPr>
        <w:t xml:space="preserve"> </w:t>
      </w:r>
      <w:r w:rsidR="00774FF0" w:rsidRPr="00872C97">
        <w:rPr>
          <w:lang w:val="en-GB"/>
        </w:rPr>
        <w:fldChar w:fldCharType="begin" w:fldLock="1"/>
      </w:r>
      <w:r w:rsidR="00774FF0" w:rsidRPr="00872C97">
        <w:rPr>
          <w:lang w:val="nl-NL"/>
        </w:rPr>
        <w:instrText>ADDIN CSL_CITATION {"citationItems":[{"id":"ITEM-1","itemData":{"DOI":"10.3303/CET1439284","ISBN":"9788895608303","ISSN":"22839216","abstract":"Thermal pasteurization is a technique widely utilized in the industry to reduce the microbial content of foods and increase their shelf life. The food pasteurization is commonly carried out in continuous process where the food undergoes to a rapid heating and a subsequent cooling with high heat transfer coefficients in order to reduce the degradation of main constituents like proteins and vitamins, and keeping almost unchanged the food organoleptic properties. Continuous pasteurization processes are commonly used to treat creams, tomato sauce, fruit juice, as well as products with solid particles or pieces like soups or baby foods. In such cases, the presence of dispersed large particles in the fluid can causes issues in the correct process setup. Indeed, the process setup must assure the pasteurization condition in the overall product food, included the centre of the particles. Here the heat penetrates by conduction and usually it becomes the actual limiting step of the process. In this work we estimate the pasteurization condition for a pilot scale pasteurization process for the thermal treatment of pear puree with pieces by the use of the Computational Fluid Dynamic approach. The results show that the heat penetration resistance into the solid particle reduces of about 32% the microbial abatement in the particle centre; however the P85 value results always higher than the minimum required for the food pasteurization.","author":[{"dropping-particle":"","family":"D'Addio","given":"Luca","non-dropping-particle":"","parse-names":false,"suffix":""},{"dropping-particle":"","family":"Natale","given":"Francesco","non-dropping-particle":"Di","parse-names":false,"suffix":""},{"dropping-particle":"","family":"Budelli","given":"Andrea","non-dropping-particle":"","parse-names":false,"suffix":""},{"dropping-particle":"","family":"Nigro","given":"Roberto","non-dropping-particle":"","parse-names":false,"suffix":""}],"container-title":"Chemical Engineering Transactions","id":"ITEM-1","issue":"Special Issue","issued":{"date-parts":[["2014"]]},"page":"1699-1704","title":"CFD simulation for the pasteurization of fruit puree with pieces","type":"article-journal","volume":"39"},"uris":["http://www.mendeley.com/documents/?uuid=8e3546c4-42a5-41c8-949f-202f0b46eba4"]}],"mendeley":{"formattedCitation":"(D’Addio et al., 2014)","plainTextFormattedCitation":"(D’Addio et al., 2014)"},"properties":{"noteIndex":0},"schema":"https://github.com/citation-style-language/schema/raw/master/csl-citation.json"}</w:instrText>
      </w:r>
      <w:r w:rsidR="00774FF0" w:rsidRPr="00872C97">
        <w:rPr>
          <w:lang w:val="en-GB"/>
        </w:rPr>
        <w:fldChar w:fldCharType="separate"/>
      </w:r>
      <w:r w:rsidR="00774FF0" w:rsidRPr="00872C97">
        <w:rPr>
          <w:noProof/>
          <w:lang w:val="nl-NL"/>
        </w:rPr>
        <w:t>(D’Addio et al., 2014)</w:t>
      </w:r>
      <w:r w:rsidR="00774FF0" w:rsidRPr="00872C97">
        <w:rPr>
          <w:lang w:val="en-GB"/>
        </w:rPr>
        <w:fldChar w:fldCharType="end"/>
      </w:r>
      <w:r w:rsidR="00EB1483" w:rsidRPr="00872C97">
        <w:rPr>
          <w:lang w:val="nl-NL"/>
        </w:rPr>
        <w:t xml:space="preserve">. </w:t>
      </w:r>
      <w:r w:rsidRPr="003E3423">
        <w:rPr>
          <w:lang w:val="en-GB"/>
        </w:rPr>
        <w:t xml:space="preserve">High pressure processing is a non-thermal treatment nowadays applied on foods that are generally </w:t>
      </w:r>
      <w:r w:rsidR="00EC4B97" w:rsidRPr="003E3423">
        <w:rPr>
          <w:lang w:val="en-GB"/>
        </w:rPr>
        <w:t xml:space="preserve">stabilized </w:t>
      </w:r>
      <w:r w:rsidRPr="003E3423">
        <w:rPr>
          <w:lang w:val="en-GB"/>
        </w:rPr>
        <w:t xml:space="preserve">by high temperature. </w:t>
      </w:r>
      <w:r w:rsidRPr="00872C97">
        <w:rPr>
          <w:lang w:val="en-GB"/>
        </w:rPr>
        <w:t>It is a mild pasteurization technology in which, for microbial breakdown, food products are subjected to isostatic pressures ranging from 400 to 600 MPa, with holding times of few minutes (Koutsoumanis et al., 2022).</w:t>
      </w:r>
      <w:r w:rsidR="00EC4B97" w:rsidRPr="00872C97">
        <w:rPr>
          <w:lang w:val="en-GB"/>
        </w:rPr>
        <w:t xml:space="preserve"> </w:t>
      </w:r>
      <w:r w:rsidR="00E977A0" w:rsidRPr="00872C97">
        <w:rPr>
          <w:lang w:val="en-GB"/>
        </w:rPr>
        <w:t>In this study, we aim to evaluate the effectiveness of high pressures (HPP) on refrigerated ice cream mixtures, and assess its effect in prolonging their shelf-life. The liquid mango ice cream mixture was thus subjected to HPP as a cold pasteurization method to extend its shelf life, evaluated by microbiological and sensory analyses.</w:t>
      </w:r>
    </w:p>
    <w:p w14:paraId="23F86FEF" w14:textId="6CAF54D6" w:rsidR="00600535" w:rsidRPr="00872C97" w:rsidRDefault="00EC4B97" w:rsidP="00872C97">
      <w:pPr>
        <w:pStyle w:val="CETBodytext"/>
        <w:rPr>
          <w:lang w:val="en-GB"/>
        </w:rPr>
      </w:pPr>
      <w:r w:rsidRPr="00872C97">
        <w:rPr>
          <w:lang w:val="en-GB"/>
        </w:rPr>
        <w:t xml:space="preserve"> </w:t>
      </w:r>
    </w:p>
    <w:p w14:paraId="5741900F" w14:textId="1B07F762" w:rsidR="00453E24" w:rsidRPr="00872C97" w:rsidRDefault="00A16B5B" w:rsidP="00872C97">
      <w:pPr>
        <w:pStyle w:val="CETHeading1"/>
      </w:pPr>
      <w:r w:rsidRPr="00872C97">
        <w:t>Materials and Methods</w:t>
      </w:r>
    </w:p>
    <w:p w14:paraId="0636B784" w14:textId="02B02F37" w:rsidR="00453E24" w:rsidRPr="00872C97" w:rsidRDefault="00A16B5B" w:rsidP="00872C97">
      <w:pPr>
        <w:pStyle w:val="CETheadingx"/>
      </w:pPr>
      <w:r w:rsidRPr="00872C97">
        <w:t>Raw Materials</w:t>
      </w:r>
    </w:p>
    <w:p w14:paraId="78CAAEC5" w14:textId="3565FDA0" w:rsidR="00D25067" w:rsidRPr="00872C97" w:rsidRDefault="003E44D7" w:rsidP="00872C97">
      <w:pPr>
        <w:pStyle w:val="CETBodytext"/>
        <w:rPr>
          <w:lang w:val="en"/>
        </w:rPr>
      </w:pPr>
      <w:r w:rsidRPr="00872C97">
        <w:t xml:space="preserve">Gleen variety mango fruit was purchased from the </w:t>
      </w:r>
      <w:r w:rsidRPr="00872C97">
        <w:rPr>
          <w:lang w:val="en"/>
        </w:rPr>
        <w:t>agricultural company</w:t>
      </w:r>
      <w:r w:rsidRPr="00872C97">
        <w:t xml:space="preserve"> Il Filo Tropicale (Balestrate, Italy), The mixture of gelato was formulated as follows: mango fruit 65%, sucrose 12</w:t>
      </w:r>
      <w:r w:rsidR="005D130C" w:rsidRPr="00872C97">
        <w:t>.</w:t>
      </w:r>
      <w:r w:rsidRPr="00872C97">
        <w:t>6%, water 11</w:t>
      </w:r>
      <w:r w:rsidR="00FE0905" w:rsidRPr="00872C97">
        <w:t>.</w:t>
      </w:r>
      <w:r w:rsidR="00175186" w:rsidRPr="00872C97">
        <w:t>5</w:t>
      </w:r>
      <w:r w:rsidRPr="00872C97">
        <w:t>%, dextrose 4</w:t>
      </w:r>
      <w:r w:rsidR="005D130C" w:rsidRPr="00872C97">
        <w:t>.</w:t>
      </w:r>
      <w:r w:rsidRPr="00872C97">
        <w:t xml:space="preserve">2%, </w:t>
      </w:r>
      <w:r w:rsidR="00D25067" w:rsidRPr="00872C97">
        <w:t>inulin 4</w:t>
      </w:r>
      <w:r w:rsidR="005D130C" w:rsidRPr="00872C97">
        <w:t>.</w:t>
      </w:r>
      <w:r w:rsidR="00D25067" w:rsidRPr="00872C97">
        <w:t>2%, glucose syrup 38DE 2</w:t>
      </w:r>
      <w:r w:rsidR="005D130C" w:rsidRPr="00872C97">
        <w:t>.</w:t>
      </w:r>
      <w:r w:rsidR="00D25067" w:rsidRPr="00872C97">
        <w:t>3</w:t>
      </w:r>
      <w:r w:rsidR="00D25067" w:rsidRPr="00872C97">
        <w:rPr>
          <w:strike/>
        </w:rPr>
        <w:t>5</w:t>
      </w:r>
      <w:r w:rsidR="00D25067" w:rsidRPr="00872C97">
        <w:t xml:space="preserve">% and as stabilizer </w:t>
      </w:r>
      <w:r w:rsidR="00D25067" w:rsidRPr="00872C97">
        <w:rPr>
          <w:lang w:val="en"/>
        </w:rPr>
        <w:t>carob seed flour and guar seed flour as 0</w:t>
      </w:r>
      <w:r w:rsidR="005D130C" w:rsidRPr="00872C97">
        <w:rPr>
          <w:lang w:val="en"/>
        </w:rPr>
        <w:t>.</w:t>
      </w:r>
      <w:r w:rsidR="00D25067" w:rsidRPr="00872C97">
        <w:rPr>
          <w:lang w:val="en"/>
        </w:rPr>
        <w:t>1</w:t>
      </w:r>
      <w:r w:rsidR="00D25067" w:rsidRPr="00872C97">
        <w:rPr>
          <w:strike/>
          <w:lang w:val="en"/>
        </w:rPr>
        <w:t>0</w:t>
      </w:r>
      <w:r w:rsidR="00D25067" w:rsidRPr="00872C97">
        <w:rPr>
          <w:lang w:val="en"/>
        </w:rPr>
        <w:t>% and 0</w:t>
      </w:r>
      <w:r w:rsidR="005D130C" w:rsidRPr="00872C97">
        <w:rPr>
          <w:lang w:val="en"/>
        </w:rPr>
        <w:t>.</w:t>
      </w:r>
      <w:r w:rsidR="00D25067" w:rsidRPr="00872C97">
        <w:rPr>
          <w:lang w:val="en"/>
        </w:rPr>
        <w:t xml:space="preserve">07% respectively. </w:t>
      </w:r>
    </w:p>
    <w:p w14:paraId="18BAFA6F" w14:textId="3D6754AE" w:rsidR="00453E24" w:rsidRPr="00872C97" w:rsidRDefault="00A16B5B" w:rsidP="00872C97">
      <w:pPr>
        <w:pStyle w:val="CETheadingx"/>
      </w:pPr>
      <w:r w:rsidRPr="00872C97">
        <w:lastRenderedPageBreak/>
        <w:t>Gelato Mixture Preparation</w:t>
      </w:r>
    </w:p>
    <w:p w14:paraId="4FED055F" w14:textId="24255052" w:rsidR="00757B34" w:rsidRPr="00872C97" w:rsidRDefault="00A16B5B" w:rsidP="00872C97">
      <w:pPr>
        <w:pStyle w:val="CETBodytext"/>
        <w:rPr>
          <w:lang w:val="en-GB"/>
        </w:rPr>
      </w:pPr>
      <w:r w:rsidRPr="00872C97">
        <w:rPr>
          <w:lang w:val="en-GB"/>
        </w:rPr>
        <w:t>Preparation of gelato mixture and the final whipping step were performed in gelato productive laboratory by Cappadonia Gelati s.r.l. located in Cerda (Palermo, Italy). Ingredients were initially mixed with</w:t>
      </w:r>
      <w:r w:rsidR="00292662" w:rsidRPr="00872C97">
        <w:rPr>
          <w:lang w:val="en-GB"/>
        </w:rPr>
        <w:t xml:space="preserve"> </w:t>
      </w:r>
      <w:r w:rsidR="00FA52B6" w:rsidRPr="00872C97">
        <w:rPr>
          <w:lang w:val="en-GB"/>
        </w:rPr>
        <w:t>a</w:t>
      </w:r>
      <w:r w:rsidR="00292662" w:rsidRPr="00872C97">
        <w:rPr>
          <w:lang w:val="en-GB"/>
        </w:rPr>
        <w:t xml:space="preserve"> Tafec Turbo mixer </w:t>
      </w:r>
      <w:r w:rsidR="00292662" w:rsidRPr="00872C97">
        <w:rPr>
          <w:lang w:val="en"/>
        </w:rPr>
        <w:t>(Tafec Gelato GmbH, Norderstedt, Germany)</w:t>
      </w:r>
      <w:r w:rsidRPr="00872C97">
        <w:rPr>
          <w:lang w:val="en-GB"/>
        </w:rPr>
        <w:t xml:space="preserve"> then </w:t>
      </w:r>
      <w:r w:rsidR="00292662" w:rsidRPr="00872C97">
        <w:rPr>
          <w:lang w:val="en-GB"/>
        </w:rPr>
        <w:t>treated with</w:t>
      </w:r>
      <w:r w:rsidRPr="00872C97">
        <w:rPr>
          <w:lang w:val="en-GB"/>
        </w:rPr>
        <w:t xml:space="preserve"> </w:t>
      </w:r>
      <w:r w:rsidR="00292662" w:rsidRPr="00872C97">
        <w:rPr>
          <w:lang w:val="en"/>
        </w:rPr>
        <w:t>Carpigiani Pasteurizer 60HE (Carpigiani Group – Ali s.r.l. Anzola dell’Emilia, Italy)</w:t>
      </w:r>
      <w:r w:rsidR="00292662" w:rsidRPr="00872C97">
        <w:rPr>
          <w:lang w:val="en-GB"/>
        </w:rPr>
        <w:t>.</w:t>
      </w:r>
      <w:r w:rsidRPr="00872C97">
        <w:rPr>
          <w:lang w:val="en-GB"/>
        </w:rPr>
        <w:t xml:space="preserve"> </w:t>
      </w:r>
      <w:r w:rsidR="001C29B1" w:rsidRPr="00872C97">
        <w:rPr>
          <w:lang w:val="en-GB"/>
        </w:rPr>
        <w:t xml:space="preserve">After the pasteurization, necessary step applied </w:t>
      </w:r>
      <w:r w:rsidR="00752D59" w:rsidRPr="00872C97">
        <w:rPr>
          <w:lang w:val="en-GB"/>
        </w:rPr>
        <w:t>i</w:t>
      </w:r>
      <w:r w:rsidR="001C29B1" w:rsidRPr="00872C97">
        <w:rPr>
          <w:lang w:val="en-GB"/>
        </w:rPr>
        <w:t>n the worldwide production process of gelato, the m</w:t>
      </w:r>
      <w:r w:rsidRPr="00872C97">
        <w:rPr>
          <w:lang w:val="en-GB"/>
        </w:rPr>
        <w:t>ixture was divided in eight vacuum bags (</w:t>
      </w:r>
      <w:r w:rsidR="00D25067" w:rsidRPr="00872C97">
        <w:rPr>
          <w:lang w:val="en-GB"/>
        </w:rPr>
        <w:t>400 x 500 mm size, ByVac</w:t>
      </w:r>
      <w:r w:rsidR="00870407" w:rsidRPr="00872C97">
        <w:rPr>
          <w:lang w:val="en-GB"/>
        </w:rPr>
        <w:t xml:space="preserve"> s.r.l., Ghivizzano, Italy</w:t>
      </w:r>
      <w:r w:rsidRPr="00872C97">
        <w:rPr>
          <w:lang w:val="en-GB"/>
        </w:rPr>
        <w:t xml:space="preserve">), air gases were removed </w:t>
      </w:r>
      <w:r w:rsidR="00870407" w:rsidRPr="00872C97">
        <w:rPr>
          <w:lang w:val="en-GB"/>
        </w:rPr>
        <w:t xml:space="preserve">with a Orved Cuisson 41 vacuum machine (Orved Spa, Musile di Piave, Italy) </w:t>
      </w:r>
      <w:r w:rsidRPr="00872C97">
        <w:rPr>
          <w:lang w:val="en-GB"/>
        </w:rPr>
        <w:t xml:space="preserve">to obtain up to 99% of void and finally bags were sealed and stored at 4 – 6°C of temperature. </w:t>
      </w:r>
      <w:r w:rsidR="00BD46BC" w:rsidRPr="00872C97">
        <w:rPr>
          <w:lang w:val="en-GB"/>
        </w:rPr>
        <w:t>A first</w:t>
      </w:r>
      <w:r w:rsidRPr="00872C97">
        <w:rPr>
          <w:lang w:val="en-GB"/>
        </w:rPr>
        <w:t xml:space="preserve"> </w:t>
      </w:r>
      <w:r w:rsidR="00BD46BC" w:rsidRPr="00872C97">
        <w:rPr>
          <w:lang w:val="en-GB"/>
        </w:rPr>
        <w:t xml:space="preserve">set </w:t>
      </w:r>
      <w:r w:rsidRPr="00872C97">
        <w:rPr>
          <w:lang w:val="en-GB"/>
        </w:rPr>
        <w:t xml:space="preserve">of </w:t>
      </w:r>
      <w:r w:rsidR="001C29B1" w:rsidRPr="00872C97">
        <w:rPr>
          <w:lang w:val="en-GB"/>
        </w:rPr>
        <w:t xml:space="preserve">4 </w:t>
      </w:r>
      <w:r w:rsidRPr="00872C97">
        <w:rPr>
          <w:lang w:val="en-GB"/>
        </w:rPr>
        <w:t xml:space="preserve">bags was </w:t>
      </w:r>
      <w:r w:rsidR="00757B34" w:rsidRPr="00872C97">
        <w:rPr>
          <w:lang w:val="en-GB"/>
        </w:rPr>
        <w:t xml:space="preserve">subjected to </w:t>
      </w:r>
      <w:r w:rsidRPr="00872C97">
        <w:rPr>
          <w:lang w:val="en-GB"/>
        </w:rPr>
        <w:t>the HPP treatment</w:t>
      </w:r>
      <w:r w:rsidR="00757B34" w:rsidRPr="00872C97">
        <w:rPr>
          <w:lang w:val="en-GB"/>
        </w:rPr>
        <w:t xml:space="preserve"> and directly whipped (</w:t>
      </w:r>
      <w:r w:rsidR="00757B34" w:rsidRPr="00872C97">
        <w:t>HPP-T0</w:t>
      </w:r>
      <w:r w:rsidR="00757B34" w:rsidRPr="00872C97">
        <w:rPr>
          <w:lang w:val="en-GB"/>
        </w:rPr>
        <w:t>) or stored for 7, 15 and 30 days before whipping (</w:t>
      </w:r>
      <w:r w:rsidR="00757B34" w:rsidRPr="00872C97">
        <w:t xml:space="preserve">HPP-T7, HPP-T15, and HPP-T30, respectively). A second </w:t>
      </w:r>
      <w:r w:rsidR="00BD46BC" w:rsidRPr="00872C97">
        <w:t xml:space="preserve">set </w:t>
      </w:r>
      <w:r w:rsidR="00757B34" w:rsidRPr="00872C97">
        <w:t>of</w:t>
      </w:r>
      <w:r w:rsidR="001C29B1" w:rsidRPr="00872C97">
        <w:t xml:space="preserve"> 4</w:t>
      </w:r>
      <w:r w:rsidR="00757B34" w:rsidRPr="00872C97">
        <w:t xml:space="preserve"> bag</w:t>
      </w:r>
      <w:r w:rsidR="00B66611" w:rsidRPr="00872C97">
        <w:t>s</w:t>
      </w:r>
      <w:r w:rsidR="00757B34" w:rsidRPr="00872C97">
        <w:t xml:space="preserve"> </w:t>
      </w:r>
      <w:r w:rsidR="00BD46BC" w:rsidRPr="00872C97">
        <w:t xml:space="preserve">was </w:t>
      </w:r>
      <w:r w:rsidR="00757B34" w:rsidRPr="00872C97">
        <w:t>kept for the same times without the HPP treatment as controls (</w:t>
      </w:r>
      <w:r w:rsidR="00DC6BC2" w:rsidRPr="00872C97">
        <w:t>NoHPP-T0, NoHPP-T7, NoHPP-T15, and NoHPP-T30</w:t>
      </w:r>
      <w:r w:rsidR="00757B34" w:rsidRPr="00872C97">
        <w:t>)</w:t>
      </w:r>
      <w:r w:rsidR="00DC6BC2" w:rsidRPr="00872C97">
        <w:t xml:space="preserve">. </w:t>
      </w:r>
      <w:r w:rsidR="00757B34" w:rsidRPr="00872C97">
        <w:rPr>
          <w:lang w:val="en-GB"/>
        </w:rPr>
        <w:t xml:space="preserve">The final whipping was done with </w:t>
      </w:r>
      <w:r w:rsidR="00757B34" w:rsidRPr="00872C97">
        <w:rPr>
          <w:lang w:val="en"/>
        </w:rPr>
        <w:t>batch freezer Tafec Geltronic (Tafec Gelato GmbH, Norderstedt, Germany).</w:t>
      </w:r>
    </w:p>
    <w:p w14:paraId="5047C81B" w14:textId="05C3242F" w:rsidR="00A16B5B" w:rsidRPr="00872C97" w:rsidRDefault="00A16B5B" w:rsidP="00872C97">
      <w:pPr>
        <w:pStyle w:val="CETheadingx"/>
      </w:pPr>
      <w:r w:rsidRPr="00872C97">
        <w:t>HPP Treatment</w:t>
      </w:r>
    </w:p>
    <w:p w14:paraId="54CFECE7" w14:textId="5E623D85" w:rsidR="00CA7835" w:rsidRPr="00872C97" w:rsidRDefault="00737031" w:rsidP="00872C97">
      <w:pPr>
        <w:pStyle w:val="CETBodytext"/>
        <w:rPr>
          <w:lang w:val="en-GB"/>
        </w:rPr>
      </w:pPr>
      <w:r w:rsidRPr="00872C97">
        <w:rPr>
          <w:lang w:val="en-GB"/>
        </w:rPr>
        <w:t xml:space="preserve">HPP treatment was performed using an AV-50X machine (Avure Technologies, Ohio, USA). Sealed samples were placed in a water-filled hyperbaric chamber at 4°C and pressurized </w:t>
      </w:r>
      <w:r w:rsidR="009A61F1" w:rsidRPr="00872C97">
        <w:rPr>
          <w:lang w:val="en-GB"/>
        </w:rPr>
        <w:t>with increasing pressure (rate of 40 bar/sec)</w:t>
      </w:r>
      <w:r w:rsidR="009A61F1" w:rsidRPr="00872C97" w:rsidDel="009A61F1">
        <w:rPr>
          <w:lang w:val="en-GB"/>
        </w:rPr>
        <w:t xml:space="preserve"> </w:t>
      </w:r>
      <w:r w:rsidR="009A61F1" w:rsidRPr="00872C97">
        <w:rPr>
          <w:lang w:val="en-GB"/>
        </w:rPr>
        <w:t>up to</w:t>
      </w:r>
      <w:r w:rsidRPr="00872C97">
        <w:rPr>
          <w:lang w:val="en-GB"/>
        </w:rPr>
        <w:t xml:space="preserve"> 6000 bars (600 MPa) </w:t>
      </w:r>
      <w:r w:rsidR="009A61F1" w:rsidRPr="00872C97">
        <w:rPr>
          <w:lang w:val="en-GB"/>
        </w:rPr>
        <w:t>maintained for 300 seconds</w:t>
      </w:r>
      <w:r w:rsidRPr="00872C97">
        <w:rPr>
          <w:lang w:val="en-GB"/>
        </w:rPr>
        <w:t>. Post-treatment samples were stored at 4-6°C for 0, 7, 15, and 30 days before whipping. Final gelato products were stored at -20°C in Styrofoam containers until analysis.</w:t>
      </w:r>
    </w:p>
    <w:p w14:paraId="1B8229D4" w14:textId="285A3E4C" w:rsidR="00CA7835" w:rsidRPr="00872C97" w:rsidRDefault="00CA7835" w:rsidP="00872C97">
      <w:pPr>
        <w:pStyle w:val="CETheadingx"/>
      </w:pPr>
      <w:r w:rsidRPr="00872C97">
        <w:t xml:space="preserve">Microbiological </w:t>
      </w:r>
      <w:r w:rsidR="005D7CEE" w:rsidRPr="00872C97">
        <w:t>analysis</w:t>
      </w:r>
    </w:p>
    <w:p w14:paraId="604832CD" w14:textId="6184EF84" w:rsidR="007E7F78" w:rsidRPr="00872C97" w:rsidRDefault="00406FAF" w:rsidP="00872C97">
      <w:pPr>
        <w:pStyle w:val="CETBodytext"/>
        <w:rPr>
          <w:lang w:val="en-GB"/>
        </w:rPr>
      </w:pPr>
      <w:r w:rsidRPr="00872C97">
        <w:rPr>
          <w:lang w:val="en-GB"/>
        </w:rPr>
        <w:t xml:space="preserve">Mango puree as well as untreated </w:t>
      </w:r>
      <w:r w:rsidR="0028576C" w:rsidRPr="00872C97">
        <w:rPr>
          <w:lang w:val="en-GB"/>
        </w:rPr>
        <w:t xml:space="preserve">(NoHPP) </w:t>
      </w:r>
      <w:r w:rsidRPr="00872C97">
        <w:rPr>
          <w:lang w:val="en-GB"/>
        </w:rPr>
        <w:t xml:space="preserve">and HPP-treated </w:t>
      </w:r>
      <w:r w:rsidR="007615F4" w:rsidRPr="00872C97">
        <w:rPr>
          <w:lang w:val="en-GB"/>
        </w:rPr>
        <w:t xml:space="preserve">(HPP) </w:t>
      </w:r>
      <w:r w:rsidR="00DC6BC2" w:rsidRPr="00872C97">
        <w:rPr>
          <w:lang w:val="en-GB"/>
        </w:rPr>
        <w:t xml:space="preserve">gelato </w:t>
      </w:r>
      <w:r w:rsidR="00357579" w:rsidRPr="00872C97">
        <w:rPr>
          <w:lang w:val="en-GB"/>
        </w:rPr>
        <w:t>mixture</w:t>
      </w:r>
      <w:r w:rsidR="0028576C" w:rsidRPr="00872C97">
        <w:rPr>
          <w:lang w:val="en-GB"/>
        </w:rPr>
        <w:t xml:space="preserve"> </w:t>
      </w:r>
      <w:r w:rsidRPr="00872C97">
        <w:rPr>
          <w:lang w:val="en-GB"/>
        </w:rPr>
        <w:t xml:space="preserve">samples were </w:t>
      </w:r>
      <w:r w:rsidR="00B5400F" w:rsidRPr="00872C97">
        <w:rPr>
          <w:lang w:val="en-GB"/>
        </w:rPr>
        <w:t xml:space="preserve">microbiologically </w:t>
      </w:r>
      <w:r w:rsidR="00F0578D" w:rsidRPr="00872C97">
        <w:rPr>
          <w:lang w:val="en-GB"/>
        </w:rPr>
        <w:t>investigated</w:t>
      </w:r>
      <w:r w:rsidRPr="00872C97">
        <w:rPr>
          <w:lang w:val="en-GB"/>
        </w:rPr>
        <w:t xml:space="preserve"> using a culture-dependent </w:t>
      </w:r>
      <w:r w:rsidR="00C1391A" w:rsidRPr="00872C97">
        <w:rPr>
          <w:lang w:val="en-GB"/>
        </w:rPr>
        <w:t>approach</w:t>
      </w:r>
      <w:r w:rsidRPr="00872C97">
        <w:rPr>
          <w:lang w:val="en-GB"/>
        </w:rPr>
        <w:t>.</w:t>
      </w:r>
      <w:r w:rsidR="00F44123" w:rsidRPr="00872C97">
        <w:rPr>
          <w:lang w:val="en-GB"/>
        </w:rPr>
        <w:t xml:space="preserve"> Briefly, </w:t>
      </w:r>
      <w:r w:rsidR="001345A9" w:rsidRPr="00872C97">
        <w:rPr>
          <w:lang w:val="en-GB"/>
        </w:rPr>
        <w:t xml:space="preserve">one mL of each sample was serially diluted in a 1:10 ratio with Ringer's solution (Thermo Fisher Scientific, Waltham, MA, USA). The resulting cell suspensions were then used </w:t>
      </w:r>
      <w:r w:rsidR="00D73BC1" w:rsidRPr="00872C97">
        <w:rPr>
          <w:lang w:val="en-GB"/>
        </w:rPr>
        <w:t xml:space="preserve">for the </w:t>
      </w:r>
      <w:r w:rsidR="001345A9" w:rsidRPr="00872C97">
        <w:rPr>
          <w:lang w:val="en-GB"/>
        </w:rPr>
        <w:t>enumerat</w:t>
      </w:r>
      <w:r w:rsidR="00D73BC1" w:rsidRPr="00872C97">
        <w:rPr>
          <w:lang w:val="en-GB"/>
        </w:rPr>
        <w:t>ion and detection of</w:t>
      </w:r>
      <w:r w:rsidR="001345A9" w:rsidRPr="00872C97">
        <w:rPr>
          <w:lang w:val="en-GB"/>
        </w:rPr>
        <w:t xml:space="preserve"> the main spoilage and pathogenic microorganisms according to the International Organization for Standardization (ISO) guidelines</w:t>
      </w:r>
      <w:r w:rsidR="009F31F4" w:rsidRPr="00872C97">
        <w:rPr>
          <w:lang w:val="en-GB"/>
        </w:rPr>
        <w:t xml:space="preserve">. </w:t>
      </w:r>
      <w:r w:rsidR="00F0578D" w:rsidRPr="00872C97">
        <w:rPr>
          <w:lang w:val="en-GB"/>
        </w:rPr>
        <w:t>Specifically, pseudomonads</w:t>
      </w:r>
      <w:r w:rsidR="002014A2" w:rsidRPr="00872C97">
        <w:rPr>
          <w:lang w:val="en-GB"/>
        </w:rPr>
        <w:t xml:space="preserve"> (ISO</w:t>
      </w:r>
      <w:r w:rsidR="00926EE1" w:rsidRPr="00872C97">
        <w:rPr>
          <w:lang w:val="en-GB"/>
        </w:rPr>
        <w:t xml:space="preserve"> </w:t>
      </w:r>
      <w:r w:rsidR="002014A2" w:rsidRPr="00872C97">
        <w:rPr>
          <w:lang w:val="en-GB"/>
        </w:rPr>
        <w:t>11059:2009</w:t>
      </w:r>
      <w:r w:rsidR="00552043" w:rsidRPr="00872C97">
        <w:rPr>
          <w:lang w:val="en-GB"/>
        </w:rPr>
        <w:t>)</w:t>
      </w:r>
      <w:r w:rsidR="00F0578D" w:rsidRPr="00872C97">
        <w:rPr>
          <w:lang w:val="en-GB"/>
        </w:rPr>
        <w:t xml:space="preserve">, yeasts, and molds </w:t>
      </w:r>
      <w:r w:rsidR="00D42A8D" w:rsidRPr="00872C97">
        <w:rPr>
          <w:lang w:val="en-GB"/>
        </w:rPr>
        <w:t xml:space="preserve">(ISO 21527–1:2008) </w:t>
      </w:r>
      <w:r w:rsidR="00F0578D" w:rsidRPr="00872C97">
        <w:rPr>
          <w:lang w:val="en-GB"/>
        </w:rPr>
        <w:t>were assessed among spoilage microorganisms, while members of the Enterobacteriaceae family</w:t>
      </w:r>
      <w:r w:rsidR="00A241D6" w:rsidRPr="00872C97">
        <w:rPr>
          <w:lang w:val="en-GB"/>
        </w:rPr>
        <w:t xml:space="preserve"> (ISO 21528–2:2017)</w:t>
      </w:r>
      <w:r w:rsidR="00F0578D" w:rsidRPr="00872C97">
        <w:rPr>
          <w:lang w:val="en-GB"/>
        </w:rPr>
        <w:t>, coagulase-positive staphylococci (CPS)</w:t>
      </w:r>
      <w:r w:rsidR="00926EE1" w:rsidRPr="00872C97">
        <w:rPr>
          <w:lang w:val="en-GB"/>
        </w:rPr>
        <w:t xml:space="preserve"> (ISO 6888–2:1999)</w:t>
      </w:r>
      <w:r w:rsidR="00F0578D" w:rsidRPr="00872C97">
        <w:rPr>
          <w:lang w:val="en-GB"/>
        </w:rPr>
        <w:t xml:space="preserve">, </w:t>
      </w:r>
      <w:r w:rsidR="00F0578D" w:rsidRPr="00872C97">
        <w:rPr>
          <w:i/>
          <w:iCs/>
          <w:lang w:val="en-GB"/>
        </w:rPr>
        <w:t>L</w:t>
      </w:r>
      <w:r w:rsidR="00F3225D" w:rsidRPr="00872C97">
        <w:rPr>
          <w:i/>
          <w:iCs/>
          <w:lang w:val="en-GB"/>
        </w:rPr>
        <w:t>isteria</w:t>
      </w:r>
      <w:r w:rsidR="00F0578D" w:rsidRPr="00872C97">
        <w:rPr>
          <w:i/>
          <w:iCs/>
          <w:lang w:val="en-GB"/>
        </w:rPr>
        <w:t xml:space="preserve"> monocytogenes</w:t>
      </w:r>
      <w:r w:rsidR="002C2D87" w:rsidRPr="00872C97">
        <w:rPr>
          <w:lang w:val="en-GB"/>
        </w:rPr>
        <w:t xml:space="preserve"> (ISO 11290-1, 2017)</w:t>
      </w:r>
      <w:r w:rsidR="00F0578D" w:rsidRPr="00872C97">
        <w:rPr>
          <w:lang w:val="en-GB"/>
        </w:rPr>
        <w:t xml:space="preserve">, </w:t>
      </w:r>
      <w:r w:rsidR="00F0578D" w:rsidRPr="00872C97">
        <w:rPr>
          <w:i/>
          <w:iCs/>
          <w:lang w:val="en-GB"/>
        </w:rPr>
        <w:t>E</w:t>
      </w:r>
      <w:r w:rsidR="002C2D87" w:rsidRPr="00872C97">
        <w:rPr>
          <w:i/>
          <w:iCs/>
          <w:lang w:val="en-GB"/>
        </w:rPr>
        <w:t>scherichia</w:t>
      </w:r>
      <w:r w:rsidR="00F0578D" w:rsidRPr="00872C97">
        <w:rPr>
          <w:i/>
          <w:iCs/>
          <w:lang w:val="en-GB"/>
        </w:rPr>
        <w:t xml:space="preserve"> coli</w:t>
      </w:r>
      <w:r w:rsidR="00F3225D" w:rsidRPr="00872C97">
        <w:rPr>
          <w:lang w:val="en-GB"/>
        </w:rPr>
        <w:t xml:space="preserve"> (ISO 7251:2005)</w:t>
      </w:r>
      <w:r w:rsidR="00F0578D" w:rsidRPr="00872C97">
        <w:rPr>
          <w:lang w:val="en-GB"/>
        </w:rPr>
        <w:t xml:space="preserve">, and </w:t>
      </w:r>
      <w:r w:rsidR="00F0578D" w:rsidRPr="00872C97">
        <w:rPr>
          <w:i/>
          <w:iCs/>
          <w:lang w:val="en-GB"/>
        </w:rPr>
        <w:t>Salmonella</w:t>
      </w:r>
      <w:r w:rsidR="00F0578D" w:rsidRPr="00872C97">
        <w:rPr>
          <w:lang w:val="en-GB"/>
        </w:rPr>
        <w:t xml:space="preserve"> spp.</w:t>
      </w:r>
      <w:r w:rsidR="00A30249" w:rsidRPr="00872C97">
        <w:rPr>
          <w:lang w:val="en-GB"/>
        </w:rPr>
        <w:t xml:space="preserve"> (ISO 6579–1:2017)</w:t>
      </w:r>
      <w:r w:rsidR="00F0578D" w:rsidRPr="00872C97">
        <w:rPr>
          <w:lang w:val="en-GB"/>
        </w:rPr>
        <w:t xml:space="preserve"> were evaluated among pathogenic microbial groups.</w:t>
      </w:r>
      <w:r w:rsidR="000C109E" w:rsidRPr="00872C97">
        <w:rPr>
          <w:lang w:val="en-GB"/>
        </w:rPr>
        <w:t xml:space="preserve"> All samples were also subjected to the enumeration of total mesophilic microorganisms (TMM) </w:t>
      </w:r>
      <w:r w:rsidR="003C3A3E" w:rsidRPr="00872C97">
        <w:rPr>
          <w:lang w:val="en-GB"/>
        </w:rPr>
        <w:t xml:space="preserve">(ISO 4833:2003) </w:t>
      </w:r>
      <w:r w:rsidR="000C109E" w:rsidRPr="00872C97">
        <w:rPr>
          <w:lang w:val="en-GB"/>
        </w:rPr>
        <w:t xml:space="preserve">and </w:t>
      </w:r>
      <w:r w:rsidR="00A62C4F" w:rsidRPr="00872C97">
        <w:rPr>
          <w:lang w:val="en-GB"/>
        </w:rPr>
        <w:t>total psychrotrophic microorganisms (TPM)</w:t>
      </w:r>
      <w:r w:rsidR="0028576C" w:rsidRPr="00872C97">
        <w:rPr>
          <w:lang w:val="en-GB"/>
        </w:rPr>
        <w:t xml:space="preserve"> (</w:t>
      </w:r>
      <w:r w:rsidR="0028576C" w:rsidRPr="00872C97">
        <w:t>ISO 17410:2019)</w:t>
      </w:r>
      <w:r w:rsidR="006D60BC" w:rsidRPr="00872C97">
        <w:rPr>
          <w:lang w:val="en-GB"/>
        </w:rPr>
        <w:t xml:space="preserve">. </w:t>
      </w:r>
      <w:r w:rsidR="002E3F87" w:rsidRPr="00872C97">
        <w:rPr>
          <w:lang w:val="en-GB"/>
        </w:rPr>
        <w:t xml:space="preserve">The analyses were performed in triplicate </w:t>
      </w:r>
      <w:r w:rsidR="0049757C" w:rsidRPr="00872C97">
        <w:rPr>
          <w:lang w:val="en-GB"/>
        </w:rPr>
        <w:t xml:space="preserve">at each sampling time (0, </w:t>
      </w:r>
      <w:r w:rsidR="005A583E" w:rsidRPr="00872C97">
        <w:rPr>
          <w:lang w:val="en-GB"/>
        </w:rPr>
        <w:t>7</w:t>
      </w:r>
      <w:r w:rsidR="0049757C" w:rsidRPr="00872C97">
        <w:rPr>
          <w:lang w:val="en-GB"/>
        </w:rPr>
        <w:t xml:space="preserve">, 15 and 30 d of </w:t>
      </w:r>
      <w:r w:rsidR="009B3511" w:rsidRPr="00872C97">
        <w:rPr>
          <w:lang w:val="en-GB"/>
        </w:rPr>
        <w:t>cold</w:t>
      </w:r>
      <w:r w:rsidR="0049757C" w:rsidRPr="00872C97">
        <w:rPr>
          <w:lang w:val="en-GB"/>
        </w:rPr>
        <w:t xml:space="preserve"> storage). A</w:t>
      </w:r>
      <w:r w:rsidR="002E3F87" w:rsidRPr="00872C97">
        <w:rPr>
          <w:lang w:val="en-GB"/>
        </w:rPr>
        <w:t>ll media</w:t>
      </w:r>
      <w:r w:rsidR="0049757C" w:rsidRPr="00872C97">
        <w:rPr>
          <w:lang w:val="en-GB"/>
        </w:rPr>
        <w:t xml:space="preserve"> and supplement</w:t>
      </w:r>
      <w:r w:rsidR="002E3F87" w:rsidRPr="00872C97">
        <w:rPr>
          <w:lang w:val="en-GB"/>
        </w:rPr>
        <w:t xml:space="preserve"> were purchased from Oxoid (</w:t>
      </w:r>
      <w:r w:rsidR="00E65ABF" w:rsidRPr="00872C97">
        <w:rPr>
          <w:lang w:val="en-GB"/>
        </w:rPr>
        <w:t>Hampshire, United Kingdom</w:t>
      </w:r>
      <w:r w:rsidR="002E3F87" w:rsidRPr="00872C97">
        <w:rPr>
          <w:lang w:val="en-GB"/>
        </w:rPr>
        <w:t>).</w:t>
      </w:r>
    </w:p>
    <w:p w14:paraId="66F80FE9" w14:textId="57D4F6BD" w:rsidR="00CA7835" w:rsidRPr="00872C97" w:rsidRDefault="00CA7835" w:rsidP="00872C97">
      <w:pPr>
        <w:pStyle w:val="CETheadingx"/>
      </w:pPr>
      <w:r w:rsidRPr="00872C97">
        <w:t>Volatile Organic Compounds Profile</w:t>
      </w:r>
    </w:p>
    <w:p w14:paraId="63B1BFD7" w14:textId="79DEFE1D" w:rsidR="00CA7835" w:rsidRPr="00872C97" w:rsidRDefault="00CA7835" w:rsidP="00872C97">
      <w:pPr>
        <w:pStyle w:val="CETBodytext"/>
        <w:rPr>
          <w:lang w:val="en-GB"/>
        </w:rPr>
      </w:pPr>
      <w:r w:rsidRPr="00872C97">
        <w:rPr>
          <w:lang w:val="en-GB"/>
        </w:rPr>
        <w:t>Volatile organic compounds characterization was analysed comparing the treated (HPP) and the untreated control sample (NoHPP) at T0 (0 days</w:t>
      </w:r>
      <w:r w:rsidR="00EF44FA" w:rsidRPr="00872C97">
        <w:rPr>
          <w:lang w:val="en-GB"/>
        </w:rPr>
        <w:t>)</w:t>
      </w:r>
      <w:r w:rsidRPr="00872C97">
        <w:rPr>
          <w:lang w:val="en-GB"/>
        </w:rPr>
        <w:t xml:space="preserve"> and T15 (15 days</w:t>
      </w:r>
      <w:r w:rsidR="00EF44FA" w:rsidRPr="00872C97">
        <w:rPr>
          <w:lang w:val="en-GB"/>
        </w:rPr>
        <w:t>)</w:t>
      </w:r>
      <w:r w:rsidRPr="00872C97">
        <w:rPr>
          <w:lang w:val="en-GB"/>
        </w:rPr>
        <w:t>.</w:t>
      </w:r>
      <w:r w:rsidR="00C30941" w:rsidRPr="00872C97">
        <w:rPr>
          <w:lang w:val="en-GB"/>
        </w:rPr>
        <w:t xml:space="preserve"> </w:t>
      </w:r>
      <w:r w:rsidRPr="00872C97">
        <w:rPr>
          <w:lang w:val="en-GB"/>
        </w:rPr>
        <w:t xml:space="preserve">HS-SPME was conducted for extraction of volatile compounds according to Condurso et al. </w:t>
      </w:r>
      <w:r w:rsidR="00EC4B97" w:rsidRPr="00872C97">
        <w:rPr>
          <w:lang w:val="en-GB"/>
        </w:rPr>
        <w:t>(</w:t>
      </w:r>
      <w:r w:rsidRPr="00872C97">
        <w:rPr>
          <w:lang w:val="en-GB"/>
        </w:rPr>
        <w:t xml:space="preserve">2008): 5 g of whipped gelato were mixed in a vial </w:t>
      </w:r>
      <w:r w:rsidR="00127542" w:rsidRPr="00872C97">
        <w:rPr>
          <w:lang w:val="en-GB"/>
        </w:rPr>
        <w:t>with</w:t>
      </w:r>
      <w:r w:rsidRPr="00872C97">
        <w:rPr>
          <w:lang w:val="en-GB"/>
        </w:rPr>
        <w:t xml:space="preserve"> 50 μL of </w:t>
      </w:r>
      <w:r w:rsidR="00127542" w:rsidRPr="00872C97">
        <w:rPr>
          <w:lang w:val="en-GB"/>
        </w:rPr>
        <w:t xml:space="preserve">solution at 10% v/v of absolute ethanol in water containing 38.22 mg/L of </w:t>
      </w:r>
      <w:r w:rsidRPr="00872C97">
        <w:rPr>
          <w:lang w:val="en-GB"/>
        </w:rPr>
        <w:t xml:space="preserve">1-heptanol. The vial was placed at 40 °C in water bath in continuous magnetic stirring for 20 minutes to carry on the equilibration time, followed by the absorption step carried on for 30 minutes, with fiber (50/30μm DVB/Car/PDMS fiber—Supelco Inc., Bellefonte, PA) inserted in the headspace of the vial. Fiber was first activated directly in the injector port of the GC–MS for 15 min at 230 °C before the absorption of volatile compounds. Analysis of VOCs was performed with GC–MS Agilent 6890 coupled with an Agilent single quadrupole mass spectrometer 5973N (Agilent Technologies, Santa Clara, California, USA) equipped with a DB-WAX capillary column (Agilent Technologies; 30 m 0.250 mm i.d. film thickness 0.25 μm) according to Pollon et al. </w:t>
      </w:r>
      <w:r w:rsidR="00EC4B97" w:rsidRPr="00872C97">
        <w:rPr>
          <w:lang w:val="en-GB"/>
        </w:rPr>
        <w:t>(</w:t>
      </w:r>
      <w:r w:rsidRPr="00872C97">
        <w:rPr>
          <w:lang w:val="en-GB"/>
        </w:rPr>
        <w:t>2024).</w:t>
      </w:r>
      <w:r w:rsidR="00B36780" w:rsidRPr="00872C97">
        <w:rPr>
          <w:lang w:val="en-GB"/>
        </w:rPr>
        <w:t xml:space="preserve"> </w:t>
      </w:r>
      <w:r w:rsidRPr="00872C97">
        <w:rPr>
          <w:lang w:val="en-GB"/>
        </w:rPr>
        <w:t>Analysis was performed in triplicate.</w:t>
      </w:r>
      <w:r w:rsidR="00CC590C" w:rsidRPr="00872C97">
        <w:rPr>
          <w:lang w:val="en-GB"/>
        </w:rPr>
        <w:t xml:space="preserve"> Data are expressed in </w:t>
      </w:r>
      <w:r w:rsidR="00753976" w:rsidRPr="00872C97">
        <w:rPr>
          <w:lang w:val="en-GB"/>
        </w:rPr>
        <w:t xml:space="preserve">equivalent </w:t>
      </w:r>
      <w:r w:rsidR="00CC590C" w:rsidRPr="00872C97">
        <w:rPr>
          <w:rFonts w:cs="Arial"/>
          <w:lang w:val="en-GB"/>
        </w:rPr>
        <w:t>µ</w:t>
      </w:r>
      <w:r w:rsidR="00CC590C" w:rsidRPr="00872C97">
        <w:rPr>
          <w:lang w:val="en-GB"/>
        </w:rPr>
        <w:t>g</w:t>
      </w:r>
      <w:r w:rsidR="00753976" w:rsidRPr="00872C97">
        <w:rPr>
          <w:lang w:val="en-GB"/>
        </w:rPr>
        <w:t xml:space="preserve"> of 1-heptanol per 1 </w:t>
      </w:r>
      <w:r w:rsidR="00CC590C" w:rsidRPr="00872C97">
        <w:rPr>
          <w:lang w:val="en-GB"/>
        </w:rPr>
        <w:t>kg</w:t>
      </w:r>
      <w:r w:rsidR="00753976" w:rsidRPr="00872C97">
        <w:rPr>
          <w:lang w:val="en-GB"/>
        </w:rPr>
        <w:t xml:space="preserve"> of gelato.</w:t>
      </w:r>
    </w:p>
    <w:p w14:paraId="153118F8" w14:textId="093AF528" w:rsidR="00CA7835" w:rsidRPr="00872C97" w:rsidRDefault="00CA7835" w:rsidP="00872C97">
      <w:pPr>
        <w:pStyle w:val="CETheadingx"/>
      </w:pPr>
      <w:r w:rsidRPr="00872C97">
        <w:t>Colour Measurment</w:t>
      </w:r>
    </w:p>
    <w:p w14:paraId="1F9350F2" w14:textId="01EF6377" w:rsidR="00CA7835" w:rsidRPr="00872C97" w:rsidRDefault="00CA7835" w:rsidP="00872C97">
      <w:pPr>
        <w:pStyle w:val="CETBodytext"/>
        <w:rPr>
          <w:lang w:val="en-GB"/>
        </w:rPr>
      </w:pPr>
      <w:r w:rsidRPr="00872C97">
        <w:rPr>
          <w:lang w:val="en-GB"/>
        </w:rPr>
        <w:t xml:space="preserve">The colour analysis was performed with Konika Minolta CR300 colour spectrophotometer (Konica sensing Americas, Ramsey, New Jersey USA), comparing untreated sample to the treated sample after different storage times (0, 7 and 15 days). A plastic petri dishes of 9 cm Ø was filled with mango gelato stored at -20 °C and covered with its own lid. Collected data were evaluated according to the CIELab Color space, in which L* refers to brightness, a* refers to green (-a) and red (+a), while b* refers to blue (-b) and yellow (+b). </w:t>
      </w:r>
    </w:p>
    <w:p w14:paraId="1797A30F" w14:textId="18B23481" w:rsidR="00CA7835" w:rsidRPr="00872C97" w:rsidRDefault="00CA7835" w:rsidP="00872C97">
      <w:pPr>
        <w:pStyle w:val="CETBodytext"/>
        <w:rPr>
          <w:lang w:val="en-GB"/>
        </w:rPr>
      </w:pPr>
      <w:r w:rsidRPr="00872C97">
        <w:rPr>
          <w:lang w:val="en-GB"/>
        </w:rPr>
        <w:t>Difference in colorimetric values (∆E) was evaluated according to the following equation:</w:t>
      </w:r>
    </w:p>
    <w:p w14:paraId="60B1E0B4" w14:textId="77777777" w:rsidR="00CA7835" w:rsidRPr="00872C97" w:rsidRDefault="00CA7835" w:rsidP="00872C97">
      <w:pPr>
        <w:contextualSpacing/>
        <w:rPr>
          <w:rFonts w:ascii="Times New Roman" w:hAnsi="Times New Roman"/>
          <w:sz w:val="24"/>
          <w:szCs w:val="24"/>
        </w:rPr>
      </w:pPr>
    </w:p>
    <w:p w14:paraId="23063F4C" w14:textId="77777777" w:rsidR="00CA7835" w:rsidRPr="00872C97" w:rsidRDefault="00CA7835" w:rsidP="00872C97">
      <w:pPr>
        <w:contextualSpacing/>
        <w:rPr>
          <w:rFonts w:cs="Arial"/>
          <w:szCs w:val="18"/>
        </w:rPr>
      </w:pPr>
      <w:bookmarkStart w:id="1" w:name="_Hlk189144701"/>
      <m:oMath>
        <m:r>
          <m:rPr>
            <m:sty m:val="p"/>
          </m:rPr>
          <w:rPr>
            <w:rFonts w:ascii="Cambria Math" w:hAnsi="Cambria Math" w:cs="Arial"/>
            <w:szCs w:val="18"/>
          </w:rPr>
          <m:t xml:space="preserve">∆E= </m:t>
        </m:r>
        <m:rad>
          <m:radPr>
            <m:degHide m:val="1"/>
            <m:ctrlPr>
              <w:rPr>
                <w:rFonts w:ascii="Cambria Math" w:eastAsiaTheme="minorHAnsi" w:hAnsi="Cambria Math" w:cs="Arial"/>
                <w:kern w:val="2"/>
                <w:szCs w:val="18"/>
                <w14:ligatures w14:val="standardContextual"/>
              </w:rPr>
            </m:ctrlPr>
          </m:radPr>
          <m:deg/>
          <m:e>
            <m:r>
              <w:rPr>
                <w:rFonts w:ascii="Cambria Math" w:hAnsi="Cambria Math" w:cs="Arial"/>
                <w:szCs w:val="18"/>
              </w:rPr>
              <m:t>(</m:t>
            </m:r>
            <m:sSup>
              <m:sSupPr>
                <m:ctrlPr>
                  <w:rPr>
                    <w:rFonts w:ascii="Cambria Math" w:eastAsiaTheme="minorHAnsi" w:hAnsi="Cambria Math" w:cs="Arial"/>
                    <w:i/>
                    <w:kern w:val="2"/>
                    <w:szCs w:val="18"/>
                    <w14:ligatures w14:val="standardContextual"/>
                  </w:rPr>
                </m:ctrlPr>
              </m:sSupPr>
              <m:e>
                <m:sSub>
                  <m:sSubPr>
                    <m:ctrlPr>
                      <w:rPr>
                        <w:rFonts w:ascii="Cambria Math" w:eastAsiaTheme="minorHAnsi" w:hAnsi="Cambria Math" w:cs="Arial"/>
                        <w:i/>
                        <w:kern w:val="2"/>
                        <w:szCs w:val="18"/>
                        <w14:ligatures w14:val="standardContextual"/>
                      </w:rPr>
                    </m:ctrlPr>
                  </m:sSubPr>
                  <m:e>
                    <m:r>
                      <w:rPr>
                        <w:rFonts w:ascii="Cambria Math" w:hAnsi="Cambria Math" w:cs="Arial"/>
                        <w:szCs w:val="18"/>
                      </w:rPr>
                      <m:t>L</m:t>
                    </m:r>
                  </m:e>
                  <m:sub>
                    <m:r>
                      <w:rPr>
                        <w:rFonts w:ascii="Cambria Math" w:hAnsi="Cambria Math" w:cs="Arial"/>
                        <w:szCs w:val="18"/>
                      </w:rPr>
                      <m:t>c</m:t>
                    </m:r>
                  </m:sub>
                </m:sSub>
                <m:r>
                  <w:rPr>
                    <w:rFonts w:ascii="Cambria Math" w:hAnsi="Cambria Math" w:cs="Arial"/>
                    <w:szCs w:val="18"/>
                  </w:rPr>
                  <m:t>-</m:t>
                </m:r>
                <m:sSub>
                  <m:sSubPr>
                    <m:ctrlPr>
                      <w:rPr>
                        <w:rFonts w:ascii="Cambria Math" w:eastAsiaTheme="minorHAnsi" w:hAnsi="Cambria Math" w:cs="Arial"/>
                        <w:i/>
                        <w:kern w:val="2"/>
                        <w:szCs w:val="18"/>
                        <w14:ligatures w14:val="standardContextual"/>
                      </w:rPr>
                    </m:ctrlPr>
                  </m:sSubPr>
                  <m:e>
                    <m:r>
                      <w:rPr>
                        <w:rFonts w:ascii="Cambria Math" w:hAnsi="Cambria Math" w:cs="Arial"/>
                        <w:szCs w:val="18"/>
                      </w:rPr>
                      <m:t>L</m:t>
                    </m:r>
                  </m:e>
                  <m:sub>
                    <m:r>
                      <w:rPr>
                        <w:rFonts w:ascii="Cambria Math" w:hAnsi="Cambria Math" w:cs="Arial"/>
                        <w:szCs w:val="18"/>
                      </w:rPr>
                      <m:t>s</m:t>
                    </m:r>
                  </m:sub>
                </m:sSub>
                <m:r>
                  <w:rPr>
                    <w:rFonts w:ascii="Cambria Math" w:hAnsi="Cambria Math" w:cs="Arial"/>
                    <w:szCs w:val="18"/>
                  </w:rPr>
                  <m:t>)</m:t>
                </m:r>
              </m:e>
              <m:sup>
                <m:r>
                  <w:rPr>
                    <w:rFonts w:ascii="Cambria Math" w:hAnsi="Cambria Math" w:cs="Arial"/>
                    <w:szCs w:val="18"/>
                  </w:rPr>
                  <m:t>2</m:t>
                </m:r>
              </m:sup>
            </m:sSup>
            <m:r>
              <w:rPr>
                <w:rFonts w:ascii="Cambria Math" w:hAnsi="Cambria Math" w:cs="Arial"/>
                <w:szCs w:val="18"/>
              </w:rPr>
              <m:t>+(</m:t>
            </m:r>
            <m:sSup>
              <m:sSupPr>
                <m:ctrlPr>
                  <w:rPr>
                    <w:rFonts w:ascii="Cambria Math" w:eastAsiaTheme="minorHAnsi" w:hAnsi="Cambria Math" w:cs="Arial"/>
                    <w:i/>
                    <w:kern w:val="2"/>
                    <w:szCs w:val="18"/>
                    <w14:ligatures w14:val="standardContextual"/>
                  </w:rPr>
                </m:ctrlPr>
              </m:sSupPr>
              <m:e>
                <m:sSub>
                  <m:sSubPr>
                    <m:ctrlPr>
                      <w:rPr>
                        <w:rFonts w:ascii="Cambria Math" w:eastAsiaTheme="minorHAnsi" w:hAnsi="Cambria Math" w:cs="Arial"/>
                        <w:i/>
                        <w:kern w:val="2"/>
                        <w:szCs w:val="18"/>
                        <w14:ligatures w14:val="standardContextual"/>
                      </w:rPr>
                    </m:ctrlPr>
                  </m:sSubPr>
                  <m:e>
                    <m:r>
                      <w:rPr>
                        <w:rFonts w:ascii="Cambria Math" w:hAnsi="Cambria Math" w:cs="Arial"/>
                        <w:szCs w:val="18"/>
                      </w:rPr>
                      <m:t>a</m:t>
                    </m:r>
                  </m:e>
                  <m:sub>
                    <m:r>
                      <w:rPr>
                        <w:rFonts w:ascii="Cambria Math" w:hAnsi="Cambria Math" w:cs="Arial"/>
                        <w:szCs w:val="18"/>
                      </w:rPr>
                      <m:t>c</m:t>
                    </m:r>
                  </m:sub>
                </m:sSub>
                <m:r>
                  <w:rPr>
                    <w:rFonts w:ascii="Cambria Math" w:hAnsi="Cambria Math" w:cs="Arial"/>
                    <w:szCs w:val="18"/>
                  </w:rPr>
                  <m:t xml:space="preserve">- </m:t>
                </m:r>
                <m:sSub>
                  <m:sSubPr>
                    <m:ctrlPr>
                      <w:rPr>
                        <w:rFonts w:ascii="Cambria Math" w:eastAsiaTheme="minorHAnsi" w:hAnsi="Cambria Math" w:cs="Arial"/>
                        <w:i/>
                        <w:kern w:val="2"/>
                        <w:szCs w:val="18"/>
                        <w14:ligatures w14:val="standardContextual"/>
                      </w:rPr>
                    </m:ctrlPr>
                  </m:sSubPr>
                  <m:e>
                    <m:r>
                      <w:rPr>
                        <w:rFonts w:ascii="Cambria Math" w:hAnsi="Cambria Math" w:cs="Arial"/>
                        <w:szCs w:val="18"/>
                      </w:rPr>
                      <m:t>a</m:t>
                    </m:r>
                  </m:e>
                  <m:sub>
                    <m:r>
                      <w:rPr>
                        <w:rFonts w:ascii="Cambria Math" w:hAnsi="Cambria Math" w:cs="Arial"/>
                        <w:szCs w:val="18"/>
                      </w:rPr>
                      <m:t>s</m:t>
                    </m:r>
                  </m:sub>
                </m:sSub>
                <m:r>
                  <w:rPr>
                    <w:rFonts w:ascii="Cambria Math" w:hAnsi="Cambria Math" w:cs="Arial"/>
                    <w:szCs w:val="18"/>
                  </w:rPr>
                  <m:t>)</m:t>
                </m:r>
              </m:e>
              <m:sup>
                <m:r>
                  <w:rPr>
                    <w:rFonts w:ascii="Cambria Math" w:hAnsi="Cambria Math" w:cs="Arial"/>
                    <w:szCs w:val="18"/>
                  </w:rPr>
                  <m:t>2</m:t>
                </m:r>
              </m:sup>
            </m:sSup>
            <m:sSup>
              <m:sSupPr>
                <m:ctrlPr>
                  <w:rPr>
                    <w:rFonts w:ascii="Cambria Math" w:eastAsiaTheme="minorHAnsi" w:hAnsi="Cambria Math" w:cs="Arial"/>
                    <w:i/>
                    <w:kern w:val="2"/>
                    <w:szCs w:val="18"/>
                    <w14:ligatures w14:val="standardContextual"/>
                  </w:rPr>
                </m:ctrlPr>
              </m:sSupPr>
              <m:e>
                <m:sSub>
                  <m:sSubPr>
                    <m:ctrlPr>
                      <w:rPr>
                        <w:rFonts w:ascii="Cambria Math" w:eastAsiaTheme="minorHAnsi" w:hAnsi="Cambria Math" w:cs="Arial"/>
                        <w:i/>
                        <w:kern w:val="2"/>
                        <w:szCs w:val="18"/>
                        <w14:ligatures w14:val="standardContextual"/>
                      </w:rPr>
                    </m:ctrlPr>
                  </m:sSubPr>
                  <m:e>
                    <m:r>
                      <w:rPr>
                        <w:rFonts w:ascii="Cambria Math" w:hAnsi="Cambria Math" w:cs="Arial"/>
                        <w:szCs w:val="18"/>
                      </w:rPr>
                      <m:t xml:space="preserve"> + (b</m:t>
                    </m:r>
                  </m:e>
                  <m:sub>
                    <m:r>
                      <w:rPr>
                        <w:rFonts w:ascii="Cambria Math" w:hAnsi="Cambria Math" w:cs="Arial"/>
                        <w:szCs w:val="18"/>
                      </w:rPr>
                      <m:t>c</m:t>
                    </m:r>
                  </m:sub>
                </m:sSub>
                <m:r>
                  <w:rPr>
                    <w:rFonts w:ascii="Cambria Math" w:hAnsi="Cambria Math" w:cs="Arial"/>
                    <w:szCs w:val="18"/>
                  </w:rPr>
                  <m:t>-</m:t>
                </m:r>
                <m:sSub>
                  <m:sSubPr>
                    <m:ctrlPr>
                      <w:rPr>
                        <w:rFonts w:ascii="Cambria Math" w:eastAsiaTheme="minorHAnsi" w:hAnsi="Cambria Math" w:cs="Arial"/>
                        <w:i/>
                        <w:kern w:val="2"/>
                        <w:szCs w:val="18"/>
                        <w14:ligatures w14:val="standardContextual"/>
                      </w:rPr>
                    </m:ctrlPr>
                  </m:sSubPr>
                  <m:e>
                    <m:r>
                      <w:rPr>
                        <w:rFonts w:ascii="Cambria Math" w:hAnsi="Cambria Math" w:cs="Arial"/>
                        <w:szCs w:val="18"/>
                      </w:rPr>
                      <m:t>b</m:t>
                    </m:r>
                  </m:e>
                  <m:sub>
                    <m:r>
                      <w:rPr>
                        <w:rFonts w:ascii="Cambria Math" w:hAnsi="Cambria Math" w:cs="Arial"/>
                        <w:szCs w:val="18"/>
                      </w:rPr>
                      <m:t>s</m:t>
                    </m:r>
                  </m:sub>
                </m:sSub>
                <m:r>
                  <w:rPr>
                    <w:rFonts w:ascii="Cambria Math" w:hAnsi="Cambria Math" w:cs="Arial"/>
                    <w:szCs w:val="18"/>
                  </w:rPr>
                  <m:t>)</m:t>
                </m:r>
              </m:e>
              <m:sup>
                <m:r>
                  <w:rPr>
                    <w:rFonts w:ascii="Cambria Math" w:hAnsi="Cambria Math" w:cs="Arial"/>
                    <w:szCs w:val="18"/>
                  </w:rPr>
                  <m:t>2</m:t>
                </m:r>
              </m:sup>
            </m:sSup>
          </m:e>
        </m:rad>
      </m:oMath>
      <w:r w:rsidRPr="00872C97">
        <w:rPr>
          <w:rFonts w:eastAsiaTheme="minorEastAsia" w:cs="Arial"/>
          <w:szCs w:val="18"/>
        </w:rPr>
        <w:t xml:space="preserve">                                                                                                                            (1)</w:t>
      </w:r>
    </w:p>
    <w:bookmarkEnd w:id="1"/>
    <w:p w14:paraId="1580ACAD" w14:textId="77777777" w:rsidR="005325B0" w:rsidRPr="00872C97" w:rsidRDefault="005325B0" w:rsidP="00872C97">
      <w:pPr>
        <w:pStyle w:val="CETBodytext"/>
        <w:rPr>
          <w:lang w:val="en-GB"/>
        </w:rPr>
      </w:pPr>
    </w:p>
    <w:p w14:paraId="2A117BAA" w14:textId="5741E1CF" w:rsidR="00CA7835" w:rsidRPr="00872C97" w:rsidRDefault="00CA7835" w:rsidP="00872C97">
      <w:pPr>
        <w:pStyle w:val="CETBodytext"/>
        <w:rPr>
          <w:lang w:val="en-GB"/>
        </w:rPr>
      </w:pPr>
      <w:r w:rsidRPr="00872C97">
        <w:rPr>
          <w:lang w:val="en-GB"/>
        </w:rPr>
        <w:t>Values with subscript c (Lc, ac and bc) refer to the control untreated sample, while values with subscript s (Ls, as and bs) refer to the treated sample.</w:t>
      </w:r>
    </w:p>
    <w:p w14:paraId="42829A34" w14:textId="49DBAA8B" w:rsidR="00CA7835" w:rsidRPr="00872C97" w:rsidRDefault="00CA7835" w:rsidP="00872C97">
      <w:pPr>
        <w:pStyle w:val="CETheadingx"/>
      </w:pPr>
      <w:r w:rsidRPr="00872C97">
        <w:t>Sensory Analyses</w:t>
      </w:r>
    </w:p>
    <w:p w14:paraId="7BF248E0" w14:textId="54E1036F" w:rsidR="00FE1A25" w:rsidRPr="00872C97" w:rsidRDefault="00FE1A25" w:rsidP="00872C97">
      <w:pPr>
        <w:pStyle w:val="CETBodytext"/>
        <w:rPr>
          <w:lang w:val="en-GB"/>
        </w:rPr>
      </w:pPr>
      <w:r w:rsidRPr="00872C97">
        <w:rPr>
          <w:lang w:val="en-GB"/>
        </w:rPr>
        <w:t xml:space="preserve">Two sensory tests were conducted with 20 semi-trained panelists </w:t>
      </w:r>
      <w:r w:rsidR="001B5565" w:rsidRPr="00872C97">
        <w:rPr>
          <w:lang w:val="en-GB"/>
        </w:rPr>
        <w:t xml:space="preserve">just </w:t>
      </w:r>
      <w:r w:rsidRPr="00872C97">
        <w:rPr>
          <w:lang w:val="en-GB"/>
        </w:rPr>
        <w:t>on sample</w:t>
      </w:r>
      <w:r w:rsidR="00074575">
        <w:rPr>
          <w:lang w:val="en-GB"/>
        </w:rPr>
        <w:t>s</w:t>
      </w:r>
      <w:r w:rsidRPr="00872C97">
        <w:rPr>
          <w:lang w:val="en-GB"/>
        </w:rPr>
        <w:t xml:space="preserve"> T0. The Duo-Trio Test involved the identification of the sample (A</w:t>
      </w:r>
      <w:r w:rsidR="00B06141" w:rsidRPr="00872C97">
        <w:rPr>
          <w:lang w:val="en-GB"/>
        </w:rPr>
        <w:t xml:space="preserve">: </w:t>
      </w:r>
      <w:r w:rsidRPr="00872C97">
        <w:rPr>
          <w:lang w:val="en-GB"/>
        </w:rPr>
        <w:t>NoHPP or B</w:t>
      </w:r>
      <w:r w:rsidR="00B06141" w:rsidRPr="00872C97">
        <w:rPr>
          <w:lang w:val="en-GB"/>
        </w:rPr>
        <w:t xml:space="preserve">: </w:t>
      </w:r>
      <w:r w:rsidRPr="00872C97">
        <w:rPr>
          <w:lang w:val="en-GB"/>
        </w:rPr>
        <w:t>HPP) most similar to a random reference R</w:t>
      </w:r>
      <w:r w:rsidR="00DC3D3E" w:rsidRPr="00872C97">
        <w:rPr>
          <w:lang w:val="en-GB"/>
        </w:rPr>
        <w:t xml:space="preserve"> (A or B)</w:t>
      </w:r>
      <w:r w:rsidRPr="00872C97">
        <w:rPr>
          <w:lang w:val="en-GB"/>
        </w:rPr>
        <w:t xml:space="preserve">. </w:t>
      </w:r>
      <w:r w:rsidR="001B5565" w:rsidRPr="00872C97">
        <w:rPr>
          <w:lang w:val="en-GB"/>
        </w:rPr>
        <w:t>While t</w:t>
      </w:r>
      <w:r w:rsidRPr="00872C97">
        <w:rPr>
          <w:lang w:val="en-GB"/>
        </w:rPr>
        <w:t>he Sensory Descriptive Analysis, based on Giudici et al. (2021) with modifications, used a 0-10 scale to evaluate eight attributes of the mango ice cream: appearance, melting speed, granularity, cold sensation, sweetness, intensity of taste, persistence of taste and presence of off-flavour (0=totally unpleasant/absent; 10=totally pleasant/present). The overall assessment was calculated by summing the averages of the values of all attributes for each sample.</w:t>
      </w:r>
    </w:p>
    <w:p w14:paraId="49AE0179" w14:textId="357ED389" w:rsidR="00CA7835" w:rsidRPr="00872C97" w:rsidRDefault="00CA7835" w:rsidP="00872C97">
      <w:pPr>
        <w:pStyle w:val="CETheadingx"/>
      </w:pPr>
      <w:r w:rsidRPr="00872C97">
        <w:t>Statistical Analyses</w:t>
      </w:r>
    </w:p>
    <w:p w14:paraId="77F0144D" w14:textId="5CEBF2A5" w:rsidR="00A16B5B" w:rsidRPr="00872C97" w:rsidRDefault="00CA7835" w:rsidP="00872C97">
      <w:pPr>
        <w:pStyle w:val="CETBodytext"/>
        <w:rPr>
          <w:lang w:val="en-GB"/>
        </w:rPr>
      </w:pPr>
      <w:r w:rsidRPr="00872C97">
        <w:rPr>
          <w:lang w:val="en-GB"/>
        </w:rPr>
        <w:t>For Statistical Analysis, Student’s t test was performed with R 4.1.3 (R Foundation for Statistical Computing) to evaluate comparison between treated experimental sample (HPP) and untreated control sample (NoHPP) at any stage of storage taken into consideration.</w:t>
      </w:r>
    </w:p>
    <w:p w14:paraId="677EBFF0" w14:textId="75BC1594" w:rsidR="00600535" w:rsidRPr="00872C97" w:rsidRDefault="00CA7835" w:rsidP="00872C97">
      <w:pPr>
        <w:pStyle w:val="CETHeading1"/>
        <w:tabs>
          <w:tab w:val="clear" w:pos="360"/>
          <w:tab w:val="right" w:pos="7100"/>
        </w:tabs>
        <w:jc w:val="both"/>
        <w:rPr>
          <w:lang w:val="en-GB"/>
        </w:rPr>
      </w:pPr>
      <w:r w:rsidRPr="00872C97">
        <w:rPr>
          <w:lang w:val="en-GB"/>
        </w:rPr>
        <w:t>Results and Discussion</w:t>
      </w:r>
    </w:p>
    <w:p w14:paraId="04963A06" w14:textId="5353398D" w:rsidR="00600535" w:rsidRPr="00872C97" w:rsidRDefault="006B79BF" w:rsidP="00872C97">
      <w:pPr>
        <w:pStyle w:val="CETheadingx"/>
      </w:pPr>
      <w:r w:rsidRPr="00872C97">
        <w:t>Microbial count evolution</w:t>
      </w:r>
    </w:p>
    <w:p w14:paraId="73100226" w14:textId="5857FC70" w:rsidR="00E73A6D" w:rsidRPr="00872C97" w:rsidRDefault="005C0C24" w:rsidP="00872C97">
      <w:pPr>
        <w:pStyle w:val="CETListbullets"/>
        <w:ind w:left="0" w:firstLine="0"/>
        <w:rPr>
          <w:lang w:val="en-US"/>
        </w:rPr>
      </w:pPr>
      <w:r w:rsidRPr="00872C97">
        <w:t xml:space="preserve">The </w:t>
      </w:r>
      <w:r w:rsidR="000B563E" w:rsidRPr="00872C97">
        <w:t xml:space="preserve">mango puree and the </w:t>
      </w:r>
      <w:r w:rsidR="00E07FB3" w:rsidRPr="00872C97">
        <w:t>NoHPP</w:t>
      </w:r>
      <w:r w:rsidR="00EA139F" w:rsidRPr="00872C97">
        <w:t xml:space="preserve"> and </w:t>
      </w:r>
      <w:r w:rsidR="00E07FB3" w:rsidRPr="00872C97">
        <w:t>HPP</w:t>
      </w:r>
      <w:r w:rsidR="00EA139F" w:rsidRPr="00872C97">
        <w:t xml:space="preserve"> </w:t>
      </w:r>
      <w:r w:rsidR="00FC3596" w:rsidRPr="00872C97">
        <w:t>gelato</w:t>
      </w:r>
      <w:r w:rsidR="000B563E" w:rsidRPr="00872C97">
        <w:t xml:space="preserve"> </w:t>
      </w:r>
      <w:r w:rsidR="00834B03" w:rsidRPr="00872C97">
        <w:t>mixture</w:t>
      </w:r>
      <w:r w:rsidR="00CB4C19" w:rsidRPr="00872C97">
        <w:t>s</w:t>
      </w:r>
      <w:r w:rsidR="00834B03" w:rsidRPr="00872C97">
        <w:t xml:space="preserve"> </w:t>
      </w:r>
      <w:r w:rsidRPr="00872C97">
        <w:t>produced in this study were subjected to plate counts to assess the presence of the main undesired population</w:t>
      </w:r>
      <w:r w:rsidR="00CB4C19" w:rsidRPr="00872C97">
        <w:t>s</w:t>
      </w:r>
      <w:r w:rsidRPr="00872C97">
        <w:t xml:space="preserve"> associated to foods (Barbosa et al., 2021).</w:t>
      </w:r>
      <w:r w:rsidR="004B3CB8" w:rsidRPr="00872C97">
        <w:t xml:space="preserve"> </w:t>
      </w:r>
      <w:r w:rsidR="00361119" w:rsidRPr="00872C97">
        <w:t xml:space="preserve">All samples </w:t>
      </w:r>
      <w:r w:rsidR="00361119" w:rsidRPr="00872C97">
        <w:rPr>
          <w:color w:val="000000"/>
          <w:szCs w:val="22"/>
        </w:rPr>
        <w:t xml:space="preserve">did not host detectable levels of </w:t>
      </w:r>
      <w:r w:rsidR="00FE5649" w:rsidRPr="00872C97">
        <w:rPr>
          <w:color w:val="000000"/>
          <w:szCs w:val="22"/>
        </w:rPr>
        <w:t xml:space="preserve">CPS, </w:t>
      </w:r>
      <w:r w:rsidR="00FE5649" w:rsidRPr="00872C97">
        <w:rPr>
          <w:i/>
          <w:iCs/>
          <w:color w:val="000000"/>
          <w:szCs w:val="22"/>
        </w:rPr>
        <w:t>L</w:t>
      </w:r>
      <w:r w:rsidR="0092513A" w:rsidRPr="00872C97">
        <w:rPr>
          <w:i/>
          <w:iCs/>
          <w:color w:val="000000"/>
          <w:szCs w:val="22"/>
        </w:rPr>
        <w:t>. m</w:t>
      </w:r>
      <w:r w:rsidR="00FE5649" w:rsidRPr="00872C97">
        <w:rPr>
          <w:i/>
          <w:iCs/>
          <w:color w:val="000000"/>
          <w:szCs w:val="22"/>
        </w:rPr>
        <w:t>onocytogenes</w:t>
      </w:r>
      <w:r w:rsidR="00FE5649" w:rsidRPr="00872C97">
        <w:rPr>
          <w:color w:val="000000"/>
          <w:szCs w:val="22"/>
        </w:rPr>
        <w:t xml:space="preserve">, </w:t>
      </w:r>
      <w:r w:rsidR="00FE5649" w:rsidRPr="00872C97">
        <w:rPr>
          <w:i/>
          <w:iCs/>
          <w:color w:val="000000"/>
          <w:szCs w:val="22"/>
        </w:rPr>
        <w:t>E</w:t>
      </w:r>
      <w:r w:rsidR="0092513A" w:rsidRPr="00872C97">
        <w:rPr>
          <w:i/>
          <w:iCs/>
          <w:color w:val="000000"/>
          <w:szCs w:val="22"/>
        </w:rPr>
        <w:t>.</w:t>
      </w:r>
      <w:r w:rsidR="00FE5649" w:rsidRPr="00872C97">
        <w:rPr>
          <w:i/>
          <w:iCs/>
          <w:color w:val="000000"/>
          <w:szCs w:val="22"/>
        </w:rPr>
        <w:t xml:space="preserve"> coli</w:t>
      </w:r>
      <w:r w:rsidR="00FE5649" w:rsidRPr="00872C97">
        <w:rPr>
          <w:color w:val="000000"/>
          <w:szCs w:val="22"/>
        </w:rPr>
        <w:t xml:space="preserve">, and </w:t>
      </w:r>
      <w:r w:rsidR="00FE5649" w:rsidRPr="00872C97">
        <w:rPr>
          <w:i/>
          <w:iCs/>
          <w:color w:val="000000"/>
          <w:szCs w:val="22"/>
        </w:rPr>
        <w:t>Salmonella</w:t>
      </w:r>
      <w:r w:rsidR="00FE5649" w:rsidRPr="00872C97">
        <w:rPr>
          <w:color w:val="000000"/>
          <w:szCs w:val="22"/>
        </w:rPr>
        <w:t xml:space="preserve"> </w:t>
      </w:r>
      <w:r w:rsidR="007D792F" w:rsidRPr="00872C97">
        <w:rPr>
          <w:color w:val="000000"/>
          <w:szCs w:val="22"/>
        </w:rPr>
        <w:t>spp.</w:t>
      </w:r>
      <w:r w:rsidR="0092513A" w:rsidRPr="00872C97">
        <w:rPr>
          <w:color w:val="000000"/>
          <w:szCs w:val="22"/>
        </w:rPr>
        <w:t xml:space="preserve"> </w:t>
      </w:r>
      <w:r w:rsidR="00780E74" w:rsidRPr="00872C97">
        <w:rPr>
          <w:color w:val="000000"/>
          <w:szCs w:val="22"/>
        </w:rPr>
        <w:t>These bacteria are key indicators of food hygiene and safety (Commission Regulation, 2073/2005)</w:t>
      </w:r>
      <w:r w:rsidR="009A1AF1" w:rsidRPr="00872C97">
        <w:rPr>
          <w:color w:val="000000"/>
          <w:szCs w:val="22"/>
        </w:rPr>
        <w:t>.</w:t>
      </w:r>
      <w:r w:rsidR="0023682E" w:rsidRPr="00872C97">
        <w:rPr>
          <w:color w:val="000000"/>
          <w:szCs w:val="22"/>
        </w:rPr>
        <w:t xml:space="preserve"> No colonies of molds responsible for </w:t>
      </w:r>
      <w:r w:rsidR="001F6300" w:rsidRPr="00872C97">
        <w:rPr>
          <w:color w:val="000000"/>
          <w:szCs w:val="22"/>
        </w:rPr>
        <w:t xml:space="preserve">microbial </w:t>
      </w:r>
      <w:r w:rsidR="00F42F77" w:rsidRPr="00872C97">
        <w:rPr>
          <w:color w:val="000000"/>
          <w:szCs w:val="22"/>
        </w:rPr>
        <w:t>decay</w:t>
      </w:r>
      <w:r w:rsidR="0023682E" w:rsidRPr="00872C97">
        <w:rPr>
          <w:color w:val="000000"/>
          <w:szCs w:val="22"/>
        </w:rPr>
        <w:t xml:space="preserve"> (Azad et al., 2019) were detected in any of the analysed samples.</w:t>
      </w:r>
      <w:r w:rsidR="00C86B54" w:rsidRPr="00872C97">
        <w:rPr>
          <w:color w:val="000000"/>
          <w:szCs w:val="22"/>
        </w:rPr>
        <w:t xml:space="preserve"> </w:t>
      </w:r>
      <w:r w:rsidR="00CD1BC1" w:rsidRPr="00872C97">
        <w:rPr>
          <w:color w:val="000000"/>
          <w:szCs w:val="22"/>
        </w:rPr>
        <w:t>The mango puree exhibited TMM, TPM, and pseudomonad levels of 2</w:t>
      </w:r>
      <w:r w:rsidR="005D130C" w:rsidRPr="00872C97">
        <w:rPr>
          <w:color w:val="000000"/>
          <w:szCs w:val="22"/>
        </w:rPr>
        <w:t>.</w:t>
      </w:r>
      <w:r w:rsidR="00CD1BC1" w:rsidRPr="00872C97">
        <w:rPr>
          <w:color w:val="000000"/>
          <w:szCs w:val="22"/>
        </w:rPr>
        <w:t>4</w:t>
      </w:r>
      <w:r w:rsidR="004A5572" w:rsidRPr="00872C97">
        <w:rPr>
          <w:color w:val="000000"/>
          <w:szCs w:val="22"/>
        </w:rPr>
        <w:t>6</w:t>
      </w:r>
      <w:r w:rsidR="00CD1BC1" w:rsidRPr="00872C97">
        <w:rPr>
          <w:color w:val="000000"/>
          <w:szCs w:val="22"/>
        </w:rPr>
        <w:t>, 2</w:t>
      </w:r>
      <w:r w:rsidR="005D130C" w:rsidRPr="00872C97">
        <w:rPr>
          <w:color w:val="000000"/>
          <w:szCs w:val="22"/>
        </w:rPr>
        <w:t>.</w:t>
      </w:r>
      <w:r w:rsidR="004A5572" w:rsidRPr="00872C97">
        <w:rPr>
          <w:color w:val="000000"/>
          <w:szCs w:val="22"/>
        </w:rPr>
        <w:t>3</w:t>
      </w:r>
      <w:r w:rsidR="00CD1BC1" w:rsidRPr="00872C97">
        <w:rPr>
          <w:color w:val="000000"/>
          <w:szCs w:val="22"/>
        </w:rPr>
        <w:t>9 and 2</w:t>
      </w:r>
      <w:r w:rsidR="005D130C" w:rsidRPr="00872C97">
        <w:rPr>
          <w:color w:val="000000"/>
          <w:szCs w:val="22"/>
        </w:rPr>
        <w:t>.</w:t>
      </w:r>
      <w:r w:rsidR="00CD1BC1" w:rsidRPr="00872C97">
        <w:rPr>
          <w:color w:val="000000"/>
          <w:szCs w:val="22"/>
        </w:rPr>
        <w:t>35</w:t>
      </w:r>
      <w:r w:rsidR="00AD3A7F" w:rsidRPr="00872C97">
        <w:rPr>
          <w:color w:val="000000"/>
          <w:szCs w:val="22"/>
        </w:rPr>
        <w:t xml:space="preserve"> </w:t>
      </w:r>
      <w:r w:rsidR="006F56E5" w:rsidRPr="00872C97">
        <w:rPr>
          <w:color w:val="000000"/>
          <w:szCs w:val="22"/>
        </w:rPr>
        <w:t>Log CFU/mL</w:t>
      </w:r>
      <w:r w:rsidR="00CD1BC1" w:rsidRPr="00872C97">
        <w:rPr>
          <w:color w:val="000000"/>
          <w:szCs w:val="22"/>
        </w:rPr>
        <w:t xml:space="preserve"> respectively, suggesting that the microbial populations in this fruit puree were predominantly composed of psychrotrophic bacteria</w:t>
      </w:r>
      <w:r w:rsidR="004D5B9C" w:rsidRPr="00872C97">
        <w:rPr>
          <w:color w:val="000000"/>
          <w:szCs w:val="22"/>
        </w:rPr>
        <w:t>.</w:t>
      </w:r>
      <w:r w:rsidR="00914486" w:rsidRPr="00872C97">
        <w:rPr>
          <w:color w:val="000000"/>
          <w:szCs w:val="22"/>
        </w:rPr>
        <w:t xml:space="preserve"> Similar results were previously reported by</w:t>
      </w:r>
      <w:r w:rsidR="009A5466" w:rsidRPr="00872C97">
        <w:t xml:space="preserve"> Adjou et al. (2017) for </w:t>
      </w:r>
      <w:r w:rsidR="00B32D08" w:rsidRPr="00872C97">
        <w:t>mango puree</w:t>
      </w:r>
      <w:r w:rsidR="000F7295" w:rsidRPr="00872C97">
        <w:t>s</w:t>
      </w:r>
      <w:r w:rsidR="00B32D08" w:rsidRPr="00872C97">
        <w:t xml:space="preserve"> soon after production.</w:t>
      </w:r>
      <w:r w:rsidR="00DE7184" w:rsidRPr="00872C97">
        <w:t xml:space="preserve"> </w:t>
      </w:r>
      <w:r w:rsidR="00746EBD" w:rsidRPr="00872C97">
        <w:t>The evolution of microbiological populations</w:t>
      </w:r>
      <w:r w:rsidR="00DE7184" w:rsidRPr="00872C97">
        <w:t xml:space="preserve"> in </w:t>
      </w:r>
      <w:r w:rsidR="00E07FB3" w:rsidRPr="00872C97">
        <w:t>NoHPP</w:t>
      </w:r>
      <w:r w:rsidR="00DE7184" w:rsidRPr="00872C97">
        <w:t xml:space="preserve"> and </w:t>
      </w:r>
      <w:r w:rsidR="00E07FB3" w:rsidRPr="00872C97">
        <w:t>HPP</w:t>
      </w:r>
      <w:r w:rsidR="00DE7184" w:rsidRPr="00872C97">
        <w:t xml:space="preserve"> mango </w:t>
      </w:r>
      <w:r w:rsidR="00FC3596" w:rsidRPr="00872C97">
        <w:t>gelato</w:t>
      </w:r>
      <w:r w:rsidR="00DE7184" w:rsidRPr="00872C97">
        <w:t xml:space="preserve"> samples during refrigerated storage are reported in Table 1.</w:t>
      </w:r>
      <w:r w:rsidR="000020A9" w:rsidRPr="00872C97">
        <w:t xml:space="preserve"> </w:t>
      </w:r>
      <w:r w:rsidR="00E73A6D" w:rsidRPr="00872C97">
        <w:t xml:space="preserve">Statistically significant differences between the trials were observed after 7 days of refrigerated storage. In the </w:t>
      </w:r>
      <w:r w:rsidR="00E07FB3" w:rsidRPr="00872C97">
        <w:t>NoHPP</w:t>
      </w:r>
      <w:r w:rsidR="00E73A6D" w:rsidRPr="00872C97">
        <w:t xml:space="preserve"> sample, TMM and yeasts were approximately 10</w:t>
      </w:r>
      <w:r w:rsidR="00E73A6D" w:rsidRPr="00872C97">
        <w:rPr>
          <w:vertAlign w:val="superscript"/>
        </w:rPr>
        <w:t>4</w:t>
      </w:r>
      <w:r w:rsidR="00E73A6D" w:rsidRPr="00872C97">
        <w:t xml:space="preserve"> and 10</w:t>
      </w:r>
      <w:r w:rsidR="00E73A6D" w:rsidRPr="00872C97">
        <w:rPr>
          <w:vertAlign w:val="superscript"/>
        </w:rPr>
        <w:t>3</w:t>
      </w:r>
      <w:r w:rsidR="00AD3A7F" w:rsidRPr="00872C97">
        <w:rPr>
          <w:vertAlign w:val="superscript"/>
        </w:rPr>
        <w:t xml:space="preserve"> </w:t>
      </w:r>
      <w:r w:rsidR="00E73A6D" w:rsidRPr="00872C97">
        <w:t>CFU/mL, respectively, whereas they remained undetectable up to 15 days in the HPP-treated mixture samples.</w:t>
      </w:r>
      <w:r w:rsidR="00C2220F" w:rsidRPr="00872C97">
        <w:t xml:space="preserve"> </w:t>
      </w:r>
    </w:p>
    <w:p w14:paraId="7D41CDB2" w14:textId="7186A55E" w:rsidR="00EC1ADB" w:rsidRPr="00872C97" w:rsidRDefault="00EC1ADB" w:rsidP="00872C97">
      <w:pPr>
        <w:keepNext/>
        <w:spacing w:before="240" w:after="80" w:line="240" w:lineRule="exact"/>
        <w:rPr>
          <w:i/>
          <w:iCs/>
        </w:rPr>
      </w:pPr>
      <w:r w:rsidRPr="00872C97">
        <w:rPr>
          <w:i/>
        </w:rPr>
        <w:t xml:space="preserve">Table </w:t>
      </w:r>
      <w:r w:rsidR="00B84B62" w:rsidRPr="00872C97">
        <w:rPr>
          <w:i/>
        </w:rPr>
        <w:t>2</w:t>
      </w:r>
      <w:r w:rsidRPr="00872C97">
        <w:rPr>
          <w:i/>
        </w:rPr>
        <w:t xml:space="preserve">: </w:t>
      </w:r>
      <w:r w:rsidRPr="00872C97">
        <w:rPr>
          <w:i/>
          <w:iCs/>
        </w:rPr>
        <w:t xml:space="preserve">Microbial </w:t>
      </w:r>
      <w:r w:rsidR="008932FD" w:rsidRPr="00872C97">
        <w:rPr>
          <w:i/>
          <w:iCs/>
        </w:rPr>
        <w:t xml:space="preserve">evolution during refrigerated storage of untreated and HPP-treated </w:t>
      </w:r>
      <w:r w:rsidR="00FC3596" w:rsidRPr="00872C97">
        <w:rPr>
          <w:i/>
          <w:iCs/>
        </w:rPr>
        <w:t>gelato</w:t>
      </w:r>
      <w:r w:rsidR="008932FD" w:rsidRPr="00872C97">
        <w:rPr>
          <w:i/>
          <w:iCs/>
        </w:rPr>
        <w:t xml:space="preserve"> mixture</w:t>
      </w:r>
      <w:r w:rsidR="00B4592E" w:rsidRPr="00872C97">
        <w:rPr>
          <w:i/>
          <w:iCs/>
        </w:rPr>
        <w:t>s</w:t>
      </w:r>
      <w:r w:rsidRPr="00872C97">
        <w:rPr>
          <w:i/>
          <w:iCs/>
        </w:rPr>
        <w:t>.</w:t>
      </w:r>
    </w:p>
    <w:tbl>
      <w:tblPr>
        <w:tblW w:w="861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020"/>
        <w:gridCol w:w="208"/>
        <w:gridCol w:w="812"/>
        <w:gridCol w:w="1587"/>
        <w:gridCol w:w="1701"/>
        <w:gridCol w:w="1020"/>
      </w:tblGrid>
      <w:tr w:rsidR="00EC1ADB" w:rsidRPr="00872C97" w14:paraId="5A2DCF6C" w14:textId="77777777" w:rsidTr="00AA1474">
        <w:tc>
          <w:tcPr>
            <w:tcW w:w="1134" w:type="dxa"/>
            <w:vMerge w:val="restart"/>
            <w:tcBorders>
              <w:top w:val="single" w:sz="12" w:space="0" w:color="008000"/>
              <w:bottom w:val="single" w:sz="4" w:space="0" w:color="auto"/>
            </w:tcBorders>
            <w:shd w:val="clear" w:color="auto" w:fill="FFFFFF"/>
            <w:vAlign w:val="center"/>
          </w:tcPr>
          <w:p w14:paraId="607D2EDB" w14:textId="77777777" w:rsidR="00EC1ADB" w:rsidRPr="00872C97" w:rsidRDefault="00EC1ADB" w:rsidP="00872C97">
            <w:r w:rsidRPr="00872C97">
              <w:t>Storage time</w:t>
            </w:r>
          </w:p>
        </w:tc>
        <w:tc>
          <w:tcPr>
            <w:tcW w:w="1134" w:type="dxa"/>
            <w:vMerge w:val="restart"/>
            <w:tcBorders>
              <w:top w:val="single" w:sz="12" w:space="0" w:color="008000"/>
              <w:bottom w:val="single" w:sz="4" w:space="0" w:color="auto"/>
            </w:tcBorders>
            <w:shd w:val="clear" w:color="auto" w:fill="FFFFFF"/>
            <w:vAlign w:val="center"/>
          </w:tcPr>
          <w:p w14:paraId="3D7B77E0" w14:textId="77777777" w:rsidR="00EC1ADB" w:rsidRPr="00872C97" w:rsidRDefault="00EC1ADB" w:rsidP="00872C97">
            <w:r w:rsidRPr="00872C97">
              <w:t>Samples</w:t>
            </w:r>
          </w:p>
        </w:tc>
        <w:tc>
          <w:tcPr>
            <w:tcW w:w="1228" w:type="dxa"/>
            <w:gridSpan w:val="2"/>
            <w:tcBorders>
              <w:top w:val="single" w:sz="12" w:space="0" w:color="008000"/>
              <w:bottom w:val="single" w:sz="4" w:space="0" w:color="auto"/>
            </w:tcBorders>
            <w:shd w:val="clear" w:color="auto" w:fill="FFFFFF"/>
          </w:tcPr>
          <w:p w14:paraId="44B2B0EE" w14:textId="77777777" w:rsidR="00EC1ADB" w:rsidRPr="00872C97" w:rsidRDefault="00EC1ADB" w:rsidP="00872C97">
            <w:pPr>
              <w:ind w:right="-1"/>
              <w:rPr>
                <w:rFonts w:cs="Arial"/>
                <w:szCs w:val="18"/>
              </w:rPr>
            </w:pPr>
            <w:r w:rsidRPr="00872C97">
              <w:rPr>
                <w:rFonts w:cs="Arial"/>
                <w:szCs w:val="18"/>
              </w:rPr>
              <w:t>Microbial loads</w:t>
            </w:r>
          </w:p>
        </w:tc>
        <w:tc>
          <w:tcPr>
            <w:tcW w:w="5120" w:type="dxa"/>
            <w:gridSpan w:val="4"/>
            <w:tcBorders>
              <w:top w:val="single" w:sz="12" w:space="0" w:color="008000"/>
              <w:bottom w:val="single" w:sz="4" w:space="0" w:color="auto"/>
            </w:tcBorders>
            <w:shd w:val="clear" w:color="auto" w:fill="FFFFFF"/>
          </w:tcPr>
          <w:p w14:paraId="163A6B29" w14:textId="77777777" w:rsidR="00EC1ADB" w:rsidRPr="00872C97" w:rsidRDefault="00EC1ADB" w:rsidP="00872C97">
            <w:pPr>
              <w:ind w:right="-1"/>
              <w:rPr>
                <w:rFonts w:cs="Arial"/>
                <w:szCs w:val="18"/>
              </w:rPr>
            </w:pPr>
          </w:p>
        </w:tc>
      </w:tr>
      <w:tr w:rsidR="00EC1ADB" w:rsidRPr="00872C97" w14:paraId="734FAE1B" w14:textId="77777777" w:rsidTr="00AA1474">
        <w:tc>
          <w:tcPr>
            <w:tcW w:w="1134" w:type="dxa"/>
            <w:vMerge/>
            <w:tcBorders>
              <w:top w:val="nil"/>
              <w:bottom w:val="single" w:sz="4" w:space="0" w:color="auto"/>
            </w:tcBorders>
            <w:shd w:val="clear" w:color="auto" w:fill="FFFFFF"/>
            <w:vAlign w:val="center"/>
          </w:tcPr>
          <w:p w14:paraId="2A7B3FAC" w14:textId="77777777" w:rsidR="00EC1ADB" w:rsidRPr="00872C97" w:rsidRDefault="00EC1ADB" w:rsidP="00872C97"/>
        </w:tc>
        <w:tc>
          <w:tcPr>
            <w:tcW w:w="1134" w:type="dxa"/>
            <w:vMerge/>
            <w:tcBorders>
              <w:top w:val="nil"/>
              <w:bottom w:val="single" w:sz="4" w:space="0" w:color="auto"/>
            </w:tcBorders>
            <w:shd w:val="clear" w:color="auto" w:fill="FFFFFF"/>
            <w:vAlign w:val="center"/>
          </w:tcPr>
          <w:p w14:paraId="5546705E" w14:textId="77777777" w:rsidR="00EC1ADB" w:rsidRPr="00872C97" w:rsidRDefault="00EC1ADB" w:rsidP="00872C97"/>
        </w:tc>
        <w:tc>
          <w:tcPr>
            <w:tcW w:w="1020" w:type="dxa"/>
            <w:tcBorders>
              <w:top w:val="single" w:sz="4" w:space="0" w:color="auto"/>
              <w:bottom w:val="single" w:sz="4" w:space="0" w:color="auto"/>
            </w:tcBorders>
            <w:shd w:val="clear" w:color="auto" w:fill="FFFFFF"/>
          </w:tcPr>
          <w:p w14:paraId="0A51998C" w14:textId="77777777" w:rsidR="00EC1ADB" w:rsidRPr="00872C97" w:rsidRDefault="00EC1ADB" w:rsidP="00872C97">
            <w:r w:rsidRPr="00872C97">
              <w:t>TMM</w:t>
            </w:r>
          </w:p>
        </w:tc>
        <w:tc>
          <w:tcPr>
            <w:tcW w:w="1020" w:type="dxa"/>
            <w:gridSpan w:val="2"/>
            <w:tcBorders>
              <w:top w:val="single" w:sz="4" w:space="0" w:color="auto"/>
              <w:bottom w:val="single" w:sz="4" w:space="0" w:color="auto"/>
            </w:tcBorders>
            <w:shd w:val="clear" w:color="auto" w:fill="FFFFFF"/>
          </w:tcPr>
          <w:p w14:paraId="777C49B3" w14:textId="77777777" w:rsidR="00EC1ADB" w:rsidRPr="00872C97" w:rsidRDefault="00EC1ADB" w:rsidP="00872C97">
            <w:r w:rsidRPr="00872C97">
              <w:t>TPM</w:t>
            </w:r>
          </w:p>
        </w:tc>
        <w:tc>
          <w:tcPr>
            <w:tcW w:w="1587" w:type="dxa"/>
            <w:tcBorders>
              <w:top w:val="single" w:sz="4" w:space="0" w:color="auto"/>
              <w:bottom w:val="single" w:sz="4" w:space="0" w:color="auto"/>
            </w:tcBorders>
            <w:shd w:val="clear" w:color="auto" w:fill="FFFFFF"/>
          </w:tcPr>
          <w:p w14:paraId="762460EB" w14:textId="77777777" w:rsidR="00EC1ADB" w:rsidRPr="00872C97" w:rsidRDefault="00EC1ADB" w:rsidP="00872C97">
            <w:r w:rsidRPr="00872C97">
              <w:t>Pseudomonads</w:t>
            </w:r>
          </w:p>
        </w:tc>
        <w:tc>
          <w:tcPr>
            <w:tcW w:w="1701" w:type="dxa"/>
            <w:tcBorders>
              <w:top w:val="single" w:sz="4" w:space="0" w:color="auto"/>
              <w:bottom w:val="single" w:sz="4" w:space="0" w:color="auto"/>
            </w:tcBorders>
            <w:shd w:val="clear" w:color="auto" w:fill="FFFFFF"/>
          </w:tcPr>
          <w:p w14:paraId="6CA7122D" w14:textId="77777777" w:rsidR="00EC1ADB" w:rsidRPr="00872C97" w:rsidRDefault="00EC1ADB" w:rsidP="00872C97">
            <w:r w:rsidRPr="00872C97">
              <w:rPr>
                <w:rFonts w:cs="Arial"/>
                <w:szCs w:val="18"/>
              </w:rPr>
              <w:t>Enterobacteriaceae</w:t>
            </w:r>
          </w:p>
        </w:tc>
        <w:tc>
          <w:tcPr>
            <w:tcW w:w="1020" w:type="dxa"/>
            <w:tcBorders>
              <w:top w:val="single" w:sz="4" w:space="0" w:color="auto"/>
              <w:bottom w:val="single" w:sz="4" w:space="0" w:color="auto"/>
            </w:tcBorders>
            <w:shd w:val="clear" w:color="auto" w:fill="FFFFFF"/>
          </w:tcPr>
          <w:p w14:paraId="60713D75" w14:textId="77777777" w:rsidR="00EC1ADB" w:rsidRPr="00872C97" w:rsidRDefault="00EC1ADB" w:rsidP="00872C97">
            <w:r w:rsidRPr="00872C97">
              <w:rPr>
                <w:rFonts w:cs="Arial"/>
                <w:szCs w:val="18"/>
              </w:rPr>
              <w:t>Yeast</w:t>
            </w:r>
          </w:p>
        </w:tc>
      </w:tr>
      <w:tr w:rsidR="00EC1ADB" w:rsidRPr="00872C97" w14:paraId="6929B1A7" w14:textId="77777777" w:rsidTr="00AA1474">
        <w:trPr>
          <w:trHeight w:val="60"/>
        </w:trPr>
        <w:tc>
          <w:tcPr>
            <w:tcW w:w="1134" w:type="dxa"/>
            <w:vMerge w:val="restart"/>
            <w:shd w:val="clear" w:color="auto" w:fill="FFFFFF"/>
            <w:vAlign w:val="center"/>
          </w:tcPr>
          <w:p w14:paraId="61FB9514" w14:textId="77777777" w:rsidR="00EC1ADB" w:rsidRPr="00872C97" w:rsidRDefault="00EC1ADB" w:rsidP="00872C97">
            <w:r w:rsidRPr="00872C97">
              <w:t>0</w:t>
            </w:r>
          </w:p>
        </w:tc>
        <w:tc>
          <w:tcPr>
            <w:tcW w:w="1134" w:type="dxa"/>
            <w:shd w:val="clear" w:color="auto" w:fill="FFFFFF"/>
          </w:tcPr>
          <w:p w14:paraId="0B931861" w14:textId="77777777" w:rsidR="00EC1ADB" w:rsidRPr="00872C97" w:rsidRDefault="00EC1ADB" w:rsidP="00872C97">
            <w:r w:rsidRPr="00872C97">
              <w:rPr>
                <w:lang w:val="en-US"/>
              </w:rPr>
              <w:t>NoHPP</w:t>
            </w:r>
          </w:p>
        </w:tc>
        <w:tc>
          <w:tcPr>
            <w:tcW w:w="1020" w:type="dxa"/>
            <w:shd w:val="clear" w:color="auto" w:fill="FFFFFF"/>
          </w:tcPr>
          <w:p w14:paraId="251AFB3C" w14:textId="07006772" w:rsidR="00EC1ADB" w:rsidRPr="00872C97" w:rsidRDefault="00EC1ADB" w:rsidP="00872C97">
            <w:r w:rsidRPr="00872C97">
              <w:t>2.99±0.02</w:t>
            </w:r>
            <w:r w:rsidR="00F44470" w:rsidRPr="00872C97">
              <w:t>a</w:t>
            </w:r>
          </w:p>
        </w:tc>
        <w:tc>
          <w:tcPr>
            <w:tcW w:w="1020" w:type="dxa"/>
            <w:gridSpan w:val="2"/>
            <w:shd w:val="clear" w:color="auto" w:fill="FFFFFF"/>
          </w:tcPr>
          <w:p w14:paraId="1724F6E7" w14:textId="77777777" w:rsidR="00EC1ADB" w:rsidRPr="00872C97" w:rsidRDefault="00EC1ADB" w:rsidP="00872C97">
            <w:r w:rsidRPr="00872C97">
              <w:t>&lt;1</w:t>
            </w:r>
          </w:p>
        </w:tc>
        <w:tc>
          <w:tcPr>
            <w:tcW w:w="1587" w:type="dxa"/>
            <w:shd w:val="clear" w:color="auto" w:fill="FFFFFF"/>
          </w:tcPr>
          <w:p w14:paraId="0020C80D" w14:textId="77777777" w:rsidR="00EC1ADB" w:rsidRPr="00872C97" w:rsidRDefault="00EC1ADB" w:rsidP="00872C97">
            <w:r w:rsidRPr="00872C97">
              <w:t>&lt;1</w:t>
            </w:r>
          </w:p>
        </w:tc>
        <w:tc>
          <w:tcPr>
            <w:tcW w:w="1701" w:type="dxa"/>
            <w:shd w:val="clear" w:color="auto" w:fill="FFFFFF"/>
          </w:tcPr>
          <w:p w14:paraId="04A73CD2" w14:textId="77777777" w:rsidR="00EC1ADB" w:rsidRPr="00872C97" w:rsidRDefault="00EC1ADB" w:rsidP="00872C97">
            <w:pPr>
              <w:ind w:right="-1"/>
            </w:pPr>
            <w:r w:rsidRPr="00872C97">
              <w:t>0</w:t>
            </w:r>
          </w:p>
        </w:tc>
        <w:tc>
          <w:tcPr>
            <w:tcW w:w="1020" w:type="dxa"/>
            <w:shd w:val="clear" w:color="auto" w:fill="FFFFFF"/>
          </w:tcPr>
          <w:p w14:paraId="1ED4EA35" w14:textId="77777777" w:rsidR="00EC1ADB" w:rsidRPr="00872C97" w:rsidRDefault="00EC1ADB" w:rsidP="00872C97">
            <w:pPr>
              <w:ind w:right="-1"/>
            </w:pPr>
            <w:r w:rsidRPr="00872C97">
              <w:t>&lt;1</w:t>
            </w:r>
          </w:p>
        </w:tc>
      </w:tr>
      <w:tr w:rsidR="00EC1ADB" w:rsidRPr="00872C97" w14:paraId="3179BA75" w14:textId="77777777" w:rsidTr="00AA1474">
        <w:tc>
          <w:tcPr>
            <w:tcW w:w="1134" w:type="dxa"/>
            <w:vMerge/>
            <w:shd w:val="clear" w:color="auto" w:fill="FFFFFF"/>
          </w:tcPr>
          <w:p w14:paraId="7F9148BD" w14:textId="77777777" w:rsidR="00EC1ADB" w:rsidRPr="00872C97" w:rsidRDefault="00EC1ADB" w:rsidP="00872C97"/>
        </w:tc>
        <w:tc>
          <w:tcPr>
            <w:tcW w:w="1134" w:type="dxa"/>
            <w:shd w:val="clear" w:color="auto" w:fill="FFFFFF"/>
          </w:tcPr>
          <w:p w14:paraId="03A086EE" w14:textId="77777777" w:rsidR="00EC1ADB" w:rsidRPr="00872C97" w:rsidRDefault="00EC1ADB" w:rsidP="00872C97">
            <w:pPr>
              <w:rPr>
                <w:lang w:val="en-US"/>
              </w:rPr>
            </w:pPr>
            <w:r w:rsidRPr="00872C97">
              <w:rPr>
                <w:lang w:val="en-US"/>
              </w:rPr>
              <w:t>HPP</w:t>
            </w:r>
          </w:p>
        </w:tc>
        <w:tc>
          <w:tcPr>
            <w:tcW w:w="1020" w:type="dxa"/>
            <w:shd w:val="clear" w:color="auto" w:fill="FFFFFF"/>
          </w:tcPr>
          <w:p w14:paraId="40650D23" w14:textId="358D2847" w:rsidR="00EC1ADB" w:rsidRPr="00872C97" w:rsidRDefault="00254108" w:rsidP="00872C97">
            <w:r w:rsidRPr="00872C97">
              <w:t>&lt;1</w:t>
            </w:r>
            <w:r w:rsidR="00F44470" w:rsidRPr="00872C97">
              <w:t>b</w:t>
            </w:r>
          </w:p>
        </w:tc>
        <w:tc>
          <w:tcPr>
            <w:tcW w:w="1020" w:type="dxa"/>
            <w:gridSpan w:val="2"/>
            <w:shd w:val="clear" w:color="auto" w:fill="FFFFFF"/>
          </w:tcPr>
          <w:p w14:paraId="7FB5C5C9" w14:textId="77777777" w:rsidR="00EC1ADB" w:rsidRPr="00872C97" w:rsidRDefault="00EC1ADB" w:rsidP="00872C97">
            <w:r w:rsidRPr="00872C97">
              <w:t>&lt;1</w:t>
            </w:r>
          </w:p>
        </w:tc>
        <w:tc>
          <w:tcPr>
            <w:tcW w:w="1587" w:type="dxa"/>
            <w:shd w:val="clear" w:color="auto" w:fill="FFFFFF"/>
          </w:tcPr>
          <w:p w14:paraId="7B71BA8F" w14:textId="77777777" w:rsidR="00EC1ADB" w:rsidRPr="00872C97" w:rsidRDefault="00EC1ADB" w:rsidP="00872C97">
            <w:r w:rsidRPr="00872C97">
              <w:t>&lt;1</w:t>
            </w:r>
          </w:p>
        </w:tc>
        <w:tc>
          <w:tcPr>
            <w:tcW w:w="1701" w:type="dxa"/>
            <w:shd w:val="clear" w:color="auto" w:fill="FFFFFF"/>
          </w:tcPr>
          <w:p w14:paraId="550EFA9B" w14:textId="77777777" w:rsidR="00EC1ADB" w:rsidRPr="00872C97" w:rsidRDefault="00EC1ADB" w:rsidP="00872C97">
            <w:pPr>
              <w:ind w:right="-1"/>
            </w:pPr>
            <w:r w:rsidRPr="00872C97">
              <w:t>0</w:t>
            </w:r>
          </w:p>
        </w:tc>
        <w:tc>
          <w:tcPr>
            <w:tcW w:w="1020" w:type="dxa"/>
            <w:shd w:val="clear" w:color="auto" w:fill="FFFFFF"/>
          </w:tcPr>
          <w:p w14:paraId="3AB0F37C" w14:textId="77777777" w:rsidR="00EC1ADB" w:rsidRPr="00872C97" w:rsidRDefault="00EC1ADB" w:rsidP="00872C97">
            <w:pPr>
              <w:ind w:right="-1"/>
            </w:pPr>
            <w:r w:rsidRPr="00872C97">
              <w:t>&lt;1</w:t>
            </w:r>
          </w:p>
        </w:tc>
      </w:tr>
      <w:tr w:rsidR="009330A1" w:rsidRPr="00872C97" w14:paraId="4ABC4939" w14:textId="77777777" w:rsidTr="00AA1474">
        <w:tc>
          <w:tcPr>
            <w:tcW w:w="1134" w:type="dxa"/>
            <w:vMerge/>
            <w:shd w:val="clear" w:color="auto" w:fill="FFFFFF"/>
          </w:tcPr>
          <w:p w14:paraId="25F2EF40" w14:textId="77777777" w:rsidR="009330A1" w:rsidRPr="00872C97" w:rsidRDefault="009330A1" w:rsidP="00872C97"/>
        </w:tc>
        <w:tc>
          <w:tcPr>
            <w:tcW w:w="1134" w:type="dxa"/>
            <w:shd w:val="clear" w:color="auto" w:fill="FFFFFF"/>
          </w:tcPr>
          <w:p w14:paraId="73D12E6F" w14:textId="77777777" w:rsidR="009330A1" w:rsidRPr="00872C97" w:rsidRDefault="009330A1" w:rsidP="00872C97">
            <w:pPr>
              <w:rPr>
                <w:lang w:val="en-US"/>
              </w:rPr>
            </w:pPr>
            <w:r w:rsidRPr="00872C97">
              <w:rPr>
                <w:lang w:val="en-US"/>
              </w:rPr>
              <w:t>SEM</w:t>
            </w:r>
          </w:p>
        </w:tc>
        <w:tc>
          <w:tcPr>
            <w:tcW w:w="1020" w:type="dxa"/>
            <w:shd w:val="clear" w:color="auto" w:fill="FFFFFF"/>
          </w:tcPr>
          <w:p w14:paraId="3AEF3D67" w14:textId="2A92F13A" w:rsidR="009330A1" w:rsidRPr="00872C97" w:rsidRDefault="009330A1" w:rsidP="00872C97">
            <w:r w:rsidRPr="00872C97">
              <w:t>0.47</w:t>
            </w:r>
          </w:p>
        </w:tc>
        <w:tc>
          <w:tcPr>
            <w:tcW w:w="1020" w:type="dxa"/>
            <w:gridSpan w:val="2"/>
            <w:shd w:val="clear" w:color="auto" w:fill="FFFFFF"/>
          </w:tcPr>
          <w:p w14:paraId="0713739C" w14:textId="4989BAFB" w:rsidR="009330A1" w:rsidRPr="00872C97" w:rsidRDefault="009330A1" w:rsidP="00872C97">
            <w:r w:rsidRPr="00872C97">
              <w:t>n.d.</w:t>
            </w:r>
          </w:p>
        </w:tc>
        <w:tc>
          <w:tcPr>
            <w:tcW w:w="1587" w:type="dxa"/>
            <w:shd w:val="clear" w:color="auto" w:fill="FFFFFF"/>
          </w:tcPr>
          <w:p w14:paraId="1046DD53" w14:textId="1E9CA33F" w:rsidR="009330A1" w:rsidRPr="00872C97" w:rsidRDefault="009330A1" w:rsidP="00872C97">
            <w:r w:rsidRPr="00872C97">
              <w:t>n.d.</w:t>
            </w:r>
          </w:p>
        </w:tc>
        <w:tc>
          <w:tcPr>
            <w:tcW w:w="1701" w:type="dxa"/>
            <w:shd w:val="clear" w:color="auto" w:fill="FFFFFF"/>
          </w:tcPr>
          <w:p w14:paraId="09A56EBB" w14:textId="50EACEE2" w:rsidR="009330A1" w:rsidRPr="00872C97" w:rsidRDefault="009330A1" w:rsidP="00872C97">
            <w:pPr>
              <w:ind w:right="-1"/>
            </w:pPr>
            <w:r w:rsidRPr="00872C97">
              <w:t>n.d.</w:t>
            </w:r>
          </w:p>
        </w:tc>
        <w:tc>
          <w:tcPr>
            <w:tcW w:w="1020" w:type="dxa"/>
            <w:shd w:val="clear" w:color="auto" w:fill="FFFFFF"/>
          </w:tcPr>
          <w:p w14:paraId="2A95AA8A" w14:textId="052250DF" w:rsidR="009330A1" w:rsidRPr="00872C97" w:rsidRDefault="009330A1" w:rsidP="00872C97">
            <w:pPr>
              <w:ind w:right="-1"/>
            </w:pPr>
            <w:r w:rsidRPr="00872C97">
              <w:t>n.d.</w:t>
            </w:r>
          </w:p>
        </w:tc>
      </w:tr>
      <w:tr w:rsidR="009330A1" w:rsidRPr="00872C97" w14:paraId="37CF766E" w14:textId="77777777" w:rsidTr="00AA1474">
        <w:tc>
          <w:tcPr>
            <w:tcW w:w="1134" w:type="dxa"/>
            <w:vMerge/>
            <w:shd w:val="clear" w:color="auto" w:fill="FFFFFF"/>
          </w:tcPr>
          <w:p w14:paraId="3451E86C" w14:textId="77777777" w:rsidR="009330A1" w:rsidRPr="00872C97" w:rsidRDefault="009330A1" w:rsidP="00872C97"/>
        </w:tc>
        <w:tc>
          <w:tcPr>
            <w:tcW w:w="1134" w:type="dxa"/>
            <w:shd w:val="clear" w:color="auto" w:fill="FFFFFF"/>
          </w:tcPr>
          <w:p w14:paraId="454E5379" w14:textId="77777777" w:rsidR="009330A1" w:rsidRPr="00872C97" w:rsidRDefault="009330A1" w:rsidP="00872C97">
            <w:pPr>
              <w:rPr>
                <w:lang w:val="en-US"/>
              </w:rPr>
            </w:pPr>
            <w:r w:rsidRPr="00872C97">
              <w:rPr>
                <w:lang w:val="en-US"/>
              </w:rPr>
              <w:t>P value</w:t>
            </w:r>
          </w:p>
        </w:tc>
        <w:tc>
          <w:tcPr>
            <w:tcW w:w="1020" w:type="dxa"/>
            <w:shd w:val="clear" w:color="auto" w:fill="FFFFFF"/>
          </w:tcPr>
          <w:p w14:paraId="68E5136F" w14:textId="5904DC2C" w:rsidR="009330A1" w:rsidRPr="00872C97" w:rsidRDefault="009330A1" w:rsidP="00872C97">
            <w:r w:rsidRPr="00872C97">
              <w:t>&lt;0.0001</w:t>
            </w:r>
          </w:p>
        </w:tc>
        <w:tc>
          <w:tcPr>
            <w:tcW w:w="1020" w:type="dxa"/>
            <w:gridSpan w:val="2"/>
            <w:shd w:val="clear" w:color="auto" w:fill="FFFFFF"/>
          </w:tcPr>
          <w:p w14:paraId="3727784B" w14:textId="43D6FD55" w:rsidR="009330A1" w:rsidRPr="00872C97" w:rsidRDefault="009330A1" w:rsidP="00872C97">
            <w:r w:rsidRPr="00872C97">
              <w:t>n.d.</w:t>
            </w:r>
          </w:p>
        </w:tc>
        <w:tc>
          <w:tcPr>
            <w:tcW w:w="1587" w:type="dxa"/>
            <w:shd w:val="clear" w:color="auto" w:fill="FFFFFF"/>
          </w:tcPr>
          <w:p w14:paraId="003EAF77" w14:textId="7A2F5EF5" w:rsidR="009330A1" w:rsidRPr="00872C97" w:rsidRDefault="009330A1" w:rsidP="00872C97">
            <w:r w:rsidRPr="00872C97">
              <w:t>n.d.</w:t>
            </w:r>
          </w:p>
        </w:tc>
        <w:tc>
          <w:tcPr>
            <w:tcW w:w="1701" w:type="dxa"/>
            <w:shd w:val="clear" w:color="auto" w:fill="FFFFFF"/>
          </w:tcPr>
          <w:p w14:paraId="7FDE1004" w14:textId="5B0F9090" w:rsidR="009330A1" w:rsidRPr="00872C97" w:rsidRDefault="009330A1" w:rsidP="00872C97">
            <w:pPr>
              <w:ind w:right="-1"/>
            </w:pPr>
            <w:r w:rsidRPr="00872C97">
              <w:t>n.d.</w:t>
            </w:r>
          </w:p>
        </w:tc>
        <w:tc>
          <w:tcPr>
            <w:tcW w:w="1020" w:type="dxa"/>
            <w:shd w:val="clear" w:color="auto" w:fill="FFFFFF"/>
          </w:tcPr>
          <w:p w14:paraId="0519549B" w14:textId="10852C78" w:rsidR="009330A1" w:rsidRPr="00872C97" w:rsidRDefault="009330A1" w:rsidP="00872C97">
            <w:pPr>
              <w:ind w:right="-1"/>
            </w:pPr>
            <w:r w:rsidRPr="00872C97">
              <w:t>n.d.</w:t>
            </w:r>
          </w:p>
        </w:tc>
      </w:tr>
      <w:tr w:rsidR="00EC1ADB" w:rsidRPr="00872C97" w14:paraId="5F2FE380" w14:textId="77777777" w:rsidTr="00AA1474">
        <w:trPr>
          <w:trHeight w:val="57"/>
        </w:trPr>
        <w:tc>
          <w:tcPr>
            <w:tcW w:w="1134" w:type="dxa"/>
            <w:shd w:val="clear" w:color="auto" w:fill="FFFFFF"/>
          </w:tcPr>
          <w:p w14:paraId="2CFF35AD" w14:textId="77777777" w:rsidR="00EC1ADB" w:rsidRPr="00872C97" w:rsidRDefault="00EC1ADB" w:rsidP="00872C97">
            <w:pPr>
              <w:rPr>
                <w:sz w:val="2"/>
                <w:szCs w:val="2"/>
              </w:rPr>
            </w:pPr>
          </w:p>
        </w:tc>
        <w:tc>
          <w:tcPr>
            <w:tcW w:w="1134" w:type="dxa"/>
            <w:shd w:val="clear" w:color="auto" w:fill="FFFFFF"/>
          </w:tcPr>
          <w:p w14:paraId="55BAEDE9" w14:textId="77777777" w:rsidR="00EC1ADB" w:rsidRPr="00872C97" w:rsidRDefault="00EC1ADB" w:rsidP="00872C97">
            <w:pPr>
              <w:rPr>
                <w:sz w:val="2"/>
                <w:szCs w:val="2"/>
                <w:lang w:val="en-US"/>
              </w:rPr>
            </w:pPr>
          </w:p>
        </w:tc>
        <w:tc>
          <w:tcPr>
            <w:tcW w:w="1020" w:type="dxa"/>
            <w:shd w:val="clear" w:color="auto" w:fill="FFFFFF"/>
          </w:tcPr>
          <w:p w14:paraId="7F45E918" w14:textId="77777777" w:rsidR="00EC1ADB" w:rsidRPr="00872C97" w:rsidRDefault="00EC1ADB" w:rsidP="00872C97">
            <w:pPr>
              <w:rPr>
                <w:sz w:val="2"/>
                <w:szCs w:val="2"/>
              </w:rPr>
            </w:pPr>
          </w:p>
        </w:tc>
        <w:tc>
          <w:tcPr>
            <w:tcW w:w="1020" w:type="dxa"/>
            <w:gridSpan w:val="2"/>
            <w:shd w:val="clear" w:color="auto" w:fill="FFFFFF"/>
          </w:tcPr>
          <w:p w14:paraId="380C3BAD" w14:textId="77777777" w:rsidR="00EC1ADB" w:rsidRPr="00872C97" w:rsidRDefault="00EC1ADB" w:rsidP="00872C97">
            <w:pPr>
              <w:rPr>
                <w:sz w:val="2"/>
                <w:szCs w:val="2"/>
              </w:rPr>
            </w:pPr>
          </w:p>
        </w:tc>
        <w:tc>
          <w:tcPr>
            <w:tcW w:w="1587" w:type="dxa"/>
            <w:shd w:val="clear" w:color="auto" w:fill="FFFFFF"/>
          </w:tcPr>
          <w:p w14:paraId="485A1C5C" w14:textId="77777777" w:rsidR="00EC1ADB" w:rsidRPr="00872C97" w:rsidRDefault="00EC1ADB" w:rsidP="00872C97">
            <w:pPr>
              <w:rPr>
                <w:sz w:val="2"/>
                <w:szCs w:val="2"/>
              </w:rPr>
            </w:pPr>
          </w:p>
        </w:tc>
        <w:tc>
          <w:tcPr>
            <w:tcW w:w="1701" w:type="dxa"/>
            <w:shd w:val="clear" w:color="auto" w:fill="FFFFFF"/>
          </w:tcPr>
          <w:p w14:paraId="43FEDE52" w14:textId="77777777" w:rsidR="00EC1ADB" w:rsidRPr="00872C97" w:rsidRDefault="00EC1ADB" w:rsidP="00872C97">
            <w:pPr>
              <w:ind w:right="-1"/>
              <w:rPr>
                <w:rFonts w:cs="Arial"/>
                <w:sz w:val="2"/>
                <w:szCs w:val="2"/>
              </w:rPr>
            </w:pPr>
          </w:p>
        </w:tc>
        <w:tc>
          <w:tcPr>
            <w:tcW w:w="1020" w:type="dxa"/>
            <w:shd w:val="clear" w:color="auto" w:fill="FFFFFF"/>
          </w:tcPr>
          <w:p w14:paraId="23A3D505" w14:textId="77777777" w:rsidR="00EC1ADB" w:rsidRPr="00872C97" w:rsidRDefault="00EC1ADB" w:rsidP="00872C97">
            <w:pPr>
              <w:ind w:right="-1"/>
              <w:rPr>
                <w:rFonts w:cs="Arial"/>
                <w:sz w:val="2"/>
                <w:szCs w:val="2"/>
              </w:rPr>
            </w:pPr>
          </w:p>
        </w:tc>
      </w:tr>
      <w:tr w:rsidR="00EC1ADB" w:rsidRPr="00872C97" w14:paraId="5AFBC8A0" w14:textId="77777777" w:rsidTr="00AA1474">
        <w:tc>
          <w:tcPr>
            <w:tcW w:w="1134" w:type="dxa"/>
            <w:vMerge w:val="restart"/>
            <w:shd w:val="clear" w:color="auto" w:fill="FFFFFF"/>
            <w:vAlign w:val="center"/>
          </w:tcPr>
          <w:p w14:paraId="4B3798AA" w14:textId="77777777" w:rsidR="00EC1ADB" w:rsidRPr="00872C97" w:rsidRDefault="00EC1ADB" w:rsidP="00872C97">
            <w:r w:rsidRPr="00872C97">
              <w:t>7</w:t>
            </w:r>
          </w:p>
        </w:tc>
        <w:tc>
          <w:tcPr>
            <w:tcW w:w="1134" w:type="dxa"/>
            <w:shd w:val="clear" w:color="auto" w:fill="FFFFFF"/>
          </w:tcPr>
          <w:p w14:paraId="2EE89291" w14:textId="77777777" w:rsidR="00EC1ADB" w:rsidRPr="00872C97" w:rsidRDefault="00EC1ADB" w:rsidP="00872C97">
            <w:r w:rsidRPr="00872C97">
              <w:rPr>
                <w:lang w:val="en-US"/>
              </w:rPr>
              <w:t>NoHPP</w:t>
            </w:r>
          </w:p>
        </w:tc>
        <w:tc>
          <w:tcPr>
            <w:tcW w:w="1020" w:type="dxa"/>
            <w:shd w:val="clear" w:color="auto" w:fill="FFFFFF"/>
          </w:tcPr>
          <w:p w14:paraId="2B4B923A" w14:textId="5AE36B2E" w:rsidR="00EC1ADB" w:rsidRPr="00872C97" w:rsidRDefault="00EC1ADB" w:rsidP="00872C97">
            <w:r w:rsidRPr="00872C97">
              <w:t>3.9±0.28</w:t>
            </w:r>
            <w:r w:rsidR="0035738E" w:rsidRPr="00872C97">
              <w:t>a</w:t>
            </w:r>
          </w:p>
        </w:tc>
        <w:tc>
          <w:tcPr>
            <w:tcW w:w="1020" w:type="dxa"/>
            <w:gridSpan w:val="2"/>
            <w:shd w:val="clear" w:color="auto" w:fill="FFFFFF"/>
          </w:tcPr>
          <w:p w14:paraId="0D3594D6" w14:textId="77777777" w:rsidR="00EC1ADB" w:rsidRPr="00872C97" w:rsidRDefault="00EC1ADB" w:rsidP="00872C97">
            <w:r w:rsidRPr="00872C97">
              <w:t>&lt;1</w:t>
            </w:r>
          </w:p>
        </w:tc>
        <w:tc>
          <w:tcPr>
            <w:tcW w:w="1587" w:type="dxa"/>
            <w:shd w:val="clear" w:color="auto" w:fill="FFFFFF"/>
          </w:tcPr>
          <w:p w14:paraId="5B9BA072" w14:textId="77777777" w:rsidR="00EC1ADB" w:rsidRPr="00872C97" w:rsidRDefault="00EC1ADB" w:rsidP="00872C97">
            <w:r w:rsidRPr="00872C97">
              <w:t>&lt;2</w:t>
            </w:r>
          </w:p>
        </w:tc>
        <w:tc>
          <w:tcPr>
            <w:tcW w:w="1701" w:type="dxa"/>
            <w:shd w:val="clear" w:color="auto" w:fill="FFFFFF"/>
          </w:tcPr>
          <w:p w14:paraId="7C6712EC" w14:textId="77777777" w:rsidR="00EC1ADB" w:rsidRPr="00872C97" w:rsidRDefault="00EC1ADB" w:rsidP="00872C97">
            <w:pPr>
              <w:ind w:right="-1"/>
              <w:rPr>
                <w:rFonts w:cs="Arial"/>
                <w:szCs w:val="18"/>
              </w:rPr>
            </w:pPr>
            <w:r w:rsidRPr="00872C97">
              <w:rPr>
                <w:rFonts w:cs="Arial"/>
                <w:szCs w:val="18"/>
              </w:rPr>
              <w:t>0</w:t>
            </w:r>
          </w:p>
        </w:tc>
        <w:tc>
          <w:tcPr>
            <w:tcW w:w="1020" w:type="dxa"/>
            <w:shd w:val="clear" w:color="auto" w:fill="FFFFFF"/>
          </w:tcPr>
          <w:p w14:paraId="194DDBF3" w14:textId="2D6F64A7" w:rsidR="00EC1ADB" w:rsidRPr="00872C97" w:rsidRDefault="00EC1ADB" w:rsidP="00872C97">
            <w:pPr>
              <w:ind w:right="-1"/>
              <w:rPr>
                <w:rFonts w:cs="Arial"/>
                <w:szCs w:val="18"/>
              </w:rPr>
            </w:pPr>
            <w:r w:rsidRPr="00872C97">
              <w:rPr>
                <w:rFonts w:cs="Arial"/>
                <w:szCs w:val="18"/>
              </w:rPr>
              <w:t>2.6±0.08</w:t>
            </w:r>
            <w:r w:rsidR="00EE6CC2" w:rsidRPr="00872C97">
              <w:rPr>
                <w:rFonts w:cs="Arial"/>
                <w:szCs w:val="18"/>
              </w:rPr>
              <w:t>a</w:t>
            </w:r>
          </w:p>
        </w:tc>
      </w:tr>
      <w:tr w:rsidR="00EC1ADB" w:rsidRPr="00872C97" w14:paraId="58787EDF" w14:textId="77777777" w:rsidTr="00AA1474">
        <w:tc>
          <w:tcPr>
            <w:tcW w:w="1134" w:type="dxa"/>
            <w:vMerge/>
            <w:shd w:val="clear" w:color="auto" w:fill="FFFFFF"/>
          </w:tcPr>
          <w:p w14:paraId="084C89AE" w14:textId="77777777" w:rsidR="00EC1ADB" w:rsidRPr="00872C97" w:rsidRDefault="00EC1ADB" w:rsidP="00872C97"/>
        </w:tc>
        <w:tc>
          <w:tcPr>
            <w:tcW w:w="1134" w:type="dxa"/>
            <w:shd w:val="clear" w:color="auto" w:fill="FFFFFF"/>
          </w:tcPr>
          <w:p w14:paraId="7B4A8CBB" w14:textId="77777777" w:rsidR="00EC1ADB" w:rsidRPr="00872C97" w:rsidRDefault="00EC1ADB" w:rsidP="00872C97">
            <w:r w:rsidRPr="00872C97">
              <w:rPr>
                <w:lang w:val="en-US"/>
              </w:rPr>
              <w:t>HPP</w:t>
            </w:r>
          </w:p>
        </w:tc>
        <w:tc>
          <w:tcPr>
            <w:tcW w:w="1020" w:type="dxa"/>
            <w:shd w:val="clear" w:color="auto" w:fill="FFFFFF"/>
          </w:tcPr>
          <w:p w14:paraId="7605EECC" w14:textId="6193ABB6" w:rsidR="00EC1ADB" w:rsidRPr="00872C97" w:rsidRDefault="00254108" w:rsidP="00872C97">
            <w:r w:rsidRPr="00872C97">
              <w:t>&lt;1</w:t>
            </w:r>
            <w:r w:rsidR="0035738E" w:rsidRPr="00872C97">
              <w:t>b</w:t>
            </w:r>
          </w:p>
        </w:tc>
        <w:tc>
          <w:tcPr>
            <w:tcW w:w="1020" w:type="dxa"/>
            <w:gridSpan w:val="2"/>
            <w:shd w:val="clear" w:color="auto" w:fill="FFFFFF"/>
          </w:tcPr>
          <w:p w14:paraId="5CA6F487" w14:textId="77777777" w:rsidR="00EC1ADB" w:rsidRPr="00872C97" w:rsidRDefault="00EC1ADB" w:rsidP="00872C97">
            <w:r w:rsidRPr="00872C97">
              <w:t>&lt;1</w:t>
            </w:r>
          </w:p>
        </w:tc>
        <w:tc>
          <w:tcPr>
            <w:tcW w:w="1587" w:type="dxa"/>
            <w:shd w:val="clear" w:color="auto" w:fill="FFFFFF"/>
          </w:tcPr>
          <w:p w14:paraId="0BFFD8F4" w14:textId="77777777" w:rsidR="00EC1ADB" w:rsidRPr="00872C97" w:rsidRDefault="00EC1ADB" w:rsidP="00872C97">
            <w:r w:rsidRPr="00872C97">
              <w:t>0</w:t>
            </w:r>
          </w:p>
        </w:tc>
        <w:tc>
          <w:tcPr>
            <w:tcW w:w="1701" w:type="dxa"/>
            <w:shd w:val="clear" w:color="auto" w:fill="FFFFFF"/>
          </w:tcPr>
          <w:p w14:paraId="7132D06B" w14:textId="77777777" w:rsidR="00EC1ADB" w:rsidRPr="00872C97" w:rsidRDefault="00EC1ADB" w:rsidP="00872C97">
            <w:pPr>
              <w:ind w:right="-1"/>
              <w:rPr>
                <w:rFonts w:cs="Arial"/>
                <w:szCs w:val="18"/>
              </w:rPr>
            </w:pPr>
            <w:r w:rsidRPr="00872C97">
              <w:t>0</w:t>
            </w:r>
          </w:p>
        </w:tc>
        <w:tc>
          <w:tcPr>
            <w:tcW w:w="1020" w:type="dxa"/>
            <w:shd w:val="clear" w:color="auto" w:fill="FFFFFF"/>
          </w:tcPr>
          <w:p w14:paraId="45729986" w14:textId="25751B55" w:rsidR="00EC1ADB" w:rsidRPr="00872C97" w:rsidRDefault="00EC1ADB" w:rsidP="00872C97">
            <w:pPr>
              <w:ind w:right="-1"/>
              <w:rPr>
                <w:rFonts w:cs="Arial"/>
                <w:szCs w:val="18"/>
              </w:rPr>
            </w:pPr>
            <w:r w:rsidRPr="00872C97">
              <w:t>&lt;1</w:t>
            </w:r>
            <w:r w:rsidR="00EE6CC2" w:rsidRPr="00872C97">
              <w:t>b</w:t>
            </w:r>
          </w:p>
        </w:tc>
      </w:tr>
      <w:tr w:rsidR="00F975ED" w:rsidRPr="00872C97" w14:paraId="2E8B0B9B" w14:textId="77777777" w:rsidTr="00AA1474">
        <w:tc>
          <w:tcPr>
            <w:tcW w:w="1134" w:type="dxa"/>
            <w:vMerge/>
            <w:shd w:val="clear" w:color="auto" w:fill="FFFFFF"/>
          </w:tcPr>
          <w:p w14:paraId="21A81F02" w14:textId="77777777" w:rsidR="00F975ED" w:rsidRPr="00872C97" w:rsidRDefault="00F975ED" w:rsidP="00872C97"/>
        </w:tc>
        <w:tc>
          <w:tcPr>
            <w:tcW w:w="1134" w:type="dxa"/>
            <w:shd w:val="clear" w:color="auto" w:fill="FFFFFF"/>
          </w:tcPr>
          <w:p w14:paraId="49BA5C14" w14:textId="77777777" w:rsidR="00F975ED" w:rsidRPr="00872C97" w:rsidRDefault="00F975ED" w:rsidP="00872C97">
            <w:pPr>
              <w:rPr>
                <w:lang w:val="en-US"/>
              </w:rPr>
            </w:pPr>
            <w:r w:rsidRPr="00872C97">
              <w:rPr>
                <w:lang w:val="en-US"/>
              </w:rPr>
              <w:t>SEM</w:t>
            </w:r>
          </w:p>
        </w:tc>
        <w:tc>
          <w:tcPr>
            <w:tcW w:w="1020" w:type="dxa"/>
            <w:shd w:val="clear" w:color="auto" w:fill="FFFFFF"/>
          </w:tcPr>
          <w:p w14:paraId="0D6B48A1" w14:textId="351AA973" w:rsidR="00F975ED" w:rsidRPr="00872C97" w:rsidRDefault="00F975ED" w:rsidP="00872C97">
            <w:r w:rsidRPr="00872C97">
              <w:t>0.62</w:t>
            </w:r>
          </w:p>
        </w:tc>
        <w:tc>
          <w:tcPr>
            <w:tcW w:w="1020" w:type="dxa"/>
            <w:gridSpan w:val="2"/>
            <w:shd w:val="clear" w:color="auto" w:fill="FFFFFF"/>
          </w:tcPr>
          <w:p w14:paraId="67CE0866" w14:textId="573C4F43" w:rsidR="00F975ED" w:rsidRPr="00872C97" w:rsidRDefault="00F975ED" w:rsidP="00872C97">
            <w:r w:rsidRPr="00872C97">
              <w:t>n.d.</w:t>
            </w:r>
          </w:p>
        </w:tc>
        <w:tc>
          <w:tcPr>
            <w:tcW w:w="1587" w:type="dxa"/>
            <w:shd w:val="clear" w:color="auto" w:fill="FFFFFF"/>
          </w:tcPr>
          <w:p w14:paraId="66252EEF" w14:textId="6D986AB6" w:rsidR="00F975ED" w:rsidRPr="00872C97" w:rsidRDefault="00F975ED" w:rsidP="00872C97">
            <w:r w:rsidRPr="00872C97">
              <w:t>n.d.</w:t>
            </w:r>
          </w:p>
        </w:tc>
        <w:tc>
          <w:tcPr>
            <w:tcW w:w="1701" w:type="dxa"/>
            <w:shd w:val="clear" w:color="auto" w:fill="FFFFFF"/>
          </w:tcPr>
          <w:p w14:paraId="3B8666A8" w14:textId="2A8C9615" w:rsidR="00F975ED" w:rsidRPr="00872C97" w:rsidRDefault="00F975ED" w:rsidP="00872C97">
            <w:pPr>
              <w:ind w:right="-1"/>
            </w:pPr>
            <w:r w:rsidRPr="00872C97">
              <w:t>n.d.</w:t>
            </w:r>
          </w:p>
        </w:tc>
        <w:tc>
          <w:tcPr>
            <w:tcW w:w="1020" w:type="dxa"/>
            <w:shd w:val="clear" w:color="auto" w:fill="FFFFFF"/>
          </w:tcPr>
          <w:p w14:paraId="2E1D2116" w14:textId="5A705F6F" w:rsidR="00F975ED" w:rsidRPr="00872C97" w:rsidRDefault="00F975ED" w:rsidP="00872C97">
            <w:pPr>
              <w:ind w:right="-1"/>
            </w:pPr>
            <w:r w:rsidRPr="00872C97">
              <w:t>0.41</w:t>
            </w:r>
          </w:p>
        </w:tc>
      </w:tr>
      <w:tr w:rsidR="00F975ED" w:rsidRPr="00872C97" w14:paraId="7F7E1F0D" w14:textId="77777777" w:rsidTr="00AA1474">
        <w:tc>
          <w:tcPr>
            <w:tcW w:w="1134" w:type="dxa"/>
            <w:vMerge/>
            <w:shd w:val="clear" w:color="auto" w:fill="FFFFFF"/>
          </w:tcPr>
          <w:p w14:paraId="2748FF25" w14:textId="77777777" w:rsidR="00F975ED" w:rsidRPr="00872C97" w:rsidRDefault="00F975ED" w:rsidP="00872C97"/>
        </w:tc>
        <w:tc>
          <w:tcPr>
            <w:tcW w:w="1134" w:type="dxa"/>
            <w:shd w:val="clear" w:color="auto" w:fill="FFFFFF"/>
          </w:tcPr>
          <w:p w14:paraId="3670ED02" w14:textId="77777777" w:rsidR="00F975ED" w:rsidRPr="00872C97" w:rsidRDefault="00F975ED" w:rsidP="00872C97">
            <w:pPr>
              <w:rPr>
                <w:lang w:val="en-US"/>
              </w:rPr>
            </w:pPr>
            <w:r w:rsidRPr="00872C97">
              <w:rPr>
                <w:lang w:val="en-US"/>
              </w:rPr>
              <w:t>P value</w:t>
            </w:r>
          </w:p>
        </w:tc>
        <w:tc>
          <w:tcPr>
            <w:tcW w:w="1020" w:type="dxa"/>
            <w:shd w:val="clear" w:color="auto" w:fill="FFFFFF"/>
          </w:tcPr>
          <w:p w14:paraId="254132E8" w14:textId="28EFFDD9" w:rsidR="00F975ED" w:rsidRPr="00872C97" w:rsidRDefault="00F975ED" w:rsidP="00872C97">
            <w:r w:rsidRPr="00872C97">
              <w:t>&lt;0.0001</w:t>
            </w:r>
          </w:p>
        </w:tc>
        <w:tc>
          <w:tcPr>
            <w:tcW w:w="1020" w:type="dxa"/>
            <w:gridSpan w:val="2"/>
            <w:shd w:val="clear" w:color="auto" w:fill="FFFFFF"/>
          </w:tcPr>
          <w:p w14:paraId="514AA534" w14:textId="3FB9ACAF" w:rsidR="00F975ED" w:rsidRPr="00872C97" w:rsidRDefault="00F975ED" w:rsidP="00872C97">
            <w:r w:rsidRPr="00872C97">
              <w:t>n.d.</w:t>
            </w:r>
          </w:p>
        </w:tc>
        <w:tc>
          <w:tcPr>
            <w:tcW w:w="1587" w:type="dxa"/>
            <w:shd w:val="clear" w:color="auto" w:fill="FFFFFF"/>
          </w:tcPr>
          <w:p w14:paraId="37B09B33" w14:textId="0B42C840" w:rsidR="00F975ED" w:rsidRPr="00872C97" w:rsidRDefault="00F975ED" w:rsidP="00872C97">
            <w:r w:rsidRPr="00872C97">
              <w:t>n.d.</w:t>
            </w:r>
          </w:p>
        </w:tc>
        <w:tc>
          <w:tcPr>
            <w:tcW w:w="1701" w:type="dxa"/>
            <w:shd w:val="clear" w:color="auto" w:fill="FFFFFF"/>
          </w:tcPr>
          <w:p w14:paraId="0D3ECF2B" w14:textId="6E665CB9" w:rsidR="00F975ED" w:rsidRPr="00872C97" w:rsidRDefault="00F975ED" w:rsidP="00872C97">
            <w:pPr>
              <w:ind w:right="-1"/>
            </w:pPr>
            <w:r w:rsidRPr="00872C97">
              <w:t>n.d.</w:t>
            </w:r>
          </w:p>
        </w:tc>
        <w:tc>
          <w:tcPr>
            <w:tcW w:w="1020" w:type="dxa"/>
            <w:shd w:val="clear" w:color="auto" w:fill="FFFFFF"/>
          </w:tcPr>
          <w:p w14:paraId="3D9E5DB8" w14:textId="240A18DE" w:rsidR="00F975ED" w:rsidRPr="00872C97" w:rsidRDefault="00F975ED" w:rsidP="00872C97">
            <w:pPr>
              <w:ind w:right="-1"/>
            </w:pPr>
            <w:r w:rsidRPr="00872C97">
              <w:t>&lt;0.0001</w:t>
            </w:r>
          </w:p>
        </w:tc>
      </w:tr>
      <w:tr w:rsidR="00F975ED" w:rsidRPr="00872C97" w14:paraId="4784177B" w14:textId="77777777" w:rsidTr="00AA1474">
        <w:trPr>
          <w:trHeight w:val="57"/>
        </w:trPr>
        <w:tc>
          <w:tcPr>
            <w:tcW w:w="1134" w:type="dxa"/>
            <w:shd w:val="clear" w:color="auto" w:fill="FFFFFF"/>
          </w:tcPr>
          <w:p w14:paraId="247A334E" w14:textId="77777777" w:rsidR="00F975ED" w:rsidRPr="00872C97" w:rsidRDefault="00F975ED" w:rsidP="00872C97">
            <w:pPr>
              <w:rPr>
                <w:sz w:val="2"/>
                <w:szCs w:val="2"/>
              </w:rPr>
            </w:pPr>
          </w:p>
        </w:tc>
        <w:tc>
          <w:tcPr>
            <w:tcW w:w="1134" w:type="dxa"/>
            <w:shd w:val="clear" w:color="auto" w:fill="FFFFFF"/>
          </w:tcPr>
          <w:p w14:paraId="7F0EFB4B" w14:textId="77777777" w:rsidR="00F975ED" w:rsidRPr="00872C97" w:rsidRDefault="00F975ED" w:rsidP="00872C97">
            <w:pPr>
              <w:rPr>
                <w:sz w:val="2"/>
                <w:szCs w:val="2"/>
                <w:lang w:val="en-US"/>
              </w:rPr>
            </w:pPr>
          </w:p>
        </w:tc>
        <w:tc>
          <w:tcPr>
            <w:tcW w:w="1020" w:type="dxa"/>
            <w:shd w:val="clear" w:color="auto" w:fill="FFFFFF"/>
          </w:tcPr>
          <w:p w14:paraId="7CCB62C7" w14:textId="77777777" w:rsidR="00F975ED" w:rsidRPr="00872C97" w:rsidRDefault="00F975ED" w:rsidP="00872C97">
            <w:pPr>
              <w:rPr>
                <w:sz w:val="2"/>
                <w:szCs w:val="2"/>
              </w:rPr>
            </w:pPr>
          </w:p>
        </w:tc>
        <w:tc>
          <w:tcPr>
            <w:tcW w:w="1020" w:type="dxa"/>
            <w:gridSpan w:val="2"/>
            <w:shd w:val="clear" w:color="auto" w:fill="FFFFFF"/>
          </w:tcPr>
          <w:p w14:paraId="21997A49" w14:textId="77777777" w:rsidR="00F975ED" w:rsidRPr="00872C97" w:rsidRDefault="00F975ED" w:rsidP="00872C97">
            <w:pPr>
              <w:rPr>
                <w:sz w:val="2"/>
                <w:szCs w:val="2"/>
              </w:rPr>
            </w:pPr>
          </w:p>
        </w:tc>
        <w:tc>
          <w:tcPr>
            <w:tcW w:w="1587" w:type="dxa"/>
            <w:shd w:val="clear" w:color="auto" w:fill="FFFFFF"/>
          </w:tcPr>
          <w:p w14:paraId="17F4FE17" w14:textId="77777777" w:rsidR="00F975ED" w:rsidRPr="00872C97" w:rsidRDefault="00F975ED" w:rsidP="00872C97">
            <w:pPr>
              <w:rPr>
                <w:sz w:val="2"/>
                <w:szCs w:val="2"/>
              </w:rPr>
            </w:pPr>
          </w:p>
        </w:tc>
        <w:tc>
          <w:tcPr>
            <w:tcW w:w="1701" w:type="dxa"/>
            <w:shd w:val="clear" w:color="auto" w:fill="FFFFFF"/>
          </w:tcPr>
          <w:p w14:paraId="2CC47B58" w14:textId="77777777" w:rsidR="00F975ED" w:rsidRPr="00872C97" w:rsidRDefault="00F975ED" w:rsidP="00872C97">
            <w:pPr>
              <w:ind w:right="-1"/>
              <w:rPr>
                <w:rFonts w:cs="Arial"/>
                <w:sz w:val="2"/>
                <w:szCs w:val="2"/>
              </w:rPr>
            </w:pPr>
          </w:p>
        </w:tc>
        <w:tc>
          <w:tcPr>
            <w:tcW w:w="1020" w:type="dxa"/>
            <w:shd w:val="clear" w:color="auto" w:fill="FFFFFF"/>
          </w:tcPr>
          <w:p w14:paraId="08BCA149" w14:textId="77777777" w:rsidR="00F975ED" w:rsidRPr="00872C97" w:rsidRDefault="00F975ED" w:rsidP="00872C97">
            <w:pPr>
              <w:ind w:right="-1"/>
              <w:rPr>
                <w:rFonts w:cs="Arial"/>
                <w:sz w:val="2"/>
                <w:szCs w:val="2"/>
              </w:rPr>
            </w:pPr>
          </w:p>
        </w:tc>
      </w:tr>
      <w:tr w:rsidR="00F975ED" w:rsidRPr="00872C97" w14:paraId="3178D40B" w14:textId="77777777" w:rsidTr="00AA1474">
        <w:tc>
          <w:tcPr>
            <w:tcW w:w="1134" w:type="dxa"/>
            <w:vMerge w:val="restart"/>
            <w:shd w:val="clear" w:color="auto" w:fill="FFFFFF"/>
            <w:vAlign w:val="center"/>
          </w:tcPr>
          <w:p w14:paraId="318598BC" w14:textId="77777777" w:rsidR="00F975ED" w:rsidRPr="00872C97" w:rsidRDefault="00F975ED" w:rsidP="00872C97">
            <w:r w:rsidRPr="00872C97">
              <w:t>15</w:t>
            </w:r>
          </w:p>
        </w:tc>
        <w:tc>
          <w:tcPr>
            <w:tcW w:w="1134" w:type="dxa"/>
            <w:shd w:val="clear" w:color="auto" w:fill="FFFFFF"/>
          </w:tcPr>
          <w:p w14:paraId="6D412FF9" w14:textId="77777777" w:rsidR="00F975ED" w:rsidRPr="00872C97" w:rsidRDefault="00F975ED" w:rsidP="00872C97">
            <w:r w:rsidRPr="00872C97">
              <w:rPr>
                <w:lang w:val="en-US"/>
              </w:rPr>
              <w:t>NoHPP</w:t>
            </w:r>
          </w:p>
        </w:tc>
        <w:tc>
          <w:tcPr>
            <w:tcW w:w="1020" w:type="dxa"/>
            <w:shd w:val="clear" w:color="auto" w:fill="FFFFFF"/>
          </w:tcPr>
          <w:p w14:paraId="78DA4ED3" w14:textId="77777777" w:rsidR="00F975ED" w:rsidRPr="00872C97" w:rsidRDefault="00F975ED" w:rsidP="00872C97">
            <w:r w:rsidRPr="00872C97">
              <w:t>4.08±0.11</w:t>
            </w:r>
          </w:p>
        </w:tc>
        <w:tc>
          <w:tcPr>
            <w:tcW w:w="1020" w:type="dxa"/>
            <w:gridSpan w:val="2"/>
            <w:shd w:val="clear" w:color="auto" w:fill="FFFFFF"/>
          </w:tcPr>
          <w:p w14:paraId="6A0F0017" w14:textId="38CB34A6" w:rsidR="00F975ED" w:rsidRPr="00872C97" w:rsidRDefault="00F975ED" w:rsidP="00872C97">
            <w:r w:rsidRPr="00872C97">
              <w:t>4.11±0.10</w:t>
            </w:r>
            <w:r w:rsidR="005A0440" w:rsidRPr="00872C97">
              <w:t>a</w:t>
            </w:r>
          </w:p>
        </w:tc>
        <w:tc>
          <w:tcPr>
            <w:tcW w:w="1587" w:type="dxa"/>
            <w:shd w:val="clear" w:color="auto" w:fill="FFFFFF"/>
          </w:tcPr>
          <w:p w14:paraId="5C8373E8" w14:textId="77777777" w:rsidR="00F975ED" w:rsidRPr="00872C97" w:rsidRDefault="00F975ED" w:rsidP="00872C97">
            <w:r w:rsidRPr="00872C97">
              <w:t>&lt;1</w:t>
            </w:r>
          </w:p>
        </w:tc>
        <w:tc>
          <w:tcPr>
            <w:tcW w:w="1701" w:type="dxa"/>
            <w:shd w:val="clear" w:color="auto" w:fill="FFFFFF"/>
          </w:tcPr>
          <w:p w14:paraId="3A02674B" w14:textId="63F9C23A" w:rsidR="00F975ED" w:rsidRPr="00872C97" w:rsidRDefault="00F975ED" w:rsidP="00872C97">
            <w:pPr>
              <w:ind w:right="-1"/>
              <w:rPr>
                <w:rFonts w:cs="Arial"/>
                <w:szCs w:val="18"/>
              </w:rPr>
            </w:pPr>
            <w:r w:rsidRPr="00872C97">
              <w:rPr>
                <w:rFonts w:cs="Arial"/>
                <w:szCs w:val="18"/>
              </w:rPr>
              <w:t>3.09±0.12</w:t>
            </w:r>
            <w:r w:rsidR="00FC6C34" w:rsidRPr="00872C97">
              <w:rPr>
                <w:rFonts w:cs="Arial"/>
                <w:szCs w:val="18"/>
              </w:rPr>
              <w:t>a</w:t>
            </w:r>
          </w:p>
        </w:tc>
        <w:tc>
          <w:tcPr>
            <w:tcW w:w="1020" w:type="dxa"/>
            <w:shd w:val="clear" w:color="auto" w:fill="FFFFFF"/>
          </w:tcPr>
          <w:p w14:paraId="09418430" w14:textId="7F9D1816" w:rsidR="00F975ED" w:rsidRPr="00872C97" w:rsidRDefault="00F975ED" w:rsidP="00872C97">
            <w:pPr>
              <w:ind w:right="-1"/>
              <w:rPr>
                <w:rFonts w:cs="Arial"/>
                <w:szCs w:val="18"/>
              </w:rPr>
            </w:pPr>
            <w:r w:rsidRPr="00872C97">
              <w:rPr>
                <w:rFonts w:cs="Arial"/>
                <w:szCs w:val="18"/>
              </w:rPr>
              <w:t>3.57±0.12</w:t>
            </w:r>
            <w:r w:rsidR="00FC6C34" w:rsidRPr="00872C97">
              <w:rPr>
                <w:rFonts w:cs="Arial"/>
                <w:szCs w:val="18"/>
              </w:rPr>
              <w:t>a</w:t>
            </w:r>
          </w:p>
        </w:tc>
      </w:tr>
      <w:tr w:rsidR="00F975ED" w:rsidRPr="00872C97" w14:paraId="001AB0A0" w14:textId="77777777" w:rsidTr="00AA1474">
        <w:tc>
          <w:tcPr>
            <w:tcW w:w="1134" w:type="dxa"/>
            <w:vMerge/>
            <w:shd w:val="clear" w:color="auto" w:fill="FFFFFF"/>
          </w:tcPr>
          <w:p w14:paraId="036B8317" w14:textId="77777777" w:rsidR="00F975ED" w:rsidRPr="00872C97" w:rsidRDefault="00F975ED" w:rsidP="00872C97"/>
        </w:tc>
        <w:tc>
          <w:tcPr>
            <w:tcW w:w="1134" w:type="dxa"/>
            <w:shd w:val="clear" w:color="auto" w:fill="FFFFFF"/>
          </w:tcPr>
          <w:p w14:paraId="4E90BBB5" w14:textId="77777777" w:rsidR="00F975ED" w:rsidRPr="00872C97" w:rsidRDefault="00F975ED" w:rsidP="00872C97">
            <w:r w:rsidRPr="00872C97">
              <w:rPr>
                <w:lang w:val="en-US"/>
              </w:rPr>
              <w:t>HPP</w:t>
            </w:r>
          </w:p>
        </w:tc>
        <w:tc>
          <w:tcPr>
            <w:tcW w:w="1020" w:type="dxa"/>
            <w:shd w:val="clear" w:color="auto" w:fill="FFFFFF"/>
          </w:tcPr>
          <w:p w14:paraId="217DEAFE" w14:textId="6E87AF44" w:rsidR="00F975ED" w:rsidRPr="00872C97" w:rsidRDefault="00F975ED" w:rsidP="00872C97">
            <w:r w:rsidRPr="00872C97">
              <w:t>&lt;1</w:t>
            </w:r>
          </w:p>
        </w:tc>
        <w:tc>
          <w:tcPr>
            <w:tcW w:w="1020" w:type="dxa"/>
            <w:gridSpan w:val="2"/>
            <w:shd w:val="clear" w:color="auto" w:fill="FFFFFF"/>
          </w:tcPr>
          <w:p w14:paraId="76ACDCC0" w14:textId="66AFA569" w:rsidR="00F975ED" w:rsidRPr="00872C97" w:rsidRDefault="00F975ED" w:rsidP="00872C97">
            <w:r w:rsidRPr="00872C97">
              <w:t>&lt;1</w:t>
            </w:r>
            <w:r w:rsidR="005A0440" w:rsidRPr="00872C97">
              <w:t>b</w:t>
            </w:r>
          </w:p>
        </w:tc>
        <w:tc>
          <w:tcPr>
            <w:tcW w:w="1587" w:type="dxa"/>
            <w:shd w:val="clear" w:color="auto" w:fill="FFFFFF"/>
          </w:tcPr>
          <w:p w14:paraId="609DA0B8" w14:textId="77777777" w:rsidR="00F975ED" w:rsidRPr="00872C97" w:rsidRDefault="00F975ED" w:rsidP="00872C97">
            <w:r w:rsidRPr="00872C97">
              <w:t>&lt;1</w:t>
            </w:r>
          </w:p>
        </w:tc>
        <w:tc>
          <w:tcPr>
            <w:tcW w:w="1701" w:type="dxa"/>
            <w:shd w:val="clear" w:color="auto" w:fill="FFFFFF"/>
          </w:tcPr>
          <w:p w14:paraId="1A2B8D23" w14:textId="4A27627A" w:rsidR="00F975ED" w:rsidRPr="00872C97" w:rsidRDefault="00F975ED" w:rsidP="00872C97">
            <w:pPr>
              <w:ind w:right="-1"/>
              <w:rPr>
                <w:rFonts w:cs="Arial"/>
                <w:szCs w:val="18"/>
              </w:rPr>
            </w:pPr>
            <w:r w:rsidRPr="00872C97">
              <w:t>0</w:t>
            </w:r>
            <w:r w:rsidR="00FC6C34" w:rsidRPr="00872C97">
              <w:t>b</w:t>
            </w:r>
          </w:p>
        </w:tc>
        <w:tc>
          <w:tcPr>
            <w:tcW w:w="1020" w:type="dxa"/>
            <w:shd w:val="clear" w:color="auto" w:fill="FFFFFF"/>
          </w:tcPr>
          <w:p w14:paraId="13D22679" w14:textId="48B20F35" w:rsidR="00F975ED" w:rsidRPr="00872C97" w:rsidRDefault="00F975ED" w:rsidP="00872C97">
            <w:pPr>
              <w:ind w:right="-1"/>
              <w:rPr>
                <w:rFonts w:cs="Arial"/>
                <w:szCs w:val="18"/>
              </w:rPr>
            </w:pPr>
            <w:r w:rsidRPr="00872C97">
              <w:t>&lt;1</w:t>
            </w:r>
            <w:r w:rsidR="00FC6C34" w:rsidRPr="00872C97">
              <w:t>b</w:t>
            </w:r>
          </w:p>
        </w:tc>
      </w:tr>
      <w:tr w:rsidR="0071588F" w:rsidRPr="00872C97" w14:paraId="40744EB6" w14:textId="77777777" w:rsidTr="00AA1474">
        <w:tc>
          <w:tcPr>
            <w:tcW w:w="1134" w:type="dxa"/>
            <w:vMerge/>
            <w:shd w:val="clear" w:color="auto" w:fill="FFFFFF"/>
          </w:tcPr>
          <w:p w14:paraId="1AF6943D" w14:textId="77777777" w:rsidR="0071588F" w:rsidRPr="00872C97" w:rsidRDefault="0071588F" w:rsidP="00872C97"/>
        </w:tc>
        <w:tc>
          <w:tcPr>
            <w:tcW w:w="1134" w:type="dxa"/>
            <w:shd w:val="clear" w:color="auto" w:fill="FFFFFF"/>
          </w:tcPr>
          <w:p w14:paraId="00A19ECA" w14:textId="77777777" w:rsidR="0071588F" w:rsidRPr="00872C97" w:rsidRDefault="0071588F" w:rsidP="00872C97">
            <w:pPr>
              <w:rPr>
                <w:lang w:val="en-US"/>
              </w:rPr>
            </w:pPr>
            <w:r w:rsidRPr="00872C97">
              <w:rPr>
                <w:lang w:val="en-US"/>
              </w:rPr>
              <w:t>SEM</w:t>
            </w:r>
          </w:p>
        </w:tc>
        <w:tc>
          <w:tcPr>
            <w:tcW w:w="1020" w:type="dxa"/>
            <w:shd w:val="clear" w:color="auto" w:fill="FFFFFF"/>
          </w:tcPr>
          <w:p w14:paraId="535556D7" w14:textId="59892028" w:rsidR="0071588F" w:rsidRPr="00872C97" w:rsidRDefault="0071588F" w:rsidP="00872C97">
            <w:r w:rsidRPr="00872C97">
              <w:t>0.64</w:t>
            </w:r>
          </w:p>
        </w:tc>
        <w:tc>
          <w:tcPr>
            <w:tcW w:w="1020" w:type="dxa"/>
            <w:gridSpan w:val="2"/>
            <w:shd w:val="clear" w:color="auto" w:fill="FFFFFF"/>
          </w:tcPr>
          <w:p w14:paraId="0BF15D70" w14:textId="3861BAB1" w:rsidR="0071588F" w:rsidRPr="00872C97" w:rsidRDefault="0071588F" w:rsidP="00872C97">
            <w:r w:rsidRPr="00872C97">
              <w:t>0.65</w:t>
            </w:r>
          </w:p>
        </w:tc>
        <w:tc>
          <w:tcPr>
            <w:tcW w:w="1587" w:type="dxa"/>
            <w:shd w:val="clear" w:color="auto" w:fill="FFFFFF"/>
          </w:tcPr>
          <w:p w14:paraId="459A3CC5" w14:textId="73B8EBCA" w:rsidR="0071588F" w:rsidRPr="00872C97" w:rsidRDefault="0071588F" w:rsidP="00872C97">
            <w:r w:rsidRPr="00872C97">
              <w:t>n.d.</w:t>
            </w:r>
          </w:p>
        </w:tc>
        <w:tc>
          <w:tcPr>
            <w:tcW w:w="1701" w:type="dxa"/>
            <w:shd w:val="clear" w:color="auto" w:fill="FFFFFF"/>
          </w:tcPr>
          <w:p w14:paraId="491A3C6A" w14:textId="77D29468" w:rsidR="0071588F" w:rsidRPr="00872C97" w:rsidRDefault="0071588F" w:rsidP="00872C97">
            <w:pPr>
              <w:ind w:right="-1"/>
            </w:pPr>
            <w:r w:rsidRPr="00872C97">
              <w:t>0.49</w:t>
            </w:r>
          </w:p>
        </w:tc>
        <w:tc>
          <w:tcPr>
            <w:tcW w:w="1020" w:type="dxa"/>
            <w:shd w:val="clear" w:color="auto" w:fill="FFFFFF"/>
          </w:tcPr>
          <w:p w14:paraId="0E8C8919" w14:textId="43412BB8" w:rsidR="0071588F" w:rsidRPr="00872C97" w:rsidRDefault="0071588F" w:rsidP="00872C97">
            <w:pPr>
              <w:ind w:right="-1"/>
            </w:pPr>
            <w:r w:rsidRPr="00872C97">
              <w:t>0.56</w:t>
            </w:r>
          </w:p>
        </w:tc>
      </w:tr>
      <w:tr w:rsidR="0071588F" w:rsidRPr="00872C97" w14:paraId="0FDABCE4" w14:textId="77777777" w:rsidTr="00AA1474">
        <w:tc>
          <w:tcPr>
            <w:tcW w:w="1134" w:type="dxa"/>
            <w:vMerge/>
            <w:shd w:val="clear" w:color="auto" w:fill="FFFFFF"/>
          </w:tcPr>
          <w:p w14:paraId="48FC72A9" w14:textId="77777777" w:rsidR="0071588F" w:rsidRPr="00872C97" w:rsidRDefault="0071588F" w:rsidP="00872C97"/>
        </w:tc>
        <w:tc>
          <w:tcPr>
            <w:tcW w:w="1134" w:type="dxa"/>
            <w:shd w:val="clear" w:color="auto" w:fill="FFFFFF"/>
          </w:tcPr>
          <w:p w14:paraId="17C78F5E" w14:textId="77777777" w:rsidR="0071588F" w:rsidRPr="00872C97" w:rsidRDefault="0071588F" w:rsidP="00872C97">
            <w:pPr>
              <w:rPr>
                <w:lang w:val="en-US"/>
              </w:rPr>
            </w:pPr>
            <w:r w:rsidRPr="00872C97">
              <w:rPr>
                <w:lang w:val="en-US"/>
              </w:rPr>
              <w:t>P value</w:t>
            </w:r>
          </w:p>
        </w:tc>
        <w:tc>
          <w:tcPr>
            <w:tcW w:w="1020" w:type="dxa"/>
            <w:shd w:val="clear" w:color="auto" w:fill="FFFFFF"/>
          </w:tcPr>
          <w:p w14:paraId="5DD3D80C" w14:textId="276199C5" w:rsidR="0071588F" w:rsidRPr="00872C97" w:rsidRDefault="0071588F" w:rsidP="00872C97">
            <w:r w:rsidRPr="00872C97">
              <w:t>&lt;0.0001</w:t>
            </w:r>
          </w:p>
        </w:tc>
        <w:tc>
          <w:tcPr>
            <w:tcW w:w="1020" w:type="dxa"/>
            <w:gridSpan w:val="2"/>
            <w:shd w:val="clear" w:color="auto" w:fill="FFFFFF"/>
          </w:tcPr>
          <w:p w14:paraId="23142877" w14:textId="1843E9C0" w:rsidR="0071588F" w:rsidRPr="00872C97" w:rsidRDefault="0071588F" w:rsidP="00872C97">
            <w:r w:rsidRPr="00872C97">
              <w:t>&lt;0.0001</w:t>
            </w:r>
          </w:p>
        </w:tc>
        <w:tc>
          <w:tcPr>
            <w:tcW w:w="1587" w:type="dxa"/>
            <w:shd w:val="clear" w:color="auto" w:fill="FFFFFF"/>
          </w:tcPr>
          <w:p w14:paraId="57612A7B" w14:textId="183AAA0F" w:rsidR="0071588F" w:rsidRPr="00872C97" w:rsidRDefault="0071588F" w:rsidP="00872C97">
            <w:r w:rsidRPr="00872C97">
              <w:t>n.d.</w:t>
            </w:r>
          </w:p>
        </w:tc>
        <w:tc>
          <w:tcPr>
            <w:tcW w:w="1701" w:type="dxa"/>
            <w:shd w:val="clear" w:color="auto" w:fill="FFFFFF"/>
          </w:tcPr>
          <w:p w14:paraId="45A794F0" w14:textId="64944CCB" w:rsidR="0071588F" w:rsidRPr="00872C97" w:rsidRDefault="0071588F" w:rsidP="00872C97">
            <w:pPr>
              <w:ind w:right="-1"/>
            </w:pPr>
            <w:r w:rsidRPr="00872C97">
              <w:t>&lt;0.0001</w:t>
            </w:r>
          </w:p>
        </w:tc>
        <w:tc>
          <w:tcPr>
            <w:tcW w:w="1020" w:type="dxa"/>
            <w:shd w:val="clear" w:color="auto" w:fill="FFFFFF"/>
          </w:tcPr>
          <w:p w14:paraId="49099660" w14:textId="3636F907" w:rsidR="0071588F" w:rsidRPr="00872C97" w:rsidRDefault="0071588F" w:rsidP="00872C97">
            <w:pPr>
              <w:ind w:right="-1"/>
            </w:pPr>
            <w:r w:rsidRPr="00872C97">
              <w:t>&lt;0.0001</w:t>
            </w:r>
          </w:p>
        </w:tc>
      </w:tr>
      <w:tr w:rsidR="0071588F" w:rsidRPr="00872C97" w14:paraId="4949A1A7" w14:textId="77777777" w:rsidTr="00AA1474">
        <w:trPr>
          <w:trHeight w:val="57"/>
        </w:trPr>
        <w:tc>
          <w:tcPr>
            <w:tcW w:w="1134" w:type="dxa"/>
            <w:shd w:val="clear" w:color="auto" w:fill="FFFFFF"/>
          </w:tcPr>
          <w:p w14:paraId="558D2C67" w14:textId="77777777" w:rsidR="0071588F" w:rsidRPr="00872C97" w:rsidRDefault="0071588F" w:rsidP="00872C97">
            <w:pPr>
              <w:rPr>
                <w:sz w:val="2"/>
                <w:szCs w:val="2"/>
              </w:rPr>
            </w:pPr>
          </w:p>
        </w:tc>
        <w:tc>
          <w:tcPr>
            <w:tcW w:w="1134" w:type="dxa"/>
            <w:shd w:val="clear" w:color="auto" w:fill="FFFFFF"/>
          </w:tcPr>
          <w:p w14:paraId="23ED4064" w14:textId="77777777" w:rsidR="0071588F" w:rsidRPr="00872C97" w:rsidRDefault="0071588F" w:rsidP="00872C97">
            <w:pPr>
              <w:rPr>
                <w:sz w:val="2"/>
                <w:szCs w:val="2"/>
                <w:lang w:val="en-US"/>
              </w:rPr>
            </w:pPr>
          </w:p>
        </w:tc>
        <w:tc>
          <w:tcPr>
            <w:tcW w:w="1020" w:type="dxa"/>
            <w:shd w:val="clear" w:color="auto" w:fill="FFFFFF"/>
          </w:tcPr>
          <w:p w14:paraId="5FCBEF0E" w14:textId="77777777" w:rsidR="0071588F" w:rsidRPr="00872C97" w:rsidRDefault="0071588F" w:rsidP="00872C97">
            <w:pPr>
              <w:rPr>
                <w:sz w:val="2"/>
                <w:szCs w:val="2"/>
              </w:rPr>
            </w:pPr>
          </w:p>
        </w:tc>
        <w:tc>
          <w:tcPr>
            <w:tcW w:w="1020" w:type="dxa"/>
            <w:gridSpan w:val="2"/>
            <w:shd w:val="clear" w:color="auto" w:fill="FFFFFF"/>
          </w:tcPr>
          <w:p w14:paraId="2D9EC4CD" w14:textId="77777777" w:rsidR="0071588F" w:rsidRPr="00872C97" w:rsidRDefault="0071588F" w:rsidP="00872C97">
            <w:pPr>
              <w:rPr>
                <w:sz w:val="2"/>
                <w:szCs w:val="2"/>
              </w:rPr>
            </w:pPr>
          </w:p>
        </w:tc>
        <w:tc>
          <w:tcPr>
            <w:tcW w:w="1587" w:type="dxa"/>
            <w:shd w:val="clear" w:color="auto" w:fill="FFFFFF"/>
          </w:tcPr>
          <w:p w14:paraId="3EF0C8B6" w14:textId="77777777" w:rsidR="0071588F" w:rsidRPr="00872C97" w:rsidRDefault="0071588F" w:rsidP="00872C97">
            <w:pPr>
              <w:rPr>
                <w:sz w:val="2"/>
                <w:szCs w:val="2"/>
              </w:rPr>
            </w:pPr>
          </w:p>
        </w:tc>
        <w:tc>
          <w:tcPr>
            <w:tcW w:w="1701" w:type="dxa"/>
            <w:shd w:val="clear" w:color="auto" w:fill="FFFFFF"/>
          </w:tcPr>
          <w:p w14:paraId="3650B899" w14:textId="77777777" w:rsidR="0071588F" w:rsidRPr="00872C97" w:rsidRDefault="0071588F" w:rsidP="00872C97">
            <w:pPr>
              <w:ind w:right="-1"/>
              <w:rPr>
                <w:rFonts w:cs="Arial"/>
                <w:sz w:val="2"/>
                <w:szCs w:val="2"/>
              </w:rPr>
            </w:pPr>
          </w:p>
        </w:tc>
        <w:tc>
          <w:tcPr>
            <w:tcW w:w="1020" w:type="dxa"/>
            <w:shd w:val="clear" w:color="auto" w:fill="FFFFFF"/>
          </w:tcPr>
          <w:p w14:paraId="51C68E30" w14:textId="77777777" w:rsidR="0071588F" w:rsidRPr="00872C97" w:rsidRDefault="0071588F" w:rsidP="00872C97">
            <w:pPr>
              <w:ind w:right="-1"/>
              <w:rPr>
                <w:rFonts w:cs="Arial"/>
                <w:sz w:val="2"/>
                <w:szCs w:val="2"/>
              </w:rPr>
            </w:pPr>
          </w:p>
        </w:tc>
      </w:tr>
      <w:tr w:rsidR="0071588F" w:rsidRPr="00872C97" w14:paraId="49EC9724" w14:textId="77777777" w:rsidTr="00AA1474">
        <w:tc>
          <w:tcPr>
            <w:tcW w:w="1134" w:type="dxa"/>
            <w:vMerge w:val="restart"/>
            <w:shd w:val="clear" w:color="auto" w:fill="FFFFFF"/>
            <w:vAlign w:val="center"/>
          </w:tcPr>
          <w:p w14:paraId="28CB51D2" w14:textId="77777777" w:rsidR="0071588F" w:rsidRPr="00872C97" w:rsidRDefault="0071588F" w:rsidP="00872C97">
            <w:r w:rsidRPr="00872C97">
              <w:t>30</w:t>
            </w:r>
          </w:p>
        </w:tc>
        <w:tc>
          <w:tcPr>
            <w:tcW w:w="1134" w:type="dxa"/>
            <w:shd w:val="clear" w:color="auto" w:fill="FFFFFF"/>
          </w:tcPr>
          <w:p w14:paraId="1B0EAA13" w14:textId="77777777" w:rsidR="0071588F" w:rsidRPr="00872C97" w:rsidRDefault="0071588F" w:rsidP="00872C97">
            <w:r w:rsidRPr="00872C97">
              <w:rPr>
                <w:lang w:val="en-US"/>
              </w:rPr>
              <w:t>NoHPP</w:t>
            </w:r>
          </w:p>
        </w:tc>
        <w:tc>
          <w:tcPr>
            <w:tcW w:w="1020" w:type="dxa"/>
            <w:shd w:val="clear" w:color="auto" w:fill="FFFFFF"/>
          </w:tcPr>
          <w:p w14:paraId="1C9F6B01" w14:textId="68BB5EAE" w:rsidR="0071588F" w:rsidRPr="00872C97" w:rsidRDefault="0071588F" w:rsidP="00872C97">
            <w:r w:rsidRPr="00872C97">
              <w:t>5.06±0.20</w:t>
            </w:r>
            <w:r w:rsidR="004508B7" w:rsidRPr="00872C97">
              <w:t>a</w:t>
            </w:r>
          </w:p>
        </w:tc>
        <w:tc>
          <w:tcPr>
            <w:tcW w:w="1020" w:type="dxa"/>
            <w:gridSpan w:val="2"/>
            <w:shd w:val="clear" w:color="auto" w:fill="FFFFFF"/>
          </w:tcPr>
          <w:p w14:paraId="2AD8BF82" w14:textId="73EEA858" w:rsidR="0071588F" w:rsidRPr="00872C97" w:rsidRDefault="0071588F" w:rsidP="00872C97">
            <w:r w:rsidRPr="00872C97">
              <w:t>5.15±0.04</w:t>
            </w:r>
            <w:r w:rsidR="004508B7" w:rsidRPr="00872C97">
              <w:t>a</w:t>
            </w:r>
          </w:p>
        </w:tc>
        <w:tc>
          <w:tcPr>
            <w:tcW w:w="1587" w:type="dxa"/>
            <w:shd w:val="clear" w:color="auto" w:fill="FFFFFF"/>
          </w:tcPr>
          <w:p w14:paraId="5837B644" w14:textId="778F5582" w:rsidR="0071588F" w:rsidRPr="00872C97" w:rsidRDefault="0071588F" w:rsidP="00872C97">
            <w:r w:rsidRPr="00872C97">
              <w:t>4.22±0.68</w:t>
            </w:r>
            <w:r w:rsidR="00EA6A5E" w:rsidRPr="00872C97">
              <w:t>a</w:t>
            </w:r>
          </w:p>
        </w:tc>
        <w:tc>
          <w:tcPr>
            <w:tcW w:w="1701" w:type="dxa"/>
            <w:shd w:val="clear" w:color="auto" w:fill="FFFFFF"/>
          </w:tcPr>
          <w:p w14:paraId="6C5838F3" w14:textId="085BE37B" w:rsidR="0071588F" w:rsidRPr="00872C97" w:rsidRDefault="0071588F" w:rsidP="00872C97">
            <w:pPr>
              <w:ind w:right="-1"/>
              <w:rPr>
                <w:rFonts w:cs="Arial"/>
                <w:szCs w:val="18"/>
              </w:rPr>
            </w:pPr>
            <w:r w:rsidRPr="00872C97">
              <w:rPr>
                <w:rFonts w:cs="Arial"/>
                <w:szCs w:val="18"/>
              </w:rPr>
              <w:t>3.39±0.12</w:t>
            </w:r>
            <w:r w:rsidR="00692A5D" w:rsidRPr="00872C97">
              <w:rPr>
                <w:rFonts w:cs="Arial"/>
                <w:szCs w:val="18"/>
              </w:rPr>
              <w:t>a</w:t>
            </w:r>
          </w:p>
        </w:tc>
        <w:tc>
          <w:tcPr>
            <w:tcW w:w="1020" w:type="dxa"/>
            <w:shd w:val="clear" w:color="auto" w:fill="FFFFFF"/>
          </w:tcPr>
          <w:p w14:paraId="0F8DB1D9" w14:textId="2943702F" w:rsidR="0071588F" w:rsidRPr="00872C97" w:rsidRDefault="0071588F" w:rsidP="00872C97">
            <w:pPr>
              <w:ind w:right="-1"/>
              <w:rPr>
                <w:rFonts w:cs="Arial"/>
                <w:szCs w:val="18"/>
              </w:rPr>
            </w:pPr>
            <w:r w:rsidRPr="00872C97">
              <w:rPr>
                <w:rFonts w:cs="Arial"/>
                <w:szCs w:val="18"/>
              </w:rPr>
              <w:t>4.26±0.12</w:t>
            </w:r>
            <w:r w:rsidR="009302DE" w:rsidRPr="00872C97">
              <w:rPr>
                <w:rFonts w:cs="Arial"/>
                <w:szCs w:val="18"/>
              </w:rPr>
              <w:t>a</w:t>
            </w:r>
          </w:p>
        </w:tc>
      </w:tr>
      <w:tr w:rsidR="0071588F" w:rsidRPr="00872C97" w14:paraId="0C1CC6DE" w14:textId="77777777" w:rsidTr="00AA1474">
        <w:tc>
          <w:tcPr>
            <w:tcW w:w="1134" w:type="dxa"/>
            <w:vMerge/>
            <w:shd w:val="clear" w:color="auto" w:fill="FFFFFF"/>
          </w:tcPr>
          <w:p w14:paraId="146F1A98" w14:textId="77777777" w:rsidR="0071588F" w:rsidRPr="00872C97" w:rsidRDefault="0071588F" w:rsidP="00872C97">
            <w:pPr>
              <w:ind w:right="-1"/>
              <w:rPr>
                <w:rFonts w:cs="Arial"/>
                <w:szCs w:val="18"/>
              </w:rPr>
            </w:pPr>
          </w:p>
        </w:tc>
        <w:tc>
          <w:tcPr>
            <w:tcW w:w="1134" w:type="dxa"/>
            <w:shd w:val="clear" w:color="auto" w:fill="FFFFFF"/>
          </w:tcPr>
          <w:p w14:paraId="055BFCE2" w14:textId="77777777" w:rsidR="0071588F" w:rsidRPr="00872C97" w:rsidRDefault="0071588F" w:rsidP="00872C97">
            <w:pPr>
              <w:ind w:right="-1"/>
              <w:rPr>
                <w:rFonts w:cs="Arial"/>
                <w:szCs w:val="18"/>
              </w:rPr>
            </w:pPr>
            <w:r w:rsidRPr="00872C97">
              <w:rPr>
                <w:lang w:val="en-US"/>
              </w:rPr>
              <w:t>HPP</w:t>
            </w:r>
          </w:p>
        </w:tc>
        <w:tc>
          <w:tcPr>
            <w:tcW w:w="1020" w:type="dxa"/>
            <w:shd w:val="clear" w:color="auto" w:fill="FFFFFF"/>
          </w:tcPr>
          <w:p w14:paraId="35011E67" w14:textId="772C275A" w:rsidR="0071588F" w:rsidRPr="00872C97" w:rsidRDefault="0071588F" w:rsidP="00872C97">
            <w:pPr>
              <w:ind w:right="-1"/>
              <w:rPr>
                <w:rFonts w:cs="Arial"/>
                <w:szCs w:val="18"/>
              </w:rPr>
            </w:pPr>
            <w:r w:rsidRPr="00872C97">
              <w:rPr>
                <w:rFonts w:cs="Arial"/>
                <w:szCs w:val="18"/>
              </w:rPr>
              <w:t>3.24±0.21</w:t>
            </w:r>
            <w:r w:rsidR="004508B7" w:rsidRPr="00872C97">
              <w:rPr>
                <w:rFonts w:cs="Arial"/>
                <w:szCs w:val="18"/>
              </w:rPr>
              <w:t>b</w:t>
            </w:r>
          </w:p>
        </w:tc>
        <w:tc>
          <w:tcPr>
            <w:tcW w:w="1020" w:type="dxa"/>
            <w:gridSpan w:val="2"/>
            <w:shd w:val="clear" w:color="auto" w:fill="FFFFFF"/>
          </w:tcPr>
          <w:p w14:paraId="06F82705" w14:textId="666E89BF" w:rsidR="0071588F" w:rsidRPr="00872C97" w:rsidRDefault="004508B7" w:rsidP="00872C97">
            <w:pPr>
              <w:ind w:right="-1"/>
              <w:rPr>
                <w:rFonts w:cs="Arial"/>
                <w:szCs w:val="18"/>
              </w:rPr>
            </w:pPr>
            <w:r w:rsidRPr="00872C97">
              <w:rPr>
                <w:rFonts w:cs="Arial"/>
                <w:szCs w:val="18"/>
              </w:rPr>
              <w:t>1</w:t>
            </w:r>
            <w:r w:rsidR="0071588F" w:rsidRPr="00872C97">
              <w:rPr>
                <w:rFonts w:cs="Arial"/>
                <w:szCs w:val="18"/>
              </w:rPr>
              <w:t>.85±0.21</w:t>
            </w:r>
          </w:p>
        </w:tc>
        <w:tc>
          <w:tcPr>
            <w:tcW w:w="1587" w:type="dxa"/>
            <w:shd w:val="clear" w:color="auto" w:fill="FFFFFF"/>
          </w:tcPr>
          <w:p w14:paraId="78FD96DF" w14:textId="50D05B01" w:rsidR="0071588F" w:rsidRPr="00872C97" w:rsidRDefault="0071588F" w:rsidP="00872C97">
            <w:pPr>
              <w:ind w:right="-1"/>
              <w:rPr>
                <w:rFonts w:cs="Arial"/>
                <w:szCs w:val="18"/>
              </w:rPr>
            </w:pPr>
            <w:r w:rsidRPr="00872C97">
              <w:t>&lt;1</w:t>
            </w:r>
            <w:r w:rsidR="00EA6A5E" w:rsidRPr="00872C97">
              <w:t>b</w:t>
            </w:r>
          </w:p>
        </w:tc>
        <w:tc>
          <w:tcPr>
            <w:tcW w:w="1701" w:type="dxa"/>
            <w:shd w:val="clear" w:color="auto" w:fill="FFFFFF"/>
          </w:tcPr>
          <w:p w14:paraId="3391E1B9" w14:textId="48329D5B" w:rsidR="0071588F" w:rsidRPr="00872C97" w:rsidRDefault="0071588F" w:rsidP="00872C97">
            <w:pPr>
              <w:ind w:right="-1"/>
              <w:rPr>
                <w:rFonts w:cs="Arial"/>
                <w:szCs w:val="18"/>
              </w:rPr>
            </w:pPr>
            <w:r w:rsidRPr="00872C97">
              <w:t>0</w:t>
            </w:r>
            <w:r w:rsidR="00692A5D" w:rsidRPr="00872C97">
              <w:t>b</w:t>
            </w:r>
          </w:p>
        </w:tc>
        <w:tc>
          <w:tcPr>
            <w:tcW w:w="1020" w:type="dxa"/>
            <w:shd w:val="clear" w:color="auto" w:fill="FFFFFF"/>
          </w:tcPr>
          <w:p w14:paraId="7E8D41A8" w14:textId="1B339092" w:rsidR="0071588F" w:rsidRPr="00872C97" w:rsidRDefault="0071588F" w:rsidP="00872C97">
            <w:pPr>
              <w:ind w:right="-1"/>
              <w:rPr>
                <w:rFonts w:cs="Arial"/>
                <w:szCs w:val="18"/>
              </w:rPr>
            </w:pPr>
            <w:r w:rsidRPr="00872C97">
              <w:t>&lt;1</w:t>
            </w:r>
            <w:r w:rsidR="009302DE" w:rsidRPr="00872C97">
              <w:t>b</w:t>
            </w:r>
          </w:p>
        </w:tc>
      </w:tr>
      <w:tr w:rsidR="003B52F7" w:rsidRPr="00872C97" w14:paraId="25B5F2FF" w14:textId="77777777" w:rsidTr="00AA1474">
        <w:tc>
          <w:tcPr>
            <w:tcW w:w="1134" w:type="dxa"/>
            <w:vMerge/>
            <w:shd w:val="clear" w:color="auto" w:fill="FFFFFF"/>
          </w:tcPr>
          <w:p w14:paraId="4705D770" w14:textId="77777777" w:rsidR="003B52F7" w:rsidRPr="00872C97" w:rsidRDefault="003B52F7" w:rsidP="00872C97">
            <w:pPr>
              <w:ind w:right="-1"/>
              <w:rPr>
                <w:rFonts w:cs="Arial"/>
                <w:szCs w:val="18"/>
              </w:rPr>
            </w:pPr>
          </w:p>
        </w:tc>
        <w:tc>
          <w:tcPr>
            <w:tcW w:w="1134" w:type="dxa"/>
            <w:shd w:val="clear" w:color="auto" w:fill="FFFFFF"/>
          </w:tcPr>
          <w:p w14:paraId="4626C4A5" w14:textId="77777777" w:rsidR="003B52F7" w:rsidRPr="00872C97" w:rsidRDefault="003B52F7" w:rsidP="00872C97">
            <w:pPr>
              <w:ind w:right="-1"/>
              <w:rPr>
                <w:lang w:val="en-US"/>
              </w:rPr>
            </w:pPr>
            <w:r w:rsidRPr="00872C97">
              <w:rPr>
                <w:lang w:val="en-US"/>
              </w:rPr>
              <w:t>SEM</w:t>
            </w:r>
          </w:p>
        </w:tc>
        <w:tc>
          <w:tcPr>
            <w:tcW w:w="1020" w:type="dxa"/>
            <w:shd w:val="clear" w:color="auto" w:fill="FFFFFF"/>
          </w:tcPr>
          <w:p w14:paraId="5852C96D" w14:textId="3786702E" w:rsidR="003B52F7" w:rsidRPr="00872C97" w:rsidRDefault="003B52F7" w:rsidP="00872C97">
            <w:pPr>
              <w:ind w:right="-1"/>
              <w:rPr>
                <w:rFonts w:cs="Arial"/>
                <w:szCs w:val="18"/>
              </w:rPr>
            </w:pPr>
            <w:r w:rsidRPr="00872C97">
              <w:rPr>
                <w:rFonts w:cs="Arial"/>
                <w:szCs w:val="18"/>
              </w:rPr>
              <w:t>0.29</w:t>
            </w:r>
          </w:p>
        </w:tc>
        <w:tc>
          <w:tcPr>
            <w:tcW w:w="1020" w:type="dxa"/>
            <w:gridSpan w:val="2"/>
            <w:shd w:val="clear" w:color="auto" w:fill="FFFFFF"/>
          </w:tcPr>
          <w:p w14:paraId="7B06527B" w14:textId="46F6BBC9" w:rsidR="003B52F7" w:rsidRPr="00872C97" w:rsidRDefault="003B52F7" w:rsidP="00872C97">
            <w:pPr>
              <w:ind w:right="-1"/>
              <w:rPr>
                <w:rFonts w:cs="Arial"/>
                <w:szCs w:val="18"/>
              </w:rPr>
            </w:pPr>
            <w:r w:rsidRPr="00872C97">
              <w:rPr>
                <w:rFonts w:cs="Arial"/>
                <w:szCs w:val="18"/>
              </w:rPr>
              <w:t>0.52</w:t>
            </w:r>
          </w:p>
        </w:tc>
        <w:tc>
          <w:tcPr>
            <w:tcW w:w="1587" w:type="dxa"/>
            <w:shd w:val="clear" w:color="auto" w:fill="FFFFFF"/>
          </w:tcPr>
          <w:p w14:paraId="3C972A80" w14:textId="1EAF2CB2" w:rsidR="003B52F7" w:rsidRPr="00872C97" w:rsidRDefault="003B52F7" w:rsidP="00872C97">
            <w:pPr>
              <w:ind w:right="-1"/>
            </w:pPr>
            <w:r w:rsidRPr="00872C97">
              <w:t>0.68</w:t>
            </w:r>
          </w:p>
        </w:tc>
        <w:tc>
          <w:tcPr>
            <w:tcW w:w="1701" w:type="dxa"/>
            <w:shd w:val="clear" w:color="auto" w:fill="FFFFFF"/>
          </w:tcPr>
          <w:p w14:paraId="0E46470C" w14:textId="7AD42B9C" w:rsidR="003B52F7" w:rsidRPr="00872C97" w:rsidRDefault="003B52F7" w:rsidP="00872C97">
            <w:pPr>
              <w:ind w:right="-1"/>
            </w:pPr>
            <w:r w:rsidRPr="00872C97">
              <w:t>0.54</w:t>
            </w:r>
          </w:p>
        </w:tc>
        <w:tc>
          <w:tcPr>
            <w:tcW w:w="1020" w:type="dxa"/>
            <w:shd w:val="clear" w:color="auto" w:fill="FFFFFF"/>
          </w:tcPr>
          <w:p w14:paraId="392042F8" w14:textId="015CADA2" w:rsidR="003B52F7" w:rsidRPr="00872C97" w:rsidRDefault="003B52F7" w:rsidP="00872C97">
            <w:pPr>
              <w:ind w:right="-1"/>
            </w:pPr>
            <w:r w:rsidRPr="00872C97">
              <w:t>0.67</w:t>
            </w:r>
          </w:p>
        </w:tc>
      </w:tr>
      <w:tr w:rsidR="003B52F7" w:rsidRPr="00872C97" w14:paraId="07DD1141" w14:textId="77777777" w:rsidTr="00AA1474">
        <w:tc>
          <w:tcPr>
            <w:tcW w:w="1134" w:type="dxa"/>
            <w:vMerge/>
            <w:shd w:val="clear" w:color="auto" w:fill="FFFFFF"/>
          </w:tcPr>
          <w:p w14:paraId="5037DE61" w14:textId="77777777" w:rsidR="003B52F7" w:rsidRPr="00872C97" w:rsidRDefault="003B52F7" w:rsidP="00872C97">
            <w:pPr>
              <w:ind w:right="-1"/>
              <w:rPr>
                <w:rFonts w:cs="Arial"/>
                <w:szCs w:val="18"/>
              </w:rPr>
            </w:pPr>
          </w:p>
        </w:tc>
        <w:tc>
          <w:tcPr>
            <w:tcW w:w="1134" w:type="dxa"/>
            <w:shd w:val="clear" w:color="auto" w:fill="FFFFFF"/>
          </w:tcPr>
          <w:p w14:paraId="0A5AFC7E" w14:textId="77777777" w:rsidR="003B52F7" w:rsidRPr="00872C97" w:rsidRDefault="003B52F7" w:rsidP="00872C97">
            <w:pPr>
              <w:ind w:right="-1"/>
              <w:rPr>
                <w:lang w:val="en-US"/>
              </w:rPr>
            </w:pPr>
            <w:r w:rsidRPr="00872C97">
              <w:rPr>
                <w:lang w:val="en-US"/>
              </w:rPr>
              <w:t>P value</w:t>
            </w:r>
          </w:p>
        </w:tc>
        <w:tc>
          <w:tcPr>
            <w:tcW w:w="1020" w:type="dxa"/>
            <w:shd w:val="clear" w:color="auto" w:fill="FFFFFF"/>
          </w:tcPr>
          <w:p w14:paraId="5F952BAA" w14:textId="3B8A75F8" w:rsidR="003B52F7" w:rsidRPr="00872C97" w:rsidRDefault="003B52F7" w:rsidP="00872C97">
            <w:pPr>
              <w:ind w:right="-1"/>
              <w:rPr>
                <w:rFonts w:cs="Arial"/>
                <w:szCs w:val="18"/>
              </w:rPr>
            </w:pPr>
            <w:r w:rsidRPr="00872C97">
              <w:rPr>
                <w:rFonts w:cs="Arial"/>
                <w:szCs w:val="18"/>
              </w:rPr>
              <w:t>0.001</w:t>
            </w:r>
          </w:p>
        </w:tc>
        <w:tc>
          <w:tcPr>
            <w:tcW w:w="1020" w:type="dxa"/>
            <w:gridSpan w:val="2"/>
            <w:shd w:val="clear" w:color="auto" w:fill="FFFFFF"/>
          </w:tcPr>
          <w:p w14:paraId="78B8F3F1" w14:textId="028EE0F8" w:rsidR="003B52F7" w:rsidRPr="00872C97" w:rsidRDefault="003B52F7" w:rsidP="00872C97">
            <w:pPr>
              <w:ind w:right="-1"/>
              <w:rPr>
                <w:rFonts w:cs="Arial"/>
                <w:szCs w:val="18"/>
              </w:rPr>
            </w:pPr>
            <w:r w:rsidRPr="00872C97">
              <w:t>&lt;0.0001</w:t>
            </w:r>
          </w:p>
        </w:tc>
        <w:tc>
          <w:tcPr>
            <w:tcW w:w="1587" w:type="dxa"/>
            <w:shd w:val="clear" w:color="auto" w:fill="FFFFFF"/>
          </w:tcPr>
          <w:p w14:paraId="6A7366EC" w14:textId="41526F8C" w:rsidR="003B52F7" w:rsidRPr="00872C97" w:rsidRDefault="003B52F7" w:rsidP="00872C97">
            <w:pPr>
              <w:ind w:right="-1"/>
            </w:pPr>
            <w:r w:rsidRPr="00872C97">
              <w:t>&lt;0.0001</w:t>
            </w:r>
          </w:p>
        </w:tc>
        <w:tc>
          <w:tcPr>
            <w:tcW w:w="1701" w:type="dxa"/>
            <w:shd w:val="clear" w:color="auto" w:fill="FFFFFF"/>
          </w:tcPr>
          <w:p w14:paraId="68406E08" w14:textId="3899F622" w:rsidR="003B52F7" w:rsidRPr="00872C97" w:rsidRDefault="003B52F7" w:rsidP="00872C97">
            <w:pPr>
              <w:ind w:right="-1"/>
            </w:pPr>
            <w:r w:rsidRPr="00872C97">
              <w:t>&lt;0.0001</w:t>
            </w:r>
          </w:p>
        </w:tc>
        <w:tc>
          <w:tcPr>
            <w:tcW w:w="1020" w:type="dxa"/>
            <w:shd w:val="clear" w:color="auto" w:fill="FFFFFF"/>
          </w:tcPr>
          <w:p w14:paraId="0ACA243E" w14:textId="5B7DDF3D" w:rsidR="003B52F7" w:rsidRPr="00872C97" w:rsidRDefault="003B52F7" w:rsidP="00872C97">
            <w:pPr>
              <w:ind w:right="-1"/>
            </w:pPr>
            <w:r w:rsidRPr="00872C97">
              <w:t>&lt;0.0001</w:t>
            </w:r>
          </w:p>
        </w:tc>
      </w:tr>
    </w:tbl>
    <w:p w14:paraId="46EB9CF7" w14:textId="2C28260F" w:rsidR="00EC1ADB" w:rsidRPr="00872C97" w:rsidRDefault="00EC1ADB" w:rsidP="00872C97">
      <w:pPr>
        <w:rPr>
          <w:rFonts w:cs="Arial"/>
          <w:sz w:val="16"/>
          <w:szCs w:val="18"/>
        </w:rPr>
      </w:pPr>
      <w:bookmarkStart w:id="2" w:name="_Hlk200185998"/>
      <w:r w:rsidRPr="00872C97">
        <w:rPr>
          <w:rFonts w:cs="Arial"/>
          <w:sz w:val="16"/>
          <w:szCs w:val="18"/>
        </w:rPr>
        <w:t>Units are Log CFU/</w:t>
      </w:r>
      <w:r w:rsidR="00160125" w:rsidRPr="00872C97">
        <w:rPr>
          <w:rFonts w:cs="Arial"/>
          <w:sz w:val="16"/>
          <w:szCs w:val="18"/>
        </w:rPr>
        <w:t>mL</w:t>
      </w:r>
      <w:r w:rsidRPr="00872C97">
        <w:rPr>
          <w:rFonts w:cs="Arial"/>
          <w:sz w:val="16"/>
          <w:szCs w:val="18"/>
        </w:rPr>
        <w:t xml:space="preserve">. Results indicate the mean values ± standard deviation </w:t>
      </w:r>
      <w:bookmarkEnd w:id="2"/>
      <w:r w:rsidRPr="00872C97">
        <w:rPr>
          <w:rFonts w:cs="Arial"/>
          <w:sz w:val="16"/>
          <w:szCs w:val="18"/>
        </w:rPr>
        <w:t xml:space="preserve">(S.D.) of three plate counts. Data within a column followed by the same letter are not significantly different. Abbreviations: NoHPP, untreated </w:t>
      </w:r>
      <w:r w:rsidR="00B84B62" w:rsidRPr="00872C97">
        <w:rPr>
          <w:rFonts w:cs="Arial"/>
          <w:sz w:val="16"/>
          <w:szCs w:val="18"/>
        </w:rPr>
        <w:t>gelato</w:t>
      </w:r>
      <w:r w:rsidR="00160125" w:rsidRPr="00872C97">
        <w:rPr>
          <w:rFonts w:cs="Arial"/>
          <w:sz w:val="16"/>
          <w:szCs w:val="18"/>
        </w:rPr>
        <w:t xml:space="preserve"> mixture</w:t>
      </w:r>
      <w:r w:rsidRPr="00872C97">
        <w:rPr>
          <w:rFonts w:cs="Arial"/>
          <w:sz w:val="16"/>
          <w:szCs w:val="18"/>
        </w:rPr>
        <w:t xml:space="preserve">; </w:t>
      </w:r>
      <w:r w:rsidRPr="00872C97">
        <w:rPr>
          <w:sz w:val="16"/>
          <w:lang w:val="en-US"/>
        </w:rPr>
        <w:t>HPP</w:t>
      </w:r>
      <w:r w:rsidRPr="00872C97">
        <w:rPr>
          <w:rFonts w:cs="Arial"/>
          <w:sz w:val="16"/>
          <w:szCs w:val="18"/>
        </w:rPr>
        <w:t xml:space="preserve">, </w:t>
      </w:r>
      <w:r w:rsidR="00B84B62" w:rsidRPr="00872C97">
        <w:rPr>
          <w:rFonts w:cs="Arial"/>
          <w:sz w:val="16"/>
          <w:szCs w:val="18"/>
        </w:rPr>
        <w:t>gelato</w:t>
      </w:r>
      <w:r w:rsidRPr="00872C97">
        <w:rPr>
          <w:rFonts w:cs="Arial"/>
          <w:sz w:val="16"/>
          <w:szCs w:val="18"/>
        </w:rPr>
        <w:t xml:space="preserve"> </w:t>
      </w:r>
      <w:r w:rsidR="00160125" w:rsidRPr="00872C97">
        <w:rPr>
          <w:rFonts w:cs="Arial"/>
          <w:sz w:val="16"/>
          <w:szCs w:val="18"/>
        </w:rPr>
        <w:t xml:space="preserve">mixture </w:t>
      </w:r>
      <w:r w:rsidRPr="00872C97">
        <w:rPr>
          <w:rFonts w:cs="Arial"/>
          <w:sz w:val="16"/>
          <w:szCs w:val="18"/>
        </w:rPr>
        <w:t xml:space="preserve">treated with </w:t>
      </w:r>
      <w:r w:rsidR="00B84B62" w:rsidRPr="00872C97">
        <w:rPr>
          <w:rFonts w:cs="Arial"/>
          <w:sz w:val="16"/>
          <w:szCs w:val="18"/>
        </w:rPr>
        <w:t>HPP</w:t>
      </w:r>
      <w:r w:rsidRPr="00872C97">
        <w:rPr>
          <w:rFonts w:cs="Arial"/>
          <w:sz w:val="16"/>
          <w:szCs w:val="18"/>
        </w:rPr>
        <w:t>; TMM, total mesophilic microorganisms; TPM, total psychrophilic microorganisms</w:t>
      </w:r>
      <w:r w:rsidR="00160125" w:rsidRPr="00872C97">
        <w:rPr>
          <w:rFonts w:cs="Arial"/>
          <w:sz w:val="16"/>
          <w:szCs w:val="18"/>
        </w:rPr>
        <w:t xml:space="preserve">; </w:t>
      </w:r>
      <w:r w:rsidR="00B90794" w:rsidRPr="00872C97">
        <w:rPr>
          <w:rFonts w:cs="Arial"/>
          <w:sz w:val="16"/>
          <w:szCs w:val="18"/>
        </w:rPr>
        <w:t>SEM, standard error of the mean</w:t>
      </w:r>
      <w:r w:rsidR="00276C2C" w:rsidRPr="00872C97">
        <w:rPr>
          <w:rFonts w:cs="Arial"/>
          <w:sz w:val="16"/>
          <w:szCs w:val="18"/>
        </w:rPr>
        <w:t>; n.d., not detected</w:t>
      </w:r>
      <w:r w:rsidR="003B3746" w:rsidRPr="00872C97">
        <w:rPr>
          <w:rFonts w:cs="Arial"/>
          <w:sz w:val="16"/>
          <w:szCs w:val="18"/>
        </w:rPr>
        <w:t>.</w:t>
      </w:r>
    </w:p>
    <w:p w14:paraId="1B48CA85" w14:textId="77777777" w:rsidR="00E07FB3" w:rsidRPr="00872C97" w:rsidRDefault="00E07FB3" w:rsidP="00872C97">
      <w:pPr>
        <w:rPr>
          <w:rFonts w:cs="Arial"/>
          <w:sz w:val="16"/>
          <w:szCs w:val="18"/>
        </w:rPr>
      </w:pPr>
    </w:p>
    <w:p w14:paraId="49FBE64C" w14:textId="34591CF4" w:rsidR="009A1AF1" w:rsidRPr="00872C97" w:rsidRDefault="00DE6E4E" w:rsidP="00872C97">
      <w:pPr>
        <w:pStyle w:val="CETListbullets"/>
        <w:ind w:left="0" w:firstLine="0"/>
      </w:pPr>
      <w:r w:rsidRPr="00872C97">
        <w:rPr>
          <w:lang w:val="en-US"/>
        </w:rPr>
        <w:lastRenderedPageBreak/>
        <w:t xml:space="preserve">Interestingly, members of the Enterobacteriaceae family, which are </w:t>
      </w:r>
      <w:r w:rsidR="00C25B18" w:rsidRPr="00872C97">
        <w:rPr>
          <w:lang w:val="en-US"/>
        </w:rPr>
        <w:t xml:space="preserve">potentially </w:t>
      </w:r>
      <w:r w:rsidRPr="00872C97">
        <w:rPr>
          <w:lang w:val="en-US"/>
        </w:rPr>
        <w:t xml:space="preserve">responsible for gastroenteritis and even chronic infections (Janda et al., 2021), appeared after 15 days of storage only in the </w:t>
      </w:r>
      <w:r w:rsidR="00E07FB3" w:rsidRPr="00872C97">
        <w:rPr>
          <w:lang w:val="en-US"/>
        </w:rPr>
        <w:t>NoHPP</w:t>
      </w:r>
      <w:r w:rsidRPr="00872C97">
        <w:rPr>
          <w:lang w:val="en-US"/>
        </w:rPr>
        <w:t xml:space="preserve"> samples, reaching values of 3</w:t>
      </w:r>
      <w:r w:rsidR="005D130C" w:rsidRPr="00872C97">
        <w:rPr>
          <w:lang w:val="en-US"/>
        </w:rPr>
        <w:t>.</w:t>
      </w:r>
      <w:r w:rsidRPr="00872C97">
        <w:rPr>
          <w:lang w:val="en-US"/>
        </w:rPr>
        <w:t>39</w:t>
      </w:r>
      <w:r w:rsidR="00AD3A7F" w:rsidRPr="00872C97">
        <w:rPr>
          <w:lang w:val="en-US"/>
        </w:rPr>
        <w:t xml:space="preserve"> </w:t>
      </w:r>
      <w:r w:rsidRPr="00872C97">
        <w:rPr>
          <w:lang w:val="en-US"/>
        </w:rPr>
        <w:t>Log</w:t>
      </w:r>
      <w:r w:rsidR="00852B5B" w:rsidRPr="00872C97">
        <w:rPr>
          <w:lang w:val="en-US"/>
        </w:rPr>
        <w:t xml:space="preserve"> </w:t>
      </w:r>
      <w:r w:rsidRPr="00872C97">
        <w:rPr>
          <w:lang w:val="en-US"/>
        </w:rPr>
        <w:t>CFU/mL by the end of the trial. A similar trend was observed for pseudomonads and yeasts, which are commonly associated with the development of off-flavors and off-odors in processed foods (</w:t>
      </w:r>
      <w:r w:rsidR="005A73B1" w:rsidRPr="00872C97">
        <w:rPr>
          <w:lang w:val="en-US"/>
        </w:rPr>
        <w:t>Miceli</w:t>
      </w:r>
      <w:r w:rsidRPr="00872C97">
        <w:rPr>
          <w:lang w:val="en-US"/>
        </w:rPr>
        <w:t xml:space="preserve"> et al., 201</w:t>
      </w:r>
      <w:r w:rsidR="005A73B1" w:rsidRPr="00872C97">
        <w:rPr>
          <w:lang w:val="en-US"/>
        </w:rPr>
        <w:t>9</w:t>
      </w:r>
      <w:r w:rsidRPr="00872C97">
        <w:rPr>
          <w:lang w:val="en-US"/>
        </w:rPr>
        <w:t xml:space="preserve">; Gram et al., 2002). The only viable microorganisms detected in the HPP-treated </w:t>
      </w:r>
      <w:r w:rsidR="00B84B62" w:rsidRPr="00872C97">
        <w:rPr>
          <w:lang w:val="en-US"/>
        </w:rPr>
        <w:t>gelato</w:t>
      </w:r>
      <w:r w:rsidRPr="00872C97">
        <w:rPr>
          <w:lang w:val="en-US"/>
        </w:rPr>
        <w:t xml:space="preserve"> mixture samples were TMM and TPM, but at concentrations 3 log cycles lower than those found in the untreated production. </w:t>
      </w:r>
      <w:r w:rsidRPr="00872C97">
        <w:t>These differences are undoubtedly imputable to the ability of HPP treatment to destroy microbial spores and vegetative cells (Kaushik et al., 2014).</w:t>
      </w:r>
    </w:p>
    <w:p w14:paraId="1F96CA21" w14:textId="5ED26F32" w:rsidR="00600535" w:rsidRPr="00872C97" w:rsidRDefault="00CA7835" w:rsidP="00872C97">
      <w:pPr>
        <w:pStyle w:val="CETheadingx"/>
      </w:pPr>
      <w:r w:rsidRPr="00872C97">
        <w:t>Volatile Organic Compounds Profile</w:t>
      </w:r>
    </w:p>
    <w:p w14:paraId="67E7D6BE" w14:textId="1912DA1C" w:rsidR="00600535" w:rsidRPr="00872C97" w:rsidRDefault="00AA64E1" w:rsidP="00872C97">
      <w:pPr>
        <w:pStyle w:val="CETBodytext"/>
        <w:rPr>
          <w:lang w:val="en-GB"/>
        </w:rPr>
      </w:pPr>
      <w:r w:rsidRPr="00872C97">
        <w:rPr>
          <w:lang w:val="en-GB"/>
        </w:rPr>
        <w:t xml:space="preserve">The volatile compound profile shows at T0 that just </w:t>
      </w:r>
      <w:r w:rsidR="00BC7EC9" w:rsidRPr="00872C97">
        <w:rPr>
          <w:lang w:val="en-GB"/>
        </w:rPr>
        <w:t xml:space="preserve">the </w:t>
      </w:r>
      <w:r w:rsidRPr="00872C97">
        <w:rPr>
          <w:lang w:val="en-GB"/>
        </w:rPr>
        <w:t>categories</w:t>
      </w:r>
      <w:r w:rsidR="00BC7EC9" w:rsidRPr="00872C97">
        <w:rPr>
          <w:lang w:val="en-GB"/>
        </w:rPr>
        <w:t xml:space="preserve"> of organic acids, monoterpenes and</w:t>
      </w:r>
      <w:r w:rsidRPr="00872C97">
        <w:rPr>
          <w:lang w:val="en-GB"/>
        </w:rPr>
        <w:t xml:space="preserve"> </w:t>
      </w:r>
      <w:r w:rsidR="00BC7EC9" w:rsidRPr="00872C97">
        <w:t>C</w:t>
      </w:r>
      <w:r w:rsidR="00863455" w:rsidRPr="00872C97">
        <w:rPr>
          <w:vertAlign w:val="subscript"/>
        </w:rPr>
        <w:t>13</w:t>
      </w:r>
      <w:r w:rsidR="00BC7EC9" w:rsidRPr="00872C97">
        <w:t>-norisprenoids</w:t>
      </w:r>
      <w:r w:rsidR="00BC7EC9" w:rsidRPr="00872C97">
        <w:rPr>
          <w:lang w:val="en-GB"/>
        </w:rPr>
        <w:t xml:space="preserve"> </w:t>
      </w:r>
      <w:r w:rsidR="003662FC" w:rsidRPr="00872C97">
        <w:rPr>
          <w:lang w:val="en-GB"/>
        </w:rPr>
        <w:t xml:space="preserve">have </w:t>
      </w:r>
      <w:r w:rsidRPr="00872C97">
        <w:rPr>
          <w:lang w:val="en-GB"/>
        </w:rPr>
        <w:t>significant differences between treated HPP sample and untreated control sample</w:t>
      </w:r>
      <w:r w:rsidR="003E37F1" w:rsidRPr="00872C97">
        <w:rPr>
          <w:lang w:val="en-GB"/>
        </w:rPr>
        <w:t xml:space="preserve"> NoHPP</w:t>
      </w:r>
      <w:r w:rsidR="00F2262C" w:rsidRPr="00872C97">
        <w:rPr>
          <w:lang w:val="en-GB"/>
        </w:rPr>
        <w:t xml:space="preserve"> (Table </w:t>
      </w:r>
      <w:r w:rsidR="00FC3596" w:rsidRPr="00872C97">
        <w:rPr>
          <w:lang w:val="en-GB"/>
        </w:rPr>
        <w:t>3</w:t>
      </w:r>
      <w:r w:rsidR="00F2262C" w:rsidRPr="00872C97">
        <w:rPr>
          <w:lang w:val="en-GB"/>
        </w:rPr>
        <w:t>)</w:t>
      </w:r>
      <w:r w:rsidR="00584592" w:rsidRPr="00872C97">
        <w:rPr>
          <w:lang w:val="en-GB"/>
        </w:rPr>
        <w:t>.</w:t>
      </w:r>
      <w:r w:rsidRPr="00872C97">
        <w:rPr>
          <w:lang w:val="en-GB"/>
        </w:rPr>
        <w:t xml:space="preserve"> </w:t>
      </w:r>
      <w:r w:rsidR="00584592" w:rsidRPr="00872C97">
        <w:rPr>
          <w:lang w:val="en-GB"/>
        </w:rPr>
        <w:t>O</w:t>
      </w:r>
      <w:r w:rsidRPr="00872C97">
        <w:rPr>
          <w:lang w:val="en-GB"/>
        </w:rPr>
        <w:t>rganic acids</w:t>
      </w:r>
      <w:r w:rsidR="00584592" w:rsidRPr="00872C97">
        <w:rPr>
          <w:lang w:val="en-GB"/>
        </w:rPr>
        <w:t xml:space="preserve"> are</w:t>
      </w:r>
      <w:r w:rsidRPr="00872C97">
        <w:rPr>
          <w:lang w:val="en-GB"/>
        </w:rPr>
        <w:t xml:space="preserve"> mainly referred to the acetic acid present only in the untreated sample.</w:t>
      </w:r>
      <w:r w:rsidR="00584592" w:rsidRPr="00872C97">
        <w:rPr>
          <w:lang w:val="en-GB"/>
        </w:rPr>
        <w:t xml:space="preserve"> Monoterpenes are significantly present in the untreated control sample, </w:t>
      </w:r>
      <w:r w:rsidR="00D02351" w:rsidRPr="00872C97">
        <w:rPr>
          <w:lang w:val="en-GB"/>
        </w:rPr>
        <w:t>while the experimental sample shows a concentration equal to half compared to the control sample</w:t>
      </w:r>
      <w:r w:rsidR="0073000A" w:rsidRPr="00872C97">
        <w:rPr>
          <w:lang w:val="en-GB"/>
        </w:rPr>
        <w:t xml:space="preserve"> </w:t>
      </w:r>
      <w:r w:rsidR="00DF57C7" w:rsidRPr="00872C97">
        <w:rPr>
          <w:lang w:val="en-GB"/>
        </w:rPr>
        <w:t>at T0, meaning that the HPP process negatively affected in the short term the monoterpenes profile but the rate of decreasing in the long term is lower in HPP treated sample, compared to the untreated NoHPP sample</w:t>
      </w:r>
      <w:r w:rsidR="00584592" w:rsidRPr="00872C97">
        <w:rPr>
          <w:lang w:val="en-GB"/>
        </w:rPr>
        <w:t xml:space="preserve">. </w:t>
      </w:r>
      <w:r w:rsidR="00B833A3" w:rsidRPr="00872C97">
        <w:rPr>
          <w:lang w:val="en-GB"/>
        </w:rPr>
        <w:t>So, f</w:t>
      </w:r>
      <w:r w:rsidR="00DF57C7" w:rsidRPr="00872C97">
        <w:rPr>
          <w:lang w:val="en-GB"/>
        </w:rPr>
        <w:t xml:space="preserve">rom a conservative perspective, the presence of monoterpenes in treated </w:t>
      </w:r>
      <w:r w:rsidR="00B84B62" w:rsidRPr="00872C97">
        <w:rPr>
          <w:lang w:val="en-GB"/>
        </w:rPr>
        <w:t>gelato</w:t>
      </w:r>
      <w:r w:rsidR="00DF57C7" w:rsidRPr="00872C97">
        <w:rPr>
          <w:lang w:val="en-GB"/>
        </w:rPr>
        <w:t xml:space="preserve"> is more stable</w:t>
      </w:r>
      <w:r w:rsidR="00B833A3" w:rsidRPr="00872C97">
        <w:rPr>
          <w:lang w:val="en-GB"/>
        </w:rPr>
        <w:t xml:space="preserve"> during storage time</w:t>
      </w:r>
      <w:r w:rsidR="00DF57C7" w:rsidRPr="00872C97">
        <w:rPr>
          <w:lang w:val="en-GB"/>
        </w:rPr>
        <w:t xml:space="preserve"> compared to the untreated sample. </w:t>
      </w:r>
      <w:r w:rsidR="00EC4B97" w:rsidRPr="00872C97">
        <w:rPr>
          <w:lang w:val="en-GB"/>
        </w:rPr>
        <w:t xml:space="preserve">The concentrations of sesquiterpenes are not different between the two samples, the only significant difference being related to δ-cadinene, an essential oil, which is highly present in the untreated control sample compared to the HPP-treated sample </w:t>
      </w:r>
      <w:r w:rsidR="00584592" w:rsidRPr="00872C97">
        <w:rPr>
          <w:lang w:val="en-GB"/>
        </w:rPr>
        <w:t>(7</w:t>
      </w:r>
      <w:r w:rsidR="005D130C" w:rsidRPr="00872C97">
        <w:rPr>
          <w:lang w:val="en-GB"/>
        </w:rPr>
        <w:t>.</w:t>
      </w:r>
      <w:r w:rsidR="00584592" w:rsidRPr="00872C97">
        <w:rPr>
          <w:lang w:val="en-GB"/>
        </w:rPr>
        <w:t>50 9</w:t>
      </w:r>
      <w:r w:rsidR="00CC590C" w:rsidRPr="00872C97">
        <w:rPr>
          <w:lang w:val="en-GB"/>
        </w:rPr>
        <w:t xml:space="preserve"> </w:t>
      </w:r>
      <w:r w:rsidR="00CC590C" w:rsidRPr="00872C97">
        <w:rPr>
          <w:rFonts w:cs="Arial"/>
          <w:lang w:val="en-GB"/>
        </w:rPr>
        <w:t>µ</w:t>
      </w:r>
      <w:r w:rsidR="00CC590C" w:rsidRPr="00872C97">
        <w:rPr>
          <w:lang w:val="en-GB"/>
        </w:rPr>
        <w:t>g/kg</w:t>
      </w:r>
      <w:r w:rsidR="00584592" w:rsidRPr="00872C97">
        <w:rPr>
          <w:lang w:val="en-GB"/>
        </w:rPr>
        <w:t xml:space="preserve"> and 17</w:t>
      </w:r>
      <w:r w:rsidR="005D130C" w:rsidRPr="00872C97">
        <w:rPr>
          <w:lang w:val="en-GB"/>
        </w:rPr>
        <w:t>.</w:t>
      </w:r>
      <w:r w:rsidR="00584592" w:rsidRPr="00872C97">
        <w:rPr>
          <w:lang w:val="en-GB"/>
        </w:rPr>
        <w:t xml:space="preserve">13 </w:t>
      </w:r>
      <w:r w:rsidR="00CC590C" w:rsidRPr="00872C97">
        <w:rPr>
          <w:rFonts w:cs="Arial"/>
          <w:lang w:val="en-GB"/>
        </w:rPr>
        <w:t>µ</w:t>
      </w:r>
      <w:r w:rsidR="00CC590C" w:rsidRPr="00872C97">
        <w:rPr>
          <w:lang w:val="en-GB"/>
        </w:rPr>
        <w:t>g/kg</w:t>
      </w:r>
      <w:r w:rsidR="00584592" w:rsidRPr="00872C97">
        <w:rPr>
          <w:lang w:val="en-GB"/>
        </w:rPr>
        <w:t xml:space="preserve"> respectively).</w:t>
      </w:r>
      <w:r w:rsidR="00753976" w:rsidRPr="00872C97">
        <w:rPr>
          <w:lang w:val="en-GB"/>
        </w:rPr>
        <w:t xml:space="preserve"> Significantly relevant is also the difference </w:t>
      </w:r>
      <w:r w:rsidR="003E37F1" w:rsidRPr="00872C97">
        <w:rPr>
          <w:lang w:val="en-GB"/>
        </w:rPr>
        <w:t>in</w:t>
      </w:r>
      <w:r w:rsidR="00753976" w:rsidRPr="00872C97">
        <w:rPr>
          <w:lang w:val="en-GB"/>
        </w:rPr>
        <w:t xml:space="preserve"> alcohols, mostly present in the untreated NoHPP sample </w:t>
      </w:r>
      <w:r w:rsidR="00AA452E" w:rsidRPr="00872C97">
        <w:rPr>
          <w:lang w:val="en-GB"/>
        </w:rPr>
        <w:t xml:space="preserve">at T0 </w:t>
      </w:r>
      <w:r w:rsidR="00753976" w:rsidRPr="00872C97">
        <w:rPr>
          <w:lang w:val="en-GB"/>
        </w:rPr>
        <w:t>compared to the treated HPP</w:t>
      </w:r>
      <w:r w:rsidR="00AA452E" w:rsidRPr="00872C97">
        <w:rPr>
          <w:lang w:val="en-GB"/>
        </w:rPr>
        <w:t>, while after 15 days of storage the trend is in reverse. Those alcohols are</w:t>
      </w:r>
      <w:r w:rsidR="001C689B" w:rsidRPr="00872C97">
        <w:rPr>
          <w:lang w:val="en-GB"/>
        </w:rPr>
        <w:t xml:space="preserve"> deriving from the enzymatic activity that convert</w:t>
      </w:r>
      <w:r w:rsidR="004057A3" w:rsidRPr="00872C97">
        <w:rPr>
          <w:lang w:val="en-GB"/>
        </w:rPr>
        <w:t xml:space="preserve"> in fruits</w:t>
      </w:r>
      <w:r w:rsidR="001C689B" w:rsidRPr="00872C97">
        <w:rPr>
          <w:lang w:val="en-GB"/>
        </w:rPr>
        <w:t xml:space="preserve"> aldehydes into alco</w:t>
      </w:r>
      <w:r w:rsidR="007B380C" w:rsidRPr="00872C97">
        <w:rPr>
          <w:lang w:val="en-GB"/>
        </w:rPr>
        <w:t>h</w:t>
      </w:r>
      <w:r w:rsidR="001C689B" w:rsidRPr="00872C97">
        <w:rPr>
          <w:lang w:val="en-GB"/>
        </w:rPr>
        <w:t>ols such as 1</w:t>
      </w:r>
      <w:r w:rsidR="007B380C" w:rsidRPr="00872C97">
        <w:rPr>
          <w:lang w:val="en-GB"/>
        </w:rPr>
        <w:t>-</w:t>
      </w:r>
      <w:r w:rsidR="001C689B" w:rsidRPr="00872C97">
        <w:rPr>
          <w:lang w:val="en-GB"/>
        </w:rPr>
        <w:t xml:space="preserve">hexanol and </w:t>
      </w:r>
      <w:r w:rsidR="007B380C" w:rsidRPr="00872C97">
        <w:rPr>
          <w:lang w:val="en-GB"/>
        </w:rPr>
        <w:t xml:space="preserve">Z-3-hexenol </w:t>
      </w:r>
      <w:r w:rsidR="007B380C" w:rsidRPr="00872C97">
        <w:rPr>
          <w:lang w:val="en-GB"/>
        </w:rPr>
        <w:fldChar w:fldCharType="begin" w:fldLock="1"/>
      </w:r>
      <w:r w:rsidR="00EB1483" w:rsidRPr="00872C97">
        <w:rPr>
          <w:lang w:val="en-GB"/>
        </w:rPr>
        <w:instrText>ADDIN CSL_CITATION {"citationItems":[{"id":"ITEM-1","itemData":{"DOI":"10.1016/j.postharvbio.2013.02.006","ISSN":"09255214","abstract":"Several important odor-active volatiles are produced via processes initiated by cellular disruption brought about by cutting or mastication. Of these, six-carbon (C6) volatiles, including the aldehydes, cis-3-hexenal, its isomer trans-2-hexenal, and hexanal, as well as their corresponding alcohols, are produced from action of the lipoxygenase (LOX) pathway on substrates released by tissue disruption. We investigated the production of these and other odor-active volatiles from 'Jonagold' apple fruit for whole and disrupted tissues as a function of maturity/ripeness. The impact of ripening was determined by comparing 'normally-ripening' fruit with 'non-ripening' (1-methylcyclopropene-treated) fruit. The study was conducted over 8 weeks and evaluations were twice-weekly for two successive seasons. C6 aldehyde synthesis by crushed fruit was, at first, extremely high for non- and normally-ripening fruit such that the concentration of the aldehydes was several hundred times higher than their human odor thresholds in the containers used to present samples to the sensory panelists. cis-3-Hexenal, which remained constant throughout the experiment for non-ripening fruit, declined markedly for normally-ripening fruit, coincident with the onset of ripening. Conversely, trans-2-hexenal and hexanal increased in normally-ripening fruit as ripening progressed. Hexanol and hexyl acetate and other esters were produced in a ripening-dependent manner for disrupted as well as intact fruit tissues. The exception was cis-3-hexenyl acetate, which had same declining pattern as its aldehyde precursor, cis-3-hexenal. PCA determined that all volatiles except cis-3-hexenal, cis-3-hexenol and cis-3-hexenyl acetate, were highly associated with ripening. Also, cis-3-hexenal and cis-3-hexenyl acetate correlated negatively with all other variables (volatiles, ethylene, CO2 and sensory tests). Sensory tests revealed that panelists were able to distinguish between non-ripening and normally-ripening fruit approximately 2 weeks before the onset of autocatalytic ethylene, the respiratory climacteric, and ripening-dependent ester production of normally-ripening fruit. The data indicate a shift in LOX pathway activity occurs during ripening, but it is not clear if it is due to changing enzyme activities or changing substrate levels. The shift in pathway activity may be related to perceived changes in aroma for macerated fruit prior to autocatalytic ethylene production. © 2013 Elsevier B.V.","author":[{"dropping-particle":"","family":"Contreras","given":"Carolina","non-dropping-particle":"","parse-names":false,"suffix":""},{"dropping-particle":"","family":"Beaudry","given":"Randolph","non-dropping-particle":"","parse-names":false,"suffix":""}],"container-title":"Postharvest Biology and Technology","id":"ITEM-1","issued":{"date-parts":[["2013"]]},"page":"28-38","publisher":"Elsevier B.V.","title":"Lipoxygenase-associated apple volatiles and their relationship with aroma perception during ripening","type":"article-journal","volume":"82"},"uris":["http://www.mendeley.com/documents/?uuid=325e6349-346d-4741-b99b-fc0e59e9d54e"]}],"mendeley":{"formattedCitation":"(Contreras &amp; Beaudry, 2013)","plainTextFormattedCitation":"(Contreras &amp; Beaudry, 2013)","previouslyFormattedCitation":"(Contreras &amp; Beaudry, 2013)"},"properties":{"noteIndex":0},"schema":"https://github.com/citation-style-language/schema/raw/master/csl-citation.json"}</w:instrText>
      </w:r>
      <w:r w:rsidR="007B380C" w:rsidRPr="00872C97">
        <w:rPr>
          <w:lang w:val="en-GB"/>
        </w:rPr>
        <w:fldChar w:fldCharType="separate"/>
      </w:r>
      <w:r w:rsidR="007B380C" w:rsidRPr="00872C97">
        <w:rPr>
          <w:noProof/>
          <w:lang w:val="en-GB"/>
        </w:rPr>
        <w:t>(Contreras &amp; Beaudry, 2013)</w:t>
      </w:r>
      <w:r w:rsidR="007B380C" w:rsidRPr="00872C97">
        <w:rPr>
          <w:lang w:val="en-GB"/>
        </w:rPr>
        <w:fldChar w:fldCharType="end"/>
      </w:r>
      <w:r w:rsidR="00ED2CED" w:rsidRPr="00872C97">
        <w:rPr>
          <w:lang w:val="en-GB"/>
        </w:rPr>
        <w:t>, associated with a</w:t>
      </w:r>
      <w:r w:rsidR="007315B7" w:rsidRPr="00872C97">
        <w:rPr>
          <w:lang w:val="en-GB"/>
        </w:rPr>
        <w:t>n</w:t>
      </w:r>
      <w:r w:rsidR="00ED2CED" w:rsidRPr="00872C97">
        <w:rPr>
          <w:lang w:val="en-GB"/>
        </w:rPr>
        <w:t xml:space="preserve"> intensely green, gassy, fruity, green grass-like </w:t>
      </w:r>
      <w:r w:rsidR="00DA7776" w:rsidRPr="00872C97">
        <w:rPr>
          <w:lang w:val="en-GB"/>
        </w:rPr>
        <w:t>odour</w:t>
      </w:r>
      <w:r w:rsidR="00753976" w:rsidRPr="00872C97">
        <w:rPr>
          <w:lang w:val="en-GB"/>
        </w:rPr>
        <w:t>.</w:t>
      </w:r>
      <w:r w:rsidR="00CD6E3B" w:rsidRPr="00872C97">
        <w:rPr>
          <w:lang w:val="en-GB"/>
        </w:rPr>
        <w:t xml:space="preserve"> Anyway, the </w:t>
      </w:r>
      <w:r w:rsidR="00DA7776" w:rsidRPr="00872C97">
        <w:rPr>
          <w:lang w:val="en-GB"/>
        </w:rPr>
        <w:t>odour</w:t>
      </w:r>
      <w:r w:rsidR="00CD6E3B" w:rsidRPr="00872C97">
        <w:rPr>
          <w:lang w:val="en-GB"/>
        </w:rPr>
        <w:t xml:space="preserve"> detection threshold </w:t>
      </w:r>
      <w:r w:rsidR="004057A3" w:rsidRPr="00872C97">
        <w:rPr>
          <w:lang w:val="en-GB"/>
        </w:rPr>
        <w:t xml:space="preserve">reported </w:t>
      </w:r>
      <w:r w:rsidR="00CD6E3B" w:rsidRPr="00872C97">
        <w:rPr>
          <w:lang w:val="en-GB"/>
        </w:rPr>
        <w:t>for those volatiles is 0</w:t>
      </w:r>
      <w:r w:rsidR="005D130C" w:rsidRPr="00872C97">
        <w:rPr>
          <w:lang w:val="en-GB"/>
        </w:rPr>
        <w:t>.</w:t>
      </w:r>
      <w:r w:rsidR="00CD6E3B" w:rsidRPr="00872C97">
        <w:rPr>
          <w:lang w:val="en-GB"/>
        </w:rPr>
        <w:t>91 ppm and 1</w:t>
      </w:r>
      <w:r w:rsidR="005D130C" w:rsidRPr="00872C97">
        <w:rPr>
          <w:lang w:val="en-GB"/>
        </w:rPr>
        <w:t>.</w:t>
      </w:r>
      <w:r w:rsidR="00CD6E3B" w:rsidRPr="00872C97">
        <w:rPr>
          <w:lang w:val="en-GB"/>
        </w:rPr>
        <w:t xml:space="preserve">6 ppm </w:t>
      </w:r>
      <w:r w:rsidR="00ED2CED" w:rsidRPr="00872C97">
        <w:rPr>
          <w:lang w:val="en-GB"/>
        </w:rPr>
        <w:t>respectively</w:t>
      </w:r>
      <w:r w:rsidR="00CD6E3B" w:rsidRPr="00872C97">
        <w:rPr>
          <w:lang w:val="en-GB"/>
        </w:rPr>
        <w:t xml:space="preserve"> </w:t>
      </w:r>
      <w:r w:rsidR="00CD6E3B" w:rsidRPr="00872C97">
        <w:rPr>
          <w:lang w:val="en-GB"/>
        </w:rPr>
        <w:fldChar w:fldCharType="begin" w:fldLock="1"/>
      </w:r>
      <w:r w:rsidR="00CD6E3B" w:rsidRPr="00872C97">
        <w:rPr>
          <w:lang w:val="en-GB"/>
        </w:rPr>
        <w:instrText>ADDIN CSL_CITATION {"citationItems":[{"id":"ITEM-1","itemData":{"DOI":"10.3136/fstr.7.72","ISSN":"13446606","abstract":"The essential oil in the peel and pulp of a popular green Thai mango, Khieo Sawoei cultivar (Mangifera indica L.) has been characterized by means of the odor thresholds. γ-Terpinene, (E)-β-ocimene, (E)-2-hexenal, hexanal, and (Z)-3-hexen-1-ol were the major components. These major components differed from those of African mangoes, Florida mangoes, Indian mangoes and yellow Thai mangoes. The volatile oils from the pulp and the peel showed a high similarity of the volatile components in both sites. Odor unit values (Uo) of volatile components in both parts let us find out the aroma potent components in the Khieo Sawoei mango. Thus, nine compounds: hexanal (Uo = 189) and (E)-2-hexenal (Uo = 132) in the pulp showed higher Uo values (more than 1), while sixteen compounds: 2,4-decadienal (Uo = 279), (E)-2-decenal (Uo = 132), γ-terpinene (Uo = 125), (E)-β-ocimene (Uo = 119), (E)-2-hexenal (Uo = 116), and hexanal (Uo = 115) showed higher Uo values in the peel. Odor spectrum values calculated by these odor unit values characterized the aroma quality of Khieo Sawoei mango.","author":[{"dropping-particle":"","family":"Tamura","given":"Hirotoshi","non-dropping-particle":"","parse-names":false,"suffix":""},{"dropping-particle":"","family":"Boonbumrung","given":"Sumitra","non-dropping-particle":"","parse-names":false,"suffix":""},{"dropping-particle":"","family":"Yoshizawa","given":"Takumi","non-dropping-particle":"","parse-names":false,"suffix":""},{"dropping-particle":"","family":"Varanyanond","given":"Warunee","non-dropping-particle":"","parse-names":false,"suffix":""}],"container-title":"Food Science and Technology Research","id":"ITEM-1","issue":"1","issued":{"date-parts":[["2001"]]},"page":"72-77","title":"The Volatile Constituents in the Peel and Pulp of a Green Thai Mango, Khieo Sawoei Cultivar (Mangifera indica L.)","type":"article-journal","volume":"7"},"uris":["http://www.mendeley.com/documents/?uuid=87747369-3272-46ad-a9d5-a466026fc203"]}],"mendeley":{"formattedCitation":"(Tamura et al., 2001)","plainTextFormattedCitation":"(Tamura et al., 2001)","previouslyFormattedCitation":"(Tamura et al., 2001)"},"properties":{"noteIndex":0},"schema":"https://github.com/citation-style-language/schema/raw/master/csl-citation.json"}</w:instrText>
      </w:r>
      <w:r w:rsidR="00CD6E3B" w:rsidRPr="00872C97">
        <w:rPr>
          <w:lang w:val="en-GB"/>
        </w:rPr>
        <w:fldChar w:fldCharType="separate"/>
      </w:r>
      <w:r w:rsidR="00CD6E3B" w:rsidRPr="00872C97">
        <w:rPr>
          <w:noProof/>
          <w:lang w:val="en-GB"/>
        </w:rPr>
        <w:t>(Tamura et al., 2001)</w:t>
      </w:r>
      <w:r w:rsidR="00CD6E3B" w:rsidRPr="00872C97">
        <w:rPr>
          <w:lang w:val="en-GB"/>
        </w:rPr>
        <w:fldChar w:fldCharType="end"/>
      </w:r>
      <w:r w:rsidR="00CD6E3B" w:rsidRPr="00872C97">
        <w:rPr>
          <w:lang w:val="en-GB"/>
        </w:rPr>
        <w:t>, so they are under the limit of detection.</w:t>
      </w:r>
      <w:r w:rsidR="00ED2CED" w:rsidRPr="00872C97">
        <w:rPr>
          <w:lang w:val="en-GB"/>
        </w:rPr>
        <w:t xml:space="preserve"> Finally, t</w:t>
      </w:r>
      <w:r w:rsidR="00F2262C" w:rsidRPr="00872C97">
        <w:rPr>
          <w:lang w:val="en-GB"/>
        </w:rPr>
        <w:t xml:space="preserve">he difference in organic acid concentration is less significant compared to the T0 values, acetic acid is increasing but always lower compared to the untreated NoHPP. </w:t>
      </w:r>
    </w:p>
    <w:p w14:paraId="315CA544" w14:textId="77777777" w:rsidR="00B81A38" w:rsidRPr="00872C97" w:rsidRDefault="00B81A38" w:rsidP="00872C97">
      <w:pPr>
        <w:pStyle w:val="CETBodytext"/>
        <w:rPr>
          <w:lang w:val="en-GB"/>
        </w:rPr>
      </w:pPr>
    </w:p>
    <w:p w14:paraId="041DBD6A" w14:textId="33FB651F" w:rsidR="00030835" w:rsidRPr="00872C97" w:rsidRDefault="00030835" w:rsidP="00872C97">
      <w:pPr>
        <w:pStyle w:val="CETBodytext"/>
        <w:rPr>
          <w:lang w:val="en-GB"/>
        </w:rPr>
      </w:pPr>
      <w:r w:rsidRPr="00872C97">
        <w:rPr>
          <w:i/>
        </w:rPr>
        <w:t xml:space="preserve">Table </w:t>
      </w:r>
      <w:r w:rsidR="00FC3596" w:rsidRPr="00872C97">
        <w:rPr>
          <w:i/>
        </w:rPr>
        <w:t>3</w:t>
      </w:r>
      <w:r w:rsidRPr="00872C97">
        <w:rPr>
          <w:i/>
        </w:rPr>
        <w:t>: Main categories of volatile organic compounds for NoHPP</w:t>
      </w:r>
      <w:r w:rsidR="00687904" w:rsidRPr="00872C97">
        <w:rPr>
          <w:i/>
        </w:rPr>
        <w:t xml:space="preserve"> and</w:t>
      </w:r>
      <w:r w:rsidRPr="00872C97">
        <w:rPr>
          <w:i/>
        </w:rPr>
        <w:t xml:space="preserve"> HPP</w:t>
      </w:r>
      <w:r w:rsidR="00687904" w:rsidRPr="00872C97">
        <w:rPr>
          <w:i/>
        </w:rPr>
        <w:t xml:space="preserve"> </w:t>
      </w:r>
      <w:r w:rsidR="00633E71" w:rsidRPr="00872C97">
        <w:rPr>
          <w:i/>
        </w:rPr>
        <w:t xml:space="preserve">samples </w:t>
      </w:r>
      <w:r w:rsidRPr="00872C97">
        <w:rPr>
          <w:i/>
        </w:rPr>
        <w:t xml:space="preserve">at different time of analysis (0 and 15 days). </w:t>
      </w:r>
    </w:p>
    <w:tbl>
      <w:tblPr>
        <w:tblW w:w="8856"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500"/>
        <w:gridCol w:w="1721"/>
        <w:gridCol w:w="1671"/>
        <w:gridCol w:w="415"/>
        <w:gridCol w:w="1781"/>
        <w:gridCol w:w="1417"/>
        <w:gridCol w:w="351"/>
      </w:tblGrid>
      <w:tr w:rsidR="00AE438B" w:rsidRPr="00872C97" w14:paraId="131961CF" w14:textId="03FFE8B2" w:rsidTr="009162D9">
        <w:trPr>
          <w:trHeight w:val="167"/>
        </w:trPr>
        <w:tc>
          <w:tcPr>
            <w:tcW w:w="1500" w:type="dxa"/>
            <w:tcBorders>
              <w:top w:val="single" w:sz="12" w:space="0" w:color="008000"/>
              <w:bottom w:val="single" w:sz="6" w:space="0" w:color="008000"/>
            </w:tcBorders>
            <w:shd w:val="clear" w:color="auto" w:fill="FFFFFF"/>
          </w:tcPr>
          <w:p w14:paraId="31D3ECD9" w14:textId="77777777" w:rsidR="008D6651" w:rsidRPr="00872C97" w:rsidRDefault="008D6651" w:rsidP="00872C97">
            <w:pPr>
              <w:pStyle w:val="CETBodytext"/>
            </w:pPr>
            <w:r w:rsidRPr="00872C97">
              <w:t>Samples</w:t>
            </w:r>
          </w:p>
        </w:tc>
        <w:tc>
          <w:tcPr>
            <w:tcW w:w="1721" w:type="dxa"/>
            <w:tcBorders>
              <w:top w:val="single" w:sz="12" w:space="0" w:color="008000"/>
              <w:bottom w:val="single" w:sz="6" w:space="0" w:color="008000"/>
            </w:tcBorders>
            <w:shd w:val="clear" w:color="auto" w:fill="FFFFFF"/>
          </w:tcPr>
          <w:p w14:paraId="5F1F0B30" w14:textId="6E115D14" w:rsidR="008D6651" w:rsidRPr="00872C97" w:rsidRDefault="008D6651" w:rsidP="00872C97">
            <w:pPr>
              <w:pStyle w:val="CETBodytext"/>
            </w:pPr>
            <w:r w:rsidRPr="00872C97">
              <w:t>HPP-T0</w:t>
            </w:r>
          </w:p>
        </w:tc>
        <w:tc>
          <w:tcPr>
            <w:tcW w:w="1671" w:type="dxa"/>
            <w:tcBorders>
              <w:top w:val="single" w:sz="12" w:space="0" w:color="008000"/>
              <w:bottom w:val="single" w:sz="6" w:space="0" w:color="008000"/>
            </w:tcBorders>
            <w:shd w:val="clear" w:color="auto" w:fill="FFFFFF"/>
          </w:tcPr>
          <w:p w14:paraId="3F5F9F56" w14:textId="12708677" w:rsidR="008D6651" w:rsidRPr="00872C97" w:rsidRDefault="008D6651" w:rsidP="00872C97">
            <w:pPr>
              <w:pStyle w:val="CETBodytext"/>
            </w:pPr>
            <w:r w:rsidRPr="00872C97">
              <w:t>NoHPP-T0</w:t>
            </w:r>
          </w:p>
        </w:tc>
        <w:tc>
          <w:tcPr>
            <w:tcW w:w="415" w:type="dxa"/>
            <w:tcBorders>
              <w:top w:val="single" w:sz="12" w:space="0" w:color="008000"/>
              <w:bottom w:val="single" w:sz="6" w:space="0" w:color="008000"/>
            </w:tcBorders>
            <w:shd w:val="clear" w:color="auto" w:fill="FFFFFF"/>
          </w:tcPr>
          <w:p w14:paraId="4E1D9D97" w14:textId="7935120D" w:rsidR="008D6651" w:rsidRPr="00872C97" w:rsidRDefault="008D6651" w:rsidP="00872C97">
            <w:pPr>
              <w:pStyle w:val="CETBodytext"/>
            </w:pPr>
            <w:r w:rsidRPr="00872C97">
              <w:t>Sig.</w:t>
            </w:r>
          </w:p>
        </w:tc>
        <w:tc>
          <w:tcPr>
            <w:tcW w:w="1781" w:type="dxa"/>
            <w:tcBorders>
              <w:top w:val="single" w:sz="12" w:space="0" w:color="008000"/>
              <w:bottom w:val="single" w:sz="6" w:space="0" w:color="008000"/>
            </w:tcBorders>
            <w:shd w:val="clear" w:color="auto" w:fill="FFFFFF"/>
          </w:tcPr>
          <w:p w14:paraId="430ADEFD" w14:textId="3810A14C" w:rsidR="008D6651" w:rsidRPr="00872C97" w:rsidRDefault="008D6651" w:rsidP="00872C97">
            <w:pPr>
              <w:pStyle w:val="CETBodytext"/>
            </w:pPr>
            <w:r w:rsidRPr="00872C97">
              <w:t>HPP-T15</w:t>
            </w:r>
          </w:p>
        </w:tc>
        <w:tc>
          <w:tcPr>
            <w:tcW w:w="1417" w:type="dxa"/>
            <w:tcBorders>
              <w:top w:val="single" w:sz="12" w:space="0" w:color="008000"/>
              <w:bottom w:val="single" w:sz="6" w:space="0" w:color="008000"/>
            </w:tcBorders>
            <w:shd w:val="clear" w:color="auto" w:fill="FFFFFF"/>
          </w:tcPr>
          <w:p w14:paraId="0D0FEF19" w14:textId="55A3D3F2" w:rsidR="008D6651" w:rsidRPr="00872C97" w:rsidRDefault="008D6651" w:rsidP="00872C97">
            <w:pPr>
              <w:pStyle w:val="CETBodytext"/>
            </w:pPr>
            <w:r w:rsidRPr="00872C97">
              <w:t>NoHPP-T15</w:t>
            </w:r>
          </w:p>
        </w:tc>
        <w:tc>
          <w:tcPr>
            <w:tcW w:w="351" w:type="dxa"/>
            <w:tcBorders>
              <w:top w:val="single" w:sz="12" w:space="0" w:color="008000"/>
              <w:bottom w:val="single" w:sz="6" w:space="0" w:color="008000"/>
            </w:tcBorders>
            <w:shd w:val="clear" w:color="auto" w:fill="FFFFFF"/>
          </w:tcPr>
          <w:p w14:paraId="0B8EACA4" w14:textId="66B2ECD8" w:rsidR="008D6651" w:rsidRPr="00872C97" w:rsidRDefault="008D6651" w:rsidP="00872C97">
            <w:pPr>
              <w:pStyle w:val="CETBodytext"/>
            </w:pPr>
            <w:r w:rsidRPr="00872C97">
              <w:t>Sig.</w:t>
            </w:r>
          </w:p>
        </w:tc>
      </w:tr>
      <w:tr w:rsidR="00AE438B" w:rsidRPr="00872C97" w14:paraId="4F891F9B" w14:textId="7B81B6FD" w:rsidTr="009162D9">
        <w:trPr>
          <w:trHeight w:val="274"/>
        </w:trPr>
        <w:tc>
          <w:tcPr>
            <w:tcW w:w="1500" w:type="dxa"/>
            <w:shd w:val="clear" w:color="auto" w:fill="FFFFFF"/>
          </w:tcPr>
          <w:p w14:paraId="4FCA0A21" w14:textId="6BAAC0D2" w:rsidR="008D6651" w:rsidRPr="00872C97" w:rsidRDefault="008D6651" w:rsidP="00872C97">
            <w:pPr>
              <w:pStyle w:val="CETBodytext"/>
            </w:pPr>
            <w:r w:rsidRPr="00872C97">
              <w:t>Organic Acids</w:t>
            </w:r>
          </w:p>
        </w:tc>
        <w:tc>
          <w:tcPr>
            <w:tcW w:w="1721" w:type="dxa"/>
            <w:shd w:val="clear" w:color="auto" w:fill="FFFFFF"/>
          </w:tcPr>
          <w:p w14:paraId="5BF116DB" w14:textId="51198F4A" w:rsidR="008D6651" w:rsidRPr="00872C97" w:rsidRDefault="00030835" w:rsidP="00872C97">
            <w:pPr>
              <w:pStyle w:val="CETBodytext"/>
            </w:pPr>
            <w:r w:rsidRPr="00872C97">
              <w:t>&lt;LOQ</w:t>
            </w:r>
          </w:p>
        </w:tc>
        <w:tc>
          <w:tcPr>
            <w:tcW w:w="1671" w:type="dxa"/>
            <w:shd w:val="clear" w:color="auto" w:fill="FFFFFF"/>
          </w:tcPr>
          <w:p w14:paraId="5BB427AC" w14:textId="787DCD15" w:rsidR="008D6651" w:rsidRPr="00872C97" w:rsidRDefault="00030835" w:rsidP="00872C97">
            <w:pPr>
              <w:pStyle w:val="CETBodytext"/>
            </w:pPr>
            <w:r w:rsidRPr="00872C97">
              <w:t>19.</w:t>
            </w:r>
            <w:r w:rsidR="004D2A8F" w:rsidRPr="00872C97">
              <w:t>5</w:t>
            </w:r>
            <w:r w:rsidRPr="00872C97">
              <w:t xml:space="preserve"> ± 4.7</w:t>
            </w:r>
          </w:p>
        </w:tc>
        <w:tc>
          <w:tcPr>
            <w:tcW w:w="415" w:type="dxa"/>
            <w:shd w:val="clear" w:color="auto" w:fill="FFFFFF"/>
          </w:tcPr>
          <w:p w14:paraId="113EC19C" w14:textId="3B3EB71E" w:rsidR="008D6651" w:rsidRPr="00872C97" w:rsidRDefault="00030835" w:rsidP="00872C97">
            <w:pPr>
              <w:pStyle w:val="CETBodytext"/>
            </w:pPr>
            <w:r w:rsidRPr="00872C97">
              <w:t>**</w:t>
            </w:r>
          </w:p>
        </w:tc>
        <w:tc>
          <w:tcPr>
            <w:tcW w:w="1781" w:type="dxa"/>
            <w:shd w:val="clear" w:color="auto" w:fill="FFFFFF"/>
          </w:tcPr>
          <w:p w14:paraId="4E2A804E" w14:textId="0D3194A5" w:rsidR="008D6651" w:rsidRPr="00872C97" w:rsidRDefault="00030835" w:rsidP="00872C97">
            <w:pPr>
              <w:pStyle w:val="CETBodytext"/>
            </w:pPr>
            <w:r w:rsidRPr="00872C97">
              <w:t>17.1 ± 0.0</w:t>
            </w:r>
            <w:r w:rsidR="00BA20A4" w:rsidRPr="00872C97">
              <w:t>1</w:t>
            </w:r>
          </w:p>
        </w:tc>
        <w:tc>
          <w:tcPr>
            <w:tcW w:w="1417" w:type="dxa"/>
            <w:shd w:val="clear" w:color="auto" w:fill="FFFFFF"/>
          </w:tcPr>
          <w:p w14:paraId="39F42E7B" w14:textId="689321DA" w:rsidR="008D6651" w:rsidRPr="00872C97" w:rsidRDefault="00030835" w:rsidP="00872C97">
            <w:pPr>
              <w:pStyle w:val="CETBodytext"/>
            </w:pPr>
            <w:r w:rsidRPr="00872C97">
              <w:t>28.1 ±</w:t>
            </w:r>
            <w:r w:rsidR="00CB318B" w:rsidRPr="00872C97">
              <w:t>6.0</w:t>
            </w:r>
          </w:p>
        </w:tc>
        <w:tc>
          <w:tcPr>
            <w:tcW w:w="351" w:type="dxa"/>
            <w:shd w:val="clear" w:color="auto" w:fill="FFFFFF"/>
          </w:tcPr>
          <w:p w14:paraId="3A55F694" w14:textId="5842FF09" w:rsidR="008D6651" w:rsidRPr="00872C97" w:rsidRDefault="00030835" w:rsidP="00872C97">
            <w:pPr>
              <w:pStyle w:val="CETBodytext"/>
            </w:pPr>
            <w:r w:rsidRPr="00872C97">
              <w:t>*</w:t>
            </w:r>
          </w:p>
        </w:tc>
      </w:tr>
      <w:tr w:rsidR="00AE438B" w:rsidRPr="00872C97" w14:paraId="483DDD0E" w14:textId="0EE1708C" w:rsidTr="009162D9">
        <w:trPr>
          <w:trHeight w:val="274"/>
        </w:trPr>
        <w:tc>
          <w:tcPr>
            <w:tcW w:w="1500" w:type="dxa"/>
            <w:shd w:val="clear" w:color="auto" w:fill="FFFFFF"/>
          </w:tcPr>
          <w:p w14:paraId="5A8E4D08" w14:textId="7F307CFE" w:rsidR="008D6651" w:rsidRPr="00872C97" w:rsidRDefault="008D6651" w:rsidP="00872C97">
            <w:pPr>
              <w:pStyle w:val="CETBodytext"/>
            </w:pPr>
            <w:r w:rsidRPr="00872C97">
              <w:t>Aldehydes</w:t>
            </w:r>
          </w:p>
        </w:tc>
        <w:tc>
          <w:tcPr>
            <w:tcW w:w="1721" w:type="dxa"/>
            <w:shd w:val="clear" w:color="auto" w:fill="FFFFFF"/>
          </w:tcPr>
          <w:p w14:paraId="22263079" w14:textId="6CC1C8F2" w:rsidR="008D6651" w:rsidRPr="00872C97" w:rsidRDefault="00030835" w:rsidP="00872C97">
            <w:pPr>
              <w:pStyle w:val="CETBodytext"/>
            </w:pPr>
            <w:r w:rsidRPr="00872C97">
              <w:t>9.</w:t>
            </w:r>
            <w:r w:rsidR="004D2A8F" w:rsidRPr="00872C97">
              <w:t>5</w:t>
            </w:r>
            <w:r w:rsidRPr="00872C97">
              <w:t xml:space="preserve"> ± 2.</w:t>
            </w:r>
            <w:r w:rsidR="004D2A8F" w:rsidRPr="00872C97">
              <w:t>4</w:t>
            </w:r>
          </w:p>
        </w:tc>
        <w:tc>
          <w:tcPr>
            <w:tcW w:w="1671" w:type="dxa"/>
            <w:shd w:val="clear" w:color="auto" w:fill="FFFFFF"/>
          </w:tcPr>
          <w:p w14:paraId="5C882BE8" w14:textId="7505F8DF" w:rsidR="008D6651" w:rsidRPr="00872C97" w:rsidRDefault="00030835" w:rsidP="00872C97">
            <w:pPr>
              <w:pStyle w:val="CETBodytext"/>
            </w:pPr>
            <w:r w:rsidRPr="00872C97">
              <w:t>8.</w:t>
            </w:r>
            <w:r w:rsidR="004D2A8F" w:rsidRPr="00872C97">
              <w:t>6</w:t>
            </w:r>
            <w:r w:rsidRPr="00872C97">
              <w:t xml:space="preserve"> ± 0.8</w:t>
            </w:r>
          </w:p>
        </w:tc>
        <w:tc>
          <w:tcPr>
            <w:tcW w:w="415" w:type="dxa"/>
            <w:shd w:val="clear" w:color="auto" w:fill="FFFFFF"/>
          </w:tcPr>
          <w:p w14:paraId="2EF6DB57" w14:textId="733B283E" w:rsidR="008D6651" w:rsidRPr="00872C97" w:rsidRDefault="00030835" w:rsidP="00872C97">
            <w:pPr>
              <w:pStyle w:val="CETBodytext"/>
            </w:pPr>
            <w:r w:rsidRPr="00872C97">
              <w:t>n.s.</w:t>
            </w:r>
          </w:p>
        </w:tc>
        <w:tc>
          <w:tcPr>
            <w:tcW w:w="1781" w:type="dxa"/>
            <w:shd w:val="clear" w:color="auto" w:fill="FFFFFF"/>
          </w:tcPr>
          <w:p w14:paraId="5155161B" w14:textId="1F67BD33" w:rsidR="008D6651" w:rsidRPr="00872C97" w:rsidRDefault="00030835" w:rsidP="00872C97">
            <w:pPr>
              <w:pStyle w:val="CETBodytext"/>
            </w:pPr>
            <w:r w:rsidRPr="00872C97">
              <w:t>25.</w:t>
            </w:r>
            <w:r w:rsidR="004D2A8F" w:rsidRPr="00872C97">
              <w:t>13</w:t>
            </w:r>
            <w:r w:rsidRPr="00872C97">
              <w:t xml:space="preserve"> ± 4.</w:t>
            </w:r>
            <w:r w:rsidR="004D2A8F" w:rsidRPr="00872C97">
              <w:t>1</w:t>
            </w:r>
          </w:p>
        </w:tc>
        <w:tc>
          <w:tcPr>
            <w:tcW w:w="1417" w:type="dxa"/>
            <w:shd w:val="clear" w:color="auto" w:fill="FFFFFF"/>
          </w:tcPr>
          <w:p w14:paraId="30BA04ED" w14:textId="3B954168" w:rsidR="008D6651" w:rsidRPr="00872C97" w:rsidRDefault="00030835" w:rsidP="00872C97">
            <w:pPr>
              <w:pStyle w:val="CETBodytext"/>
            </w:pPr>
            <w:r w:rsidRPr="00872C97">
              <w:t>13.5 ± 6.2</w:t>
            </w:r>
          </w:p>
        </w:tc>
        <w:tc>
          <w:tcPr>
            <w:tcW w:w="351" w:type="dxa"/>
            <w:shd w:val="clear" w:color="auto" w:fill="FFFFFF"/>
          </w:tcPr>
          <w:p w14:paraId="79A76A18" w14:textId="4EF5BA78" w:rsidR="008D6651" w:rsidRPr="00872C97" w:rsidRDefault="00030835" w:rsidP="00872C97">
            <w:pPr>
              <w:pStyle w:val="CETBodytext"/>
            </w:pPr>
            <w:r w:rsidRPr="00872C97">
              <w:t>n.s.</w:t>
            </w:r>
          </w:p>
        </w:tc>
      </w:tr>
      <w:tr w:rsidR="00AE438B" w:rsidRPr="00872C97" w14:paraId="73D2019C" w14:textId="269E269D" w:rsidTr="009162D9">
        <w:trPr>
          <w:trHeight w:val="274"/>
        </w:trPr>
        <w:tc>
          <w:tcPr>
            <w:tcW w:w="1500" w:type="dxa"/>
            <w:shd w:val="clear" w:color="auto" w:fill="FFFFFF"/>
          </w:tcPr>
          <w:p w14:paraId="0856345C" w14:textId="57FCBE40" w:rsidR="008D6651" w:rsidRPr="00872C97" w:rsidRDefault="008D6651" w:rsidP="00872C97">
            <w:pPr>
              <w:pStyle w:val="CETBodytext"/>
            </w:pPr>
            <w:r w:rsidRPr="00872C97">
              <w:t>Esters</w:t>
            </w:r>
          </w:p>
        </w:tc>
        <w:tc>
          <w:tcPr>
            <w:tcW w:w="1721" w:type="dxa"/>
            <w:shd w:val="clear" w:color="auto" w:fill="FFFFFF"/>
          </w:tcPr>
          <w:p w14:paraId="60D2CBFF" w14:textId="26C318BB" w:rsidR="008D6651" w:rsidRPr="00872C97" w:rsidRDefault="00030835" w:rsidP="00872C97">
            <w:pPr>
              <w:pStyle w:val="CETBodytext"/>
            </w:pPr>
            <w:r w:rsidRPr="00872C97">
              <w:t>41.</w:t>
            </w:r>
            <w:r w:rsidR="004D2A8F" w:rsidRPr="00872C97">
              <w:t>9</w:t>
            </w:r>
            <w:r w:rsidRPr="00872C97">
              <w:t xml:space="preserve"> ± 9.8</w:t>
            </w:r>
          </w:p>
        </w:tc>
        <w:tc>
          <w:tcPr>
            <w:tcW w:w="1671" w:type="dxa"/>
            <w:shd w:val="clear" w:color="auto" w:fill="FFFFFF"/>
          </w:tcPr>
          <w:p w14:paraId="2F829DEB" w14:textId="652F5036" w:rsidR="008D6651" w:rsidRPr="00872C97" w:rsidRDefault="00030835" w:rsidP="00872C97">
            <w:pPr>
              <w:pStyle w:val="CETBodytext"/>
            </w:pPr>
            <w:r w:rsidRPr="00872C97">
              <w:t>56.4 ± 3.4</w:t>
            </w:r>
          </w:p>
        </w:tc>
        <w:tc>
          <w:tcPr>
            <w:tcW w:w="415" w:type="dxa"/>
            <w:shd w:val="clear" w:color="auto" w:fill="FFFFFF"/>
          </w:tcPr>
          <w:p w14:paraId="4FC9904F" w14:textId="183A36BD" w:rsidR="008D6651" w:rsidRPr="00872C97" w:rsidRDefault="00030835" w:rsidP="00872C97">
            <w:pPr>
              <w:pStyle w:val="CETBodytext"/>
            </w:pPr>
            <w:r w:rsidRPr="00872C97">
              <w:t>n.s.</w:t>
            </w:r>
          </w:p>
        </w:tc>
        <w:tc>
          <w:tcPr>
            <w:tcW w:w="1781" w:type="dxa"/>
            <w:shd w:val="clear" w:color="auto" w:fill="FFFFFF"/>
          </w:tcPr>
          <w:p w14:paraId="7BE0A2C9" w14:textId="1EBE2B48" w:rsidR="008D6651" w:rsidRPr="00872C97" w:rsidRDefault="00030835" w:rsidP="00872C97">
            <w:pPr>
              <w:pStyle w:val="CETBodytext"/>
            </w:pPr>
            <w:r w:rsidRPr="00872C97">
              <w:t>44.5 ± 11.</w:t>
            </w:r>
            <w:r w:rsidR="004D2A8F" w:rsidRPr="00872C97">
              <w:t>2</w:t>
            </w:r>
          </w:p>
        </w:tc>
        <w:tc>
          <w:tcPr>
            <w:tcW w:w="1417" w:type="dxa"/>
            <w:shd w:val="clear" w:color="auto" w:fill="FFFFFF"/>
          </w:tcPr>
          <w:p w14:paraId="391C5DB1" w14:textId="0DE57D8B" w:rsidR="008D6651" w:rsidRPr="00872C97" w:rsidRDefault="00030835" w:rsidP="00872C97">
            <w:pPr>
              <w:pStyle w:val="CETBodytext"/>
            </w:pPr>
            <w:r w:rsidRPr="00872C97">
              <w:t>70.1 ± 32.3</w:t>
            </w:r>
          </w:p>
        </w:tc>
        <w:tc>
          <w:tcPr>
            <w:tcW w:w="351" w:type="dxa"/>
            <w:shd w:val="clear" w:color="auto" w:fill="FFFFFF"/>
          </w:tcPr>
          <w:p w14:paraId="1C3C0D4F" w14:textId="2DE36083" w:rsidR="008D6651" w:rsidRPr="00872C97" w:rsidRDefault="00030835" w:rsidP="00872C97">
            <w:pPr>
              <w:pStyle w:val="CETBodytext"/>
            </w:pPr>
            <w:r w:rsidRPr="00872C97">
              <w:t>n.s.</w:t>
            </w:r>
          </w:p>
        </w:tc>
      </w:tr>
      <w:tr w:rsidR="00AE438B" w:rsidRPr="00872C97" w14:paraId="13DFE01E" w14:textId="77777777" w:rsidTr="009162D9">
        <w:trPr>
          <w:trHeight w:val="274"/>
        </w:trPr>
        <w:tc>
          <w:tcPr>
            <w:tcW w:w="1500" w:type="dxa"/>
            <w:shd w:val="clear" w:color="auto" w:fill="FFFFFF"/>
          </w:tcPr>
          <w:p w14:paraId="5F0F30E9" w14:textId="68C86CC9" w:rsidR="008D6651" w:rsidRPr="00872C97" w:rsidRDefault="008D6651" w:rsidP="00872C97">
            <w:pPr>
              <w:pStyle w:val="CETBodytext"/>
            </w:pPr>
            <w:r w:rsidRPr="00872C97">
              <w:t>C</w:t>
            </w:r>
            <w:r w:rsidR="00085819" w:rsidRPr="00872C97">
              <w:rPr>
                <w:vertAlign w:val="subscript"/>
              </w:rPr>
              <w:t>13</w:t>
            </w:r>
            <w:r w:rsidRPr="00872C97">
              <w:t>-norisprenoids</w:t>
            </w:r>
          </w:p>
        </w:tc>
        <w:tc>
          <w:tcPr>
            <w:tcW w:w="1721" w:type="dxa"/>
            <w:shd w:val="clear" w:color="auto" w:fill="FFFFFF"/>
          </w:tcPr>
          <w:p w14:paraId="64D44F88" w14:textId="269686FF" w:rsidR="008D6651" w:rsidRPr="00872C97" w:rsidRDefault="00030835" w:rsidP="00872C97">
            <w:pPr>
              <w:tabs>
                <w:tab w:val="clear" w:pos="7100"/>
              </w:tabs>
              <w:spacing w:line="240" w:lineRule="auto"/>
            </w:pPr>
            <w:r w:rsidRPr="00872C97">
              <w:t>5.5 ± 1.</w:t>
            </w:r>
            <w:r w:rsidR="004D2A8F" w:rsidRPr="00872C97">
              <w:t>5</w:t>
            </w:r>
          </w:p>
        </w:tc>
        <w:tc>
          <w:tcPr>
            <w:tcW w:w="1671" w:type="dxa"/>
            <w:shd w:val="clear" w:color="auto" w:fill="FFFFFF"/>
          </w:tcPr>
          <w:p w14:paraId="3FFBFC08" w14:textId="72B9DE95" w:rsidR="008D6651" w:rsidRPr="00872C97" w:rsidRDefault="00030835" w:rsidP="00872C97">
            <w:pPr>
              <w:pStyle w:val="CETBodytext"/>
            </w:pPr>
            <w:r w:rsidRPr="00872C97">
              <w:t>6.2 ± 1.8</w:t>
            </w:r>
          </w:p>
        </w:tc>
        <w:tc>
          <w:tcPr>
            <w:tcW w:w="415" w:type="dxa"/>
            <w:shd w:val="clear" w:color="auto" w:fill="FFFFFF"/>
          </w:tcPr>
          <w:p w14:paraId="4100A0C3" w14:textId="534A0B95" w:rsidR="008D6651" w:rsidRPr="00872C97" w:rsidRDefault="00030835" w:rsidP="00872C97">
            <w:pPr>
              <w:pStyle w:val="CETBodytext"/>
            </w:pPr>
            <w:r w:rsidRPr="00872C97">
              <w:t>n.s.</w:t>
            </w:r>
          </w:p>
        </w:tc>
        <w:tc>
          <w:tcPr>
            <w:tcW w:w="1781" w:type="dxa"/>
            <w:shd w:val="clear" w:color="auto" w:fill="FFFFFF"/>
          </w:tcPr>
          <w:p w14:paraId="50243B38" w14:textId="242561AA" w:rsidR="008D6651" w:rsidRPr="00872C97" w:rsidRDefault="00030835" w:rsidP="00872C97">
            <w:pPr>
              <w:pStyle w:val="CETBodytext"/>
            </w:pPr>
            <w:r w:rsidRPr="00872C97">
              <w:t>7.2 ± 1.</w:t>
            </w:r>
            <w:r w:rsidR="004D2A8F" w:rsidRPr="00872C97">
              <w:t>1</w:t>
            </w:r>
          </w:p>
        </w:tc>
        <w:tc>
          <w:tcPr>
            <w:tcW w:w="1417" w:type="dxa"/>
            <w:shd w:val="clear" w:color="auto" w:fill="FFFFFF"/>
          </w:tcPr>
          <w:p w14:paraId="1900C024" w14:textId="7BC36F87" w:rsidR="008D6651" w:rsidRPr="00872C97" w:rsidRDefault="00030835" w:rsidP="00872C97">
            <w:pPr>
              <w:pStyle w:val="CETBodytext"/>
            </w:pPr>
            <w:r w:rsidRPr="00872C97">
              <w:t>5.1 ± 3.</w:t>
            </w:r>
            <w:r w:rsidR="00CB318B" w:rsidRPr="00872C97">
              <w:t>3</w:t>
            </w:r>
          </w:p>
        </w:tc>
        <w:tc>
          <w:tcPr>
            <w:tcW w:w="351" w:type="dxa"/>
            <w:shd w:val="clear" w:color="auto" w:fill="FFFFFF"/>
          </w:tcPr>
          <w:p w14:paraId="4CD7F507" w14:textId="354F4F71" w:rsidR="008D6651" w:rsidRPr="00872C97" w:rsidRDefault="00030835" w:rsidP="00872C97">
            <w:pPr>
              <w:pStyle w:val="CETBodytext"/>
            </w:pPr>
            <w:r w:rsidRPr="00872C97">
              <w:t>n.s.</w:t>
            </w:r>
          </w:p>
        </w:tc>
      </w:tr>
      <w:tr w:rsidR="00AE438B" w:rsidRPr="00872C97" w14:paraId="76C72E7E" w14:textId="77777777" w:rsidTr="009162D9">
        <w:trPr>
          <w:trHeight w:val="274"/>
        </w:trPr>
        <w:tc>
          <w:tcPr>
            <w:tcW w:w="1500" w:type="dxa"/>
            <w:shd w:val="clear" w:color="auto" w:fill="FFFFFF"/>
          </w:tcPr>
          <w:p w14:paraId="129B9A01" w14:textId="31F21BB4" w:rsidR="008D6651" w:rsidRPr="00872C97" w:rsidRDefault="008D6651" w:rsidP="00872C97">
            <w:pPr>
              <w:pStyle w:val="CETBodytext"/>
            </w:pPr>
            <w:r w:rsidRPr="00872C97">
              <w:t>Alcohols</w:t>
            </w:r>
          </w:p>
        </w:tc>
        <w:tc>
          <w:tcPr>
            <w:tcW w:w="1721" w:type="dxa"/>
            <w:shd w:val="clear" w:color="auto" w:fill="FFFFFF"/>
          </w:tcPr>
          <w:p w14:paraId="766FD700" w14:textId="4775CC38" w:rsidR="008D6651" w:rsidRPr="00872C97" w:rsidRDefault="00030835" w:rsidP="00872C97">
            <w:pPr>
              <w:pStyle w:val="CETBodytext"/>
              <w:rPr>
                <w:lang w:val="en-GB"/>
              </w:rPr>
            </w:pPr>
            <w:r w:rsidRPr="00872C97">
              <w:t>19.9 ± 0.</w:t>
            </w:r>
            <w:r w:rsidR="004D2A8F" w:rsidRPr="00872C97">
              <w:t>4</w:t>
            </w:r>
          </w:p>
        </w:tc>
        <w:tc>
          <w:tcPr>
            <w:tcW w:w="1671" w:type="dxa"/>
            <w:shd w:val="clear" w:color="auto" w:fill="FFFFFF"/>
          </w:tcPr>
          <w:p w14:paraId="3B981582" w14:textId="5DB16A6C" w:rsidR="008D6651" w:rsidRPr="00872C97" w:rsidRDefault="00030835" w:rsidP="00872C97">
            <w:pPr>
              <w:pStyle w:val="CETBodytext"/>
            </w:pPr>
            <w:r w:rsidRPr="00872C97">
              <w:t>31.4 ± 6.6</w:t>
            </w:r>
          </w:p>
        </w:tc>
        <w:tc>
          <w:tcPr>
            <w:tcW w:w="415" w:type="dxa"/>
            <w:shd w:val="clear" w:color="auto" w:fill="FFFFFF"/>
          </w:tcPr>
          <w:p w14:paraId="547DF577" w14:textId="5AAB3CA0" w:rsidR="008D6651" w:rsidRPr="00872C97" w:rsidRDefault="00030835" w:rsidP="00872C97">
            <w:pPr>
              <w:pStyle w:val="CETBodytext"/>
            </w:pPr>
            <w:r w:rsidRPr="00872C97">
              <w:t>*</w:t>
            </w:r>
          </w:p>
        </w:tc>
        <w:tc>
          <w:tcPr>
            <w:tcW w:w="1781" w:type="dxa"/>
            <w:shd w:val="clear" w:color="auto" w:fill="FFFFFF"/>
          </w:tcPr>
          <w:p w14:paraId="7F3EBCE1" w14:textId="655DAB20" w:rsidR="008D6651" w:rsidRPr="00872C97" w:rsidRDefault="00030835" w:rsidP="00872C97">
            <w:pPr>
              <w:pStyle w:val="CETBodytext"/>
            </w:pPr>
            <w:r w:rsidRPr="00872C97">
              <w:t>72.</w:t>
            </w:r>
            <w:r w:rsidR="004D2A8F" w:rsidRPr="00872C97">
              <w:t>7</w:t>
            </w:r>
            <w:r w:rsidRPr="00872C97">
              <w:t xml:space="preserve"> ± 6.3</w:t>
            </w:r>
          </w:p>
        </w:tc>
        <w:tc>
          <w:tcPr>
            <w:tcW w:w="1417" w:type="dxa"/>
            <w:shd w:val="clear" w:color="auto" w:fill="FFFFFF"/>
          </w:tcPr>
          <w:p w14:paraId="24E0FE19" w14:textId="636DC847" w:rsidR="008D6651" w:rsidRPr="00872C97" w:rsidRDefault="00030835" w:rsidP="00872C97">
            <w:pPr>
              <w:pStyle w:val="CETBodytext"/>
            </w:pPr>
            <w:r w:rsidRPr="00872C97">
              <w:t>23.</w:t>
            </w:r>
            <w:r w:rsidR="00CB318B" w:rsidRPr="00872C97">
              <w:t>2</w:t>
            </w:r>
            <w:r w:rsidRPr="00872C97">
              <w:t xml:space="preserve"> ± 4.2</w:t>
            </w:r>
          </w:p>
        </w:tc>
        <w:tc>
          <w:tcPr>
            <w:tcW w:w="351" w:type="dxa"/>
            <w:shd w:val="clear" w:color="auto" w:fill="FFFFFF"/>
          </w:tcPr>
          <w:p w14:paraId="6680D062" w14:textId="75CB3991" w:rsidR="008D6651" w:rsidRPr="00872C97" w:rsidRDefault="00030835" w:rsidP="00872C97">
            <w:pPr>
              <w:pStyle w:val="CETBodytext"/>
            </w:pPr>
            <w:r w:rsidRPr="00872C97">
              <w:t>***</w:t>
            </w:r>
          </w:p>
        </w:tc>
      </w:tr>
      <w:tr w:rsidR="00AE438B" w:rsidRPr="00872C97" w14:paraId="7AD6F8F8" w14:textId="77777777" w:rsidTr="009162D9">
        <w:trPr>
          <w:trHeight w:val="274"/>
        </w:trPr>
        <w:tc>
          <w:tcPr>
            <w:tcW w:w="1500" w:type="dxa"/>
            <w:shd w:val="clear" w:color="auto" w:fill="FFFFFF"/>
          </w:tcPr>
          <w:p w14:paraId="60030A21" w14:textId="655463FA" w:rsidR="008D6651" w:rsidRPr="00872C97" w:rsidRDefault="008D6651" w:rsidP="00872C97">
            <w:pPr>
              <w:pStyle w:val="CETBodytext"/>
            </w:pPr>
            <w:r w:rsidRPr="00872C97">
              <w:t>Sesquiterpenes</w:t>
            </w:r>
          </w:p>
        </w:tc>
        <w:tc>
          <w:tcPr>
            <w:tcW w:w="1721" w:type="dxa"/>
            <w:shd w:val="clear" w:color="auto" w:fill="FFFFFF"/>
          </w:tcPr>
          <w:p w14:paraId="6FA890E4" w14:textId="4812271F" w:rsidR="008D6651" w:rsidRPr="00872C97" w:rsidRDefault="00030835" w:rsidP="00872C97">
            <w:pPr>
              <w:pStyle w:val="CETBodytext"/>
            </w:pPr>
            <w:r w:rsidRPr="00872C97">
              <w:t>183.9</w:t>
            </w:r>
            <w:r w:rsidR="00BD3B2D" w:rsidRPr="00872C97">
              <w:t xml:space="preserve"> </w:t>
            </w:r>
            <w:r w:rsidRPr="00872C97">
              <w:t>± 24.</w:t>
            </w:r>
            <w:r w:rsidR="004D2A8F" w:rsidRPr="00872C97">
              <w:t>2</w:t>
            </w:r>
          </w:p>
        </w:tc>
        <w:tc>
          <w:tcPr>
            <w:tcW w:w="1671" w:type="dxa"/>
            <w:shd w:val="clear" w:color="auto" w:fill="FFFFFF"/>
          </w:tcPr>
          <w:p w14:paraId="30CB732A" w14:textId="21B2DDB4" w:rsidR="008D6651" w:rsidRPr="00872C97" w:rsidRDefault="00030835" w:rsidP="00872C97">
            <w:pPr>
              <w:pStyle w:val="CETBodytext"/>
            </w:pPr>
            <w:r w:rsidRPr="00872C97">
              <w:t>249.</w:t>
            </w:r>
            <w:r w:rsidR="004D2A8F" w:rsidRPr="00872C97">
              <w:t>4</w:t>
            </w:r>
            <w:r w:rsidRPr="00872C97">
              <w:t xml:space="preserve"> ± 50.</w:t>
            </w:r>
            <w:r w:rsidR="004D2A8F" w:rsidRPr="00872C97">
              <w:t>6</w:t>
            </w:r>
          </w:p>
        </w:tc>
        <w:tc>
          <w:tcPr>
            <w:tcW w:w="415" w:type="dxa"/>
            <w:shd w:val="clear" w:color="auto" w:fill="FFFFFF"/>
          </w:tcPr>
          <w:p w14:paraId="080DE150" w14:textId="49816107" w:rsidR="008D6651" w:rsidRPr="00872C97" w:rsidRDefault="00030835" w:rsidP="00872C97">
            <w:pPr>
              <w:pStyle w:val="CETBodytext"/>
            </w:pPr>
            <w:r w:rsidRPr="00872C97">
              <w:t>n.s.</w:t>
            </w:r>
          </w:p>
        </w:tc>
        <w:tc>
          <w:tcPr>
            <w:tcW w:w="1781" w:type="dxa"/>
            <w:shd w:val="clear" w:color="auto" w:fill="FFFFFF"/>
          </w:tcPr>
          <w:p w14:paraId="17895F61" w14:textId="42FA08D6" w:rsidR="008D6651" w:rsidRPr="00872C97" w:rsidRDefault="00030835" w:rsidP="00872C97">
            <w:pPr>
              <w:pStyle w:val="CETBodytext"/>
            </w:pPr>
            <w:r w:rsidRPr="00872C97">
              <w:t>122.1 ± 19.4</w:t>
            </w:r>
          </w:p>
        </w:tc>
        <w:tc>
          <w:tcPr>
            <w:tcW w:w="1417" w:type="dxa"/>
            <w:shd w:val="clear" w:color="auto" w:fill="FFFFFF"/>
          </w:tcPr>
          <w:p w14:paraId="0C1CD140" w14:textId="4B4F8FA5" w:rsidR="008D6651" w:rsidRPr="00872C97" w:rsidRDefault="00030835" w:rsidP="00872C97">
            <w:pPr>
              <w:pStyle w:val="CETBodytext"/>
            </w:pPr>
            <w:r w:rsidRPr="00872C97">
              <w:t>187.3 ± 49.7</w:t>
            </w:r>
          </w:p>
        </w:tc>
        <w:tc>
          <w:tcPr>
            <w:tcW w:w="351" w:type="dxa"/>
            <w:shd w:val="clear" w:color="auto" w:fill="FFFFFF"/>
          </w:tcPr>
          <w:p w14:paraId="489442E4" w14:textId="1C843BD3" w:rsidR="008D6651" w:rsidRPr="00872C97" w:rsidRDefault="00030835" w:rsidP="00872C97">
            <w:pPr>
              <w:pStyle w:val="CETBodytext"/>
            </w:pPr>
            <w:r w:rsidRPr="00872C97">
              <w:t>n.s.</w:t>
            </w:r>
          </w:p>
        </w:tc>
      </w:tr>
      <w:tr w:rsidR="00AE438B" w:rsidRPr="00872C97" w14:paraId="314B0E7A" w14:textId="77777777" w:rsidTr="009162D9">
        <w:trPr>
          <w:trHeight w:val="274"/>
        </w:trPr>
        <w:tc>
          <w:tcPr>
            <w:tcW w:w="1500" w:type="dxa"/>
            <w:shd w:val="clear" w:color="auto" w:fill="FFFFFF"/>
          </w:tcPr>
          <w:p w14:paraId="617914EA" w14:textId="1F0DA552" w:rsidR="008D6651" w:rsidRPr="00872C97" w:rsidRDefault="008D6651" w:rsidP="00872C97">
            <w:pPr>
              <w:pStyle w:val="CETBodytext"/>
            </w:pPr>
            <w:r w:rsidRPr="00872C97">
              <w:t>Monoterpenes</w:t>
            </w:r>
          </w:p>
        </w:tc>
        <w:tc>
          <w:tcPr>
            <w:tcW w:w="1721" w:type="dxa"/>
            <w:shd w:val="clear" w:color="auto" w:fill="FFFFFF"/>
          </w:tcPr>
          <w:p w14:paraId="7D244BB1" w14:textId="1CB2E10D" w:rsidR="008D6651" w:rsidRPr="00872C97" w:rsidRDefault="00030835" w:rsidP="00872C97">
            <w:pPr>
              <w:pStyle w:val="CETBodytext"/>
            </w:pPr>
            <w:r w:rsidRPr="00872C97">
              <w:t>1'615.4 ± 252.</w:t>
            </w:r>
            <w:r w:rsidR="004D2A8F" w:rsidRPr="00872C97">
              <w:t>4</w:t>
            </w:r>
          </w:p>
        </w:tc>
        <w:tc>
          <w:tcPr>
            <w:tcW w:w="1671" w:type="dxa"/>
            <w:shd w:val="clear" w:color="auto" w:fill="FFFFFF"/>
          </w:tcPr>
          <w:p w14:paraId="7478BAB6" w14:textId="175A8202" w:rsidR="008D6651" w:rsidRPr="00872C97" w:rsidRDefault="00030835" w:rsidP="00872C97">
            <w:pPr>
              <w:pStyle w:val="CETBodytext"/>
            </w:pPr>
            <w:r w:rsidRPr="00872C97">
              <w:t>3'341.1 ± 274.1</w:t>
            </w:r>
          </w:p>
        </w:tc>
        <w:tc>
          <w:tcPr>
            <w:tcW w:w="415" w:type="dxa"/>
            <w:shd w:val="clear" w:color="auto" w:fill="FFFFFF"/>
          </w:tcPr>
          <w:p w14:paraId="569FCA3B" w14:textId="1A756D27" w:rsidR="008D6651" w:rsidRPr="00872C97" w:rsidRDefault="00030835" w:rsidP="00872C97">
            <w:pPr>
              <w:pStyle w:val="CETBodytext"/>
            </w:pPr>
            <w:r w:rsidRPr="00872C97">
              <w:t>**</w:t>
            </w:r>
          </w:p>
        </w:tc>
        <w:tc>
          <w:tcPr>
            <w:tcW w:w="1781" w:type="dxa"/>
            <w:shd w:val="clear" w:color="auto" w:fill="FFFFFF"/>
          </w:tcPr>
          <w:p w14:paraId="4B1E2BD9" w14:textId="0378A753" w:rsidR="008D6651" w:rsidRPr="00872C97" w:rsidRDefault="00030835" w:rsidP="00872C97">
            <w:pPr>
              <w:pStyle w:val="CETBodytext"/>
            </w:pPr>
            <w:r w:rsidRPr="00872C97">
              <w:t>1'099.3 ± 225.</w:t>
            </w:r>
            <w:r w:rsidR="00AE438B" w:rsidRPr="00872C97">
              <w:t>6</w:t>
            </w:r>
          </w:p>
        </w:tc>
        <w:tc>
          <w:tcPr>
            <w:tcW w:w="1417" w:type="dxa"/>
            <w:shd w:val="clear" w:color="auto" w:fill="FFFFFF"/>
          </w:tcPr>
          <w:p w14:paraId="5F850BAE" w14:textId="145689F9" w:rsidR="008D6651" w:rsidRPr="00872C97" w:rsidRDefault="00030835" w:rsidP="00872C97">
            <w:pPr>
              <w:pStyle w:val="CETBodytext"/>
            </w:pPr>
            <w:r w:rsidRPr="00872C97">
              <w:t>1'608.5 ± 171.7</w:t>
            </w:r>
          </w:p>
        </w:tc>
        <w:tc>
          <w:tcPr>
            <w:tcW w:w="351" w:type="dxa"/>
            <w:shd w:val="clear" w:color="auto" w:fill="FFFFFF"/>
          </w:tcPr>
          <w:p w14:paraId="0E1E08FA" w14:textId="17F7E1F3" w:rsidR="008D6651" w:rsidRPr="00872C97" w:rsidRDefault="00030835" w:rsidP="00872C97">
            <w:pPr>
              <w:pStyle w:val="CETBodytext"/>
            </w:pPr>
            <w:r w:rsidRPr="00872C97">
              <w:t>*</w:t>
            </w:r>
          </w:p>
        </w:tc>
      </w:tr>
    </w:tbl>
    <w:p w14:paraId="2C430EB0" w14:textId="1301467B" w:rsidR="003662FC" w:rsidRPr="00872C97" w:rsidRDefault="003B6353" w:rsidP="00872C97">
      <w:pPr>
        <w:pStyle w:val="CETheadingx"/>
        <w:numPr>
          <w:ilvl w:val="0"/>
          <w:numId w:val="0"/>
        </w:numPr>
        <w:jc w:val="both"/>
        <w:rPr>
          <w:b w:val="0"/>
          <w:bCs/>
        </w:rPr>
      </w:pPr>
      <w:r w:rsidRPr="00872C97">
        <w:rPr>
          <w:rFonts w:cs="Arial"/>
          <w:b w:val="0"/>
          <w:bCs/>
          <w:sz w:val="16"/>
          <w:szCs w:val="18"/>
        </w:rPr>
        <w:t>Anova F test significativity: * = 0.01 ≤ p value &lt; 0.05, ** = 0.001 ≤ p value &lt; 0. 01, *** = p value &lt; 0.001</w:t>
      </w:r>
    </w:p>
    <w:p w14:paraId="7382C781" w14:textId="3AE63319" w:rsidR="00600535" w:rsidRPr="00872C97" w:rsidRDefault="00CA7835" w:rsidP="00872C97">
      <w:pPr>
        <w:pStyle w:val="CETheadingx"/>
      </w:pPr>
      <w:r w:rsidRPr="00872C97">
        <w:t xml:space="preserve">Colour </w:t>
      </w:r>
      <w:r w:rsidR="009B1987" w:rsidRPr="00872C97">
        <w:t>Measurement</w:t>
      </w:r>
    </w:p>
    <w:p w14:paraId="269143D5" w14:textId="540AAE15" w:rsidR="009B1987" w:rsidRPr="00872C97" w:rsidRDefault="00626E8D" w:rsidP="00872C97">
      <w:pPr>
        <w:pStyle w:val="CETBodytext"/>
        <w:rPr>
          <w:iCs/>
        </w:rPr>
      </w:pPr>
      <w:r w:rsidRPr="00872C97">
        <w:rPr>
          <w:lang w:val="en-GB"/>
        </w:rPr>
        <w:t xml:space="preserve">Treatment-dependent </w:t>
      </w:r>
      <w:r w:rsidR="00405693" w:rsidRPr="00872C97">
        <w:rPr>
          <w:lang w:val="en-GB"/>
        </w:rPr>
        <w:t>colour</w:t>
      </w:r>
      <w:r w:rsidRPr="00872C97">
        <w:rPr>
          <w:lang w:val="en-GB"/>
        </w:rPr>
        <w:t xml:space="preserve"> trends changed during storage: the HPP-treated sample showed increasing values of </w:t>
      </w:r>
      <w:r w:rsidR="00175186" w:rsidRPr="00872C97">
        <w:rPr>
          <w:lang w:val="en-GB"/>
        </w:rPr>
        <w:t>L* and a*</w:t>
      </w:r>
      <w:r w:rsidRPr="00872C97">
        <w:rPr>
          <w:lang w:val="en-GB"/>
        </w:rPr>
        <w:t xml:space="preserve"> parameters, peaking at 7 days of storage and decreasing at 15 days. The NoHPP sample showed </w:t>
      </w:r>
      <w:r w:rsidR="00A43774" w:rsidRPr="00872C97">
        <w:rPr>
          <w:lang w:val="en-GB"/>
        </w:rPr>
        <w:t>a more stable trend in L* and b* parameters over</w:t>
      </w:r>
      <w:r w:rsidRPr="00872C97">
        <w:rPr>
          <w:lang w:val="en-GB"/>
        </w:rPr>
        <w:t>. These trends are confirmed by the calculation of ΔE, where the T7 value showed a ΔE of 5.5 related to a discernible difference between the two HPP and NoHPP samples, due to the ΔE greater than 3 (Giannoutsos et al., 2023). While T0 and T15 values showed no difference between the two samples perceptible by human eyes.</w:t>
      </w:r>
      <w:r w:rsidRPr="00872C97" w:rsidDel="00626E8D">
        <w:rPr>
          <w:lang w:val="en-GB"/>
        </w:rPr>
        <w:t xml:space="preserve"> </w:t>
      </w:r>
    </w:p>
    <w:p w14:paraId="421AEF75" w14:textId="77777777" w:rsidR="00626E8D" w:rsidRPr="00872C97" w:rsidRDefault="00626E8D" w:rsidP="00872C97">
      <w:pPr>
        <w:pStyle w:val="CETBodytext"/>
        <w:rPr>
          <w:i/>
        </w:rPr>
      </w:pPr>
    </w:p>
    <w:p w14:paraId="751BE493" w14:textId="5243CF62" w:rsidR="006D0CEA" w:rsidRPr="00872C97" w:rsidRDefault="009B1987" w:rsidP="00872C97">
      <w:pPr>
        <w:pStyle w:val="CETBodytext"/>
        <w:rPr>
          <w:lang w:val="en-GB"/>
        </w:rPr>
      </w:pPr>
      <w:r w:rsidRPr="00872C97">
        <w:rPr>
          <w:i/>
        </w:rPr>
        <w:t xml:space="preserve">Table </w:t>
      </w:r>
      <w:r w:rsidR="00FC3596" w:rsidRPr="00872C97">
        <w:rPr>
          <w:i/>
        </w:rPr>
        <w:t>4</w:t>
      </w:r>
      <w:r w:rsidRPr="00872C97">
        <w:rPr>
          <w:i/>
        </w:rPr>
        <w:t>:</w:t>
      </w:r>
      <w:r w:rsidRPr="00872C97">
        <w:t xml:space="preserve"> </w:t>
      </w:r>
      <w:r w:rsidRPr="00872C97">
        <w:rPr>
          <w:i/>
        </w:rPr>
        <w:t>NoHPP</w:t>
      </w:r>
      <w:r w:rsidR="00C27C52" w:rsidRPr="00872C97">
        <w:rPr>
          <w:i/>
        </w:rPr>
        <w:t>,</w:t>
      </w:r>
      <w:r w:rsidRPr="00872C97">
        <w:rPr>
          <w:i/>
        </w:rPr>
        <w:t xml:space="preserve"> </w:t>
      </w:r>
      <w:r w:rsidR="00C27C52" w:rsidRPr="00872C97">
        <w:rPr>
          <w:i/>
        </w:rPr>
        <w:t>untreated control sample</w:t>
      </w:r>
      <w:r w:rsidRPr="00872C97">
        <w:rPr>
          <w:i/>
        </w:rPr>
        <w:t>; HPP: sample treated with HPP</w:t>
      </w:r>
      <w:r w:rsidR="00BE03C0" w:rsidRPr="00872C97">
        <w:rPr>
          <w:i/>
        </w:rPr>
        <w:t xml:space="preserve"> at different time of analysis (0, 7 and 15 days)</w:t>
      </w:r>
      <w:r w:rsidRPr="00872C97">
        <w:rPr>
          <w:i/>
        </w:rPr>
        <w:t>. L</w:t>
      </w:r>
      <w:r w:rsidR="00FD018D" w:rsidRPr="00872C97">
        <w:rPr>
          <w:i/>
        </w:rPr>
        <w:t>*, a</w:t>
      </w:r>
      <w:r w:rsidRPr="00872C97">
        <w:rPr>
          <w:i/>
        </w:rPr>
        <w:t>* and b* refer to CIELab parameters</w:t>
      </w:r>
      <w:r w:rsidR="00D02351" w:rsidRPr="00872C97">
        <w:rPr>
          <w:i/>
        </w:rPr>
        <w:t>.</w:t>
      </w:r>
      <w:r w:rsidR="00586CDB" w:rsidRPr="00872C97">
        <w:rPr>
          <w:i/>
        </w:rPr>
        <w:t xml:space="preserve"> </w:t>
      </w:r>
      <w:r w:rsidR="00E6030B" w:rsidRPr="00872C97">
        <w:rPr>
          <w:rFonts w:cs="Arial"/>
          <w:i/>
          <w:iCs/>
        </w:rPr>
        <w:t>∆</w:t>
      </w:r>
      <w:r w:rsidR="00E6030B" w:rsidRPr="00872C97">
        <w:rPr>
          <w:i/>
          <w:iCs/>
        </w:rPr>
        <w:t xml:space="preserve">E means the difference between </w:t>
      </w:r>
      <w:r w:rsidR="00DE77F2" w:rsidRPr="00872C97">
        <w:rPr>
          <w:i/>
          <w:iCs/>
        </w:rPr>
        <w:t>reference and experimental sample,</w:t>
      </w:r>
      <w:r w:rsidR="00E6030B" w:rsidRPr="00872C97">
        <w:rPr>
          <w:i/>
          <w:iCs/>
        </w:rPr>
        <w:t xml:space="preserve"> involving </w:t>
      </w:r>
      <w:r w:rsidR="00DE77F2" w:rsidRPr="00872C97">
        <w:rPr>
          <w:i/>
          <w:iCs/>
        </w:rPr>
        <w:t>color</w:t>
      </w:r>
      <w:r w:rsidR="00E6030B" w:rsidRPr="00872C97">
        <w:rPr>
          <w:i/>
          <w:iCs/>
        </w:rPr>
        <w:t xml:space="preserve"> parameters L*, a</w:t>
      </w:r>
      <w:r w:rsidR="00ED6994" w:rsidRPr="00872C97">
        <w:rPr>
          <w:i/>
          <w:iCs/>
        </w:rPr>
        <w:t>*</w:t>
      </w:r>
      <w:r w:rsidR="00E6030B" w:rsidRPr="00872C97">
        <w:rPr>
          <w:i/>
          <w:iCs/>
        </w:rPr>
        <w:t>, and b</w:t>
      </w:r>
      <w:r w:rsidR="00ED6994" w:rsidRPr="00872C97">
        <w:rPr>
          <w:i/>
          <w:iCs/>
        </w:rPr>
        <w:t>*</w:t>
      </w:r>
      <w:r w:rsidR="00E6030B" w:rsidRPr="00872C97">
        <w:rPr>
          <w:i/>
          <w:iCs/>
        </w:rPr>
        <w:t>, according to the eq. 1.</w:t>
      </w:r>
    </w:p>
    <w:tbl>
      <w:tblPr>
        <w:tblW w:w="772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24"/>
        <w:gridCol w:w="1213"/>
        <w:gridCol w:w="1350"/>
        <w:gridCol w:w="1213"/>
        <w:gridCol w:w="1213"/>
        <w:gridCol w:w="1213"/>
      </w:tblGrid>
      <w:tr w:rsidR="00CB4704" w:rsidRPr="00872C97" w14:paraId="3218FED7" w14:textId="7669A7F1" w:rsidTr="00175186">
        <w:trPr>
          <w:trHeight w:val="156"/>
        </w:trPr>
        <w:tc>
          <w:tcPr>
            <w:tcW w:w="1524" w:type="dxa"/>
            <w:tcBorders>
              <w:top w:val="single" w:sz="12" w:space="0" w:color="008000"/>
              <w:bottom w:val="single" w:sz="6" w:space="0" w:color="008000"/>
            </w:tcBorders>
            <w:shd w:val="clear" w:color="auto" w:fill="FFFFFF"/>
          </w:tcPr>
          <w:p w14:paraId="34436BAA" w14:textId="77777777" w:rsidR="00CB4704" w:rsidRPr="00872C97" w:rsidRDefault="00CB4704" w:rsidP="00872C97">
            <w:pPr>
              <w:pStyle w:val="CETBodytext"/>
            </w:pPr>
            <w:r w:rsidRPr="00872C97">
              <w:t>Samples</w:t>
            </w:r>
          </w:p>
        </w:tc>
        <w:tc>
          <w:tcPr>
            <w:tcW w:w="1213" w:type="dxa"/>
            <w:tcBorders>
              <w:top w:val="single" w:sz="12" w:space="0" w:color="008000"/>
              <w:bottom w:val="single" w:sz="6" w:space="0" w:color="008000"/>
            </w:tcBorders>
            <w:shd w:val="clear" w:color="auto" w:fill="FFFFFF"/>
          </w:tcPr>
          <w:p w14:paraId="19862D94" w14:textId="77777777" w:rsidR="00CB4704" w:rsidRPr="00872C97" w:rsidRDefault="00CB4704" w:rsidP="00872C97">
            <w:pPr>
              <w:pStyle w:val="CETBodytext"/>
            </w:pPr>
          </w:p>
        </w:tc>
        <w:tc>
          <w:tcPr>
            <w:tcW w:w="1350" w:type="dxa"/>
            <w:tcBorders>
              <w:top w:val="single" w:sz="12" w:space="0" w:color="008000"/>
              <w:bottom w:val="single" w:sz="6" w:space="0" w:color="008000"/>
            </w:tcBorders>
            <w:shd w:val="clear" w:color="auto" w:fill="FFFFFF"/>
          </w:tcPr>
          <w:p w14:paraId="4B8F51EB" w14:textId="77777777" w:rsidR="00CB4704" w:rsidRPr="00872C97" w:rsidRDefault="00CB4704" w:rsidP="00872C97">
            <w:pPr>
              <w:pStyle w:val="CETBodytext"/>
            </w:pPr>
            <w:r w:rsidRPr="00872C97">
              <w:t>L*</w:t>
            </w:r>
          </w:p>
        </w:tc>
        <w:tc>
          <w:tcPr>
            <w:tcW w:w="1213" w:type="dxa"/>
            <w:tcBorders>
              <w:top w:val="single" w:sz="12" w:space="0" w:color="008000"/>
              <w:bottom w:val="single" w:sz="6" w:space="0" w:color="008000"/>
            </w:tcBorders>
            <w:shd w:val="clear" w:color="auto" w:fill="FFFFFF"/>
          </w:tcPr>
          <w:p w14:paraId="3075C301" w14:textId="77777777" w:rsidR="00CB4704" w:rsidRPr="00872C97" w:rsidRDefault="00CB4704" w:rsidP="00872C97">
            <w:pPr>
              <w:pStyle w:val="CETBodytext"/>
            </w:pPr>
            <w:r w:rsidRPr="00872C97">
              <w:t>a*</w:t>
            </w:r>
          </w:p>
        </w:tc>
        <w:tc>
          <w:tcPr>
            <w:tcW w:w="1213" w:type="dxa"/>
            <w:tcBorders>
              <w:top w:val="single" w:sz="12" w:space="0" w:color="008000"/>
              <w:bottom w:val="single" w:sz="6" w:space="0" w:color="008000"/>
            </w:tcBorders>
            <w:shd w:val="clear" w:color="auto" w:fill="FFFFFF"/>
          </w:tcPr>
          <w:p w14:paraId="55FBA5EB" w14:textId="77777777" w:rsidR="00CB4704" w:rsidRPr="00872C97" w:rsidRDefault="00CB4704" w:rsidP="00872C97">
            <w:pPr>
              <w:pStyle w:val="CETBodytext"/>
            </w:pPr>
            <w:r w:rsidRPr="00872C97">
              <w:t>b*</w:t>
            </w:r>
          </w:p>
        </w:tc>
        <w:tc>
          <w:tcPr>
            <w:tcW w:w="1213" w:type="dxa"/>
            <w:tcBorders>
              <w:top w:val="single" w:sz="12" w:space="0" w:color="008000"/>
              <w:bottom w:val="single" w:sz="6" w:space="0" w:color="008000"/>
            </w:tcBorders>
            <w:shd w:val="clear" w:color="auto" w:fill="FFFFFF"/>
          </w:tcPr>
          <w:p w14:paraId="4E5CD14B" w14:textId="586A653A" w:rsidR="00CB4704" w:rsidRPr="00872C97" w:rsidRDefault="00CB4704" w:rsidP="00872C97">
            <w:pPr>
              <w:pStyle w:val="CETBodytext"/>
            </w:pPr>
            <w:r w:rsidRPr="00872C97">
              <w:rPr>
                <w:rFonts w:cs="Arial"/>
              </w:rPr>
              <w:t>∆</w:t>
            </w:r>
            <w:r w:rsidRPr="00872C97">
              <w:t>E</w:t>
            </w:r>
          </w:p>
        </w:tc>
      </w:tr>
      <w:tr w:rsidR="00C30E57" w:rsidRPr="00872C97" w14:paraId="16B52ADB" w14:textId="59D6171E" w:rsidTr="00175186">
        <w:trPr>
          <w:trHeight w:val="256"/>
        </w:trPr>
        <w:tc>
          <w:tcPr>
            <w:tcW w:w="1524" w:type="dxa"/>
            <w:shd w:val="clear" w:color="auto" w:fill="FFFFFF"/>
          </w:tcPr>
          <w:p w14:paraId="03F5491D" w14:textId="77777777" w:rsidR="00C30E57" w:rsidRPr="00872C97" w:rsidRDefault="00C30E57" w:rsidP="00872C97">
            <w:pPr>
              <w:pStyle w:val="CETBodytext"/>
            </w:pPr>
            <w:r w:rsidRPr="00872C97">
              <w:t>HPP-T0</w:t>
            </w:r>
          </w:p>
        </w:tc>
        <w:tc>
          <w:tcPr>
            <w:tcW w:w="1213" w:type="dxa"/>
            <w:shd w:val="clear" w:color="auto" w:fill="FFFFFF"/>
          </w:tcPr>
          <w:p w14:paraId="74028A31" w14:textId="77777777" w:rsidR="00C30E57" w:rsidRPr="00872C97" w:rsidRDefault="00C30E57" w:rsidP="00872C97">
            <w:pPr>
              <w:pStyle w:val="CETBodytext"/>
            </w:pPr>
          </w:p>
        </w:tc>
        <w:tc>
          <w:tcPr>
            <w:tcW w:w="1350" w:type="dxa"/>
            <w:shd w:val="clear" w:color="auto" w:fill="FFFFFF"/>
          </w:tcPr>
          <w:p w14:paraId="207C5D88" w14:textId="77777777" w:rsidR="00C30E57" w:rsidRPr="00872C97" w:rsidRDefault="00C30E57" w:rsidP="00872C97">
            <w:pPr>
              <w:pStyle w:val="CETBodytext"/>
            </w:pPr>
            <w:r w:rsidRPr="00872C97">
              <w:t xml:space="preserve">70.24 </w:t>
            </w:r>
            <w:r w:rsidRPr="00872C97">
              <w:rPr>
                <w:rFonts w:cs="Arial"/>
              </w:rPr>
              <w:t xml:space="preserve">± </w:t>
            </w:r>
            <w:r w:rsidRPr="00872C97">
              <w:t>0.44</w:t>
            </w:r>
          </w:p>
        </w:tc>
        <w:tc>
          <w:tcPr>
            <w:tcW w:w="1213" w:type="dxa"/>
            <w:shd w:val="clear" w:color="auto" w:fill="FFFFFF"/>
          </w:tcPr>
          <w:p w14:paraId="18DFC615" w14:textId="77777777" w:rsidR="00C30E57" w:rsidRPr="00872C97" w:rsidRDefault="00C30E57" w:rsidP="00872C97">
            <w:pPr>
              <w:pStyle w:val="CETBodytext"/>
            </w:pPr>
            <w:r w:rsidRPr="00872C97">
              <w:t xml:space="preserve">-0.59 </w:t>
            </w:r>
            <w:r w:rsidRPr="00872C97">
              <w:rPr>
                <w:rFonts w:cs="Arial"/>
              </w:rPr>
              <w:t xml:space="preserve">± </w:t>
            </w:r>
            <w:r w:rsidRPr="00872C97">
              <w:t>0.05</w:t>
            </w:r>
          </w:p>
        </w:tc>
        <w:tc>
          <w:tcPr>
            <w:tcW w:w="1213" w:type="dxa"/>
            <w:shd w:val="clear" w:color="auto" w:fill="FFFFFF"/>
          </w:tcPr>
          <w:p w14:paraId="4036F080" w14:textId="77777777" w:rsidR="00C30E57" w:rsidRPr="00872C97" w:rsidRDefault="00C30E57" w:rsidP="00872C97">
            <w:pPr>
              <w:pStyle w:val="CETBodytext"/>
            </w:pPr>
            <w:r w:rsidRPr="00872C97">
              <w:t xml:space="preserve">41.06 </w:t>
            </w:r>
            <w:r w:rsidRPr="00872C97">
              <w:rPr>
                <w:rFonts w:cs="Arial"/>
              </w:rPr>
              <w:t>± 0.30</w:t>
            </w:r>
          </w:p>
        </w:tc>
        <w:tc>
          <w:tcPr>
            <w:tcW w:w="1213" w:type="dxa"/>
            <w:vMerge w:val="restart"/>
            <w:shd w:val="clear" w:color="auto" w:fill="FFFFFF"/>
            <w:vAlign w:val="center"/>
          </w:tcPr>
          <w:p w14:paraId="0541B0D2" w14:textId="0CE5B5D9" w:rsidR="00C30E57" w:rsidRPr="00872C97" w:rsidRDefault="00C30E57" w:rsidP="00872C97">
            <w:pPr>
              <w:pStyle w:val="CETBodytext"/>
              <w:jc w:val="left"/>
            </w:pPr>
            <w:r w:rsidRPr="00872C97">
              <w:t>2.9414</w:t>
            </w:r>
          </w:p>
        </w:tc>
      </w:tr>
      <w:tr w:rsidR="00C30E57" w:rsidRPr="00872C97" w14:paraId="1B7CE767" w14:textId="44291060" w:rsidTr="00072CE4">
        <w:trPr>
          <w:trHeight w:val="256"/>
        </w:trPr>
        <w:tc>
          <w:tcPr>
            <w:tcW w:w="1524" w:type="dxa"/>
            <w:shd w:val="clear" w:color="auto" w:fill="FFFFFF"/>
          </w:tcPr>
          <w:p w14:paraId="3F39CA8E" w14:textId="361F814F" w:rsidR="00C30E57" w:rsidRPr="00872C97" w:rsidRDefault="00C30E57" w:rsidP="00872C97">
            <w:pPr>
              <w:pStyle w:val="CETBodytext"/>
            </w:pPr>
            <w:r w:rsidRPr="00872C97">
              <w:t>NoHPP-T0</w:t>
            </w:r>
          </w:p>
        </w:tc>
        <w:tc>
          <w:tcPr>
            <w:tcW w:w="1213" w:type="dxa"/>
            <w:shd w:val="clear" w:color="auto" w:fill="FFFFFF"/>
          </w:tcPr>
          <w:p w14:paraId="271C8FDD" w14:textId="77777777" w:rsidR="00C30E57" w:rsidRPr="00872C97" w:rsidRDefault="00C30E57" w:rsidP="00872C97">
            <w:pPr>
              <w:pStyle w:val="CETBodytext"/>
            </w:pPr>
          </w:p>
        </w:tc>
        <w:tc>
          <w:tcPr>
            <w:tcW w:w="1350" w:type="dxa"/>
            <w:shd w:val="clear" w:color="auto" w:fill="FFFFFF"/>
          </w:tcPr>
          <w:p w14:paraId="0DC7E8CE" w14:textId="71B0963A" w:rsidR="00C30E57" w:rsidRPr="00872C97" w:rsidRDefault="00C30E57" w:rsidP="00872C97">
            <w:pPr>
              <w:pStyle w:val="CETBodytext"/>
            </w:pPr>
            <w:r w:rsidRPr="00872C97">
              <w:t xml:space="preserve">73.09 </w:t>
            </w:r>
            <w:r w:rsidRPr="00872C97">
              <w:rPr>
                <w:rFonts w:cs="Arial"/>
              </w:rPr>
              <w:t xml:space="preserve">± </w:t>
            </w:r>
            <w:r w:rsidRPr="00872C97">
              <w:t>0.41</w:t>
            </w:r>
          </w:p>
        </w:tc>
        <w:tc>
          <w:tcPr>
            <w:tcW w:w="1213" w:type="dxa"/>
            <w:shd w:val="clear" w:color="auto" w:fill="FFFFFF"/>
          </w:tcPr>
          <w:p w14:paraId="72BBF663" w14:textId="1E8029CE" w:rsidR="00C30E57" w:rsidRPr="00872C97" w:rsidRDefault="00C30E57" w:rsidP="00872C97">
            <w:pPr>
              <w:pStyle w:val="CETBodytext"/>
            </w:pPr>
            <w:r w:rsidRPr="00872C97">
              <w:t xml:space="preserve">-1.03 </w:t>
            </w:r>
            <w:r w:rsidRPr="00872C97">
              <w:rPr>
                <w:rFonts w:cs="Arial"/>
              </w:rPr>
              <w:t>±</w:t>
            </w:r>
            <w:r w:rsidRPr="00872C97">
              <w:t xml:space="preserve"> 0.04</w:t>
            </w:r>
          </w:p>
        </w:tc>
        <w:tc>
          <w:tcPr>
            <w:tcW w:w="1213" w:type="dxa"/>
            <w:shd w:val="clear" w:color="auto" w:fill="FFFFFF"/>
          </w:tcPr>
          <w:p w14:paraId="76AB0F75" w14:textId="35D08BB1" w:rsidR="00C30E57" w:rsidRPr="00872C97" w:rsidRDefault="00C30E57" w:rsidP="00872C97">
            <w:pPr>
              <w:pStyle w:val="CETBodytext"/>
            </w:pPr>
            <w:r w:rsidRPr="00872C97">
              <w:t xml:space="preserve">41.64 </w:t>
            </w:r>
            <w:r w:rsidRPr="00872C97">
              <w:rPr>
                <w:rFonts w:cs="Arial"/>
              </w:rPr>
              <w:t>±</w:t>
            </w:r>
            <w:r w:rsidRPr="00872C97">
              <w:t xml:space="preserve"> 0.23</w:t>
            </w:r>
          </w:p>
        </w:tc>
        <w:tc>
          <w:tcPr>
            <w:tcW w:w="1213" w:type="dxa"/>
            <w:vMerge/>
            <w:shd w:val="clear" w:color="auto" w:fill="FFFFFF"/>
          </w:tcPr>
          <w:p w14:paraId="76661388" w14:textId="77777777" w:rsidR="00C30E57" w:rsidRPr="00872C97" w:rsidRDefault="00C30E57" w:rsidP="00872C97">
            <w:pPr>
              <w:pStyle w:val="CETBodytext"/>
            </w:pPr>
          </w:p>
        </w:tc>
      </w:tr>
      <w:tr w:rsidR="00CB4704" w:rsidRPr="00872C97" w14:paraId="49F8710A" w14:textId="45082E62" w:rsidTr="00175186">
        <w:trPr>
          <w:trHeight w:val="256"/>
        </w:trPr>
        <w:tc>
          <w:tcPr>
            <w:tcW w:w="1524" w:type="dxa"/>
            <w:shd w:val="clear" w:color="auto" w:fill="FFFFFF"/>
          </w:tcPr>
          <w:p w14:paraId="4469D36F" w14:textId="54B56BE3" w:rsidR="00CB4704" w:rsidRPr="00872C97" w:rsidRDefault="00CB4704" w:rsidP="00872C97">
            <w:pPr>
              <w:pStyle w:val="CETBodytext"/>
            </w:pPr>
            <w:r w:rsidRPr="00872C97">
              <w:t>Sig.</w:t>
            </w:r>
          </w:p>
        </w:tc>
        <w:tc>
          <w:tcPr>
            <w:tcW w:w="1213" w:type="dxa"/>
            <w:shd w:val="clear" w:color="auto" w:fill="FFFFFF"/>
          </w:tcPr>
          <w:p w14:paraId="2AE1202B" w14:textId="77777777" w:rsidR="00CB4704" w:rsidRPr="00872C97" w:rsidRDefault="00CB4704" w:rsidP="00872C97">
            <w:pPr>
              <w:pStyle w:val="CETBodytext"/>
            </w:pPr>
          </w:p>
        </w:tc>
        <w:tc>
          <w:tcPr>
            <w:tcW w:w="1350" w:type="dxa"/>
            <w:shd w:val="clear" w:color="auto" w:fill="FFFFFF"/>
          </w:tcPr>
          <w:p w14:paraId="199BD91B" w14:textId="51AB96AC" w:rsidR="00CB4704" w:rsidRPr="00872C97" w:rsidRDefault="00CB4704" w:rsidP="00872C97">
            <w:pPr>
              <w:pStyle w:val="CETBodytext"/>
            </w:pPr>
            <w:r w:rsidRPr="00872C97">
              <w:t>**</w:t>
            </w:r>
          </w:p>
        </w:tc>
        <w:tc>
          <w:tcPr>
            <w:tcW w:w="1213" w:type="dxa"/>
            <w:shd w:val="clear" w:color="auto" w:fill="FFFFFF"/>
          </w:tcPr>
          <w:p w14:paraId="7FBD334E" w14:textId="4B9C68E8" w:rsidR="00CB4704" w:rsidRPr="00872C97" w:rsidRDefault="00CB4704" w:rsidP="00872C97">
            <w:pPr>
              <w:pStyle w:val="CETBodytext"/>
            </w:pPr>
            <w:r w:rsidRPr="00872C97">
              <w:t>***</w:t>
            </w:r>
          </w:p>
        </w:tc>
        <w:tc>
          <w:tcPr>
            <w:tcW w:w="1213" w:type="dxa"/>
            <w:shd w:val="clear" w:color="auto" w:fill="FFFFFF"/>
          </w:tcPr>
          <w:p w14:paraId="262DE6B5" w14:textId="3ACDAAA2" w:rsidR="00CB4704" w:rsidRPr="00872C97" w:rsidRDefault="00CB4704" w:rsidP="00872C97">
            <w:pPr>
              <w:pStyle w:val="CETBodytext"/>
            </w:pPr>
            <w:r w:rsidRPr="00872C97">
              <w:t>n.s.</w:t>
            </w:r>
          </w:p>
        </w:tc>
        <w:tc>
          <w:tcPr>
            <w:tcW w:w="1213" w:type="dxa"/>
            <w:shd w:val="clear" w:color="auto" w:fill="FFFFFF"/>
          </w:tcPr>
          <w:p w14:paraId="65E847AE" w14:textId="77777777" w:rsidR="00CB4704" w:rsidRPr="00872C97" w:rsidRDefault="00CB4704" w:rsidP="00872C97">
            <w:pPr>
              <w:pStyle w:val="CETBodytext"/>
            </w:pPr>
          </w:p>
        </w:tc>
      </w:tr>
      <w:tr w:rsidR="00C30E57" w:rsidRPr="00872C97" w14:paraId="4EA145C9" w14:textId="1B12D580" w:rsidTr="00175186">
        <w:trPr>
          <w:trHeight w:val="256"/>
        </w:trPr>
        <w:tc>
          <w:tcPr>
            <w:tcW w:w="1524" w:type="dxa"/>
            <w:shd w:val="clear" w:color="auto" w:fill="FFFFFF"/>
          </w:tcPr>
          <w:p w14:paraId="21C6237A" w14:textId="202759C6" w:rsidR="00C30E57" w:rsidRPr="00872C97" w:rsidRDefault="00C30E57" w:rsidP="00872C97">
            <w:pPr>
              <w:pStyle w:val="CETBodytext"/>
            </w:pPr>
            <w:r w:rsidRPr="00872C97">
              <w:lastRenderedPageBreak/>
              <w:t>HPP-T7</w:t>
            </w:r>
          </w:p>
        </w:tc>
        <w:tc>
          <w:tcPr>
            <w:tcW w:w="1213" w:type="dxa"/>
            <w:shd w:val="clear" w:color="auto" w:fill="FFFFFF"/>
          </w:tcPr>
          <w:p w14:paraId="494BB69E" w14:textId="77777777" w:rsidR="00C30E57" w:rsidRPr="00872C97" w:rsidRDefault="00C30E57" w:rsidP="00872C97">
            <w:pPr>
              <w:pStyle w:val="CETBodytext"/>
            </w:pPr>
          </w:p>
        </w:tc>
        <w:tc>
          <w:tcPr>
            <w:tcW w:w="1350" w:type="dxa"/>
            <w:shd w:val="clear" w:color="auto" w:fill="FFFFFF"/>
          </w:tcPr>
          <w:p w14:paraId="78A9A72F" w14:textId="20ABC3D8" w:rsidR="00C30E57" w:rsidRPr="00872C97" w:rsidRDefault="00C30E57" w:rsidP="00872C97">
            <w:pPr>
              <w:pStyle w:val="CETBodytext"/>
            </w:pPr>
            <w:r w:rsidRPr="00872C97">
              <w:t xml:space="preserve">76.94 </w:t>
            </w:r>
            <w:r w:rsidRPr="00872C97">
              <w:rPr>
                <w:rFonts w:cs="Arial"/>
              </w:rPr>
              <w:t>±</w:t>
            </w:r>
            <w:r w:rsidRPr="00872C97">
              <w:t xml:space="preserve"> 0.15</w:t>
            </w:r>
          </w:p>
        </w:tc>
        <w:tc>
          <w:tcPr>
            <w:tcW w:w="1213" w:type="dxa"/>
            <w:shd w:val="clear" w:color="auto" w:fill="FFFFFF"/>
          </w:tcPr>
          <w:p w14:paraId="7EAF13EC" w14:textId="7884F0CF" w:rsidR="00C30E57" w:rsidRPr="00872C97" w:rsidRDefault="00C30E57" w:rsidP="00872C97">
            <w:pPr>
              <w:pStyle w:val="CETBodytext"/>
            </w:pPr>
            <w:r w:rsidRPr="00872C97">
              <w:t xml:space="preserve">-0.65 </w:t>
            </w:r>
            <w:r w:rsidRPr="00872C97">
              <w:rPr>
                <w:rFonts w:cs="Arial"/>
              </w:rPr>
              <w:t>±</w:t>
            </w:r>
            <w:r w:rsidRPr="00872C97">
              <w:t xml:space="preserve"> 0.09</w:t>
            </w:r>
          </w:p>
        </w:tc>
        <w:tc>
          <w:tcPr>
            <w:tcW w:w="1213" w:type="dxa"/>
            <w:shd w:val="clear" w:color="auto" w:fill="FFFFFF"/>
          </w:tcPr>
          <w:p w14:paraId="0EC5A03F" w14:textId="1F173002" w:rsidR="00C30E57" w:rsidRPr="00872C97" w:rsidRDefault="00C30E57" w:rsidP="00872C97">
            <w:pPr>
              <w:pStyle w:val="CETBodytext"/>
            </w:pPr>
            <w:r w:rsidRPr="00872C97">
              <w:t xml:space="preserve">36.80 </w:t>
            </w:r>
            <w:r w:rsidRPr="00872C97">
              <w:rPr>
                <w:rFonts w:cs="Arial"/>
              </w:rPr>
              <w:t>±</w:t>
            </w:r>
            <w:r w:rsidRPr="00872C97">
              <w:t xml:space="preserve"> 0.55</w:t>
            </w:r>
          </w:p>
        </w:tc>
        <w:tc>
          <w:tcPr>
            <w:tcW w:w="1213" w:type="dxa"/>
            <w:vMerge w:val="restart"/>
            <w:shd w:val="clear" w:color="auto" w:fill="FFFFFF"/>
            <w:vAlign w:val="center"/>
          </w:tcPr>
          <w:p w14:paraId="3C954992" w14:textId="400086B2" w:rsidR="00C30E57" w:rsidRPr="00872C97" w:rsidRDefault="00C30E57" w:rsidP="00872C97">
            <w:pPr>
              <w:pStyle w:val="CETBodytext"/>
              <w:jc w:val="left"/>
            </w:pPr>
            <w:r w:rsidRPr="00872C97">
              <w:t>5.537</w:t>
            </w:r>
          </w:p>
        </w:tc>
      </w:tr>
      <w:tr w:rsidR="00C30E57" w:rsidRPr="00872C97" w14:paraId="495F4912" w14:textId="4634371D" w:rsidTr="004E3251">
        <w:trPr>
          <w:trHeight w:val="256"/>
        </w:trPr>
        <w:tc>
          <w:tcPr>
            <w:tcW w:w="1524" w:type="dxa"/>
            <w:shd w:val="clear" w:color="auto" w:fill="FFFFFF"/>
          </w:tcPr>
          <w:p w14:paraId="1BFF1301" w14:textId="35796778" w:rsidR="00C30E57" w:rsidRPr="00872C97" w:rsidRDefault="00C30E57" w:rsidP="00872C97">
            <w:pPr>
              <w:pStyle w:val="CETBodytext"/>
            </w:pPr>
            <w:r w:rsidRPr="00872C97">
              <w:t>NoHPP-T7</w:t>
            </w:r>
          </w:p>
        </w:tc>
        <w:tc>
          <w:tcPr>
            <w:tcW w:w="1213" w:type="dxa"/>
            <w:shd w:val="clear" w:color="auto" w:fill="FFFFFF"/>
          </w:tcPr>
          <w:p w14:paraId="2388BED1" w14:textId="77777777" w:rsidR="00C30E57" w:rsidRPr="00872C97" w:rsidRDefault="00C30E57" w:rsidP="00872C97">
            <w:pPr>
              <w:pStyle w:val="CETBodytext"/>
            </w:pPr>
          </w:p>
        </w:tc>
        <w:tc>
          <w:tcPr>
            <w:tcW w:w="1350" w:type="dxa"/>
            <w:shd w:val="clear" w:color="auto" w:fill="FFFFFF"/>
          </w:tcPr>
          <w:p w14:paraId="500D2D45" w14:textId="0D832A7B" w:rsidR="00C30E57" w:rsidRPr="00872C97" w:rsidRDefault="00C30E57" w:rsidP="00872C97">
            <w:pPr>
              <w:pStyle w:val="CETBodytext"/>
            </w:pPr>
            <w:r w:rsidRPr="00872C97">
              <w:t xml:space="preserve">73.07 </w:t>
            </w:r>
            <w:r w:rsidRPr="00872C97">
              <w:rPr>
                <w:rFonts w:cs="Arial"/>
              </w:rPr>
              <w:t>±</w:t>
            </w:r>
            <w:r w:rsidRPr="00872C97">
              <w:t xml:space="preserve"> 0.17</w:t>
            </w:r>
          </w:p>
        </w:tc>
        <w:tc>
          <w:tcPr>
            <w:tcW w:w="1213" w:type="dxa"/>
            <w:shd w:val="clear" w:color="auto" w:fill="FFFFFF"/>
          </w:tcPr>
          <w:p w14:paraId="0AA98254" w14:textId="7C0179E3" w:rsidR="00C30E57" w:rsidRPr="00872C97" w:rsidRDefault="00C30E57" w:rsidP="00872C97">
            <w:pPr>
              <w:pStyle w:val="CETBodytext"/>
            </w:pPr>
            <w:r w:rsidRPr="00872C97">
              <w:t xml:space="preserve">-0.37 </w:t>
            </w:r>
            <w:r w:rsidRPr="00872C97">
              <w:rPr>
                <w:rFonts w:cs="Arial"/>
              </w:rPr>
              <w:t>±</w:t>
            </w:r>
            <w:r w:rsidRPr="00872C97">
              <w:t xml:space="preserve"> 0.04</w:t>
            </w:r>
          </w:p>
        </w:tc>
        <w:tc>
          <w:tcPr>
            <w:tcW w:w="1213" w:type="dxa"/>
            <w:shd w:val="clear" w:color="auto" w:fill="FFFFFF"/>
          </w:tcPr>
          <w:p w14:paraId="36ED5193" w14:textId="5FADE50F" w:rsidR="00C30E57" w:rsidRPr="00872C97" w:rsidRDefault="00C30E57" w:rsidP="00872C97">
            <w:pPr>
              <w:pStyle w:val="CETBodytext"/>
            </w:pPr>
            <w:r w:rsidRPr="00872C97">
              <w:t xml:space="preserve">40.75 </w:t>
            </w:r>
            <w:r w:rsidRPr="00872C97">
              <w:rPr>
                <w:rFonts w:cs="Arial"/>
              </w:rPr>
              <w:t>±</w:t>
            </w:r>
            <w:r w:rsidRPr="00872C97">
              <w:t xml:space="preserve"> 0.14</w:t>
            </w:r>
          </w:p>
        </w:tc>
        <w:tc>
          <w:tcPr>
            <w:tcW w:w="1213" w:type="dxa"/>
            <w:vMerge/>
            <w:shd w:val="clear" w:color="auto" w:fill="FFFFFF"/>
          </w:tcPr>
          <w:p w14:paraId="5C331B8A" w14:textId="77777777" w:rsidR="00C30E57" w:rsidRPr="00872C97" w:rsidRDefault="00C30E57" w:rsidP="00872C97">
            <w:pPr>
              <w:pStyle w:val="CETBodytext"/>
            </w:pPr>
          </w:p>
        </w:tc>
      </w:tr>
      <w:tr w:rsidR="00CB4704" w:rsidRPr="00872C97" w14:paraId="7192F460" w14:textId="2FB46C54" w:rsidTr="00175186">
        <w:trPr>
          <w:trHeight w:val="256"/>
        </w:trPr>
        <w:tc>
          <w:tcPr>
            <w:tcW w:w="1524" w:type="dxa"/>
            <w:shd w:val="clear" w:color="auto" w:fill="FFFFFF"/>
          </w:tcPr>
          <w:p w14:paraId="6CD551F9" w14:textId="34934C9F" w:rsidR="00CB4704" w:rsidRPr="00872C97" w:rsidRDefault="00CB4704" w:rsidP="00872C97">
            <w:pPr>
              <w:pStyle w:val="CETBodytext"/>
            </w:pPr>
            <w:r w:rsidRPr="00872C97">
              <w:t>Sig.</w:t>
            </w:r>
          </w:p>
        </w:tc>
        <w:tc>
          <w:tcPr>
            <w:tcW w:w="1213" w:type="dxa"/>
            <w:shd w:val="clear" w:color="auto" w:fill="FFFFFF"/>
          </w:tcPr>
          <w:p w14:paraId="4EB6AD53" w14:textId="77777777" w:rsidR="00CB4704" w:rsidRPr="00872C97" w:rsidRDefault="00CB4704" w:rsidP="00872C97">
            <w:pPr>
              <w:pStyle w:val="CETBodytext"/>
            </w:pPr>
          </w:p>
        </w:tc>
        <w:tc>
          <w:tcPr>
            <w:tcW w:w="1350" w:type="dxa"/>
            <w:shd w:val="clear" w:color="auto" w:fill="FFFFFF"/>
          </w:tcPr>
          <w:p w14:paraId="51242A55" w14:textId="10CF4674" w:rsidR="00CB4704" w:rsidRPr="00872C97" w:rsidRDefault="00CB4704" w:rsidP="00872C97">
            <w:pPr>
              <w:pStyle w:val="CETBodytext"/>
            </w:pPr>
            <w:r w:rsidRPr="00872C97">
              <w:t>***</w:t>
            </w:r>
          </w:p>
        </w:tc>
        <w:tc>
          <w:tcPr>
            <w:tcW w:w="1213" w:type="dxa"/>
            <w:shd w:val="clear" w:color="auto" w:fill="FFFFFF"/>
          </w:tcPr>
          <w:p w14:paraId="01801598" w14:textId="16DCFDBB" w:rsidR="00CB4704" w:rsidRPr="00872C97" w:rsidRDefault="00CB4704" w:rsidP="00872C97">
            <w:pPr>
              <w:pStyle w:val="CETBodytext"/>
            </w:pPr>
            <w:r w:rsidRPr="00872C97">
              <w:t>**</w:t>
            </w:r>
          </w:p>
        </w:tc>
        <w:tc>
          <w:tcPr>
            <w:tcW w:w="1213" w:type="dxa"/>
            <w:shd w:val="clear" w:color="auto" w:fill="FFFFFF"/>
          </w:tcPr>
          <w:p w14:paraId="213E641A" w14:textId="228F45B0" w:rsidR="00CB4704" w:rsidRPr="00872C97" w:rsidRDefault="00CB4704" w:rsidP="00872C97">
            <w:pPr>
              <w:pStyle w:val="CETBodytext"/>
            </w:pPr>
            <w:r w:rsidRPr="00872C97">
              <w:t>***</w:t>
            </w:r>
          </w:p>
        </w:tc>
        <w:tc>
          <w:tcPr>
            <w:tcW w:w="1213" w:type="dxa"/>
            <w:shd w:val="clear" w:color="auto" w:fill="FFFFFF"/>
          </w:tcPr>
          <w:p w14:paraId="37AC9B46" w14:textId="77777777" w:rsidR="00CB4704" w:rsidRPr="00872C97" w:rsidRDefault="00CB4704" w:rsidP="00872C97">
            <w:pPr>
              <w:pStyle w:val="CETBodytext"/>
            </w:pPr>
          </w:p>
        </w:tc>
      </w:tr>
      <w:tr w:rsidR="00C30E57" w:rsidRPr="00872C97" w14:paraId="2183595E" w14:textId="73CD8E37" w:rsidTr="00175186">
        <w:trPr>
          <w:trHeight w:val="256"/>
        </w:trPr>
        <w:tc>
          <w:tcPr>
            <w:tcW w:w="1524" w:type="dxa"/>
            <w:shd w:val="clear" w:color="auto" w:fill="FFFFFF"/>
          </w:tcPr>
          <w:p w14:paraId="67831B1E" w14:textId="5B996D60" w:rsidR="00C30E57" w:rsidRPr="00872C97" w:rsidRDefault="00C30E57" w:rsidP="00872C97">
            <w:pPr>
              <w:pStyle w:val="CETBodytext"/>
            </w:pPr>
            <w:r w:rsidRPr="00872C97">
              <w:t>HPP-T15</w:t>
            </w:r>
          </w:p>
        </w:tc>
        <w:tc>
          <w:tcPr>
            <w:tcW w:w="1213" w:type="dxa"/>
            <w:shd w:val="clear" w:color="auto" w:fill="FFFFFF"/>
          </w:tcPr>
          <w:p w14:paraId="2BB43719" w14:textId="77777777" w:rsidR="00C30E57" w:rsidRPr="00872C97" w:rsidRDefault="00C30E57" w:rsidP="00872C97">
            <w:pPr>
              <w:pStyle w:val="CETBodytext"/>
            </w:pPr>
          </w:p>
        </w:tc>
        <w:tc>
          <w:tcPr>
            <w:tcW w:w="1350" w:type="dxa"/>
            <w:shd w:val="clear" w:color="auto" w:fill="FFFFFF"/>
          </w:tcPr>
          <w:p w14:paraId="3BB294D2" w14:textId="2805F45D" w:rsidR="00C30E57" w:rsidRPr="00872C97" w:rsidRDefault="00C30E57" w:rsidP="00872C97">
            <w:pPr>
              <w:pStyle w:val="CETBodytext"/>
            </w:pPr>
            <w:r w:rsidRPr="00872C97">
              <w:t xml:space="preserve">74.04 </w:t>
            </w:r>
            <w:r w:rsidRPr="00872C97">
              <w:rPr>
                <w:rFonts w:cs="Arial"/>
              </w:rPr>
              <w:t>±</w:t>
            </w:r>
            <w:r w:rsidRPr="00872C97">
              <w:t xml:space="preserve"> 0.40</w:t>
            </w:r>
          </w:p>
        </w:tc>
        <w:tc>
          <w:tcPr>
            <w:tcW w:w="1213" w:type="dxa"/>
            <w:shd w:val="clear" w:color="auto" w:fill="FFFFFF"/>
          </w:tcPr>
          <w:p w14:paraId="30A0E3DC" w14:textId="077C4A43" w:rsidR="00C30E57" w:rsidRPr="00872C97" w:rsidRDefault="00C30E57" w:rsidP="00872C97">
            <w:pPr>
              <w:pStyle w:val="CETBodytext"/>
            </w:pPr>
            <w:r w:rsidRPr="00872C97">
              <w:t xml:space="preserve">-0.26 </w:t>
            </w:r>
            <w:r w:rsidRPr="00872C97">
              <w:rPr>
                <w:rFonts w:cs="Arial"/>
              </w:rPr>
              <w:t>±</w:t>
            </w:r>
            <w:r w:rsidRPr="00872C97">
              <w:t xml:space="preserve"> 0.02</w:t>
            </w:r>
          </w:p>
        </w:tc>
        <w:tc>
          <w:tcPr>
            <w:tcW w:w="1213" w:type="dxa"/>
            <w:shd w:val="clear" w:color="auto" w:fill="FFFFFF"/>
          </w:tcPr>
          <w:p w14:paraId="19AD1ECD" w14:textId="4639A1D7" w:rsidR="00C30E57" w:rsidRPr="00872C97" w:rsidRDefault="00C30E57" w:rsidP="00872C97">
            <w:pPr>
              <w:pStyle w:val="CETBodytext"/>
            </w:pPr>
            <w:r w:rsidRPr="00872C97">
              <w:t xml:space="preserve">39.31 </w:t>
            </w:r>
            <w:r w:rsidRPr="00872C97">
              <w:rPr>
                <w:rFonts w:cs="Arial"/>
              </w:rPr>
              <w:t>±</w:t>
            </w:r>
            <w:r w:rsidRPr="00872C97">
              <w:t xml:space="preserve"> 0.26</w:t>
            </w:r>
          </w:p>
        </w:tc>
        <w:tc>
          <w:tcPr>
            <w:tcW w:w="1213" w:type="dxa"/>
            <w:vMerge w:val="restart"/>
            <w:shd w:val="clear" w:color="auto" w:fill="FFFFFF"/>
            <w:vAlign w:val="center"/>
          </w:tcPr>
          <w:p w14:paraId="2FD5C041" w14:textId="71535070" w:rsidR="00C30E57" w:rsidRPr="00872C97" w:rsidRDefault="00C30E57" w:rsidP="00872C97">
            <w:pPr>
              <w:pStyle w:val="CETBodytext"/>
              <w:jc w:val="left"/>
            </w:pPr>
            <w:r w:rsidRPr="00872C97">
              <w:t>2.9323</w:t>
            </w:r>
          </w:p>
        </w:tc>
      </w:tr>
      <w:tr w:rsidR="00C30E57" w:rsidRPr="00872C97" w14:paraId="252E344F" w14:textId="363D4339" w:rsidTr="00027ADC">
        <w:trPr>
          <w:trHeight w:val="256"/>
        </w:trPr>
        <w:tc>
          <w:tcPr>
            <w:tcW w:w="1524" w:type="dxa"/>
            <w:shd w:val="clear" w:color="auto" w:fill="FFFFFF"/>
          </w:tcPr>
          <w:p w14:paraId="47083C25" w14:textId="77777777" w:rsidR="00C30E57" w:rsidRPr="00872C97" w:rsidRDefault="00C30E57" w:rsidP="00872C97">
            <w:pPr>
              <w:pStyle w:val="CETBodytext"/>
            </w:pPr>
            <w:r w:rsidRPr="00872C97">
              <w:t>NoHPP-T15</w:t>
            </w:r>
          </w:p>
        </w:tc>
        <w:tc>
          <w:tcPr>
            <w:tcW w:w="1213" w:type="dxa"/>
            <w:shd w:val="clear" w:color="auto" w:fill="FFFFFF"/>
          </w:tcPr>
          <w:p w14:paraId="21F83ED8" w14:textId="77777777" w:rsidR="00C30E57" w:rsidRPr="00872C97" w:rsidRDefault="00C30E57" w:rsidP="00872C97">
            <w:pPr>
              <w:pStyle w:val="CETBodytext"/>
            </w:pPr>
          </w:p>
        </w:tc>
        <w:tc>
          <w:tcPr>
            <w:tcW w:w="1350" w:type="dxa"/>
            <w:shd w:val="clear" w:color="auto" w:fill="FFFFFF"/>
          </w:tcPr>
          <w:p w14:paraId="4B8FB16B" w14:textId="77777777" w:rsidR="00C30E57" w:rsidRPr="00872C97" w:rsidRDefault="00C30E57" w:rsidP="00872C97">
            <w:pPr>
              <w:pStyle w:val="CETBodytext"/>
            </w:pPr>
            <w:r w:rsidRPr="00872C97">
              <w:t xml:space="preserve">74.39 </w:t>
            </w:r>
            <w:r w:rsidRPr="00872C97">
              <w:rPr>
                <w:rFonts w:cs="Arial"/>
              </w:rPr>
              <w:t>±</w:t>
            </w:r>
            <w:r w:rsidRPr="00872C97">
              <w:t xml:space="preserve"> 0.21</w:t>
            </w:r>
          </w:p>
        </w:tc>
        <w:tc>
          <w:tcPr>
            <w:tcW w:w="1213" w:type="dxa"/>
            <w:shd w:val="clear" w:color="auto" w:fill="FFFFFF"/>
          </w:tcPr>
          <w:p w14:paraId="39D326B5" w14:textId="77777777" w:rsidR="00C30E57" w:rsidRPr="00872C97" w:rsidRDefault="00C30E57" w:rsidP="00872C97">
            <w:pPr>
              <w:pStyle w:val="CETBodytext"/>
            </w:pPr>
            <w:r w:rsidRPr="00872C97">
              <w:t xml:space="preserve">-1.10 </w:t>
            </w:r>
            <w:r w:rsidRPr="00872C97">
              <w:rPr>
                <w:rFonts w:cs="Arial"/>
              </w:rPr>
              <w:t>±</w:t>
            </w:r>
            <w:r w:rsidRPr="00872C97">
              <w:t xml:space="preserve"> 0.29</w:t>
            </w:r>
          </w:p>
        </w:tc>
        <w:tc>
          <w:tcPr>
            <w:tcW w:w="1213" w:type="dxa"/>
            <w:shd w:val="clear" w:color="auto" w:fill="FFFFFF"/>
          </w:tcPr>
          <w:p w14:paraId="0B8FC2BB" w14:textId="77777777" w:rsidR="00C30E57" w:rsidRPr="00872C97" w:rsidRDefault="00C30E57" w:rsidP="00872C97">
            <w:pPr>
              <w:pStyle w:val="CETBodytext"/>
            </w:pPr>
            <w:r w:rsidRPr="00872C97">
              <w:t xml:space="preserve">42.10 </w:t>
            </w:r>
            <w:r w:rsidRPr="00872C97">
              <w:rPr>
                <w:rFonts w:cs="Arial"/>
              </w:rPr>
              <w:t>± 0.27</w:t>
            </w:r>
          </w:p>
        </w:tc>
        <w:tc>
          <w:tcPr>
            <w:tcW w:w="1213" w:type="dxa"/>
            <w:vMerge/>
            <w:shd w:val="clear" w:color="auto" w:fill="FFFFFF"/>
          </w:tcPr>
          <w:p w14:paraId="6748B1BA" w14:textId="77777777" w:rsidR="00C30E57" w:rsidRPr="00872C97" w:rsidRDefault="00C30E57" w:rsidP="00872C97">
            <w:pPr>
              <w:pStyle w:val="CETBodytext"/>
            </w:pPr>
          </w:p>
        </w:tc>
      </w:tr>
      <w:tr w:rsidR="00CB4704" w:rsidRPr="00872C97" w14:paraId="2633100F" w14:textId="6AD72C78" w:rsidTr="00175186">
        <w:trPr>
          <w:trHeight w:val="256"/>
        </w:trPr>
        <w:tc>
          <w:tcPr>
            <w:tcW w:w="1524" w:type="dxa"/>
            <w:shd w:val="clear" w:color="auto" w:fill="FFFFFF"/>
          </w:tcPr>
          <w:p w14:paraId="57EDF5C5" w14:textId="114FFC8F" w:rsidR="00CB4704" w:rsidRPr="00872C97" w:rsidRDefault="00CB4704" w:rsidP="00872C97">
            <w:pPr>
              <w:pStyle w:val="CETBodytext"/>
            </w:pPr>
            <w:r w:rsidRPr="00872C97">
              <w:t>Sig.</w:t>
            </w:r>
          </w:p>
        </w:tc>
        <w:tc>
          <w:tcPr>
            <w:tcW w:w="1213" w:type="dxa"/>
            <w:shd w:val="clear" w:color="auto" w:fill="FFFFFF"/>
          </w:tcPr>
          <w:p w14:paraId="5EFA6ECA" w14:textId="77777777" w:rsidR="00CB4704" w:rsidRPr="00872C97" w:rsidRDefault="00CB4704" w:rsidP="00872C97">
            <w:pPr>
              <w:pStyle w:val="CETBodytext"/>
            </w:pPr>
          </w:p>
        </w:tc>
        <w:tc>
          <w:tcPr>
            <w:tcW w:w="1350" w:type="dxa"/>
            <w:shd w:val="clear" w:color="auto" w:fill="FFFFFF"/>
          </w:tcPr>
          <w:p w14:paraId="48792E9F" w14:textId="091B1A25" w:rsidR="00CB4704" w:rsidRPr="00872C97" w:rsidRDefault="00CB4704" w:rsidP="00872C97">
            <w:pPr>
              <w:pStyle w:val="CETBodytext"/>
            </w:pPr>
            <w:r w:rsidRPr="00872C97">
              <w:t>n.s.</w:t>
            </w:r>
          </w:p>
        </w:tc>
        <w:tc>
          <w:tcPr>
            <w:tcW w:w="1213" w:type="dxa"/>
            <w:shd w:val="clear" w:color="auto" w:fill="FFFFFF"/>
          </w:tcPr>
          <w:p w14:paraId="1B568491" w14:textId="2FB42896" w:rsidR="00CB4704" w:rsidRPr="00872C97" w:rsidRDefault="00CB4704" w:rsidP="00872C97">
            <w:pPr>
              <w:pStyle w:val="CETBodytext"/>
            </w:pPr>
            <w:r w:rsidRPr="00872C97">
              <w:t>**</w:t>
            </w:r>
          </w:p>
        </w:tc>
        <w:tc>
          <w:tcPr>
            <w:tcW w:w="1213" w:type="dxa"/>
            <w:shd w:val="clear" w:color="auto" w:fill="FFFFFF"/>
          </w:tcPr>
          <w:p w14:paraId="6555C352" w14:textId="34489720" w:rsidR="00CB4704" w:rsidRPr="00872C97" w:rsidRDefault="00CB4704" w:rsidP="00872C97">
            <w:pPr>
              <w:pStyle w:val="CETBodytext"/>
            </w:pPr>
            <w:r w:rsidRPr="00872C97">
              <w:t>***</w:t>
            </w:r>
          </w:p>
        </w:tc>
        <w:tc>
          <w:tcPr>
            <w:tcW w:w="1213" w:type="dxa"/>
            <w:shd w:val="clear" w:color="auto" w:fill="FFFFFF"/>
          </w:tcPr>
          <w:p w14:paraId="5BD1FA1E" w14:textId="77777777" w:rsidR="00CB4704" w:rsidRPr="00872C97" w:rsidRDefault="00CB4704" w:rsidP="00872C97">
            <w:pPr>
              <w:pStyle w:val="CETBodytext"/>
            </w:pPr>
          </w:p>
        </w:tc>
      </w:tr>
    </w:tbl>
    <w:p w14:paraId="7233FDB3" w14:textId="77777777" w:rsidR="00D02351" w:rsidRPr="00872C97" w:rsidRDefault="00D02351" w:rsidP="00872C97">
      <w:pPr>
        <w:pStyle w:val="CETheadingx"/>
        <w:numPr>
          <w:ilvl w:val="0"/>
          <w:numId w:val="0"/>
        </w:numPr>
        <w:rPr>
          <w:b w:val="0"/>
          <w:bCs/>
        </w:rPr>
      </w:pPr>
      <w:r w:rsidRPr="00872C97">
        <w:rPr>
          <w:rFonts w:cs="Arial"/>
          <w:b w:val="0"/>
          <w:bCs/>
          <w:sz w:val="16"/>
          <w:szCs w:val="18"/>
        </w:rPr>
        <w:t>Anova F test significativity: * = 0.01 ≤ p value &lt; 0.05, ** = 0.001 ≤ p value &lt; 0. 01, *** = p value &lt; 0.001</w:t>
      </w:r>
    </w:p>
    <w:p w14:paraId="0F454A7F" w14:textId="0EC91DFD" w:rsidR="00CA7835" w:rsidRPr="00872C97" w:rsidRDefault="00CA7835" w:rsidP="00872C97">
      <w:pPr>
        <w:pStyle w:val="CETheadingx"/>
      </w:pPr>
      <w:r w:rsidRPr="00872C97">
        <w:t>Sensory Analysis</w:t>
      </w:r>
    </w:p>
    <w:p w14:paraId="6F66A1AB" w14:textId="752C1EDB" w:rsidR="0001306E" w:rsidRPr="00872C97" w:rsidRDefault="00321DE7" w:rsidP="00872C97">
      <w:pPr>
        <w:pStyle w:val="CETBodytext"/>
        <w:rPr>
          <w:lang w:val="en"/>
        </w:rPr>
      </w:pPr>
      <w:r w:rsidRPr="00872C97">
        <w:rPr>
          <w:lang w:val="en-GB"/>
        </w:rPr>
        <w:t>The Duo-Trio test revealed no perceivable differences between treated and untreated samples (13/20 correct answers, p&gt;0.05), confirming HPP treatment doesn't affect sensory perception. Overall evaluations were comparable: 56/80 (NoHPP) vs 57.65/80 (HPP). HPP samples scored higher for appearance, melting rate, fresh sensation, and absence of off-flavours. The spider plot displays</w:t>
      </w:r>
      <w:r w:rsidR="007C29D8" w:rsidRPr="00872C97">
        <w:rPr>
          <w:lang w:val="en-GB"/>
        </w:rPr>
        <w:t xml:space="preserve"> the means of data collected during the sensory</w:t>
      </w:r>
      <w:r w:rsidR="00366B01">
        <w:rPr>
          <w:lang w:val="en-GB"/>
        </w:rPr>
        <w:t xml:space="preserve"> test</w:t>
      </w:r>
      <w:r w:rsidR="007C29D8" w:rsidRPr="00872C97">
        <w:rPr>
          <w:lang w:val="en-GB"/>
        </w:rPr>
        <w:t>.</w:t>
      </w:r>
    </w:p>
    <w:p w14:paraId="573EC261" w14:textId="7A3D20B5" w:rsidR="00764D97" w:rsidRPr="00872C97" w:rsidRDefault="00764D97" w:rsidP="00872C97">
      <w:pPr>
        <w:pStyle w:val="CETBodytext"/>
        <w:rPr>
          <w:lang w:val="en"/>
        </w:rPr>
      </w:pPr>
      <w:r w:rsidRPr="00872C97">
        <w:rPr>
          <w:noProof/>
          <w:lang w:val="it-IT" w:eastAsia="it-IT"/>
        </w:rPr>
        <w:drawing>
          <wp:inline distT="0" distB="0" distL="0" distR="0" wp14:anchorId="6BBB42D0" wp14:editId="7AA53424">
            <wp:extent cx="2305050" cy="1536700"/>
            <wp:effectExtent l="0" t="0" r="0" b="6350"/>
            <wp:docPr id="5172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5360" t="16544" r="20550" b="9314"/>
                    <a:stretch/>
                  </pic:blipFill>
                  <pic:spPr bwMode="auto">
                    <a:xfrm>
                      <a:off x="0" y="0"/>
                      <a:ext cx="2305050" cy="1536700"/>
                    </a:xfrm>
                    <a:prstGeom prst="rect">
                      <a:avLst/>
                    </a:prstGeom>
                    <a:noFill/>
                    <a:ln>
                      <a:noFill/>
                    </a:ln>
                    <a:extLst>
                      <a:ext uri="{53640926-AAD7-44D8-BBD7-CCE9431645EC}">
                        <a14:shadowObscured xmlns:a14="http://schemas.microsoft.com/office/drawing/2010/main"/>
                      </a:ext>
                    </a:extLst>
                  </pic:spPr>
                </pic:pic>
              </a:graphicData>
            </a:graphic>
          </wp:inline>
        </w:drawing>
      </w:r>
    </w:p>
    <w:p w14:paraId="548C2E9F" w14:textId="161CC74D" w:rsidR="009E0125" w:rsidRPr="00872C97" w:rsidRDefault="009E0125" w:rsidP="00872C97">
      <w:pPr>
        <w:pStyle w:val="CETBodytext"/>
        <w:rPr>
          <w:lang w:val="en-GB"/>
        </w:rPr>
      </w:pPr>
    </w:p>
    <w:p w14:paraId="3B3A06DB" w14:textId="0D328FC8" w:rsidR="00C814DE" w:rsidRPr="00872C97" w:rsidRDefault="00C814DE" w:rsidP="00872C97">
      <w:pPr>
        <w:pStyle w:val="CETBodytext"/>
        <w:rPr>
          <w:i/>
          <w:iCs/>
        </w:rPr>
      </w:pPr>
      <w:r w:rsidRPr="00872C97">
        <w:rPr>
          <w:i/>
          <w:iCs/>
        </w:rPr>
        <w:t xml:space="preserve">Figure 1: Spider plot related to the sensory descriptive analysis performed through 8 attributes (appearance, melting, sandiness, cold sensation, sweetness, taste intensity, taste </w:t>
      </w:r>
      <w:r w:rsidR="00DF7D18" w:rsidRPr="00872C97">
        <w:rPr>
          <w:i/>
          <w:iCs/>
        </w:rPr>
        <w:t>persistence</w:t>
      </w:r>
      <w:r w:rsidRPr="00872C97">
        <w:rPr>
          <w:i/>
          <w:iCs/>
        </w:rPr>
        <w:t xml:space="preserve"> and presence of off-flavour.</w:t>
      </w:r>
    </w:p>
    <w:p w14:paraId="68D26B83" w14:textId="77777777" w:rsidR="00600535" w:rsidRPr="00872C97" w:rsidRDefault="00600535" w:rsidP="00872C97">
      <w:pPr>
        <w:pStyle w:val="CETHeading1"/>
        <w:rPr>
          <w:lang w:val="en-GB"/>
        </w:rPr>
      </w:pPr>
      <w:r w:rsidRPr="00872C97">
        <w:rPr>
          <w:lang w:val="en-GB"/>
        </w:rPr>
        <w:t>Conclusions</w:t>
      </w:r>
    </w:p>
    <w:p w14:paraId="6BC32593" w14:textId="7F560D52" w:rsidR="00742743" w:rsidRPr="00872C97" w:rsidRDefault="00F5309A" w:rsidP="00872C97">
      <w:pPr>
        <w:pStyle w:val="CETBodytext"/>
        <w:rPr>
          <w:lang w:val="en-GB"/>
        </w:rPr>
      </w:pPr>
      <w:r w:rsidRPr="00872C97">
        <w:t xml:space="preserve">The application of </w:t>
      </w:r>
      <w:r w:rsidR="00C10FE9" w:rsidRPr="00872C97">
        <w:t xml:space="preserve">HPP treatment </w:t>
      </w:r>
      <w:r w:rsidR="00853785" w:rsidRPr="00872C97">
        <w:t>enhanced the microbiological quality of mango gelato mixtures. Specifically, the HPP trial exhibited a complete absence of undesired populations, in contrast to the NoHPP trial</w:t>
      </w:r>
      <w:r w:rsidRPr="00872C97">
        <w:rPr>
          <w:lang w:val="en-GB"/>
        </w:rPr>
        <w:t xml:space="preserve">, while </w:t>
      </w:r>
      <w:r w:rsidR="00A43774" w:rsidRPr="00872C97">
        <w:rPr>
          <w:lang w:val="en-GB"/>
        </w:rPr>
        <w:t xml:space="preserve">showed a slight decrease </w:t>
      </w:r>
      <w:r w:rsidRPr="00872C97">
        <w:rPr>
          <w:lang w:val="en-GB"/>
        </w:rPr>
        <w:t>of terpenes compounds in the long</w:t>
      </w:r>
      <w:r w:rsidR="00EC4B97" w:rsidRPr="00872C97">
        <w:rPr>
          <w:lang w:val="en-GB"/>
        </w:rPr>
        <w:t>-</w:t>
      </w:r>
      <w:r w:rsidRPr="00872C97">
        <w:rPr>
          <w:lang w:val="en-GB"/>
        </w:rPr>
        <w:t>term conservation</w:t>
      </w:r>
      <w:r w:rsidR="003266FB" w:rsidRPr="00872C97">
        <w:rPr>
          <w:lang w:val="en-GB"/>
        </w:rPr>
        <w:t>, controlling the concentration of acetic acid</w:t>
      </w:r>
      <w:r w:rsidR="00570A70" w:rsidRPr="00872C97">
        <w:rPr>
          <w:lang w:val="en-GB"/>
        </w:rPr>
        <w:t xml:space="preserve"> and maintaining the overall acceptance of final product.</w:t>
      </w:r>
      <w:r w:rsidR="00E15568" w:rsidRPr="00872C97">
        <w:rPr>
          <w:lang w:val="en-GB"/>
        </w:rPr>
        <w:t xml:space="preserve"> </w:t>
      </w:r>
      <w:r w:rsidR="00742743" w:rsidRPr="00872C97">
        <w:rPr>
          <w:lang w:val="en-GB"/>
        </w:rPr>
        <w:t>In general, it</w:t>
      </w:r>
      <w:r w:rsidR="00A43774" w:rsidRPr="00872C97">
        <w:rPr>
          <w:lang w:val="en-GB"/>
        </w:rPr>
        <w:t xml:space="preserve"> i</w:t>
      </w:r>
      <w:r w:rsidR="00742743" w:rsidRPr="00872C97">
        <w:rPr>
          <w:lang w:val="en-GB"/>
        </w:rPr>
        <w:t>s possible to consider HPP as a</w:t>
      </w:r>
      <w:r w:rsidR="00A43774" w:rsidRPr="00872C97">
        <w:rPr>
          <w:lang w:val="en-GB"/>
        </w:rPr>
        <w:t>n innovative</w:t>
      </w:r>
      <w:r w:rsidR="00742743" w:rsidRPr="00872C97">
        <w:rPr>
          <w:lang w:val="en-GB"/>
        </w:rPr>
        <w:t xml:space="preserve"> method to prolong </w:t>
      </w:r>
      <w:r w:rsidR="00A43774" w:rsidRPr="00872C97">
        <w:rPr>
          <w:lang w:val="en-GB"/>
        </w:rPr>
        <w:t xml:space="preserve">the </w:t>
      </w:r>
      <w:r w:rsidR="00742743" w:rsidRPr="00872C97">
        <w:rPr>
          <w:lang w:val="en-GB"/>
        </w:rPr>
        <w:t xml:space="preserve">shelf life of mango gelato mixture </w:t>
      </w:r>
      <w:r w:rsidR="001A7995" w:rsidRPr="00872C97">
        <w:rPr>
          <w:lang w:val="en-GB"/>
        </w:rPr>
        <w:t xml:space="preserve">up to 15 days of cold storage at positive temperature, </w:t>
      </w:r>
      <w:r w:rsidR="00742743" w:rsidRPr="00872C97">
        <w:rPr>
          <w:lang w:val="en-GB"/>
        </w:rPr>
        <w:t>without affecting the overall quality of the product.</w:t>
      </w:r>
      <w:r w:rsidR="001A7995" w:rsidRPr="00872C97">
        <w:rPr>
          <w:lang w:val="en-GB"/>
        </w:rPr>
        <w:t xml:space="preserve"> </w:t>
      </w:r>
    </w:p>
    <w:bookmarkEnd w:id="0"/>
    <w:p w14:paraId="57969273" w14:textId="72F5E35D" w:rsidR="00CA7835" w:rsidRPr="00872C97" w:rsidRDefault="00600535" w:rsidP="00872C97">
      <w:pPr>
        <w:pStyle w:val="CETReference"/>
      </w:pPr>
      <w:r w:rsidRPr="00872C97">
        <w:t>References</w:t>
      </w:r>
    </w:p>
    <w:p w14:paraId="0B89F6D4" w14:textId="2EE573E7" w:rsidR="00970CA2" w:rsidRPr="00872C97" w:rsidRDefault="00970CA2" w:rsidP="00872C97">
      <w:pPr>
        <w:pStyle w:val="CETReferencetext"/>
      </w:pPr>
      <w:r w:rsidRPr="00872C97">
        <w:t>Adjou, E. S., René, D., Edwige, D. A., &amp; Soumanou, M. M. (2017). Chemical composition and biological activity of essential oil from Mentha Piperita L. leaves on the quality of Mango puree during storage. The Journal of Microbiology, Biotechnology and Food Sciences, 7(2), 97.</w:t>
      </w:r>
    </w:p>
    <w:p w14:paraId="30AF5C68" w14:textId="74CD8591" w:rsidR="00970CA2" w:rsidRPr="00872C97" w:rsidRDefault="00970CA2" w:rsidP="00872C97">
      <w:pPr>
        <w:pStyle w:val="CETReferencetext"/>
      </w:pPr>
      <w:r w:rsidRPr="00872C97">
        <w:t>Azad, Z. A. A., Ahmad, M. F., &amp; Siddiqui, W. A. (2019). Food spoilage and food contamination. Health and safety aspects of food processing technologies, 9-28.</w:t>
      </w:r>
    </w:p>
    <w:p w14:paraId="467D36EB" w14:textId="3945F345" w:rsidR="00CA7835" w:rsidRPr="00872C97" w:rsidRDefault="00CA7835" w:rsidP="00872C97">
      <w:pPr>
        <w:pStyle w:val="CETReferencetext"/>
      </w:pPr>
      <w:r w:rsidRPr="00872C97">
        <w:t>Bahram-Parvar, M. (2015). A review of modern instrumental techniques for measurements of ice cream characteristics. Food Chemistry, 188, 625–631.</w:t>
      </w:r>
    </w:p>
    <w:p w14:paraId="1800DB21" w14:textId="77777777" w:rsidR="00970CA2" w:rsidRPr="00872C97" w:rsidRDefault="00970CA2" w:rsidP="00872C97">
      <w:pPr>
        <w:pStyle w:val="CETReferencetext"/>
      </w:pPr>
      <w:r w:rsidRPr="00872C97">
        <w:t>Barbosa, J. R., da Silva, S. B., da Silva Martins, L. H., Bezerra, F. W. F., Freitas, L. C., Ferreira, M. C. R., &amp; de Carvalho Junior, R. N. (2021). Microbial degradation of food products. Recent Advances in Microbial Degradation, 155-172.</w:t>
      </w:r>
    </w:p>
    <w:p w14:paraId="29E225AE" w14:textId="17E6AE32" w:rsidR="00970CA2" w:rsidRPr="00872C97" w:rsidRDefault="00970CA2" w:rsidP="00872C97">
      <w:pPr>
        <w:pStyle w:val="CETReferencetext"/>
        <w:rPr>
          <w:lang w:val="it-IT"/>
        </w:rPr>
      </w:pPr>
      <w:r w:rsidRPr="00872C97">
        <w:t xml:space="preserve">Commission Regulation (EC) No 2073/2005 of 15 November 2005 on microbiological criteria for foodstuffs. </w:t>
      </w:r>
      <w:r w:rsidRPr="00872C97">
        <w:rPr>
          <w:lang w:val="it-IT"/>
        </w:rPr>
        <w:t xml:space="preserve">Off. J. Eur. Union 2005, 338, 1–26. </w:t>
      </w:r>
    </w:p>
    <w:p w14:paraId="4CB0B9D9" w14:textId="4B9261CD" w:rsidR="00CA7835" w:rsidRPr="00872C97" w:rsidRDefault="00CA7835" w:rsidP="00872C97">
      <w:pPr>
        <w:pStyle w:val="CETReferencetext"/>
      </w:pPr>
      <w:r w:rsidRPr="00872C97">
        <w:rPr>
          <w:lang w:val="it-IT"/>
        </w:rPr>
        <w:t xml:space="preserve">Condurso, C., Verzera, A., Romeo, V., Ziino, M., &amp; Conte, F. (2008). </w:t>
      </w:r>
      <w:r w:rsidRPr="00872C97">
        <w:t>Solid-phase microextraction and gas chromatography mass spectrometry analysis of dairy product volatiles for the determination of shelf-life. International Dairy Journal, 18(8), 819–825</w:t>
      </w:r>
    </w:p>
    <w:p w14:paraId="37BB914B" w14:textId="5F2D084C" w:rsidR="00774FF0" w:rsidRPr="00872C97" w:rsidRDefault="00774FF0" w:rsidP="00872C97">
      <w:pPr>
        <w:widowControl w:val="0"/>
        <w:autoSpaceDE w:val="0"/>
        <w:autoSpaceDN w:val="0"/>
        <w:adjustRightInd w:val="0"/>
        <w:spacing w:line="240" w:lineRule="auto"/>
        <w:ind w:left="480" w:hanging="480"/>
        <w:rPr>
          <w:rFonts w:cs="Arial"/>
          <w:noProof/>
        </w:rPr>
      </w:pPr>
      <w:r w:rsidRPr="00872C97">
        <w:rPr>
          <w:rFonts w:cs="Arial"/>
          <w:noProof/>
        </w:rPr>
        <w:t xml:space="preserve">Contreras, C., &amp; Beaudry, R. (2013). Lipoxygenase-associated apple volatiles and their relationship with aroma perception during ripening. </w:t>
      </w:r>
      <w:r w:rsidRPr="00872C97">
        <w:rPr>
          <w:rFonts w:cs="Arial"/>
          <w:i/>
          <w:iCs/>
          <w:noProof/>
        </w:rPr>
        <w:t>Postharvest Biology and Technology</w:t>
      </w:r>
      <w:r w:rsidRPr="00872C97">
        <w:rPr>
          <w:rFonts w:cs="Arial"/>
          <w:noProof/>
        </w:rPr>
        <w:t xml:space="preserve">, </w:t>
      </w:r>
      <w:r w:rsidRPr="00872C97">
        <w:rPr>
          <w:rFonts w:cs="Arial"/>
          <w:i/>
          <w:iCs/>
          <w:noProof/>
        </w:rPr>
        <w:t>82</w:t>
      </w:r>
      <w:r w:rsidRPr="00872C97">
        <w:rPr>
          <w:rFonts w:cs="Arial"/>
          <w:noProof/>
        </w:rPr>
        <w:t xml:space="preserve">, 28–38. </w:t>
      </w:r>
    </w:p>
    <w:p w14:paraId="31C1C07E" w14:textId="5DA43DF3" w:rsidR="00774FF0" w:rsidRPr="00872C97" w:rsidRDefault="00774FF0" w:rsidP="00872C97">
      <w:pPr>
        <w:widowControl w:val="0"/>
        <w:autoSpaceDE w:val="0"/>
        <w:autoSpaceDN w:val="0"/>
        <w:adjustRightInd w:val="0"/>
        <w:spacing w:line="240" w:lineRule="auto"/>
        <w:ind w:left="480" w:hanging="480"/>
        <w:rPr>
          <w:rFonts w:cs="Arial"/>
          <w:noProof/>
        </w:rPr>
      </w:pPr>
      <w:r w:rsidRPr="00872C97">
        <w:rPr>
          <w:rFonts w:cs="Arial"/>
          <w:noProof/>
        </w:rPr>
        <w:t xml:space="preserve">D’Addio, L., Di Natale, F., Budelli, A., &amp; Nigro, R. (2014). CFD simulation for the pasteurization of fruit puree with pieces. </w:t>
      </w:r>
      <w:r w:rsidRPr="00872C97">
        <w:rPr>
          <w:rFonts w:cs="Arial"/>
          <w:i/>
          <w:iCs/>
          <w:noProof/>
        </w:rPr>
        <w:t>Chemical Engineering Transactions</w:t>
      </w:r>
      <w:r w:rsidRPr="00872C97">
        <w:rPr>
          <w:rFonts w:cs="Arial"/>
          <w:noProof/>
        </w:rPr>
        <w:t xml:space="preserve">, </w:t>
      </w:r>
      <w:r w:rsidRPr="00872C97">
        <w:rPr>
          <w:rFonts w:cs="Arial"/>
          <w:i/>
          <w:iCs/>
          <w:noProof/>
        </w:rPr>
        <w:t>39</w:t>
      </w:r>
      <w:r w:rsidRPr="00872C97">
        <w:rPr>
          <w:rFonts w:cs="Arial"/>
          <w:noProof/>
        </w:rPr>
        <w:t xml:space="preserve">(Special Issue), 1699–1704. </w:t>
      </w:r>
    </w:p>
    <w:p w14:paraId="5CF9F761" w14:textId="394EF449" w:rsidR="00983E59" w:rsidRPr="00872C97" w:rsidRDefault="00983E59" w:rsidP="00872C97">
      <w:pPr>
        <w:pStyle w:val="CETReferencetext"/>
      </w:pPr>
      <w:r w:rsidRPr="00872C97">
        <w:lastRenderedPageBreak/>
        <w:t xml:space="preserve">Giannoutsos, K., Zalidis, A. P., Koukoumaki, D. I., Menexes, G., Mourtzinos, I., Sarris, D., &amp; Gkatzionis, K. (2023). Production of functional crackers based on non-conventional flours. Study of the physicochemical and sensory properties. Food Chemistry Advances, 2(April 2022), 100194. </w:t>
      </w:r>
    </w:p>
    <w:p w14:paraId="30DCF4C7" w14:textId="49BED71B" w:rsidR="00DC7222" w:rsidRPr="00872C97" w:rsidRDefault="00DC7222" w:rsidP="00872C97">
      <w:pPr>
        <w:pStyle w:val="CETReferencetext"/>
      </w:pPr>
      <w:r w:rsidRPr="00872C97">
        <w:t xml:space="preserve">Giudici, P., Baiano, A., Chiari, P., De Vero, L., Ghanbarzadeh, B., &amp; Falcone, P. M. (2021). A mathematical modeling of freezing process in the batch production of ice cream. Foods, 10(2), 1–35. </w:t>
      </w:r>
    </w:p>
    <w:p w14:paraId="4976716C" w14:textId="05222D42" w:rsidR="00970CA2" w:rsidRPr="00872C97" w:rsidRDefault="00970CA2" w:rsidP="00872C97">
      <w:pPr>
        <w:pStyle w:val="CETReferencetext"/>
      </w:pPr>
      <w:r w:rsidRPr="00872C97">
        <w:t>Gram, L.; Ravn, L.; Rasch, M.; Bruhn, J.B.; Christensen, A.B.; Givskov, M. Food Spoilage—Interactions between Food Spoilage Bacteria. Int. J. Food Microbiol. 2002, 78, 79–97.</w:t>
      </w:r>
    </w:p>
    <w:p w14:paraId="0D3D2CB1" w14:textId="77777777" w:rsidR="00970CA2" w:rsidRPr="00872C97" w:rsidRDefault="00970CA2" w:rsidP="00872C97">
      <w:pPr>
        <w:pStyle w:val="CETReferencetext"/>
      </w:pPr>
      <w:r w:rsidRPr="00872C97">
        <w:t>ISO, (2019). 17410 Microbiology of the Food Chain—Horizontal Method for the Enumeration of Psychrotrophic Microorganisms. ISO: Geneva, Switzerland, 10.</w:t>
      </w:r>
    </w:p>
    <w:p w14:paraId="7EE83D1E" w14:textId="397DA632" w:rsidR="00970CA2" w:rsidRPr="00872C97" w:rsidRDefault="00970CA2" w:rsidP="00872C97">
      <w:pPr>
        <w:pStyle w:val="CETReferencetext"/>
      </w:pPr>
      <w:r w:rsidRPr="00872C97">
        <w:t>ISO</w:t>
      </w:r>
      <w:r w:rsidR="00036874" w:rsidRPr="00872C97">
        <w:t xml:space="preserve"> 11059</w:t>
      </w:r>
      <w:r w:rsidRPr="00872C97">
        <w:t xml:space="preserve"> </w:t>
      </w:r>
      <w:r w:rsidR="00036874" w:rsidRPr="00872C97">
        <w:t>(</w:t>
      </w:r>
      <w:r w:rsidRPr="00872C97">
        <w:t>2009</w:t>
      </w:r>
      <w:r w:rsidR="00036874" w:rsidRPr="00872C97">
        <w:t>)</w:t>
      </w:r>
      <w:r w:rsidRPr="00872C97">
        <w:t xml:space="preserve">. Milk and milk products. Method for the enumeration of </w:t>
      </w:r>
      <w:r w:rsidRPr="00872C97">
        <w:rPr>
          <w:i/>
          <w:iCs/>
        </w:rPr>
        <w:t>Pseudomonas</w:t>
      </w:r>
      <w:r w:rsidRPr="00872C97">
        <w:t xml:space="preserve"> spp. ISO Norm 11059:2009 (IDF/RM 225:2009). International Standardization Organization ed., Geneva, Switzerland.</w:t>
      </w:r>
    </w:p>
    <w:p w14:paraId="2E7D984B" w14:textId="77777777" w:rsidR="00970CA2" w:rsidRPr="00872C97" w:rsidRDefault="00970CA2" w:rsidP="00872C97">
      <w:pPr>
        <w:pStyle w:val="CETReferencetext"/>
      </w:pPr>
      <w:r w:rsidRPr="00872C97">
        <w:t xml:space="preserve">ISO 7251: 2005 (2005) Microbiology of food and animal feeding stuffs — Horizontal method for the detection and enumeration of presumptive </w:t>
      </w:r>
      <w:r w:rsidRPr="00872C97">
        <w:rPr>
          <w:i/>
          <w:iCs/>
        </w:rPr>
        <w:t>Escherichia coli</w:t>
      </w:r>
      <w:r w:rsidRPr="00872C97">
        <w:t xml:space="preserve"> — Most probable number technique. International Standardization Organization ed., Geneva, Switzerland.</w:t>
      </w:r>
    </w:p>
    <w:p w14:paraId="23483A68" w14:textId="245D9FDC" w:rsidR="00970CA2" w:rsidRPr="00872C97" w:rsidRDefault="00970CA2" w:rsidP="00872C97">
      <w:pPr>
        <w:pStyle w:val="CETReferencetext"/>
      </w:pPr>
      <w:r w:rsidRPr="00872C97">
        <w:t xml:space="preserve">ISO 21527-1 </w:t>
      </w:r>
      <w:r w:rsidR="00036874" w:rsidRPr="00872C97">
        <w:t>(</w:t>
      </w:r>
      <w:r w:rsidRPr="00872C97">
        <w:t>2008</w:t>
      </w:r>
      <w:r w:rsidR="00036874" w:rsidRPr="00872C97">
        <w:t>)</w:t>
      </w:r>
      <w:r w:rsidRPr="00872C97">
        <w:t>. Microbiology of Food and Animal Feeding Stuffs – Horizontal Method for the Enumeration of Yeasts and Molds. Part 1: Colony-count Technique in Products with Water Activity Greater than 0,95. International Organization for Standardization, Geneva, Switzerland.</w:t>
      </w:r>
    </w:p>
    <w:p w14:paraId="24F5745C" w14:textId="36CA90A4" w:rsidR="00970CA2" w:rsidRPr="00872C97" w:rsidRDefault="00970CA2" w:rsidP="00872C97">
      <w:pPr>
        <w:pStyle w:val="CETReferencetext"/>
      </w:pPr>
      <w:r w:rsidRPr="00872C97">
        <w:t xml:space="preserve">ISO 21528-2 </w:t>
      </w:r>
      <w:r w:rsidR="00036874" w:rsidRPr="00872C97">
        <w:t>(</w:t>
      </w:r>
      <w:r w:rsidRPr="00872C97">
        <w:t>2017</w:t>
      </w:r>
      <w:r w:rsidR="00036874" w:rsidRPr="00872C97">
        <w:t>)</w:t>
      </w:r>
      <w:r w:rsidRPr="00872C97">
        <w:t>. Microbiology of the Food Chain – Horizontal Method for the Detection and Enumeration of Enterobacteriaceae. Part 2: Colony-count Technique. International Organization for Standardization, Geneva, Switzerland.</w:t>
      </w:r>
    </w:p>
    <w:p w14:paraId="777DB952" w14:textId="141BB5A1" w:rsidR="00970CA2" w:rsidRPr="00872C97" w:rsidRDefault="00970CA2" w:rsidP="00872C97">
      <w:pPr>
        <w:pStyle w:val="CETReferencetext"/>
      </w:pPr>
      <w:r w:rsidRPr="00872C97">
        <w:t xml:space="preserve">ISO 4833 </w:t>
      </w:r>
      <w:r w:rsidR="00036874" w:rsidRPr="00872C97">
        <w:t>(</w:t>
      </w:r>
      <w:r w:rsidRPr="00872C97">
        <w:t>2003</w:t>
      </w:r>
      <w:r w:rsidR="00036874" w:rsidRPr="00872C97">
        <w:t>)</w:t>
      </w:r>
      <w:r w:rsidRPr="00872C97">
        <w:t>. Microbiology of Food and Animal Feeding Stuffs: Horizontal Method for the Enumeration of Microorganisms: Colony-Count Technique at 30◦C. International Organization for Standardization, Geneva, Switzerland.</w:t>
      </w:r>
    </w:p>
    <w:p w14:paraId="2D3B7F11" w14:textId="061390FF" w:rsidR="00970CA2" w:rsidRPr="00872C97" w:rsidRDefault="00970CA2" w:rsidP="00872C97">
      <w:pPr>
        <w:pStyle w:val="CETReferencetext"/>
      </w:pPr>
      <w:r w:rsidRPr="00872C97">
        <w:t xml:space="preserve">ISO 6579-1 </w:t>
      </w:r>
      <w:r w:rsidR="00036874" w:rsidRPr="00872C97">
        <w:t>(</w:t>
      </w:r>
      <w:r w:rsidRPr="00872C97">
        <w:t>2017</w:t>
      </w:r>
      <w:r w:rsidR="00036874" w:rsidRPr="00872C97">
        <w:t>)</w:t>
      </w:r>
      <w:r w:rsidRPr="00872C97">
        <w:t xml:space="preserve">. Microbiology of the Food Chain – Horizontal Method for the Detection, Enumeration and Serotyping of </w:t>
      </w:r>
      <w:r w:rsidRPr="00872C97">
        <w:rPr>
          <w:i/>
          <w:iCs/>
        </w:rPr>
        <w:t>Salmonella</w:t>
      </w:r>
      <w:r w:rsidRPr="00872C97">
        <w:t>–Part 1: Detection of Salmonella Spp. International Organization for Standardization, Geneva, Switzerland.</w:t>
      </w:r>
    </w:p>
    <w:p w14:paraId="07380293" w14:textId="37AE4042" w:rsidR="00970CA2" w:rsidRPr="00872C97" w:rsidRDefault="00970CA2" w:rsidP="00872C97">
      <w:pPr>
        <w:pStyle w:val="CETReferencetext"/>
      </w:pPr>
      <w:r w:rsidRPr="00872C97">
        <w:t xml:space="preserve">ISO 6888-2 </w:t>
      </w:r>
      <w:r w:rsidR="00036874" w:rsidRPr="00872C97">
        <w:t>(</w:t>
      </w:r>
      <w:r w:rsidRPr="00872C97">
        <w:t>1999</w:t>
      </w:r>
      <w:r w:rsidR="00036874" w:rsidRPr="00872C97">
        <w:t>)</w:t>
      </w:r>
      <w:r w:rsidRPr="00872C97">
        <w:t>. Microbiology of Food and Animal Feeding Stuffs – Horizontal Method for the Enumeration of Coagulase Positive Staphylococci (</w:t>
      </w:r>
      <w:r w:rsidRPr="00872C97">
        <w:rPr>
          <w:i/>
          <w:iCs/>
        </w:rPr>
        <w:t>Staphylococcus aureus</w:t>
      </w:r>
      <w:r w:rsidRPr="00872C97">
        <w:t xml:space="preserve"> and Other Species): Part 2: Technique Using Rabbit Plasma Fibrinogen Agar Medium. International Organization for Standardization, Geneva, Switzerland.</w:t>
      </w:r>
    </w:p>
    <w:p w14:paraId="22C1862F" w14:textId="337406FE" w:rsidR="00970CA2" w:rsidRPr="00872C97" w:rsidRDefault="00970CA2" w:rsidP="00872C97">
      <w:pPr>
        <w:pStyle w:val="CETReferencetext"/>
      </w:pPr>
      <w:r w:rsidRPr="00872C97">
        <w:t>Janda, J. Michael, and Denise L. Lopez</w:t>
      </w:r>
      <w:r w:rsidR="00366AFC" w:rsidRPr="00872C97">
        <w:t xml:space="preserve"> </w:t>
      </w:r>
      <w:r w:rsidR="00036874" w:rsidRPr="00872C97">
        <w:t>(2021)</w:t>
      </w:r>
      <w:r w:rsidR="00366AFC" w:rsidRPr="00872C97">
        <w:t>.</w:t>
      </w:r>
      <w:r w:rsidR="00036874" w:rsidRPr="00872C97">
        <w:t xml:space="preserve"> </w:t>
      </w:r>
      <w:r w:rsidRPr="00872C97">
        <w:t xml:space="preserve">The family </w:t>
      </w:r>
      <w:r w:rsidR="00036874" w:rsidRPr="00872C97">
        <w:t>E</w:t>
      </w:r>
      <w:r w:rsidRPr="00872C97">
        <w:t>terobacteriaceae</w:t>
      </w:r>
      <w:r w:rsidR="00036874" w:rsidRPr="00872C97">
        <w:t>.</w:t>
      </w:r>
      <w:r w:rsidRPr="00872C97">
        <w:t xml:space="preserve"> Practical handbook of microbiology. CRC Press,.</w:t>
      </w:r>
      <w:r w:rsidR="00E66ABE" w:rsidRPr="00872C97">
        <w:t xml:space="preserve"> </w:t>
      </w:r>
      <w:r w:rsidRPr="00872C97">
        <w:t>353-362.</w:t>
      </w:r>
    </w:p>
    <w:p w14:paraId="3F32CD3C" w14:textId="6B1F16FB" w:rsidR="00970CA2" w:rsidRPr="00872C97" w:rsidRDefault="00970CA2" w:rsidP="00872C97">
      <w:pPr>
        <w:pStyle w:val="CETReferencetext"/>
      </w:pPr>
      <w:r w:rsidRPr="00872C97">
        <w:t>Kaushik, N., Kaur, B. P., Rao, P. S., &amp; Mishra, H. N. (2014). Effect of high pressure processing on color, biochemical and microbiological characteristics of mango pulp (Mangifera indica cv. Amrapali). Innovative Food Science &amp; Emerging Technologies, 22, 40-50.</w:t>
      </w:r>
    </w:p>
    <w:p w14:paraId="7041B8BE" w14:textId="24FE6751" w:rsidR="00CA7835" w:rsidRPr="00872C97" w:rsidRDefault="00CA7835" w:rsidP="00872C97">
      <w:pPr>
        <w:pStyle w:val="CETReferencetext"/>
      </w:pPr>
      <w:r w:rsidRPr="00872C97">
        <w:t xml:space="preserve">Koutsoumanis, K., Alvarez-Ordóñez, A., Bolton, D., Bover-Cid, S., Chemaly, M., Davies, R., De Cesare, A., Herman, L., Hilbert, F., Lindqvist, R., Nauta, M., Peixe, L., Ru, G., Simmons, M., Skandamis, P., Suffredini, E., Castle, L., Crotta, M., Grob, K., … Allende, A. (2022). The efficacy and safety of high-pressure processing of food. EFSA Journal, 20(3). </w:t>
      </w:r>
    </w:p>
    <w:p w14:paraId="70012D74" w14:textId="49817CCE" w:rsidR="00970CA2" w:rsidRPr="00872C97" w:rsidRDefault="00970CA2" w:rsidP="00872C97">
      <w:pPr>
        <w:pStyle w:val="CETReferencetext"/>
        <w:rPr>
          <w:lang w:val="it-IT"/>
        </w:rPr>
      </w:pPr>
      <w:r w:rsidRPr="00872C97">
        <w:t xml:space="preserve">Miceli, A.; Gaglio, R.; Francesca, N.; Ciminata, A.; Moschetti, G.; Settanni, L. Evolution of shelf life parameters of ready-to-eat escarole (Cichorium endivia var. latifolium) subjected to different cutting operations. </w:t>
      </w:r>
      <w:r w:rsidRPr="00872C97">
        <w:rPr>
          <w:lang w:val="it-IT"/>
        </w:rPr>
        <w:t>Sci. Hortic. 2019, 247, 175–183.</w:t>
      </w:r>
    </w:p>
    <w:p w14:paraId="24595473" w14:textId="5DDC3D62" w:rsidR="00CA7835" w:rsidRPr="00872C97" w:rsidRDefault="00CA7835" w:rsidP="00872C97">
      <w:pPr>
        <w:pStyle w:val="CETReferencetext"/>
      </w:pPr>
      <w:r w:rsidRPr="00872C97">
        <w:rPr>
          <w:lang w:val="it-IT"/>
        </w:rPr>
        <w:t xml:space="preserve">Planeta, D., Cinquanta, L., Corona, O., Todaro, A., Giurgiulescu, L., Greco, F., &amp; Grisafi, F. (2020). </w:t>
      </w:r>
      <w:r w:rsidRPr="00872C97">
        <w:t xml:space="preserve">Process and Product Optimization in the Artisanal Production of Sicilian Coffe Gelato. Carpathian Journal of Food Science and Technology, 12(4), 12–20. </w:t>
      </w:r>
    </w:p>
    <w:p w14:paraId="12098A56" w14:textId="652BD056" w:rsidR="00CA7835" w:rsidRPr="00872C97" w:rsidRDefault="00CA7835" w:rsidP="00872C97">
      <w:pPr>
        <w:pStyle w:val="CETReferencetext"/>
        <w:rPr>
          <w:lang w:val="it-IT"/>
        </w:rPr>
      </w:pPr>
      <w:r w:rsidRPr="00872C97">
        <w:t xml:space="preserve">Pollon, M., Torregrossa, F., Marconi, E., Cinquanta, C., Messia, C., Malvano, F., Mazza, F., Planeta, D., &amp; Corona, O. (2024). Vegan and sugar-substituted chocolates: assessing fatty acids, methylxanthines, minerals, volatiles and sensory profiles. </w:t>
      </w:r>
      <w:r w:rsidRPr="00872C97">
        <w:rPr>
          <w:lang w:val="it-IT"/>
        </w:rPr>
        <w:t xml:space="preserve">European Food Research and Technology, 250(9), 2387–2403. </w:t>
      </w:r>
    </w:p>
    <w:p w14:paraId="130CAE75" w14:textId="5CE4571F" w:rsidR="00CA7835" w:rsidRPr="00872C97" w:rsidRDefault="00CA7835" w:rsidP="00872C97">
      <w:pPr>
        <w:pStyle w:val="CETReferencetext"/>
        <w:rPr>
          <w:lang w:val="it-IT"/>
        </w:rPr>
      </w:pPr>
      <w:r w:rsidRPr="00872C97">
        <w:rPr>
          <w:lang w:val="it-IT"/>
        </w:rPr>
        <w:t xml:space="preserve">Rinaldi, M., Dall’Asta, C., Paciulli, M., Guizzetti, S., Barbanti, D., &amp; Chiavaro, E. (2014). </w:t>
      </w:r>
      <w:r w:rsidRPr="00872C97">
        <w:t xml:space="preserve">Innovation in the Italian ice cream production: Effect of different phospholipid emulsifiers. </w:t>
      </w:r>
      <w:r w:rsidRPr="00872C97">
        <w:rPr>
          <w:lang w:val="it-IT"/>
        </w:rPr>
        <w:t xml:space="preserve">Dairy Science and Technology, 94(1), 33–49. </w:t>
      </w:r>
    </w:p>
    <w:p w14:paraId="049ED4EC" w14:textId="00E9742A" w:rsidR="00774FF0" w:rsidRPr="00872C97" w:rsidRDefault="00CA7835" w:rsidP="00872C97">
      <w:pPr>
        <w:pStyle w:val="CETReferencetext"/>
        <w:rPr>
          <w:rFonts w:cs="Arial"/>
          <w:noProof/>
        </w:rPr>
      </w:pPr>
      <w:r w:rsidRPr="00872C97">
        <w:rPr>
          <w:lang w:val="it-IT"/>
        </w:rPr>
        <w:t xml:space="preserve">Sacchi, R., Caporaso, N., Squadrilli, G. A., Paduano, A., Ambrosino, M. L., Cavella, S., &amp; Genovese, A. (2019). </w:t>
      </w:r>
      <w:r w:rsidRPr="00872C97">
        <w:t xml:space="preserve">Sensory profile, biophenolic and volatile compounds of an artisanal ice cream (‘gelato’) functionalised using extra virgin olive oil. International Journal of Gastronomy and Food Science, 18(June). </w:t>
      </w:r>
      <w:r w:rsidR="000F0E02" w:rsidRPr="00872C97">
        <w:fldChar w:fldCharType="begin" w:fldLock="1"/>
      </w:r>
      <w:r w:rsidR="000F0E02" w:rsidRPr="00872C97">
        <w:instrText xml:space="preserve">ADDIN Mendeley Bibliography CSL_BIBLIOGRAPHY </w:instrText>
      </w:r>
      <w:r w:rsidR="000F0E02" w:rsidRPr="00872C97">
        <w:fldChar w:fldCharType="separate"/>
      </w:r>
    </w:p>
    <w:p w14:paraId="5C5B07DF" w14:textId="171A1D6B" w:rsidR="00774FF0" w:rsidRPr="00872C97" w:rsidRDefault="00774FF0" w:rsidP="00872C97">
      <w:pPr>
        <w:widowControl w:val="0"/>
        <w:autoSpaceDE w:val="0"/>
        <w:autoSpaceDN w:val="0"/>
        <w:adjustRightInd w:val="0"/>
        <w:spacing w:line="240" w:lineRule="auto"/>
        <w:ind w:left="480" w:hanging="480"/>
        <w:rPr>
          <w:rFonts w:cs="Arial"/>
          <w:noProof/>
        </w:rPr>
      </w:pPr>
      <w:r w:rsidRPr="00872C97">
        <w:rPr>
          <w:rFonts w:cs="Arial"/>
          <w:noProof/>
        </w:rPr>
        <w:t xml:space="preserve">Tamura, H., Boonbumrung, S., Yoshizawa, T., &amp; Varanyanond, W. (2001). The Volatile Constituents in the Peel and Pulp of a Green Thai Mango, Khieo Sawoei Cultivar (Mangifera indica L.). </w:t>
      </w:r>
      <w:r w:rsidRPr="00872C97">
        <w:rPr>
          <w:rFonts w:cs="Arial"/>
          <w:i/>
          <w:iCs/>
          <w:noProof/>
        </w:rPr>
        <w:t>Food Science and Technology Research</w:t>
      </w:r>
      <w:r w:rsidRPr="00872C97">
        <w:rPr>
          <w:rFonts w:cs="Arial"/>
          <w:noProof/>
        </w:rPr>
        <w:t xml:space="preserve">, </w:t>
      </w:r>
      <w:r w:rsidRPr="00872C97">
        <w:rPr>
          <w:rFonts w:cs="Arial"/>
          <w:i/>
          <w:iCs/>
          <w:noProof/>
        </w:rPr>
        <w:t>7</w:t>
      </w:r>
      <w:r w:rsidRPr="00872C97">
        <w:rPr>
          <w:rFonts w:cs="Arial"/>
          <w:noProof/>
        </w:rPr>
        <w:t xml:space="preserve">(1), 72–77. </w:t>
      </w:r>
    </w:p>
    <w:p w14:paraId="598AFFDA" w14:textId="45BB4BBF" w:rsidR="00C24AF1" w:rsidRPr="007232F2" w:rsidRDefault="00774FF0" w:rsidP="00872C97">
      <w:pPr>
        <w:widowControl w:val="0"/>
        <w:autoSpaceDE w:val="0"/>
        <w:autoSpaceDN w:val="0"/>
        <w:adjustRightInd w:val="0"/>
        <w:spacing w:line="240" w:lineRule="auto"/>
        <w:ind w:left="480" w:hanging="480"/>
      </w:pPr>
      <w:r w:rsidRPr="00872C97">
        <w:rPr>
          <w:rFonts w:cs="Arial"/>
          <w:noProof/>
        </w:rPr>
        <w:t xml:space="preserve">Zulli, R., Santi, F., Andrigo, P., Zambon, A., &amp; Spilimbergo, S. (2023). Supercritical CO2 Pasteurization of Solid Products: a Case Study on Fresh-cut Potatoes. </w:t>
      </w:r>
      <w:r w:rsidRPr="00872C97">
        <w:rPr>
          <w:rFonts w:cs="Arial"/>
          <w:i/>
          <w:iCs/>
          <w:noProof/>
        </w:rPr>
        <w:t>Chemical Engineering Transactions</w:t>
      </w:r>
      <w:r w:rsidRPr="00872C97">
        <w:rPr>
          <w:rFonts w:cs="Arial"/>
          <w:noProof/>
        </w:rPr>
        <w:t xml:space="preserve">, </w:t>
      </w:r>
      <w:r w:rsidRPr="00872C97">
        <w:rPr>
          <w:rFonts w:cs="Arial"/>
          <w:i/>
          <w:iCs/>
          <w:noProof/>
        </w:rPr>
        <w:t>102</w:t>
      </w:r>
      <w:r w:rsidRPr="00872C97">
        <w:rPr>
          <w:rFonts w:cs="Arial"/>
          <w:noProof/>
        </w:rPr>
        <w:t xml:space="preserve">(July), 145–150. </w:t>
      </w:r>
      <w:r w:rsidR="000F0E02" w:rsidRPr="00872C97">
        <w:fldChar w:fldCharType="end"/>
      </w:r>
    </w:p>
    <w:sectPr w:rsidR="00C24AF1" w:rsidRPr="007232F2"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9B856" w14:textId="77777777" w:rsidR="00106B2C" w:rsidRDefault="00106B2C" w:rsidP="004F5E36">
      <w:r>
        <w:separator/>
      </w:r>
    </w:p>
  </w:endnote>
  <w:endnote w:type="continuationSeparator" w:id="0">
    <w:p w14:paraId="1DBFA32B" w14:textId="77777777" w:rsidR="00106B2C" w:rsidRDefault="00106B2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1F2B7" w14:textId="77777777" w:rsidR="00106B2C" w:rsidRDefault="00106B2C" w:rsidP="004F5E36">
      <w:r>
        <w:separator/>
      </w:r>
    </w:p>
  </w:footnote>
  <w:footnote w:type="continuationSeparator" w:id="0">
    <w:p w14:paraId="5F8A8E90" w14:textId="77777777" w:rsidR="00106B2C" w:rsidRDefault="00106B2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4343948">
    <w:abstractNumId w:val="10"/>
  </w:num>
  <w:num w:numId="2" w16cid:durableId="1600992607">
    <w:abstractNumId w:val="8"/>
  </w:num>
  <w:num w:numId="3" w16cid:durableId="1061829130">
    <w:abstractNumId w:val="3"/>
  </w:num>
  <w:num w:numId="4" w16cid:durableId="2823225">
    <w:abstractNumId w:val="2"/>
  </w:num>
  <w:num w:numId="5" w16cid:durableId="580484348">
    <w:abstractNumId w:val="1"/>
  </w:num>
  <w:num w:numId="6" w16cid:durableId="1824852427">
    <w:abstractNumId w:val="0"/>
  </w:num>
  <w:num w:numId="7" w16cid:durableId="131489715">
    <w:abstractNumId w:val="9"/>
  </w:num>
  <w:num w:numId="8" w16cid:durableId="1132557116">
    <w:abstractNumId w:val="7"/>
  </w:num>
  <w:num w:numId="9" w16cid:durableId="491916130">
    <w:abstractNumId w:val="6"/>
  </w:num>
  <w:num w:numId="10" w16cid:durableId="1076053647">
    <w:abstractNumId w:val="5"/>
  </w:num>
  <w:num w:numId="11" w16cid:durableId="183253189">
    <w:abstractNumId w:val="4"/>
  </w:num>
  <w:num w:numId="12" w16cid:durableId="1435979672">
    <w:abstractNumId w:val="17"/>
  </w:num>
  <w:num w:numId="13" w16cid:durableId="1759642835">
    <w:abstractNumId w:val="12"/>
  </w:num>
  <w:num w:numId="14" w16cid:durableId="2104568742">
    <w:abstractNumId w:val="18"/>
  </w:num>
  <w:num w:numId="15" w16cid:durableId="162935139">
    <w:abstractNumId w:val="20"/>
  </w:num>
  <w:num w:numId="16" w16cid:durableId="1356031192">
    <w:abstractNumId w:val="19"/>
  </w:num>
  <w:num w:numId="17" w16cid:durableId="1035545689">
    <w:abstractNumId w:val="11"/>
  </w:num>
  <w:num w:numId="18" w16cid:durableId="1638873235">
    <w:abstractNumId w:val="12"/>
    <w:lvlOverride w:ilvl="0">
      <w:startOverride w:val="1"/>
    </w:lvlOverride>
  </w:num>
  <w:num w:numId="19" w16cid:durableId="718481679">
    <w:abstractNumId w:val="16"/>
  </w:num>
  <w:num w:numId="20" w16cid:durableId="1508255839">
    <w:abstractNumId w:val="15"/>
  </w:num>
  <w:num w:numId="21" w16cid:durableId="780996243">
    <w:abstractNumId w:val="14"/>
  </w:num>
  <w:num w:numId="22" w16cid:durableId="8211195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3A4"/>
    <w:rsid w:val="000020A9"/>
    <w:rsid w:val="000027C0"/>
    <w:rsid w:val="00003B4E"/>
    <w:rsid w:val="000052FB"/>
    <w:rsid w:val="00005A19"/>
    <w:rsid w:val="000117CB"/>
    <w:rsid w:val="0001306E"/>
    <w:rsid w:val="00014F3F"/>
    <w:rsid w:val="00017621"/>
    <w:rsid w:val="00030835"/>
    <w:rsid w:val="0003148D"/>
    <w:rsid w:val="00031EEC"/>
    <w:rsid w:val="00036874"/>
    <w:rsid w:val="00051566"/>
    <w:rsid w:val="00054288"/>
    <w:rsid w:val="000562A9"/>
    <w:rsid w:val="00062A9A"/>
    <w:rsid w:val="00065058"/>
    <w:rsid w:val="00065BC5"/>
    <w:rsid w:val="000721E8"/>
    <w:rsid w:val="00072CFA"/>
    <w:rsid w:val="00073359"/>
    <w:rsid w:val="00074575"/>
    <w:rsid w:val="0008551D"/>
    <w:rsid w:val="00085819"/>
    <w:rsid w:val="00086C39"/>
    <w:rsid w:val="00087A24"/>
    <w:rsid w:val="00094BE9"/>
    <w:rsid w:val="000A03B2"/>
    <w:rsid w:val="000B21B0"/>
    <w:rsid w:val="000B547F"/>
    <w:rsid w:val="000B563E"/>
    <w:rsid w:val="000C109E"/>
    <w:rsid w:val="000C2D17"/>
    <w:rsid w:val="000C3DBA"/>
    <w:rsid w:val="000D0268"/>
    <w:rsid w:val="000D34BE"/>
    <w:rsid w:val="000E102F"/>
    <w:rsid w:val="000E36F1"/>
    <w:rsid w:val="000E3A73"/>
    <w:rsid w:val="000E410D"/>
    <w:rsid w:val="000E414A"/>
    <w:rsid w:val="000E5787"/>
    <w:rsid w:val="000F093C"/>
    <w:rsid w:val="000F0E02"/>
    <w:rsid w:val="000F7295"/>
    <w:rsid w:val="000F787B"/>
    <w:rsid w:val="001051AF"/>
    <w:rsid w:val="00106B2C"/>
    <w:rsid w:val="0012091F"/>
    <w:rsid w:val="00126BC2"/>
    <w:rsid w:val="00127542"/>
    <w:rsid w:val="001308B6"/>
    <w:rsid w:val="0013121F"/>
    <w:rsid w:val="00131FE6"/>
    <w:rsid w:val="0013263F"/>
    <w:rsid w:val="001331DF"/>
    <w:rsid w:val="0013334A"/>
    <w:rsid w:val="001345A9"/>
    <w:rsid w:val="001345CB"/>
    <w:rsid w:val="00134DE4"/>
    <w:rsid w:val="0014034D"/>
    <w:rsid w:val="00144D16"/>
    <w:rsid w:val="00150E59"/>
    <w:rsid w:val="00152DE3"/>
    <w:rsid w:val="00160125"/>
    <w:rsid w:val="001632CE"/>
    <w:rsid w:val="00164CF9"/>
    <w:rsid w:val="0016582F"/>
    <w:rsid w:val="001667A6"/>
    <w:rsid w:val="00170A48"/>
    <w:rsid w:val="00175186"/>
    <w:rsid w:val="001773B4"/>
    <w:rsid w:val="00184AD6"/>
    <w:rsid w:val="001A3766"/>
    <w:rsid w:val="001A4AF7"/>
    <w:rsid w:val="001A509E"/>
    <w:rsid w:val="001A7995"/>
    <w:rsid w:val="001A7BBC"/>
    <w:rsid w:val="001B0349"/>
    <w:rsid w:val="001B1615"/>
    <w:rsid w:val="001B1E93"/>
    <w:rsid w:val="001B5565"/>
    <w:rsid w:val="001B6441"/>
    <w:rsid w:val="001B65C1"/>
    <w:rsid w:val="001C0A62"/>
    <w:rsid w:val="001C29B1"/>
    <w:rsid w:val="001C684B"/>
    <w:rsid w:val="001C689B"/>
    <w:rsid w:val="001D0CFB"/>
    <w:rsid w:val="001D21AF"/>
    <w:rsid w:val="001D291D"/>
    <w:rsid w:val="001D53FC"/>
    <w:rsid w:val="001D7D0E"/>
    <w:rsid w:val="001F42A5"/>
    <w:rsid w:val="001F6300"/>
    <w:rsid w:val="001F7B9D"/>
    <w:rsid w:val="001F7F35"/>
    <w:rsid w:val="002014A2"/>
    <w:rsid w:val="00201AE1"/>
    <w:rsid w:val="00201C93"/>
    <w:rsid w:val="002152D2"/>
    <w:rsid w:val="002224B4"/>
    <w:rsid w:val="00232DAE"/>
    <w:rsid w:val="0023682E"/>
    <w:rsid w:val="00243B3C"/>
    <w:rsid w:val="002447EF"/>
    <w:rsid w:val="00244FE3"/>
    <w:rsid w:val="00251550"/>
    <w:rsid w:val="00254108"/>
    <w:rsid w:val="00263B05"/>
    <w:rsid w:val="00267943"/>
    <w:rsid w:val="0027221A"/>
    <w:rsid w:val="00275B61"/>
    <w:rsid w:val="00276C2C"/>
    <w:rsid w:val="00280FAF"/>
    <w:rsid w:val="00282095"/>
    <w:rsid w:val="00282656"/>
    <w:rsid w:val="0028576C"/>
    <w:rsid w:val="002861CF"/>
    <w:rsid w:val="00291EDD"/>
    <w:rsid w:val="00292662"/>
    <w:rsid w:val="00292A61"/>
    <w:rsid w:val="00296B83"/>
    <w:rsid w:val="002A6238"/>
    <w:rsid w:val="002B4015"/>
    <w:rsid w:val="002B78CE"/>
    <w:rsid w:val="002C2D87"/>
    <w:rsid w:val="002C2FB6"/>
    <w:rsid w:val="002C40AD"/>
    <w:rsid w:val="002E07A7"/>
    <w:rsid w:val="002E1ECD"/>
    <w:rsid w:val="002E3F87"/>
    <w:rsid w:val="002E5FA7"/>
    <w:rsid w:val="002F3309"/>
    <w:rsid w:val="002F7FAF"/>
    <w:rsid w:val="003008CE"/>
    <w:rsid w:val="003009B7"/>
    <w:rsid w:val="00300E56"/>
    <w:rsid w:val="0030152C"/>
    <w:rsid w:val="0030469C"/>
    <w:rsid w:val="0031130C"/>
    <w:rsid w:val="00321CA6"/>
    <w:rsid w:val="00321DE7"/>
    <w:rsid w:val="00323763"/>
    <w:rsid w:val="00323C5F"/>
    <w:rsid w:val="003266FB"/>
    <w:rsid w:val="003312AE"/>
    <w:rsid w:val="00331FCD"/>
    <w:rsid w:val="00334C09"/>
    <w:rsid w:val="00343905"/>
    <w:rsid w:val="00351A4D"/>
    <w:rsid w:val="0035738E"/>
    <w:rsid w:val="00357579"/>
    <w:rsid w:val="00361119"/>
    <w:rsid w:val="003662FC"/>
    <w:rsid w:val="00366AFC"/>
    <w:rsid w:val="00366B01"/>
    <w:rsid w:val="003723D4"/>
    <w:rsid w:val="00374F0E"/>
    <w:rsid w:val="00375891"/>
    <w:rsid w:val="00381905"/>
    <w:rsid w:val="00384CC8"/>
    <w:rsid w:val="003861B3"/>
    <w:rsid w:val="003871FD"/>
    <w:rsid w:val="003A1BB7"/>
    <w:rsid w:val="003A1E30"/>
    <w:rsid w:val="003A2829"/>
    <w:rsid w:val="003A7D1C"/>
    <w:rsid w:val="003B304B"/>
    <w:rsid w:val="003B3146"/>
    <w:rsid w:val="003B3746"/>
    <w:rsid w:val="003B3EE0"/>
    <w:rsid w:val="003B52F7"/>
    <w:rsid w:val="003B6353"/>
    <w:rsid w:val="003C3A3E"/>
    <w:rsid w:val="003D002A"/>
    <w:rsid w:val="003D0607"/>
    <w:rsid w:val="003D143D"/>
    <w:rsid w:val="003D6136"/>
    <w:rsid w:val="003E3423"/>
    <w:rsid w:val="003E37F1"/>
    <w:rsid w:val="003E44D7"/>
    <w:rsid w:val="003E73C9"/>
    <w:rsid w:val="003F015E"/>
    <w:rsid w:val="00400414"/>
    <w:rsid w:val="00405693"/>
    <w:rsid w:val="004057A3"/>
    <w:rsid w:val="00406FAF"/>
    <w:rsid w:val="0041446B"/>
    <w:rsid w:val="00415F42"/>
    <w:rsid w:val="00431D67"/>
    <w:rsid w:val="00437032"/>
    <w:rsid w:val="0044071E"/>
    <w:rsid w:val="0044287D"/>
    <w:rsid w:val="0044329C"/>
    <w:rsid w:val="004508B7"/>
    <w:rsid w:val="00453E24"/>
    <w:rsid w:val="00457456"/>
    <w:rsid w:val="004577FE"/>
    <w:rsid w:val="00457B9C"/>
    <w:rsid w:val="0046164A"/>
    <w:rsid w:val="004628D2"/>
    <w:rsid w:val="00462DCD"/>
    <w:rsid w:val="004648AD"/>
    <w:rsid w:val="004703A9"/>
    <w:rsid w:val="004728E7"/>
    <w:rsid w:val="004760DE"/>
    <w:rsid w:val="004763D7"/>
    <w:rsid w:val="00493B22"/>
    <w:rsid w:val="0049757C"/>
    <w:rsid w:val="004A004E"/>
    <w:rsid w:val="004A00A2"/>
    <w:rsid w:val="004A24CF"/>
    <w:rsid w:val="004A5572"/>
    <w:rsid w:val="004B072F"/>
    <w:rsid w:val="004B3CB8"/>
    <w:rsid w:val="004B6CD1"/>
    <w:rsid w:val="004C1798"/>
    <w:rsid w:val="004C17B8"/>
    <w:rsid w:val="004C3D1D"/>
    <w:rsid w:val="004C3D84"/>
    <w:rsid w:val="004C40DD"/>
    <w:rsid w:val="004C7913"/>
    <w:rsid w:val="004D2A8F"/>
    <w:rsid w:val="004D482F"/>
    <w:rsid w:val="004D5B9C"/>
    <w:rsid w:val="004D65B6"/>
    <w:rsid w:val="004E2B9A"/>
    <w:rsid w:val="004E4DD6"/>
    <w:rsid w:val="004F1844"/>
    <w:rsid w:val="004F5E36"/>
    <w:rsid w:val="004F6D73"/>
    <w:rsid w:val="00507B47"/>
    <w:rsid w:val="00507BEF"/>
    <w:rsid w:val="00507CC9"/>
    <w:rsid w:val="005119A5"/>
    <w:rsid w:val="00521455"/>
    <w:rsid w:val="005278B7"/>
    <w:rsid w:val="00532016"/>
    <w:rsid w:val="005325B0"/>
    <w:rsid w:val="005346C8"/>
    <w:rsid w:val="00543E7D"/>
    <w:rsid w:val="00547A68"/>
    <w:rsid w:val="005518B6"/>
    <w:rsid w:val="00551D65"/>
    <w:rsid w:val="00552043"/>
    <w:rsid w:val="005531C9"/>
    <w:rsid w:val="00555A26"/>
    <w:rsid w:val="00557E00"/>
    <w:rsid w:val="00561FF0"/>
    <w:rsid w:val="00567188"/>
    <w:rsid w:val="00567C08"/>
    <w:rsid w:val="00570A70"/>
    <w:rsid w:val="00570C43"/>
    <w:rsid w:val="00580C63"/>
    <w:rsid w:val="00584592"/>
    <w:rsid w:val="005845EF"/>
    <w:rsid w:val="00586CDB"/>
    <w:rsid w:val="005958AA"/>
    <w:rsid w:val="005A0433"/>
    <w:rsid w:val="005A0440"/>
    <w:rsid w:val="005A44AC"/>
    <w:rsid w:val="005A4728"/>
    <w:rsid w:val="005A583E"/>
    <w:rsid w:val="005A73B1"/>
    <w:rsid w:val="005B2110"/>
    <w:rsid w:val="005B61E6"/>
    <w:rsid w:val="005C0C24"/>
    <w:rsid w:val="005C1370"/>
    <w:rsid w:val="005C2B58"/>
    <w:rsid w:val="005C2C91"/>
    <w:rsid w:val="005C77E1"/>
    <w:rsid w:val="005D130C"/>
    <w:rsid w:val="005D15CD"/>
    <w:rsid w:val="005D668A"/>
    <w:rsid w:val="005D6A2F"/>
    <w:rsid w:val="005D7CEE"/>
    <w:rsid w:val="005E0DDB"/>
    <w:rsid w:val="005E1A82"/>
    <w:rsid w:val="005E214F"/>
    <w:rsid w:val="005E4BF3"/>
    <w:rsid w:val="005E794C"/>
    <w:rsid w:val="005F0A28"/>
    <w:rsid w:val="005F0E5E"/>
    <w:rsid w:val="00600535"/>
    <w:rsid w:val="0061090D"/>
    <w:rsid w:val="00610CD6"/>
    <w:rsid w:val="00616D6E"/>
    <w:rsid w:val="00620DEE"/>
    <w:rsid w:val="00621F92"/>
    <w:rsid w:val="0062280A"/>
    <w:rsid w:val="00624D12"/>
    <w:rsid w:val="00625639"/>
    <w:rsid w:val="00626E8D"/>
    <w:rsid w:val="006273D2"/>
    <w:rsid w:val="00631B33"/>
    <w:rsid w:val="00633E71"/>
    <w:rsid w:val="0064184D"/>
    <w:rsid w:val="006422CC"/>
    <w:rsid w:val="006537CA"/>
    <w:rsid w:val="006566C9"/>
    <w:rsid w:val="00660E3E"/>
    <w:rsid w:val="00662E74"/>
    <w:rsid w:val="00671A3B"/>
    <w:rsid w:val="00680C23"/>
    <w:rsid w:val="00681460"/>
    <w:rsid w:val="00687508"/>
    <w:rsid w:val="00687904"/>
    <w:rsid w:val="00692A5D"/>
    <w:rsid w:val="00692BCA"/>
    <w:rsid w:val="00693766"/>
    <w:rsid w:val="006949FF"/>
    <w:rsid w:val="006A265F"/>
    <w:rsid w:val="006A3281"/>
    <w:rsid w:val="006B4888"/>
    <w:rsid w:val="006B768E"/>
    <w:rsid w:val="006B79BF"/>
    <w:rsid w:val="006C122F"/>
    <w:rsid w:val="006C2E45"/>
    <w:rsid w:val="006C359C"/>
    <w:rsid w:val="006C5579"/>
    <w:rsid w:val="006D0CEA"/>
    <w:rsid w:val="006D2781"/>
    <w:rsid w:val="006D60BC"/>
    <w:rsid w:val="006D6E8B"/>
    <w:rsid w:val="006E2BCF"/>
    <w:rsid w:val="006E36B2"/>
    <w:rsid w:val="006E737D"/>
    <w:rsid w:val="006F48DD"/>
    <w:rsid w:val="006F56E5"/>
    <w:rsid w:val="0070696B"/>
    <w:rsid w:val="00707DD1"/>
    <w:rsid w:val="00710141"/>
    <w:rsid w:val="00713973"/>
    <w:rsid w:val="0071588F"/>
    <w:rsid w:val="00715F62"/>
    <w:rsid w:val="00720A24"/>
    <w:rsid w:val="00721CB4"/>
    <w:rsid w:val="007232F2"/>
    <w:rsid w:val="0073000A"/>
    <w:rsid w:val="007315B7"/>
    <w:rsid w:val="00732386"/>
    <w:rsid w:val="0073514D"/>
    <w:rsid w:val="00737031"/>
    <w:rsid w:val="00742743"/>
    <w:rsid w:val="007447F3"/>
    <w:rsid w:val="00746EBD"/>
    <w:rsid w:val="00751184"/>
    <w:rsid w:val="00752D59"/>
    <w:rsid w:val="00753976"/>
    <w:rsid w:val="0075499F"/>
    <w:rsid w:val="0075728B"/>
    <w:rsid w:val="00757B34"/>
    <w:rsid w:val="007615F4"/>
    <w:rsid w:val="00764D97"/>
    <w:rsid w:val="007661C8"/>
    <w:rsid w:val="0077098D"/>
    <w:rsid w:val="007727FB"/>
    <w:rsid w:val="00774FF0"/>
    <w:rsid w:val="007808DC"/>
    <w:rsid w:val="00780E74"/>
    <w:rsid w:val="007922AB"/>
    <w:rsid w:val="007931FA"/>
    <w:rsid w:val="007A4861"/>
    <w:rsid w:val="007A747D"/>
    <w:rsid w:val="007A7BBA"/>
    <w:rsid w:val="007B0C50"/>
    <w:rsid w:val="007B380C"/>
    <w:rsid w:val="007B38C5"/>
    <w:rsid w:val="007B48F9"/>
    <w:rsid w:val="007B7453"/>
    <w:rsid w:val="007C1A43"/>
    <w:rsid w:val="007C29D8"/>
    <w:rsid w:val="007D0951"/>
    <w:rsid w:val="007D792F"/>
    <w:rsid w:val="007E7F78"/>
    <w:rsid w:val="007F5260"/>
    <w:rsid w:val="0080013E"/>
    <w:rsid w:val="008043B6"/>
    <w:rsid w:val="008046DE"/>
    <w:rsid w:val="00813288"/>
    <w:rsid w:val="008168FC"/>
    <w:rsid w:val="00822830"/>
    <w:rsid w:val="008265DF"/>
    <w:rsid w:val="00830996"/>
    <w:rsid w:val="00832D48"/>
    <w:rsid w:val="008345F1"/>
    <w:rsid w:val="00834B03"/>
    <w:rsid w:val="00843B02"/>
    <w:rsid w:val="00852B5B"/>
    <w:rsid w:val="00853785"/>
    <w:rsid w:val="0085472A"/>
    <w:rsid w:val="0086272A"/>
    <w:rsid w:val="00863455"/>
    <w:rsid w:val="00865B07"/>
    <w:rsid w:val="008667EA"/>
    <w:rsid w:val="00870407"/>
    <w:rsid w:val="00872C97"/>
    <w:rsid w:val="008754DB"/>
    <w:rsid w:val="0087637F"/>
    <w:rsid w:val="00892AD5"/>
    <w:rsid w:val="008932FD"/>
    <w:rsid w:val="008A1512"/>
    <w:rsid w:val="008A6E85"/>
    <w:rsid w:val="008B3478"/>
    <w:rsid w:val="008B771E"/>
    <w:rsid w:val="008C7456"/>
    <w:rsid w:val="008D32B9"/>
    <w:rsid w:val="008D433B"/>
    <w:rsid w:val="008D4A16"/>
    <w:rsid w:val="008D514D"/>
    <w:rsid w:val="008D5638"/>
    <w:rsid w:val="008D6651"/>
    <w:rsid w:val="008E566E"/>
    <w:rsid w:val="008E58F7"/>
    <w:rsid w:val="0090161A"/>
    <w:rsid w:val="00901EB6"/>
    <w:rsid w:val="00904A8C"/>
    <w:rsid w:val="00904C62"/>
    <w:rsid w:val="00914486"/>
    <w:rsid w:val="009162D9"/>
    <w:rsid w:val="00916F0B"/>
    <w:rsid w:val="00922BA8"/>
    <w:rsid w:val="00924227"/>
    <w:rsid w:val="00924DAC"/>
    <w:rsid w:val="0092513A"/>
    <w:rsid w:val="00926EE1"/>
    <w:rsid w:val="00927058"/>
    <w:rsid w:val="009302DE"/>
    <w:rsid w:val="009330A1"/>
    <w:rsid w:val="0093401F"/>
    <w:rsid w:val="00936E61"/>
    <w:rsid w:val="0093750C"/>
    <w:rsid w:val="00942750"/>
    <w:rsid w:val="009450CE"/>
    <w:rsid w:val="009459BB"/>
    <w:rsid w:val="00947179"/>
    <w:rsid w:val="00950391"/>
    <w:rsid w:val="00950F41"/>
    <w:rsid w:val="0095164B"/>
    <w:rsid w:val="00954090"/>
    <w:rsid w:val="009546BD"/>
    <w:rsid w:val="009573E7"/>
    <w:rsid w:val="00963E05"/>
    <w:rsid w:val="00964A45"/>
    <w:rsid w:val="00967843"/>
    <w:rsid w:val="00967D54"/>
    <w:rsid w:val="00970CA2"/>
    <w:rsid w:val="00971028"/>
    <w:rsid w:val="00971421"/>
    <w:rsid w:val="00983E59"/>
    <w:rsid w:val="00993B84"/>
    <w:rsid w:val="00996483"/>
    <w:rsid w:val="00996F5A"/>
    <w:rsid w:val="009A1AF1"/>
    <w:rsid w:val="009A47B9"/>
    <w:rsid w:val="009A5466"/>
    <w:rsid w:val="009A61F1"/>
    <w:rsid w:val="009B041A"/>
    <w:rsid w:val="009B0481"/>
    <w:rsid w:val="009B1987"/>
    <w:rsid w:val="009B3511"/>
    <w:rsid w:val="009B737E"/>
    <w:rsid w:val="009C2A39"/>
    <w:rsid w:val="009C37C3"/>
    <w:rsid w:val="009C7C86"/>
    <w:rsid w:val="009D0D9F"/>
    <w:rsid w:val="009D2FF7"/>
    <w:rsid w:val="009D70C2"/>
    <w:rsid w:val="009E0125"/>
    <w:rsid w:val="009E7884"/>
    <w:rsid w:val="009E788A"/>
    <w:rsid w:val="009E7C47"/>
    <w:rsid w:val="009F0E08"/>
    <w:rsid w:val="009F31F4"/>
    <w:rsid w:val="00A15A54"/>
    <w:rsid w:val="00A16B5B"/>
    <w:rsid w:val="00A1763D"/>
    <w:rsid w:val="00A17CEC"/>
    <w:rsid w:val="00A241D6"/>
    <w:rsid w:val="00A25E3B"/>
    <w:rsid w:val="00A27EF0"/>
    <w:rsid w:val="00A30249"/>
    <w:rsid w:val="00A361E6"/>
    <w:rsid w:val="00A37A72"/>
    <w:rsid w:val="00A40661"/>
    <w:rsid w:val="00A42361"/>
    <w:rsid w:val="00A43774"/>
    <w:rsid w:val="00A50B20"/>
    <w:rsid w:val="00A51390"/>
    <w:rsid w:val="00A60D13"/>
    <w:rsid w:val="00A62C4F"/>
    <w:rsid w:val="00A70515"/>
    <w:rsid w:val="00A70AE7"/>
    <w:rsid w:val="00A714EF"/>
    <w:rsid w:val="00A7223D"/>
    <w:rsid w:val="00A72272"/>
    <w:rsid w:val="00A72745"/>
    <w:rsid w:val="00A76EFC"/>
    <w:rsid w:val="00A87D50"/>
    <w:rsid w:val="00A91010"/>
    <w:rsid w:val="00A91BAD"/>
    <w:rsid w:val="00A94B3E"/>
    <w:rsid w:val="00A97F29"/>
    <w:rsid w:val="00AA2012"/>
    <w:rsid w:val="00AA452E"/>
    <w:rsid w:val="00AA64E1"/>
    <w:rsid w:val="00AA702E"/>
    <w:rsid w:val="00AA715F"/>
    <w:rsid w:val="00AA7D26"/>
    <w:rsid w:val="00AB0964"/>
    <w:rsid w:val="00AB2831"/>
    <w:rsid w:val="00AB5011"/>
    <w:rsid w:val="00AC114E"/>
    <w:rsid w:val="00AC5C63"/>
    <w:rsid w:val="00AC7368"/>
    <w:rsid w:val="00AD16B9"/>
    <w:rsid w:val="00AD3A7F"/>
    <w:rsid w:val="00AE377D"/>
    <w:rsid w:val="00AE438B"/>
    <w:rsid w:val="00AF09DF"/>
    <w:rsid w:val="00AF0EBA"/>
    <w:rsid w:val="00AF46C8"/>
    <w:rsid w:val="00B02C8A"/>
    <w:rsid w:val="00B06141"/>
    <w:rsid w:val="00B06478"/>
    <w:rsid w:val="00B17FBD"/>
    <w:rsid w:val="00B315A6"/>
    <w:rsid w:val="00B31813"/>
    <w:rsid w:val="00B32D08"/>
    <w:rsid w:val="00B33365"/>
    <w:rsid w:val="00B36780"/>
    <w:rsid w:val="00B4592E"/>
    <w:rsid w:val="00B462BD"/>
    <w:rsid w:val="00B5400F"/>
    <w:rsid w:val="00B5538C"/>
    <w:rsid w:val="00B55785"/>
    <w:rsid w:val="00B57B36"/>
    <w:rsid w:val="00B57E6F"/>
    <w:rsid w:val="00B66611"/>
    <w:rsid w:val="00B74790"/>
    <w:rsid w:val="00B81A38"/>
    <w:rsid w:val="00B833A3"/>
    <w:rsid w:val="00B84B62"/>
    <w:rsid w:val="00B84C54"/>
    <w:rsid w:val="00B85A7D"/>
    <w:rsid w:val="00B862FD"/>
    <w:rsid w:val="00B8686D"/>
    <w:rsid w:val="00B90794"/>
    <w:rsid w:val="00B93F69"/>
    <w:rsid w:val="00B94BC3"/>
    <w:rsid w:val="00BA20A4"/>
    <w:rsid w:val="00BA2E7C"/>
    <w:rsid w:val="00BB1DDC"/>
    <w:rsid w:val="00BC1B2C"/>
    <w:rsid w:val="00BC30C9"/>
    <w:rsid w:val="00BC7EC9"/>
    <w:rsid w:val="00BD077D"/>
    <w:rsid w:val="00BD3B2D"/>
    <w:rsid w:val="00BD46BC"/>
    <w:rsid w:val="00BE03C0"/>
    <w:rsid w:val="00BE3E58"/>
    <w:rsid w:val="00BF3313"/>
    <w:rsid w:val="00C01616"/>
    <w:rsid w:val="00C0162B"/>
    <w:rsid w:val="00C05BC3"/>
    <w:rsid w:val="00C068ED"/>
    <w:rsid w:val="00C10FE9"/>
    <w:rsid w:val="00C1391A"/>
    <w:rsid w:val="00C203A9"/>
    <w:rsid w:val="00C2220F"/>
    <w:rsid w:val="00C22E0C"/>
    <w:rsid w:val="00C24343"/>
    <w:rsid w:val="00C24AF1"/>
    <w:rsid w:val="00C25B18"/>
    <w:rsid w:val="00C277D1"/>
    <w:rsid w:val="00C27C52"/>
    <w:rsid w:val="00C30941"/>
    <w:rsid w:val="00C30E57"/>
    <w:rsid w:val="00C345B1"/>
    <w:rsid w:val="00C40142"/>
    <w:rsid w:val="00C47951"/>
    <w:rsid w:val="00C51FB1"/>
    <w:rsid w:val="00C52C3C"/>
    <w:rsid w:val="00C57182"/>
    <w:rsid w:val="00C57863"/>
    <w:rsid w:val="00C640AF"/>
    <w:rsid w:val="00C655FD"/>
    <w:rsid w:val="00C74953"/>
    <w:rsid w:val="00C75407"/>
    <w:rsid w:val="00C814DE"/>
    <w:rsid w:val="00C81BB9"/>
    <w:rsid w:val="00C841C6"/>
    <w:rsid w:val="00C86B54"/>
    <w:rsid w:val="00C870A8"/>
    <w:rsid w:val="00C87B7B"/>
    <w:rsid w:val="00C94434"/>
    <w:rsid w:val="00CA0D75"/>
    <w:rsid w:val="00CA1A4C"/>
    <w:rsid w:val="00CA1C95"/>
    <w:rsid w:val="00CA5A9C"/>
    <w:rsid w:val="00CA7835"/>
    <w:rsid w:val="00CB180D"/>
    <w:rsid w:val="00CB318B"/>
    <w:rsid w:val="00CB4704"/>
    <w:rsid w:val="00CB4C19"/>
    <w:rsid w:val="00CB4E7D"/>
    <w:rsid w:val="00CB79E0"/>
    <w:rsid w:val="00CC4C20"/>
    <w:rsid w:val="00CC590C"/>
    <w:rsid w:val="00CC702D"/>
    <w:rsid w:val="00CD1BC1"/>
    <w:rsid w:val="00CD3517"/>
    <w:rsid w:val="00CD5FE2"/>
    <w:rsid w:val="00CD6E3B"/>
    <w:rsid w:val="00CE7C68"/>
    <w:rsid w:val="00D02351"/>
    <w:rsid w:val="00D02B4C"/>
    <w:rsid w:val="00D0361D"/>
    <w:rsid w:val="00D040C4"/>
    <w:rsid w:val="00D04515"/>
    <w:rsid w:val="00D06652"/>
    <w:rsid w:val="00D20AD1"/>
    <w:rsid w:val="00D25067"/>
    <w:rsid w:val="00D2582C"/>
    <w:rsid w:val="00D325A5"/>
    <w:rsid w:val="00D42A8D"/>
    <w:rsid w:val="00D46B7E"/>
    <w:rsid w:val="00D57C84"/>
    <w:rsid w:val="00D6057D"/>
    <w:rsid w:val="00D613CD"/>
    <w:rsid w:val="00D71640"/>
    <w:rsid w:val="00D72172"/>
    <w:rsid w:val="00D73BC1"/>
    <w:rsid w:val="00D73DF0"/>
    <w:rsid w:val="00D836C5"/>
    <w:rsid w:val="00D8425B"/>
    <w:rsid w:val="00D84576"/>
    <w:rsid w:val="00DA008F"/>
    <w:rsid w:val="00DA1399"/>
    <w:rsid w:val="00DA24C6"/>
    <w:rsid w:val="00DA37F6"/>
    <w:rsid w:val="00DA4D7B"/>
    <w:rsid w:val="00DA7776"/>
    <w:rsid w:val="00DC3D3E"/>
    <w:rsid w:val="00DC6BC2"/>
    <w:rsid w:val="00DC7222"/>
    <w:rsid w:val="00DD271C"/>
    <w:rsid w:val="00DE264A"/>
    <w:rsid w:val="00DE4810"/>
    <w:rsid w:val="00DE6E4E"/>
    <w:rsid w:val="00DE7184"/>
    <w:rsid w:val="00DE77F2"/>
    <w:rsid w:val="00DF5072"/>
    <w:rsid w:val="00DF57C7"/>
    <w:rsid w:val="00DF7D18"/>
    <w:rsid w:val="00E02D18"/>
    <w:rsid w:val="00E041E7"/>
    <w:rsid w:val="00E07FB3"/>
    <w:rsid w:val="00E15568"/>
    <w:rsid w:val="00E1589B"/>
    <w:rsid w:val="00E23CA1"/>
    <w:rsid w:val="00E30C7F"/>
    <w:rsid w:val="00E409A8"/>
    <w:rsid w:val="00E50C12"/>
    <w:rsid w:val="00E6030B"/>
    <w:rsid w:val="00E65ABF"/>
    <w:rsid w:val="00E65B91"/>
    <w:rsid w:val="00E66ABE"/>
    <w:rsid w:val="00E7209D"/>
    <w:rsid w:val="00E72EAD"/>
    <w:rsid w:val="00E73A6D"/>
    <w:rsid w:val="00E74FC4"/>
    <w:rsid w:val="00E77223"/>
    <w:rsid w:val="00E8528B"/>
    <w:rsid w:val="00E85B94"/>
    <w:rsid w:val="00E977A0"/>
    <w:rsid w:val="00E978D0"/>
    <w:rsid w:val="00EA139F"/>
    <w:rsid w:val="00EA4613"/>
    <w:rsid w:val="00EA6A5E"/>
    <w:rsid w:val="00EA7F91"/>
    <w:rsid w:val="00EB1483"/>
    <w:rsid w:val="00EB1523"/>
    <w:rsid w:val="00EC0E49"/>
    <w:rsid w:val="00EC101F"/>
    <w:rsid w:val="00EC1ADB"/>
    <w:rsid w:val="00EC1D9F"/>
    <w:rsid w:val="00EC4B97"/>
    <w:rsid w:val="00ED2CED"/>
    <w:rsid w:val="00ED6994"/>
    <w:rsid w:val="00EE0131"/>
    <w:rsid w:val="00EE17B0"/>
    <w:rsid w:val="00EE6CC2"/>
    <w:rsid w:val="00EE7AC4"/>
    <w:rsid w:val="00EF06D9"/>
    <w:rsid w:val="00EF44FA"/>
    <w:rsid w:val="00F0578D"/>
    <w:rsid w:val="00F14B16"/>
    <w:rsid w:val="00F2262C"/>
    <w:rsid w:val="00F3049E"/>
    <w:rsid w:val="00F30C64"/>
    <w:rsid w:val="00F3225D"/>
    <w:rsid w:val="00F32BA2"/>
    <w:rsid w:val="00F32CDB"/>
    <w:rsid w:val="00F42F77"/>
    <w:rsid w:val="00F44123"/>
    <w:rsid w:val="00F44470"/>
    <w:rsid w:val="00F5309A"/>
    <w:rsid w:val="00F56434"/>
    <w:rsid w:val="00F565FE"/>
    <w:rsid w:val="00F63A70"/>
    <w:rsid w:val="00F63D8C"/>
    <w:rsid w:val="00F6647F"/>
    <w:rsid w:val="00F66807"/>
    <w:rsid w:val="00F7534E"/>
    <w:rsid w:val="00F83118"/>
    <w:rsid w:val="00F937FD"/>
    <w:rsid w:val="00F93EDF"/>
    <w:rsid w:val="00F93F22"/>
    <w:rsid w:val="00F9489C"/>
    <w:rsid w:val="00F96C41"/>
    <w:rsid w:val="00F975ED"/>
    <w:rsid w:val="00FA1802"/>
    <w:rsid w:val="00FA21D0"/>
    <w:rsid w:val="00FA52B6"/>
    <w:rsid w:val="00FA5F5F"/>
    <w:rsid w:val="00FB3095"/>
    <w:rsid w:val="00FB730C"/>
    <w:rsid w:val="00FC2695"/>
    <w:rsid w:val="00FC3596"/>
    <w:rsid w:val="00FC3E03"/>
    <w:rsid w:val="00FC3FC1"/>
    <w:rsid w:val="00FC6C34"/>
    <w:rsid w:val="00FD018D"/>
    <w:rsid w:val="00FD5C55"/>
    <w:rsid w:val="00FE0905"/>
    <w:rsid w:val="00FE1A25"/>
    <w:rsid w:val="00FE564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A16B5B"/>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Menzionenonrisolta1">
    <w:name w:val="Menzione non risolta1"/>
    <w:basedOn w:val="Carpredefinitoparagrafo"/>
    <w:uiPriority w:val="99"/>
    <w:semiHidden/>
    <w:unhideWhenUsed/>
    <w:rsid w:val="00970CA2"/>
    <w:rPr>
      <w:color w:val="605E5C"/>
      <w:shd w:val="clear" w:color="auto" w:fill="E1DFDD"/>
    </w:rPr>
  </w:style>
  <w:style w:type="paragraph" w:styleId="Revisione">
    <w:name w:val="Revision"/>
    <w:hidden/>
    <w:uiPriority w:val="99"/>
    <w:semiHidden/>
    <w:rsid w:val="005A583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9924">
      <w:bodyDiv w:val="1"/>
      <w:marLeft w:val="0"/>
      <w:marRight w:val="0"/>
      <w:marTop w:val="0"/>
      <w:marBottom w:val="0"/>
      <w:divBdr>
        <w:top w:val="none" w:sz="0" w:space="0" w:color="auto"/>
        <w:left w:val="none" w:sz="0" w:space="0" w:color="auto"/>
        <w:bottom w:val="none" w:sz="0" w:space="0" w:color="auto"/>
        <w:right w:val="none" w:sz="0" w:space="0" w:color="auto"/>
      </w:divBdr>
    </w:div>
    <w:div w:id="122116585">
      <w:bodyDiv w:val="1"/>
      <w:marLeft w:val="0"/>
      <w:marRight w:val="0"/>
      <w:marTop w:val="0"/>
      <w:marBottom w:val="0"/>
      <w:divBdr>
        <w:top w:val="none" w:sz="0" w:space="0" w:color="auto"/>
        <w:left w:val="none" w:sz="0" w:space="0" w:color="auto"/>
        <w:bottom w:val="none" w:sz="0" w:space="0" w:color="auto"/>
        <w:right w:val="none" w:sz="0" w:space="0" w:color="auto"/>
      </w:divBdr>
    </w:div>
    <w:div w:id="122578118">
      <w:bodyDiv w:val="1"/>
      <w:marLeft w:val="0"/>
      <w:marRight w:val="0"/>
      <w:marTop w:val="0"/>
      <w:marBottom w:val="0"/>
      <w:divBdr>
        <w:top w:val="none" w:sz="0" w:space="0" w:color="auto"/>
        <w:left w:val="none" w:sz="0" w:space="0" w:color="auto"/>
        <w:bottom w:val="none" w:sz="0" w:space="0" w:color="auto"/>
        <w:right w:val="none" w:sz="0" w:space="0" w:color="auto"/>
      </w:divBdr>
    </w:div>
    <w:div w:id="167520702">
      <w:bodyDiv w:val="1"/>
      <w:marLeft w:val="0"/>
      <w:marRight w:val="0"/>
      <w:marTop w:val="0"/>
      <w:marBottom w:val="0"/>
      <w:divBdr>
        <w:top w:val="none" w:sz="0" w:space="0" w:color="auto"/>
        <w:left w:val="none" w:sz="0" w:space="0" w:color="auto"/>
        <w:bottom w:val="none" w:sz="0" w:space="0" w:color="auto"/>
        <w:right w:val="none" w:sz="0" w:space="0" w:color="auto"/>
      </w:divBdr>
    </w:div>
    <w:div w:id="255753218">
      <w:bodyDiv w:val="1"/>
      <w:marLeft w:val="0"/>
      <w:marRight w:val="0"/>
      <w:marTop w:val="0"/>
      <w:marBottom w:val="0"/>
      <w:divBdr>
        <w:top w:val="none" w:sz="0" w:space="0" w:color="auto"/>
        <w:left w:val="none" w:sz="0" w:space="0" w:color="auto"/>
        <w:bottom w:val="none" w:sz="0" w:space="0" w:color="auto"/>
        <w:right w:val="none" w:sz="0" w:space="0" w:color="auto"/>
      </w:divBdr>
    </w:div>
    <w:div w:id="419908844">
      <w:bodyDiv w:val="1"/>
      <w:marLeft w:val="0"/>
      <w:marRight w:val="0"/>
      <w:marTop w:val="0"/>
      <w:marBottom w:val="0"/>
      <w:divBdr>
        <w:top w:val="none" w:sz="0" w:space="0" w:color="auto"/>
        <w:left w:val="none" w:sz="0" w:space="0" w:color="auto"/>
        <w:bottom w:val="none" w:sz="0" w:space="0" w:color="auto"/>
        <w:right w:val="none" w:sz="0" w:space="0" w:color="auto"/>
      </w:divBdr>
    </w:div>
    <w:div w:id="53997241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1213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0655">
      <w:bodyDiv w:val="1"/>
      <w:marLeft w:val="0"/>
      <w:marRight w:val="0"/>
      <w:marTop w:val="0"/>
      <w:marBottom w:val="0"/>
      <w:divBdr>
        <w:top w:val="none" w:sz="0" w:space="0" w:color="auto"/>
        <w:left w:val="none" w:sz="0" w:space="0" w:color="auto"/>
        <w:bottom w:val="none" w:sz="0" w:space="0" w:color="auto"/>
        <w:right w:val="none" w:sz="0" w:space="0" w:color="auto"/>
      </w:divBdr>
    </w:div>
    <w:div w:id="1259756006">
      <w:bodyDiv w:val="1"/>
      <w:marLeft w:val="0"/>
      <w:marRight w:val="0"/>
      <w:marTop w:val="0"/>
      <w:marBottom w:val="0"/>
      <w:divBdr>
        <w:top w:val="none" w:sz="0" w:space="0" w:color="auto"/>
        <w:left w:val="none" w:sz="0" w:space="0" w:color="auto"/>
        <w:bottom w:val="none" w:sz="0" w:space="0" w:color="auto"/>
        <w:right w:val="none" w:sz="0" w:space="0" w:color="auto"/>
      </w:divBdr>
    </w:div>
    <w:div w:id="1360426543">
      <w:bodyDiv w:val="1"/>
      <w:marLeft w:val="0"/>
      <w:marRight w:val="0"/>
      <w:marTop w:val="0"/>
      <w:marBottom w:val="0"/>
      <w:divBdr>
        <w:top w:val="none" w:sz="0" w:space="0" w:color="auto"/>
        <w:left w:val="none" w:sz="0" w:space="0" w:color="auto"/>
        <w:bottom w:val="none" w:sz="0" w:space="0" w:color="auto"/>
        <w:right w:val="none" w:sz="0" w:space="0" w:color="auto"/>
      </w:divBdr>
    </w:div>
    <w:div w:id="140116971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5171277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063">
      <w:bodyDiv w:val="1"/>
      <w:marLeft w:val="0"/>
      <w:marRight w:val="0"/>
      <w:marTop w:val="0"/>
      <w:marBottom w:val="0"/>
      <w:divBdr>
        <w:top w:val="none" w:sz="0" w:space="0" w:color="auto"/>
        <w:left w:val="none" w:sz="0" w:space="0" w:color="auto"/>
        <w:bottom w:val="none" w:sz="0" w:space="0" w:color="auto"/>
        <w:right w:val="none" w:sz="0" w:space="0" w:color="auto"/>
      </w:divBdr>
    </w:div>
    <w:div w:id="1780834163">
      <w:bodyDiv w:val="1"/>
      <w:marLeft w:val="0"/>
      <w:marRight w:val="0"/>
      <w:marTop w:val="0"/>
      <w:marBottom w:val="0"/>
      <w:divBdr>
        <w:top w:val="none" w:sz="0" w:space="0" w:color="auto"/>
        <w:left w:val="none" w:sz="0" w:space="0" w:color="auto"/>
        <w:bottom w:val="none" w:sz="0" w:space="0" w:color="auto"/>
        <w:right w:val="none" w:sz="0" w:space="0" w:color="auto"/>
      </w:divBdr>
    </w:div>
    <w:div w:id="179432668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858C6-3FB0-4AA4-B4FF-DF0BA796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5455</Words>
  <Characters>31098</Characters>
  <Application>Microsoft Office Word</Application>
  <DocSecurity>0</DocSecurity>
  <Lines>259</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FEDERICA TORREGROSSA</cp:lastModifiedBy>
  <cp:revision>9</cp:revision>
  <cp:lastPrinted>2015-05-12T18:31:00Z</cp:lastPrinted>
  <dcterms:created xsi:type="dcterms:W3CDTF">2025-06-09T09:15:00Z</dcterms:created>
  <dcterms:modified xsi:type="dcterms:W3CDTF">2025-06-12T08:36:00Z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cec84a1e-32bd-3b60-ab32-809bdc8ee4db</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