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 xml:space="preserve">Laura Piazza, Francesco </w:t>
            </w:r>
            <w:proofErr w:type="spellStart"/>
            <w:r w:rsidR="00A0035F" w:rsidRPr="005E72C6">
              <w:rPr>
                <w:rFonts w:ascii="Tahoma" w:hAnsi="Tahoma" w:cs="Tahoma"/>
                <w:color w:val="000000"/>
                <w:sz w:val="14"/>
                <w:szCs w:val="14"/>
                <w:shd w:val="clear" w:color="auto" w:fill="FFFFFF"/>
                <w:lang w:val="it-IT"/>
              </w:rPr>
              <w:t>Donsì</w:t>
            </w:r>
            <w:proofErr w:type="spellEnd"/>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7FDE330" w:rsidR="00E978D0" w:rsidRPr="00B57B36" w:rsidRDefault="00CD67E3" w:rsidP="00CD67E3">
      <w:pPr>
        <w:pStyle w:val="CETTitle"/>
      </w:pPr>
      <w:r w:rsidRPr="00CD67E3">
        <w:t xml:space="preserve">Can Tannin-Coated Paper Packaging Extend </w:t>
      </w:r>
      <w:r>
        <w:t>t</w:t>
      </w:r>
      <w:r w:rsidRPr="00CD67E3">
        <w:t xml:space="preserve">he Shelf Life </w:t>
      </w:r>
      <w:r>
        <w:t>o</w:t>
      </w:r>
      <w:r w:rsidRPr="00CD67E3">
        <w:t>f Fresh Fruits?</w:t>
      </w:r>
    </w:p>
    <w:p w14:paraId="0488FED2" w14:textId="3D71149C" w:rsidR="00B57E6F" w:rsidRPr="00CD67E3" w:rsidRDefault="00CD67E3" w:rsidP="00B57E6F">
      <w:pPr>
        <w:pStyle w:val="CETAuthors"/>
        <w:rPr>
          <w:lang w:val="it-IT"/>
        </w:rPr>
      </w:pPr>
      <w:r w:rsidRPr="00CD67E3">
        <w:rPr>
          <w:lang w:val="it-IT"/>
        </w:rPr>
        <w:t>Giulia Leni</w:t>
      </w:r>
      <w:r>
        <w:rPr>
          <w:lang w:val="it-IT"/>
        </w:rPr>
        <w:t>*</w:t>
      </w:r>
      <w:r w:rsidRPr="00CD67E3">
        <w:rPr>
          <w:lang w:val="it-IT"/>
        </w:rPr>
        <w:t>, Kennet Johan Navarro Herrera, Annalisa Rebecchi, Carolina Cerri, Roberta Galli, Giorgia Spigno</w:t>
      </w:r>
    </w:p>
    <w:p w14:paraId="6B2D21B3" w14:textId="7D135D87" w:rsidR="00B57E6F" w:rsidRPr="00CD67E3" w:rsidRDefault="00CD67E3" w:rsidP="00B57E6F">
      <w:pPr>
        <w:pStyle w:val="CETAddress"/>
        <w:rPr>
          <w:lang w:val="en-US"/>
        </w:rPr>
      </w:pPr>
      <w:r w:rsidRPr="00CD67E3">
        <w:rPr>
          <w:lang w:val="en-US"/>
        </w:rPr>
        <w:t>Department for Sustainable Food Process, Università Cattolica del Sacro Cuore, Piacenza, Italy</w:t>
      </w:r>
      <w:r w:rsidR="00B57E6F" w:rsidRPr="00CD67E3">
        <w:rPr>
          <w:lang w:val="en-US"/>
        </w:rPr>
        <w:t xml:space="preserve"> </w:t>
      </w:r>
    </w:p>
    <w:p w14:paraId="325C1225" w14:textId="556A7C75" w:rsidR="00681460" w:rsidRPr="009378F0" w:rsidRDefault="00CD67E3" w:rsidP="00CD67E3">
      <w:pPr>
        <w:pStyle w:val="CETemail"/>
        <w:jc w:val="both"/>
      </w:pPr>
      <w:r>
        <w:t>* giulia.leni@unicatt.it</w:t>
      </w:r>
      <w:r w:rsidR="00681460" w:rsidRPr="009378F0">
        <w:t xml:space="preserve"> </w:t>
      </w:r>
    </w:p>
    <w:p w14:paraId="4174A867" w14:textId="44D1ED3C" w:rsidR="00CD67E3" w:rsidRDefault="00CD67E3" w:rsidP="00CD67E3">
      <w:pPr>
        <w:pStyle w:val="CETnumberingbullets"/>
        <w:numPr>
          <w:ilvl w:val="0"/>
          <w:numId w:val="0"/>
        </w:numPr>
        <w:ind w:left="113"/>
        <w:jc w:val="both"/>
      </w:pPr>
      <w:r>
        <w:t xml:space="preserve">This study explores the potential of tannin-coated paper-based packaging to extend the shelf life of highly perishable fruits, with strawberries used as a model. Firstly, the antimicrobial properties of a tannin extract were assessed, demonstrating the most promising results against </w:t>
      </w:r>
      <w:r w:rsidRPr="00CD67E3">
        <w:rPr>
          <w:i/>
          <w:iCs/>
        </w:rPr>
        <w:t xml:space="preserve">Staphylococcus </w:t>
      </w:r>
      <w:proofErr w:type="spellStart"/>
      <w:r w:rsidRPr="00CD67E3">
        <w:rPr>
          <w:i/>
          <w:iCs/>
        </w:rPr>
        <w:t>xylosus</w:t>
      </w:r>
      <w:proofErr w:type="spellEnd"/>
      <w:r>
        <w:t xml:space="preserve">. From this findings, two types of packaging were developed: untreated paper containers and containers coated with the tannin extract. Fresh strawberries were stored in these containers under controlled conditions (5°C, 85% relative humidity) for 19 days. Several parameters were monitored, including microbial growth, texture, </w:t>
      </w:r>
      <w:r w:rsidR="0003065F">
        <w:t>colour</w:t>
      </w:r>
      <w:r>
        <w:t xml:space="preserve"> evolution, weight loss and the fungicidal efficacy of the coated paper, with analysis performed every two days.</w:t>
      </w:r>
    </w:p>
    <w:p w14:paraId="69E75A4E" w14:textId="2A0DEB26" w:rsidR="00431D67" w:rsidRDefault="00CD67E3" w:rsidP="00CD67E3">
      <w:pPr>
        <w:pStyle w:val="CETnumberingbullets"/>
        <w:numPr>
          <w:ilvl w:val="0"/>
          <w:numId w:val="0"/>
        </w:numPr>
        <w:ind w:left="113"/>
        <w:jc w:val="both"/>
      </w:pPr>
      <w:r>
        <w:t xml:space="preserve">The results revealed no significant differences in microbial growth or quality parameters between the treated and untreated containers at the different time points. In addition, fungal growth was more pronounced in the tannin-coated containers. These findings suggest that the tannin coating did not enhance key preservation </w:t>
      </w:r>
      <w:r w:rsidR="0093717C">
        <w:t>parameters</w:t>
      </w:r>
      <w:r>
        <w:t>. Instead, it may have accelerated degradation, possibly due to the presence of undesirable compounds that could have fostered fungal growth.</w:t>
      </w:r>
      <w:r w:rsidR="0093717C">
        <w:t xml:space="preserve"> </w:t>
      </w:r>
      <w:r>
        <w:t>These findings serve as the basis for future research that will refine coating formulations and application methods for wider adoption in the food packaging industry.</w:t>
      </w:r>
    </w:p>
    <w:p w14:paraId="476B2F2E" w14:textId="77777777" w:rsidR="00600535" w:rsidRPr="00B57B36" w:rsidRDefault="00600535" w:rsidP="00600535">
      <w:pPr>
        <w:pStyle w:val="CETHeading1"/>
        <w:rPr>
          <w:lang w:val="en-GB"/>
        </w:rPr>
      </w:pPr>
      <w:r w:rsidRPr="00B57B36">
        <w:rPr>
          <w:lang w:val="en-GB"/>
        </w:rPr>
        <w:t>Introduction</w:t>
      </w:r>
    </w:p>
    <w:p w14:paraId="6F94830B" w14:textId="14764AE8" w:rsidR="00112C2A" w:rsidRDefault="00EF76ED" w:rsidP="00A36113">
      <w:pPr>
        <w:pStyle w:val="CETBodytext"/>
        <w:rPr>
          <w:lang w:val="en-GB"/>
        </w:rPr>
      </w:pPr>
      <w:r>
        <w:rPr>
          <w:lang w:val="en-GB"/>
        </w:rPr>
        <w:t xml:space="preserve">Food preservation has become </w:t>
      </w:r>
      <w:r w:rsidR="00280AA0">
        <w:rPr>
          <w:lang w:val="en-GB"/>
        </w:rPr>
        <w:t xml:space="preserve">of primary importance </w:t>
      </w:r>
      <w:r w:rsidR="00324D25">
        <w:rPr>
          <w:lang w:val="en-GB"/>
        </w:rPr>
        <w:t>in</w:t>
      </w:r>
      <w:r w:rsidR="00280AA0">
        <w:rPr>
          <w:lang w:val="en-GB"/>
        </w:rPr>
        <w:t xml:space="preserve"> </w:t>
      </w:r>
      <w:r w:rsidR="006349A5">
        <w:rPr>
          <w:lang w:val="en-GB"/>
        </w:rPr>
        <w:t>transforming the</w:t>
      </w:r>
      <w:r w:rsidR="00280AA0">
        <w:rPr>
          <w:lang w:val="en-GB"/>
        </w:rPr>
        <w:t xml:space="preserve"> food pro</w:t>
      </w:r>
      <w:r w:rsidR="006349A5">
        <w:rPr>
          <w:lang w:val="en-GB"/>
        </w:rPr>
        <w:t xml:space="preserve">duction </w:t>
      </w:r>
      <w:r w:rsidR="00324D25">
        <w:rPr>
          <w:lang w:val="en-GB"/>
        </w:rPr>
        <w:t>system into</w:t>
      </w:r>
      <w:r w:rsidR="006349A5">
        <w:rPr>
          <w:lang w:val="en-GB"/>
        </w:rPr>
        <w:t xml:space="preserve"> a more sustainable </w:t>
      </w:r>
      <w:r w:rsidR="00324D25">
        <w:rPr>
          <w:lang w:val="en-GB"/>
        </w:rPr>
        <w:t>one</w:t>
      </w:r>
      <w:r w:rsidR="006349A5">
        <w:rPr>
          <w:lang w:val="en-GB"/>
        </w:rPr>
        <w:t xml:space="preserve">. In this regard, </w:t>
      </w:r>
      <w:r w:rsidR="004524E3">
        <w:rPr>
          <w:lang w:val="en-GB"/>
        </w:rPr>
        <w:t>plant-based extracts</w:t>
      </w:r>
      <w:r w:rsidR="00F273B0">
        <w:rPr>
          <w:lang w:val="en-GB"/>
        </w:rPr>
        <w:t xml:space="preserve"> with antimicrobial and antioxidant activities</w:t>
      </w:r>
      <w:r w:rsidR="004524E3">
        <w:rPr>
          <w:lang w:val="en-GB"/>
        </w:rPr>
        <w:t xml:space="preserve"> have been explored </w:t>
      </w:r>
      <w:r w:rsidR="00F273B0">
        <w:rPr>
          <w:lang w:val="en-GB"/>
        </w:rPr>
        <w:t>for their integration into food packaging system</w:t>
      </w:r>
      <w:r w:rsidR="008B2353">
        <w:rPr>
          <w:lang w:val="en-GB"/>
        </w:rPr>
        <w:t>s</w:t>
      </w:r>
      <w:r w:rsidR="00101D79">
        <w:rPr>
          <w:lang w:val="en-GB"/>
        </w:rPr>
        <w:t xml:space="preserve"> </w:t>
      </w:r>
      <w:sdt>
        <w:sdtPr>
          <w:rPr>
            <w:color w:val="000000"/>
            <w:lang w:val="en-GB"/>
          </w:rPr>
          <w:tag w:val="MENDELEY_CITATION_v3_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"/>
          <w:id w:val="1464085808"/>
          <w:placeholder>
            <w:docPart w:val="DefaultPlaceholder_-1854013440"/>
          </w:placeholder>
        </w:sdtPr>
        <w:sdtEndPr/>
        <w:sdtContent>
          <w:r w:rsidR="00C07F18" w:rsidRPr="00C07F18">
            <w:rPr>
              <w:color w:val="000000"/>
              <w:lang w:val="en-GB"/>
            </w:rPr>
            <w:t>(Gupta et al. 2024)</w:t>
          </w:r>
        </w:sdtContent>
      </w:sdt>
      <w:r w:rsidR="00F273B0">
        <w:rPr>
          <w:lang w:val="en-GB"/>
        </w:rPr>
        <w:t>. Among the different biomolecules, tannins</w:t>
      </w:r>
      <w:r w:rsidR="001B177D">
        <w:rPr>
          <w:lang w:val="en-GB"/>
        </w:rPr>
        <w:t>, poly(phenol</w:t>
      </w:r>
      <w:r w:rsidR="008B2353">
        <w:rPr>
          <w:lang w:val="en-GB"/>
        </w:rPr>
        <w:t>ic</w:t>
      </w:r>
      <w:r w:rsidR="001B177D">
        <w:rPr>
          <w:lang w:val="en-GB"/>
        </w:rPr>
        <w:t xml:space="preserve">) compounds widely available in plants, </w:t>
      </w:r>
      <w:r w:rsidR="002D2698">
        <w:rPr>
          <w:lang w:val="en-GB"/>
        </w:rPr>
        <w:t>have been proposed for their</w:t>
      </w:r>
      <w:r w:rsidR="008B2353">
        <w:rPr>
          <w:lang w:val="en-GB"/>
        </w:rPr>
        <w:t xml:space="preserve"> well-</w:t>
      </w:r>
      <w:r w:rsidR="002D2698">
        <w:rPr>
          <w:lang w:val="en-GB"/>
        </w:rPr>
        <w:t xml:space="preserve">known ability to disrupt </w:t>
      </w:r>
      <w:r w:rsidR="001C0E52">
        <w:rPr>
          <w:lang w:val="en-GB"/>
        </w:rPr>
        <w:t>microbial cell function and inhibit microbial growth</w:t>
      </w:r>
      <w:r w:rsidR="00174EA6">
        <w:rPr>
          <w:lang w:val="en-GB"/>
        </w:rPr>
        <w:t xml:space="preserve"> </w:t>
      </w:r>
      <w:sdt>
        <w:sdtPr>
          <w:rPr>
            <w:color w:val="000000"/>
            <w:lang w:val="en-GB"/>
          </w:rPr>
          <w:tag w:val="MENDELEY_CITATION_v3_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"/>
          <w:id w:val="1017043048"/>
          <w:placeholder>
            <w:docPart w:val="DefaultPlaceholder_-1854013440"/>
          </w:placeholder>
        </w:sdtPr>
        <w:sdtEndPr/>
        <w:sdtContent>
          <w:r w:rsidR="00C07F18" w:rsidRPr="00C07F18">
            <w:rPr>
              <w:color w:val="000000"/>
              <w:lang w:val="en-GB"/>
            </w:rPr>
            <w:t>(</w:t>
          </w:r>
          <w:proofErr w:type="spellStart"/>
          <w:r w:rsidR="00C07F18" w:rsidRPr="00C07F18">
            <w:rPr>
              <w:color w:val="000000"/>
              <w:lang w:val="en-GB"/>
            </w:rPr>
            <w:t>Ozogul</w:t>
          </w:r>
          <w:proofErr w:type="spellEnd"/>
          <w:r w:rsidR="00C07F18" w:rsidRPr="00C07F18">
            <w:rPr>
              <w:color w:val="000000"/>
              <w:lang w:val="en-GB"/>
            </w:rPr>
            <w:t xml:space="preserve"> et al. 2025)</w:t>
          </w:r>
        </w:sdtContent>
      </w:sdt>
      <w:r w:rsidR="001C0E52">
        <w:rPr>
          <w:lang w:val="en-GB"/>
        </w:rPr>
        <w:t xml:space="preserve">. </w:t>
      </w:r>
    </w:p>
    <w:p w14:paraId="1AED3853" w14:textId="7D152B21" w:rsidR="00600535" w:rsidRDefault="004A19E2" w:rsidP="00A36113">
      <w:pPr>
        <w:pStyle w:val="CETBodytext"/>
        <w:rPr>
          <w:lang w:val="en-GB"/>
        </w:rPr>
      </w:pPr>
      <w:r>
        <w:rPr>
          <w:lang w:val="en-GB"/>
        </w:rPr>
        <w:t xml:space="preserve">The use of </w:t>
      </w:r>
      <w:r w:rsidR="00112C2A">
        <w:rPr>
          <w:lang w:val="en-GB"/>
        </w:rPr>
        <w:t xml:space="preserve">antimicrobial </w:t>
      </w:r>
      <w:r w:rsidR="00E96751">
        <w:rPr>
          <w:lang w:val="en-GB"/>
        </w:rPr>
        <w:t xml:space="preserve">plant </w:t>
      </w:r>
      <w:r w:rsidR="00112C2A">
        <w:rPr>
          <w:lang w:val="en-GB"/>
        </w:rPr>
        <w:t xml:space="preserve">extract for coating </w:t>
      </w:r>
      <w:r w:rsidR="0054233D">
        <w:rPr>
          <w:lang w:val="en-GB"/>
        </w:rPr>
        <w:t>packaging materials represents a</w:t>
      </w:r>
      <w:r w:rsidR="00691702">
        <w:rPr>
          <w:lang w:val="en-GB"/>
        </w:rPr>
        <w:t>n effective</w:t>
      </w:r>
      <w:r w:rsidR="0054233D">
        <w:rPr>
          <w:lang w:val="en-GB"/>
        </w:rPr>
        <w:t xml:space="preserve"> method for improving the food shelf-life</w:t>
      </w:r>
      <w:r w:rsidR="00E96751">
        <w:rPr>
          <w:lang w:val="en-GB"/>
        </w:rPr>
        <w:t>,</w:t>
      </w:r>
      <w:r w:rsidR="00E935B6">
        <w:rPr>
          <w:lang w:val="en-GB"/>
        </w:rPr>
        <w:t xml:space="preserve"> preserving the freshness and </w:t>
      </w:r>
      <w:r w:rsidR="0084329B">
        <w:rPr>
          <w:lang w:val="en-GB"/>
        </w:rPr>
        <w:t xml:space="preserve">prevent food spoilage. </w:t>
      </w:r>
      <w:r w:rsidR="00230658">
        <w:rPr>
          <w:lang w:val="en-GB"/>
        </w:rPr>
        <w:t>Vera et al. (</w:t>
      </w:r>
      <w:sdt>
        <w:sdtPr>
          <w:rPr>
            <w:color w:val="000000"/>
            <w:lang w:val="en-GB"/>
          </w:rPr>
          <w:tag w:val="MENDELEY_CITATION_v3_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"/>
          <w:id w:val="1307819984"/>
          <w:placeholder>
            <w:docPart w:val="DefaultPlaceholder_-1854013440"/>
          </w:placeholder>
        </w:sdtPr>
        <w:sdtEndPr/>
        <w:sdtContent>
          <w:r w:rsidR="00C07F18" w:rsidRPr="00C07F18">
            <w:rPr>
              <w:color w:val="000000"/>
              <w:lang w:val="en-GB"/>
            </w:rPr>
            <w:t>2023</w:t>
          </w:r>
        </w:sdtContent>
      </w:sdt>
      <w:r w:rsidR="00230658">
        <w:rPr>
          <w:lang w:val="en-GB"/>
        </w:rPr>
        <w:t xml:space="preserve">) reviewed </w:t>
      </w:r>
      <w:r w:rsidR="00B20605">
        <w:rPr>
          <w:lang w:val="en-GB"/>
        </w:rPr>
        <w:t>t</w:t>
      </w:r>
      <w:r w:rsidR="00662D12">
        <w:rPr>
          <w:lang w:val="en-GB"/>
        </w:rPr>
        <w:t>he potential of t</w:t>
      </w:r>
      <w:r w:rsidR="00500289">
        <w:rPr>
          <w:lang w:val="en-GB"/>
        </w:rPr>
        <w:t xml:space="preserve">annins </w:t>
      </w:r>
      <w:proofErr w:type="gramStart"/>
      <w:r w:rsidR="00B20605">
        <w:rPr>
          <w:lang w:val="en-GB"/>
        </w:rPr>
        <w:t xml:space="preserve">for the production </w:t>
      </w:r>
      <w:r w:rsidR="00A45308">
        <w:rPr>
          <w:lang w:val="en-GB"/>
        </w:rPr>
        <w:t>of</w:t>
      </w:r>
      <w:proofErr w:type="gramEnd"/>
      <w:r w:rsidR="00B20605">
        <w:rPr>
          <w:lang w:val="en-GB"/>
        </w:rPr>
        <w:t xml:space="preserve"> </w:t>
      </w:r>
      <w:r w:rsidR="00806B59">
        <w:rPr>
          <w:lang w:val="en-GB"/>
        </w:rPr>
        <w:t>active packaging</w:t>
      </w:r>
      <w:r w:rsidR="00563E27">
        <w:rPr>
          <w:lang w:val="en-GB"/>
        </w:rPr>
        <w:t xml:space="preserve">, and the effectiveness of </w:t>
      </w:r>
      <w:r w:rsidR="00B5276C">
        <w:rPr>
          <w:lang w:val="en-GB"/>
        </w:rPr>
        <w:t xml:space="preserve">tannins incorporated into biopolymers for enhancing the </w:t>
      </w:r>
      <w:r w:rsidR="001054C8">
        <w:rPr>
          <w:lang w:val="en-GB"/>
        </w:rPr>
        <w:t xml:space="preserve">shelf life were demonstrated with mango </w:t>
      </w:r>
      <w:sdt>
        <w:sdtPr>
          <w:rPr>
            <w:color w:val="000000"/>
            <w:lang w:val="en-GB"/>
          </w:rPr>
          <w:tag w:val="MENDELEY_CITATION_v3_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"/>
          <w:id w:val="-2027629341"/>
          <w:placeholder>
            <w:docPart w:val="DefaultPlaceholder_-1854013440"/>
          </w:placeholder>
        </w:sdtPr>
        <w:sdtEndPr/>
        <w:sdtContent>
          <w:r w:rsidR="00C07F18" w:rsidRPr="00C07F18">
            <w:rPr>
              <w:color w:val="000000"/>
              <w:lang w:val="en-GB"/>
            </w:rPr>
            <w:t>(Ma et al. 2021)</w:t>
          </w:r>
        </w:sdtContent>
      </w:sdt>
      <w:r w:rsidR="001054C8" w:rsidRPr="001054C8">
        <w:rPr>
          <w:lang w:val="en-GB"/>
        </w:rPr>
        <w:t>,</w:t>
      </w:r>
      <w:r w:rsidR="001054C8">
        <w:rPr>
          <w:lang w:val="en-GB"/>
        </w:rPr>
        <w:t xml:space="preserve"> </w:t>
      </w:r>
      <w:r w:rsidR="00553CB2">
        <w:rPr>
          <w:lang w:val="en-GB"/>
        </w:rPr>
        <w:t>grapes</w:t>
      </w:r>
      <w:r w:rsidR="00553CB2" w:rsidRPr="00553CB2">
        <w:rPr>
          <w:lang w:val="en-GB"/>
        </w:rPr>
        <w:t xml:space="preserve"> </w:t>
      </w:r>
      <w:r w:rsidR="00553CB2">
        <w:rPr>
          <w:lang w:val="en-GB"/>
        </w:rPr>
        <w:t xml:space="preserve">and </w:t>
      </w:r>
      <w:r w:rsidR="001054C8">
        <w:rPr>
          <w:lang w:val="en-GB"/>
        </w:rPr>
        <w:t xml:space="preserve">cherry tomatoes </w:t>
      </w:r>
      <w:sdt>
        <w:sdtPr>
          <w:rPr>
            <w:color w:val="000000"/>
            <w:lang w:val="en-GB"/>
          </w:rPr>
          <w:tag w:val="MENDELEY_CITATION_v3_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"/>
          <w:id w:val="1785770203"/>
          <w:placeholder>
            <w:docPart w:val="DefaultPlaceholder_-1854013440"/>
          </w:placeholder>
        </w:sdtPr>
        <w:sdtEndPr/>
        <w:sdtContent>
          <w:r w:rsidR="00C07F18" w:rsidRPr="00C07F18">
            <w:rPr>
              <w:color w:val="000000"/>
              <w:lang w:val="en-GB"/>
            </w:rPr>
            <w:t>(Halim et al. 2018)</w:t>
          </w:r>
        </w:sdtContent>
      </w:sdt>
      <w:r w:rsidR="00A45308">
        <w:rPr>
          <w:color w:val="000000"/>
          <w:lang w:val="en-GB"/>
        </w:rPr>
        <w:t>.</w:t>
      </w:r>
    </w:p>
    <w:p w14:paraId="1A7E5FF9" w14:textId="0FBB254E" w:rsidR="00553CB2" w:rsidRDefault="00553CB2" w:rsidP="00A36113">
      <w:pPr>
        <w:pStyle w:val="CETBodytext"/>
      </w:pPr>
      <w:r>
        <w:rPr>
          <w:lang w:val="en-GB"/>
        </w:rPr>
        <w:t>In the present work, tannin</w:t>
      </w:r>
      <w:r w:rsidR="00691702">
        <w:rPr>
          <w:lang w:val="en-GB"/>
        </w:rPr>
        <w:t xml:space="preserve"> </w:t>
      </w:r>
      <w:r>
        <w:rPr>
          <w:lang w:val="en-GB"/>
        </w:rPr>
        <w:t xml:space="preserve">extract was used for coating paperboard trays </w:t>
      </w:r>
      <w:r w:rsidR="00DB3EEE">
        <w:rPr>
          <w:lang w:val="en-GB"/>
        </w:rPr>
        <w:t>with the final aim to produce an</w:t>
      </w:r>
      <w:r w:rsidR="00691702">
        <w:rPr>
          <w:lang w:val="en-GB"/>
        </w:rPr>
        <w:t xml:space="preserve"> </w:t>
      </w:r>
      <w:r w:rsidR="00DB3EEE">
        <w:rPr>
          <w:lang w:val="en-GB"/>
        </w:rPr>
        <w:t>active packaging solution. The effectiveness</w:t>
      </w:r>
      <w:r w:rsidR="008B202D">
        <w:rPr>
          <w:lang w:val="en-GB"/>
        </w:rPr>
        <w:t xml:space="preserve"> of th</w:t>
      </w:r>
      <w:r w:rsidR="00691702">
        <w:rPr>
          <w:lang w:val="en-GB"/>
        </w:rPr>
        <w:t>is</w:t>
      </w:r>
      <w:r w:rsidR="008B202D">
        <w:rPr>
          <w:lang w:val="en-GB"/>
        </w:rPr>
        <w:t xml:space="preserve"> alternative packaging was evaluated</w:t>
      </w:r>
      <w:r w:rsidR="00661158">
        <w:rPr>
          <w:lang w:val="en-GB"/>
        </w:rPr>
        <w:t xml:space="preserve"> by</w:t>
      </w:r>
      <w:r w:rsidR="008B202D">
        <w:rPr>
          <w:lang w:val="en-GB"/>
        </w:rPr>
        <w:t xml:space="preserve"> monitoring the quality parameters of strawberries and asses</w:t>
      </w:r>
      <w:r w:rsidR="00661158">
        <w:rPr>
          <w:lang w:val="en-GB"/>
        </w:rPr>
        <w:t>sing the potential shelf-life improvement</w:t>
      </w:r>
      <w:r w:rsidR="00691702">
        <w:rPr>
          <w:lang w:val="en-GB"/>
        </w:rPr>
        <w:t>s</w:t>
      </w:r>
      <w:r w:rsidR="00661158">
        <w:rPr>
          <w:lang w:val="en-GB"/>
        </w:rPr>
        <w:t xml:space="preserve">. </w:t>
      </w:r>
    </w:p>
    <w:p w14:paraId="5741900F" w14:textId="022D68ED" w:rsidR="00453E24" w:rsidRDefault="007A38BC" w:rsidP="00453E24">
      <w:pPr>
        <w:pStyle w:val="CETHeading1"/>
      </w:pPr>
      <w:r>
        <w:t>Materials and Methods</w:t>
      </w:r>
    </w:p>
    <w:p w14:paraId="0C774AE7" w14:textId="77B5ABF8" w:rsidR="004E666D" w:rsidRPr="004E666D" w:rsidRDefault="007A38BC" w:rsidP="004E666D">
      <w:pPr>
        <w:pStyle w:val="CETheadingx"/>
      </w:pPr>
      <w:r>
        <w:t>Materials</w:t>
      </w:r>
    </w:p>
    <w:p w14:paraId="7C2B0064" w14:textId="6BF57DF1" w:rsidR="00453E24" w:rsidRDefault="007A38BC" w:rsidP="00453E24">
      <w:pPr>
        <w:pStyle w:val="CETBodytext"/>
      </w:pPr>
      <w:r>
        <w:t xml:space="preserve">Pre-formed paper-based containers </w:t>
      </w:r>
      <w:r w:rsidR="004E666D">
        <w:t>measured 10.5 x 5 x 10 cm, with a total volume of 525 cm</w:t>
      </w:r>
      <w:r w:rsidR="004E666D">
        <w:rPr>
          <w:vertAlign w:val="superscript"/>
        </w:rPr>
        <w:t>3</w:t>
      </w:r>
      <w:r w:rsidR="00DA0106">
        <w:t xml:space="preserve"> were used</w:t>
      </w:r>
      <w:r w:rsidR="004E666D">
        <w:t xml:space="preserve">. </w:t>
      </w:r>
      <w:r w:rsidR="005551BA">
        <w:t>Two</w:t>
      </w:r>
      <w:r w:rsidR="004E666D">
        <w:t xml:space="preserve"> groups were</w:t>
      </w:r>
      <w:r w:rsidR="005551BA">
        <w:t xml:space="preserve"> prepared</w:t>
      </w:r>
      <w:r w:rsidR="004E666D">
        <w:t xml:space="preserve"> for the trials and were represented by </w:t>
      </w:r>
      <w:r w:rsidR="004E666D" w:rsidRPr="004E666D">
        <w:rPr>
          <w:lang w:val="en-GB"/>
        </w:rPr>
        <w:t>tannin-based coating</w:t>
      </w:r>
      <w:r w:rsidR="004E666D">
        <w:rPr>
          <w:lang w:val="en-GB"/>
        </w:rPr>
        <w:t xml:space="preserve"> </w:t>
      </w:r>
      <w:r w:rsidR="004E666D">
        <w:t>containers and uncoated containers, representing the control samples. Fresh strawberries were provided by a local greenhouse and were selected as food model for their small size and short shelf-life. Only undamaged fruits were selected for the experiments.</w:t>
      </w:r>
    </w:p>
    <w:p w14:paraId="3B338282" w14:textId="47E0B1F2" w:rsidR="00964BBC" w:rsidRDefault="00964BBC" w:rsidP="00964BBC">
      <w:pPr>
        <w:pStyle w:val="CETheadingx"/>
        <w:rPr>
          <w:bCs/>
        </w:rPr>
      </w:pPr>
      <w:r>
        <w:rPr>
          <w:bCs/>
        </w:rPr>
        <w:lastRenderedPageBreak/>
        <w:t>Antimicrobial acti</w:t>
      </w:r>
      <w:r w:rsidR="00850423">
        <w:rPr>
          <w:bCs/>
        </w:rPr>
        <w:t>vity of tannin extract</w:t>
      </w:r>
    </w:p>
    <w:p w14:paraId="6047BD3C" w14:textId="5824FE80" w:rsidR="00964BBC" w:rsidRPr="00AA3DC4" w:rsidRDefault="00850423" w:rsidP="00AA3DC4">
      <w:pPr>
        <w:rPr>
          <w:lang w:val="en-US"/>
        </w:rPr>
      </w:pPr>
      <w:r w:rsidRPr="00850423">
        <w:rPr>
          <w:lang w:val="en-US"/>
        </w:rPr>
        <w:t xml:space="preserve">The antimicrobial activity of the tannin extract was evaluated against </w:t>
      </w:r>
      <w:r w:rsidRPr="00850423">
        <w:rPr>
          <w:i/>
          <w:iCs/>
          <w:lang w:val="en-US"/>
        </w:rPr>
        <w:t xml:space="preserve">Staphylococcus </w:t>
      </w:r>
      <w:proofErr w:type="spellStart"/>
      <w:r w:rsidRPr="00850423">
        <w:rPr>
          <w:i/>
          <w:iCs/>
          <w:lang w:val="en-US"/>
        </w:rPr>
        <w:t>xylosus</w:t>
      </w:r>
      <w:proofErr w:type="spellEnd"/>
      <w:r w:rsidR="00956986">
        <w:rPr>
          <w:lang w:val="en-US"/>
        </w:rPr>
        <w:t xml:space="preserve">, </w:t>
      </w:r>
      <w:r w:rsidRPr="00850423">
        <w:rPr>
          <w:i/>
          <w:iCs/>
          <w:lang w:val="en-US"/>
        </w:rPr>
        <w:t xml:space="preserve">Listeria </w:t>
      </w:r>
      <w:proofErr w:type="spellStart"/>
      <w:r w:rsidRPr="00850423">
        <w:rPr>
          <w:i/>
          <w:iCs/>
          <w:lang w:val="en-US"/>
        </w:rPr>
        <w:t>innocua</w:t>
      </w:r>
      <w:proofErr w:type="spellEnd"/>
      <w:r w:rsidR="00447631">
        <w:rPr>
          <w:i/>
          <w:iCs/>
          <w:lang w:val="en-US"/>
        </w:rPr>
        <w:t>,</w:t>
      </w:r>
      <w:r w:rsidRPr="00850423">
        <w:rPr>
          <w:lang w:val="en-US"/>
        </w:rPr>
        <w:t xml:space="preserve"> </w:t>
      </w:r>
      <w:r w:rsidR="00447631" w:rsidRPr="00447631">
        <w:rPr>
          <w:i/>
          <w:iCs/>
          <w:lang w:val="en-US"/>
        </w:rPr>
        <w:t>Escherichia coli</w:t>
      </w:r>
      <w:r w:rsidR="00447631">
        <w:rPr>
          <w:i/>
          <w:iCs/>
          <w:lang w:val="en-US"/>
        </w:rPr>
        <w:t>,</w:t>
      </w:r>
      <w:r w:rsidR="00447631" w:rsidRPr="00447631">
        <w:rPr>
          <w:i/>
          <w:iCs/>
          <w:lang w:val="en-US"/>
        </w:rPr>
        <w:t xml:space="preserve"> Pseudomonas fluorescens</w:t>
      </w:r>
      <w:r w:rsidR="00447631" w:rsidRPr="00447631">
        <w:rPr>
          <w:lang w:val="en-US"/>
        </w:rPr>
        <w:t xml:space="preserve"> </w:t>
      </w:r>
      <w:r w:rsidR="00B90BFF">
        <w:rPr>
          <w:lang w:val="en-US"/>
        </w:rPr>
        <w:t xml:space="preserve">and </w:t>
      </w:r>
      <w:r w:rsidR="00B90BFF" w:rsidRPr="00B90BFF">
        <w:rPr>
          <w:i/>
          <w:iCs/>
          <w:lang w:val="en-US"/>
        </w:rPr>
        <w:t>Saccharomyces cerevisiae</w:t>
      </w:r>
      <w:r w:rsidR="00B90BFF">
        <w:rPr>
          <w:lang w:val="en-US"/>
        </w:rPr>
        <w:t xml:space="preserve"> </w:t>
      </w:r>
      <w:r w:rsidRPr="00850423">
        <w:rPr>
          <w:lang w:val="en-US"/>
        </w:rPr>
        <w:t xml:space="preserve">at the following concentrations: 0.5%, 0.25%, 0.125%, and 0.0625%. </w:t>
      </w:r>
      <w:r w:rsidR="00AA3DC4" w:rsidRPr="00AA3DC4">
        <w:rPr>
          <w:lang w:val="en-US"/>
        </w:rPr>
        <w:t>Inoculations were made with 2.5 m</w:t>
      </w:r>
      <w:r w:rsidR="00AA3DC4">
        <w:rPr>
          <w:lang w:val="en-US"/>
        </w:rPr>
        <w:t>L</w:t>
      </w:r>
      <w:r w:rsidR="00AA3DC4" w:rsidRPr="00AA3DC4">
        <w:rPr>
          <w:lang w:val="en-US"/>
        </w:rPr>
        <w:t xml:space="preserve"> of TSB 2X medium inoculated with the bacteria (1% inoculum) and 2.5 m</w:t>
      </w:r>
      <w:r w:rsidR="00057406">
        <w:rPr>
          <w:lang w:val="en-US"/>
        </w:rPr>
        <w:t>L</w:t>
      </w:r>
      <w:r w:rsidR="00AA3DC4" w:rsidRPr="00AA3DC4">
        <w:rPr>
          <w:lang w:val="en-US"/>
        </w:rPr>
        <w:t xml:space="preserve"> of tannin extract (total volume of 5 m</w:t>
      </w:r>
      <w:r w:rsidR="00057406">
        <w:rPr>
          <w:lang w:val="en-US"/>
        </w:rPr>
        <w:t>L</w:t>
      </w:r>
      <w:r w:rsidR="00AA3DC4" w:rsidRPr="00AA3DC4">
        <w:rPr>
          <w:lang w:val="en-US"/>
        </w:rPr>
        <w:t>). The control consisted of 5 m</w:t>
      </w:r>
      <w:r w:rsidR="00057406">
        <w:rPr>
          <w:lang w:val="en-US"/>
        </w:rPr>
        <w:t>L</w:t>
      </w:r>
      <w:r w:rsidR="00AA3DC4" w:rsidRPr="00AA3DC4">
        <w:rPr>
          <w:lang w:val="en-US"/>
        </w:rPr>
        <w:t xml:space="preserve"> of TSB medium with 1% inoculum. After 24 hours of incubation, colony counts were performed</w:t>
      </w:r>
      <w:r w:rsidR="00DA67AA">
        <w:rPr>
          <w:lang w:val="en-US"/>
        </w:rPr>
        <w:t>.</w:t>
      </w:r>
    </w:p>
    <w:p w14:paraId="18BAFA6F" w14:textId="08BCEE84" w:rsidR="00453E24" w:rsidRPr="004E666D" w:rsidRDefault="004E666D" w:rsidP="004E666D">
      <w:pPr>
        <w:pStyle w:val="CETheadingx"/>
        <w:rPr>
          <w:bCs/>
        </w:rPr>
      </w:pPr>
      <w:r w:rsidRPr="004E666D">
        <w:rPr>
          <w:bCs/>
        </w:rPr>
        <w:t>S</w:t>
      </w:r>
      <w:r w:rsidR="00076F4A" w:rsidRPr="004E666D">
        <w:rPr>
          <w:bCs/>
        </w:rPr>
        <w:t>torage conditions</w:t>
      </w:r>
    </w:p>
    <w:p w14:paraId="2AFC37D5" w14:textId="3E7009B6" w:rsidR="004E666D" w:rsidRDefault="004E666D" w:rsidP="004E666D">
      <w:pPr>
        <w:pStyle w:val="CETBodytext"/>
        <w:rPr>
          <w:lang w:val="en-GB"/>
        </w:rPr>
      </w:pPr>
      <w:r>
        <w:rPr>
          <w:lang w:val="en-GB"/>
        </w:rPr>
        <w:t>The containers were filled with strawberries by maintaining a net weight of 250 g for each container. The samples were stored in a climatic chamber set at 5°C and 85% relative humidity, under dark conditions. The containers were stored for 19 days and monitored every 2/3 days, for a total of 9 time points</w:t>
      </w:r>
      <w:r w:rsidR="00010DD2">
        <w:rPr>
          <w:lang w:val="en-GB"/>
        </w:rPr>
        <w:t xml:space="preserve"> (Figure 1).</w:t>
      </w:r>
    </w:p>
    <w:p w14:paraId="49E412C4" w14:textId="77777777" w:rsidR="00451566" w:rsidRDefault="00451566" w:rsidP="004E666D">
      <w:pPr>
        <w:pStyle w:val="CETBodytext"/>
        <w:rPr>
          <w:lang w:val="en-GB"/>
        </w:rPr>
      </w:pPr>
    </w:p>
    <w:p w14:paraId="4C308109" w14:textId="2B04854D" w:rsidR="00451566" w:rsidRDefault="00073A81" w:rsidP="004E666D">
      <w:pPr>
        <w:pStyle w:val="CETBodytext"/>
        <w:rPr>
          <w:lang w:val="en-GB"/>
        </w:rPr>
      </w:pPr>
      <w:r>
        <w:rPr>
          <w:noProof/>
          <w:lang w:val="en-GB"/>
        </w:rPr>
        <w:drawing>
          <wp:inline distT="0" distB="0" distL="0" distR="0" wp14:anchorId="6EC37CCE" wp14:editId="3E63CD37">
            <wp:extent cx="5485433" cy="2976401"/>
            <wp:effectExtent l="0" t="0" r="1270" b="0"/>
            <wp:docPr id="8427582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8496" cy="2983489"/>
                    </a:xfrm>
                    <a:prstGeom prst="rect">
                      <a:avLst/>
                    </a:prstGeom>
                    <a:noFill/>
                  </pic:spPr>
                </pic:pic>
              </a:graphicData>
            </a:graphic>
          </wp:inline>
        </w:drawing>
      </w:r>
    </w:p>
    <w:p w14:paraId="54CD15CE" w14:textId="11B429B0" w:rsidR="00010DD2" w:rsidRPr="00010DD2" w:rsidRDefault="00010DD2" w:rsidP="0046503A">
      <w:pPr>
        <w:pStyle w:val="CETListbullets"/>
        <w:spacing w:before="240"/>
        <w:ind w:left="0" w:firstLine="0"/>
        <w:rPr>
          <w:i/>
        </w:rPr>
      </w:pPr>
      <w:r w:rsidRPr="00BD077D">
        <w:rPr>
          <w:rStyle w:val="CETCaptionCarattere"/>
        </w:rPr>
        <w:t xml:space="preserve">Figure </w:t>
      </w:r>
      <w:r>
        <w:rPr>
          <w:rStyle w:val="CETCaptionCarattere"/>
        </w:rPr>
        <w:t>1</w:t>
      </w:r>
      <w:r w:rsidRPr="00BD077D">
        <w:rPr>
          <w:rStyle w:val="CETCaptionCarattere"/>
        </w:rPr>
        <w:t xml:space="preserve">: </w:t>
      </w:r>
      <w:r w:rsidR="00006CA1">
        <w:rPr>
          <w:rStyle w:val="CETCaptionCarattere"/>
        </w:rPr>
        <w:t xml:space="preserve">Pictures of </w:t>
      </w:r>
      <w:r w:rsidR="00006CA1" w:rsidRPr="00006CA1">
        <w:rPr>
          <w:i/>
        </w:rPr>
        <w:t xml:space="preserve">samples during the different sampling and monitoring times. In the top row, the set of replicates in </w:t>
      </w:r>
      <w:r w:rsidR="00006CA1">
        <w:rPr>
          <w:i/>
        </w:rPr>
        <w:t>uncoated</w:t>
      </w:r>
      <w:r w:rsidR="00006CA1" w:rsidRPr="00006CA1">
        <w:rPr>
          <w:i/>
        </w:rPr>
        <w:t xml:space="preserve"> cardboard, in the bottom row, the set of replicates in </w:t>
      </w:r>
      <w:r w:rsidR="00006CA1">
        <w:rPr>
          <w:i/>
        </w:rPr>
        <w:t>tannin-coated</w:t>
      </w:r>
      <w:r w:rsidR="00006CA1" w:rsidRPr="00006CA1">
        <w:rPr>
          <w:i/>
        </w:rPr>
        <w:t xml:space="preserve"> cardboard.</w:t>
      </w:r>
    </w:p>
    <w:p w14:paraId="03BF6255" w14:textId="674B13F2" w:rsidR="00312C27" w:rsidRDefault="00076F4A" w:rsidP="00312C27">
      <w:pPr>
        <w:pStyle w:val="CETheadingx"/>
        <w:rPr>
          <w:bCs/>
          <w:lang w:val="en-GB"/>
        </w:rPr>
      </w:pPr>
      <w:r>
        <w:rPr>
          <w:bCs/>
          <w:lang w:val="en-GB"/>
        </w:rPr>
        <w:t>M</w:t>
      </w:r>
      <w:r w:rsidRPr="00312C27">
        <w:rPr>
          <w:bCs/>
          <w:lang w:val="en-GB"/>
        </w:rPr>
        <w:t>icrobiological analysis</w:t>
      </w:r>
    </w:p>
    <w:p w14:paraId="71E427D8" w14:textId="1C99D44F" w:rsidR="00312C27" w:rsidRPr="00312C27" w:rsidRDefault="00312C27" w:rsidP="00312C27">
      <w:pPr>
        <w:pStyle w:val="CETBodytext"/>
        <w:rPr>
          <w:lang w:val="en-GB"/>
        </w:rPr>
      </w:pPr>
      <w:r>
        <w:rPr>
          <w:lang w:val="en-GB"/>
        </w:rPr>
        <w:t xml:space="preserve">Microbiological analyses were performed on strawberries at the different time points. </w:t>
      </w:r>
      <w:proofErr w:type="gramStart"/>
      <w:r>
        <w:rPr>
          <w:lang w:val="en-GB"/>
        </w:rPr>
        <w:t>In particular, six</w:t>
      </w:r>
      <w:proofErr w:type="gramEnd"/>
      <w:r>
        <w:rPr>
          <w:lang w:val="en-GB"/>
        </w:rPr>
        <w:t xml:space="preserve"> strawberries were used </w:t>
      </w:r>
      <w:r w:rsidR="00C05A48">
        <w:rPr>
          <w:lang w:val="en-GB"/>
        </w:rPr>
        <w:t>from</w:t>
      </w:r>
      <w:r>
        <w:rPr>
          <w:lang w:val="en-GB"/>
        </w:rPr>
        <w:t xml:space="preserve"> each container. The analysis involved </w:t>
      </w:r>
      <w:r w:rsidRPr="00312C27">
        <w:rPr>
          <w:lang w:val="en-GB"/>
        </w:rPr>
        <w:t>mesophilic bacteria count</w:t>
      </w:r>
      <w:r w:rsidR="00395BD8">
        <w:rPr>
          <w:lang w:val="en-GB"/>
        </w:rPr>
        <w:t xml:space="preserve"> (CMT)</w:t>
      </w:r>
      <w:r w:rsidRPr="00312C27">
        <w:rPr>
          <w:lang w:val="en-GB"/>
        </w:rPr>
        <w:t xml:space="preserve"> (ISO 15214:1998), yeast presence, and fungal contamination (ISO 21527 2:2008).</w:t>
      </w:r>
      <w:r>
        <w:rPr>
          <w:lang w:val="en-GB"/>
        </w:rPr>
        <w:t xml:space="preserve"> </w:t>
      </w:r>
    </w:p>
    <w:p w14:paraId="65C9A4AD" w14:textId="648761EC" w:rsidR="00312C27" w:rsidRDefault="00076F4A" w:rsidP="00312C27">
      <w:pPr>
        <w:pStyle w:val="CETheadingx"/>
      </w:pPr>
      <w:r>
        <w:t>C</w:t>
      </w:r>
      <w:r w:rsidRPr="00312C27">
        <w:t>olor analysis</w:t>
      </w:r>
    </w:p>
    <w:p w14:paraId="7B8F68CA" w14:textId="65D0D407" w:rsidR="00312C27" w:rsidRDefault="00C05A48" w:rsidP="00312C27">
      <w:pPr>
        <w:pStyle w:val="CETBodytext"/>
        <w:rPr>
          <w:lang w:val="en-GB"/>
        </w:rPr>
      </w:pPr>
      <w:r>
        <w:rPr>
          <w:lang w:val="en-GB"/>
        </w:rPr>
        <w:t>Colour</w:t>
      </w:r>
      <w:r w:rsidR="00312C27">
        <w:rPr>
          <w:lang w:val="en-GB"/>
        </w:rPr>
        <w:t xml:space="preserve"> parameters were measured with a CHROMA METER CR-400 (Konica Minolta). In particular, </w:t>
      </w:r>
      <w:r w:rsidR="00676559">
        <w:rPr>
          <w:lang w:val="en-GB"/>
        </w:rPr>
        <w:t xml:space="preserve">the CIELAB coordinates were assessed, including </w:t>
      </w:r>
      <w:r w:rsidR="00676559" w:rsidRPr="00676559">
        <w:rPr>
          <w:i/>
          <w:iCs/>
          <w:lang w:val="en-GB"/>
        </w:rPr>
        <w:t xml:space="preserve">L* </w:t>
      </w:r>
      <w:r w:rsidR="00676559" w:rsidRPr="00676559">
        <w:rPr>
          <w:lang w:val="en-GB"/>
        </w:rPr>
        <w:t xml:space="preserve">(luminosity), </w:t>
      </w:r>
      <w:r w:rsidR="00676559" w:rsidRPr="00676559">
        <w:rPr>
          <w:i/>
          <w:iCs/>
          <w:lang w:val="en-GB"/>
        </w:rPr>
        <w:t>a*</w:t>
      </w:r>
      <w:r w:rsidR="00676559" w:rsidRPr="00676559">
        <w:rPr>
          <w:lang w:val="en-GB"/>
        </w:rPr>
        <w:t xml:space="preserve"> (red-green axis), and </w:t>
      </w:r>
      <w:r w:rsidR="00676559" w:rsidRPr="00676559">
        <w:rPr>
          <w:i/>
          <w:iCs/>
          <w:lang w:val="en-GB"/>
        </w:rPr>
        <w:t>b*</w:t>
      </w:r>
      <w:r w:rsidR="00676559" w:rsidRPr="00676559">
        <w:rPr>
          <w:lang w:val="en-GB"/>
        </w:rPr>
        <w:t xml:space="preserve"> (yellow-blue axis).</w:t>
      </w:r>
      <w:r w:rsidR="00676559">
        <w:rPr>
          <w:lang w:val="en-GB"/>
        </w:rPr>
        <w:t xml:space="preserve"> </w:t>
      </w:r>
      <w:r w:rsidR="00676559" w:rsidRPr="00676559">
        <w:rPr>
          <w:i/>
          <w:iCs/>
          <w:lang w:val="en-GB"/>
        </w:rPr>
        <w:t>ΔE</w:t>
      </w:r>
      <w:r w:rsidR="00676559">
        <w:rPr>
          <w:i/>
          <w:iCs/>
          <w:lang w:val="en-GB"/>
        </w:rPr>
        <w:t xml:space="preserve"> </w:t>
      </w:r>
      <w:r w:rsidR="00676559">
        <w:rPr>
          <w:lang w:val="en-GB"/>
        </w:rPr>
        <w:t xml:space="preserve">was also calculated with the following equation </w:t>
      </w:r>
      <w:proofErr w:type="spellStart"/>
      <w:proofErr w:type="gramStart"/>
      <w:r w:rsidR="00676559">
        <w:rPr>
          <w:lang w:val="en-GB"/>
        </w:rPr>
        <w:t>Eq</w:t>
      </w:r>
      <w:proofErr w:type="spellEnd"/>
      <w:r w:rsidR="00676559">
        <w:rPr>
          <w:lang w:val="en-GB"/>
        </w:rPr>
        <w:t>(</w:t>
      </w:r>
      <w:proofErr w:type="gramEnd"/>
      <w:r w:rsidR="00676559">
        <w:rPr>
          <w:lang w:val="en-GB"/>
        </w:rPr>
        <w:t>1).</w:t>
      </w:r>
    </w:p>
    <w:p w14:paraId="455C9F67" w14:textId="5EAAF2D3" w:rsidR="00676559" w:rsidRPr="00676559" w:rsidRDefault="00676559" w:rsidP="00312C27">
      <w:pPr>
        <w:pStyle w:val="CETBodytext"/>
        <w:rPr>
          <w:lang w:val="en-GB"/>
        </w:rPr>
      </w:pPr>
      <m:oMath>
        <m:r>
          <w:rPr>
            <w:rFonts w:ascii="Cambria Math" w:hAnsi="Cambria Math"/>
            <w:lang w:val="en-GB"/>
          </w:rPr>
          <m:t>∆E=</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e>
        </m:rad>
      </m:oMath>
      <w:r>
        <w:rPr>
          <w:lang w:val="en-GB"/>
        </w:rPr>
        <w:t xml:space="preserve"> </w:t>
      </w:r>
      <w:r>
        <w:rPr>
          <w:lang w:val="en-GB"/>
        </w:rPr>
        <w:tab/>
      </w:r>
      <w:r>
        <w:rPr>
          <w:lang w:val="en-GB"/>
        </w:rPr>
        <w:tab/>
      </w:r>
      <w:r>
        <w:rPr>
          <w:lang w:val="en-GB"/>
        </w:rPr>
        <w:tab/>
        <w:t>(1)</w:t>
      </w:r>
    </w:p>
    <w:p w14:paraId="569D2D9E" w14:textId="0892B467" w:rsidR="00676559" w:rsidRDefault="002E2046" w:rsidP="00676559">
      <w:pPr>
        <w:pStyle w:val="CETheadingx"/>
      </w:pPr>
      <w:r>
        <w:rPr>
          <w:lang w:val="en-GB"/>
        </w:rPr>
        <w:t>T</w:t>
      </w:r>
      <w:r w:rsidR="00076F4A" w:rsidRPr="00676559">
        <w:rPr>
          <w:lang w:val="en-GB"/>
        </w:rPr>
        <w:t>exture analysis</w:t>
      </w:r>
    </w:p>
    <w:p w14:paraId="17BF1EA1" w14:textId="59A8760A" w:rsidR="00676559" w:rsidRDefault="00676559" w:rsidP="00676559">
      <w:pPr>
        <w:pStyle w:val="CETBodytext"/>
        <w:rPr>
          <w:lang w:val="en-GB"/>
        </w:rPr>
      </w:pPr>
      <w:r>
        <w:rPr>
          <w:lang w:val="en-GB"/>
        </w:rPr>
        <w:t xml:space="preserve">Texture analysis was performed using a </w:t>
      </w:r>
      <w:r w:rsidRPr="00676559">
        <w:rPr>
          <w:lang w:val="en-GB"/>
        </w:rPr>
        <w:t xml:space="preserve">texture </w:t>
      </w:r>
      <w:proofErr w:type="spellStart"/>
      <w:r w:rsidRPr="00676559">
        <w:rPr>
          <w:lang w:val="en-GB"/>
        </w:rPr>
        <w:t>analyzer</w:t>
      </w:r>
      <w:proofErr w:type="spellEnd"/>
      <w:r>
        <w:rPr>
          <w:lang w:val="en-GB"/>
        </w:rPr>
        <w:t xml:space="preserve"> TX-700 device (Lamy Rheology Instruments) and the resistance to compression was measured with a cylindric probe 130037 and </w:t>
      </w:r>
      <w:r w:rsidRPr="00676559">
        <w:rPr>
          <w:lang w:val="en-GB"/>
        </w:rPr>
        <w:t>a speed of 0.33 mm/s, a trigger force of 0.01 N</w:t>
      </w:r>
      <w:r w:rsidR="0062220A">
        <w:rPr>
          <w:lang w:val="en-GB"/>
        </w:rPr>
        <w:t xml:space="preserve"> and</w:t>
      </w:r>
      <w:r w:rsidRPr="00676559">
        <w:rPr>
          <w:lang w:val="en-GB"/>
        </w:rPr>
        <w:t xml:space="preserve"> a return position of 40</w:t>
      </w:r>
      <w:r w:rsidR="0062220A">
        <w:rPr>
          <w:lang w:val="en-GB"/>
        </w:rPr>
        <w:t xml:space="preserve"> </w:t>
      </w:r>
      <w:r w:rsidRPr="00676559">
        <w:rPr>
          <w:lang w:val="en-GB"/>
        </w:rPr>
        <w:t>mm.</w:t>
      </w:r>
      <w:r>
        <w:rPr>
          <w:lang w:val="en-GB"/>
        </w:rPr>
        <w:t xml:space="preserve"> For the analysis, three strawberries per containers were tested and the average forces were recorded.</w:t>
      </w:r>
    </w:p>
    <w:p w14:paraId="26193F21" w14:textId="56162221" w:rsidR="00076F4A" w:rsidRDefault="00076F4A" w:rsidP="00076F4A">
      <w:pPr>
        <w:pStyle w:val="CETheadingx"/>
      </w:pPr>
      <w:r>
        <w:t>W</w:t>
      </w:r>
      <w:r w:rsidRPr="00076F4A">
        <w:t>eight loss evaluation</w:t>
      </w:r>
    </w:p>
    <w:p w14:paraId="15D17122" w14:textId="1113956C" w:rsidR="00076F4A" w:rsidRDefault="00076F4A" w:rsidP="00676559">
      <w:pPr>
        <w:pStyle w:val="CETBodytext"/>
      </w:pPr>
      <w:r>
        <w:t xml:space="preserve">Weight loss was monitored at each time points by using the following formula </w:t>
      </w:r>
      <w:proofErr w:type="gramStart"/>
      <w:r>
        <w:t>Eq(</w:t>
      </w:r>
      <w:proofErr w:type="gramEnd"/>
      <w:r>
        <w:t>2):</w:t>
      </w:r>
    </w:p>
    <w:p w14:paraId="281E0145" w14:textId="667BA40A" w:rsidR="00076F4A" w:rsidRDefault="0046503A" w:rsidP="00076F4A">
      <w:pPr>
        <w:pStyle w:val="CETHeading1"/>
        <w:numPr>
          <w:ilvl w:val="0"/>
          <w:numId w:val="0"/>
        </w:numPr>
        <w:tabs>
          <w:tab w:val="right" w:pos="7100"/>
        </w:tabs>
        <w:jc w:val="both"/>
        <w:rPr>
          <w:b w:val="0"/>
          <w:bCs/>
          <w:iCs/>
          <w:sz w:val="18"/>
          <w:szCs w:val="18"/>
        </w:rPr>
      </w:pPr>
      <m:oMath>
        <m:r>
          <m:rPr>
            <m:sty m:val="p"/>
          </m:rPr>
          <w:rPr>
            <w:rFonts w:ascii="Cambria Math" w:hAnsi="Cambria Math"/>
            <w:sz w:val="18"/>
            <w:szCs w:val="18"/>
          </w:rPr>
          <w:lastRenderedPageBreak/>
          <m:t>weight loss=</m:t>
        </m:r>
        <m:f>
          <m:fPr>
            <m:ctrlPr>
              <w:rPr>
                <w:rFonts w:ascii="Cambria Math" w:hAnsi="Cambria Math"/>
                <w:b w:val="0"/>
                <w:bCs/>
                <w:iCs/>
                <w:sz w:val="18"/>
                <w:szCs w:val="18"/>
              </w:rPr>
            </m:ctrlPr>
          </m:fPr>
          <m:num>
            <m:r>
              <m:rPr>
                <m:sty m:val="p"/>
              </m:rPr>
              <w:rPr>
                <w:rFonts w:ascii="Cambria Math" w:hAnsi="Cambria Math"/>
                <w:sz w:val="18"/>
                <w:szCs w:val="18"/>
              </w:rPr>
              <m:t>Wi-Wf</m:t>
            </m:r>
          </m:num>
          <m:den>
            <m:r>
              <m:rPr>
                <m:sty m:val="p"/>
              </m:rPr>
              <w:rPr>
                <w:rFonts w:ascii="Cambria Math" w:hAnsi="Cambria Math"/>
                <w:sz w:val="18"/>
                <w:szCs w:val="18"/>
              </w:rPr>
              <m:t>Wi</m:t>
            </m:r>
          </m:den>
        </m:f>
        <m:r>
          <m:rPr>
            <m:sty m:val="p"/>
          </m:rPr>
          <w:rPr>
            <w:rFonts w:ascii="Cambria Math" w:hAnsi="Cambria Math"/>
            <w:sz w:val="18"/>
            <w:szCs w:val="18"/>
          </w:rPr>
          <m:t>x 100</m:t>
        </m:r>
      </m:oMath>
      <w:r w:rsidR="00076F4A">
        <w:rPr>
          <w:b w:val="0"/>
          <w:bCs/>
          <w:iCs/>
          <w:sz w:val="18"/>
          <w:szCs w:val="18"/>
        </w:rPr>
        <w:t xml:space="preserve"> </w:t>
      </w:r>
      <w:r w:rsidR="00076F4A">
        <w:rPr>
          <w:b w:val="0"/>
          <w:bCs/>
          <w:iCs/>
          <w:sz w:val="18"/>
          <w:szCs w:val="18"/>
        </w:rPr>
        <w:tab/>
      </w:r>
      <w:r w:rsidR="00076F4A">
        <w:rPr>
          <w:b w:val="0"/>
          <w:bCs/>
          <w:iCs/>
          <w:sz w:val="18"/>
          <w:szCs w:val="18"/>
        </w:rPr>
        <w:tab/>
      </w:r>
      <w:r w:rsidR="00076F4A">
        <w:rPr>
          <w:b w:val="0"/>
          <w:bCs/>
          <w:iCs/>
          <w:sz w:val="18"/>
          <w:szCs w:val="18"/>
        </w:rPr>
        <w:tab/>
        <w:t>(2)</w:t>
      </w:r>
    </w:p>
    <w:p w14:paraId="47D83240" w14:textId="2FFB6341" w:rsidR="00076F4A" w:rsidRDefault="00076F4A" w:rsidP="00076F4A">
      <w:pPr>
        <w:pStyle w:val="CETHeading1"/>
        <w:numPr>
          <w:ilvl w:val="0"/>
          <w:numId w:val="0"/>
        </w:numPr>
        <w:tabs>
          <w:tab w:val="right" w:pos="7100"/>
        </w:tabs>
        <w:jc w:val="both"/>
        <w:rPr>
          <w:b w:val="0"/>
          <w:bCs/>
          <w:iCs/>
          <w:sz w:val="18"/>
          <w:szCs w:val="18"/>
        </w:rPr>
      </w:pPr>
      <w:r>
        <w:rPr>
          <w:b w:val="0"/>
          <w:bCs/>
          <w:iCs/>
          <w:sz w:val="18"/>
          <w:szCs w:val="18"/>
        </w:rPr>
        <w:t xml:space="preserve">Where Wi was the initial weight and </w:t>
      </w:r>
      <w:proofErr w:type="spellStart"/>
      <w:r>
        <w:rPr>
          <w:b w:val="0"/>
          <w:bCs/>
          <w:iCs/>
          <w:sz w:val="18"/>
          <w:szCs w:val="18"/>
        </w:rPr>
        <w:t>Wf</w:t>
      </w:r>
      <w:proofErr w:type="spellEnd"/>
      <w:r>
        <w:rPr>
          <w:b w:val="0"/>
          <w:bCs/>
          <w:iCs/>
          <w:sz w:val="18"/>
          <w:szCs w:val="18"/>
        </w:rPr>
        <w:t xml:space="preserve"> the final weight at the end of each time points.</w:t>
      </w:r>
      <w:r>
        <w:rPr>
          <w:b w:val="0"/>
          <w:bCs/>
          <w:iCs/>
          <w:sz w:val="18"/>
          <w:szCs w:val="18"/>
        </w:rPr>
        <w:tab/>
      </w:r>
    </w:p>
    <w:p w14:paraId="6D601361" w14:textId="7B4E09D7" w:rsidR="00076F4A" w:rsidRDefault="00076F4A" w:rsidP="00076F4A">
      <w:pPr>
        <w:pStyle w:val="CETheadingx"/>
      </w:pPr>
      <w:r>
        <w:rPr>
          <w:rFonts w:eastAsiaTheme="minorEastAsia"/>
        </w:rPr>
        <w:t>F</w:t>
      </w:r>
      <w:r w:rsidRPr="00076F4A">
        <w:rPr>
          <w:rFonts w:eastAsiaTheme="minorEastAsia"/>
        </w:rPr>
        <w:t xml:space="preserve">ungicidal activity of the </w:t>
      </w:r>
      <w:r>
        <w:t>paperboards</w:t>
      </w:r>
    </w:p>
    <w:p w14:paraId="27CA49CB" w14:textId="533E786E" w:rsidR="00076F4A" w:rsidRDefault="00076F4A" w:rsidP="00076F4A">
      <w:pPr>
        <w:pStyle w:val="CETBodytext"/>
        <w:rPr>
          <w:rFonts w:eastAsiaTheme="minorEastAsia"/>
          <w:lang w:val="en-GB"/>
        </w:rPr>
      </w:pPr>
      <w:r>
        <w:rPr>
          <w:rFonts w:eastAsiaTheme="minorEastAsia"/>
          <w:lang w:val="en-GB"/>
        </w:rPr>
        <w:t xml:space="preserve">Coated and uncoated containers, before being in contact with strawberries, were tested for fungicidal activity following </w:t>
      </w:r>
      <w:r w:rsidR="00F34CA7">
        <w:rPr>
          <w:rFonts w:eastAsiaTheme="minorEastAsia"/>
          <w:lang w:val="en-GB"/>
        </w:rPr>
        <w:t xml:space="preserve">the </w:t>
      </w:r>
      <w:r w:rsidR="00F34CA7" w:rsidRPr="00F34CA7">
        <w:rPr>
          <w:rFonts w:eastAsiaTheme="minorEastAsia"/>
          <w:lang w:val="en-GB"/>
        </w:rPr>
        <w:t>UNI 110221:2002 standard</w:t>
      </w:r>
      <w:r w:rsidR="00F34CA7">
        <w:rPr>
          <w:rFonts w:eastAsiaTheme="minorEastAsia"/>
          <w:lang w:val="en-GB"/>
        </w:rPr>
        <w:t xml:space="preserve">. </w:t>
      </w:r>
      <w:proofErr w:type="gramStart"/>
      <w:r w:rsidR="00F34CA7">
        <w:rPr>
          <w:rFonts w:eastAsiaTheme="minorEastAsia"/>
          <w:lang w:val="en-GB"/>
        </w:rPr>
        <w:t>In particular, carton</w:t>
      </w:r>
      <w:proofErr w:type="gramEnd"/>
      <w:r w:rsidR="00F34CA7">
        <w:rPr>
          <w:rFonts w:eastAsiaTheme="minorEastAsia"/>
          <w:lang w:val="en-GB"/>
        </w:rPr>
        <w:t xml:space="preserve"> samples were sterilized and inoculated with </w:t>
      </w:r>
      <w:r w:rsidR="00F34CA7" w:rsidRPr="00F34CA7">
        <w:rPr>
          <w:rFonts w:eastAsiaTheme="minorEastAsia"/>
          <w:i/>
          <w:iCs/>
          <w:lang w:val="en-GB"/>
        </w:rPr>
        <w:t xml:space="preserve">Aspergillus </w:t>
      </w:r>
      <w:proofErr w:type="spellStart"/>
      <w:r w:rsidR="00F34CA7" w:rsidRPr="00F34CA7">
        <w:rPr>
          <w:rFonts w:eastAsiaTheme="minorEastAsia"/>
          <w:i/>
          <w:iCs/>
          <w:lang w:val="en-GB"/>
        </w:rPr>
        <w:t>niger</w:t>
      </w:r>
      <w:proofErr w:type="spellEnd"/>
      <w:r w:rsidR="00F34CA7" w:rsidRPr="00F34CA7">
        <w:rPr>
          <w:rFonts w:eastAsiaTheme="minorEastAsia"/>
          <w:lang w:val="en-GB"/>
        </w:rPr>
        <w:t>, Penicillium s</w:t>
      </w:r>
      <w:r w:rsidR="00F34CA7">
        <w:rPr>
          <w:rFonts w:eastAsiaTheme="minorEastAsia"/>
          <w:lang w:val="en-GB"/>
        </w:rPr>
        <w:t>p</w:t>
      </w:r>
      <w:r w:rsidR="00F34CA7" w:rsidRPr="00F34CA7">
        <w:rPr>
          <w:rFonts w:eastAsiaTheme="minorEastAsia"/>
          <w:lang w:val="en-GB"/>
        </w:rPr>
        <w:t xml:space="preserve">p., and </w:t>
      </w:r>
      <w:r w:rsidR="00F34CA7" w:rsidRPr="00F34CA7">
        <w:rPr>
          <w:rFonts w:eastAsiaTheme="minorEastAsia"/>
          <w:i/>
          <w:iCs/>
          <w:lang w:val="en-GB"/>
        </w:rPr>
        <w:t xml:space="preserve">Paecilomyces </w:t>
      </w:r>
      <w:proofErr w:type="spellStart"/>
      <w:r w:rsidR="00F34CA7" w:rsidRPr="00F34CA7">
        <w:rPr>
          <w:rFonts w:eastAsiaTheme="minorEastAsia"/>
          <w:i/>
          <w:iCs/>
          <w:lang w:val="en-GB"/>
        </w:rPr>
        <w:t>fulvum</w:t>
      </w:r>
      <w:proofErr w:type="spellEnd"/>
      <w:r w:rsidR="00F34CA7" w:rsidRPr="00F34CA7">
        <w:rPr>
          <w:rFonts w:eastAsiaTheme="minorEastAsia"/>
          <w:lang w:val="en-GB"/>
        </w:rPr>
        <w:t xml:space="preserve"> spores</w:t>
      </w:r>
      <w:r w:rsidR="00F34CA7">
        <w:rPr>
          <w:rFonts w:eastAsiaTheme="minorEastAsia"/>
          <w:lang w:val="en-GB"/>
        </w:rPr>
        <w:t xml:space="preserve">. </w:t>
      </w:r>
      <w:r w:rsidR="00F34CA7" w:rsidRPr="00F34CA7">
        <w:rPr>
          <w:rFonts w:eastAsiaTheme="minorEastAsia"/>
          <w:lang w:val="en-GB"/>
        </w:rPr>
        <w:t>Fungal growth was visually assessed after 25 days and classified based on the extent of contamination.</w:t>
      </w:r>
    </w:p>
    <w:p w14:paraId="2965C6CA" w14:textId="1888CD94" w:rsidR="00F34CA7" w:rsidRDefault="00F34CA7" w:rsidP="00F34CA7">
      <w:pPr>
        <w:pStyle w:val="CETheadingx"/>
        <w:rPr>
          <w:rFonts w:eastAsiaTheme="minorEastAsia"/>
        </w:rPr>
      </w:pPr>
      <w:r>
        <w:rPr>
          <w:rFonts w:eastAsiaTheme="minorEastAsia"/>
        </w:rPr>
        <w:t>Statistical Analysis</w:t>
      </w:r>
    </w:p>
    <w:p w14:paraId="7FD7E568" w14:textId="0CDBB5C5" w:rsidR="00F34CA7" w:rsidRPr="00095D83" w:rsidRDefault="00FA09F6" w:rsidP="00076F4A">
      <w:pPr>
        <w:pStyle w:val="CETBodytext"/>
        <w:rPr>
          <w:rFonts w:eastAsiaTheme="minorEastAsia"/>
        </w:rPr>
      </w:pPr>
      <w:r>
        <w:rPr>
          <w:rFonts w:eastAsiaTheme="minorEastAsia"/>
          <w:lang w:val="en-GB"/>
        </w:rPr>
        <w:t xml:space="preserve">For the experimental design, three biological replicates of containers were prepared for each time points, with a total of 54 </w:t>
      </w:r>
      <w:r w:rsidR="0062220A">
        <w:rPr>
          <w:rFonts w:eastAsiaTheme="minorEastAsia"/>
          <w:lang w:val="en-GB"/>
        </w:rPr>
        <w:t>containers</w:t>
      </w:r>
      <w:r>
        <w:rPr>
          <w:rFonts w:eastAsiaTheme="minorEastAsia"/>
          <w:lang w:val="en-GB"/>
        </w:rPr>
        <w:t xml:space="preserve">. </w:t>
      </w:r>
      <w:r w:rsidRPr="00FA09F6">
        <w:rPr>
          <w:rFonts w:eastAsiaTheme="minorEastAsia"/>
          <w:lang w:val="en-GB"/>
        </w:rPr>
        <w:t xml:space="preserve">The results were reported as mean values ± standard </w:t>
      </w:r>
      <w:r>
        <w:rPr>
          <w:rFonts w:eastAsiaTheme="minorEastAsia"/>
          <w:lang w:val="en-GB"/>
        </w:rPr>
        <w:t>deviation</w:t>
      </w:r>
      <w:r w:rsidRPr="00FA09F6">
        <w:rPr>
          <w:rFonts w:eastAsiaTheme="minorEastAsia"/>
          <w:lang w:val="en-GB"/>
        </w:rPr>
        <w:t>. Statistical analyses were performed by SPSS Statistics 25 software (IBM, USA).</w:t>
      </w:r>
      <w:r>
        <w:rPr>
          <w:rFonts w:eastAsiaTheme="minorEastAsia"/>
          <w:lang w:val="en-GB"/>
        </w:rPr>
        <w:t xml:space="preserve"> </w:t>
      </w:r>
      <w:r w:rsidRPr="00FA09F6">
        <w:rPr>
          <w:rFonts w:eastAsiaTheme="minorEastAsia"/>
          <w:lang w:val="en-GB"/>
        </w:rPr>
        <w:t xml:space="preserve">An independent t-test was performed to compare </w:t>
      </w:r>
      <w:r>
        <w:rPr>
          <w:rFonts w:eastAsiaTheme="minorEastAsia"/>
          <w:lang w:val="en-GB"/>
        </w:rPr>
        <w:t>control and tannin-coated container</w:t>
      </w:r>
      <w:r w:rsidR="00517BBB">
        <w:rPr>
          <w:rFonts w:eastAsiaTheme="minorEastAsia"/>
          <w:lang w:val="en-GB"/>
        </w:rPr>
        <w:t xml:space="preserve"> results</w:t>
      </w:r>
      <w:r>
        <w:rPr>
          <w:rFonts w:eastAsiaTheme="minorEastAsia"/>
          <w:lang w:val="en-GB"/>
        </w:rPr>
        <w:t xml:space="preserve">, while </w:t>
      </w:r>
      <w:r w:rsidR="00095D83" w:rsidRPr="00095D83">
        <w:rPr>
          <w:rFonts w:eastAsiaTheme="minorEastAsia"/>
        </w:rPr>
        <w:t xml:space="preserve">one-way analysis of variance (ANOVA) with Tukey’s Post Hoc test </w:t>
      </w:r>
      <w:r w:rsidR="00095D83">
        <w:rPr>
          <w:rFonts w:eastAsiaTheme="minorEastAsia"/>
        </w:rPr>
        <w:t>was performed to assess significant differences during storage</w:t>
      </w:r>
      <w:r w:rsidR="00572635">
        <w:rPr>
          <w:rFonts w:eastAsiaTheme="minorEastAsia"/>
        </w:rPr>
        <w:t xml:space="preserve"> (</w:t>
      </w:r>
      <w:r w:rsidR="00572635" w:rsidRPr="00572635">
        <w:rPr>
          <w:rFonts w:eastAsiaTheme="minorEastAsia"/>
          <w:i/>
          <w:iCs/>
        </w:rPr>
        <w:t>P</w:t>
      </w:r>
      <w:r w:rsidR="00572635">
        <w:rPr>
          <w:rFonts w:eastAsiaTheme="minorEastAsia"/>
        </w:rPr>
        <w:t>&lt; 0.05)</w:t>
      </w:r>
      <w:r w:rsidR="00095D83">
        <w:rPr>
          <w:rFonts w:eastAsiaTheme="minorEastAsia"/>
        </w:rPr>
        <w:t>.</w:t>
      </w:r>
    </w:p>
    <w:p w14:paraId="677EBFF0" w14:textId="68CB99EA" w:rsidR="00600535" w:rsidRDefault="00095D83" w:rsidP="00600535">
      <w:pPr>
        <w:pStyle w:val="CETHeading1"/>
        <w:tabs>
          <w:tab w:val="right" w:pos="7100"/>
        </w:tabs>
        <w:jc w:val="both"/>
        <w:rPr>
          <w:lang w:val="en-GB"/>
        </w:rPr>
      </w:pPr>
      <w:r>
        <w:rPr>
          <w:lang w:val="en-GB"/>
        </w:rPr>
        <w:t>Results and discussion</w:t>
      </w:r>
    </w:p>
    <w:p w14:paraId="10989CB9" w14:textId="77777777" w:rsidR="00DA67AA" w:rsidRDefault="00DA67AA" w:rsidP="00DA67AA">
      <w:pPr>
        <w:pStyle w:val="CETheadingx"/>
        <w:rPr>
          <w:bCs/>
        </w:rPr>
      </w:pPr>
      <w:r>
        <w:rPr>
          <w:bCs/>
        </w:rPr>
        <w:t>Antimicrobial activity of tannin extract</w:t>
      </w:r>
    </w:p>
    <w:p w14:paraId="46D464E6" w14:textId="6516E950" w:rsidR="002941CF" w:rsidRPr="00C14379" w:rsidRDefault="00F3533E" w:rsidP="00F3533E">
      <w:pPr>
        <w:pStyle w:val="CETBodytext"/>
        <w:rPr>
          <w:lang w:val="en-GB"/>
        </w:rPr>
      </w:pPr>
      <w:r w:rsidRPr="00F3533E">
        <w:rPr>
          <w:lang w:val="en-GB"/>
        </w:rPr>
        <w:t>T</w:t>
      </w:r>
      <w:r w:rsidR="00DA67AA">
        <w:rPr>
          <w:lang w:val="en-GB"/>
        </w:rPr>
        <w:t xml:space="preserve">annin extract </w:t>
      </w:r>
      <w:r w:rsidR="00DA67AA" w:rsidRPr="00DA67AA">
        <w:rPr>
          <w:lang w:val="en-GB"/>
        </w:rPr>
        <w:t xml:space="preserve">demonstrated strong antimicrobial activity against </w:t>
      </w:r>
      <w:r w:rsidR="00DA67AA" w:rsidRPr="00850423">
        <w:rPr>
          <w:i/>
          <w:iCs/>
        </w:rPr>
        <w:t>Staphylococcus</w:t>
      </w:r>
      <w:r w:rsidR="00DA67AA" w:rsidRPr="00DA67AA">
        <w:rPr>
          <w:i/>
          <w:iCs/>
          <w:lang w:val="en-GB"/>
        </w:rPr>
        <w:t xml:space="preserve"> </w:t>
      </w:r>
      <w:proofErr w:type="spellStart"/>
      <w:r w:rsidR="00DA67AA" w:rsidRPr="00DA67AA">
        <w:rPr>
          <w:i/>
          <w:iCs/>
          <w:lang w:val="en-GB"/>
        </w:rPr>
        <w:t>xylosus</w:t>
      </w:r>
      <w:proofErr w:type="spellEnd"/>
      <w:r w:rsidR="00DA67AA" w:rsidRPr="00DA67AA">
        <w:rPr>
          <w:lang w:val="en-GB"/>
        </w:rPr>
        <w:t>, reducing the bacterial population by 4 logs at 0.5% concentration (from 10</w:t>
      </w:r>
      <w:r w:rsidR="00DA67AA" w:rsidRPr="0094211F">
        <w:rPr>
          <w:vertAlign w:val="superscript"/>
          <w:lang w:val="en-GB"/>
        </w:rPr>
        <w:t>8</w:t>
      </w:r>
      <w:r w:rsidR="00DA67AA" w:rsidRPr="00DA67AA">
        <w:rPr>
          <w:lang w:val="en-GB"/>
        </w:rPr>
        <w:t xml:space="preserve"> to 10</w:t>
      </w:r>
      <w:r w:rsidR="00DA67AA" w:rsidRPr="0094211F">
        <w:rPr>
          <w:vertAlign w:val="superscript"/>
          <w:lang w:val="en-GB"/>
        </w:rPr>
        <w:t>4</w:t>
      </w:r>
      <w:r w:rsidR="00DA67AA" w:rsidRPr="00DA67AA">
        <w:rPr>
          <w:lang w:val="en-GB"/>
        </w:rPr>
        <w:t xml:space="preserve"> </w:t>
      </w:r>
      <w:proofErr w:type="spellStart"/>
      <w:r w:rsidR="00DA67AA" w:rsidRPr="00DA67AA">
        <w:rPr>
          <w:lang w:val="en-GB"/>
        </w:rPr>
        <w:t>cfu</w:t>
      </w:r>
      <w:proofErr w:type="spellEnd"/>
      <w:r w:rsidR="00DA67AA" w:rsidRPr="00DA67AA">
        <w:rPr>
          <w:lang w:val="en-GB"/>
        </w:rPr>
        <w:t>/m</w:t>
      </w:r>
      <w:r w:rsidR="0094211F">
        <w:rPr>
          <w:lang w:val="en-GB"/>
        </w:rPr>
        <w:t>L</w:t>
      </w:r>
      <w:r w:rsidR="00DA67AA" w:rsidRPr="00DA67AA">
        <w:rPr>
          <w:lang w:val="en-GB"/>
        </w:rPr>
        <w:t>). A 1</w:t>
      </w:r>
      <w:r w:rsidR="00B90BFF">
        <w:rPr>
          <w:lang w:val="en-GB"/>
        </w:rPr>
        <w:t xml:space="preserve"> </w:t>
      </w:r>
      <w:r w:rsidR="00DA67AA" w:rsidRPr="00DA67AA">
        <w:rPr>
          <w:lang w:val="en-GB"/>
        </w:rPr>
        <w:t xml:space="preserve">log reduction was observed for </w:t>
      </w:r>
      <w:r w:rsidR="00DA67AA" w:rsidRPr="00DA67AA">
        <w:rPr>
          <w:i/>
          <w:iCs/>
          <w:lang w:val="en-GB"/>
        </w:rPr>
        <w:t>L</w:t>
      </w:r>
      <w:r w:rsidR="00B90BFF">
        <w:rPr>
          <w:i/>
          <w:iCs/>
          <w:lang w:val="en-GB"/>
        </w:rPr>
        <w:t xml:space="preserve">isteria </w:t>
      </w:r>
      <w:proofErr w:type="spellStart"/>
      <w:r w:rsidR="00DA67AA" w:rsidRPr="00DA67AA">
        <w:rPr>
          <w:i/>
          <w:iCs/>
          <w:lang w:val="en-GB"/>
        </w:rPr>
        <w:t>innocua</w:t>
      </w:r>
      <w:proofErr w:type="spellEnd"/>
      <w:r w:rsidR="00DA67AA" w:rsidRPr="00DA67AA">
        <w:rPr>
          <w:lang w:val="en-GB"/>
        </w:rPr>
        <w:t xml:space="preserve"> at the same concentration (from 10</w:t>
      </w:r>
      <w:r w:rsidR="00DA67AA" w:rsidRPr="00B90BFF">
        <w:rPr>
          <w:vertAlign w:val="superscript"/>
          <w:lang w:val="en-GB"/>
        </w:rPr>
        <w:t>9</w:t>
      </w:r>
      <w:r w:rsidR="00DA67AA" w:rsidRPr="00DA67AA">
        <w:rPr>
          <w:lang w:val="en-GB"/>
        </w:rPr>
        <w:t xml:space="preserve"> to 10</w:t>
      </w:r>
      <w:r w:rsidR="00DA67AA" w:rsidRPr="00B90BFF">
        <w:rPr>
          <w:vertAlign w:val="superscript"/>
          <w:lang w:val="en-GB"/>
        </w:rPr>
        <w:t>8</w:t>
      </w:r>
      <w:r w:rsidR="00DA67AA" w:rsidRPr="00DA67AA">
        <w:rPr>
          <w:lang w:val="en-GB"/>
        </w:rPr>
        <w:t xml:space="preserve"> </w:t>
      </w:r>
      <w:proofErr w:type="spellStart"/>
      <w:r w:rsidR="00DA67AA" w:rsidRPr="00DA67AA">
        <w:rPr>
          <w:lang w:val="en-GB"/>
        </w:rPr>
        <w:t>cfu</w:t>
      </w:r>
      <w:proofErr w:type="spellEnd"/>
      <w:r w:rsidR="00DA67AA" w:rsidRPr="00DA67AA">
        <w:rPr>
          <w:lang w:val="en-GB"/>
        </w:rPr>
        <w:t>/m</w:t>
      </w:r>
      <w:r w:rsidR="00154191">
        <w:rPr>
          <w:lang w:val="en-GB"/>
        </w:rPr>
        <w:t>L</w:t>
      </w:r>
      <w:r w:rsidR="00DA67AA" w:rsidRPr="00DA67AA">
        <w:rPr>
          <w:lang w:val="en-GB"/>
        </w:rPr>
        <w:t xml:space="preserve">). </w:t>
      </w:r>
      <w:r w:rsidR="00A071AD">
        <w:rPr>
          <w:lang w:val="en-GB"/>
        </w:rPr>
        <w:t>O</w:t>
      </w:r>
      <w:r w:rsidR="00B90BFF">
        <w:rPr>
          <w:lang w:val="en-GB"/>
        </w:rPr>
        <w:t>n the contrary, n</w:t>
      </w:r>
      <w:r w:rsidR="00DA67AA" w:rsidRPr="00DA67AA">
        <w:rPr>
          <w:lang w:val="en-GB"/>
        </w:rPr>
        <w:t xml:space="preserve">o significant inhibition was noted for </w:t>
      </w:r>
      <w:r w:rsidR="00B90BFF" w:rsidRPr="00447631">
        <w:rPr>
          <w:i/>
          <w:iCs/>
        </w:rPr>
        <w:t>Escherichia coli</w:t>
      </w:r>
      <w:r w:rsidR="00B90BFF">
        <w:rPr>
          <w:i/>
          <w:iCs/>
        </w:rPr>
        <w:t>,</w:t>
      </w:r>
      <w:r w:rsidR="00B90BFF" w:rsidRPr="00447631">
        <w:rPr>
          <w:i/>
          <w:iCs/>
        </w:rPr>
        <w:t xml:space="preserve"> Pseudomonas fluorescens</w:t>
      </w:r>
      <w:r w:rsidR="00B90BFF" w:rsidRPr="00447631">
        <w:t xml:space="preserve"> </w:t>
      </w:r>
      <w:r w:rsidR="00B90BFF">
        <w:t xml:space="preserve">and </w:t>
      </w:r>
      <w:r w:rsidR="00B90BFF" w:rsidRPr="00B90BFF">
        <w:rPr>
          <w:i/>
          <w:iCs/>
        </w:rPr>
        <w:t>Saccharomyces cerevisiae</w:t>
      </w:r>
      <w:r w:rsidR="00B90BFF">
        <w:rPr>
          <w:i/>
          <w:iCs/>
        </w:rPr>
        <w:t>.</w:t>
      </w:r>
      <w:r w:rsidR="00C14379">
        <w:t xml:space="preserve"> </w:t>
      </w:r>
      <w:r w:rsidR="00A40981">
        <w:t xml:space="preserve">The results suggest the </w:t>
      </w:r>
      <w:r w:rsidR="008E3D34">
        <w:t xml:space="preserve">selective antimicrobial activity of tannin extract, particularly against </w:t>
      </w:r>
      <w:r w:rsidR="00F135CC">
        <w:t xml:space="preserve">Gram-positive bacteria. </w:t>
      </w:r>
    </w:p>
    <w:p w14:paraId="5B0D6FDB" w14:textId="77777777" w:rsidR="000B363B" w:rsidRDefault="000B363B" w:rsidP="000B363B">
      <w:pPr>
        <w:pStyle w:val="CETheadingx"/>
        <w:rPr>
          <w:bCs/>
          <w:lang w:val="en-GB"/>
        </w:rPr>
      </w:pPr>
      <w:r>
        <w:rPr>
          <w:bCs/>
          <w:lang w:val="en-GB"/>
        </w:rPr>
        <w:t>M</w:t>
      </w:r>
      <w:r w:rsidRPr="00312C27">
        <w:rPr>
          <w:bCs/>
          <w:lang w:val="en-GB"/>
        </w:rPr>
        <w:t>icrobiological analysis</w:t>
      </w:r>
    </w:p>
    <w:p w14:paraId="48E6A85F" w14:textId="160E6E18" w:rsidR="00160649" w:rsidRDefault="000B363B" w:rsidP="000B363B">
      <w:pPr>
        <w:pStyle w:val="CETListbullets"/>
        <w:ind w:left="0" w:firstLine="0"/>
      </w:pPr>
      <w:r>
        <w:t>Results</w:t>
      </w:r>
      <w:r w:rsidR="00160649">
        <w:t xml:space="preserve"> </w:t>
      </w:r>
      <w:r w:rsidR="00A071AD">
        <w:t xml:space="preserve">about microbiological analysis </w:t>
      </w:r>
      <w:r w:rsidR="00160649">
        <w:t>are reported in Table 1 and</w:t>
      </w:r>
      <w:r>
        <w:t xml:space="preserve"> </w:t>
      </w:r>
      <w:r w:rsidR="00160649">
        <w:t xml:space="preserve">showed that no significant reductions were determined in strawberries packaged in tannin-coated containers. </w:t>
      </w:r>
    </w:p>
    <w:p w14:paraId="10ECD8C7" w14:textId="77777777" w:rsidR="00160649" w:rsidRDefault="00160649" w:rsidP="000B363B">
      <w:pPr>
        <w:pStyle w:val="CETListbullets"/>
        <w:ind w:left="0" w:firstLine="0"/>
      </w:pPr>
    </w:p>
    <w:p w14:paraId="5A28DF6A" w14:textId="1534A816" w:rsidR="00160649" w:rsidRPr="00E41026" w:rsidRDefault="00160649" w:rsidP="0046503A">
      <w:pPr>
        <w:pStyle w:val="CETListbullets"/>
        <w:spacing w:after="240"/>
        <w:ind w:left="0" w:firstLine="0"/>
        <w:rPr>
          <w:i/>
          <w:iCs/>
        </w:rPr>
      </w:pPr>
      <w:r w:rsidRPr="00E41026">
        <w:rPr>
          <w:i/>
          <w:iCs/>
        </w:rPr>
        <w:t xml:space="preserve">Table 1: Average levels of microbiological analyses of strawberries stored for </w:t>
      </w:r>
      <w:r w:rsidR="00154191" w:rsidRPr="00E41026">
        <w:rPr>
          <w:i/>
          <w:iCs/>
        </w:rPr>
        <w:t>1</w:t>
      </w:r>
      <w:r w:rsidRPr="00E41026">
        <w:rPr>
          <w:i/>
          <w:iCs/>
        </w:rPr>
        <w:t xml:space="preserve">9 days in uncoated (control sample) and tannin-coated paperboard container. </w:t>
      </w:r>
      <w:r w:rsidR="00395BD8" w:rsidRPr="00E41026">
        <w:rPr>
          <w:i/>
          <w:iCs/>
        </w:rPr>
        <w:t xml:space="preserve">Results are expressed as </w:t>
      </w:r>
      <w:proofErr w:type="spellStart"/>
      <w:r w:rsidR="00517BBB" w:rsidRPr="00E41026">
        <w:rPr>
          <w:i/>
          <w:iCs/>
        </w:rPr>
        <w:t>ufc</w:t>
      </w:r>
      <w:proofErr w:type="spellEnd"/>
      <w:r w:rsidR="00395BD8" w:rsidRPr="00E41026">
        <w:rPr>
          <w:i/>
          <w:iCs/>
        </w:rPr>
        <w:t>/100 cm</w:t>
      </w:r>
      <w:r w:rsidR="00395BD8" w:rsidRPr="00E41026">
        <w:rPr>
          <w:i/>
          <w:iCs/>
          <w:vertAlign w:val="superscript"/>
        </w:rPr>
        <w:t>2</w:t>
      </w:r>
      <w:r w:rsidR="00395BD8" w:rsidRPr="00E41026">
        <w:rPr>
          <w:i/>
          <w:iCs/>
        </w:rPr>
        <w:t>. Asterix indicates significative differences in contamination level between coated and control samples.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67"/>
        <w:gridCol w:w="1513"/>
        <w:gridCol w:w="1152"/>
        <w:gridCol w:w="1512"/>
        <w:gridCol w:w="1152"/>
        <w:gridCol w:w="1539"/>
        <w:gridCol w:w="1152"/>
      </w:tblGrid>
      <w:tr w:rsidR="00395BD8" w:rsidRPr="00B57B36" w14:paraId="34826A6F" w14:textId="6D1A6CAF" w:rsidTr="00395BD8">
        <w:tc>
          <w:tcPr>
            <w:tcW w:w="0" w:type="auto"/>
            <w:tcBorders>
              <w:top w:val="single" w:sz="12" w:space="0" w:color="008000"/>
              <w:bottom w:val="single" w:sz="6" w:space="0" w:color="008000"/>
            </w:tcBorders>
            <w:shd w:val="clear" w:color="auto" w:fill="FFFFFF"/>
          </w:tcPr>
          <w:p w14:paraId="47781816" w14:textId="3C8BB1F1" w:rsidR="00395BD8" w:rsidRPr="00B57B36" w:rsidRDefault="00395BD8" w:rsidP="00395BD8">
            <w:pPr>
              <w:pStyle w:val="CETBodytext"/>
              <w:rPr>
                <w:lang w:val="en-GB"/>
              </w:rPr>
            </w:pPr>
            <w:r>
              <w:t>Time (days)</w:t>
            </w:r>
            <w:r w:rsidRPr="006A50F2">
              <w:t xml:space="preserve"> </w:t>
            </w:r>
          </w:p>
        </w:tc>
        <w:tc>
          <w:tcPr>
            <w:tcW w:w="0" w:type="auto"/>
            <w:tcBorders>
              <w:top w:val="single" w:sz="12" w:space="0" w:color="008000"/>
              <w:bottom w:val="single" w:sz="6" w:space="0" w:color="008000"/>
            </w:tcBorders>
            <w:shd w:val="clear" w:color="auto" w:fill="FFFFFF"/>
          </w:tcPr>
          <w:p w14:paraId="48253595" w14:textId="77777777" w:rsidR="00395BD8" w:rsidRDefault="00395BD8" w:rsidP="00395BD8">
            <w:pPr>
              <w:pStyle w:val="CETBodytext"/>
            </w:pPr>
            <w:r>
              <w:t>Tannin-Coated Container</w:t>
            </w:r>
          </w:p>
          <w:p w14:paraId="6540E88B" w14:textId="28C2A62C" w:rsidR="00395BD8" w:rsidRPr="00B57B36" w:rsidRDefault="00395BD8" w:rsidP="00395BD8">
            <w:pPr>
              <w:pStyle w:val="CETBodytext"/>
              <w:rPr>
                <w:lang w:val="en-GB"/>
              </w:rPr>
            </w:pPr>
            <w:r w:rsidRPr="006A50F2">
              <w:t>C</w:t>
            </w:r>
            <w:r>
              <w:t>M</w:t>
            </w:r>
            <w:r w:rsidRPr="006A50F2">
              <w:t>T</w:t>
            </w:r>
          </w:p>
        </w:tc>
        <w:tc>
          <w:tcPr>
            <w:tcW w:w="0" w:type="auto"/>
            <w:tcBorders>
              <w:top w:val="single" w:sz="12" w:space="0" w:color="008000"/>
              <w:bottom w:val="single" w:sz="6" w:space="0" w:color="008000"/>
            </w:tcBorders>
            <w:shd w:val="clear" w:color="auto" w:fill="FFFFFF"/>
          </w:tcPr>
          <w:p w14:paraId="1B4C8B20" w14:textId="77777777" w:rsidR="00395BD8" w:rsidRDefault="00395BD8" w:rsidP="00395BD8">
            <w:pPr>
              <w:pStyle w:val="CETBodytext"/>
            </w:pPr>
            <w:r>
              <w:t>Control Container</w:t>
            </w:r>
          </w:p>
          <w:p w14:paraId="06261390" w14:textId="61F4E3E0" w:rsidR="00395BD8" w:rsidRPr="00B57B36" w:rsidRDefault="00395BD8" w:rsidP="00395BD8">
            <w:pPr>
              <w:pStyle w:val="CETBodytext"/>
              <w:rPr>
                <w:lang w:val="en-GB"/>
              </w:rPr>
            </w:pPr>
            <w:r w:rsidRPr="006A50F2">
              <w:t>C</w:t>
            </w:r>
            <w:r>
              <w:t>M</w:t>
            </w:r>
            <w:r w:rsidRPr="006A50F2">
              <w:t>T</w:t>
            </w:r>
          </w:p>
        </w:tc>
        <w:tc>
          <w:tcPr>
            <w:tcW w:w="0" w:type="auto"/>
            <w:tcBorders>
              <w:top w:val="single" w:sz="12" w:space="0" w:color="008000"/>
              <w:bottom w:val="single" w:sz="6" w:space="0" w:color="008000"/>
            </w:tcBorders>
            <w:shd w:val="clear" w:color="auto" w:fill="FFFFFF"/>
          </w:tcPr>
          <w:p w14:paraId="06D09AE6" w14:textId="77777777" w:rsidR="00395BD8" w:rsidRDefault="00395BD8" w:rsidP="00395BD8">
            <w:pPr>
              <w:pStyle w:val="CETBodytext"/>
              <w:ind w:right="-1"/>
            </w:pPr>
            <w:r>
              <w:t>Tannin-Coated Container</w:t>
            </w:r>
          </w:p>
          <w:p w14:paraId="7DC92079" w14:textId="1A61BDB0" w:rsidR="00395BD8" w:rsidRPr="00B57B36" w:rsidRDefault="00395BD8" w:rsidP="00395BD8">
            <w:pPr>
              <w:pStyle w:val="CETBodytext"/>
              <w:ind w:right="-1"/>
              <w:rPr>
                <w:rFonts w:cs="Arial"/>
                <w:szCs w:val="18"/>
                <w:lang w:val="en-GB"/>
              </w:rPr>
            </w:pPr>
            <w:r>
              <w:t>Yeast</w:t>
            </w:r>
          </w:p>
        </w:tc>
        <w:tc>
          <w:tcPr>
            <w:tcW w:w="0" w:type="auto"/>
            <w:tcBorders>
              <w:top w:val="single" w:sz="12" w:space="0" w:color="008000"/>
              <w:bottom w:val="single" w:sz="6" w:space="0" w:color="008000"/>
            </w:tcBorders>
            <w:shd w:val="clear" w:color="auto" w:fill="FFFFFF"/>
          </w:tcPr>
          <w:p w14:paraId="11F099BF" w14:textId="77777777" w:rsidR="00395BD8" w:rsidRDefault="00395BD8" w:rsidP="00395BD8">
            <w:pPr>
              <w:pStyle w:val="CETBodytext"/>
              <w:ind w:right="-1"/>
            </w:pPr>
            <w:r>
              <w:t>Control Container</w:t>
            </w:r>
          </w:p>
          <w:p w14:paraId="27EFC5C2" w14:textId="6ACA9D88" w:rsidR="00395BD8" w:rsidRPr="00B57B36" w:rsidRDefault="00395BD8" w:rsidP="00395BD8">
            <w:pPr>
              <w:pStyle w:val="CETBodytext"/>
              <w:ind w:right="-1"/>
              <w:rPr>
                <w:rFonts w:cs="Arial"/>
                <w:szCs w:val="18"/>
                <w:lang w:val="en-GB"/>
              </w:rPr>
            </w:pPr>
            <w:r>
              <w:t>Yeast</w:t>
            </w:r>
          </w:p>
        </w:tc>
        <w:tc>
          <w:tcPr>
            <w:tcW w:w="0" w:type="auto"/>
            <w:tcBorders>
              <w:top w:val="single" w:sz="12" w:space="0" w:color="008000"/>
              <w:bottom w:val="single" w:sz="6" w:space="0" w:color="008000"/>
            </w:tcBorders>
            <w:shd w:val="clear" w:color="auto" w:fill="FFFFFF"/>
          </w:tcPr>
          <w:p w14:paraId="74EFB8C4" w14:textId="77777777" w:rsidR="00395BD8" w:rsidRDefault="00395BD8" w:rsidP="00395BD8">
            <w:pPr>
              <w:pStyle w:val="CETBodytext"/>
              <w:ind w:right="-1"/>
            </w:pPr>
            <w:r>
              <w:t>Tannin-Coated Container</w:t>
            </w:r>
          </w:p>
          <w:p w14:paraId="52276FBB" w14:textId="6D1EDA34" w:rsidR="00395BD8" w:rsidRPr="006A50F2" w:rsidRDefault="00395BD8" w:rsidP="00395BD8">
            <w:pPr>
              <w:pStyle w:val="CETBodytext"/>
              <w:ind w:right="-1"/>
            </w:pPr>
            <w:r>
              <w:t>Fungi</w:t>
            </w:r>
          </w:p>
        </w:tc>
        <w:tc>
          <w:tcPr>
            <w:tcW w:w="0" w:type="auto"/>
            <w:tcBorders>
              <w:top w:val="single" w:sz="12" w:space="0" w:color="008000"/>
              <w:bottom w:val="single" w:sz="6" w:space="0" w:color="008000"/>
            </w:tcBorders>
            <w:shd w:val="clear" w:color="auto" w:fill="FFFFFF"/>
          </w:tcPr>
          <w:p w14:paraId="6AE9E9F1" w14:textId="77777777" w:rsidR="00395BD8" w:rsidRDefault="00395BD8" w:rsidP="00395BD8">
            <w:pPr>
              <w:pStyle w:val="CETBodytext"/>
              <w:ind w:right="-1"/>
            </w:pPr>
            <w:r>
              <w:t>Control Container</w:t>
            </w:r>
          </w:p>
          <w:p w14:paraId="0E2C9D44" w14:textId="42202356" w:rsidR="00395BD8" w:rsidRDefault="00395BD8" w:rsidP="00395BD8">
            <w:pPr>
              <w:pStyle w:val="CETBodytext"/>
              <w:ind w:right="-1"/>
            </w:pPr>
            <w:r>
              <w:t>Fungi</w:t>
            </w:r>
          </w:p>
        </w:tc>
      </w:tr>
      <w:tr w:rsidR="00395BD8" w:rsidRPr="00B57B36" w14:paraId="03A6DA94" w14:textId="5AB31FC2" w:rsidTr="00395BD8">
        <w:tc>
          <w:tcPr>
            <w:tcW w:w="0" w:type="auto"/>
            <w:shd w:val="clear" w:color="auto" w:fill="FFFFFF"/>
          </w:tcPr>
          <w:p w14:paraId="2B623B6E" w14:textId="4EEA6D70" w:rsidR="00395BD8" w:rsidRPr="00B57B36" w:rsidRDefault="00395BD8" w:rsidP="00395BD8">
            <w:pPr>
              <w:pStyle w:val="CETBodytext"/>
              <w:ind w:right="-1"/>
              <w:rPr>
                <w:rFonts w:cs="Arial"/>
                <w:szCs w:val="18"/>
                <w:lang w:val="en-GB"/>
              </w:rPr>
            </w:pPr>
            <w:r w:rsidRPr="00AC2CDF">
              <w:t>0</w:t>
            </w:r>
          </w:p>
        </w:tc>
        <w:tc>
          <w:tcPr>
            <w:tcW w:w="0" w:type="auto"/>
            <w:shd w:val="clear" w:color="auto" w:fill="FFFFFF"/>
          </w:tcPr>
          <w:p w14:paraId="728EB74F" w14:textId="37AFEDC0" w:rsidR="00395BD8" w:rsidRPr="00B57B36" w:rsidRDefault="00395BD8" w:rsidP="00395BD8">
            <w:pPr>
              <w:pStyle w:val="CETBodytext"/>
              <w:ind w:right="-1"/>
              <w:rPr>
                <w:rFonts w:cs="Arial"/>
                <w:szCs w:val="18"/>
                <w:lang w:val="en-GB"/>
              </w:rPr>
            </w:pPr>
            <w:r w:rsidRPr="00AC2CDF">
              <w:t>5.00E+04</w:t>
            </w:r>
          </w:p>
        </w:tc>
        <w:tc>
          <w:tcPr>
            <w:tcW w:w="0" w:type="auto"/>
            <w:shd w:val="clear" w:color="auto" w:fill="FFFFFF"/>
          </w:tcPr>
          <w:p w14:paraId="681B556C" w14:textId="116FB324" w:rsidR="00395BD8" w:rsidRPr="00B57B36" w:rsidRDefault="00395BD8" w:rsidP="00395BD8">
            <w:pPr>
              <w:pStyle w:val="CETBodytext"/>
              <w:ind w:right="-1"/>
              <w:rPr>
                <w:rFonts w:cs="Arial"/>
                <w:szCs w:val="18"/>
                <w:lang w:val="en-GB"/>
              </w:rPr>
            </w:pPr>
            <w:r w:rsidRPr="00AC2CDF">
              <w:t>5.00E+04</w:t>
            </w:r>
          </w:p>
        </w:tc>
        <w:tc>
          <w:tcPr>
            <w:tcW w:w="0" w:type="auto"/>
            <w:shd w:val="clear" w:color="auto" w:fill="FFFFFF"/>
          </w:tcPr>
          <w:p w14:paraId="7BA8F6A8" w14:textId="53816EE1" w:rsidR="00395BD8" w:rsidRPr="00B57B36" w:rsidRDefault="00395BD8" w:rsidP="00395BD8">
            <w:pPr>
              <w:pStyle w:val="CETBodytext"/>
              <w:ind w:right="-1"/>
              <w:rPr>
                <w:rFonts w:cs="Arial"/>
                <w:szCs w:val="18"/>
                <w:lang w:val="en-GB"/>
              </w:rPr>
            </w:pPr>
            <w:r w:rsidRPr="00AC2CDF">
              <w:t>3.00E+04</w:t>
            </w:r>
          </w:p>
        </w:tc>
        <w:tc>
          <w:tcPr>
            <w:tcW w:w="0" w:type="auto"/>
            <w:shd w:val="clear" w:color="auto" w:fill="FFFFFF"/>
          </w:tcPr>
          <w:p w14:paraId="1C0B96DA" w14:textId="1809AC2E" w:rsidR="00395BD8" w:rsidRPr="00B57B36" w:rsidRDefault="00395BD8" w:rsidP="00395BD8">
            <w:pPr>
              <w:pStyle w:val="CETBodytext"/>
              <w:ind w:right="-1"/>
              <w:rPr>
                <w:rFonts w:cs="Arial"/>
                <w:szCs w:val="18"/>
                <w:lang w:val="en-GB"/>
              </w:rPr>
            </w:pPr>
            <w:r w:rsidRPr="00AC2CDF">
              <w:t>3.00E+04</w:t>
            </w:r>
          </w:p>
        </w:tc>
        <w:tc>
          <w:tcPr>
            <w:tcW w:w="0" w:type="auto"/>
            <w:shd w:val="clear" w:color="auto" w:fill="FFFFFF"/>
          </w:tcPr>
          <w:p w14:paraId="5C3CFA71" w14:textId="307BD0F0" w:rsidR="00395BD8" w:rsidRPr="006A50F2" w:rsidRDefault="00395BD8" w:rsidP="00395BD8">
            <w:pPr>
              <w:pStyle w:val="CETBodytext"/>
              <w:ind w:right="-1"/>
            </w:pPr>
            <w:r w:rsidRPr="00AC2CDF">
              <w:t>8.30E+02</w:t>
            </w:r>
          </w:p>
        </w:tc>
        <w:tc>
          <w:tcPr>
            <w:tcW w:w="0" w:type="auto"/>
            <w:shd w:val="clear" w:color="auto" w:fill="FFFFFF"/>
          </w:tcPr>
          <w:p w14:paraId="0C8BAB1E" w14:textId="190B66E0" w:rsidR="00395BD8" w:rsidRPr="001970A7" w:rsidRDefault="00395BD8" w:rsidP="00395BD8">
            <w:pPr>
              <w:pStyle w:val="CETBodytext"/>
              <w:ind w:right="-1"/>
            </w:pPr>
            <w:r w:rsidRPr="00AC2CDF">
              <w:t>8.30E+02</w:t>
            </w:r>
          </w:p>
        </w:tc>
      </w:tr>
      <w:tr w:rsidR="00395BD8" w:rsidRPr="00B57B36" w14:paraId="598150B7" w14:textId="4A51CC09" w:rsidTr="00395BD8">
        <w:tc>
          <w:tcPr>
            <w:tcW w:w="0" w:type="auto"/>
            <w:shd w:val="clear" w:color="auto" w:fill="FFFFFF"/>
          </w:tcPr>
          <w:p w14:paraId="331C07C7" w14:textId="071329D8" w:rsidR="00395BD8" w:rsidRPr="00B765F1" w:rsidRDefault="00395BD8" w:rsidP="00395BD8">
            <w:pPr>
              <w:pStyle w:val="CETBodytext"/>
              <w:ind w:right="-1"/>
            </w:pPr>
            <w:r w:rsidRPr="00AC2CDF">
              <w:t>2</w:t>
            </w:r>
          </w:p>
        </w:tc>
        <w:tc>
          <w:tcPr>
            <w:tcW w:w="0" w:type="auto"/>
            <w:shd w:val="clear" w:color="auto" w:fill="FFFFFF"/>
          </w:tcPr>
          <w:p w14:paraId="556336FB" w14:textId="7809F531" w:rsidR="00395BD8" w:rsidRPr="00B765F1" w:rsidRDefault="00395BD8" w:rsidP="00395BD8">
            <w:pPr>
              <w:pStyle w:val="CETBodytext"/>
              <w:ind w:right="-1"/>
            </w:pPr>
            <w:r w:rsidRPr="00AC2CDF">
              <w:t>3,00E+06</w:t>
            </w:r>
          </w:p>
        </w:tc>
        <w:tc>
          <w:tcPr>
            <w:tcW w:w="0" w:type="auto"/>
            <w:shd w:val="clear" w:color="auto" w:fill="FFFFFF"/>
          </w:tcPr>
          <w:p w14:paraId="5A412548" w14:textId="59BABDFA" w:rsidR="00395BD8" w:rsidRPr="00B765F1" w:rsidRDefault="00395BD8" w:rsidP="00395BD8">
            <w:pPr>
              <w:pStyle w:val="CETBodytext"/>
              <w:ind w:right="-1"/>
            </w:pPr>
            <w:r w:rsidRPr="00AC2CDF">
              <w:t>1,00E+06</w:t>
            </w:r>
          </w:p>
        </w:tc>
        <w:tc>
          <w:tcPr>
            <w:tcW w:w="0" w:type="auto"/>
            <w:shd w:val="clear" w:color="auto" w:fill="FFFFFF"/>
          </w:tcPr>
          <w:p w14:paraId="10401CCB" w14:textId="48CDB60F" w:rsidR="00395BD8" w:rsidRPr="00B765F1" w:rsidRDefault="00395BD8" w:rsidP="00395BD8">
            <w:pPr>
              <w:pStyle w:val="CETBodytext"/>
              <w:ind w:right="-1"/>
            </w:pPr>
            <w:r w:rsidRPr="00AC2CDF">
              <w:t>2,00E+06</w:t>
            </w:r>
          </w:p>
        </w:tc>
        <w:tc>
          <w:tcPr>
            <w:tcW w:w="0" w:type="auto"/>
            <w:shd w:val="clear" w:color="auto" w:fill="FFFFFF"/>
          </w:tcPr>
          <w:p w14:paraId="069D3EDD" w14:textId="7E37BA0E" w:rsidR="00395BD8" w:rsidRPr="00B765F1" w:rsidRDefault="00395BD8" w:rsidP="00395BD8">
            <w:pPr>
              <w:pStyle w:val="CETBodytext"/>
              <w:ind w:right="-1"/>
            </w:pPr>
            <w:r w:rsidRPr="00AC2CDF">
              <w:t>6,00E+05</w:t>
            </w:r>
          </w:p>
        </w:tc>
        <w:tc>
          <w:tcPr>
            <w:tcW w:w="0" w:type="auto"/>
            <w:shd w:val="clear" w:color="auto" w:fill="FFFFFF"/>
          </w:tcPr>
          <w:p w14:paraId="5B08619F" w14:textId="1D846332" w:rsidR="00395BD8" w:rsidRPr="006A50F2" w:rsidRDefault="00395BD8" w:rsidP="00395BD8">
            <w:pPr>
              <w:pStyle w:val="CETBodytext"/>
              <w:ind w:right="-1"/>
              <w:jc w:val="left"/>
            </w:pPr>
            <w:r>
              <w:t>ND</w:t>
            </w:r>
            <w:r w:rsidR="00472F59">
              <w:t>*</w:t>
            </w:r>
          </w:p>
        </w:tc>
        <w:tc>
          <w:tcPr>
            <w:tcW w:w="0" w:type="auto"/>
            <w:shd w:val="clear" w:color="auto" w:fill="FFFFFF"/>
          </w:tcPr>
          <w:p w14:paraId="0C3B2431" w14:textId="33DEB5C7" w:rsidR="00395BD8" w:rsidRPr="001970A7" w:rsidRDefault="00395BD8" w:rsidP="00395BD8">
            <w:pPr>
              <w:pStyle w:val="CETBodytext"/>
              <w:ind w:right="-1"/>
            </w:pPr>
            <w:r w:rsidRPr="00AC2CDF">
              <w:t>7.6E+02*</w:t>
            </w:r>
          </w:p>
        </w:tc>
      </w:tr>
      <w:tr w:rsidR="00395BD8" w:rsidRPr="00B57B36" w14:paraId="4B737BC5" w14:textId="7AC66C2E" w:rsidTr="00395BD8">
        <w:tc>
          <w:tcPr>
            <w:tcW w:w="0" w:type="auto"/>
            <w:shd w:val="clear" w:color="auto" w:fill="FFFFFF"/>
          </w:tcPr>
          <w:p w14:paraId="510271AB" w14:textId="7F8643CC" w:rsidR="00395BD8" w:rsidRPr="00B765F1" w:rsidRDefault="00395BD8" w:rsidP="00395BD8">
            <w:pPr>
              <w:pStyle w:val="CETBodytext"/>
              <w:ind w:right="-1"/>
            </w:pPr>
            <w:r w:rsidRPr="00AC2CDF">
              <w:t>5</w:t>
            </w:r>
          </w:p>
        </w:tc>
        <w:tc>
          <w:tcPr>
            <w:tcW w:w="0" w:type="auto"/>
            <w:shd w:val="clear" w:color="auto" w:fill="FFFFFF"/>
          </w:tcPr>
          <w:p w14:paraId="65CF8A41" w14:textId="2C5E230D" w:rsidR="00395BD8" w:rsidRPr="00B765F1" w:rsidRDefault="00395BD8" w:rsidP="00395BD8">
            <w:pPr>
              <w:pStyle w:val="CETBodytext"/>
              <w:ind w:right="-1"/>
            </w:pPr>
            <w:r w:rsidRPr="00AC2CDF">
              <w:t>4,00E+06</w:t>
            </w:r>
          </w:p>
        </w:tc>
        <w:tc>
          <w:tcPr>
            <w:tcW w:w="0" w:type="auto"/>
            <w:shd w:val="clear" w:color="auto" w:fill="FFFFFF"/>
          </w:tcPr>
          <w:p w14:paraId="65F7D759" w14:textId="143D607B" w:rsidR="00395BD8" w:rsidRPr="00B765F1" w:rsidRDefault="00395BD8" w:rsidP="00395BD8">
            <w:pPr>
              <w:pStyle w:val="CETBodytext"/>
              <w:ind w:right="-1"/>
            </w:pPr>
            <w:r w:rsidRPr="00AC2CDF">
              <w:t>2,00E+06</w:t>
            </w:r>
          </w:p>
        </w:tc>
        <w:tc>
          <w:tcPr>
            <w:tcW w:w="0" w:type="auto"/>
            <w:shd w:val="clear" w:color="auto" w:fill="FFFFFF"/>
          </w:tcPr>
          <w:p w14:paraId="700D5535" w14:textId="67DAD7F0" w:rsidR="00395BD8" w:rsidRPr="00B765F1" w:rsidRDefault="00395BD8" w:rsidP="00395BD8">
            <w:pPr>
              <w:pStyle w:val="CETBodytext"/>
              <w:ind w:right="-1"/>
            </w:pPr>
            <w:r w:rsidRPr="00AC2CDF">
              <w:t>6,00E+06</w:t>
            </w:r>
          </w:p>
        </w:tc>
        <w:tc>
          <w:tcPr>
            <w:tcW w:w="0" w:type="auto"/>
            <w:shd w:val="clear" w:color="auto" w:fill="FFFFFF"/>
          </w:tcPr>
          <w:p w14:paraId="4A8AD754" w14:textId="400172D8" w:rsidR="00395BD8" w:rsidRPr="00B765F1" w:rsidRDefault="00395BD8" w:rsidP="00395BD8">
            <w:pPr>
              <w:pStyle w:val="CETBodytext"/>
              <w:ind w:right="-1"/>
            </w:pPr>
            <w:r w:rsidRPr="00AC2CDF">
              <w:t>3,00E+06</w:t>
            </w:r>
          </w:p>
        </w:tc>
        <w:tc>
          <w:tcPr>
            <w:tcW w:w="0" w:type="auto"/>
            <w:shd w:val="clear" w:color="auto" w:fill="FFFFFF"/>
          </w:tcPr>
          <w:p w14:paraId="756F1869" w14:textId="0CB2E159" w:rsidR="00395BD8" w:rsidRPr="006A50F2" w:rsidRDefault="00395BD8" w:rsidP="00395BD8">
            <w:pPr>
              <w:pStyle w:val="CETBodytext"/>
              <w:ind w:right="-1"/>
            </w:pPr>
            <w:r w:rsidRPr="00AC2CDF">
              <w:t>3.90E+06</w:t>
            </w:r>
            <w:r w:rsidR="00C15F89">
              <w:t>*</w:t>
            </w:r>
          </w:p>
        </w:tc>
        <w:tc>
          <w:tcPr>
            <w:tcW w:w="0" w:type="auto"/>
            <w:shd w:val="clear" w:color="auto" w:fill="FFFFFF"/>
          </w:tcPr>
          <w:p w14:paraId="0E7CF082" w14:textId="3AF5C572" w:rsidR="00395BD8" w:rsidRPr="001970A7" w:rsidRDefault="00395BD8" w:rsidP="00395BD8">
            <w:pPr>
              <w:pStyle w:val="CETBodytext"/>
              <w:ind w:right="-1"/>
            </w:pPr>
            <w:r w:rsidRPr="00AC2CDF">
              <w:t>8.5E+02*</w:t>
            </w:r>
          </w:p>
        </w:tc>
      </w:tr>
      <w:tr w:rsidR="00395BD8" w:rsidRPr="00B57B36" w14:paraId="54C07427" w14:textId="5B21F5B0" w:rsidTr="00395BD8">
        <w:tc>
          <w:tcPr>
            <w:tcW w:w="0" w:type="auto"/>
            <w:shd w:val="clear" w:color="auto" w:fill="FFFFFF"/>
          </w:tcPr>
          <w:p w14:paraId="28600EA2" w14:textId="1EFB8DBC" w:rsidR="00395BD8" w:rsidRPr="00B765F1" w:rsidRDefault="00395BD8" w:rsidP="00395BD8">
            <w:pPr>
              <w:pStyle w:val="CETBodytext"/>
              <w:ind w:right="-1"/>
            </w:pPr>
            <w:r w:rsidRPr="00AC2CDF">
              <w:t>7</w:t>
            </w:r>
          </w:p>
        </w:tc>
        <w:tc>
          <w:tcPr>
            <w:tcW w:w="0" w:type="auto"/>
            <w:shd w:val="clear" w:color="auto" w:fill="FFFFFF"/>
          </w:tcPr>
          <w:p w14:paraId="081E1D12" w14:textId="4BBD52CE" w:rsidR="00395BD8" w:rsidRPr="00B765F1" w:rsidRDefault="00395BD8" w:rsidP="00395BD8">
            <w:pPr>
              <w:pStyle w:val="CETBodytext"/>
              <w:ind w:right="-1"/>
            </w:pPr>
            <w:r w:rsidRPr="00AC2CDF">
              <w:t>2,00E+06</w:t>
            </w:r>
          </w:p>
        </w:tc>
        <w:tc>
          <w:tcPr>
            <w:tcW w:w="0" w:type="auto"/>
            <w:shd w:val="clear" w:color="auto" w:fill="FFFFFF"/>
          </w:tcPr>
          <w:p w14:paraId="064DE235" w14:textId="62080E4F" w:rsidR="00395BD8" w:rsidRPr="00B765F1" w:rsidRDefault="00395BD8" w:rsidP="00395BD8">
            <w:pPr>
              <w:pStyle w:val="CETBodytext"/>
              <w:ind w:right="-1"/>
            </w:pPr>
            <w:r w:rsidRPr="00AC2CDF">
              <w:t>6,00E+06</w:t>
            </w:r>
          </w:p>
        </w:tc>
        <w:tc>
          <w:tcPr>
            <w:tcW w:w="0" w:type="auto"/>
            <w:shd w:val="clear" w:color="auto" w:fill="FFFFFF"/>
          </w:tcPr>
          <w:p w14:paraId="74EBB43D" w14:textId="7ED334E6" w:rsidR="00395BD8" w:rsidRPr="00B765F1" w:rsidRDefault="00395BD8" w:rsidP="00395BD8">
            <w:pPr>
              <w:pStyle w:val="CETBodytext"/>
              <w:ind w:right="-1"/>
            </w:pPr>
            <w:r w:rsidRPr="00AC2CDF">
              <w:t>3,00E+06</w:t>
            </w:r>
          </w:p>
        </w:tc>
        <w:tc>
          <w:tcPr>
            <w:tcW w:w="0" w:type="auto"/>
            <w:shd w:val="clear" w:color="auto" w:fill="FFFFFF"/>
          </w:tcPr>
          <w:p w14:paraId="116E6FB7" w14:textId="52B1C596" w:rsidR="00395BD8" w:rsidRPr="00B765F1" w:rsidRDefault="00395BD8" w:rsidP="00395BD8">
            <w:pPr>
              <w:pStyle w:val="CETBodytext"/>
              <w:ind w:right="-1"/>
            </w:pPr>
            <w:r w:rsidRPr="00AC2CDF">
              <w:t>6,00E+06</w:t>
            </w:r>
          </w:p>
        </w:tc>
        <w:tc>
          <w:tcPr>
            <w:tcW w:w="0" w:type="auto"/>
            <w:shd w:val="clear" w:color="auto" w:fill="FFFFFF"/>
          </w:tcPr>
          <w:p w14:paraId="58225A90" w14:textId="457BC89B" w:rsidR="00395BD8" w:rsidRPr="006A50F2" w:rsidRDefault="00395BD8" w:rsidP="00395BD8">
            <w:pPr>
              <w:pStyle w:val="CETBodytext"/>
              <w:ind w:right="-1"/>
            </w:pPr>
            <w:r w:rsidRPr="00AC2CDF">
              <w:t>3.60E+06</w:t>
            </w:r>
            <w:r w:rsidR="00C15F89">
              <w:t>*</w:t>
            </w:r>
          </w:p>
        </w:tc>
        <w:tc>
          <w:tcPr>
            <w:tcW w:w="0" w:type="auto"/>
            <w:shd w:val="clear" w:color="auto" w:fill="FFFFFF"/>
          </w:tcPr>
          <w:p w14:paraId="68C71EA4" w14:textId="26501FE3" w:rsidR="00395BD8" w:rsidRPr="001970A7" w:rsidRDefault="00395BD8" w:rsidP="00395BD8">
            <w:pPr>
              <w:pStyle w:val="CETBodytext"/>
              <w:ind w:right="-1"/>
            </w:pPr>
            <w:r w:rsidRPr="00AC2CDF">
              <w:t>7.7E+02*</w:t>
            </w:r>
          </w:p>
        </w:tc>
      </w:tr>
      <w:tr w:rsidR="00395BD8" w:rsidRPr="00B57B36" w14:paraId="79E6A4EB" w14:textId="39E5A25D" w:rsidTr="00395BD8">
        <w:tc>
          <w:tcPr>
            <w:tcW w:w="0" w:type="auto"/>
            <w:shd w:val="clear" w:color="auto" w:fill="FFFFFF"/>
          </w:tcPr>
          <w:p w14:paraId="7634F09B" w14:textId="4BD04B2A" w:rsidR="00395BD8" w:rsidRPr="00B765F1" w:rsidRDefault="00395BD8" w:rsidP="00395BD8">
            <w:pPr>
              <w:pStyle w:val="CETBodytext"/>
              <w:ind w:right="-1"/>
            </w:pPr>
            <w:r w:rsidRPr="00AC2CDF">
              <w:t>9</w:t>
            </w:r>
          </w:p>
        </w:tc>
        <w:tc>
          <w:tcPr>
            <w:tcW w:w="0" w:type="auto"/>
            <w:shd w:val="clear" w:color="auto" w:fill="FFFFFF"/>
          </w:tcPr>
          <w:p w14:paraId="67FF4E7C" w14:textId="0BEB5F11" w:rsidR="00395BD8" w:rsidRPr="00B765F1" w:rsidRDefault="00395BD8" w:rsidP="00395BD8">
            <w:pPr>
              <w:pStyle w:val="CETBodytext"/>
              <w:ind w:right="-1"/>
            </w:pPr>
            <w:r w:rsidRPr="00AC2CDF">
              <w:t>3,00E+06</w:t>
            </w:r>
          </w:p>
        </w:tc>
        <w:tc>
          <w:tcPr>
            <w:tcW w:w="0" w:type="auto"/>
            <w:shd w:val="clear" w:color="auto" w:fill="FFFFFF"/>
          </w:tcPr>
          <w:p w14:paraId="4872E5B4" w14:textId="367B8103" w:rsidR="00395BD8" w:rsidRPr="00B765F1" w:rsidRDefault="00395BD8" w:rsidP="00395BD8">
            <w:pPr>
              <w:pStyle w:val="CETBodytext"/>
              <w:ind w:right="-1"/>
            </w:pPr>
            <w:r w:rsidRPr="00AC2CDF">
              <w:t>4,00E+05</w:t>
            </w:r>
          </w:p>
        </w:tc>
        <w:tc>
          <w:tcPr>
            <w:tcW w:w="0" w:type="auto"/>
            <w:shd w:val="clear" w:color="auto" w:fill="FFFFFF"/>
          </w:tcPr>
          <w:p w14:paraId="7AE3117D" w14:textId="1A2C7C09" w:rsidR="00395BD8" w:rsidRPr="00B765F1" w:rsidRDefault="00395BD8" w:rsidP="00395BD8">
            <w:pPr>
              <w:pStyle w:val="CETBodytext"/>
              <w:ind w:right="-1"/>
            </w:pPr>
            <w:r w:rsidRPr="00AC2CDF">
              <w:t>2,00E+06</w:t>
            </w:r>
          </w:p>
        </w:tc>
        <w:tc>
          <w:tcPr>
            <w:tcW w:w="0" w:type="auto"/>
            <w:shd w:val="clear" w:color="auto" w:fill="FFFFFF"/>
          </w:tcPr>
          <w:p w14:paraId="7422E636" w14:textId="6F6DD312" w:rsidR="00395BD8" w:rsidRPr="00B765F1" w:rsidRDefault="00395BD8" w:rsidP="00395BD8">
            <w:pPr>
              <w:pStyle w:val="CETBodytext"/>
              <w:ind w:right="-1"/>
            </w:pPr>
            <w:r w:rsidRPr="00AC2CDF">
              <w:t>4,00E+05</w:t>
            </w:r>
          </w:p>
        </w:tc>
        <w:tc>
          <w:tcPr>
            <w:tcW w:w="0" w:type="auto"/>
            <w:shd w:val="clear" w:color="auto" w:fill="FFFFFF"/>
          </w:tcPr>
          <w:p w14:paraId="497B5C85" w14:textId="41B831E0" w:rsidR="00395BD8" w:rsidRPr="006A50F2" w:rsidRDefault="00395BD8" w:rsidP="00395BD8">
            <w:pPr>
              <w:pStyle w:val="CETBodytext"/>
              <w:ind w:right="-1"/>
            </w:pPr>
            <w:r w:rsidRPr="00AC2CDF">
              <w:t>2.30E+02</w:t>
            </w:r>
          </w:p>
        </w:tc>
        <w:tc>
          <w:tcPr>
            <w:tcW w:w="0" w:type="auto"/>
            <w:shd w:val="clear" w:color="auto" w:fill="FFFFFF"/>
          </w:tcPr>
          <w:p w14:paraId="2EE9CFD4" w14:textId="525E403B" w:rsidR="00395BD8" w:rsidRPr="001970A7" w:rsidRDefault="00395BD8" w:rsidP="00395BD8">
            <w:pPr>
              <w:pStyle w:val="CETBodytext"/>
              <w:ind w:right="-1"/>
            </w:pPr>
            <w:r w:rsidRPr="00AC2CDF">
              <w:t>1.60E+02</w:t>
            </w:r>
          </w:p>
        </w:tc>
      </w:tr>
      <w:tr w:rsidR="00395BD8" w:rsidRPr="00B57B36" w14:paraId="3987B077" w14:textId="77777777" w:rsidTr="00395BD8">
        <w:tc>
          <w:tcPr>
            <w:tcW w:w="0" w:type="auto"/>
            <w:shd w:val="clear" w:color="auto" w:fill="FFFFFF"/>
          </w:tcPr>
          <w:p w14:paraId="17A17C97" w14:textId="04D2F9D2" w:rsidR="00395BD8" w:rsidRPr="006A50F2" w:rsidRDefault="00395BD8" w:rsidP="00395BD8">
            <w:pPr>
              <w:pStyle w:val="CETBodytext"/>
              <w:ind w:right="-1"/>
            </w:pPr>
            <w:r w:rsidRPr="00AC2CDF">
              <w:t>12</w:t>
            </w:r>
          </w:p>
        </w:tc>
        <w:tc>
          <w:tcPr>
            <w:tcW w:w="0" w:type="auto"/>
            <w:shd w:val="clear" w:color="auto" w:fill="FFFFFF"/>
          </w:tcPr>
          <w:p w14:paraId="29355AA3" w14:textId="2CC68D5C" w:rsidR="00395BD8" w:rsidRPr="006A50F2" w:rsidRDefault="00395BD8" w:rsidP="00395BD8">
            <w:pPr>
              <w:pStyle w:val="CETBodytext"/>
              <w:ind w:right="-1"/>
            </w:pPr>
            <w:r w:rsidRPr="00AC2CDF">
              <w:t>3,00E+06</w:t>
            </w:r>
          </w:p>
        </w:tc>
        <w:tc>
          <w:tcPr>
            <w:tcW w:w="0" w:type="auto"/>
            <w:shd w:val="clear" w:color="auto" w:fill="FFFFFF"/>
          </w:tcPr>
          <w:p w14:paraId="7EE2F860" w14:textId="5829D25F" w:rsidR="00395BD8" w:rsidRPr="006A50F2" w:rsidRDefault="00395BD8" w:rsidP="00395BD8">
            <w:pPr>
              <w:pStyle w:val="CETBodytext"/>
              <w:ind w:right="-1"/>
            </w:pPr>
            <w:r w:rsidRPr="00AC2CDF">
              <w:t>2,00E+05</w:t>
            </w:r>
          </w:p>
        </w:tc>
        <w:tc>
          <w:tcPr>
            <w:tcW w:w="0" w:type="auto"/>
            <w:shd w:val="clear" w:color="auto" w:fill="FFFFFF"/>
          </w:tcPr>
          <w:p w14:paraId="645F80EB" w14:textId="57785915" w:rsidR="00395BD8" w:rsidRPr="006A50F2" w:rsidRDefault="00395BD8" w:rsidP="00395BD8">
            <w:pPr>
              <w:pStyle w:val="CETBodytext"/>
              <w:ind w:right="-1"/>
            </w:pPr>
            <w:r w:rsidRPr="00AC2CDF">
              <w:t>7,00E+06</w:t>
            </w:r>
          </w:p>
        </w:tc>
        <w:tc>
          <w:tcPr>
            <w:tcW w:w="0" w:type="auto"/>
            <w:shd w:val="clear" w:color="auto" w:fill="FFFFFF"/>
          </w:tcPr>
          <w:p w14:paraId="3EE1B5ED" w14:textId="3EFE5AEA" w:rsidR="00395BD8" w:rsidRPr="006A50F2" w:rsidRDefault="00395BD8" w:rsidP="00395BD8">
            <w:pPr>
              <w:pStyle w:val="CETBodytext"/>
              <w:ind w:right="-1"/>
            </w:pPr>
            <w:r w:rsidRPr="00AC2CDF">
              <w:t>2,00E+05</w:t>
            </w:r>
          </w:p>
        </w:tc>
        <w:tc>
          <w:tcPr>
            <w:tcW w:w="0" w:type="auto"/>
            <w:shd w:val="clear" w:color="auto" w:fill="FFFFFF"/>
          </w:tcPr>
          <w:p w14:paraId="740D16EB" w14:textId="3EF28625" w:rsidR="00395BD8" w:rsidRPr="001970A7" w:rsidRDefault="00395BD8" w:rsidP="00395BD8">
            <w:pPr>
              <w:pStyle w:val="CETBodytext"/>
              <w:ind w:right="-1"/>
            </w:pPr>
            <w:r w:rsidRPr="00AC2CDF">
              <w:t>1.50E+03</w:t>
            </w:r>
          </w:p>
        </w:tc>
        <w:tc>
          <w:tcPr>
            <w:tcW w:w="0" w:type="auto"/>
            <w:shd w:val="clear" w:color="auto" w:fill="FFFFFF"/>
          </w:tcPr>
          <w:p w14:paraId="35351CB3" w14:textId="791109B0" w:rsidR="00395BD8" w:rsidRPr="001970A7" w:rsidRDefault="00395BD8" w:rsidP="00395BD8">
            <w:pPr>
              <w:pStyle w:val="CETBodytext"/>
              <w:ind w:right="-1"/>
            </w:pPr>
            <w:r w:rsidRPr="00AC2CDF">
              <w:t>1.30E+03</w:t>
            </w:r>
          </w:p>
        </w:tc>
      </w:tr>
      <w:tr w:rsidR="00395BD8" w:rsidRPr="00B57B36" w14:paraId="511CB4BE" w14:textId="77777777" w:rsidTr="00395BD8">
        <w:tc>
          <w:tcPr>
            <w:tcW w:w="0" w:type="auto"/>
            <w:shd w:val="clear" w:color="auto" w:fill="FFFFFF"/>
          </w:tcPr>
          <w:p w14:paraId="59DD2E45" w14:textId="1DAD9362" w:rsidR="00395BD8" w:rsidRPr="006A50F2" w:rsidRDefault="00395BD8" w:rsidP="00395BD8">
            <w:pPr>
              <w:pStyle w:val="CETBodytext"/>
              <w:ind w:right="-1"/>
            </w:pPr>
            <w:r w:rsidRPr="00AC2CDF">
              <w:t>14</w:t>
            </w:r>
          </w:p>
        </w:tc>
        <w:tc>
          <w:tcPr>
            <w:tcW w:w="0" w:type="auto"/>
            <w:shd w:val="clear" w:color="auto" w:fill="FFFFFF"/>
          </w:tcPr>
          <w:p w14:paraId="1544E9AE" w14:textId="26FBE68D" w:rsidR="00395BD8" w:rsidRPr="006A50F2" w:rsidRDefault="00395BD8" w:rsidP="00395BD8">
            <w:pPr>
              <w:pStyle w:val="CETBodytext"/>
              <w:ind w:right="-1"/>
            </w:pPr>
            <w:r w:rsidRPr="00AC2CDF">
              <w:t>9,00E+05</w:t>
            </w:r>
          </w:p>
        </w:tc>
        <w:tc>
          <w:tcPr>
            <w:tcW w:w="0" w:type="auto"/>
            <w:shd w:val="clear" w:color="auto" w:fill="FFFFFF"/>
          </w:tcPr>
          <w:p w14:paraId="0FC57F2C" w14:textId="28C881CC" w:rsidR="00395BD8" w:rsidRPr="006A50F2" w:rsidRDefault="00395BD8" w:rsidP="00395BD8">
            <w:pPr>
              <w:pStyle w:val="CETBodytext"/>
              <w:ind w:right="-1"/>
            </w:pPr>
            <w:r w:rsidRPr="00AC2CDF">
              <w:t>5,00E+06</w:t>
            </w:r>
          </w:p>
        </w:tc>
        <w:tc>
          <w:tcPr>
            <w:tcW w:w="0" w:type="auto"/>
            <w:shd w:val="clear" w:color="auto" w:fill="FFFFFF"/>
          </w:tcPr>
          <w:p w14:paraId="26AC6EFD" w14:textId="2F282908" w:rsidR="00395BD8" w:rsidRPr="006A50F2" w:rsidRDefault="00395BD8" w:rsidP="00395BD8">
            <w:pPr>
              <w:pStyle w:val="CETBodytext"/>
              <w:ind w:right="-1"/>
            </w:pPr>
            <w:r w:rsidRPr="00AC2CDF">
              <w:t>1,00E+06</w:t>
            </w:r>
          </w:p>
        </w:tc>
        <w:tc>
          <w:tcPr>
            <w:tcW w:w="0" w:type="auto"/>
            <w:shd w:val="clear" w:color="auto" w:fill="FFFFFF"/>
          </w:tcPr>
          <w:p w14:paraId="402A95A2" w14:textId="32BADB0B" w:rsidR="00395BD8" w:rsidRPr="006A50F2" w:rsidRDefault="00395BD8" w:rsidP="00395BD8">
            <w:pPr>
              <w:pStyle w:val="CETBodytext"/>
              <w:ind w:right="-1"/>
            </w:pPr>
            <w:r w:rsidRPr="00AC2CDF">
              <w:t>1,00E+06</w:t>
            </w:r>
          </w:p>
        </w:tc>
        <w:tc>
          <w:tcPr>
            <w:tcW w:w="0" w:type="auto"/>
            <w:shd w:val="clear" w:color="auto" w:fill="FFFFFF"/>
          </w:tcPr>
          <w:p w14:paraId="3CBB4AC2" w14:textId="4572053F" w:rsidR="00395BD8" w:rsidRPr="001970A7" w:rsidRDefault="00395BD8" w:rsidP="00395BD8">
            <w:pPr>
              <w:pStyle w:val="CETBodytext"/>
              <w:ind w:right="-1"/>
            </w:pPr>
            <w:r w:rsidRPr="00AC2CDF">
              <w:t>3.10E+04</w:t>
            </w:r>
          </w:p>
        </w:tc>
        <w:tc>
          <w:tcPr>
            <w:tcW w:w="0" w:type="auto"/>
            <w:shd w:val="clear" w:color="auto" w:fill="FFFFFF"/>
          </w:tcPr>
          <w:p w14:paraId="782FC552" w14:textId="424009F8" w:rsidR="00395BD8" w:rsidRPr="001970A7" w:rsidRDefault="00395BD8" w:rsidP="00395BD8">
            <w:pPr>
              <w:pStyle w:val="CETBodytext"/>
              <w:ind w:right="-1"/>
            </w:pPr>
            <w:r w:rsidRPr="00AC2CDF">
              <w:t>5.70E+04</w:t>
            </w:r>
          </w:p>
        </w:tc>
      </w:tr>
      <w:tr w:rsidR="00395BD8" w:rsidRPr="00B57B36" w14:paraId="48EBC4AC" w14:textId="77777777" w:rsidTr="00395BD8">
        <w:tc>
          <w:tcPr>
            <w:tcW w:w="0" w:type="auto"/>
            <w:shd w:val="clear" w:color="auto" w:fill="FFFFFF"/>
          </w:tcPr>
          <w:p w14:paraId="56455CB2" w14:textId="2DCB3EE5" w:rsidR="00395BD8" w:rsidRPr="006A50F2" w:rsidRDefault="00395BD8" w:rsidP="00395BD8">
            <w:pPr>
              <w:pStyle w:val="CETBodytext"/>
              <w:ind w:right="-1"/>
            </w:pPr>
            <w:r w:rsidRPr="00AC2CDF">
              <w:t>16</w:t>
            </w:r>
          </w:p>
        </w:tc>
        <w:tc>
          <w:tcPr>
            <w:tcW w:w="0" w:type="auto"/>
            <w:shd w:val="clear" w:color="auto" w:fill="FFFFFF"/>
          </w:tcPr>
          <w:p w14:paraId="3E020995" w14:textId="69389BD3" w:rsidR="00395BD8" w:rsidRPr="006A50F2" w:rsidRDefault="00395BD8" w:rsidP="00395BD8">
            <w:pPr>
              <w:pStyle w:val="CETBodytext"/>
              <w:ind w:right="-1"/>
            </w:pPr>
            <w:r w:rsidRPr="00AC2CDF">
              <w:t>3,00E+07</w:t>
            </w:r>
          </w:p>
        </w:tc>
        <w:tc>
          <w:tcPr>
            <w:tcW w:w="0" w:type="auto"/>
            <w:shd w:val="clear" w:color="auto" w:fill="FFFFFF"/>
          </w:tcPr>
          <w:p w14:paraId="6F3668B3" w14:textId="3BBED62E" w:rsidR="00395BD8" w:rsidRPr="006A50F2" w:rsidRDefault="00395BD8" w:rsidP="00395BD8">
            <w:pPr>
              <w:pStyle w:val="CETBodytext"/>
              <w:ind w:right="-1"/>
            </w:pPr>
            <w:r w:rsidRPr="00AC2CDF">
              <w:t>1,00E+06</w:t>
            </w:r>
          </w:p>
        </w:tc>
        <w:tc>
          <w:tcPr>
            <w:tcW w:w="0" w:type="auto"/>
            <w:shd w:val="clear" w:color="auto" w:fill="FFFFFF"/>
          </w:tcPr>
          <w:p w14:paraId="155B977C" w14:textId="232B6519" w:rsidR="00395BD8" w:rsidRPr="006A50F2" w:rsidRDefault="00395BD8" w:rsidP="00395BD8">
            <w:pPr>
              <w:pStyle w:val="CETBodytext"/>
              <w:ind w:right="-1"/>
            </w:pPr>
            <w:r w:rsidRPr="00AC2CDF">
              <w:t>2,00E+07</w:t>
            </w:r>
          </w:p>
        </w:tc>
        <w:tc>
          <w:tcPr>
            <w:tcW w:w="0" w:type="auto"/>
            <w:shd w:val="clear" w:color="auto" w:fill="FFFFFF"/>
          </w:tcPr>
          <w:p w14:paraId="75CF3EA5" w14:textId="52D2475F" w:rsidR="00395BD8" w:rsidRPr="006A50F2" w:rsidRDefault="00395BD8" w:rsidP="00395BD8">
            <w:pPr>
              <w:pStyle w:val="CETBodytext"/>
              <w:ind w:right="-1"/>
            </w:pPr>
            <w:r w:rsidRPr="00AC2CDF">
              <w:t>2,00E+06</w:t>
            </w:r>
          </w:p>
        </w:tc>
        <w:tc>
          <w:tcPr>
            <w:tcW w:w="0" w:type="auto"/>
            <w:shd w:val="clear" w:color="auto" w:fill="FFFFFF"/>
          </w:tcPr>
          <w:p w14:paraId="2AA32E8A" w14:textId="6808F8CD" w:rsidR="00395BD8" w:rsidRPr="001970A7" w:rsidRDefault="00395BD8" w:rsidP="00395BD8">
            <w:pPr>
              <w:pStyle w:val="CETBodytext"/>
              <w:ind w:right="-1"/>
            </w:pPr>
            <w:r w:rsidRPr="00AC2CDF">
              <w:t>1.90E+03</w:t>
            </w:r>
          </w:p>
        </w:tc>
        <w:tc>
          <w:tcPr>
            <w:tcW w:w="0" w:type="auto"/>
            <w:shd w:val="clear" w:color="auto" w:fill="FFFFFF"/>
          </w:tcPr>
          <w:p w14:paraId="513D1B81" w14:textId="3B3DC2E4" w:rsidR="00395BD8" w:rsidRPr="001970A7" w:rsidRDefault="00395BD8" w:rsidP="00395BD8">
            <w:pPr>
              <w:pStyle w:val="CETBodytext"/>
              <w:ind w:right="-1"/>
            </w:pPr>
            <w:r w:rsidRPr="00AC2CDF">
              <w:t>1.60E+03</w:t>
            </w:r>
          </w:p>
        </w:tc>
      </w:tr>
      <w:tr w:rsidR="00395BD8" w:rsidRPr="00B57B36" w14:paraId="18CB719D" w14:textId="77777777" w:rsidTr="00395BD8">
        <w:tc>
          <w:tcPr>
            <w:tcW w:w="0" w:type="auto"/>
            <w:shd w:val="clear" w:color="auto" w:fill="FFFFFF"/>
          </w:tcPr>
          <w:p w14:paraId="640F9565" w14:textId="4B6A6651" w:rsidR="00395BD8" w:rsidRPr="006A50F2" w:rsidRDefault="00395BD8" w:rsidP="00395BD8">
            <w:pPr>
              <w:pStyle w:val="CETBodytext"/>
              <w:ind w:right="-1"/>
            </w:pPr>
            <w:r w:rsidRPr="00AC2CDF">
              <w:t>19</w:t>
            </w:r>
          </w:p>
        </w:tc>
        <w:tc>
          <w:tcPr>
            <w:tcW w:w="0" w:type="auto"/>
            <w:shd w:val="clear" w:color="auto" w:fill="FFFFFF"/>
          </w:tcPr>
          <w:p w14:paraId="44E3271F" w14:textId="4BE401D3" w:rsidR="00395BD8" w:rsidRPr="006A50F2" w:rsidRDefault="00395BD8" w:rsidP="00395BD8">
            <w:pPr>
              <w:pStyle w:val="CETBodytext"/>
              <w:ind w:right="-1"/>
            </w:pPr>
            <w:r w:rsidRPr="00AC2CDF">
              <w:t>4,00E+06</w:t>
            </w:r>
          </w:p>
        </w:tc>
        <w:tc>
          <w:tcPr>
            <w:tcW w:w="0" w:type="auto"/>
            <w:shd w:val="clear" w:color="auto" w:fill="FFFFFF"/>
          </w:tcPr>
          <w:p w14:paraId="5960AB86" w14:textId="0526D1AD" w:rsidR="00395BD8" w:rsidRPr="006A50F2" w:rsidRDefault="00395BD8" w:rsidP="00395BD8">
            <w:pPr>
              <w:pStyle w:val="CETBodytext"/>
              <w:ind w:right="-1"/>
            </w:pPr>
            <w:r w:rsidRPr="00AC2CDF">
              <w:t>4,00E+06</w:t>
            </w:r>
          </w:p>
        </w:tc>
        <w:tc>
          <w:tcPr>
            <w:tcW w:w="0" w:type="auto"/>
            <w:shd w:val="clear" w:color="auto" w:fill="FFFFFF"/>
          </w:tcPr>
          <w:p w14:paraId="6CA116A8" w14:textId="3D467B0B" w:rsidR="00395BD8" w:rsidRPr="006A50F2" w:rsidRDefault="00395BD8" w:rsidP="00395BD8">
            <w:pPr>
              <w:pStyle w:val="CETBodytext"/>
              <w:ind w:right="-1"/>
            </w:pPr>
            <w:r w:rsidRPr="00AC2CDF">
              <w:t>4,00E+06</w:t>
            </w:r>
          </w:p>
        </w:tc>
        <w:tc>
          <w:tcPr>
            <w:tcW w:w="0" w:type="auto"/>
            <w:shd w:val="clear" w:color="auto" w:fill="FFFFFF"/>
          </w:tcPr>
          <w:p w14:paraId="7AEF2935" w14:textId="53EB1A61" w:rsidR="00395BD8" w:rsidRPr="006A50F2" w:rsidRDefault="00395BD8" w:rsidP="00395BD8">
            <w:pPr>
              <w:pStyle w:val="CETBodytext"/>
              <w:ind w:right="-1"/>
            </w:pPr>
            <w:r w:rsidRPr="00AC2CDF">
              <w:t>4,00E+06</w:t>
            </w:r>
          </w:p>
        </w:tc>
        <w:tc>
          <w:tcPr>
            <w:tcW w:w="0" w:type="auto"/>
            <w:shd w:val="clear" w:color="auto" w:fill="FFFFFF"/>
          </w:tcPr>
          <w:p w14:paraId="440CD1F6" w14:textId="7D5FDCB7" w:rsidR="00395BD8" w:rsidRPr="001970A7" w:rsidRDefault="00395BD8" w:rsidP="00395BD8">
            <w:pPr>
              <w:pStyle w:val="CETBodytext"/>
              <w:ind w:right="-1"/>
            </w:pPr>
            <w:r w:rsidRPr="00AC2CDF">
              <w:t>6.50E+02</w:t>
            </w:r>
          </w:p>
        </w:tc>
        <w:tc>
          <w:tcPr>
            <w:tcW w:w="0" w:type="auto"/>
            <w:shd w:val="clear" w:color="auto" w:fill="FFFFFF"/>
          </w:tcPr>
          <w:p w14:paraId="3ADFA003" w14:textId="61A364BF" w:rsidR="00395BD8" w:rsidRPr="001970A7" w:rsidRDefault="00395BD8" w:rsidP="00395BD8">
            <w:pPr>
              <w:pStyle w:val="CETBodytext"/>
              <w:ind w:right="-1"/>
            </w:pPr>
            <w:r w:rsidRPr="00AC2CDF">
              <w:t>6.50E+02</w:t>
            </w:r>
          </w:p>
        </w:tc>
      </w:tr>
    </w:tbl>
    <w:p w14:paraId="138AE436" w14:textId="77777777" w:rsidR="00160649" w:rsidRDefault="00160649" w:rsidP="000B363B">
      <w:pPr>
        <w:pStyle w:val="CETListbullets"/>
        <w:ind w:left="0" w:firstLine="0"/>
      </w:pPr>
    </w:p>
    <w:p w14:paraId="2E562C00" w14:textId="23976A1A" w:rsidR="004577FE" w:rsidRDefault="00160649" w:rsidP="000B363B">
      <w:pPr>
        <w:pStyle w:val="CETListbullets"/>
        <w:ind w:left="0" w:firstLine="0"/>
      </w:pPr>
      <w:r>
        <w:t>In some cases, a significantly higher level of fungal contamination</w:t>
      </w:r>
      <w:r w:rsidR="00C15F89">
        <w:t xml:space="preserve"> in samples stored in tannin-coated packaging was</w:t>
      </w:r>
      <w:r>
        <w:t xml:space="preserve"> </w:t>
      </w:r>
      <w:r w:rsidR="00C15F89">
        <w:t xml:space="preserve">determined, as for example </w:t>
      </w:r>
      <w:r>
        <w:t xml:space="preserve">after 5 and 7 days of storage. </w:t>
      </w:r>
      <w:r w:rsidR="00F0067F">
        <w:t>These results contrast</w:t>
      </w:r>
      <w:r w:rsidR="003454EF">
        <w:t>ed</w:t>
      </w:r>
      <w:r w:rsidR="00F0067F">
        <w:t xml:space="preserve"> with </w:t>
      </w:r>
      <w:r w:rsidR="003454EF">
        <w:t>those</w:t>
      </w:r>
      <w:r w:rsidR="00F0067F">
        <w:t xml:space="preserve"> demonstrated </w:t>
      </w:r>
      <w:r w:rsidR="00E3402F">
        <w:t xml:space="preserve">by </w:t>
      </w:r>
      <w:r w:rsidR="003A659F">
        <w:t xml:space="preserve">Sharma et al. </w:t>
      </w:r>
      <w:sdt>
        <w:sdtPr>
          <w:rPr>
            <w:color w:val="000000"/>
          </w:rPr>
          <w:tag w:val="MENDELEY_CITATION_v3_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"/>
          <w:id w:val="1324244180"/>
          <w:placeholder>
            <w:docPart w:val="DefaultPlaceholder_-1854013440"/>
          </w:placeholder>
        </w:sdtPr>
        <w:sdtEndPr/>
        <w:sdtContent>
          <w:r w:rsidR="00C07F18" w:rsidRPr="00C07F18">
            <w:rPr>
              <w:color w:val="000000"/>
            </w:rPr>
            <w:t>(2022)</w:t>
          </w:r>
        </w:sdtContent>
      </w:sdt>
      <w:r w:rsidR="009C161E">
        <w:t>, in which cherry tomatoes stored in</w:t>
      </w:r>
      <w:r w:rsidR="00E75BEA" w:rsidRPr="00E75BEA">
        <w:rPr>
          <w:rFonts w:cs="Arial"/>
          <w:color w:val="222222"/>
          <w:sz w:val="20"/>
          <w:shd w:val="clear" w:color="auto" w:fill="FFFFFF"/>
        </w:rPr>
        <w:t xml:space="preserve"> </w:t>
      </w:r>
      <w:r w:rsidR="00E75BEA" w:rsidRPr="00E75BEA">
        <w:t>PLA-PBAT</w:t>
      </w:r>
      <w:r w:rsidR="00E75BEA">
        <w:t xml:space="preserve"> </w:t>
      </w:r>
      <w:r w:rsidR="00D575F2">
        <w:t>incorporated</w:t>
      </w:r>
      <w:r w:rsidR="00E75BEA">
        <w:t xml:space="preserve"> with tannin acids </w:t>
      </w:r>
      <w:r w:rsidR="003454EF">
        <w:t>showed</w:t>
      </w:r>
      <w:r w:rsidR="00E75BEA">
        <w:t xml:space="preserve"> a </w:t>
      </w:r>
      <w:r w:rsidR="00E751E8">
        <w:t xml:space="preserve">significantly lower bacterial count </w:t>
      </w:r>
      <w:r w:rsidR="003454EF">
        <w:t>compared</w:t>
      </w:r>
      <w:r w:rsidR="00E751E8">
        <w:t xml:space="preserve"> to tomatoes packaged in control samples.</w:t>
      </w:r>
      <w:r w:rsidR="00E3402F">
        <w:t xml:space="preserve"> </w:t>
      </w:r>
    </w:p>
    <w:p w14:paraId="2987A60B" w14:textId="77777777" w:rsidR="00395BD8" w:rsidRDefault="00395BD8" w:rsidP="00395BD8">
      <w:pPr>
        <w:pStyle w:val="CETheadingx"/>
      </w:pPr>
      <w:r>
        <w:t>C</w:t>
      </w:r>
      <w:r w:rsidRPr="00312C27">
        <w:t>olor analysis</w:t>
      </w:r>
    </w:p>
    <w:p w14:paraId="144A1814" w14:textId="1727CFEC" w:rsidR="000B363B" w:rsidRDefault="009A5D93" w:rsidP="000B363B">
      <w:pPr>
        <w:pStyle w:val="CETListbullets"/>
        <w:ind w:left="0" w:firstLine="0"/>
        <w:rPr>
          <w:szCs w:val="26"/>
        </w:rPr>
      </w:pPr>
      <w:r>
        <w:t xml:space="preserve">The analysis of </w:t>
      </w:r>
      <w:r w:rsidRPr="009A5D93">
        <w:rPr>
          <w:i/>
          <w:iCs/>
          <w:lang w:val="en-US"/>
        </w:rPr>
        <w:t>L*, a* e b*</w:t>
      </w:r>
      <w:r>
        <w:rPr>
          <w:i/>
          <w:iCs/>
          <w:lang w:val="en-US"/>
        </w:rPr>
        <w:t xml:space="preserve"> </w:t>
      </w:r>
      <w:r>
        <w:rPr>
          <w:lang w:val="en-US"/>
        </w:rPr>
        <w:t>parameters showed that there were not significative differences between strawberries stored in tannin-coated containers and those stored in the control packaging</w:t>
      </w:r>
      <w:r w:rsidR="00787A1C">
        <w:rPr>
          <w:lang w:val="en-US"/>
        </w:rPr>
        <w:t xml:space="preserve">. </w:t>
      </w:r>
      <w:r>
        <w:rPr>
          <w:lang w:val="en-US"/>
        </w:rPr>
        <w:t>On the contrary, significative differences (</w:t>
      </w:r>
      <w:r w:rsidRPr="009A5D93">
        <w:rPr>
          <w:i/>
          <w:iCs/>
          <w:lang w:val="en-US"/>
        </w:rPr>
        <w:t>P</w:t>
      </w:r>
      <w:r>
        <w:rPr>
          <w:lang w:val="en-US"/>
        </w:rPr>
        <w:t xml:space="preserve">&lt; 0.05) were determined for </w:t>
      </w:r>
      <w:r w:rsidRPr="00566D27">
        <w:rPr>
          <w:szCs w:val="26"/>
          <w:lang w:val="el-GR"/>
        </w:rPr>
        <w:t>Δ</w:t>
      </w:r>
      <w:r w:rsidRPr="00566D27">
        <w:rPr>
          <w:szCs w:val="26"/>
        </w:rPr>
        <w:t>E</w:t>
      </w:r>
      <w:r>
        <w:rPr>
          <w:szCs w:val="26"/>
        </w:rPr>
        <w:t xml:space="preserve"> value in function of storage time (Figure </w:t>
      </w:r>
      <w:r w:rsidR="00010DD2">
        <w:rPr>
          <w:szCs w:val="26"/>
        </w:rPr>
        <w:t>2</w:t>
      </w:r>
      <w:r>
        <w:rPr>
          <w:szCs w:val="26"/>
        </w:rPr>
        <w:t>).</w:t>
      </w:r>
    </w:p>
    <w:p w14:paraId="1F1AE75F" w14:textId="77777777" w:rsidR="009A5D93" w:rsidRPr="009A5D93" w:rsidRDefault="009A5D93" w:rsidP="000B363B">
      <w:pPr>
        <w:pStyle w:val="CETListbullets"/>
        <w:ind w:left="0" w:firstLine="0"/>
        <w:rPr>
          <w:lang w:val="en-US"/>
        </w:rPr>
      </w:pPr>
    </w:p>
    <w:p w14:paraId="4CC67CDC" w14:textId="3AAA9BA7" w:rsidR="000B363B" w:rsidRDefault="009A5D93" w:rsidP="000B363B">
      <w:pPr>
        <w:pStyle w:val="CETListbullets"/>
        <w:ind w:left="0" w:firstLine="0"/>
      </w:pPr>
      <w:r>
        <w:rPr>
          <w:noProof/>
        </w:rPr>
        <w:lastRenderedPageBreak/>
        <w:drawing>
          <wp:inline distT="0" distB="0" distL="0" distR="0" wp14:anchorId="3E222445" wp14:editId="6A8B8D46">
            <wp:extent cx="4078605" cy="2313830"/>
            <wp:effectExtent l="0" t="0" r="0" b="0"/>
            <wp:docPr id="1258795105" name="Grafico 1">
              <a:extLst xmlns:a="http://schemas.openxmlformats.org/drawingml/2006/main">
                <a:ext uri="{FF2B5EF4-FFF2-40B4-BE49-F238E27FC236}">
                  <a16:creationId xmlns:a16="http://schemas.microsoft.com/office/drawing/2014/main" id="{0CD78C44-379B-1977-408A-BF492C690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AF0199" w14:textId="2F6D50C7" w:rsidR="002E2046" w:rsidRDefault="002E2046" w:rsidP="000B363B">
      <w:pPr>
        <w:pStyle w:val="CETListbullets"/>
        <w:ind w:left="0" w:firstLine="0"/>
        <w:rPr>
          <w:rStyle w:val="CETCaptionCarattere"/>
        </w:rPr>
      </w:pPr>
      <w:r w:rsidRPr="00BD077D">
        <w:rPr>
          <w:rStyle w:val="CETCaptionCarattere"/>
        </w:rPr>
        <w:t xml:space="preserve">Figure </w:t>
      </w:r>
      <w:r w:rsidR="00010DD2">
        <w:rPr>
          <w:rStyle w:val="CETCaptionCarattere"/>
        </w:rPr>
        <w:t>2</w:t>
      </w:r>
      <w:r w:rsidRPr="00BD077D">
        <w:rPr>
          <w:rStyle w:val="CETCaptionCarattere"/>
        </w:rPr>
        <w:t xml:space="preserve">: </w:t>
      </w:r>
      <w:r w:rsidRPr="002E2046">
        <w:rPr>
          <w:rStyle w:val="CETCaptionCarattere"/>
        </w:rPr>
        <w:t>Variation in colour (Δ</w:t>
      </w:r>
      <w:r>
        <w:rPr>
          <w:rStyle w:val="CETCaptionCarattere"/>
        </w:rPr>
        <w:t>E</w:t>
      </w:r>
      <w:r w:rsidRPr="002E2046">
        <w:rPr>
          <w:rStyle w:val="CETCaptionCarattere"/>
        </w:rPr>
        <w:t xml:space="preserve">) of strawberries contained in </w:t>
      </w:r>
      <w:r>
        <w:rPr>
          <w:rStyle w:val="CETCaptionCarattere"/>
        </w:rPr>
        <w:t>coated</w:t>
      </w:r>
      <w:r w:rsidRPr="002E2046">
        <w:rPr>
          <w:rStyle w:val="CETCaptionCarattere"/>
        </w:rPr>
        <w:t xml:space="preserve"> and </w:t>
      </w:r>
      <w:r>
        <w:rPr>
          <w:rStyle w:val="CETCaptionCarattere"/>
        </w:rPr>
        <w:t>uncoated</w:t>
      </w:r>
      <w:r w:rsidRPr="002E2046">
        <w:rPr>
          <w:rStyle w:val="CETCaptionCarattere"/>
        </w:rPr>
        <w:t xml:space="preserve"> trays. Data are expressed as mean and standard deviation.</w:t>
      </w:r>
      <w:r>
        <w:rPr>
          <w:rStyle w:val="CETCaptionCarattere"/>
        </w:rPr>
        <w:t xml:space="preserve"> Different letters indicate significative differences among time points (P&lt; 0.05).</w:t>
      </w:r>
    </w:p>
    <w:p w14:paraId="5EF09D15" w14:textId="77777777" w:rsidR="002E2046" w:rsidRDefault="002E2046" w:rsidP="000B363B">
      <w:pPr>
        <w:pStyle w:val="CETListbullets"/>
        <w:ind w:left="0" w:firstLine="0"/>
      </w:pPr>
    </w:p>
    <w:p w14:paraId="728E85BC" w14:textId="7EBD474E" w:rsidR="002E2046" w:rsidRPr="00B57B36" w:rsidRDefault="002E2046" w:rsidP="000B363B">
      <w:pPr>
        <w:pStyle w:val="CETListbullets"/>
        <w:ind w:left="0" w:firstLine="0"/>
      </w:pPr>
      <w:r>
        <w:t xml:space="preserve">Results demonstrated the significantly increase over storage time in </w:t>
      </w:r>
      <w:r w:rsidRPr="00566D27">
        <w:rPr>
          <w:szCs w:val="26"/>
          <w:lang w:val="el-GR"/>
        </w:rPr>
        <w:t>Δ</w:t>
      </w:r>
      <w:r w:rsidRPr="00566D27">
        <w:rPr>
          <w:szCs w:val="26"/>
        </w:rPr>
        <w:t>E</w:t>
      </w:r>
      <w:r>
        <w:rPr>
          <w:szCs w:val="26"/>
        </w:rPr>
        <w:t xml:space="preserve"> parameter</w:t>
      </w:r>
      <w:r w:rsidR="002347BC">
        <w:rPr>
          <w:szCs w:val="26"/>
        </w:rPr>
        <w:t xml:space="preserve"> and a </w:t>
      </w:r>
      <w:r w:rsidR="00812567">
        <w:rPr>
          <w:szCs w:val="26"/>
        </w:rPr>
        <w:t>progressive colour change in strawberries.</w:t>
      </w:r>
      <w:r w:rsidRPr="002E2046">
        <w:t xml:space="preserve"> </w:t>
      </w:r>
      <w:r w:rsidRPr="002E2046">
        <w:rPr>
          <w:szCs w:val="26"/>
        </w:rPr>
        <w:t xml:space="preserve">The </w:t>
      </w:r>
      <w:proofErr w:type="spellStart"/>
      <w:r w:rsidRPr="002E2046">
        <w:rPr>
          <w:szCs w:val="26"/>
        </w:rPr>
        <w:t>color</w:t>
      </w:r>
      <w:proofErr w:type="spellEnd"/>
      <w:r w:rsidRPr="002E2046">
        <w:rPr>
          <w:szCs w:val="26"/>
        </w:rPr>
        <w:t xml:space="preserve"> change in strawberries is attributed to enzymatic processes related to ripenin</w:t>
      </w:r>
      <w:r w:rsidR="00277818">
        <w:rPr>
          <w:szCs w:val="26"/>
        </w:rPr>
        <w:t>g</w:t>
      </w:r>
      <w:r w:rsidR="00492DA8">
        <w:rPr>
          <w:szCs w:val="26"/>
        </w:rPr>
        <w:t xml:space="preserve">, </w:t>
      </w:r>
      <w:r w:rsidR="00670C8E">
        <w:rPr>
          <w:szCs w:val="26"/>
        </w:rPr>
        <w:t>including</w:t>
      </w:r>
      <w:r w:rsidR="00492DA8">
        <w:rPr>
          <w:szCs w:val="26"/>
        </w:rPr>
        <w:t xml:space="preserve"> </w:t>
      </w:r>
      <w:r w:rsidR="00670C8E">
        <w:rPr>
          <w:szCs w:val="26"/>
        </w:rPr>
        <w:t>the</w:t>
      </w:r>
      <w:r w:rsidR="00492DA8">
        <w:rPr>
          <w:szCs w:val="26"/>
        </w:rPr>
        <w:t xml:space="preserve"> oxidation</w:t>
      </w:r>
      <w:r w:rsidR="00670C8E">
        <w:rPr>
          <w:szCs w:val="26"/>
        </w:rPr>
        <w:t xml:space="preserve"> of phenol compounds, which is responsible of </w:t>
      </w:r>
      <w:r w:rsidR="00492DA8">
        <w:rPr>
          <w:szCs w:val="26"/>
        </w:rPr>
        <w:t>strawberry darkening</w:t>
      </w:r>
      <w:r w:rsidRPr="002E2046">
        <w:rPr>
          <w:szCs w:val="26"/>
        </w:rPr>
        <w:t xml:space="preserve"> </w:t>
      </w:r>
      <w:sdt>
        <w:sdtPr>
          <w:rPr>
            <w:color w:val="000000"/>
            <w:szCs w:val="26"/>
          </w:rPr>
          <w:tag w:val="MENDELEY_CITATION_v3_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"/>
          <w:id w:val="-1963410347"/>
          <w:placeholder>
            <w:docPart w:val="DefaultPlaceholder_-1854013440"/>
          </w:placeholder>
        </w:sdtPr>
        <w:sdtEndPr/>
        <w:sdtContent>
          <w:r w:rsidR="00C07F18" w:rsidRPr="00C07F18">
            <w:rPr>
              <w:color w:val="000000"/>
              <w:szCs w:val="26"/>
            </w:rPr>
            <w:t>(Wicklund et al. 2005)</w:t>
          </w:r>
        </w:sdtContent>
      </w:sdt>
      <w:r w:rsidR="00CE2425">
        <w:rPr>
          <w:szCs w:val="26"/>
        </w:rPr>
        <w:t>.</w:t>
      </w:r>
      <w:r w:rsidR="00787A1C">
        <w:rPr>
          <w:szCs w:val="26"/>
        </w:rPr>
        <w:t xml:space="preserve"> </w:t>
      </w:r>
      <w:r w:rsidR="004F3361">
        <w:rPr>
          <w:szCs w:val="26"/>
        </w:rPr>
        <w:t xml:space="preserve">In this direction, the tannin extract did not demonstrate to </w:t>
      </w:r>
      <w:r w:rsidR="004C47C6">
        <w:rPr>
          <w:szCs w:val="26"/>
        </w:rPr>
        <w:t>influence oxidative processes or to inhibit enzymatic browning.</w:t>
      </w:r>
    </w:p>
    <w:p w14:paraId="392246A4" w14:textId="77777777" w:rsidR="002E2046" w:rsidRDefault="002E2046" w:rsidP="002E2046">
      <w:pPr>
        <w:pStyle w:val="CETheadingx"/>
        <w:rPr>
          <w:lang w:val="en-GB"/>
        </w:rPr>
      </w:pPr>
      <w:r>
        <w:rPr>
          <w:lang w:val="en-GB"/>
        </w:rPr>
        <w:t>T</w:t>
      </w:r>
      <w:r w:rsidRPr="00676559">
        <w:rPr>
          <w:lang w:val="en-GB"/>
        </w:rPr>
        <w:t>exture analysis</w:t>
      </w:r>
    </w:p>
    <w:p w14:paraId="6A663DA4" w14:textId="3934B625" w:rsidR="002E2046" w:rsidRDefault="002E2046" w:rsidP="002E2046">
      <w:pPr>
        <w:pStyle w:val="CETBodytext"/>
        <w:rPr>
          <w:lang w:val="en-GB"/>
        </w:rPr>
      </w:pPr>
      <w:r>
        <w:rPr>
          <w:lang w:val="en-GB"/>
        </w:rPr>
        <w:t xml:space="preserve">Texture analysis was performed </w:t>
      </w:r>
      <w:proofErr w:type="gramStart"/>
      <w:r>
        <w:rPr>
          <w:lang w:val="en-GB"/>
        </w:rPr>
        <w:t>in order to</w:t>
      </w:r>
      <w:proofErr w:type="gramEnd"/>
      <w:r>
        <w:rPr>
          <w:lang w:val="en-GB"/>
        </w:rPr>
        <w:t xml:space="preserve"> assess fruit </w:t>
      </w:r>
      <w:r w:rsidR="00C319DB">
        <w:rPr>
          <w:lang w:val="en-GB"/>
        </w:rPr>
        <w:t>firmness, and the results</w:t>
      </w:r>
      <w:r>
        <w:rPr>
          <w:lang w:val="en-GB"/>
        </w:rPr>
        <w:t xml:space="preserve"> are reported in Figure </w:t>
      </w:r>
      <w:r w:rsidR="00010DD2">
        <w:rPr>
          <w:lang w:val="en-GB"/>
        </w:rPr>
        <w:t>3</w:t>
      </w:r>
      <w:r>
        <w:rPr>
          <w:lang w:val="en-GB"/>
        </w:rPr>
        <w:t>.</w:t>
      </w:r>
    </w:p>
    <w:p w14:paraId="2DED0022" w14:textId="77777777" w:rsidR="002E2046" w:rsidRDefault="002E2046" w:rsidP="002E2046">
      <w:pPr>
        <w:pStyle w:val="CETBodytext"/>
        <w:rPr>
          <w:lang w:val="en-GB"/>
        </w:rPr>
      </w:pPr>
    </w:p>
    <w:p w14:paraId="1FD1338C" w14:textId="497ABAA8" w:rsidR="002E2046" w:rsidRDefault="002E2046" w:rsidP="002E2046">
      <w:pPr>
        <w:pStyle w:val="CETBodytext"/>
        <w:rPr>
          <w:lang w:val="en-GB"/>
        </w:rPr>
      </w:pPr>
      <w:r w:rsidRPr="004B39E5">
        <w:rPr>
          <w:noProof/>
        </w:rPr>
        <w:drawing>
          <wp:inline distT="0" distB="0" distL="0" distR="0" wp14:anchorId="04578997" wp14:editId="432DB73A">
            <wp:extent cx="4563745" cy="2258171"/>
            <wp:effectExtent l="0" t="0" r="8255" b="8890"/>
            <wp:docPr id="1504626098" name="Grafico 1">
              <a:extLst xmlns:a="http://schemas.openxmlformats.org/drawingml/2006/main">
                <a:ext uri="{FF2B5EF4-FFF2-40B4-BE49-F238E27FC236}">
                  <a16:creationId xmlns:a16="http://schemas.microsoft.com/office/drawing/2014/main" id="{09FEBB2F-3CA8-482A-B4BB-DF40FA63D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863201" w14:textId="73DE9AC0" w:rsidR="002E2046" w:rsidRDefault="002E2046" w:rsidP="002E2046">
      <w:pPr>
        <w:pStyle w:val="CETListbullets"/>
        <w:ind w:left="0" w:firstLine="0"/>
        <w:rPr>
          <w:rStyle w:val="CETCaptionCarattere"/>
        </w:rPr>
      </w:pPr>
      <w:r w:rsidRPr="00BD077D">
        <w:rPr>
          <w:rStyle w:val="CETCaptionCarattere"/>
        </w:rPr>
        <w:t xml:space="preserve">Figure </w:t>
      </w:r>
      <w:r w:rsidR="00010DD2">
        <w:rPr>
          <w:rStyle w:val="CETCaptionCarattere"/>
        </w:rPr>
        <w:t>3</w:t>
      </w:r>
      <w:r w:rsidRPr="00BD077D">
        <w:rPr>
          <w:rStyle w:val="CETCaptionCarattere"/>
        </w:rPr>
        <w:t xml:space="preserve">: </w:t>
      </w:r>
      <w:r w:rsidRPr="002E2046">
        <w:rPr>
          <w:rStyle w:val="CETCaptionCarattere"/>
        </w:rPr>
        <w:t xml:space="preserve">Variation in </w:t>
      </w:r>
      <w:r>
        <w:rPr>
          <w:rStyle w:val="CETCaptionCarattere"/>
        </w:rPr>
        <w:t xml:space="preserve">firmness </w:t>
      </w:r>
      <w:r w:rsidRPr="002E2046">
        <w:rPr>
          <w:rStyle w:val="CETCaptionCarattere"/>
        </w:rPr>
        <w:t xml:space="preserve">of strawberries contained in </w:t>
      </w:r>
      <w:r>
        <w:rPr>
          <w:rStyle w:val="CETCaptionCarattere"/>
        </w:rPr>
        <w:t>coated</w:t>
      </w:r>
      <w:r w:rsidRPr="002E2046">
        <w:rPr>
          <w:rStyle w:val="CETCaptionCarattere"/>
        </w:rPr>
        <w:t xml:space="preserve"> and </w:t>
      </w:r>
      <w:r>
        <w:rPr>
          <w:rStyle w:val="CETCaptionCarattere"/>
        </w:rPr>
        <w:t>uncoated</w:t>
      </w:r>
      <w:r w:rsidRPr="002E2046">
        <w:rPr>
          <w:rStyle w:val="CETCaptionCarattere"/>
        </w:rPr>
        <w:t xml:space="preserve"> trays. Data are expressed as mean and standard deviation</w:t>
      </w:r>
      <w:r>
        <w:rPr>
          <w:rStyle w:val="CETCaptionCarattere"/>
        </w:rPr>
        <w:t xml:space="preserve"> of a</w:t>
      </w:r>
      <w:r w:rsidRPr="002E2046">
        <w:rPr>
          <w:rStyle w:val="CETCaptionCarattere"/>
        </w:rPr>
        <w:t>verage compressive force.</w:t>
      </w:r>
      <w:r>
        <w:rPr>
          <w:rStyle w:val="CETCaptionCarattere"/>
        </w:rPr>
        <w:t xml:space="preserve"> Different letters indicate significative differences among time points (P&lt; 0.05).</w:t>
      </w:r>
    </w:p>
    <w:p w14:paraId="2B499FDA" w14:textId="77777777" w:rsidR="002E2046" w:rsidRDefault="002E2046" w:rsidP="002E2046">
      <w:pPr>
        <w:pStyle w:val="CETBodytext"/>
        <w:rPr>
          <w:lang w:val="en-GB"/>
        </w:rPr>
      </w:pPr>
    </w:p>
    <w:p w14:paraId="2BACEE0A" w14:textId="2FCFFE0F" w:rsidR="00C430CB" w:rsidRDefault="00C430CB" w:rsidP="002E2046">
      <w:pPr>
        <w:pStyle w:val="CETBodytext"/>
        <w:rPr>
          <w:lang w:val="en-GB"/>
        </w:rPr>
      </w:pPr>
      <w:r>
        <w:rPr>
          <w:lang w:val="en-GB"/>
        </w:rPr>
        <w:t>Results demonstrated that there were no significa</w:t>
      </w:r>
      <w:r w:rsidR="00682F62">
        <w:rPr>
          <w:lang w:val="en-GB"/>
        </w:rPr>
        <w:t>tive differences</w:t>
      </w:r>
      <w:r w:rsidR="005042C0">
        <w:rPr>
          <w:lang w:val="en-GB"/>
        </w:rPr>
        <w:t xml:space="preserve"> (</w:t>
      </w:r>
      <w:r w:rsidR="005042C0" w:rsidRPr="005042C0">
        <w:rPr>
          <w:i/>
          <w:iCs/>
          <w:lang w:val="en-GB"/>
        </w:rPr>
        <w:t>P</w:t>
      </w:r>
      <w:r w:rsidR="005042C0">
        <w:rPr>
          <w:lang w:val="en-GB"/>
        </w:rPr>
        <w:t>&gt; 0.05)</w:t>
      </w:r>
      <w:r w:rsidR="00682F62">
        <w:rPr>
          <w:lang w:val="en-GB"/>
        </w:rPr>
        <w:t xml:space="preserve"> between the texture of strawberries stored in the control containers and those </w:t>
      </w:r>
      <w:r w:rsidR="005042C0">
        <w:rPr>
          <w:lang w:val="en-GB"/>
        </w:rPr>
        <w:t xml:space="preserve">stored in the tannin-coated paperboards. </w:t>
      </w:r>
      <w:r w:rsidR="0096674D">
        <w:rPr>
          <w:lang w:val="en-GB"/>
        </w:rPr>
        <w:t xml:space="preserve">On the contrary, </w:t>
      </w:r>
      <w:r w:rsidR="000E3D96">
        <w:rPr>
          <w:lang w:val="en-GB"/>
        </w:rPr>
        <w:t xml:space="preserve">the </w:t>
      </w:r>
      <w:r w:rsidR="005F33BC">
        <w:rPr>
          <w:lang w:val="en-GB"/>
        </w:rPr>
        <w:t>storage time significantly influenced</w:t>
      </w:r>
      <w:r w:rsidR="00981FCF">
        <w:rPr>
          <w:lang w:val="en-GB"/>
        </w:rPr>
        <w:t xml:space="preserve"> (</w:t>
      </w:r>
      <w:r w:rsidR="00981FCF" w:rsidRPr="005042C0">
        <w:rPr>
          <w:i/>
          <w:iCs/>
          <w:lang w:val="en-GB"/>
        </w:rPr>
        <w:t>P</w:t>
      </w:r>
      <w:r w:rsidR="00981FCF">
        <w:rPr>
          <w:lang w:val="en-GB"/>
        </w:rPr>
        <w:t>&lt; 0.05)</w:t>
      </w:r>
      <w:r w:rsidR="005F33BC">
        <w:rPr>
          <w:lang w:val="en-GB"/>
        </w:rPr>
        <w:t xml:space="preserve"> the </w:t>
      </w:r>
      <w:r w:rsidR="00981FCF">
        <w:rPr>
          <w:lang w:val="en-GB"/>
        </w:rPr>
        <w:t>firmness of</w:t>
      </w:r>
      <w:r w:rsidR="00BA143C">
        <w:rPr>
          <w:lang w:val="en-GB"/>
        </w:rPr>
        <w:t xml:space="preserve"> </w:t>
      </w:r>
      <w:r w:rsidR="00981FCF" w:rsidRPr="00981FCF">
        <w:rPr>
          <w:lang w:val="en-GB"/>
        </w:rPr>
        <w:t>strawberries</w:t>
      </w:r>
      <w:r w:rsidR="00981FCF">
        <w:rPr>
          <w:lang w:val="en-GB"/>
        </w:rPr>
        <w:t xml:space="preserve">, with the average compression force that </w:t>
      </w:r>
      <w:r w:rsidR="00A519C8">
        <w:rPr>
          <w:lang w:val="en-GB"/>
        </w:rPr>
        <w:t>significantly decreased along the monitoring period</w:t>
      </w:r>
      <w:r w:rsidR="00C319DB">
        <w:rPr>
          <w:lang w:val="en-GB"/>
        </w:rPr>
        <w:t xml:space="preserve">, mainly due to pectin degradation </w:t>
      </w:r>
      <w:sdt>
        <w:sdtPr>
          <w:rPr>
            <w:color w:val="000000"/>
            <w:lang w:val="en-GB"/>
          </w:rPr>
          <w:tag w:val="MENDELEY_CITATION_v3_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"/>
          <w:id w:val="1725182755"/>
          <w:placeholder>
            <w:docPart w:val="130F08CAEE104291A6FD0CC3132D6DB0"/>
          </w:placeholder>
        </w:sdtPr>
        <w:sdtEndPr/>
        <w:sdtContent>
          <w:r w:rsidR="00C07F18" w:rsidRPr="00C07F18">
            <w:rPr>
              <w:color w:val="000000"/>
              <w:lang w:val="en-GB"/>
            </w:rPr>
            <w:t>(Peretto et al. 2014)</w:t>
          </w:r>
        </w:sdtContent>
      </w:sdt>
      <w:r w:rsidR="00C319DB" w:rsidRPr="002E2046">
        <w:rPr>
          <w:lang w:val="en-GB"/>
        </w:rPr>
        <w:t>.</w:t>
      </w:r>
    </w:p>
    <w:p w14:paraId="5D1356D5" w14:textId="77777777" w:rsidR="0089182E" w:rsidRDefault="0089182E" w:rsidP="0089182E">
      <w:pPr>
        <w:pStyle w:val="CETheadingx"/>
      </w:pPr>
      <w:r>
        <w:t>W</w:t>
      </w:r>
      <w:r w:rsidRPr="00076F4A">
        <w:t>eight loss evaluation</w:t>
      </w:r>
    </w:p>
    <w:p w14:paraId="13432D0B" w14:textId="7EA23BBE" w:rsidR="00D47575" w:rsidRDefault="00D47575" w:rsidP="002E2046">
      <w:pPr>
        <w:pStyle w:val="CETBodytext"/>
        <w:rPr>
          <w:lang w:val="en-GB"/>
        </w:rPr>
      </w:pPr>
      <w:r w:rsidRPr="00D47575">
        <w:rPr>
          <w:lang w:val="en-GB"/>
        </w:rPr>
        <w:t>Weight loss in fruits is associated with respiratory frequency, moisture evaporation through the skin, and the activity of malate dehydrogenase, which consumes carbohydrates in the fruit, leading to weight loss</w:t>
      </w:r>
      <w:r w:rsidR="007B7F5E">
        <w:rPr>
          <w:lang w:val="en-GB"/>
        </w:rPr>
        <w:t xml:space="preserve"> </w:t>
      </w:r>
      <w:sdt>
        <w:sdtPr>
          <w:rPr>
            <w:color w:val="000000"/>
            <w:lang w:val="en-GB"/>
          </w:rPr>
          <w:tag w:val="MENDELEY_CITATION_v3_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"/>
          <w:id w:val="1656869848"/>
          <w:placeholder>
            <w:docPart w:val="DefaultPlaceholder_-1854013440"/>
          </w:placeholder>
        </w:sdtPr>
        <w:sdtEndPr/>
        <w:sdtContent>
          <w:r w:rsidR="00C07F18" w:rsidRPr="00C07F18">
            <w:rPr>
              <w:color w:val="000000"/>
              <w:lang w:val="en-GB"/>
            </w:rPr>
            <w:t>(Hurtado et al. 2021)</w:t>
          </w:r>
        </w:sdtContent>
      </w:sdt>
      <w:r w:rsidRPr="00D47575">
        <w:rPr>
          <w:lang w:val="en-GB"/>
        </w:rPr>
        <w:t xml:space="preserve">. Rapid moisture loss from the skin is a major factor contributing to the perishability of strawberries. Generally, lower weight loss results in longer shelf life and freshness </w:t>
      </w:r>
      <w:sdt>
        <w:sdtPr>
          <w:rPr>
            <w:color w:val="000000"/>
            <w:lang w:val="en-GB"/>
          </w:rPr>
          <w:tag w:val="MENDELEY_CITATION_v3_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"/>
          <w:id w:val="-1864425595"/>
          <w:placeholder>
            <w:docPart w:val="DefaultPlaceholder_-1854013440"/>
          </w:placeholder>
        </w:sdtPr>
        <w:sdtEndPr/>
        <w:sdtContent>
          <w:r w:rsidR="00C07F18" w:rsidRPr="00C07F18">
            <w:rPr>
              <w:color w:val="000000"/>
              <w:lang w:val="en-GB"/>
            </w:rPr>
            <w:t>(Gidado et al. 2024)</w:t>
          </w:r>
        </w:sdtContent>
      </w:sdt>
      <w:r w:rsidRPr="00D47575">
        <w:rPr>
          <w:lang w:val="en-GB"/>
        </w:rPr>
        <w:t xml:space="preserve">. The results </w:t>
      </w:r>
      <w:r w:rsidR="004039B6">
        <w:rPr>
          <w:lang w:val="en-GB"/>
        </w:rPr>
        <w:t xml:space="preserve">about strawberries weight loss </w:t>
      </w:r>
      <w:r w:rsidRPr="00D47575">
        <w:rPr>
          <w:lang w:val="en-GB"/>
        </w:rPr>
        <w:t xml:space="preserve">are shown in Figure </w:t>
      </w:r>
      <w:r w:rsidR="00010DD2">
        <w:rPr>
          <w:lang w:val="en-GB"/>
        </w:rPr>
        <w:t>4</w:t>
      </w:r>
      <w:r w:rsidR="00847B20">
        <w:rPr>
          <w:lang w:val="en-GB"/>
        </w:rPr>
        <w:t>.</w:t>
      </w:r>
      <w:r w:rsidRPr="00D47575">
        <w:rPr>
          <w:lang w:val="en-GB"/>
        </w:rPr>
        <w:t xml:space="preserve"> </w:t>
      </w:r>
    </w:p>
    <w:p w14:paraId="70FCFC4F" w14:textId="77777777" w:rsidR="00F94BFE" w:rsidRDefault="00F94BFE" w:rsidP="002E2046">
      <w:pPr>
        <w:pStyle w:val="CETBodytext"/>
        <w:rPr>
          <w:lang w:val="en-GB"/>
        </w:rPr>
      </w:pPr>
    </w:p>
    <w:p w14:paraId="5E821B19" w14:textId="429901AE" w:rsidR="00D47575" w:rsidRDefault="002037E6" w:rsidP="002E2046">
      <w:pPr>
        <w:pStyle w:val="CETBodytext"/>
        <w:rPr>
          <w:lang w:val="en-GB"/>
        </w:rPr>
      </w:pPr>
      <w:r w:rsidRPr="003F7B97">
        <w:rPr>
          <w:noProof/>
        </w:rPr>
        <w:drawing>
          <wp:inline distT="0" distB="0" distL="0" distR="0" wp14:anchorId="02E23FCA" wp14:editId="43142D74">
            <wp:extent cx="4230094" cy="2297430"/>
            <wp:effectExtent l="0" t="0" r="0" b="7620"/>
            <wp:docPr id="1422486225" name="Grafico 1">
              <a:extLst xmlns:a="http://schemas.openxmlformats.org/drawingml/2006/main">
                <a:ext uri="{FF2B5EF4-FFF2-40B4-BE49-F238E27FC236}">
                  <a16:creationId xmlns:a16="http://schemas.microsoft.com/office/drawing/2014/main" id="{A140F0CD-7A39-18BA-9485-63DEDEFF6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6E29F2" w14:textId="32CC097C" w:rsidR="002C4CBC" w:rsidRDefault="002C4CBC" w:rsidP="002C4CBC">
      <w:pPr>
        <w:pStyle w:val="CETListbullets"/>
        <w:ind w:left="0" w:firstLine="0"/>
        <w:rPr>
          <w:rStyle w:val="CETCaptionCarattere"/>
        </w:rPr>
      </w:pPr>
      <w:r w:rsidRPr="00BD077D">
        <w:rPr>
          <w:rStyle w:val="CETCaptionCarattere"/>
        </w:rPr>
        <w:t xml:space="preserve">Figure </w:t>
      </w:r>
      <w:r w:rsidR="00010DD2">
        <w:rPr>
          <w:rStyle w:val="CETCaptionCarattere"/>
        </w:rPr>
        <w:t>4</w:t>
      </w:r>
      <w:r w:rsidR="00782803">
        <w:rPr>
          <w:rStyle w:val="CETCaptionCarattere"/>
        </w:rPr>
        <w:t>:</w:t>
      </w:r>
      <w:r w:rsidR="007B7F5E">
        <w:rPr>
          <w:rStyle w:val="CETCaptionCarattere"/>
        </w:rPr>
        <w:t xml:space="preserve"> S</w:t>
      </w:r>
      <w:r w:rsidR="00847B20">
        <w:rPr>
          <w:rStyle w:val="CETCaptionCarattere"/>
        </w:rPr>
        <w:t xml:space="preserve">trawberries </w:t>
      </w:r>
      <w:r w:rsidR="00C77140" w:rsidRPr="00C77140">
        <w:rPr>
          <w:i/>
        </w:rPr>
        <w:t>weight loss during the monitoring period.</w:t>
      </w:r>
      <w:r w:rsidR="00C77140">
        <w:rPr>
          <w:i/>
        </w:rPr>
        <w:t xml:space="preserve"> Results are expresses as weight loss %, respect to the initial weight at time 0. </w:t>
      </w:r>
      <w:r w:rsidRPr="002E2046">
        <w:rPr>
          <w:rStyle w:val="CETCaptionCarattere"/>
        </w:rPr>
        <w:t>Data are expressed as mean and standard</w:t>
      </w:r>
      <w:r w:rsidR="007B7F5E">
        <w:rPr>
          <w:rStyle w:val="CETCaptionCarattere"/>
        </w:rPr>
        <w:t xml:space="preserve"> deviations</w:t>
      </w:r>
      <w:r w:rsidRPr="002E2046">
        <w:rPr>
          <w:rStyle w:val="CETCaptionCarattere"/>
        </w:rPr>
        <w:t>.</w:t>
      </w:r>
      <w:r>
        <w:rPr>
          <w:rStyle w:val="CETCaptionCarattere"/>
        </w:rPr>
        <w:t xml:space="preserve"> Different letters indicate significative differences among time points (</w:t>
      </w:r>
      <w:r w:rsidRPr="00AE55EB">
        <w:rPr>
          <w:rStyle w:val="CETCaptionCarattere"/>
        </w:rPr>
        <w:t>P</w:t>
      </w:r>
      <w:r>
        <w:rPr>
          <w:rStyle w:val="CETCaptionCarattere"/>
        </w:rPr>
        <w:t>&lt; 0.05).</w:t>
      </w:r>
    </w:p>
    <w:p w14:paraId="5CCD55AE" w14:textId="77777777" w:rsidR="002C4CBC" w:rsidRDefault="002C4CBC" w:rsidP="002E2046">
      <w:pPr>
        <w:pStyle w:val="CETBodytext"/>
        <w:rPr>
          <w:lang w:val="en-GB"/>
        </w:rPr>
      </w:pPr>
    </w:p>
    <w:p w14:paraId="4FA0E61A" w14:textId="1128785A" w:rsidR="00D47575" w:rsidRDefault="00AE55EB" w:rsidP="002E2046">
      <w:pPr>
        <w:pStyle w:val="CETBodytext"/>
        <w:rPr>
          <w:lang w:val="en-GB"/>
        </w:rPr>
      </w:pPr>
      <w:r>
        <w:rPr>
          <w:lang w:val="en-GB"/>
        </w:rPr>
        <w:t>T</w:t>
      </w:r>
      <w:r w:rsidRPr="00AE55EB">
        <w:rPr>
          <w:lang w:val="en-GB"/>
        </w:rPr>
        <w:t>he results show no significant differences (</w:t>
      </w:r>
      <w:r w:rsidRPr="00AE55EB">
        <w:rPr>
          <w:i/>
          <w:iCs/>
          <w:lang w:val="en-GB"/>
        </w:rPr>
        <w:t>P</w:t>
      </w:r>
      <w:r w:rsidRPr="00AE55EB">
        <w:rPr>
          <w:lang w:val="en-GB"/>
        </w:rPr>
        <w:t xml:space="preserve"> &gt; 0.05) between treated and untreated samples.</w:t>
      </w:r>
      <w:r w:rsidR="00156FB4">
        <w:rPr>
          <w:lang w:val="en-GB"/>
        </w:rPr>
        <w:t xml:space="preserve"> Opposite results were obtained by </w:t>
      </w:r>
      <w:r w:rsidR="00BC01B5">
        <w:rPr>
          <w:lang w:val="en-GB"/>
        </w:rPr>
        <w:t xml:space="preserve">Halim et al. </w:t>
      </w:r>
      <w:sdt>
        <w:sdtPr>
          <w:rPr>
            <w:color w:val="000000"/>
            <w:lang w:val="en-GB"/>
          </w:rPr>
          <w:tag w:val="MENDELEY_CITATION_v3_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"/>
          <w:id w:val="642006293"/>
          <w:placeholder>
            <w:docPart w:val="DefaultPlaceholder_-1854013440"/>
          </w:placeholder>
        </w:sdtPr>
        <w:sdtEndPr/>
        <w:sdtContent>
          <w:r w:rsidR="00C07F18" w:rsidRPr="00C07F18">
            <w:rPr>
              <w:color w:val="000000"/>
              <w:lang w:val="en-GB"/>
            </w:rPr>
            <w:t>(2018)</w:t>
          </w:r>
        </w:sdtContent>
      </w:sdt>
      <w:r w:rsidR="00BC01B5">
        <w:rPr>
          <w:color w:val="000000"/>
          <w:lang w:val="en-GB"/>
        </w:rPr>
        <w:t xml:space="preserve"> when </w:t>
      </w:r>
      <w:r w:rsidR="00964A53">
        <w:rPr>
          <w:color w:val="000000"/>
          <w:lang w:val="en-GB"/>
        </w:rPr>
        <w:t xml:space="preserve">a chitosan and </w:t>
      </w:r>
      <w:r w:rsidR="002D5B94">
        <w:rPr>
          <w:color w:val="000000"/>
          <w:lang w:val="en-GB"/>
        </w:rPr>
        <w:t>gelatine</w:t>
      </w:r>
      <w:r w:rsidR="00964A53">
        <w:rPr>
          <w:color w:val="000000"/>
          <w:lang w:val="en-GB"/>
        </w:rPr>
        <w:t xml:space="preserve">-based film incorporated with tannins </w:t>
      </w:r>
      <w:r w:rsidR="00326602">
        <w:rPr>
          <w:color w:val="000000"/>
          <w:lang w:val="en-GB"/>
        </w:rPr>
        <w:t>was</w:t>
      </w:r>
      <w:r w:rsidR="00964A53">
        <w:rPr>
          <w:color w:val="000000"/>
          <w:lang w:val="en-GB"/>
        </w:rPr>
        <w:t xml:space="preserve"> wrapped </w:t>
      </w:r>
      <w:r w:rsidR="00326602">
        <w:rPr>
          <w:color w:val="000000"/>
          <w:lang w:val="en-GB"/>
        </w:rPr>
        <w:t>a</w:t>
      </w:r>
      <w:r w:rsidR="00964A53">
        <w:rPr>
          <w:color w:val="000000"/>
          <w:lang w:val="en-GB"/>
        </w:rPr>
        <w:t>round tomato</w:t>
      </w:r>
      <w:r w:rsidR="00326602">
        <w:rPr>
          <w:color w:val="000000"/>
          <w:lang w:val="en-GB"/>
        </w:rPr>
        <w:t>es</w:t>
      </w:r>
      <w:r w:rsidR="00964A53">
        <w:rPr>
          <w:color w:val="000000"/>
          <w:lang w:val="en-GB"/>
        </w:rPr>
        <w:t xml:space="preserve"> and grape</w:t>
      </w:r>
      <w:r w:rsidR="00326602">
        <w:rPr>
          <w:color w:val="000000"/>
          <w:lang w:val="en-GB"/>
        </w:rPr>
        <w:t>s</w:t>
      </w:r>
      <w:r w:rsidR="00DD4A43">
        <w:rPr>
          <w:color w:val="000000"/>
          <w:lang w:val="en-GB"/>
        </w:rPr>
        <w:t>, demonstrating a lower</w:t>
      </w:r>
      <w:r w:rsidR="00326602">
        <w:rPr>
          <w:color w:val="000000"/>
          <w:lang w:val="en-GB"/>
        </w:rPr>
        <w:t xml:space="preserve"> % of</w:t>
      </w:r>
      <w:r w:rsidR="00DD4A43">
        <w:rPr>
          <w:color w:val="000000"/>
          <w:lang w:val="en-GB"/>
        </w:rPr>
        <w:t xml:space="preserve"> weight loss compared to the </w:t>
      </w:r>
      <w:r w:rsidR="002D5B94">
        <w:rPr>
          <w:color w:val="000000"/>
          <w:lang w:val="en-GB"/>
        </w:rPr>
        <w:t>corresponding control samples.</w:t>
      </w:r>
      <w:r w:rsidR="00E74245">
        <w:rPr>
          <w:color w:val="000000"/>
          <w:lang w:val="en-GB"/>
        </w:rPr>
        <w:t xml:space="preserve"> By considering the effect of storage on fruit weight loss</w:t>
      </w:r>
      <w:r w:rsidRPr="00AE55EB">
        <w:rPr>
          <w:lang w:val="en-GB"/>
        </w:rPr>
        <w:t xml:space="preserve">, significant differences </w:t>
      </w:r>
      <w:r>
        <w:rPr>
          <w:lang w:val="en-GB"/>
        </w:rPr>
        <w:t>(</w:t>
      </w:r>
      <w:r w:rsidRPr="00AE55EB">
        <w:rPr>
          <w:rStyle w:val="CETCaptionCarattere"/>
        </w:rPr>
        <w:t>P</w:t>
      </w:r>
      <w:r w:rsidRPr="00AE55EB">
        <w:rPr>
          <w:rStyle w:val="CETCaptionCarattere"/>
          <w:i w:val="0"/>
          <w:iCs/>
        </w:rPr>
        <w:t>&lt; 0.05</w:t>
      </w:r>
      <w:r>
        <w:rPr>
          <w:rStyle w:val="CETCaptionCarattere"/>
        </w:rPr>
        <w:t xml:space="preserve">) </w:t>
      </w:r>
      <w:r w:rsidRPr="00AE55EB">
        <w:rPr>
          <w:lang w:val="en-GB"/>
        </w:rPr>
        <w:t xml:space="preserve">were identified over time. The weight loss percentage increased with storage time, reaching a maximum of 34.4% for treated samples and 26.8% for untreated samples, both observed </w:t>
      </w:r>
      <w:r w:rsidR="00FC774D">
        <w:rPr>
          <w:lang w:val="en-GB"/>
        </w:rPr>
        <w:t>at the end of</w:t>
      </w:r>
      <w:r w:rsidR="00ED7BEE">
        <w:rPr>
          <w:lang w:val="en-GB"/>
        </w:rPr>
        <w:t xml:space="preserve"> the</w:t>
      </w:r>
      <w:r w:rsidR="00FC774D">
        <w:rPr>
          <w:lang w:val="en-GB"/>
        </w:rPr>
        <w:t xml:space="preserve"> storage</w:t>
      </w:r>
      <w:r w:rsidR="00ED7BEE">
        <w:rPr>
          <w:lang w:val="en-GB"/>
        </w:rPr>
        <w:t xml:space="preserve"> period.</w:t>
      </w:r>
    </w:p>
    <w:p w14:paraId="355D87D6" w14:textId="77777777" w:rsidR="005B7FDC" w:rsidRDefault="00FC774D" w:rsidP="005B7FDC">
      <w:pPr>
        <w:pStyle w:val="CETheadingx"/>
      </w:pPr>
      <w:r>
        <w:rPr>
          <w:lang w:val="en-GB"/>
        </w:rPr>
        <w:t xml:space="preserve"> </w:t>
      </w:r>
      <w:r w:rsidR="005B7FDC">
        <w:rPr>
          <w:rFonts w:eastAsiaTheme="minorEastAsia"/>
        </w:rPr>
        <w:t>F</w:t>
      </w:r>
      <w:r w:rsidR="005B7FDC" w:rsidRPr="00076F4A">
        <w:rPr>
          <w:rFonts w:eastAsiaTheme="minorEastAsia"/>
        </w:rPr>
        <w:t xml:space="preserve">ungicidal activity of the </w:t>
      </w:r>
      <w:r w:rsidR="005B7FDC">
        <w:t>paperboards</w:t>
      </w:r>
    </w:p>
    <w:p w14:paraId="35083610" w14:textId="24BF9409" w:rsidR="0089182E" w:rsidRPr="002E2046" w:rsidRDefault="0050649B" w:rsidP="002E2046">
      <w:pPr>
        <w:pStyle w:val="CETBodytext"/>
        <w:rPr>
          <w:lang w:val="en-GB"/>
        </w:rPr>
      </w:pPr>
      <w:proofErr w:type="gramStart"/>
      <w:r>
        <w:rPr>
          <w:lang w:val="en-GB"/>
        </w:rPr>
        <w:t>In order to</w:t>
      </w:r>
      <w:proofErr w:type="gramEnd"/>
      <w:r>
        <w:rPr>
          <w:lang w:val="en-GB"/>
        </w:rPr>
        <w:t xml:space="preserve"> assess if the antimicrobial activities</w:t>
      </w:r>
      <w:r w:rsidR="00EC2C18">
        <w:rPr>
          <w:lang w:val="en-GB"/>
        </w:rPr>
        <w:t xml:space="preserve"> of tannin extract </w:t>
      </w:r>
      <w:r w:rsidR="00EA47AF">
        <w:rPr>
          <w:lang w:val="en-GB"/>
        </w:rPr>
        <w:t>were</w:t>
      </w:r>
      <w:r>
        <w:rPr>
          <w:lang w:val="en-GB"/>
        </w:rPr>
        <w:t xml:space="preserve"> maintained </w:t>
      </w:r>
      <w:r w:rsidR="00EC2C18">
        <w:rPr>
          <w:lang w:val="en-GB"/>
        </w:rPr>
        <w:t xml:space="preserve">after its coating on paperboard, the fungicidal </w:t>
      </w:r>
      <w:r w:rsidR="009930F1">
        <w:rPr>
          <w:lang w:val="en-GB"/>
        </w:rPr>
        <w:t xml:space="preserve">activity of containers before food contact was determined as well. </w:t>
      </w:r>
      <w:r w:rsidR="00EA47AF">
        <w:rPr>
          <w:lang w:val="en-GB"/>
        </w:rPr>
        <w:t xml:space="preserve">The results demonstrated </w:t>
      </w:r>
      <w:r w:rsidR="008877DC">
        <w:rPr>
          <w:lang w:val="en-GB"/>
        </w:rPr>
        <w:t xml:space="preserve">that tannin-coated paperboards exhibited weak fungal </w:t>
      </w:r>
      <w:r w:rsidR="006E4761">
        <w:rPr>
          <w:lang w:val="en-GB"/>
        </w:rPr>
        <w:t xml:space="preserve">growth, while no development were observed in untreated paperboards. </w:t>
      </w:r>
      <w:r w:rsidR="00016B14">
        <w:rPr>
          <w:lang w:val="en-GB"/>
        </w:rPr>
        <w:t xml:space="preserve">These results </w:t>
      </w:r>
      <w:r w:rsidR="00016B14" w:rsidRPr="00016B14">
        <w:rPr>
          <w:lang w:val="en-GB"/>
        </w:rPr>
        <w:t>may be attributed to the nature of the coating used,</w:t>
      </w:r>
      <w:r w:rsidR="00016B14">
        <w:rPr>
          <w:lang w:val="en-GB"/>
        </w:rPr>
        <w:t xml:space="preserve"> with</w:t>
      </w:r>
      <w:r w:rsidR="00016B14" w:rsidRPr="00016B14">
        <w:rPr>
          <w:lang w:val="en-GB"/>
        </w:rPr>
        <w:t xml:space="preserve"> the tannin</w:t>
      </w:r>
      <w:r w:rsidR="00016B14">
        <w:rPr>
          <w:lang w:val="en-GB"/>
        </w:rPr>
        <w:t xml:space="preserve"> extract which</w:t>
      </w:r>
      <w:r w:rsidR="00016B14" w:rsidRPr="00016B14">
        <w:rPr>
          <w:lang w:val="en-GB"/>
        </w:rPr>
        <w:t xml:space="preserve"> may still contain sugars or other compounds that promote microbial growth</w:t>
      </w:r>
      <w:r w:rsidR="001055BD">
        <w:rPr>
          <w:lang w:val="en-GB"/>
        </w:rPr>
        <w:t>.</w:t>
      </w:r>
    </w:p>
    <w:p w14:paraId="68D26B83" w14:textId="77777777" w:rsidR="00600535" w:rsidRPr="00B57B36" w:rsidRDefault="00600535" w:rsidP="00600535">
      <w:pPr>
        <w:pStyle w:val="CETHeading1"/>
        <w:rPr>
          <w:lang w:val="en-GB"/>
        </w:rPr>
      </w:pPr>
      <w:r w:rsidRPr="00B57B36">
        <w:rPr>
          <w:lang w:val="en-GB"/>
        </w:rPr>
        <w:t>Conclusions</w:t>
      </w:r>
    </w:p>
    <w:p w14:paraId="368C9C49" w14:textId="303D9617" w:rsidR="004B13D1" w:rsidRPr="004B13D1" w:rsidRDefault="004B13D1" w:rsidP="00A906DF">
      <w:r w:rsidRPr="004B13D1">
        <w:t xml:space="preserve">In </w:t>
      </w:r>
      <w:r>
        <w:t xml:space="preserve">the present work, tannin extract was used for preparing coated </w:t>
      </w:r>
      <w:r w:rsidR="00A36113">
        <w:t>paperboards</w:t>
      </w:r>
      <w:r>
        <w:t xml:space="preserve"> </w:t>
      </w:r>
      <w:r w:rsidR="00A36113">
        <w:t xml:space="preserve">to be used as packaging for strawberries, with the final aim to improve their shelf-life. </w:t>
      </w:r>
      <w:r w:rsidRPr="004B13D1">
        <w:t xml:space="preserve">The results revealed no significant differences in microbial growth or quality parameters between </w:t>
      </w:r>
      <w:r w:rsidR="00A36113">
        <w:t>strawberries stored in</w:t>
      </w:r>
      <w:r w:rsidRPr="004B13D1">
        <w:t xml:space="preserve"> treated and untreated containers at </w:t>
      </w:r>
      <w:r w:rsidR="00A36113" w:rsidRPr="004B13D1">
        <w:t>different</w:t>
      </w:r>
      <w:r w:rsidRPr="004B13D1">
        <w:t xml:space="preserve"> time points. </w:t>
      </w:r>
      <w:r w:rsidR="00EB2D28">
        <w:t>Taking all together, t</w:t>
      </w:r>
      <w:r w:rsidRPr="004B13D1">
        <w:t xml:space="preserve">hese findings suggest that the tannin coating did not enhance key </w:t>
      </w:r>
      <w:r w:rsidR="00EB2D28">
        <w:t>quality parameters</w:t>
      </w:r>
      <w:r w:rsidRPr="004B13D1">
        <w:t>. Instead, it may have accelerated</w:t>
      </w:r>
      <w:r w:rsidR="001749BC">
        <w:t xml:space="preserve"> strawberries</w:t>
      </w:r>
      <w:r w:rsidRPr="004B13D1">
        <w:t xml:space="preserve"> degradation, possibly due to the presence of undesirable compounds </w:t>
      </w:r>
      <w:r w:rsidR="00C07F18">
        <w:t xml:space="preserve">in tannin extract </w:t>
      </w:r>
      <w:r w:rsidRPr="004B13D1">
        <w:t xml:space="preserve">that could have fostered fungal growth. </w:t>
      </w:r>
    </w:p>
    <w:p w14:paraId="52DAFDE0" w14:textId="4B547A8E" w:rsidR="001D0CFB" w:rsidRDefault="004B13D1" w:rsidP="004B13D1">
      <w:pPr>
        <w:pStyle w:val="CETBodytext"/>
        <w:rPr>
          <w:lang w:val="en-GB"/>
        </w:rPr>
      </w:pPr>
      <w:r w:rsidRPr="004B13D1">
        <w:t>This study highlights the challenges of developing effective active packaging using natural bio-based coatings and underscores the need for further optimization to meet the dual objectives of sustainability and functionality. These findings serve as the basis for future research that will refine coating formulations and application methods for wider adoption in the food packaging industry.</w:t>
      </w:r>
    </w:p>
    <w:p w14:paraId="459D05E6" w14:textId="77777777" w:rsidR="00600535" w:rsidRPr="00B57B36" w:rsidRDefault="00600535" w:rsidP="00600535">
      <w:pPr>
        <w:pStyle w:val="CETAcknowledgementstitle"/>
      </w:pPr>
      <w:r w:rsidRPr="00B57B36">
        <w:t>Acknowledgments</w:t>
      </w:r>
    </w:p>
    <w:p w14:paraId="24876D8A" w14:textId="2BD03FEE" w:rsidR="00C24AF1" w:rsidRPr="00B57B36" w:rsidRDefault="009D7D5D" w:rsidP="00600535">
      <w:pPr>
        <w:pStyle w:val="CETBodytext"/>
        <w:rPr>
          <w:lang w:val="en-GB"/>
        </w:rPr>
      </w:pPr>
      <w:r w:rsidRPr="009D7D5D">
        <w:t>Part of the research has received funding from:</w:t>
      </w:r>
      <w:r>
        <w:t xml:space="preserve"> </w:t>
      </w:r>
      <w:r w:rsidR="007A38BC" w:rsidRPr="007A38BC">
        <w:rPr>
          <w:lang w:val="en-GB"/>
        </w:rPr>
        <w:t xml:space="preserve">Project “ON Foods –Research and innovation network on food and nutrition Sustainability, Safety and Security – Working ON Foods”, funded under the National Recovery and Resilience Plan (NRRP), Mission 4 Component 2 Investment 1.3 - Call for proposals No. 341 of 15 March 2022 of Italian Ministry of University and Research funded by the European Union – </w:t>
      </w:r>
      <w:proofErr w:type="spellStart"/>
      <w:r w:rsidR="007A38BC" w:rsidRPr="007A38BC">
        <w:rPr>
          <w:lang w:val="en-GB"/>
        </w:rPr>
        <w:t>NextGenerationEU</w:t>
      </w:r>
      <w:proofErr w:type="spellEnd"/>
      <w:r w:rsidR="007A38BC" w:rsidRPr="007A38BC">
        <w:rPr>
          <w:lang w:val="en-GB"/>
        </w:rPr>
        <w:t>; Project code PE00000003, Concession Decree No. 1550 of 11 October 2022</w:t>
      </w:r>
      <w:r w:rsidR="00AE429F">
        <w:rPr>
          <w:lang w:val="en-GB"/>
        </w:rPr>
        <w:t>; Project</w:t>
      </w:r>
      <w:r w:rsidR="007A38BC" w:rsidRPr="007A38BC">
        <w:rPr>
          <w:lang w:val="en-GB"/>
        </w:rPr>
        <w:t xml:space="preserve"> “Ecosystem for Sustainable Transition in Emilia-Romagna”, project funded by European Union under the National Recovery and Resilience Plan (NRRP), Mission 04 Component 2 Investment 1.5—</w:t>
      </w:r>
      <w:proofErr w:type="spellStart"/>
      <w:r w:rsidR="007A38BC" w:rsidRPr="007A38BC">
        <w:rPr>
          <w:lang w:val="en-GB"/>
        </w:rPr>
        <w:t>NextGenerationEU</w:t>
      </w:r>
      <w:proofErr w:type="spellEnd"/>
      <w:r w:rsidR="007A38BC" w:rsidRPr="007A38BC">
        <w:rPr>
          <w:lang w:val="en-GB"/>
        </w:rPr>
        <w:t>, Call for tender n. 3277 dated 30/12/2021, Award Number: 0001052 dated 23/06/2022.</w:t>
      </w:r>
    </w:p>
    <w:p w14:paraId="4BD12F33" w14:textId="77777777" w:rsidR="0046503A" w:rsidRDefault="0046503A" w:rsidP="00600535">
      <w:pPr>
        <w:pStyle w:val="CETReference"/>
      </w:pPr>
    </w:p>
    <w:p w14:paraId="4F1327F8" w14:textId="24CC471F" w:rsidR="00600535" w:rsidRDefault="00600535" w:rsidP="00600535">
      <w:pPr>
        <w:pStyle w:val="CETReference"/>
      </w:pPr>
      <w:r w:rsidRPr="00B57B36">
        <w:lastRenderedPageBreak/>
        <w:t>References</w:t>
      </w:r>
    </w:p>
    <w:sdt>
      <w:sdtPr>
        <w:rPr>
          <w:color w:val="000000"/>
        </w:rPr>
        <w:tag w:val="MENDELEY_BIBLIOGRAPHY"/>
        <w:id w:val="-1108266049"/>
        <w:placeholder>
          <w:docPart w:val="DefaultPlaceholder_-1854013440"/>
        </w:placeholder>
      </w:sdtPr>
      <w:sdtEndPr/>
      <w:sdtContent>
        <w:p w14:paraId="3A185A90" w14:textId="77777777" w:rsidR="00C07F18" w:rsidRDefault="00C07F18">
          <w:pPr>
            <w:autoSpaceDE w:val="0"/>
            <w:autoSpaceDN w:val="0"/>
            <w:ind w:hanging="480"/>
            <w:divId w:val="1592541134"/>
            <w:rPr>
              <w:sz w:val="24"/>
              <w:szCs w:val="24"/>
            </w:rPr>
          </w:pPr>
          <w:r>
            <w:t>Gidado MJ, Gunny AAN, Gopinath SCB, Ali A, Wongs-Aree C, Salleh NHM, 2024. Challenges of postharvest water loss in fruits: Mechanisms, influencing factors, and effective control strategies – A comprehensive review. Journal of Agriculture and Food Research, 17, 101249. Accessed on 5.03.2025, https://doi.org/10.1016/J.JAFR.2024.101249</w:t>
          </w:r>
        </w:p>
        <w:p w14:paraId="53572BC4" w14:textId="77777777" w:rsidR="00C07F18" w:rsidRDefault="00C07F18">
          <w:pPr>
            <w:autoSpaceDE w:val="0"/>
            <w:autoSpaceDN w:val="0"/>
            <w:ind w:hanging="480"/>
            <w:divId w:val="1277561269"/>
          </w:pPr>
          <w:r>
            <w:t>Gupta D, Lall A, Kumar S, Patil TD, Gaikwad KK, 2024. Plant-based edible films and coatings for food-packaging applications: recent advances, applications, and trends. Sustainable Food Technology, 2 (5), 1428–1455. Accessed on 5.03.2025, https://doi.org/10.1039/D4FB00110A</w:t>
          </w:r>
        </w:p>
        <w:p w14:paraId="5236D5CB" w14:textId="77777777" w:rsidR="00C07F18" w:rsidRDefault="00C07F18">
          <w:pPr>
            <w:autoSpaceDE w:val="0"/>
            <w:autoSpaceDN w:val="0"/>
            <w:ind w:hanging="480"/>
            <w:divId w:val="509296415"/>
          </w:pPr>
          <w:r>
            <w:t xml:space="preserve">Halim ALA, Kamari A, Phillip E, 2018. Chitosan, </w:t>
          </w:r>
          <w:proofErr w:type="spellStart"/>
          <w:r>
            <w:t>gelatin</w:t>
          </w:r>
          <w:proofErr w:type="spellEnd"/>
          <w:r>
            <w:t xml:space="preserve"> and methylcellulose films incorporated with tannic acid for food packaging. International Journal of Biological Macromolecules, 120, 1119–1126. Accessed on 5.03.2025, https://doi.org/10.1016/J.IJBIOMAC.2018.08.169</w:t>
          </w:r>
        </w:p>
        <w:p w14:paraId="1CB4B38D" w14:textId="77777777" w:rsidR="00C07F18" w:rsidRDefault="00C07F18">
          <w:pPr>
            <w:autoSpaceDE w:val="0"/>
            <w:autoSpaceDN w:val="0"/>
            <w:ind w:hanging="480"/>
            <w:divId w:val="2000571069"/>
          </w:pPr>
          <w:r w:rsidRPr="00C07F18">
            <w:rPr>
              <w:lang w:val="it-IT"/>
            </w:rPr>
            <w:t xml:space="preserve">Hurtado G, Grimm E, </w:t>
          </w:r>
          <w:proofErr w:type="spellStart"/>
          <w:r w:rsidRPr="00C07F18">
            <w:rPr>
              <w:lang w:val="it-IT"/>
            </w:rPr>
            <w:t>Bruggenwirth</w:t>
          </w:r>
          <w:proofErr w:type="spellEnd"/>
          <w:r w:rsidRPr="00C07F18">
            <w:rPr>
              <w:lang w:val="it-IT"/>
            </w:rPr>
            <w:t xml:space="preserve"> M, </w:t>
          </w:r>
          <w:proofErr w:type="spellStart"/>
          <w:r w:rsidRPr="00C07F18">
            <w:rPr>
              <w:lang w:val="it-IT"/>
            </w:rPr>
            <w:t>Knoche</w:t>
          </w:r>
          <w:proofErr w:type="spellEnd"/>
          <w:r w:rsidRPr="00C07F18">
            <w:rPr>
              <w:lang w:val="it-IT"/>
            </w:rPr>
            <w:t xml:space="preserve"> M, 2021. </w:t>
          </w:r>
          <w:r>
            <w:t xml:space="preserve">Strawberry fruit skins are far more permeable to osmotic water uptake than to </w:t>
          </w:r>
          <w:proofErr w:type="spellStart"/>
          <w:r>
            <w:t>transpirational</w:t>
          </w:r>
          <w:proofErr w:type="spellEnd"/>
          <w:r>
            <w:t xml:space="preserve"> water loss. </w:t>
          </w:r>
          <w:proofErr w:type="spellStart"/>
          <w:r>
            <w:t>PLoS</w:t>
          </w:r>
          <w:proofErr w:type="spellEnd"/>
          <w:r>
            <w:t xml:space="preserve"> ONE, 16 (5), e0251351. Accessed on 11.03.2025, https://doi.org/10.1371/JOURNAL.PONE.0251351</w:t>
          </w:r>
        </w:p>
        <w:p w14:paraId="5B58E3CA" w14:textId="77777777" w:rsidR="00C07F18" w:rsidRDefault="00C07F18">
          <w:pPr>
            <w:autoSpaceDE w:val="0"/>
            <w:autoSpaceDN w:val="0"/>
            <w:ind w:hanging="480"/>
            <w:divId w:val="461732765"/>
          </w:pPr>
          <w:r>
            <w:t>Ma J, Zhou Z, Li Kai, Li Kun, Liu L, Zhang W, Xu J, Tu X, Du L, Zhang H, 2021. Novel edible coating based on shellac and tannic acid for prolonging postharvest shelf life and improving overall quality of mango. Food Chemistry, 354, 129510. Accessed on 5.03.2025, https://doi.org/10.1016/J.FOODCHEM.2021.129510</w:t>
          </w:r>
        </w:p>
        <w:p w14:paraId="7C27A5BB" w14:textId="77777777" w:rsidR="00C07F18" w:rsidRDefault="00C07F18">
          <w:pPr>
            <w:autoSpaceDE w:val="0"/>
            <w:autoSpaceDN w:val="0"/>
            <w:ind w:hanging="480"/>
            <w:divId w:val="872108499"/>
          </w:pPr>
          <w:proofErr w:type="spellStart"/>
          <w:r>
            <w:t>Ozogul</w:t>
          </w:r>
          <w:proofErr w:type="spellEnd"/>
          <w:r>
            <w:t xml:space="preserve"> Y, </w:t>
          </w:r>
          <w:proofErr w:type="spellStart"/>
          <w:r>
            <w:t>Ucar</w:t>
          </w:r>
          <w:proofErr w:type="spellEnd"/>
          <w:r>
            <w:t xml:space="preserve"> Y, Tadesse EE, Rathod N, </w:t>
          </w:r>
          <w:proofErr w:type="spellStart"/>
          <w:r>
            <w:t>Kulawik</w:t>
          </w:r>
          <w:proofErr w:type="spellEnd"/>
          <w:r>
            <w:t xml:space="preserve"> P, Trif M, </w:t>
          </w:r>
          <w:proofErr w:type="spellStart"/>
          <w:r>
            <w:t>Esatbeyoglu</w:t>
          </w:r>
          <w:proofErr w:type="spellEnd"/>
          <w:r>
            <w:t xml:space="preserve"> T, </w:t>
          </w:r>
          <w:proofErr w:type="spellStart"/>
          <w:r>
            <w:t>Ozogul</w:t>
          </w:r>
          <w:proofErr w:type="spellEnd"/>
          <w:r>
            <w:t xml:space="preserve"> F, 2025. Tannins for food preservation and human health: A review of current knowledge. Applied Food Research, 5 (1), 100738. Accessed on 5.03.2025, https://doi.org/10.1016/J.AFRES.2025.100738</w:t>
          </w:r>
        </w:p>
        <w:p w14:paraId="180DDF9C" w14:textId="77777777" w:rsidR="00C07F18" w:rsidRDefault="00C07F18">
          <w:pPr>
            <w:autoSpaceDE w:val="0"/>
            <w:autoSpaceDN w:val="0"/>
            <w:ind w:hanging="480"/>
            <w:divId w:val="1441686729"/>
          </w:pPr>
          <w:r>
            <w:t xml:space="preserve">Peretto G, Du WX, Avena-Bustillos RJ, Sarreal SBL, Hua SST, Sambo P, McHugh TH, 2014. Increasing strawberry shelf-life with carvacrol and methyl cinnamate antimicrobial </w:t>
          </w:r>
          <w:proofErr w:type="spellStart"/>
          <w:r>
            <w:t>vapors</w:t>
          </w:r>
          <w:proofErr w:type="spellEnd"/>
          <w:r>
            <w:t xml:space="preserve"> released from edible films. Postharvest Biology and Technology, 89, 11–18. Accessed on 5.03.2025, https://doi.org/10.1016/J.POSTHARVBIO.2013.11.003</w:t>
          </w:r>
        </w:p>
        <w:p w14:paraId="67483411" w14:textId="77777777" w:rsidR="00C07F18" w:rsidRDefault="00C07F18">
          <w:pPr>
            <w:autoSpaceDE w:val="0"/>
            <w:autoSpaceDN w:val="0"/>
            <w:ind w:hanging="480"/>
            <w:divId w:val="2102868766"/>
          </w:pPr>
          <w:r>
            <w:t>Sharma S, Perera KY, Pradhan D, Duffy B, Jaiswal AK, Jaiswal S, 2022. Active Packaging Film Based on Poly Lactide-Poly (Butylene Adipate-Co-Terephthalate) Blends Incorporated with Tannic Acid and Gallic Acid for the Prolonged Shelf Life of Cherry Tomato. Coatings 2022, Vol 12, Page 1902, 12 (12), 1902. Accessed on 5.03.2025, https://doi.org/10.3390/COATINGS12121902</w:t>
          </w:r>
        </w:p>
        <w:p w14:paraId="58026C8E" w14:textId="77777777" w:rsidR="00C07F18" w:rsidRDefault="00C07F18">
          <w:pPr>
            <w:autoSpaceDE w:val="0"/>
            <w:autoSpaceDN w:val="0"/>
            <w:ind w:hanging="480"/>
            <w:divId w:val="248544220"/>
          </w:pPr>
          <w:r>
            <w:t xml:space="preserve">Vera M, </w:t>
          </w:r>
          <w:proofErr w:type="spellStart"/>
          <w:r>
            <w:t>Mella</w:t>
          </w:r>
          <w:proofErr w:type="spellEnd"/>
          <w:r>
            <w:t xml:space="preserve"> C, García Y, Jiménez VA, Urbano BF, 2023. Recent advances in tannin-containing food </w:t>
          </w:r>
          <w:proofErr w:type="spellStart"/>
          <w:r>
            <w:t>biopackaging</w:t>
          </w:r>
          <w:proofErr w:type="spellEnd"/>
          <w:r>
            <w:t>. Trends in Food Science &amp; Technology, 133, 28–36. Accessed on 5.03.2025, https://doi.org/10.1016/J.TIFS.2023.01.014</w:t>
          </w:r>
        </w:p>
        <w:p w14:paraId="700B7181" w14:textId="77777777" w:rsidR="00C07F18" w:rsidRDefault="00C07F18">
          <w:pPr>
            <w:autoSpaceDE w:val="0"/>
            <w:autoSpaceDN w:val="0"/>
            <w:ind w:hanging="480"/>
            <w:divId w:val="1096291214"/>
          </w:pPr>
          <w:r>
            <w:t xml:space="preserve">Wicklund T, Rosenfeld HJ, Martinsen BK, </w:t>
          </w:r>
          <w:proofErr w:type="spellStart"/>
          <w:r>
            <w:t>Sundfør</w:t>
          </w:r>
          <w:proofErr w:type="spellEnd"/>
          <w:r>
            <w:t xml:space="preserve"> MW, Lea P, Bruun T, </w:t>
          </w:r>
          <w:proofErr w:type="spellStart"/>
          <w:r>
            <w:t>Blomhoff</w:t>
          </w:r>
          <w:proofErr w:type="spellEnd"/>
          <w:r>
            <w:t xml:space="preserve"> R, Haffner K, 2005. Antioxidant capacity and colour of strawberry jam as influenced by cultivar and storage conditions. LWT - Food Science and Technology, 38 (4), 387–391. Accessed on 5.03.2025, https://doi.org/10.1016/J.LWT.2004.06.017</w:t>
          </w:r>
        </w:p>
        <w:p w14:paraId="50131645" w14:textId="020E4D9D" w:rsidR="00174EA6" w:rsidRDefault="00C07F18" w:rsidP="00C24AF1">
          <w:pPr>
            <w:pStyle w:val="CETReferencetext"/>
          </w:pPr>
          <w:r>
            <w:t> </w:t>
          </w:r>
        </w:p>
      </w:sdtContent>
    </w:sdt>
    <w:p w14:paraId="19C4FC68" w14:textId="74785E00" w:rsidR="004628D2" w:rsidRPr="004A19E2" w:rsidRDefault="004628D2" w:rsidP="0034613F">
      <w:pPr>
        <w:pStyle w:val="CETBodytext"/>
        <w:rPr>
          <w:lang w:val="en-GB"/>
        </w:rPr>
      </w:pPr>
    </w:p>
    <w:sectPr w:rsidR="004628D2" w:rsidRPr="004A19E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C1622" w14:textId="77777777" w:rsidR="008B76B5" w:rsidRDefault="008B76B5" w:rsidP="004F5E36">
      <w:r>
        <w:separator/>
      </w:r>
    </w:p>
  </w:endnote>
  <w:endnote w:type="continuationSeparator" w:id="0">
    <w:p w14:paraId="39A2F907" w14:textId="77777777" w:rsidR="008B76B5" w:rsidRDefault="008B76B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66963" w14:textId="77777777" w:rsidR="008B76B5" w:rsidRDefault="008B76B5" w:rsidP="004F5E36">
      <w:r>
        <w:separator/>
      </w:r>
    </w:p>
  </w:footnote>
  <w:footnote w:type="continuationSeparator" w:id="0">
    <w:p w14:paraId="33008A17" w14:textId="77777777" w:rsidR="008B76B5" w:rsidRDefault="008B76B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36D6391"/>
    <w:multiLevelType w:val="hybridMultilevel"/>
    <w:tmpl w:val="78A845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CCF1A90"/>
    <w:multiLevelType w:val="multilevel"/>
    <w:tmpl w:val="070A56C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269973860">
    <w:abstractNumId w:val="10"/>
  </w:num>
  <w:num w:numId="24" w16cid:durableId="20754677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6CA1"/>
    <w:rsid w:val="00010DD2"/>
    <w:rsid w:val="000117CB"/>
    <w:rsid w:val="00016B14"/>
    <w:rsid w:val="0003065F"/>
    <w:rsid w:val="0003148D"/>
    <w:rsid w:val="00031EEC"/>
    <w:rsid w:val="00051566"/>
    <w:rsid w:val="00054288"/>
    <w:rsid w:val="0005507B"/>
    <w:rsid w:val="000562A9"/>
    <w:rsid w:val="00057406"/>
    <w:rsid w:val="00062A9A"/>
    <w:rsid w:val="00065058"/>
    <w:rsid w:val="00073A81"/>
    <w:rsid w:val="00076F4A"/>
    <w:rsid w:val="00086C39"/>
    <w:rsid w:val="00095D83"/>
    <w:rsid w:val="00096183"/>
    <w:rsid w:val="000A03B2"/>
    <w:rsid w:val="000B363B"/>
    <w:rsid w:val="000C34AC"/>
    <w:rsid w:val="000D0268"/>
    <w:rsid w:val="000D34BE"/>
    <w:rsid w:val="000E102F"/>
    <w:rsid w:val="000E36F1"/>
    <w:rsid w:val="000E3A73"/>
    <w:rsid w:val="000E3D96"/>
    <w:rsid w:val="000E414A"/>
    <w:rsid w:val="000F093C"/>
    <w:rsid w:val="000F787B"/>
    <w:rsid w:val="00101D79"/>
    <w:rsid w:val="001054C8"/>
    <w:rsid w:val="001055BD"/>
    <w:rsid w:val="00112C2A"/>
    <w:rsid w:val="0012091F"/>
    <w:rsid w:val="00126BC2"/>
    <w:rsid w:val="001308B6"/>
    <w:rsid w:val="0013121F"/>
    <w:rsid w:val="00131FE6"/>
    <w:rsid w:val="0013263F"/>
    <w:rsid w:val="001331DF"/>
    <w:rsid w:val="00134DE4"/>
    <w:rsid w:val="00136B63"/>
    <w:rsid w:val="0014034D"/>
    <w:rsid w:val="00141B58"/>
    <w:rsid w:val="00144D16"/>
    <w:rsid w:val="00150E59"/>
    <w:rsid w:val="00152DE3"/>
    <w:rsid w:val="00154191"/>
    <w:rsid w:val="00156FB4"/>
    <w:rsid w:val="00160649"/>
    <w:rsid w:val="00161DF4"/>
    <w:rsid w:val="00164CF9"/>
    <w:rsid w:val="001667A6"/>
    <w:rsid w:val="00167498"/>
    <w:rsid w:val="001749BC"/>
    <w:rsid w:val="00174EA6"/>
    <w:rsid w:val="00184AD6"/>
    <w:rsid w:val="001A4AF7"/>
    <w:rsid w:val="001B0349"/>
    <w:rsid w:val="001B177D"/>
    <w:rsid w:val="001B1E93"/>
    <w:rsid w:val="001B65C1"/>
    <w:rsid w:val="001C0E52"/>
    <w:rsid w:val="001C684B"/>
    <w:rsid w:val="001D0CFB"/>
    <w:rsid w:val="001D21AF"/>
    <w:rsid w:val="001D53FC"/>
    <w:rsid w:val="001F42A5"/>
    <w:rsid w:val="001F7B9D"/>
    <w:rsid w:val="001F7F35"/>
    <w:rsid w:val="00201C93"/>
    <w:rsid w:val="002037E6"/>
    <w:rsid w:val="002224B4"/>
    <w:rsid w:val="00230658"/>
    <w:rsid w:val="002347BC"/>
    <w:rsid w:val="0024300C"/>
    <w:rsid w:val="002447EF"/>
    <w:rsid w:val="00251550"/>
    <w:rsid w:val="00263B05"/>
    <w:rsid w:val="0027221A"/>
    <w:rsid w:val="00273933"/>
    <w:rsid w:val="00275B61"/>
    <w:rsid w:val="00277818"/>
    <w:rsid w:val="00280AA0"/>
    <w:rsid w:val="00280FAF"/>
    <w:rsid w:val="00282656"/>
    <w:rsid w:val="002941CF"/>
    <w:rsid w:val="00296B83"/>
    <w:rsid w:val="002A1750"/>
    <w:rsid w:val="002A3080"/>
    <w:rsid w:val="002B4015"/>
    <w:rsid w:val="002B78CE"/>
    <w:rsid w:val="002C2FB6"/>
    <w:rsid w:val="002C4CBC"/>
    <w:rsid w:val="002D12E2"/>
    <w:rsid w:val="002D2698"/>
    <w:rsid w:val="002D5B94"/>
    <w:rsid w:val="002E2046"/>
    <w:rsid w:val="002E5FA7"/>
    <w:rsid w:val="002F3309"/>
    <w:rsid w:val="002F712E"/>
    <w:rsid w:val="003008CE"/>
    <w:rsid w:val="003009B7"/>
    <w:rsid w:val="00300E56"/>
    <w:rsid w:val="0030152C"/>
    <w:rsid w:val="0030469C"/>
    <w:rsid w:val="00312C27"/>
    <w:rsid w:val="00321CA6"/>
    <w:rsid w:val="00323763"/>
    <w:rsid w:val="00323C5F"/>
    <w:rsid w:val="00324D25"/>
    <w:rsid w:val="00326602"/>
    <w:rsid w:val="003312AE"/>
    <w:rsid w:val="00331FCD"/>
    <w:rsid w:val="00334C09"/>
    <w:rsid w:val="003454EF"/>
    <w:rsid w:val="0034613F"/>
    <w:rsid w:val="003723D4"/>
    <w:rsid w:val="00374F0E"/>
    <w:rsid w:val="00381905"/>
    <w:rsid w:val="003847BA"/>
    <w:rsid w:val="00384CC8"/>
    <w:rsid w:val="003871FD"/>
    <w:rsid w:val="00395BD8"/>
    <w:rsid w:val="003A1E30"/>
    <w:rsid w:val="003A2829"/>
    <w:rsid w:val="003A659F"/>
    <w:rsid w:val="003A7D1C"/>
    <w:rsid w:val="003B304B"/>
    <w:rsid w:val="003B3146"/>
    <w:rsid w:val="003F015E"/>
    <w:rsid w:val="003F71DD"/>
    <w:rsid w:val="00400414"/>
    <w:rsid w:val="004039B6"/>
    <w:rsid w:val="00405A31"/>
    <w:rsid w:val="0041446B"/>
    <w:rsid w:val="00414967"/>
    <w:rsid w:val="0042198C"/>
    <w:rsid w:val="00431D67"/>
    <w:rsid w:val="0044071E"/>
    <w:rsid w:val="0044329C"/>
    <w:rsid w:val="00443523"/>
    <w:rsid w:val="0044516D"/>
    <w:rsid w:val="00447631"/>
    <w:rsid w:val="00451566"/>
    <w:rsid w:val="004524E3"/>
    <w:rsid w:val="00453E24"/>
    <w:rsid w:val="00457456"/>
    <w:rsid w:val="004577FE"/>
    <w:rsid w:val="00457B9C"/>
    <w:rsid w:val="0046164A"/>
    <w:rsid w:val="004628D2"/>
    <w:rsid w:val="00462DCD"/>
    <w:rsid w:val="004648AD"/>
    <w:rsid w:val="0046503A"/>
    <w:rsid w:val="004703A9"/>
    <w:rsid w:val="00472F59"/>
    <w:rsid w:val="004760DE"/>
    <w:rsid w:val="004763D7"/>
    <w:rsid w:val="00492DA8"/>
    <w:rsid w:val="004A004E"/>
    <w:rsid w:val="004A19E2"/>
    <w:rsid w:val="004A24CF"/>
    <w:rsid w:val="004B13D1"/>
    <w:rsid w:val="004B6CD1"/>
    <w:rsid w:val="004C3D1D"/>
    <w:rsid w:val="004C3D84"/>
    <w:rsid w:val="004C47C6"/>
    <w:rsid w:val="004C7913"/>
    <w:rsid w:val="004D482F"/>
    <w:rsid w:val="004E4DD6"/>
    <w:rsid w:val="004E666D"/>
    <w:rsid w:val="004F3361"/>
    <w:rsid w:val="004F549E"/>
    <w:rsid w:val="004F5E36"/>
    <w:rsid w:val="00500289"/>
    <w:rsid w:val="005042C0"/>
    <w:rsid w:val="0050649B"/>
    <w:rsid w:val="00507B47"/>
    <w:rsid w:val="00507BEF"/>
    <w:rsid w:val="00507CC9"/>
    <w:rsid w:val="005119A5"/>
    <w:rsid w:val="00517BBB"/>
    <w:rsid w:val="005278B7"/>
    <w:rsid w:val="00532016"/>
    <w:rsid w:val="005346C8"/>
    <w:rsid w:val="0054233D"/>
    <w:rsid w:val="00543E7D"/>
    <w:rsid w:val="00547A68"/>
    <w:rsid w:val="005531C9"/>
    <w:rsid w:val="00553CB2"/>
    <w:rsid w:val="005551BA"/>
    <w:rsid w:val="00557E00"/>
    <w:rsid w:val="00563E27"/>
    <w:rsid w:val="00570C43"/>
    <w:rsid w:val="00572635"/>
    <w:rsid w:val="005A792C"/>
    <w:rsid w:val="005B2110"/>
    <w:rsid w:val="005B61E6"/>
    <w:rsid w:val="005B7FDC"/>
    <w:rsid w:val="005C413F"/>
    <w:rsid w:val="005C77E1"/>
    <w:rsid w:val="005D35E6"/>
    <w:rsid w:val="005D668A"/>
    <w:rsid w:val="005D6A2F"/>
    <w:rsid w:val="005E1A82"/>
    <w:rsid w:val="005E72C6"/>
    <w:rsid w:val="005E794C"/>
    <w:rsid w:val="005F0A28"/>
    <w:rsid w:val="005F0E5E"/>
    <w:rsid w:val="005F33BC"/>
    <w:rsid w:val="00600535"/>
    <w:rsid w:val="00610CD6"/>
    <w:rsid w:val="0061400B"/>
    <w:rsid w:val="00620DEE"/>
    <w:rsid w:val="00621F92"/>
    <w:rsid w:val="0062220A"/>
    <w:rsid w:val="0062280A"/>
    <w:rsid w:val="006236F9"/>
    <w:rsid w:val="00625639"/>
    <w:rsid w:val="00625AA3"/>
    <w:rsid w:val="00631B33"/>
    <w:rsid w:val="00633925"/>
    <w:rsid w:val="006349A5"/>
    <w:rsid w:val="0064184D"/>
    <w:rsid w:val="006422CC"/>
    <w:rsid w:val="00660E3E"/>
    <w:rsid w:val="00661158"/>
    <w:rsid w:val="00662D12"/>
    <w:rsid w:val="00662E74"/>
    <w:rsid w:val="00670C8E"/>
    <w:rsid w:val="00676559"/>
    <w:rsid w:val="00680C23"/>
    <w:rsid w:val="00681460"/>
    <w:rsid w:val="00682F62"/>
    <w:rsid w:val="006863FB"/>
    <w:rsid w:val="006869FA"/>
    <w:rsid w:val="00691702"/>
    <w:rsid w:val="00693766"/>
    <w:rsid w:val="006A3281"/>
    <w:rsid w:val="006B4888"/>
    <w:rsid w:val="006C2E45"/>
    <w:rsid w:val="006C359C"/>
    <w:rsid w:val="006C5579"/>
    <w:rsid w:val="006D6E8B"/>
    <w:rsid w:val="006E4761"/>
    <w:rsid w:val="006E6218"/>
    <w:rsid w:val="006E737D"/>
    <w:rsid w:val="006F3B8E"/>
    <w:rsid w:val="006F3FFB"/>
    <w:rsid w:val="007021E8"/>
    <w:rsid w:val="00707DD1"/>
    <w:rsid w:val="00713973"/>
    <w:rsid w:val="00720A24"/>
    <w:rsid w:val="00732386"/>
    <w:rsid w:val="0073514D"/>
    <w:rsid w:val="007447F3"/>
    <w:rsid w:val="0075499F"/>
    <w:rsid w:val="007661C8"/>
    <w:rsid w:val="0077098D"/>
    <w:rsid w:val="00782803"/>
    <w:rsid w:val="00787A1C"/>
    <w:rsid w:val="007931FA"/>
    <w:rsid w:val="007A38BC"/>
    <w:rsid w:val="007A4861"/>
    <w:rsid w:val="007A7BBA"/>
    <w:rsid w:val="007B0C50"/>
    <w:rsid w:val="007B48F9"/>
    <w:rsid w:val="007B7F5E"/>
    <w:rsid w:val="007C1A43"/>
    <w:rsid w:val="007D0951"/>
    <w:rsid w:val="007F40C3"/>
    <w:rsid w:val="007F7F52"/>
    <w:rsid w:val="0080013E"/>
    <w:rsid w:val="00806B59"/>
    <w:rsid w:val="00812567"/>
    <w:rsid w:val="00813288"/>
    <w:rsid w:val="008168FC"/>
    <w:rsid w:val="00830996"/>
    <w:rsid w:val="0083257E"/>
    <w:rsid w:val="008345F1"/>
    <w:rsid w:val="0084329B"/>
    <w:rsid w:val="00847B20"/>
    <w:rsid w:val="00850423"/>
    <w:rsid w:val="00865B07"/>
    <w:rsid w:val="008667EA"/>
    <w:rsid w:val="0087045F"/>
    <w:rsid w:val="00870AB5"/>
    <w:rsid w:val="0087637F"/>
    <w:rsid w:val="008877DC"/>
    <w:rsid w:val="00891145"/>
    <w:rsid w:val="0089182E"/>
    <w:rsid w:val="00892AD5"/>
    <w:rsid w:val="008A1512"/>
    <w:rsid w:val="008A4CC8"/>
    <w:rsid w:val="008B020A"/>
    <w:rsid w:val="008B202D"/>
    <w:rsid w:val="008B2353"/>
    <w:rsid w:val="008B76B5"/>
    <w:rsid w:val="008C7456"/>
    <w:rsid w:val="008D32B9"/>
    <w:rsid w:val="008D433B"/>
    <w:rsid w:val="008D4A16"/>
    <w:rsid w:val="008E3D34"/>
    <w:rsid w:val="008E566E"/>
    <w:rsid w:val="008E58F7"/>
    <w:rsid w:val="0090161A"/>
    <w:rsid w:val="00901EB6"/>
    <w:rsid w:val="00904C62"/>
    <w:rsid w:val="00922BA8"/>
    <w:rsid w:val="00924DAC"/>
    <w:rsid w:val="00927058"/>
    <w:rsid w:val="0093717C"/>
    <w:rsid w:val="0094211F"/>
    <w:rsid w:val="00942750"/>
    <w:rsid w:val="009450CE"/>
    <w:rsid w:val="009459BB"/>
    <w:rsid w:val="00947179"/>
    <w:rsid w:val="0095164B"/>
    <w:rsid w:val="00954090"/>
    <w:rsid w:val="00956986"/>
    <w:rsid w:val="009573E7"/>
    <w:rsid w:val="00963E05"/>
    <w:rsid w:val="00964A45"/>
    <w:rsid w:val="00964A53"/>
    <w:rsid w:val="00964BBC"/>
    <w:rsid w:val="0096674D"/>
    <w:rsid w:val="00967843"/>
    <w:rsid w:val="00967D54"/>
    <w:rsid w:val="00971028"/>
    <w:rsid w:val="00981FCF"/>
    <w:rsid w:val="009930F1"/>
    <w:rsid w:val="00993B84"/>
    <w:rsid w:val="00996483"/>
    <w:rsid w:val="00996F5A"/>
    <w:rsid w:val="009A5D93"/>
    <w:rsid w:val="009B041A"/>
    <w:rsid w:val="009C161E"/>
    <w:rsid w:val="009C37C3"/>
    <w:rsid w:val="009C7C86"/>
    <w:rsid w:val="009C7F31"/>
    <w:rsid w:val="009D2FF7"/>
    <w:rsid w:val="009D7D5D"/>
    <w:rsid w:val="009E7884"/>
    <w:rsid w:val="009E788A"/>
    <w:rsid w:val="009F0E08"/>
    <w:rsid w:val="00A0035F"/>
    <w:rsid w:val="00A071AD"/>
    <w:rsid w:val="00A1763D"/>
    <w:rsid w:val="00A17CEC"/>
    <w:rsid w:val="00A27EF0"/>
    <w:rsid w:val="00A36113"/>
    <w:rsid w:val="00A362A6"/>
    <w:rsid w:val="00A40981"/>
    <w:rsid w:val="00A42361"/>
    <w:rsid w:val="00A45308"/>
    <w:rsid w:val="00A50B20"/>
    <w:rsid w:val="00A51390"/>
    <w:rsid w:val="00A519C8"/>
    <w:rsid w:val="00A60D13"/>
    <w:rsid w:val="00A714EF"/>
    <w:rsid w:val="00A7223D"/>
    <w:rsid w:val="00A72272"/>
    <w:rsid w:val="00A72745"/>
    <w:rsid w:val="00A76EFC"/>
    <w:rsid w:val="00A85633"/>
    <w:rsid w:val="00A87D50"/>
    <w:rsid w:val="00A906DF"/>
    <w:rsid w:val="00A91010"/>
    <w:rsid w:val="00A97F29"/>
    <w:rsid w:val="00AA3DC4"/>
    <w:rsid w:val="00AA702E"/>
    <w:rsid w:val="00AA7D26"/>
    <w:rsid w:val="00AB0964"/>
    <w:rsid w:val="00AB5011"/>
    <w:rsid w:val="00AB579E"/>
    <w:rsid w:val="00AC7368"/>
    <w:rsid w:val="00AD16B9"/>
    <w:rsid w:val="00AE377D"/>
    <w:rsid w:val="00AE429F"/>
    <w:rsid w:val="00AE55EB"/>
    <w:rsid w:val="00AF0EBA"/>
    <w:rsid w:val="00AF46C8"/>
    <w:rsid w:val="00B02C8A"/>
    <w:rsid w:val="00B17FBD"/>
    <w:rsid w:val="00B20605"/>
    <w:rsid w:val="00B315A6"/>
    <w:rsid w:val="00B31813"/>
    <w:rsid w:val="00B33365"/>
    <w:rsid w:val="00B5276C"/>
    <w:rsid w:val="00B57B36"/>
    <w:rsid w:val="00B57E6F"/>
    <w:rsid w:val="00B650A4"/>
    <w:rsid w:val="00B8686D"/>
    <w:rsid w:val="00B90BFF"/>
    <w:rsid w:val="00B93F69"/>
    <w:rsid w:val="00BA143C"/>
    <w:rsid w:val="00BB1DDC"/>
    <w:rsid w:val="00BC01B5"/>
    <w:rsid w:val="00BC30C9"/>
    <w:rsid w:val="00BD077D"/>
    <w:rsid w:val="00BD1EA5"/>
    <w:rsid w:val="00BE3E58"/>
    <w:rsid w:val="00C01616"/>
    <w:rsid w:val="00C0162B"/>
    <w:rsid w:val="00C05A48"/>
    <w:rsid w:val="00C068ED"/>
    <w:rsid w:val="00C07F18"/>
    <w:rsid w:val="00C14379"/>
    <w:rsid w:val="00C15F89"/>
    <w:rsid w:val="00C20BCC"/>
    <w:rsid w:val="00C22E0C"/>
    <w:rsid w:val="00C24AF1"/>
    <w:rsid w:val="00C319DB"/>
    <w:rsid w:val="00C34195"/>
    <w:rsid w:val="00C345B1"/>
    <w:rsid w:val="00C40142"/>
    <w:rsid w:val="00C430CB"/>
    <w:rsid w:val="00C52C3C"/>
    <w:rsid w:val="00C57182"/>
    <w:rsid w:val="00C57863"/>
    <w:rsid w:val="00C613AB"/>
    <w:rsid w:val="00C640AF"/>
    <w:rsid w:val="00C655FD"/>
    <w:rsid w:val="00C75407"/>
    <w:rsid w:val="00C77140"/>
    <w:rsid w:val="00C841C6"/>
    <w:rsid w:val="00C870A8"/>
    <w:rsid w:val="00C94434"/>
    <w:rsid w:val="00C96F0E"/>
    <w:rsid w:val="00CA0D75"/>
    <w:rsid w:val="00CA1C95"/>
    <w:rsid w:val="00CA3CD1"/>
    <w:rsid w:val="00CA5A9C"/>
    <w:rsid w:val="00CB1FAF"/>
    <w:rsid w:val="00CC4C20"/>
    <w:rsid w:val="00CC4E7C"/>
    <w:rsid w:val="00CC702D"/>
    <w:rsid w:val="00CD3517"/>
    <w:rsid w:val="00CD5FE2"/>
    <w:rsid w:val="00CD67E3"/>
    <w:rsid w:val="00CE2425"/>
    <w:rsid w:val="00CE4CBC"/>
    <w:rsid w:val="00CE7C68"/>
    <w:rsid w:val="00D02B4C"/>
    <w:rsid w:val="00D040C4"/>
    <w:rsid w:val="00D20AD1"/>
    <w:rsid w:val="00D2495D"/>
    <w:rsid w:val="00D2582C"/>
    <w:rsid w:val="00D41D0C"/>
    <w:rsid w:val="00D46B7E"/>
    <w:rsid w:val="00D47575"/>
    <w:rsid w:val="00D575F2"/>
    <w:rsid w:val="00D57C84"/>
    <w:rsid w:val="00D6057D"/>
    <w:rsid w:val="00D67A08"/>
    <w:rsid w:val="00D71640"/>
    <w:rsid w:val="00D72172"/>
    <w:rsid w:val="00D7535C"/>
    <w:rsid w:val="00D836C5"/>
    <w:rsid w:val="00D84576"/>
    <w:rsid w:val="00DA0106"/>
    <w:rsid w:val="00DA1399"/>
    <w:rsid w:val="00DA24C6"/>
    <w:rsid w:val="00DA4D7B"/>
    <w:rsid w:val="00DA67AA"/>
    <w:rsid w:val="00DB3EEE"/>
    <w:rsid w:val="00DD271C"/>
    <w:rsid w:val="00DD4A43"/>
    <w:rsid w:val="00DD7782"/>
    <w:rsid w:val="00DE264A"/>
    <w:rsid w:val="00DE6014"/>
    <w:rsid w:val="00DE759A"/>
    <w:rsid w:val="00DF5072"/>
    <w:rsid w:val="00E01F04"/>
    <w:rsid w:val="00E02D18"/>
    <w:rsid w:val="00E041E7"/>
    <w:rsid w:val="00E1037E"/>
    <w:rsid w:val="00E11151"/>
    <w:rsid w:val="00E23CA1"/>
    <w:rsid w:val="00E3402F"/>
    <w:rsid w:val="00E35277"/>
    <w:rsid w:val="00E409A8"/>
    <w:rsid w:val="00E41026"/>
    <w:rsid w:val="00E42590"/>
    <w:rsid w:val="00E50C12"/>
    <w:rsid w:val="00E64A23"/>
    <w:rsid w:val="00E65B91"/>
    <w:rsid w:val="00E7209D"/>
    <w:rsid w:val="00E72EAD"/>
    <w:rsid w:val="00E74245"/>
    <w:rsid w:val="00E751E8"/>
    <w:rsid w:val="00E75BEA"/>
    <w:rsid w:val="00E77223"/>
    <w:rsid w:val="00E8528B"/>
    <w:rsid w:val="00E85B94"/>
    <w:rsid w:val="00E86B65"/>
    <w:rsid w:val="00E935B6"/>
    <w:rsid w:val="00E96751"/>
    <w:rsid w:val="00E978D0"/>
    <w:rsid w:val="00EA4613"/>
    <w:rsid w:val="00EA47AF"/>
    <w:rsid w:val="00EA7F91"/>
    <w:rsid w:val="00EB1523"/>
    <w:rsid w:val="00EB2D28"/>
    <w:rsid w:val="00EB7F58"/>
    <w:rsid w:val="00EC0E49"/>
    <w:rsid w:val="00EC101F"/>
    <w:rsid w:val="00EC1D9F"/>
    <w:rsid w:val="00EC2C18"/>
    <w:rsid w:val="00ED7BEE"/>
    <w:rsid w:val="00EE0131"/>
    <w:rsid w:val="00EE17B0"/>
    <w:rsid w:val="00EF06D9"/>
    <w:rsid w:val="00EF76ED"/>
    <w:rsid w:val="00F0067F"/>
    <w:rsid w:val="00F135CC"/>
    <w:rsid w:val="00F25DDF"/>
    <w:rsid w:val="00F273B0"/>
    <w:rsid w:val="00F3049E"/>
    <w:rsid w:val="00F30C64"/>
    <w:rsid w:val="00F32BA2"/>
    <w:rsid w:val="00F32CDB"/>
    <w:rsid w:val="00F34CA7"/>
    <w:rsid w:val="00F3533E"/>
    <w:rsid w:val="00F565FE"/>
    <w:rsid w:val="00F62F1D"/>
    <w:rsid w:val="00F63A70"/>
    <w:rsid w:val="00F63D8C"/>
    <w:rsid w:val="00F6647F"/>
    <w:rsid w:val="00F66807"/>
    <w:rsid w:val="00F7534E"/>
    <w:rsid w:val="00F93EDF"/>
    <w:rsid w:val="00F94BFE"/>
    <w:rsid w:val="00FA09F6"/>
    <w:rsid w:val="00FA1802"/>
    <w:rsid w:val="00FA21D0"/>
    <w:rsid w:val="00FA5F5F"/>
    <w:rsid w:val="00FB730C"/>
    <w:rsid w:val="00FC2695"/>
    <w:rsid w:val="00FC3E03"/>
    <w:rsid w:val="00FC3FC1"/>
    <w:rsid w:val="00FC6883"/>
    <w:rsid w:val="00FC774D"/>
    <w:rsid w:val="00FD71F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676559"/>
    <w:rPr>
      <w:color w:val="666666"/>
    </w:rPr>
  </w:style>
  <w:style w:type="character" w:styleId="Menzionenonrisolta">
    <w:name w:val="Unresolved Mention"/>
    <w:basedOn w:val="Carpredefinitoparagrafo"/>
    <w:uiPriority w:val="99"/>
    <w:semiHidden/>
    <w:unhideWhenUsed/>
    <w:rsid w:val="00676559"/>
    <w:rPr>
      <w:color w:val="605E5C"/>
      <w:shd w:val="clear" w:color="auto" w:fill="E1DFDD"/>
    </w:rPr>
  </w:style>
  <w:style w:type="table" w:styleId="Tabellasemplice-2">
    <w:name w:val="Plain Table 2"/>
    <w:basedOn w:val="Tabellanormale"/>
    <w:uiPriority w:val="42"/>
    <w:rsid w:val="000B36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5330">
      <w:bodyDiv w:val="1"/>
      <w:marLeft w:val="0"/>
      <w:marRight w:val="0"/>
      <w:marTop w:val="0"/>
      <w:marBottom w:val="0"/>
      <w:divBdr>
        <w:top w:val="none" w:sz="0" w:space="0" w:color="auto"/>
        <w:left w:val="none" w:sz="0" w:space="0" w:color="auto"/>
        <w:bottom w:val="none" w:sz="0" w:space="0" w:color="auto"/>
        <w:right w:val="none" w:sz="0" w:space="0" w:color="auto"/>
      </w:divBdr>
      <w:divsChild>
        <w:div w:id="1077358524">
          <w:marLeft w:val="480"/>
          <w:marRight w:val="0"/>
          <w:marTop w:val="0"/>
          <w:marBottom w:val="0"/>
          <w:divBdr>
            <w:top w:val="none" w:sz="0" w:space="0" w:color="auto"/>
            <w:left w:val="none" w:sz="0" w:space="0" w:color="auto"/>
            <w:bottom w:val="none" w:sz="0" w:space="0" w:color="auto"/>
            <w:right w:val="none" w:sz="0" w:space="0" w:color="auto"/>
          </w:divBdr>
        </w:div>
        <w:div w:id="212543816">
          <w:marLeft w:val="480"/>
          <w:marRight w:val="0"/>
          <w:marTop w:val="0"/>
          <w:marBottom w:val="0"/>
          <w:divBdr>
            <w:top w:val="none" w:sz="0" w:space="0" w:color="auto"/>
            <w:left w:val="none" w:sz="0" w:space="0" w:color="auto"/>
            <w:bottom w:val="none" w:sz="0" w:space="0" w:color="auto"/>
            <w:right w:val="none" w:sz="0" w:space="0" w:color="auto"/>
          </w:divBdr>
        </w:div>
        <w:div w:id="1977176808">
          <w:marLeft w:val="480"/>
          <w:marRight w:val="0"/>
          <w:marTop w:val="0"/>
          <w:marBottom w:val="0"/>
          <w:divBdr>
            <w:top w:val="none" w:sz="0" w:space="0" w:color="auto"/>
            <w:left w:val="none" w:sz="0" w:space="0" w:color="auto"/>
            <w:bottom w:val="none" w:sz="0" w:space="0" w:color="auto"/>
            <w:right w:val="none" w:sz="0" w:space="0" w:color="auto"/>
          </w:divBdr>
        </w:div>
        <w:div w:id="1071344217">
          <w:marLeft w:val="480"/>
          <w:marRight w:val="0"/>
          <w:marTop w:val="0"/>
          <w:marBottom w:val="0"/>
          <w:divBdr>
            <w:top w:val="none" w:sz="0" w:space="0" w:color="auto"/>
            <w:left w:val="none" w:sz="0" w:space="0" w:color="auto"/>
            <w:bottom w:val="none" w:sz="0" w:space="0" w:color="auto"/>
            <w:right w:val="none" w:sz="0" w:space="0" w:color="auto"/>
          </w:divBdr>
        </w:div>
        <w:div w:id="1529248095">
          <w:marLeft w:val="480"/>
          <w:marRight w:val="0"/>
          <w:marTop w:val="0"/>
          <w:marBottom w:val="0"/>
          <w:divBdr>
            <w:top w:val="none" w:sz="0" w:space="0" w:color="auto"/>
            <w:left w:val="none" w:sz="0" w:space="0" w:color="auto"/>
            <w:bottom w:val="none" w:sz="0" w:space="0" w:color="auto"/>
            <w:right w:val="none" w:sz="0" w:space="0" w:color="auto"/>
          </w:divBdr>
        </w:div>
        <w:div w:id="1655448178">
          <w:marLeft w:val="480"/>
          <w:marRight w:val="0"/>
          <w:marTop w:val="0"/>
          <w:marBottom w:val="0"/>
          <w:divBdr>
            <w:top w:val="none" w:sz="0" w:space="0" w:color="auto"/>
            <w:left w:val="none" w:sz="0" w:space="0" w:color="auto"/>
            <w:bottom w:val="none" w:sz="0" w:space="0" w:color="auto"/>
            <w:right w:val="none" w:sz="0" w:space="0" w:color="auto"/>
          </w:divBdr>
        </w:div>
      </w:divsChild>
    </w:div>
    <w:div w:id="54789461">
      <w:bodyDiv w:val="1"/>
      <w:marLeft w:val="0"/>
      <w:marRight w:val="0"/>
      <w:marTop w:val="0"/>
      <w:marBottom w:val="0"/>
      <w:divBdr>
        <w:top w:val="none" w:sz="0" w:space="0" w:color="auto"/>
        <w:left w:val="none" w:sz="0" w:space="0" w:color="auto"/>
        <w:bottom w:val="none" w:sz="0" w:space="0" w:color="auto"/>
        <w:right w:val="none" w:sz="0" w:space="0" w:color="auto"/>
      </w:divBdr>
    </w:div>
    <w:div w:id="121267345">
      <w:bodyDiv w:val="1"/>
      <w:marLeft w:val="0"/>
      <w:marRight w:val="0"/>
      <w:marTop w:val="0"/>
      <w:marBottom w:val="0"/>
      <w:divBdr>
        <w:top w:val="none" w:sz="0" w:space="0" w:color="auto"/>
        <w:left w:val="none" w:sz="0" w:space="0" w:color="auto"/>
        <w:bottom w:val="none" w:sz="0" w:space="0" w:color="auto"/>
        <w:right w:val="none" w:sz="0" w:space="0" w:color="auto"/>
      </w:divBdr>
      <w:divsChild>
        <w:div w:id="385185439">
          <w:marLeft w:val="480"/>
          <w:marRight w:val="0"/>
          <w:marTop w:val="0"/>
          <w:marBottom w:val="0"/>
          <w:divBdr>
            <w:top w:val="none" w:sz="0" w:space="0" w:color="auto"/>
            <w:left w:val="none" w:sz="0" w:space="0" w:color="auto"/>
            <w:bottom w:val="none" w:sz="0" w:space="0" w:color="auto"/>
            <w:right w:val="none" w:sz="0" w:space="0" w:color="auto"/>
          </w:divBdr>
        </w:div>
        <w:div w:id="1885560308">
          <w:marLeft w:val="480"/>
          <w:marRight w:val="0"/>
          <w:marTop w:val="0"/>
          <w:marBottom w:val="0"/>
          <w:divBdr>
            <w:top w:val="none" w:sz="0" w:space="0" w:color="auto"/>
            <w:left w:val="none" w:sz="0" w:space="0" w:color="auto"/>
            <w:bottom w:val="none" w:sz="0" w:space="0" w:color="auto"/>
            <w:right w:val="none" w:sz="0" w:space="0" w:color="auto"/>
          </w:divBdr>
        </w:div>
        <w:div w:id="1257329674">
          <w:marLeft w:val="480"/>
          <w:marRight w:val="0"/>
          <w:marTop w:val="0"/>
          <w:marBottom w:val="0"/>
          <w:divBdr>
            <w:top w:val="none" w:sz="0" w:space="0" w:color="auto"/>
            <w:left w:val="none" w:sz="0" w:space="0" w:color="auto"/>
            <w:bottom w:val="none" w:sz="0" w:space="0" w:color="auto"/>
            <w:right w:val="none" w:sz="0" w:space="0" w:color="auto"/>
          </w:divBdr>
        </w:div>
        <w:div w:id="1504511159">
          <w:marLeft w:val="480"/>
          <w:marRight w:val="0"/>
          <w:marTop w:val="0"/>
          <w:marBottom w:val="0"/>
          <w:divBdr>
            <w:top w:val="none" w:sz="0" w:space="0" w:color="auto"/>
            <w:left w:val="none" w:sz="0" w:space="0" w:color="auto"/>
            <w:bottom w:val="none" w:sz="0" w:space="0" w:color="auto"/>
            <w:right w:val="none" w:sz="0" w:space="0" w:color="auto"/>
          </w:divBdr>
        </w:div>
        <w:div w:id="652875741">
          <w:marLeft w:val="480"/>
          <w:marRight w:val="0"/>
          <w:marTop w:val="0"/>
          <w:marBottom w:val="0"/>
          <w:divBdr>
            <w:top w:val="none" w:sz="0" w:space="0" w:color="auto"/>
            <w:left w:val="none" w:sz="0" w:space="0" w:color="auto"/>
            <w:bottom w:val="none" w:sz="0" w:space="0" w:color="auto"/>
            <w:right w:val="none" w:sz="0" w:space="0" w:color="auto"/>
          </w:divBdr>
        </w:div>
        <w:div w:id="1239748993">
          <w:marLeft w:val="480"/>
          <w:marRight w:val="0"/>
          <w:marTop w:val="0"/>
          <w:marBottom w:val="0"/>
          <w:divBdr>
            <w:top w:val="none" w:sz="0" w:space="0" w:color="auto"/>
            <w:left w:val="none" w:sz="0" w:space="0" w:color="auto"/>
            <w:bottom w:val="none" w:sz="0" w:space="0" w:color="auto"/>
            <w:right w:val="none" w:sz="0" w:space="0" w:color="auto"/>
          </w:divBdr>
        </w:div>
      </w:divsChild>
    </w:div>
    <w:div w:id="132216652">
      <w:bodyDiv w:val="1"/>
      <w:marLeft w:val="0"/>
      <w:marRight w:val="0"/>
      <w:marTop w:val="0"/>
      <w:marBottom w:val="0"/>
      <w:divBdr>
        <w:top w:val="none" w:sz="0" w:space="0" w:color="auto"/>
        <w:left w:val="none" w:sz="0" w:space="0" w:color="auto"/>
        <w:bottom w:val="none" w:sz="0" w:space="0" w:color="auto"/>
        <w:right w:val="none" w:sz="0" w:space="0" w:color="auto"/>
      </w:divBdr>
      <w:divsChild>
        <w:div w:id="1680081864">
          <w:marLeft w:val="480"/>
          <w:marRight w:val="0"/>
          <w:marTop w:val="0"/>
          <w:marBottom w:val="0"/>
          <w:divBdr>
            <w:top w:val="none" w:sz="0" w:space="0" w:color="auto"/>
            <w:left w:val="none" w:sz="0" w:space="0" w:color="auto"/>
            <w:bottom w:val="none" w:sz="0" w:space="0" w:color="auto"/>
            <w:right w:val="none" w:sz="0" w:space="0" w:color="auto"/>
          </w:divBdr>
        </w:div>
        <w:div w:id="1398473966">
          <w:marLeft w:val="480"/>
          <w:marRight w:val="0"/>
          <w:marTop w:val="0"/>
          <w:marBottom w:val="0"/>
          <w:divBdr>
            <w:top w:val="none" w:sz="0" w:space="0" w:color="auto"/>
            <w:left w:val="none" w:sz="0" w:space="0" w:color="auto"/>
            <w:bottom w:val="none" w:sz="0" w:space="0" w:color="auto"/>
            <w:right w:val="none" w:sz="0" w:space="0" w:color="auto"/>
          </w:divBdr>
        </w:div>
        <w:div w:id="100564730">
          <w:marLeft w:val="480"/>
          <w:marRight w:val="0"/>
          <w:marTop w:val="0"/>
          <w:marBottom w:val="0"/>
          <w:divBdr>
            <w:top w:val="none" w:sz="0" w:space="0" w:color="auto"/>
            <w:left w:val="none" w:sz="0" w:space="0" w:color="auto"/>
            <w:bottom w:val="none" w:sz="0" w:space="0" w:color="auto"/>
            <w:right w:val="none" w:sz="0" w:space="0" w:color="auto"/>
          </w:divBdr>
        </w:div>
        <w:div w:id="2055034943">
          <w:marLeft w:val="480"/>
          <w:marRight w:val="0"/>
          <w:marTop w:val="0"/>
          <w:marBottom w:val="0"/>
          <w:divBdr>
            <w:top w:val="none" w:sz="0" w:space="0" w:color="auto"/>
            <w:left w:val="none" w:sz="0" w:space="0" w:color="auto"/>
            <w:bottom w:val="none" w:sz="0" w:space="0" w:color="auto"/>
            <w:right w:val="none" w:sz="0" w:space="0" w:color="auto"/>
          </w:divBdr>
        </w:div>
        <w:div w:id="1826582509">
          <w:marLeft w:val="480"/>
          <w:marRight w:val="0"/>
          <w:marTop w:val="0"/>
          <w:marBottom w:val="0"/>
          <w:divBdr>
            <w:top w:val="none" w:sz="0" w:space="0" w:color="auto"/>
            <w:left w:val="none" w:sz="0" w:space="0" w:color="auto"/>
            <w:bottom w:val="none" w:sz="0" w:space="0" w:color="auto"/>
            <w:right w:val="none" w:sz="0" w:space="0" w:color="auto"/>
          </w:divBdr>
        </w:div>
        <w:div w:id="1786928456">
          <w:marLeft w:val="480"/>
          <w:marRight w:val="0"/>
          <w:marTop w:val="0"/>
          <w:marBottom w:val="0"/>
          <w:divBdr>
            <w:top w:val="none" w:sz="0" w:space="0" w:color="auto"/>
            <w:left w:val="none" w:sz="0" w:space="0" w:color="auto"/>
            <w:bottom w:val="none" w:sz="0" w:space="0" w:color="auto"/>
            <w:right w:val="none" w:sz="0" w:space="0" w:color="auto"/>
          </w:divBdr>
        </w:div>
        <w:div w:id="1440490382">
          <w:marLeft w:val="480"/>
          <w:marRight w:val="0"/>
          <w:marTop w:val="0"/>
          <w:marBottom w:val="0"/>
          <w:divBdr>
            <w:top w:val="none" w:sz="0" w:space="0" w:color="auto"/>
            <w:left w:val="none" w:sz="0" w:space="0" w:color="auto"/>
            <w:bottom w:val="none" w:sz="0" w:space="0" w:color="auto"/>
            <w:right w:val="none" w:sz="0" w:space="0" w:color="auto"/>
          </w:divBdr>
        </w:div>
        <w:div w:id="2108228944">
          <w:marLeft w:val="480"/>
          <w:marRight w:val="0"/>
          <w:marTop w:val="0"/>
          <w:marBottom w:val="0"/>
          <w:divBdr>
            <w:top w:val="none" w:sz="0" w:space="0" w:color="auto"/>
            <w:left w:val="none" w:sz="0" w:space="0" w:color="auto"/>
            <w:bottom w:val="none" w:sz="0" w:space="0" w:color="auto"/>
            <w:right w:val="none" w:sz="0" w:space="0" w:color="auto"/>
          </w:divBdr>
        </w:div>
        <w:div w:id="966933953">
          <w:marLeft w:val="480"/>
          <w:marRight w:val="0"/>
          <w:marTop w:val="0"/>
          <w:marBottom w:val="0"/>
          <w:divBdr>
            <w:top w:val="none" w:sz="0" w:space="0" w:color="auto"/>
            <w:left w:val="none" w:sz="0" w:space="0" w:color="auto"/>
            <w:bottom w:val="none" w:sz="0" w:space="0" w:color="auto"/>
            <w:right w:val="none" w:sz="0" w:space="0" w:color="auto"/>
          </w:divBdr>
        </w:div>
        <w:div w:id="1962763628">
          <w:marLeft w:val="480"/>
          <w:marRight w:val="0"/>
          <w:marTop w:val="0"/>
          <w:marBottom w:val="0"/>
          <w:divBdr>
            <w:top w:val="none" w:sz="0" w:space="0" w:color="auto"/>
            <w:left w:val="none" w:sz="0" w:space="0" w:color="auto"/>
            <w:bottom w:val="none" w:sz="0" w:space="0" w:color="auto"/>
            <w:right w:val="none" w:sz="0" w:space="0" w:color="auto"/>
          </w:divBdr>
        </w:div>
      </w:divsChild>
    </w:div>
    <w:div w:id="144975376">
      <w:bodyDiv w:val="1"/>
      <w:marLeft w:val="0"/>
      <w:marRight w:val="0"/>
      <w:marTop w:val="0"/>
      <w:marBottom w:val="0"/>
      <w:divBdr>
        <w:top w:val="none" w:sz="0" w:space="0" w:color="auto"/>
        <w:left w:val="none" w:sz="0" w:space="0" w:color="auto"/>
        <w:bottom w:val="none" w:sz="0" w:space="0" w:color="auto"/>
        <w:right w:val="none" w:sz="0" w:space="0" w:color="auto"/>
      </w:divBdr>
      <w:divsChild>
        <w:div w:id="463349954">
          <w:marLeft w:val="480"/>
          <w:marRight w:val="0"/>
          <w:marTop w:val="0"/>
          <w:marBottom w:val="0"/>
          <w:divBdr>
            <w:top w:val="none" w:sz="0" w:space="0" w:color="auto"/>
            <w:left w:val="none" w:sz="0" w:space="0" w:color="auto"/>
            <w:bottom w:val="none" w:sz="0" w:space="0" w:color="auto"/>
            <w:right w:val="none" w:sz="0" w:space="0" w:color="auto"/>
          </w:divBdr>
        </w:div>
        <w:div w:id="1782803028">
          <w:marLeft w:val="480"/>
          <w:marRight w:val="0"/>
          <w:marTop w:val="0"/>
          <w:marBottom w:val="0"/>
          <w:divBdr>
            <w:top w:val="none" w:sz="0" w:space="0" w:color="auto"/>
            <w:left w:val="none" w:sz="0" w:space="0" w:color="auto"/>
            <w:bottom w:val="none" w:sz="0" w:space="0" w:color="auto"/>
            <w:right w:val="none" w:sz="0" w:space="0" w:color="auto"/>
          </w:divBdr>
        </w:div>
        <w:div w:id="1121219127">
          <w:marLeft w:val="480"/>
          <w:marRight w:val="0"/>
          <w:marTop w:val="0"/>
          <w:marBottom w:val="0"/>
          <w:divBdr>
            <w:top w:val="none" w:sz="0" w:space="0" w:color="auto"/>
            <w:left w:val="none" w:sz="0" w:space="0" w:color="auto"/>
            <w:bottom w:val="none" w:sz="0" w:space="0" w:color="auto"/>
            <w:right w:val="none" w:sz="0" w:space="0" w:color="auto"/>
          </w:divBdr>
        </w:div>
        <w:div w:id="377633641">
          <w:marLeft w:val="480"/>
          <w:marRight w:val="0"/>
          <w:marTop w:val="0"/>
          <w:marBottom w:val="0"/>
          <w:divBdr>
            <w:top w:val="none" w:sz="0" w:space="0" w:color="auto"/>
            <w:left w:val="none" w:sz="0" w:space="0" w:color="auto"/>
            <w:bottom w:val="none" w:sz="0" w:space="0" w:color="auto"/>
            <w:right w:val="none" w:sz="0" w:space="0" w:color="auto"/>
          </w:divBdr>
        </w:div>
        <w:div w:id="249585084">
          <w:marLeft w:val="480"/>
          <w:marRight w:val="0"/>
          <w:marTop w:val="0"/>
          <w:marBottom w:val="0"/>
          <w:divBdr>
            <w:top w:val="none" w:sz="0" w:space="0" w:color="auto"/>
            <w:left w:val="none" w:sz="0" w:space="0" w:color="auto"/>
            <w:bottom w:val="none" w:sz="0" w:space="0" w:color="auto"/>
            <w:right w:val="none" w:sz="0" w:space="0" w:color="auto"/>
          </w:divBdr>
        </w:div>
        <w:div w:id="1265379941">
          <w:marLeft w:val="480"/>
          <w:marRight w:val="0"/>
          <w:marTop w:val="0"/>
          <w:marBottom w:val="0"/>
          <w:divBdr>
            <w:top w:val="none" w:sz="0" w:space="0" w:color="auto"/>
            <w:left w:val="none" w:sz="0" w:space="0" w:color="auto"/>
            <w:bottom w:val="none" w:sz="0" w:space="0" w:color="auto"/>
            <w:right w:val="none" w:sz="0" w:space="0" w:color="auto"/>
          </w:divBdr>
        </w:div>
        <w:div w:id="1706101073">
          <w:marLeft w:val="480"/>
          <w:marRight w:val="0"/>
          <w:marTop w:val="0"/>
          <w:marBottom w:val="0"/>
          <w:divBdr>
            <w:top w:val="none" w:sz="0" w:space="0" w:color="auto"/>
            <w:left w:val="none" w:sz="0" w:space="0" w:color="auto"/>
            <w:bottom w:val="none" w:sz="0" w:space="0" w:color="auto"/>
            <w:right w:val="none" w:sz="0" w:space="0" w:color="auto"/>
          </w:divBdr>
        </w:div>
        <w:div w:id="1990665545">
          <w:marLeft w:val="480"/>
          <w:marRight w:val="0"/>
          <w:marTop w:val="0"/>
          <w:marBottom w:val="0"/>
          <w:divBdr>
            <w:top w:val="none" w:sz="0" w:space="0" w:color="auto"/>
            <w:left w:val="none" w:sz="0" w:space="0" w:color="auto"/>
            <w:bottom w:val="none" w:sz="0" w:space="0" w:color="auto"/>
            <w:right w:val="none" w:sz="0" w:space="0" w:color="auto"/>
          </w:divBdr>
        </w:div>
        <w:div w:id="762451778">
          <w:marLeft w:val="480"/>
          <w:marRight w:val="0"/>
          <w:marTop w:val="0"/>
          <w:marBottom w:val="0"/>
          <w:divBdr>
            <w:top w:val="none" w:sz="0" w:space="0" w:color="auto"/>
            <w:left w:val="none" w:sz="0" w:space="0" w:color="auto"/>
            <w:bottom w:val="none" w:sz="0" w:space="0" w:color="auto"/>
            <w:right w:val="none" w:sz="0" w:space="0" w:color="auto"/>
          </w:divBdr>
        </w:div>
      </w:divsChild>
    </w:div>
    <w:div w:id="193856757">
      <w:bodyDiv w:val="1"/>
      <w:marLeft w:val="0"/>
      <w:marRight w:val="0"/>
      <w:marTop w:val="0"/>
      <w:marBottom w:val="0"/>
      <w:divBdr>
        <w:top w:val="none" w:sz="0" w:space="0" w:color="auto"/>
        <w:left w:val="none" w:sz="0" w:space="0" w:color="auto"/>
        <w:bottom w:val="none" w:sz="0" w:space="0" w:color="auto"/>
        <w:right w:val="none" w:sz="0" w:space="0" w:color="auto"/>
      </w:divBdr>
      <w:divsChild>
        <w:div w:id="1500540434">
          <w:marLeft w:val="480"/>
          <w:marRight w:val="0"/>
          <w:marTop w:val="0"/>
          <w:marBottom w:val="0"/>
          <w:divBdr>
            <w:top w:val="none" w:sz="0" w:space="0" w:color="auto"/>
            <w:left w:val="none" w:sz="0" w:space="0" w:color="auto"/>
            <w:bottom w:val="none" w:sz="0" w:space="0" w:color="auto"/>
            <w:right w:val="none" w:sz="0" w:space="0" w:color="auto"/>
          </w:divBdr>
        </w:div>
        <w:div w:id="1334070707">
          <w:marLeft w:val="480"/>
          <w:marRight w:val="0"/>
          <w:marTop w:val="0"/>
          <w:marBottom w:val="0"/>
          <w:divBdr>
            <w:top w:val="none" w:sz="0" w:space="0" w:color="auto"/>
            <w:left w:val="none" w:sz="0" w:space="0" w:color="auto"/>
            <w:bottom w:val="none" w:sz="0" w:space="0" w:color="auto"/>
            <w:right w:val="none" w:sz="0" w:space="0" w:color="auto"/>
          </w:divBdr>
        </w:div>
        <w:div w:id="426729689">
          <w:marLeft w:val="480"/>
          <w:marRight w:val="0"/>
          <w:marTop w:val="0"/>
          <w:marBottom w:val="0"/>
          <w:divBdr>
            <w:top w:val="none" w:sz="0" w:space="0" w:color="auto"/>
            <w:left w:val="none" w:sz="0" w:space="0" w:color="auto"/>
            <w:bottom w:val="none" w:sz="0" w:space="0" w:color="auto"/>
            <w:right w:val="none" w:sz="0" w:space="0" w:color="auto"/>
          </w:divBdr>
        </w:div>
        <w:div w:id="178079704">
          <w:marLeft w:val="480"/>
          <w:marRight w:val="0"/>
          <w:marTop w:val="0"/>
          <w:marBottom w:val="0"/>
          <w:divBdr>
            <w:top w:val="none" w:sz="0" w:space="0" w:color="auto"/>
            <w:left w:val="none" w:sz="0" w:space="0" w:color="auto"/>
            <w:bottom w:val="none" w:sz="0" w:space="0" w:color="auto"/>
            <w:right w:val="none" w:sz="0" w:space="0" w:color="auto"/>
          </w:divBdr>
        </w:div>
        <w:div w:id="2032993192">
          <w:marLeft w:val="480"/>
          <w:marRight w:val="0"/>
          <w:marTop w:val="0"/>
          <w:marBottom w:val="0"/>
          <w:divBdr>
            <w:top w:val="none" w:sz="0" w:space="0" w:color="auto"/>
            <w:left w:val="none" w:sz="0" w:space="0" w:color="auto"/>
            <w:bottom w:val="none" w:sz="0" w:space="0" w:color="auto"/>
            <w:right w:val="none" w:sz="0" w:space="0" w:color="auto"/>
          </w:divBdr>
        </w:div>
        <w:div w:id="90123123">
          <w:marLeft w:val="480"/>
          <w:marRight w:val="0"/>
          <w:marTop w:val="0"/>
          <w:marBottom w:val="0"/>
          <w:divBdr>
            <w:top w:val="none" w:sz="0" w:space="0" w:color="auto"/>
            <w:left w:val="none" w:sz="0" w:space="0" w:color="auto"/>
            <w:bottom w:val="none" w:sz="0" w:space="0" w:color="auto"/>
            <w:right w:val="none" w:sz="0" w:space="0" w:color="auto"/>
          </w:divBdr>
        </w:div>
        <w:div w:id="1134908407">
          <w:marLeft w:val="480"/>
          <w:marRight w:val="0"/>
          <w:marTop w:val="0"/>
          <w:marBottom w:val="0"/>
          <w:divBdr>
            <w:top w:val="none" w:sz="0" w:space="0" w:color="auto"/>
            <w:left w:val="none" w:sz="0" w:space="0" w:color="auto"/>
            <w:bottom w:val="none" w:sz="0" w:space="0" w:color="auto"/>
            <w:right w:val="none" w:sz="0" w:space="0" w:color="auto"/>
          </w:divBdr>
        </w:div>
        <w:div w:id="234442091">
          <w:marLeft w:val="480"/>
          <w:marRight w:val="0"/>
          <w:marTop w:val="0"/>
          <w:marBottom w:val="0"/>
          <w:divBdr>
            <w:top w:val="none" w:sz="0" w:space="0" w:color="auto"/>
            <w:left w:val="none" w:sz="0" w:space="0" w:color="auto"/>
            <w:bottom w:val="none" w:sz="0" w:space="0" w:color="auto"/>
            <w:right w:val="none" w:sz="0" w:space="0" w:color="auto"/>
          </w:divBdr>
        </w:div>
        <w:div w:id="1808623698">
          <w:marLeft w:val="480"/>
          <w:marRight w:val="0"/>
          <w:marTop w:val="0"/>
          <w:marBottom w:val="0"/>
          <w:divBdr>
            <w:top w:val="none" w:sz="0" w:space="0" w:color="auto"/>
            <w:left w:val="none" w:sz="0" w:space="0" w:color="auto"/>
            <w:bottom w:val="none" w:sz="0" w:space="0" w:color="auto"/>
            <w:right w:val="none" w:sz="0" w:space="0" w:color="auto"/>
          </w:divBdr>
        </w:div>
      </w:divsChild>
    </w:div>
    <w:div w:id="196163492">
      <w:bodyDiv w:val="1"/>
      <w:marLeft w:val="0"/>
      <w:marRight w:val="0"/>
      <w:marTop w:val="0"/>
      <w:marBottom w:val="0"/>
      <w:divBdr>
        <w:top w:val="none" w:sz="0" w:space="0" w:color="auto"/>
        <w:left w:val="none" w:sz="0" w:space="0" w:color="auto"/>
        <w:bottom w:val="none" w:sz="0" w:space="0" w:color="auto"/>
        <w:right w:val="none" w:sz="0" w:space="0" w:color="auto"/>
      </w:divBdr>
      <w:divsChild>
        <w:div w:id="2094037732">
          <w:marLeft w:val="480"/>
          <w:marRight w:val="0"/>
          <w:marTop w:val="0"/>
          <w:marBottom w:val="0"/>
          <w:divBdr>
            <w:top w:val="none" w:sz="0" w:space="0" w:color="auto"/>
            <w:left w:val="none" w:sz="0" w:space="0" w:color="auto"/>
            <w:bottom w:val="none" w:sz="0" w:space="0" w:color="auto"/>
            <w:right w:val="none" w:sz="0" w:space="0" w:color="auto"/>
          </w:divBdr>
        </w:div>
        <w:div w:id="80883403">
          <w:marLeft w:val="480"/>
          <w:marRight w:val="0"/>
          <w:marTop w:val="0"/>
          <w:marBottom w:val="0"/>
          <w:divBdr>
            <w:top w:val="none" w:sz="0" w:space="0" w:color="auto"/>
            <w:left w:val="none" w:sz="0" w:space="0" w:color="auto"/>
            <w:bottom w:val="none" w:sz="0" w:space="0" w:color="auto"/>
            <w:right w:val="none" w:sz="0" w:space="0" w:color="auto"/>
          </w:divBdr>
        </w:div>
        <w:div w:id="1565335516">
          <w:marLeft w:val="480"/>
          <w:marRight w:val="0"/>
          <w:marTop w:val="0"/>
          <w:marBottom w:val="0"/>
          <w:divBdr>
            <w:top w:val="none" w:sz="0" w:space="0" w:color="auto"/>
            <w:left w:val="none" w:sz="0" w:space="0" w:color="auto"/>
            <w:bottom w:val="none" w:sz="0" w:space="0" w:color="auto"/>
            <w:right w:val="none" w:sz="0" w:space="0" w:color="auto"/>
          </w:divBdr>
        </w:div>
        <w:div w:id="1366294984">
          <w:marLeft w:val="480"/>
          <w:marRight w:val="0"/>
          <w:marTop w:val="0"/>
          <w:marBottom w:val="0"/>
          <w:divBdr>
            <w:top w:val="none" w:sz="0" w:space="0" w:color="auto"/>
            <w:left w:val="none" w:sz="0" w:space="0" w:color="auto"/>
            <w:bottom w:val="none" w:sz="0" w:space="0" w:color="auto"/>
            <w:right w:val="none" w:sz="0" w:space="0" w:color="auto"/>
          </w:divBdr>
        </w:div>
        <w:div w:id="32121385">
          <w:marLeft w:val="480"/>
          <w:marRight w:val="0"/>
          <w:marTop w:val="0"/>
          <w:marBottom w:val="0"/>
          <w:divBdr>
            <w:top w:val="none" w:sz="0" w:space="0" w:color="auto"/>
            <w:left w:val="none" w:sz="0" w:space="0" w:color="auto"/>
            <w:bottom w:val="none" w:sz="0" w:space="0" w:color="auto"/>
            <w:right w:val="none" w:sz="0" w:space="0" w:color="auto"/>
          </w:divBdr>
        </w:div>
        <w:div w:id="340591666">
          <w:marLeft w:val="480"/>
          <w:marRight w:val="0"/>
          <w:marTop w:val="0"/>
          <w:marBottom w:val="0"/>
          <w:divBdr>
            <w:top w:val="none" w:sz="0" w:space="0" w:color="auto"/>
            <w:left w:val="none" w:sz="0" w:space="0" w:color="auto"/>
            <w:bottom w:val="none" w:sz="0" w:space="0" w:color="auto"/>
            <w:right w:val="none" w:sz="0" w:space="0" w:color="auto"/>
          </w:divBdr>
        </w:div>
        <w:div w:id="1044134329">
          <w:marLeft w:val="480"/>
          <w:marRight w:val="0"/>
          <w:marTop w:val="0"/>
          <w:marBottom w:val="0"/>
          <w:divBdr>
            <w:top w:val="none" w:sz="0" w:space="0" w:color="auto"/>
            <w:left w:val="none" w:sz="0" w:space="0" w:color="auto"/>
            <w:bottom w:val="none" w:sz="0" w:space="0" w:color="auto"/>
            <w:right w:val="none" w:sz="0" w:space="0" w:color="auto"/>
          </w:divBdr>
        </w:div>
        <w:div w:id="1137064923">
          <w:marLeft w:val="480"/>
          <w:marRight w:val="0"/>
          <w:marTop w:val="0"/>
          <w:marBottom w:val="0"/>
          <w:divBdr>
            <w:top w:val="none" w:sz="0" w:space="0" w:color="auto"/>
            <w:left w:val="none" w:sz="0" w:space="0" w:color="auto"/>
            <w:bottom w:val="none" w:sz="0" w:space="0" w:color="auto"/>
            <w:right w:val="none" w:sz="0" w:space="0" w:color="auto"/>
          </w:divBdr>
        </w:div>
        <w:div w:id="435634949">
          <w:marLeft w:val="480"/>
          <w:marRight w:val="0"/>
          <w:marTop w:val="0"/>
          <w:marBottom w:val="0"/>
          <w:divBdr>
            <w:top w:val="none" w:sz="0" w:space="0" w:color="auto"/>
            <w:left w:val="none" w:sz="0" w:space="0" w:color="auto"/>
            <w:bottom w:val="none" w:sz="0" w:space="0" w:color="auto"/>
            <w:right w:val="none" w:sz="0" w:space="0" w:color="auto"/>
          </w:divBdr>
        </w:div>
      </w:divsChild>
    </w:div>
    <w:div w:id="208539448">
      <w:bodyDiv w:val="1"/>
      <w:marLeft w:val="0"/>
      <w:marRight w:val="0"/>
      <w:marTop w:val="0"/>
      <w:marBottom w:val="0"/>
      <w:divBdr>
        <w:top w:val="none" w:sz="0" w:space="0" w:color="auto"/>
        <w:left w:val="none" w:sz="0" w:space="0" w:color="auto"/>
        <w:bottom w:val="none" w:sz="0" w:space="0" w:color="auto"/>
        <w:right w:val="none" w:sz="0" w:space="0" w:color="auto"/>
      </w:divBdr>
    </w:div>
    <w:div w:id="279532014">
      <w:bodyDiv w:val="1"/>
      <w:marLeft w:val="0"/>
      <w:marRight w:val="0"/>
      <w:marTop w:val="0"/>
      <w:marBottom w:val="0"/>
      <w:divBdr>
        <w:top w:val="none" w:sz="0" w:space="0" w:color="auto"/>
        <w:left w:val="none" w:sz="0" w:space="0" w:color="auto"/>
        <w:bottom w:val="none" w:sz="0" w:space="0" w:color="auto"/>
        <w:right w:val="none" w:sz="0" w:space="0" w:color="auto"/>
      </w:divBdr>
    </w:div>
    <w:div w:id="367023942">
      <w:bodyDiv w:val="1"/>
      <w:marLeft w:val="0"/>
      <w:marRight w:val="0"/>
      <w:marTop w:val="0"/>
      <w:marBottom w:val="0"/>
      <w:divBdr>
        <w:top w:val="none" w:sz="0" w:space="0" w:color="auto"/>
        <w:left w:val="none" w:sz="0" w:space="0" w:color="auto"/>
        <w:bottom w:val="none" w:sz="0" w:space="0" w:color="auto"/>
        <w:right w:val="none" w:sz="0" w:space="0" w:color="auto"/>
      </w:divBdr>
    </w:div>
    <w:div w:id="375080472">
      <w:bodyDiv w:val="1"/>
      <w:marLeft w:val="0"/>
      <w:marRight w:val="0"/>
      <w:marTop w:val="0"/>
      <w:marBottom w:val="0"/>
      <w:divBdr>
        <w:top w:val="none" w:sz="0" w:space="0" w:color="auto"/>
        <w:left w:val="none" w:sz="0" w:space="0" w:color="auto"/>
        <w:bottom w:val="none" w:sz="0" w:space="0" w:color="auto"/>
        <w:right w:val="none" w:sz="0" w:space="0" w:color="auto"/>
      </w:divBdr>
    </w:div>
    <w:div w:id="440028534">
      <w:bodyDiv w:val="1"/>
      <w:marLeft w:val="0"/>
      <w:marRight w:val="0"/>
      <w:marTop w:val="0"/>
      <w:marBottom w:val="0"/>
      <w:divBdr>
        <w:top w:val="none" w:sz="0" w:space="0" w:color="auto"/>
        <w:left w:val="none" w:sz="0" w:space="0" w:color="auto"/>
        <w:bottom w:val="none" w:sz="0" w:space="0" w:color="auto"/>
        <w:right w:val="none" w:sz="0" w:space="0" w:color="auto"/>
      </w:divBdr>
      <w:divsChild>
        <w:div w:id="1850021165">
          <w:marLeft w:val="480"/>
          <w:marRight w:val="0"/>
          <w:marTop w:val="0"/>
          <w:marBottom w:val="0"/>
          <w:divBdr>
            <w:top w:val="none" w:sz="0" w:space="0" w:color="auto"/>
            <w:left w:val="none" w:sz="0" w:space="0" w:color="auto"/>
            <w:bottom w:val="none" w:sz="0" w:space="0" w:color="auto"/>
            <w:right w:val="none" w:sz="0" w:space="0" w:color="auto"/>
          </w:divBdr>
        </w:div>
        <w:div w:id="376897572">
          <w:marLeft w:val="480"/>
          <w:marRight w:val="0"/>
          <w:marTop w:val="0"/>
          <w:marBottom w:val="0"/>
          <w:divBdr>
            <w:top w:val="none" w:sz="0" w:space="0" w:color="auto"/>
            <w:left w:val="none" w:sz="0" w:space="0" w:color="auto"/>
            <w:bottom w:val="none" w:sz="0" w:space="0" w:color="auto"/>
            <w:right w:val="none" w:sz="0" w:space="0" w:color="auto"/>
          </w:divBdr>
        </w:div>
        <w:div w:id="1454129016">
          <w:marLeft w:val="480"/>
          <w:marRight w:val="0"/>
          <w:marTop w:val="0"/>
          <w:marBottom w:val="0"/>
          <w:divBdr>
            <w:top w:val="none" w:sz="0" w:space="0" w:color="auto"/>
            <w:left w:val="none" w:sz="0" w:space="0" w:color="auto"/>
            <w:bottom w:val="none" w:sz="0" w:space="0" w:color="auto"/>
            <w:right w:val="none" w:sz="0" w:space="0" w:color="auto"/>
          </w:divBdr>
        </w:div>
        <w:div w:id="529613344">
          <w:marLeft w:val="480"/>
          <w:marRight w:val="0"/>
          <w:marTop w:val="0"/>
          <w:marBottom w:val="0"/>
          <w:divBdr>
            <w:top w:val="none" w:sz="0" w:space="0" w:color="auto"/>
            <w:left w:val="none" w:sz="0" w:space="0" w:color="auto"/>
            <w:bottom w:val="none" w:sz="0" w:space="0" w:color="auto"/>
            <w:right w:val="none" w:sz="0" w:space="0" w:color="auto"/>
          </w:divBdr>
        </w:div>
        <w:div w:id="517277460">
          <w:marLeft w:val="480"/>
          <w:marRight w:val="0"/>
          <w:marTop w:val="0"/>
          <w:marBottom w:val="0"/>
          <w:divBdr>
            <w:top w:val="none" w:sz="0" w:space="0" w:color="auto"/>
            <w:left w:val="none" w:sz="0" w:space="0" w:color="auto"/>
            <w:bottom w:val="none" w:sz="0" w:space="0" w:color="auto"/>
            <w:right w:val="none" w:sz="0" w:space="0" w:color="auto"/>
          </w:divBdr>
        </w:div>
        <w:div w:id="462426290">
          <w:marLeft w:val="480"/>
          <w:marRight w:val="0"/>
          <w:marTop w:val="0"/>
          <w:marBottom w:val="0"/>
          <w:divBdr>
            <w:top w:val="none" w:sz="0" w:space="0" w:color="auto"/>
            <w:left w:val="none" w:sz="0" w:space="0" w:color="auto"/>
            <w:bottom w:val="none" w:sz="0" w:space="0" w:color="auto"/>
            <w:right w:val="none" w:sz="0" w:space="0" w:color="auto"/>
          </w:divBdr>
        </w:div>
      </w:divsChild>
    </w:div>
    <w:div w:id="656541898">
      <w:bodyDiv w:val="1"/>
      <w:marLeft w:val="0"/>
      <w:marRight w:val="0"/>
      <w:marTop w:val="0"/>
      <w:marBottom w:val="0"/>
      <w:divBdr>
        <w:top w:val="none" w:sz="0" w:space="0" w:color="auto"/>
        <w:left w:val="none" w:sz="0" w:space="0" w:color="auto"/>
        <w:bottom w:val="none" w:sz="0" w:space="0" w:color="auto"/>
        <w:right w:val="none" w:sz="0" w:space="0" w:color="auto"/>
      </w:divBdr>
      <w:divsChild>
        <w:div w:id="1158883179">
          <w:marLeft w:val="480"/>
          <w:marRight w:val="0"/>
          <w:marTop w:val="0"/>
          <w:marBottom w:val="0"/>
          <w:divBdr>
            <w:top w:val="none" w:sz="0" w:space="0" w:color="auto"/>
            <w:left w:val="none" w:sz="0" w:space="0" w:color="auto"/>
            <w:bottom w:val="none" w:sz="0" w:space="0" w:color="auto"/>
            <w:right w:val="none" w:sz="0" w:space="0" w:color="auto"/>
          </w:divBdr>
        </w:div>
        <w:div w:id="1623420484">
          <w:marLeft w:val="480"/>
          <w:marRight w:val="0"/>
          <w:marTop w:val="0"/>
          <w:marBottom w:val="0"/>
          <w:divBdr>
            <w:top w:val="none" w:sz="0" w:space="0" w:color="auto"/>
            <w:left w:val="none" w:sz="0" w:space="0" w:color="auto"/>
            <w:bottom w:val="none" w:sz="0" w:space="0" w:color="auto"/>
            <w:right w:val="none" w:sz="0" w:space="0" w:color="auto"/>
          </w:divBdr>
        </w:div>
        <w:div w:id="1821657003">
          <w:marLeft w:val="480"/>
          <w:marRight w:val="0"/>
          <w:marTop w:val="0"/>
          <w:marBottom w:val="0"/>
          <w:divBdr>
            <w:top w:val="none" w:sz="0" w:space="0" w:color="auto"/>
            <w:left w:val="none" w:sz="0" w:space="0" w:color="auto"/>
            <w:bottom w:val="none" w:sz="0" w:space="0" w:color="auto"/>
            <w:right w:val="none" w:sz="0" w:space="0" w:color="auto"/>
          </w:divBdr>
        </w:div>
        <w:div w:id="1300693963">
          <w:marLeft w:val="480"/>
          <w:marRight w:val="0"/>
          <w:marTop w:val="0"/>
          <w:marBottom w:val="0"/>
          <w:divBdr>
            <w:top w:val="none" w:sz="0" w:space="0" w:color="auto"/>
            <w:left w:val="none" w:sz="0" w:space="0" w:color="auto"/>
            <w:bottom w:val="none" w:sz="0" w:space="0" w:color="auto"/>
            <w:right w:val="none" w:sz="0" w:space="0" w:color="auto"/>
          </w:divBdr>
        </w:div>
        <w:div w:id="1364401816">
          <w:marLeft w:val="480"/>
          <w:marRight w:val="0"/>
          <w:marTop w:val="0"/>
          <w:marBottom w:val="0"/>
          <w:divBdr>
            <w:top w:val="none" w:sz="0" w:space="0" w:color="auto"/>
            <w:left w:val="none" w:sz="0" w:space="0" w:color="auto"/>
            <w:bottom w:val="none" w:sz="0" w:space="0" w:color="auto"/>
            <w:right w:val="none" w:sz="0" w:space="0" w:color="auto"/>
          </w:divBdr>
        </w:div>
      </w:divsChild>
    </w:div>
    <w:div w:id="742794634">
      <w:bodyDiv w:val="1"/>
      <w:marLeft w:val="0"/>
      <w:marRight w:val="0"/>
      <w:marTop w:val="0"/>
      <w:marBottom w:val="0"/>
      <w:divBdr>
        <w:top w:val="none" w:sz="0" w:space="0" w:color="auto"/>
        <w:left w:val="none" w:sz="0" w:space="0" w:color="auto"/>
        <w:bottom w:val="none" w:sz="0" w:space="0" w:color="auto"/>
        <w:right w:val="none" w:sz="0" w:space="0" w:color="auto"/>
      </w:divBdr>
      <w:divsChild>
        <w:div w:id="531773015">
          <w:marLeft w:val="480"/>
          <w:marRight w:val="0"/>
          <w:marTop w:val="0"/>
          <w:marBottom w:val="0"/>
          <w:divBdr>
            <w:top w:val="none" w:sz="0" w:space="0" w:color="auto"/>
            <w:left w:val="none" w:sz="0" w:space="0" w:color="auto"/>
            <w:bottom w:val="none" w:sz="0" w:space="0" w:color="auto"/>
            <w:right w:val="none" w:sz="0" w:space="0" w:color="auto"/>
          </w:divBdr>
        </w:div>
        <w:div w:id="1355762989">
          <w:marLeft w:val="480"/>
          <w:marRight w:val="0"/>
          <w:marTop w:val="0"/>
          <w:marBottom w:val="0"/>
          <w:divBdr>
            <w:top w:val="none" w:sz="0" w:space="0" w:color="auto"/>
            <w:left w:val="none" w:sz="0" w:space="0" w:color="auto"/>
            <w:bottom w:val="none" w:sz="0" w:space="0" w:color="auto"/>
            <w:right w:val="none" w:sz="0" w:space="0" w:color="auto"/>
          </w:divBdr>
        </w:div>
        <w:div w:id="998927168">
          <w:marLeft w:val="480"/>
          <w:marRight w:val="0"/>
          <w:marTop w:val="0"/>
          <w:marBottom w:val="0"/>
          <w:divBdr>
            <w:top w:val="none" w:sz="0" w:space="0" w:color="auto"/>
            <w:left w:val="none" w:sz="0" w:space="0" w:color="auto"/>
            <w:bottom w:val="none" w:sz="0" w:space="0" w:color="auto"/>
            <w:right w:val="none" w:sz="0" w:space="0" w:color="auto"/>
          </w:divBdr>
        </w:div>
        <w:div w:id="2147313833">
          <w:marLeft w:val="480"/>
          <w:marRight w:val="0"/>
          <w:marTop w:val="0"/>
          <w:marBottom w:val="0"/>
          <w:divBdr>
            <w:top w:val="none" w:sz="0" w:space="0" w:color="auto"/>
            <w:left w:val="none" w:sz="0" w:space="0" w:color="auto"/>
            <w:bottom w:val="none" w:sz="0" w:space="0" w:color="auto"/>
            <w:right w:val="none" w:sz="0" w:space="0" w:color="auto"/>
          </w:divBdr>
        </w:div>
        <w:div w:id="941298908">
          <w:marLeft w:val="480"/>
          <w:marRight w:val="0"/>
          <w:marTop w:val="0"/>
          <w:marBottom w:val="0"/>
          <w:divBdr>
            <w:top w:val="none" w:sz="0" w:space="0" w:color="auto"/>
            <w:left w:val="none" w:sz="0" w:space="0" w:color="auto"/>
            <w:bottom w:val="none" w:sz="0" w:space="0" w:color="auto"/>
            <w:right w:val="none" w:sz="0" w:space="0" w:color="auto"/>
          </w:divBdr>
        </w:div>
        <w:div w:id="559175817">
          <w:marLeft w:val="480"/>
          <w:marRight w:val="0"/>
          <w:marTop w:val="0"/>
          <w:marBottom w:val="0"/>
          <w:divBdr>
            <w:top w:val="none" w:sz="0" w:space="0" w:color="auto"/>
            <w:left w:val="none" w:sz="0" w:space="0" w:color="auto"/>
            <w:bottom w:val="none" w:sz="0" w:space="0" w:color="auto"/>
            <w:right w:val="none" w:sz="0" w:space="0" w:color="auto"/>
          </w:divBdr>
        </w:div>
        <w:div w:id="1918516765">
          <w:marLeft w:val="480"/>
          <w:marRight w:val="0"/>
          <w:marTop w:val="0"/>
          <w:marBottom w:val="0"/>
          <w:divBdr>
            <w:top w:val="none" w:sz="0" w:space="0" w:color="auto"/>
            <w:left w:val="none" w:sz="0" w:space="0" w:color="auto"/>
            <w:bottom w:val="none" w:sz="0" w:space="0" w:color="auto"/>
            <w:right w:val="none" w:sz="0" w:space="0" w:color="auto"/>
          </w:divBdr>
        </w:div>
      </w:divsChild>
    </w:div>
    <w:div w:id="746926847">
      <w:bodyDiv w:val="1"/>
      <w:marLeft w:val="0"/>
      <w:marRight w:val="0"/>
      <w:marTop w:val="0"/>
      <w:marBottom w:val="0"/>
      <w:divBdr>
        <w:top w:val="none" w:sz="0" w:space="0" w:color="auto"/>
        <w:left w:val="none" w:sz="0" w:space="0" w:color="auto"/>
        <w:bottom w:val="none" w:sz="0" w:space="0" w:color="auto"/>
        <w:right w:val="none" w:sz="0" w:space="0" w:color="auto"/>
      </w:divBdr>
      <w:divsChild>
        <w:div w:id="1140150916">
          <w:marLeft w:val="480"/>
          <w:marRight w:val="0"/>
          <w:marTop w:val="0"/>
          <w:marBottom w:val="0"/>
          <w:divBdr>
            <w:top w:val="none" w:sz="0" w:space="0" w:color="auto"/>
            <w:left w:val="none" w:sz="0" w:space="0" w:color="auto"/>
            <w:bottom w:val="none" w:sz="0" w:space="0" w:color="auto"/>
            <w:right w:val="none" w:sz="0" w:space="0" w:color="auto"/>
          </w:divBdr>
        </w:div>
        <w:div w:id="99641719">
          <w:marLeft w:val="480"/>
          <w:marRight w:val="0"/>
          <w:marTop w:val="0"/>
          <w:marBottom w:val="0"/>
          <w:divBdr>
            <w:top w:val="none" w:sz="0" w:space="0" w:color="auto"/>
            <w:left w:val="none" w:sz="0" w:space="0" w:color="auto"/>
            <w:bottom w:val="none" w:sz="0" w:space="0" w:color="auto"/>
            <w:right w:val="none" w:sz="0" w:space="0" w:color="auto"/>
          </w:divBdr>
        </w:div>
        <w:div w:id="897394573">
          <w:marLeft w:val="480"/>
          <w:marRight w:val="0"/>
          <w:marTop w:val="0"/>
          <w:marBottom w:val="0"/>
          <w:divBdr>
            <w:top w:val="none" w:sz="0" w:space="0" w:color="auto"/>
            <w:left w:val="none" w:sz="0" w:space="0" w:color="auto"/>
            <w:bottom w:val="none" w:sz="0" w:space="0" w:color="auto"/>
            <w:right w:val="none" w:sz="0" w:space="0" w:color="auto"/>
          </w:divBdr>
        </w:div>
        <w:div w:id="1680353621">
          <w:marLeft w:val="480"/>
          <w:marRight w:val="0"/>
          <w:marTop w:val="0"/>
          <w:marBottom w:val="0"/>
          <w:divBdr>
            <w:top w:val="none" w:sz="0" w:space="0" w:color="auto"/>
            <w:left w:val="none" w:sz="0" w:space="0" w:color="auto"/>
            <w:bottom w:val="none" w:sz="0" w:space="0" w:color="auto"/>
            <w:right w:val="none" w:sz="0" w:space="0" w:color="auto"/>
          </w:divBdr>
        </w:div>
        <w:div w:id="804204010">
          <w:marLeft w:val="480"/>
          <w:marRight w:val="0"/>
          <w:marTop w:val="0"/>
          <w:marBottom w:val="0"/>
          <w:divBdr>
            <w:top w:val="none" w:sz="0" w:space="0" w:color="auto"/>
            <w:left w:val="none" w:sz="0" w:space="0" w:color="auto"/>
            <w:bottom w:val="none" w:sz="0" w:space="0" w:color="auto"/>
            <w:right w:val="none" w:sz="0" w:space="0" w:color="auto"/>
          </w:divBdr>
        </w:div>
        <w:div w:id="1818691641">
          <w:marLeft w:val="480"/>
          <w:marRight w:val="0"/>
          <w:marTop w:val="0"/>
          <w:marBottom w:val="0"/>
          <w:divBdr>
            <w:top w:val="none" w:sz="0" w:space="0" w:color="auto"/>
            <w:left w:val="none" w:sz="0" w:space="0" w:color="auto"/>
            <w:bottom w:val="none" w:sz="0" w:space="0" w:color="auto"/>
            <w:right w:val="none" w:sz="0" w:space="0" w:color="auto"/>
          </w:divBdr>
        </w:div>
        <w:div w:id="39211643">
          <w:marLeft w:val="480"/>
          <w:marRight w:val="0"/>
          <w:marTop w:val="0"/>
          <w:marBottom w:val="0"/>
          <w:divBdr>
            <w:top w:val="none" w:sz="0" w:space="0" w:color="auto"/>
            <w:left w:val="none" w:sz="0" w:space="0" w:color="auto"/>
            <w:bottom w:val="none" w:sz="0" w:space="0" w:color="auto"/>
            <w:right w:val="none" w:sz="0" w:space="0" w:color="auto"/>
          </w:divBdr>
        </w:div>
        <w:div w:id="1740521193">
          <w:marLeft w:val="480"/>
          <w:marRight w:val="0"/>
          <w:marTop w:val="0"/>
          <w:marBottom w:val="0"/>
          <w:divBdr>
            <w:top w:val="none" w:sz="0" w:space="0" w:color="auto"/>
            <w:left w:val="none" w:sz="0" w:space="0" w:color="auto"/>
            <w:bottom w:val="none" w:sz="0" w:space="0" w:color="auto"/>
            <w:right w:val="none" w:sz="0" w:space="0" w:color="auto"/>
          </w:divBdr>
        </w:div>
        <w:div w:id="691423217">
          <w:marLeft w:val="480"/>
          <w:marRight w:val="0"/>
          <w:marTop w:val="0"/>
          <w:marBottom w:val="0"/>
          <w:divBdr>
            <w:top w:val="none" w:sz="0" w:space="0" w:color="auto"/>
            <w:left w:val="none" w:sz="0" w:space="0" w:color="auto"/>
            <w:bottom w:val="none" w:sz="0" w:space="0" w:color="auto"/>
            <w:right w:val="none" w:sz="0" w:space="0" w:color="auto"/>
          </w:divBdr>
        </w:div>
      </w:divsChild>
    </w:div>
    <w:div w:id="766195459">
      <w:bodyDiv w:val="1"/>
      <w:marLeft w:val="0"/>
      <w:marRight w:val="0"/>
      <w:marTop w:val="0"/>
      <w:marBottom w:val="0"/>
      <w:divBdr>
        <w:top w:val="none" w:sz="0" w:space="0" w:color="auto"/>
        <w:left w:val="none" w:sz="0" w:space="0" w:color="auto"/>
        <w:bottom w:val="none" w:sz="0" w:space="0" w:color="auto"/>
        <w:right w:val="none" w:sz="0" w:space="0" w:color="auto"/>
      </w:divBdr>
      <w:divsChild>
        <w:div w:id="879829739">
          <w:marLeft w:val="480"/>
          <w:marRight w:val="0"/>
          <w:marTop w:val="0"/>
          <w:marBottom w:val="0"/>
          <w:divBdr>
            <w:top w:val="none" w:sz="0" w:space="0" w:color="auto"/>
            <w:left w:val="none" w:sz="0" w:space="0" w:color="auto"/>
            <w:bottom w:val="none" w:sz="0" w:space="0" w:color="auto"/>
            <w:right w:val="none" w:sz="0" w:space="0" w:color="auto"/>
          </w:divBdr>
        </w:div>
        <w:div w:id="682317946">
          <w:marLeft w:val="480"/>
          <w:marRight w:val="0"/>
          <w:marTop w:val="0"/>
          <w:marBottom w:val="0"/>
          <w:divBdr>
            <w:top w:val="none" w:sz="0" w:space="0" w:color="auto"/>
            <w:left w:val="none" w:sz="0" w:space="0" w:color="auto"/>
            <w:bottom w:val="none" w:sz="0" w:space="0" w:color="auto"/>
            <w:right w:val="none" w:sz="0" w:space="0" w:color="auto"/>
          </w:divBdr>
        </w:div>
        <w:div w:id="919607708">
          <w:marLeft w:val="480"/>
          <w:marRight w:val="0"/>
          <w:marTop w:val="0"/>
          <w:marBottom w:val="0"/>
          <w:divBdr>
            <w:top w:val="none" w:sz="0" w:space="0" w:color="auto"/>
            <w:left w:val="none" w:sz="0" w:space="0" w:color="auto"/>
            <w:bottom w:val="none" w:sz="0" w:space="0" w:color="auto"/>
            <w:right w:val="none" w:sz="0" w:space="0" w:color="auto"/>
          </w:divBdr>
        </w:div>
        <w:div w:id="1151210603">
          <w:marLeft w:val="480"/>
          <w:marRight w:val="0"/>
          <w:marTop w:val="0"/>
          <w:marBottom w:val="0"/>
          <w:divBdr>
            <w:top w:val="none" w:sz="0" w:space="0" w:color="auto"/>
            <w:left w:val="none" w:sz="0" w:space="0" w:color="auto"/>
            <w:bottom w:val="none" w:sz="0" w:space="0" w:color="auto"/>
            <w:right w:val="none" w:sz="0" w:space="0" w:color="auto"/>
          </w:divBdr>
        </w:div>
        <w:div w:id="1612129221">
          <w:marLeft w:val="480"/>
          <w:marRight w:val="0"/>
          <w:marTop w:val="0"/>
          <w:marBottom w:val="0"/>
          <w:divBdr>
            <w:top w:val="none" w:sz="0" w:space="0" w:color="auto"/>
            <w:left w:val="none" w:sz="0" w:space="0" w:color="auto"/>
            <w:bottom w:val="none" w:sz="0" w:space="0" w:color="auto"/>
            <w:right w:val="none" w:sz="0" w:space="0" w:color="auto"/>
          </w:divBdr>
        </w:div>
        <w:div w:id="1889028145">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0139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946225">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6762">
      <w:bodyDiv w:val="1"/>
      <w:marLeft w:val="0"/>
      <w:marRight w:val="0"/>
      <w:marTop w:val="0"/>
      <w:marBottom w:val="0"/>
      <w:divBdr>
        <w:top w:val="none" w:sz="0" w:space="0" w:color="auto"/>
        <w:left w:val="none" w:sz="0" w:space="0" w:color="auto"/>
        <w:bottom w:val="none" w:sz="0" w:space="0" w:color="auto"/>
        <w:right w:val="none" w:sz="0" w:space="0" w:color="auto"/>
      </w:divBdr>
      <w:divsChild>
        <w:div w:id="1210872027">
          <w:marLeft w:val="480"/>
          <w:marRight w:val="0"/>
          <w:marTop w:val="0"/>
          <w:marBottom w:val="0"/>
          <w:divBdr>
            <w:top w:val="none" w:sz="0" w:space="0" w:color="auto"/>
            <w:left w:val="none" w:sz="0" w:space="0" w:color="auto"/>
            <w:bottom w:val="none" w:sz="0" w:space="0" w:color="auto"/>
            <w:right w:val="none" w:sz="0" w:space="0" w:color="auto"/>
          </w:divBdr>
        </w:div>
        <w:div w:id="958874851">
          <w:marLeft w:val="480"/>
          <w:marRight w:val="0"/>
          <w:marTop w:val="0"/>
          <w:marBottom w:val="0"/>
          <w:divBdr>
            <w:top w:val="none" w:sz="0" w:space="0" w:color="auto"/>
            <w:left w:val="none" w:sz="0" w:space="0" w:color="auto"/>
            <w:bottom w:val="none" w:sz="0" w:space="0" w:color="auto"/>
            <w:right w:val="none" w:sz="0" w:space="0" w:color="auto"/>
          </w:divBdr>
        </w:div>
        <w:div w:id="864754089">
          <w:marLeft w:val="480"/>
          <w:marRight w:val="0"/>
          <w:marTop w:val="0"/>
          <w:marBottom w:val="0"/>
          <w:divBdr>
            <w:top w:val="none" w:sz="0" w:space="0" w:color="auto"/>
            <w:left w:val="none" w:sz="0" w:space="0" w:color="auto"/>
            <w:bottom w:val="none" w:sz="0" w:space="0" w:color="auto"/>
            <w:right w:val="none" w:sz="0" w:space="0" w:color="auto"/>
          </w:divBdr>
        </w:div>
        <w:div w:id="190191070">
          <w:marLeft w:val="480"/>
          <w:marRight w:val="0"/>
          <w:marTop w:val="0"/>
          <w:marBottom w:val="0"/>
          <w:divBdr>
            <w:top w:val="none" w:sz="0" w:space="0" w:color="auto"/>
            <w:left w:val="none" w:sz="0" w:space="0" w:color="auto"/>
            <w:bottom w:val="none" w:sz="0" w:space="0" w:color="auto"/>
            <w:right w:val="none" w:sz="0" w:space="0" w:color="auto"/>
          </w:divBdr>
        </w:div>
        <w:div w:id="494957271">
          <w:marLeft w:val="480"/>
          <w:marRight w:val="0"/>
          <w:marTop w:val="0"/>
          <w:marBottom w:val="0"/>
          <w:divBdr>
            <w:top w:val="none" w:sz="0" w:space="0" w:color="auto"/>
            <w:left w:val="none" w:sz="0" w:space="0" w:color="auto"/>
            <w:bottom w:val="none" w:sz="0" w:space="0" w:color="auto"/>
            <w:right w:val="none" w:sz="0" w:space="0" w:color="auto"/>
          </w:divBdr>
        </w:div>
        <w:div w:id="230433575">
          <w:marLeft w:val="480"/>
          <w:marRight w:val="0"/>
          <w:marTop w:val="0"/>
          <w:marBottom w:val="0"/>
          <w:divBdr>
            <w:top w:val="none" w:sz="0" w:space="0" w:color="auto"/>
            <w:left w:val="none" w:sz="0" w:space="0" w:color="auto"/>
            <w:bottom w:val="none" w:sz="0" w:space="0" w:color="auto"/>
            <w:right w:val="none" w:sz="0" w:space="0" w:color="auto"/>
          </w:divBdr>
        </w:div>
        <w:div w:id="749305405">
          <w:marLeft w:val="480"/>
          <w:marRight w:val="0"/>
          <w:marTop w:val="0"/>
          <w:marBottom w:val="0"/>
          <w:divBdr>
            <w:top w:val="none" w:sz="0" w:space="0" w:color="auto"/>
            <w:left w:val="none" w:sz="0" w:space="0" w:color="auto"/>
            <w:bottom w:val="none" w:sz="0" w:space="0" w:color="auto"/>
            <w:right w:val="none" w:sz="0" w:space="0" w:color="auto"/>
          </w:divBdr>
        </w:div>
      </w:divsChild>
    </w:div>
    <w:div w:id="1019507518">
      <w:bodyDiv w:val="1"/>
      <w:marLeft w:val="0"/>
      <w:marRight w:val="0"/>
      <w:marTop w:val="0"/>
      <w:marBottom w:val="0"/>
      <w:divBdr>
        <w:top w:val="none" w:sz="0" w:space="0" w:color="auto"/>
        <w:left w:val="none" w:sz="0" w:space="0" w:color="auto"/>
        <w:bottom w:val="none" w:sz="0" w:space="0" w:color="auto"/>
        <w:right w:val="none" w:sz="0" w:space="0" w:color="auto"/>
      </w:divBdr>
    </w:div>
    <w:div w:id="1274635772">
      <w:bodyDiv w:val="1"/>
      <w:marLeft w:val="0"/>
      <w:marRight w:val="0"/>
      <w:marTop w:val="0"/>
      <w:marBottom w:val="0"/>
      <w:divBdr>
        <w:top w:val="none" w:sz="0" w:space="0" w:color="auto"/>
        <w:left w:val="none" w:sz="0" w:space="0" w:color="auto"/>
        <w:bottom w:val="none" w:sz="0" w:space="0" w:color="auto"/>
        <w:right w:val="none" w:sz="0" w:space="0" w:color="auto"/>
      </w:divBdr>
    </w:div>
    <w:div w:id="1287005275">
      <w:bodyDiv w:val="1"/>
      <w:marLeft w:val="0"/>
      <w:marRight w:val="0"/>
      <w:marTop w:val="0"/>
      <w:marBottom w:val="0"/>
      <w:divBdr>
        <w:top w:val="none" w:sz="0" w:space="0" w:color="auto"/>
        <w:left w:val="none" w:sz="0" w:space="0" w:color="auto"/>
        <w:bottom w:val="none" w:sz="0" w:space="0" w:color="auto"/>
        <w:right w:val="none" w:sz="0" w:space="0" w:color="auto"/>
      </w:divBdr>
      <w:divsChild>
        <w:div w:id="1592541134">
          <w:marLeft w:val="480"/>
          <w:marRight w:val="0"/>
          <w:marTop w:val="0"/>
          <w:marBottom w:val="0"/>
          <w:divBdr>
            <w:top w:val="none" w:sz="0" w:space="0" w:color="auto"/>
            <w:left w:val="none" w:sz="0" w:space="0" w:color="auto"/>
            <w:bottom w:val="none" w:sz="0" w:space="0" w:color="auto"/>
            <w:right w:val="none" w:sz="0" w:space="0" w:color="auto"/>
          </w:divBdr>
        </w:div>
        <w:div w:id="1277561269">
          <w:marLeft w:val="480"/>
          <w:marRight w:val="0"/>
          <w:marTop w:val="0"/>
          <w:marBottom w:val="0"/>
          <w:divBdr>
            <w:top w:val="none" w:sz="0" w:space="0" w:color="auto"/>
            <w:left w:val="none" w:sz="0" w:space="0" w:color="auto"/>
            <w:bottom w:val="none" w:sz="0" w:space="0" w:color="auto"/>
            <w:right w:val="none" w:sz="0" w:space="0" w:color="auto"/>
          </w:divBdr>
        </w:div>
        <w:div w:id="509296415">
          <w:marLeft w:val="480"/>
          <w:marRight w:val="0"/>
          <w:marTop w:val="0"/>
          <w:marBottom w:val="0"/>
          <w:divBdr>
            <w:top w:val="none" w:sz="0" w:space="0" w:color="auto"/>
            <w:left w:val="none" w:sz="0" w:space="0" w:color="auto"/>
            <w:bottom w:val="none" w:sz="0" w:space="0" w:color="auto"/>
            <w:right w:val="none" w:sz="0" w:space="0" w:color="auto"/>
          </w:divBdr>
        </w:div>
        <w:div w:id="2000571069">
          <w:marLeft w:val="480"/>
          <w:marRight w:val="0"/>
          <w:marTop w:val="0"/>
          <w:marBottom w:val="0"/>
          <w:divBdr>
            <w:top w:val="none" w:sz="0" w:space="0" w:color="auto"/>
            <w:left w:val="none" w:sz="0" w:space="0" w:color="auto"/>
            <w:bottom w:val="none" w:sz="0" w:space="0" w:color="auto"/>
            <w:right w:val="none" w:sz="0" w:space="0" w:color="auto"/>
          </w:divBdr>
        </w:div>
        <w:div w:id="461732765">
          <w:marLeft w:val="480"/>
          <w:marRight w:val="0"/>
          <w:marTop w:val="0"/>
          <w:marBottom w:val="0"/>
          <w:divBdr>
            <w:top w:val="none" w:sz="0" w:space="0" w:color="auto"/>
            <w:left w:val="none" w:sz="0" w:space="0" w:color="auto"/>
            <w:bottom w:val="none" w:sz="0" w:space="0" w:color="auto"/>
            <w:right w:val="none" w:sz="0" w:space="0" w:color="auto"/>
          </w:divBdr>
        </w:div>
        <w:div w:id="872108499">
          <w:marLeft w:val="480"/>
          <w:marRight w:val="0"/>
          <w:marTop w:val="0"/>
          <w:marBottom w:val="0"/>
          <w:divBdr>
            <w:top w:val="none" w:sz="0" w:space="0" w:color="auto"/>
            <w:left w:val="none" w:sz="0" w:space="0" w:color="auto"/>
            <w:bottom w:val="none" w:sz="0" w:space="0" w:color="auto"/>
            <w:right w:val="none" w:sz="0" w:space="0" w:color="auto"/>
          </w:divBdr>
        </w:div>
        <w:div w:id="1441686729">
          <w:marLeft w:val="480"/>
          <w:marRight w:val="0"/>
          <w:marTop w:val="0"/>
          <w:marBottom w:val="0"/>
          <w:divBdr>
            <w:top w:val="none" w:sz="0" w:space="0" w:color="auto"/>
            <w:left w:val="none" w:sz="0" w:space="0" w:color="auto"/>
            <w:bottom w:val="none" w:sz="0" w:space="0" w:color="auto"/>
            <w:right w:val="none" w:sz="0" w:space="0" w:color="auto"/>
          </w:divBdr>
        </w:div>
        <w:div w:id="2102868766">
          <w:marLeft w:val="480"/>
          <w:marRight w:val="0"/>
          <w:marTop w:val="0"/>
          <w:marBottom w:val="0"/>
          <w:divBdr>
            <w:top w:val="none" w:sz="0" w:space="0" w:color="auto"/>
            <w:left w:val="none" w:sz="0" w:space="0" w:color="auto"/>
            <w:bottom w:val="none" w:sz="0" w:space="0" w:color="auto"/>
            <w:right w:val="none" w:sz="0" w:space="0" w:color="auto"/>
          </w:divBdr>
        </w:div>
        <w:div w:id="248544220">
          <w:marLeft w:val="480"/>
          <w:marRight w:val="0"/>
          <w:marTop w:val="0"/>
          <w:marBottom w:val="0"/>
          <w:divBdr>
            <w:top w:val="none" w:sz="0" w:space="0" w:color="auto"/>
            <w:left w:val="none" w:sz="0" w:space="0" w:color="auto"/>
            <w:bottom w:val="none" w:sz="0" w:space="0" w:color="auto"/>
            <w:right w:val="none" w:sz="0" w:space="0" w:color="auto"/>
          </w:divBdr>
        </w:div>
        <w:div w:id="1096291214">
          <w:marLeft w:val="480"/>
          <w:marRight w:val="0"/>
          <w:marTop w:val="0"/>
          <w:marBottom w:val="0"/>
          <w:divBdr>
            <w:top w:val="none" w:sz="0" w:space="0" w:color="auto"/>
            <w:left w:val="none" w:sz="0" w:space="0" w:color="auto"/>
            <w:bottom w:val="none" w:sz="0" w:space="0" w:color="auto"/>
            <w:right w:val="none" w:sz="0" w:space="0" w:color="auto"/>
          </w:divBdr>
        </w:div>
      </w:divsChild>
    </w:div>
    <w:div w:id="1343439368">
      <w:bodyDiv w:val="1"/>
      <w:marLeft w:val="0"/>
      <w:marRight w:val="0"/>
      <w:marTop w:val="0"/>
      <w:marBottom w:val="0"/>
      <w:divBdr>
        <w:top w:val="none" w:sz="0" w:space="0" w:color="auto"/>
        <w:left w:val="none" w:sz="0" w:space="0" w:color="auto"/>
        <w:bottom w:val="none" w:sz="0" w:space="0" w:color="auto"/>
        <w:right w:val="none" w:sz="0" w:space="0" w:color="auto"/>
      </w:divBdr>
      <w:divsChild>
        <w:div w:id="858349648">
          <w:marLeft w:val="480"/>
          <w:marRight w:val="0"/>
          <w:marTop w:val="0"/>
          <w:marBottom w:val="0"/>
          <w:divBdr>
            <w:top w:val="none" w:sz="0" w:space="0" w:color="auto"/>
            <w:left w:val="none" w:sz="0" w:space="0" w:color="auto"/>
            <w:bottom w:val="none" w:sz="0" w:space="0" w:color="auto"/>
            <w:right w:val="none" w:sz="0" w:space="0" w:color="auto"/>
          </w:divBdr>
        </w:div>
        <w:div w:id="1767001018">
          <w:marLeft w:val="480"/>
          <w:marRight w:val="0"/>
          <w:marTop w:val="0"/>
          <w:marBottom w:val="0"/>
          <w:divBdr>
            <w:top w:val="none" w:sz="0" w:space="0" w:color="auto"/>
            <w:left w:val="none" w:sz="0" w:space="0" w:color="auto"/>
            <w:bottom w:val="none" w:sz="0" w:space="0" w:color="auto"/>
            <w:right w:val="none" w:sz="0" w:space="0" w:color="auto"/>
          </w:divBdr>
        </w:div>
        <w:div w:id="1700859806">
          <w:marLeft w:val="480"/>
          <w:marRight w:val="0"/>
          <w:marTop w:val="0"/>
          <w:marBottom w:val="0"/>
          <w:divBdr>
            <w:top w:val="none" w:sz="0" w:space="0" w:color="auto"/>
            <w:left w:val="none" w:sz="0" w:space="0" w:color="auto"/>
            <w:bottom w:val="none" w:sz="0" w:space="0" w:color="auto"/>
            <w:right w:val="none" w:sz="0" w:space="0" w:color="auto"/>
          </w:divBdr>
        </w:div>
        <w:div w:id="2128621228">
          <w:marLeft w:val="480"/>
          <w:marRight w:val="0"/>
          <w:marTop w:val="0"/>
          <w:marBottom w:val="0"/>
          <w:divBdr>
            <w:top w:val="none" w:sz="0" w:space="0" w:color="auto"/>
            <w:left w:val="none" w:sz="0" w:space="0" w:color="auto"/>
            <w:bottom w:val="none" w:sz="0" w:space="0" w:color="auto"/>
            <w:right w:val="none" w:sz="0" w:space="0" w:color="auto"/>
          </w:divBdr>
        </w:div>
        <w:div w:id="1810123776">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748493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4895077">
      <w:bodyDiv w:val="1"/>
      <w:marLeft w:val="0"/>
      <w:marRight w:val="0"/>
      <w:marTop w:val="0"/>
      <w:marBottom w:val="0"/>
      <w:divBdr>
        <w:top w:val="none" w:sz="0" w:space="0" w:color="auto"/>
        <w:left w:val="none" w:sz="0" w:space="0" w:color="auto"/>
        <w:bottom w:val="none" w:sz="0" w:space="0" w:color="auto"/>
        <w:right w:val="none" w:sz="0" w:space="0" w:color="auto"/>
      </w:divBdr>
      <w:divsChild>
        <w:div w:id="1630622126">
          <w:marLeft w:val="480"/>
          <w:marRight w:val="0"/>
          <w:marTop w:val="0"/>
          <w:marBottom w:val="0"/>
          <w:divBdr>
            <w:top w:val="none" w:sz="0" w:space="0" w:color="auto"/>
            <w:left w:val="none" w:sz="0" w:space="0" w:color="auto"/>
            <w:bottom w:val="none" w:sz="0" w:space="0" w:color="auto"/>
            <w:right w:val="none" w:sz="0" w:space="0" w:color="auto"/>
          </w:divBdr>
        </w:div>
        <w:div w:id="2024085545">
          <w:marLeft w:val="480"/>
          <w:marRight w:val="0"/>
          <w:marTop w:val="0"/>
          <w:marBottom w:val="0"/>
          <w:divBdr>
            <w:top w:val="none" w:sz="0" w:space="0" w:color="auto"/>
            <w:left w:val="none" w:sz="0" w:space="0" w:color="auto"/>
            <w:bottom w:val="none" w:sz="0" w:space="0" w:color="auto"/>
            <w:right w:val="none" w:sz="0" w:space="0" w:color="auto"/>
          </w:divBdr>
        </w:div>
        <w:div w:id="777061022">
          <w:marLeft w:val="480"/>
          <w:marRight w:val="0"/>
          <w:marTop w:val="0"/>
          <w:marBottom w:val="0"/>
          <w:divBdr>
            <w:top w:val="none" w:sz="0" w:space="0" w:color="auto"/>
            <w:left w:val="none" w:sz="0" w:space="0" w:color="auto"/>
            <w:bottom w:val="none" w:sz="0" w:space="0" w:color="auto"/>
            <w:right w:val="none" w:sz="0" w:space="0" w:color="auto"/>
          </w:divBdr>
        </w:div>
        <w:div w:id="1428697893">
          <w:marLeft w:val="480"/>
          <w:marRight w:val="0"/>
          <w:marTop w:val="0"/>
          <w:marBottom w:val="0"/>
          <w:divBdr>
            <w:top w:val="none" w:sz="0" w:space="0" w:color="auto"/>
            <w:left w:val="none" w:sz="0" w:space="0" w:color="auto"/>
            <w:bottom w:val="none" w:sz="0" w:space="0" w:color="auto"/>
            <w:right w:val="none" w:sz="0" w:space="0" w:color="auto"/>
          </w:divBdr>
        </w:div>
        <w:div w:id="1845631270">
          <w:marLeft w:val="480"/>
          <w:marRight w:val="0"/>
          <w:marTop w:val="0"/>
          <w:marBottom w:val="0"/>
          <w:divBdr>
            <w:top w:val="none" w:sz="0" w:space="0" w:color="auto"/>
            <w:left w:val="none" w:sz="0" w:space="0" w:color="auto"/>
            <w:bottom w:val="none" w:sz="0" w:space="0" w:color="auto"/>
            <w:right w:val="none" w:sz="0" w:space="0" w:color="auto"/>
          </w:divBdr>
        </w:div>
        <w:div w:id="1029337913">
          <w:marLeft w:val="480"/>
          <w:marRight w:val="0"/>
          <w:marTop w:val="0"/>
          <w:marBottom w:val="0"/>
          <w:divBdr>
            <w:top w:val="none" w:sz="0" w:space="0" w:color="auto"/>
            <w:left w:val="none" w:sz="0" w:space="0" w:color="auto"/>
            <w:bottom w:val="none" w:sz="0" w:space="0" w:color="auto"/>
            <w:right w:val="none" w:sz="0" w:space="0" w:color="auto"/>
          </w:divBdr>
        </w:div>
        <w:div w:id="2027779473">
          <w:marLeft w:val="480"/>
          <w:marRight w:val="0"/>
          <w:marTop w:val="0"/>
          <w:marBottom w:val="0"/>
          <w:divBdr>
            <w:top w:val="none" w:sz="0" w:space="0" w:color="auto"/>
            <w:left w:val="none" w:sz="0" w:space="0" w:color="auto"/>
            <w:bottom w:val="none" w:sz="0" w:space="0" w:color="auto"/>
            <w:right w:val="none" w:sz="0" w:space="0" w:color="auto"/>
          </w:divBdr>
        </w:div>
        <w:div w:id="1033462130">
          <w:marLeft w:val="480"/>
          <w:marRight w:val="0"/>
          <w:marTop w:val="0"/>
          <w:marBottom w:val="0"/>
          <w:divBdr>
            <w:top w:val="none" w:sz="0" w:space="0" w:color="auto"/>
            <w:left w:val="none" w:sz="0" w:space="0" w:color="auto"/>
            <w:bottom w:val="none" w:sz="0" w:space="0" w:color="auto"/>
            <w:right w:val="none" w:sz="0" w:space="0" w:color="auto"/>
          </w:divBdr>
        </w:div>
        <w:div w:id="1117412452">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8880">
      <w:bodyDiv w:val="1"/>
      <w:marLeft w:val="0"/>
      <w:marRight w:val="0"/>
      <w:marTop w:val="0"/>
      <w:marBottom w:val="0"/>
      <w:divBdr>
        <w:top w:val="none" w:sz="0" w:space="0" w:color="auto"/>
        <w:left w:val="none" w:sz="0" w:space="0" w:color="auto"/>
        <w:bottom w:val="none" w:sz="0" w:space="0" w:color="auto"/>
        <w:right w:val="none" w:sz="0" w:space="0" w:color="auto"/>
      </w:divBdr>
      <w:divsChild>
        <w:div w:id="1707489024">
          <w:marLeft w:val="480"/>
          <w:marRight w:val="0"/>
          <w:marTop w:val="0"/>
          <w:marBottom w:val="0"/>
          <w:divBdr>
            <w:top w:val="none" w:sz="0" w:space="0" w:color="auto"/>
            <w:left w:val="none" w:sz="0" w:space="0" w:color="auto"/>
            <w:bottom w:val="none" w:sz="0" w:space="0" w:color="auto"/>
            <w:right w:val="none" w:sz="0" w:space="0" w:color="auto"/>
          </w:divBdr>
        </w:div>
        <w:div w:id="1473983164">
          <w:marLeft w:val="480"/>
          <w:marRight w:val="0"/>
          <w:marTop w:val="0"/>
          <w:marBottom w:val="0"/>
          <w:divBdr>
            <w:top w:val="none" w:sz="0" w:space="0" w:color="auto"/>
            <w:left w:val="none" w:sz="0" w:space="0" w:color="auto"/>
            <w:bottom w:val="none" w:sz="0" w:space="0" w:color="auto"/>
            <w:right w:val="none" w:sz="0" w:space="0" w:color="auto"/>
          </w:divBdr>
        </w:div>
        <w:div w:id="209074250">
          <w:marLeft w:val="480"/>
          <w:marRight w:val="0"/>
          <w:marTop w:val="0"/>
          <w:marBottom w:val="0"/>
          <w:divBdr>
            <w:top w:val="none" w:sz="0" w:space="0" w:color="auto"/>
            <w:left w:val="none" w:sz="0" w:space="0" w:color="auto"/>
            <w:bottom w:val="none" w:sz="0" w:space="0" w:color="auto"/>
            <w:right w:val="none" w:sz="0" w:space="0" w:color="auto"/>
          </w:divBdr>
        </w:div>
        <w:div w:id="1019311885">
          <w:marLeft w:val="480"/>
          <w:marRight w:val="0"/>
          <w:marTop w:val="0"/>
          <w:marBottom w:val="0"/>
          <w:divBdr>
            <w:top w:val="none" w:sz="0" w:space="0" w:color="auto"/>
            <w:left w:val="none" w:sz="0" w:space="0" w:color="auto"/>
            <w:bottom w:val="none" w:sz="0" w:space="0" w:color="auto"/>
            <w:right w:val="none" w:sz="0" w:space="0" w:color="auto"/>
          </w:divBdr>
        </w:div>
        <w:div w:id="2002392617">
          <w:marLeft w:val="480"/>
          <w:marRight w:val="0"/>
          <w:marTop w:val="0"/>
          <w:marBottom w:val="0"/>
          <w:divBdr>
            <w:top w:val="none" w:sz="0" w:space="0" w:color="auto"/>
            <w:left w:val="none" w:sz="0" w:space="0" w:color="auto"/>
            <w:bottom w:val="none" w:sz="0" w:space="0" w:color="auto"/>
            <w:right w:val="none" w:sz="0" w:space="0" w:color="auto"/>
          </w:divBdr>
        </w:div>
      </w:divsChild>
    </w:div>
    <w:div w:id="1776249955">
      <w:bodyDiv w:val="1"/>
      <w:marLeft w:val="0"/>
      <w:marRight w:val="0"/>
      <w:marTop w:val="0"/>
      <w:marBottom w:val="0"/>
      <w:divBdr>
        <w:top w:val="none" w:sz="0" w:space="0" w:color="auto"/>
        <w:left w:val="none" w:sz="0" w:space="0" w:color="auto"/>
        <w:bottom w:val="none" w:sz="0" w:space="0" w:color="auto"/>
        <w:right w:val="none" w:sz="0" w:space="0" w:color="auto"/>
      </w:divBdr>
    </w:div>
    <w:div w:id="1816100012">
      <w:bodyDiv w:val="1"/>
      <w:marLeft w:val="0"/>
      <w:marRight w:val="0"/>
      <w:marTop w:val="0"/>
      <w:marBottom w:val="0"/>
      <w:divBdr>
        <w:top w:val="none" w:sz="0" w:space="0" w:color="auto"/>
        <w:left w:val="none" w:sz="0" w:space="0" w:color="auto"/>
        <w:bottom w:val="none" w:sz="0" w:space="0" w:color="auto"/>
        <w:right w:val="none" w:sz="0" w:space="0" w:color="auto"/>
      </w:divBdr>
      <w:divsChild>
        <w:div w:id="83770189">
          <w:marLeft w:val="480"/>
          <w:marRight w:val="0"/>
          <w:marTop w:val="0"/>
          <w:marBottom w:val="0"/>
          <w:divBdr>
            <w:top w:val="none" w:sz="0" w:space="0" w:color="auto"/>
            <w:left w:val="none" w:sz="0" w:space="0" w:color="auto"/>
            <w:bottom w:val="none" w:sz="0" w:space="0" w:color="auto"/>
            <w:right w:val="none" w:sz="0" w:space="0" w:color="auto"/>
          </w:divBdr>
        </w:div>
        <w:div w:id="742291803">
          <w:marLeft w:val="480"/>
          <w:marRight w:val="0"/>
          <w:marTop w:val="0"/>
          <w:marBottom w:val="0"/>
          <w:divBdr>
            <w:top w:val="none" w:sz="0" w:space="0" w:color="auto"/>
            <w:left w:val="none" w:sz="0" w:space="0" w:color="auto"/>
            <w:bottom w:val="none" w:sz="0" w:space="0" w:color="auto"/>
            <w:right w:val="none" w:sz="0" w:space="0" w:color="auto"/>
          </w:divBdr>
        </w:div>
        <w:div w:id="601302529">
          <w:marLeft w:val="480"/>
          <w:marRight w:val="0"/>
          <w:marTop w:val="0"/>
          <w:marBottom w:val="0"/>
          <w:divBdr>
            <w:top w:val="none" w:sz="0" w:space="0" w:color="auto"/>
            <w:left w:val="none" w:sz="0" w:space="0" w:color="auto"/>
            <w:bottom w:val="none" w:sz="0" w:space="0" w:color="auto"/>
            <w:right w:val="none" w:sz="0" w:space="0" w:color="auto"/>
          </w:divBdr>
        </w:div>
        <w:div w:id="1189101543">
          <w:marLeft w:val="480"/>
          <w:marRight w:val="0"/>
          <w:marTop w:val="0"/>
          <w:marBottom w:val="0"/>
          <w:divBdr>
            <w:top w:val="none" w:sz="0" w:space="0" w:color="auto"/>
            <w:left w:val="none" w:sz="0" w:space="0" w:color="auto"/>
            <w:bottom w:val="none" w:sz="0" w:space="0" w:color="auto"/>
            <w:right w:val="none" w:sz="0" w:space="0" w:color="auto"/>
          </w:divBdr>
        </w:div>
        <w:div w:id="499662126">
          <w:marLeft w:val="480"/>
          <w:marRight w:val="0"/>
          <w:marTop w:val="0"/>
          <w:marBottom w:val="0"/>
          <w:divBdr>
            <w:top w:val="none" w:sz="0" w:space="0" w:color="auto"/>
            <w:left w:val="none" w:sz="0" w:space="0" w:color="auto"/>
            <w:bottom w:val="none" w:sz="0" w:space="0" w:color="auto"/>
            <w:right w:val="none" w:sz="0" w:space="0" w:color="auto"/>
          </w:divBdr>
        </w:div>
        <w:div w:id="596866686">
          <w:marLeft w:val="480"/>
          <w:marRight w:val="0"/>
          <w:marTop w:val="0"/>
          <w:marBottom w:val="0"/>
          <w:divBdr>
            <w:top w:val="none" w:sz="0" w:space="0" w:color="auto"/>
            <w:left w:val="none" w:sz="0" w:space="0" w:color="auto"/>
            <w:bottom w:val="none" w:sz="0" w:space="0" w:color="auto"/>
            <w:right w:val="none" w:sz="0" w:space="0" w:color="auto"/>
          </w:divBdr>
        </w:div>
        <w:div w:id="2143424885">
          <w:marLeft w:val="480"/>
          <w:marRight w:val="0"/>
          <w:marTop w:val="0"/>
          <w:marBottom w:val="0"/>
          <w:divBdr>
            <w:top w:val="none" w:sz="0" w:space="0" w:color="auto"/>
            <w:left w:val="none" w:sz="0" w:space="0" w:color="auto"/>
            <w:bottom w:val="none" w:sz="0" w:space="0" w:color="auto"/>
            <w:right w:val="none" w:sz="0" w:space="0" w:color="auto"/>
          </w:divBdr>
        </w:div>
        <w:div w:id="1534150588">
          <w:marLeft w:val="480"/>
          <w:marRight w:val="0"/>
          <w:marTop w:val="0"/>
          <w:marBottom w:val="0"/>
          <w:divBdr>
            <w:top w:val="none" w:sz="0" w:space="0" w:color="auto"/>
            <w:left w:val="none" w:sz="0" w:space="0" w:color="auto"/>
            <w:bottom w:val="none" w:sz="0" w:space="0" w:color="auto"/>
            <w:right w:val="none" w:sz="0" w:space="0" w:color="auto"/>
          </w:divBdr>
        </w:div>
      </w:divsChild>
    </w:div>
    <w:div w:id="1930305024">
      <w:bodyDiv w:val="1"/>
      <w:marLeft w:val="0"/>
      <w:marRight w:val="0"/>
      <w:marTop w:val="0"/>
      <w:marBottom w:val="0"/>
      <w:divBdr>
        <w:top w:val="none" w:sz="0" w:space="0" w:color="auto"/>
        <w:left w:val="none" w:sz="0" w:space="0" w:color="auto"/>
        <w:bottom w:val="none" w:sz="0" w:space="0" w:color="auto"/>
        <w:right w:val="none" w:sz="0" w:space="0" w:color="auto"/>
      </w:divBdr>
      <w:divsChild>
        <w:div w:id="342784703">
          <w:marLeft w:val="480"/>
          <w:marRight w:val="0"/>
          <w:marTop w:val="0"/>
          <w:marBottom w:val="0"/>
          <w:divBdr>
            <w:top w:val="none" w:sz="0" w:space="0" w:color="auto"/>
            <w:left w:val="none" w:sz="0" w:space="0" w:color="auto"/>
            <w:bottom w:val="none" w:sz="0" w:space="0" w:color="auto"/>
            <w:right w:val="none" w:sz="0" w:space="0" w:color="auto"/>
          </w:divBdr>
        </w:div>
        <w:div w:id="1311783790">
          <w:marLeft w:val="480"/>
          <w:marRight w:val="0"/>
          <w:marTop w:val="0"/>
          <w:marBottom w:val="0"/>
          <w:divBdr>
            <w:top w:val="none" w:sz="0" w:space="0" w:color="auto"/>
            <w:left w:val="none" w:sz="0" w:space="0" w:color="auto"/>
            <w:bottom w:val="none" w:sz="0" w:space="0" w:color="auto"/>
            <w:right w:val="none" w:sz="0" w:space="0" w:color="auto"/>
          </w:divBdr>
        </w:div>
        <w:div w:id="779303363">
          <w:marLeft w:val="480"/>
          <w:marRight w:val="0"/>
          <w:marTop w:val="0"/>
          <w:marBottom w:val="0"/>
          <w:divBdr>
            <w:top w:val="none" w:sz="0" w:space="0" w:color="auto"/>
            <w:left w:val="none" w:sz="0" w:space="0" w:color="auto"/>
            <w:bottom w:val="none" w:sz="0" w:space="0" w:color="auto"/>
            <w:right w:val="none" w:sz="0" w:space="0" w:color="auto"/>
          </w:divBdr>
        </w:div>
        <w:div w:id="2001884750">
          <w:marLeft w:val="480"/>
          <w:marRight w:val="0"/>
          <w:marTop w:val="0"/>
          <w:marBottom w:val="0"/>
          <w:divBdr>
            <w:top w:val="none" w:sz="0" w:space="0" w:color="auto"/>
            <w:left w:val="none" w:sz="0" w:space="0" w:color="auto"/>
            <w:bottom w:val="none" w:sz="0" w:space="0" w:color="auto"/>
            <w:right w:val="none" w:sz="0" w:space="0" w:color="auto"/>
          </w:divBdr>
        </w:div>
        <w:div w:id="1685789672">
          <w:marLeft w:val="480"/>
          <w:marRight w:val="0"/>
          <w:marTop w:val="0"/>
          <w:marBottom w:val="0"/>
          <w:divBdr>
            <w:top w:val="none" w:sz="0" w:space="0" w:color="auto"/>
            <w:left w:val="none" w:sz="0" w:space="0" w:color="auto"/>
            <w:bottom w:val="none" w:sz="0" w:space="0" w:color="auto"/>
            <w:right w:val="none" w:sz="0" w:space="0" w:color="auto"/>
          </w:divBdr>
        </w:div>
        <w:div w:id="795567844">
          <w:marLeft w:val="480"/>
          <w:marRight w:val="0"/>
          <w:marTop w:val="0"/>
          <w:marBottom w:val="0"/>
          <w:divBdr>
            <w:top w:val="none" w:sz="0" w:space="0" w:color="auto"/>
            <w:left w:val="none" w:sz="0" w:space="0" w:color="auto"/>
            <w:bottom w:val="none" w:sz="0" w:space="0" w:color="auto"/>
            <w:right w:val="none" w:sz="0" w:space="0" w:color="auto"/>
          </w:divBdr>
        </w:div>
      </w:divsChild>
    </w:div>
    <w:div w:id="197154455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681287">
      <w:bodyDiv w:val="1"/>
      <w:marLeft w:val="0"/>
      <w:marRight w:val="0"/>
      <w:marTop w:val="0"/>
      <w:marBottom w:val="0"/>
      <w:divBdr>
        <w:top w:val="none" w:sz="0" w:space="0" w:color="auto"/>
        <w:left w:val="none" w:sz="0" w:space="0" w:color="auto"/>
        <w:bottom w:val="none" w:sz="0" w:space="0" w:color="auto"/>
        <w:right w:val="none" w:sz="0" w:space="0" w:color="auto"/>
      </w:divBdr>
      <w:divsChild>
        <w:div w:id="2133287180">
          <w:marLeft w:val="480"/>
          <w:marRight w:val="0"/>
          <w:marTop w:val="0"/>
          <w:marBottom w:val="0"/>
          <w:divBdr>
            <w:top w:val="none" w:sz="0" w:space="0" w:color="auto"/>
            <w:left w:val="none" w:sz="0" w:space="0" w:color="auto"/>
            <w:bottom w:val="none" w:sz="0" w:space="0" w:color="auto"/>
            <w:right w:val="none" w:sz="0" w:space="0" w:color="auto"/>
          </w:divBdr>
        </w:div>
        <w:div w:id="1775904199">
          <w:marLeft w:val="480"/>
          <w:marRight w:val="0"/>
          <w:marTop w:val="0"/>
          <w:marBottom w:val="0"/>
          <w:divBdr>
            <w:top w:val="none" w:sz="0" w:space="0" w:color="auto"/>
            <w:left w:val="none" w:sz="0" w:space="0" w:color="auto"/>
            <w:bottom w:val="none" w:sz="0" w:space="0" w:color="auto"/>
            <w:right w:val="none" w:sz="0" w:space="0" w:color="auto"/>
          </w:divBdr>
        </w:div>
        <w:div w:id="1125150975">
          <w:marLeft w:val="480"/>
          <w:marRight w:val="0"/>
          <w:marTop w:val="0"/>
          <w:marBottom w:val="0"/>
          <w:divBdr>
            <w:top w:val="none" w:sz="0" w:space="0" w:color="auto"/>
            <w:left w:val="none" w:sz="0" w:space="0" w:color="auto"/>
            <w:bottom w:val="none" w:sz="0" w:space="0" w:color="auto"/>
            <w:right w:val="none" w:sz="0" w:space="0" w:color="auto"/>
          </w:divBdr>
        </w:div>
        <w:div w:id="2041516443">
          <w:marLeft w:val="480"/>
          <w:marRight w:val="0"/>
          <w:marTop w:val="0"/>
          <w:marBottom w:val="0"/>
          <w:divBdr>
            <w:top w:val="none" w:sz="0" w:space="0" w:color="auto"/>
            <w:left w:val="none" w:sz="0" w:space="0" w:color="auto"/>
            <w:bottom w:val="none" w:sz="0" w:space="0" w:color="auto"/>
            <w:right w:val="none" w:sz="0" w:space="0" w:color="auto"/>
          </w:divBdr>
        </w:div>
        <w:div w:id="1689133699">
          <w:marLeft w:val="480"/>
          <w:marRight w:val="0"/>
          <w:marTop w:val="0"/>
          <w:marBottom w:val="0"/>
          <w:divBdr>
            <w:top w:val="none" w:sz="0" w:space="0" w:color="auto"/>
            <w:left w:val="none" w:sz="0" w:space="0" w:color="auto"/>
            <w:bottom w:val="none" w:sz="0" w:space="0" w:color="auto"/>
            <w:right w:val="none" w:sz="0" w:space="0" w:color="auto"/>
          </w:divBdr>
        </w:div>
        <w:div w:id="1704361918">
          <w:marLeft w:val="480"/>
          <w:marRight w:val="0"/>
          <w:marTop w:val="0"/>
          <w:marBottom w:val="0"/>
          <w:divBdr>
            <w:top w:val="none" w:sz="0" w:space="0" w:color="auto"/>
            <w:left w:val="none" w:sz="0" w:space="0" w:color="auto"/>
            <w:bottom w:val="none" w:sz="0" w:space="0" w:color="auto"/>
            <w:right w:val="none" w:sz="0" w:space="0" w:color="auto"/>
          </w:divBdr>
        </w:div>
        <w:div w:id="2061515381">
          <w:marLeft w:val="480"/>
          <w:marRight w:val="0"/>
          <w:marTop w:val="0"/>
          <w:marBottom w:val="0"/>
          <w:divBdr>
            <w:top w:val="none" w:sz="0" w:space="0" w:color="auto"/>
            <w:left w:val="none" w:sz="0" w:space="0" w:color="auto"/>
            <w:bottom w:val="none" w:sz="0" w:space="0" w:color="auto"/>
            <w:right w:val="none" w:sz="0" w:space="0" w:color="auto"/>
          </w:divBdr>
        </w:div>
        <w:div w:id="43302139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04399183577539E-2"/>
          <c:y val="6.9708491761723695E-2"/>
          <c:w val="0.87268966112711399"/>
          <c:h val="0.75428330489107109"/>
        </c:manualLayout>
      </c:layout>
      <c:lineChart>
        <c:grouping val="standard"/>
        <c:varyColors val="0"/>
        <c:ser>
          <c:idx val="0"/>
          <c:order val="0"/>
          <c:tx>
            <c:strRef>
              <c:f>'[tesi dati.xlsx]Colorimetri T'!$AT$3</c:f>
              <c:strCache>
                <c:ptCount val="1"/>
                <c:pt idx="0">
                  <c:v>ΔE* trattato</c:v>
                </c:pt>
              </c:strCache>
            </c:strRef>
          </c:tx>
          <c:spPr>
            <a:ln w="12700"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errBars>
            <c:errDir val="y"/>
            <c:errBarType val="both"/>
            <c:errValType val="cust"/>
            <c:noEndCap val="0"/>
            <c:plus>
              <c:numRef>
                <c:f>'[tesi dati.xlsx]Colorimetri T'!$AW$4:$AW$12</c:f>
                <c:numCache>
                  <c:formatCode>General</c:formatCode>
                  <c:ptCount val="9"/>
                  <c:pt idx="0">
                    <c:v>0.66025460027231986</c:v>
                  </c:pt>
                  <c:pt idx="1">
                    <c:v>2.2172127375847093</c:v>
                  </c:pt>
                  <c:pt idx="2">
                    <c:v>2.4818165168035402</c:v>
                  </c:pt>
                  <c:pt idx="3">
                    <c:v>1.8881797557772582</c:v>
                  </c:pt>
                  <c:pt idx="4">
                    <c:v>2.2636722449659135</c:v>
                  </c:pt>
                  <c:pt idx="5">
                    <c:v>2.6572034871678896</c:v>
                  </c:pt>
                  <c:pt idx="6">
                    <c:v>2.2136393903916218</c:v>
                  </c:pt>
                  <c:pt idx="7">
                    <c:v>2.813466877327492</c:v>
                  </c:pt>
                  <c:pt idx="8">
                    <c:v>3.6384735603986536</c:v>
                  </c:pt>
                </c:numCache>
              </c:numRef>
            </c:plus>
            <c:minus>
              <c:numRef>
                <c:f>'[tesi dati.xlsx]Colorimetri T'!$AW$4:$AW$12</c:f>
                <c:numCache>
                  <c:formatCode>General</c:formatCode>
                  <c:ptCount val="9"/>
                  <c:pt idx="0">
                    <c:v>0.66025460027231986</c:v>
                  </c:pt>
                  <c:pt idx="1">
                    <c:v>2.2172127375847093</c:v>
                  </c:pt>
                  <c:pt idx="2">
                    <c:v>2.4818165168035402</c:v>
                  </c:pt>
                  <c:pt idx="3">
                    <c:v>1.8881797557772582</c:v>
                  </c:pt>
                  <c:pt idx="4">
                    <c:v>2.2636722449659135</c:v>
                  </c:pt>
                  <c:pt idx="5">
                    <c:v>2.6572034871678896</c:v>
                  </c:pt>
                  <c:pt idx="6">
                    <c:v>2.2136393903916218</c:v>
                  </c:pt>
                  <c:pt idx="7">
                    <c:v>2.813466877327492</c:v>
                  </c:pt>
                  <c:pt idx="8">
                    <c:v>3.6384735603986536</c:v>
                  </c:pt>
                </c:numCache>
              </c:numRef>
            </c:minus>
            <c:spPr>
              <a:noFill/>
              <a:ln w="9525" cap="flat" cmpd="sng" algn="ctr">
                <a:solidFill>
                  <a:schemeClr val="tx1">
                    <a:lumMod val="65000"/>
                    <a:lumOff val="35000"/>
                  </a:schemeClr>
                </a:solidFill>
                <a:round/>
              </a:ln>
              <a:effectLst/>
            </c:spPr>
          </c:errBars>
          <c:cat>
            <c:numRef>
              <c:f>'[tesi dati.xlsx]Colorimetri T'!$AS$4:$AS$12</c:f>
              <c:numCache>
                <c:formatCode>General</c:formatCode>
                <c:ptCount val="9"/>
                <c:pt idx="0">
                  <c:v>0</c:v>
                </c:pt>
                <c:pt idx="1">
                  <c:v>2</c:v>
                </c:pt>
                <c:pt idx="2">
                  <c:v>5</c:v>
                </c:pt>
                <c:pt idx="3">
                  <c:v>7</c:v>
                </c:pt>
                <c:pt idx="4">
                  <c:v>9</c:v>
                </c:pt>
                <c:pt idx="5">
                  <c:v>12</c:v>
                </c:pt>
                <c:pt idx="6">
                  <c:v>14</c:v>
                </c:pt>
                <c:pt idx="7">
                  <c:v>16</c:v>
                </c:pt>
                <c:pt idx="8">
                  <c:v>19</c:v>
                </c:pt>
              </c:numCache>
            </c:numRef>
          </c:cat>
          <c:val>
            <c:numRef>
              <c:f>'[tesi dati.xlsx]Colorimetri T'!$AT$4:$AT$12</c:f>
              <c:numCache>
                <c:formatCode>0.00</c:formatCode>
                <c:ptCount val="9"/>
                <c:pt idx="0">
                  <c:v>2.9025746037142865</c:v>
                </c:pt>
                <c:pt idx="1">
                  <c:v>5.398049885292977</c:v>
                </c:pt>
                <c:pt idx="2">
                  <c:v>6.5003091312419672</c:v>
                </c:pt>
                <c:pt idx="3">
                  <c:v>4.546763106002917</c:v>
                </c:pt>
                <c:pt idx="4">
                  <c:v>6.5551510314462256</c:v>
                </c:pt>
                <c:pt idx="5">
                  <c:v>7.6288548144692987</c:v>
                </c:pt>
                <c:pt idx="6">
                  <c:v>6.2264699010766371</c:v>
                </c:pt>
                <c:pt idx="7">
                  <c:v>7.3047689245890917</c:v>
                </c:pt>
                <c:pt idx="8">
                  <c:v>10.814601700867074</c:v>
                </c:pt>
              </c:numCache>
            </c:numRef>
          </c:val>
          <c:smooth val="0"/>
          <c:extLst>
            <c:ext xmlns:c16="http://schemas.microsoft.com/office/drawing/2014/chart" uri="{C3380CC4-5D6E-409C-BE32-E72D297353CC}">
              <c16:uniqueId val="{00000000-F270-4AD5-8149-5865268F159E}"/>
            </c:ext>
          </c:extLst>
        </c:ser>
        <c:ser>
          <c:idx val="1"/>
          <c:order val="1"/>
          <c:tx>
            <c:strRef>
              <c:f>'[tesi dati.xlsx]Colorimetri T'!$AU$3</c:f>
              <c:strCache>
                <c:ptCount val="1"/>
                <c:pt idx="0">
                  <c:v>ΔE* non trattato</c:v>
                </c:pt>
              </c:strCache>
            </c:strRef>
          </c:tx>
          <c:spPr>
            <a:ln w="12700" cap="rnd">
              <a:solidFill>
                <a:sysClr val="windowText" lastClr="000000"/>
              </a:solidFill>
              <a:prstDash val="sysDot"/>
              <a:round/>
            </a:ln>
            <a:effectLst/>
          </c:spPr>
          <c:marker>
            <c:symbol val="circle"/>
            <c:size val="5"/>
            <c:spPr>
              <a:solidFill>
                <a:sysClr val="windowText" lastClr="000000"/>
              </a:solidFill>
              <a:ln w="9525">
                <a:solidFill>
                  <a:sysClr val="windowText" lastClr="000000"/>
                </a:solidFill>
              </a:ln>
              <a:effectLst/>
            </c:spPr>
          </c:marker>
          <c:errBars>
            <c:errDir val="y"/>
            <c:errBarType val="both"/>
            <c:errValType val="cust"/>
            <c:noEndCap val="0"/>
            <c:plus>
              <c:numRef>
                <c:f>'[tesi dati.xlsx]Colorimetri T'!$AX$4:$AX$12</c:f>
                <c:numCache>
                  <c:formatCode>General</c:formatCode>
                  <c:ptCount val="9"/>
                  <c:pt idx="0">
                    <c:v>0.66025460027231986</c:v>
                  </c:pt>
                  <c:pt idx="1">
                    <c:v>1.3042265222168961</c:v>
                  </c:pt>
                  <c:pt idx="2">
                    <c:v>1.5840475680509565</c:v>
                  </c:pt>
                  <c:pt idx="3">
                    <c:v>1.3561297855024668</c:v>
                  </c:pt>
                  <c:pt idx="4">
                    <c:v>2.9376073718581979</c:v>
                  </c:pt>
                  <c:pt idx="5">
                    <c:v>1.8583608489948011</c:v>
                  </c:pt>
                  <c:pt idx="6">
                    <c:v>1.51644971937349</c:v>
                  </c:pt>
                  <c:pt idx="7">
                    <c:v>2.3667600519389143</c:v>
                  </c:pt>
                  <c:pt idx="8">
                    <c:v>3.686279181263564</c:v>
                  </c:pt>
                </c:numCache>
              </c:numRef>
            </c:plus>
            <c:minus>
              <c:numRef>
                <c:f>'[tesi dati.xlsx]Colorimetri T'!$AX$4:$AX$12</c:f>
                <c:numCache>
                  <c:formatCode>General</c:formatCode>
                  <c:ptCount val="9"/>
                  <c:pt idx="0">
                    <c:v>0.66025460027231986</c:v>
                  </c:pt>
                  <c:pt idx="1">
                    <c:v>1.3042265222168961</c:v>
                  </c:pt>
                  <c:pt idx="2">
                    <c:v>1.5840475680509565</c:v>
                  </c:pt>
                  <c:pt idx="3">
                    <c:v>1.3561297855024668</c:v>
                  </c:pt>
                  <c:pt idx="4">
                    <c:v>2.9376073718581979</c:v>
                  </c:pt>
                  <c:pt idx="5">
                    <c:v>1.8583608489948011</c:v>
                  </c:pt>
                  <c:pt idx="6">
                    <c:v>1.51644971937349</c:v>
                  </c:pt>
                  <c:pt idx="7">
                    <c:v>2.3667600519389143</c:v>
                  </c:pt>
                  <c:pt idx="8">
                    <c:v>3.686279181263564</c:v>
                  </c:pt>
                </c:numCache>
              </c:numRef>
            </c:minus>
            <c:spPr>
              <a:noFill/>
              <a:ln w="9525" cap="flat" cmpd="sng" algn="ctr">
                <a:solidFill>
                  <a:schemeClr val="tx1">
                    <a:lumMod val="65000"/>
                    <a:lumOff val="35000"/>
                  </a:schemeClr>
                </a:solidFill>
                <a:round/>
              </a:ln>
              <a:effectLst/>
            </c:spPr>
          </c:errBars>
          <c:cat>
            <c:numRef>
              <c:f>'[tesi dati.xlsx]Colorimetri T'!$AS$4:$AS$12</c:f>
              <c:numCache>
                <c:formatCode>General</c:formatCode>
                <c:ptCount val="9"/>
                <c:pt idx="0">
                  <c:v>0</c:v>
                </c:pt>
                <c:pt idx="1">
                  <c:v>2</c:v>
                </c:pt>
                <c:pt idx="2">
                  <c:v>5</c:v>
                </c:pt>
                <c:pt idx="3">
                  <c:v>7</c:v>
                </c:pt>
                <c:pt idx="4">
                  <c:v>9</c:v>
                </c:pt>
                <c:pt idx="5">
                  <c:v>12</c:v>
                </c:pt>
                <c:pt idx="6">
                  <c:v>14</c:v>
                </c:pt>
                <c:pt idx="7">
                  <c:v>16</c:v>
                </c:pt>
                <c:pt idx="8">
                  <c:v>19</c:v>
                </c:pt>
              </c:numCache>
            </c:numRef>
          </c:cat>
          <c:val>
            <c:numRef>
              <c:f>'[tesi dati.xlsx]Colorimetri T'!$AU$4:$AU$12</c:f>
              <c:numCache>
                <c:formatCode>0.00</c:formatCode>
                <c:ptCount val="9"/>
                <c:pt idx="0">
                  <c:v>2.9025746037142865</c:v>
                </c:pt>
                <c:pt idx="1">
                  <c:v>5.1710148774287106</c:v>
                </c:pt>
                <c:pt idx="2">
                  <c:v>6.2884817229352397</c:v>
                </c:pt>
                <c:pt idx="3">
                  <c:v>4.4814866627086269</c:v>
                </c:pt>
                <c:pt idx="4">
                  <c:v>6.1287970401162122</c:v>
                </c:pt>
                <c:pt idx="5">
                  <c:v>4.8231406085974964</c:v>
                </c:pt>
                <c:pt idx="6">
                  <c:v>4.9606143248843448</c:v>
                </c:pt>
                <c:pt idx="7">
                  <c:v>7.0768049642557687</c:v>
                </c:pt>
                <c:pt idx="8">
                  <c:v>9.8373199529794935</c:v>
                </c:pt>
              </c:numCache>
            </c:numRef>
          </c:val>
          <c:smooth val="0"/>
          <c:extLst>
            <c:ext xmlns:c16="http://schemas.microsoft.com/office/drawing/2014/chart" uri="{C3380CC4-5D6E-409C-BE32-E72D297353CC}">
              <c16:uniqueId val="{00000001-F270-4AD5-8149-5865268F159E}"/>
            </c:ext>
          </c:extLst>
        </c:ser>
        <c:dLbls>
          <c:showLegendKey val="0"/>
          <c:showVal val="0"/>
          <c:showCatName val="0"/>
          <c:showSerName val="0"/>
          <c:showPercent val="0"/>
          <c:showBubbleSize val="0"/>
        </c:dLbls>
        <c:marker val="1"/>
        <c:smooth val="0"/>
        <c:axId val="2004935216"/>
        <c:axId val="220371840"/>
      </c:lineChart>
      <c:catAx>
        <c:axId val="20049352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sz="900"/>
                  <a:t>Time (days)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20371840"/>
        <c:crosses val="autoZero"/>
        <c:auto val="1"/>
        <c:lblAlgn val="ctr"/>
        <c:lblOffset val="100"/>
        <c:noMultiLvlLbl val="0"/>
      </c:catAx>
      <c:valAx>
        <c:axId val="2203718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l-GR" sz="900"/>
                  <a:t>Δ</a:t>
                </a:r>
                <a:r>
                  <a:rPr lang="it-IT" sz="900"/>
                  <a:t>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04935216"/>
        <c:crosses val="autoZero"/>
        <c:crossBetween val="between"/>
      </c:valAx>
      <c:spPr>
        <a:noFill/>
        <a:ln>
          <a:noFill/>
        </a:ln>
        <a:effectLst/>
      </c:spPr>
    </c:plotArea>
    <c:legend>
      <c:legendPos val="b"/>
      <c:layout>
        <c:manualLayout>
          <c:xMode val="edge"/>
          <c:yMode val="edge"/>
          <c:x val="0.18629278483046763"/>
          <c:y val="8.3223556180952618E-2"/>
          <c:w val="0.51775838787742146"/>
          <c:h val="9.92859495224693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it-IT"/>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22527694653132E-2"/>
          <c:y val="0.11981332985713143"/>
          <c:w val="0.89813827758709652"/>
          <c:h val="0.69729113288422506"/>
        </c:manualLayout>
      </c:layout>
      <c:lineChart>
        <c:grouping val="standard"/>
        <c:varyColors val="0"/>
        <c:ser>
          <c:idx val="0"/>
          <c:order val="0"/>
          <c:tx>
            <c:strRef>
              <c:f>'[tesi dati.xlsx]dataset'!$B$44</c:f>
              <c:strCache>
                <c:ptCount val="1"/>
                <c:pt idx="0">
                  <c:v>TRATTATO </c:v>
                </c:pt>
              </c:strCache>
            </c:strRef>
          </c:tx>
          <c:spPr>
            <a:ln w="12700" cap="rnd" cmpd="sng">
              <a:solidFill>
                <a:schemeClr val="tx1"/>
              </a:solidFill>
              <a:prstDash val="solid"/>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[1]dataset!$F$3:$F$11</c:f>
              <c:numCache>
                <c:formatCode>General</c:formatCode>
                <c:ptCount val="9"/>
                <c:pt idx="0">
                  <c:v>0</c:v>
                </c:pt>
                <c:pt idx="1">
                  <c:v>2</c:v>
                </c:pt>
                <c:pt idx="2">
                  <c:v>5</c:v>
                </c:pt>
                <c:pt idx="3">
                  <c:v>7</c:v>
                </c:pt>
                <c:pt idx="4">
                  <c:v>9</c:v>
                </c:pt>
                <c:pt idx="5">
                  <c:v>12</c:v>
                </c:pt>
                <c:pt idx="6">
                  <c:v>14</c:v>
                </c:pt>
                <c:pt idx="7">
                  <c:v>16</c:v>
                </c:pt>
                <c:pt idx="8">
                  <c:v>19</c:v>
                </c:pt>
              </c:numCache>
            </c:numRef>
          </c:cat>
          <c:val>
            <c:numRef>
              <c:f>[1]dataset!$D$46:$D$54</c:f>
              <c:numCache>
                <c:formatCode>0.00</c:formatCode>
                <c:ptCount val="9"/>
                <c:pt idx="0">
                  <c:v>5.89</c:v>
                </c:pt>
                <c:pt idx="1">
                  <c:v>3.5088888888888885</c:v>
                </c:pt>
                <c:pt idx="2">
                  <c:v>3.4677777777777781</c:v>
                </c:pt>
                <c:pt idx="3">
                  <c:v>4.0966666666666676</c:v>
                </c:pt>
                <c:pt idx="4">
                  <c:v>2.8633333333333333</c:v>
                </c:pt>
                <c:pt idx="5">
                  <c:v>1.2322222222222221</c:v>
                </c:pt>
                <c:pt idx="6">
                  <c:v>3.367777777777778</c:v>
                </c:pt>
                <c:pt idx="7">
                  <c:v>1.7633333333333332</c:v>
                </c:pt>
                <c:pt idx="8">
                  <c:v>0.81888888888888889</c:v>
                </c:pt>
              </c:numCache>
            </c:numRef>
          </c:val>
          <c:smooth val="0"/>
          <c:extLst>
            <c:ext xmlns:c16="http://schemas.microsoft.com/office/drawing/2014/chart" uri="{C3380CC4-5D6E-409C-BE32-E72D297353CC}">
              <c16:uniqueId val="{00000000-8F2A-4F9D-9309-2685FD95D850}"/>
            </c:ext>
          </c:extLst>
        </c:ser>
        <c:ser>
          <c:idx val="1"/>
          <c:order val="1"/>
          <c:tx>
            <c:strRef>
              <c:f>'[tesi dati.xlsx]dataset'!$I$44</c:f>
              <c:strCache>
                <c:ptCount val="1"/>
                <c:pt idx="0">
                  <c:v>NON TRATTATO </c:v>
                </c:pt>
              </c:strCache>
            </c:strRef>
          </c:tx>
          <c:spPr>
            <a:ln w="12700" cap="rnd">
              <a:solidFill>
                <a:schemeClr val="tx1"/>
              </a:solidFill>
              <a:prstDash val="sysDot"/>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[1]dataset!$F$3:$F$11</c:f>
              <c:numCache>
                <c:formatCode>General</c:formatCode>
                <c:ptCount val="9"/>
                <c:pt idx="0">
                  <c:v>0</c:v>
                </c:pt>
                <c:pt idx="1">
                  <c:v>2</c:v>
                </c:pt>
                <c:pt idx="2">
                  <c:v>5</c:v>
                </c:pt>
                <c:pt idx="3">
                  <c:v>7</c:v>
                </c:pt>
                <c:pt idx="4">
                  <c:v>9</c:v>
                </c:pt>
                <c:pt idx="5">
                  <c:v>12</c:v>
                </c:pt>
                <c:pt idx="6">
                  <c:v>14</c:v>
                </c:pt>
                <c:pt idx="7">
                  <c:v>16</c:v>
                </c:pt>
                <c:pt idx="8">
                  <c:v>19</c:v>
                </c:pt>
              </c:numCache>
            </c:numRef>
          </c:cat>
          <c:val>
            <c:numRef>
              <c:f>[1]dataset!$L$46:$L$54</c:f>
              <c:numCache>
                <c:formatCode>0.00</c:formatCode>
                <c:ptCount val="9"/>
                <c:pt idx="0">
                  <c:v>5.89</c:v>
                </c:pt>
                <c:pt idx="1">
                  <c:v>4.0055555555555555</c:v>
                </c:pt>
                <c:pt idx="2">
                  <c:v>3.3544444444444448</c:v>
                </c:pt>
                <c:pt idx="3">
                  <c:v>4.1655555555555548</c:v>
                </c:pt>
                <c:pt idx="4">
                  <c:v>3.177777777777778</c:v>
                </c:pt>
                <c:pt idx="5">
                  <c:v>2.0677777777777777</c:v>
                </c:pt>
                <c:pt idx="6">
                  <c:v>3.3733333333333331</c:v>
                </c:pt>
                <c:pt idx="7">
                  <c:v>2.3188888888888894</c:v>
                </c:pt>
                <c:pt idx="8">
                  <c:v>1.2166666666666668</c:v>
                </c:pt>
              </c:numCache>
            </c:numRef>
          </c:val>
          <c:smooth val="0"/>
          <c:extLst>
            <c:ext xmlns:c16="http://schemas.microsoft.com/office/drawing/2014/chart" uri="{C3380CC4-5D6E-409C-BE32-E72D297353CC}">
              <c16:uniqueId val="{00000001-8F2A-4F9D-9309-2685FD95D850}"/>
            </c:ext>
          </c:extLst>
        </c:ser>
        <c:dLbls>
          <c:showLegendKey val="0"/>
          <c:showVal val="0"/>
          <c:showCatName val="0"/>
          <c:showSerName val="0"/>
          <c:showPercent val="0"/>
          <c:showBubbleSize val="0"/>
        </c:dLbls>
        <c:smooth val="0"/>
        <c:axId val="1190670735"/>
        <c:axId val="1184246895"/>
      </c:lineChart>
      <c:catAx>
        <c:axId val="119067073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a:t>Time (days)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low"/>
        <c:spPr>
          <a:noFill/>
          <a:ln w="6350" cap="flat" cmpd="sng" algn="ctr">
            <a:solidFill>
              <a:schemeClr val="tx1">
                <a:lumMod val="25000"/>
                <a:lumOff val="75000"/>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84246895"/>
        <c:crosses val="autoZero"/>
        <c:auto val="1"/>
        <c:lblAlgn val="ctr"/>
        <c:lblOffset val="100"/>
        <c:noMultiLvlLbl val="1"/>
      </c:catAx>
      <c:valAx>
        <c:axId val="1184246895"/>
        <c:scaling>
          <c:orientation val="minMax"/>
          <c:max val="8"/>
          <c:min val="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a:t>Average compressive force (N)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90670735"/>
        <c:crosses val="autoZero"/>
        <c:crossBetween val="between"/>
        <c:majorUnit val="1"/>
        <c:minorUnit val="0.1"/>
      </c:valAx>
      <c:spPr>
        <a:noFill/>
        <a:ln>
          <a:noFill/>
        </a:ln>
        <a:effectLst/>
      </c:spPr>
    </c:plotArea>
    <c:legend>
      <c:legendPos val="r"/>
      <c:layout>
        <c:manualLayout>
          <c:xMode val="edge"/>
          <c:yMode val="edge"/>
          <c:x val="0.28847522264845094"/>
          <c:y val="0.12546447845704678"/>
          <c:w val="0.38831684694754354"/>
          <c:h val="0.17603733522073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it-I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63360019328127"/>
          <c:y val="9.4988265742548192E-2"/>
          <c:w val="0.80769089271790806"/>
          <c:h val="0.64839193150995411"/>
        </c:manualLayout>
      </c:layout>
      <c:lineChart>
        <c:grouping val="standard"/>
        <c:varyColors val="0"/>
        <c:ser>
          <c:idx val="0"/>
          <c:order val="0"/>
          <c:tx>
            <c:strRef>
              <c:f>'[tesi dati.xlsx]dataset'!$B$1</c:f>
              <c:strCache>
                <c:ptCount val="1"/>
                <c:pt idx="0">
                  <c:v>TRATTATO</c:v>
                </c:pt>
              </c:strCache>
            </c:strRef>
          </c:tx>
          <c:spPr>
            <a:ln w="19050" cap="rnd">
              <a:solidFill>
                <a:sysClr val="windowText" lastClr="000000"/>
              </a:solidFill>
              <a:round/>
            </a:ln>
            <a:effectLst/>
          </c:spPr>
          <c:marker>
            <c:symbol val="none"/>
          </c:marker>
          <c:errBars>
            <c:errDir val="y"/>
            <c:errBarType val="both"/>
            <c:errValType val="cust"/>
            <c:noEndCap val="0"/>
            <c:plus>
              <c:numRef>
                <c:f>'[tesi dati.xlsx]dataset'!$C$3:$C$11</c:f>
                <c:numCache>
                  <c:formatCode>General</c:formatCode>
                  <c:ptCount val="9"/>
                  <c:pt idx="0">
                    <c:v>0</c:v>
                  </c:pt>
                  <c:pt idx="1">
                    <c:v>0.13999372358738604</c:v>
                  </c:pt>
                  <c:pt idx="2">
                    <c:v>0.70132436397543541</c:v>
                  </c:pt>
                  <c:pt idx="3">
                    <c:v>0.43756787361026678</c:v>
                  </c:pt>
                  <c:pt idx="4">
                    <c:v>0.79002309967730422</c:v>
                  </c:pt>
                  <c:pt idx="5">
                    <c:v>1.0819487322250469</c:v>
                  </c:pt>
                  <c:pt idx="6">
                    <c:v>3.3750043519013837</c:v>
                  </c:pt>
                  <c:pt idx="7">
                    <c:v>1.2449890367670033</c:v>
                  </c:pt>
                  <c:pt idx="8">
                    <c:v>4.6919222021592732</c:v>
                  </c:pt>
                </c:numCache>
              </c:numRef>
            </c:plus>
            <c:minus>
              <c:numRef>
                <c:f>'[tesi dati.xlsx]dataset'!$C$3:$C$11</c:f>
                <c:numCache>
                  <c:formatCode>General</c:formatCode>
                  <c:ptCount val="9"/>
                  <c:pt idx="0">
                    <c:v>0</c:v>
                  </c:pt>
                  <c:pt idx="1">
                    <c:v>0.13999372358738604</c:v>
                  </c:pt>
                  <c:pt idx="2">
                    <c:v>0.70132436397543541</c:v>
                  </c:pt>
                  <c:pt idx="3">
                    <c:v>0.43756787361026678</c:v>
                  </c:pt>
                  <c:pt idx="4">
                    <c:v>0.79002309967730422</c:v>
                  </c:pt>
                  <c:pt idx="5">
                    <c:v>1.0819487322250469</c:v>
                  </c:pt>
                  <c:pt idx="6">
                    <c:v>3.3750043519013837</c:v>
                  </c:pt>
                  <c:pt idx="7">
                    <c:v>1.2449890367670033</c:v>
                  </c:pt>
                  <c:pt idx="8">
                    <c:v>4.6919222021592732</c:v>
                  </c:pt>
                </c:numCache>
              </c:numRef>
            </c:minus>
            <c:spPr>
              <a:noFill/>
              <a:ln w="9525" cap="flat" cmpd="sng" algn="ctr">
                <a:solidFill>
                  <a:schemeClr val="tx1">
                    <a:lumMod val="65000"/>
                    <a:lumOff val="35000"/>
                  </a:schemeClr>
                </a:solidFill>
                <a:round/>
              </a:ln>
              <a:effectLst/>
            </c:spPr>
          </c:errBars>
          <c:cat>
            <c:numRef>
              <c:f>'[tesi dati.xlsx]dataset'!$F$3:$F$11</c:f>
              <c:numCache>
                <c:formatCode>General</c:formatCode>
                <c:ptCount val="9"/>
                <c:pt idx="0">
                  <c:v>0</c:v>
                </c:pt>
                <c:pt idx="1">
                  <c:v>2</c:v>
                </c:pt>
                <c:pt idx="2">
                  <c:v>5</c:v>
                </c:pt>
                <c:pt idx="3">
                  <c:v>7</c:v>
                </c:pt>
                <c:pt idx="4">
                  <c:v>9</c:v>
                </c:pt>
                <c:pt idx="5">
                  <c:v>12</c:v>
                </c:pt>
                <c:pt idx="6">
                  <c:v>14</c:v>
                </c:pt>
                <c:pt idx="7">
                  <c:v>16</c:v>
                </c:pt>
                <c:pt idx="8">
                  <c:v>19</c:v>
                </c:pt>
              </c:numCache>
            </c:numRef>
          </c:cat>
          <c:val>
            <c:numRef>
              <c:f>'[tesi dati.xlsx]dataset'!$B$3:$B$11</c:f>
              <c:numCache>
                <c:formatCode>0.00</c:formatCode>
                <c:ptCount val="9"/>
                <c:pt idx="0">
                  <c:v>0</c:v>
                </c:pt>
                <c:pt idx="1">
                  <c:v>2.7544498044093735</c:v>
                </c:pt>
                <c:pt idx="2">
                  <c:v>5.566321685921686</c:v>
                </c:pt>
                <c:pt idx="3">
                  <c:v>8.461487649092394</c:v>
                </c:pt>
                <c:pt idx="4">
                  <c:v>10.253201683995103</c:v>
                </c:pt>
                <c:pt idx="5">
                  <c:v>14.457238168207967</c:v>
                </c:pt>
                <c:pt idx="6">
                  <c:v>16.517167300425037</c:v>
                </c:pt>
                <c:pt idx="7">
                  <c:v>17.970822053258477</c:v>
                </c:pt>
                <c:pt idx="8">
                  <c:v>29.106033883695432</c:v>
                </c:pt>
              </c:numCache>
            </c:numRef>
          </c:val>
          <c:smooth val="0"/>
          <c:extLst>
            <c:ext xmlns:c16="http://schemas.microsoft.com/office/drawing/2014/chart" uri="{C3380CC4-5D6E-409C-BE32-E72D297353CC}">
              <c16:uniqueId val="{00000000-DC34-4AF3-9DE5-E8D8DD3AA3BF}"/>
            </c:ext>
          </c:extLst>
        </c:ser>
        <c:ser>
          <c:idx val="1"/>
          <c:order val="1"/>
          <c:tx>
            <c:strRef>
              <c:f>'[tesi dati.xlsx]dataset'!$F$1</c:f>
              <c:strCache>
                <c:ptCount val="1"/>
                <c:pt idx="0">
                  <c:v>NON TRATTATO</c:v>
                </c:pt>
              </c:strCache>
            </c:strRef>
          </c:tx>
          <c:spPr>
            <a:ln w="19050" cap="rnd">
              <a:solidFill>
                <a:sysClr val="windowText" lastClr="000000"/>
              </a:solidFill>
              <a:prstDash val="sysDot"/>
              <a:round/>
            </a:ln>
            <a:effectLst/>
          </c:spPr>
          <c:marker>
            <c:symbol val="none"/>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'[tesi dati.xlsx]dataset'!$F$3:$F$11</c:f>
              <c:numCache>
                <c:formatCode>General</c:formatCode>
                <c:ptCount val="9"/>
                <c:pt idx="0">
                  <c:v>0</c:v>
                </c:pt>
                <c:pt idx="1">
                  <c:v>2</c:v>
                </c:pt>
                <c:pt idx="2">
                  <c:v>5</c:v>
                </c:pt>
                <c:pt idx="3">
                  <c:v>7</c:v>
                </c:pt>
                <c:pt idx="4">
                  <c:v>9</c:v>
                </c:pt>
                <c:pt idx="5">
                  <c:v>12</c:v>
                </c:pt>
                <c:pt idx="6">
                  <c:v>14</c:v>
                </c:pt>
                <c:pt idx="7">
                  <c:v>16</c:v>
                </c:pt>
                <c:pt idx="8">
                  <c:v>19</c:v>
                </c:pt>
              </c:numCache>
            </c:numRef>
          </c:cat>
          <c:val>
            <c:numRef>
              <c:f>'[tesi dati.xlsx]dataset'!$G$3:$G$11</c:f>
              <c:numCache>
                <c:formatCode>0.00</c:formatCode>
                <c:ptCount val="9"/>
                <c:pt idx="0">
                  <c:v>0</c:v>
                </c:pt>
                <c:pt idx="1">
                  <c:v>2.8613258080438038</c:v>
                </c:pt>
                <c:pt idx="2">
                  <c:v>5.7212847485269132</c:v>
                </c:pt>
                <c:pt idx="3">
                  <c:v>7.480053215398681</c:v>
                </c:pt>
                <c:pt idx="4">
                  <c:v>9.2999754641690426</c:v>
                </c:pt>
                <c:pt idx="5">
                  <c:v>11.323363109624109</c:v>
                </c:pt>
                <c:pt idx="6">
                  <c:v>15.887744634200494</c:v>
                </c:pt>
                <c:pt idx="7">
                  <c:v>21.198816877916396</c:v>
                </c:pt>
                <c:pt idx="8">
                  <c:v>25.533543311242084</c:v>
                </c:pt>
              </c:numCache>
            </c:numRef>
          </c:val>
          <c:smooth val="0"/>
          <c:extLst>
            <c:ext xmlns:c16="http://schemas.microsoft.com/office/drawing/2014/chart" uri="{C3380CC4-5D6E-409C-BE32-E72D297353CC}">
              <c16:uniqueId val="{00000001-DC34-4AF3-9DE5-E8D8DD3AA3BF}"/>
            </c:ext>
          </c:extLst>
        </c:ser>
        <c:dLbls>
          <c:showLegendKey val="0"/>
          <c:showVal val="0"/>
          <c:showCatName val="0"/>
          <c:showSerName val="0"/>
          <c:showPercent val="0"/>
          <c:showBubbleSize val="0"/>
        </c:dLbls>
        <c:smooth val="0"/>
        <c:axId val="1190670735"/>
        <c:axId val="1184246895"/>
      </c:lineChart>
      <c:catAx>
        <c:axId val="1190670735"/>
        <c:scaling>
          <c:orientation val="minMax"/>
        </c:scaling>
        <c:delete val="0"/>
        <c:axPos val="b"/>
        <c:title>
          <c:tx>
            <c:rich>
              <a:bodyPr rot="0" spcFirstLastPara="1" vertOverflow="ellipsis" vert="horz" wrap="square" anchor="ctr" anchorCtr="1"/>
              <a:lstStyle/>
              <a:p>
                <a:pPr algn="ctr" rtl="0">
                  <a:defRPr sz="900" b="0" i="0" u="none" strike="noStrike" kern="1200" baseline="0">
                    <a:solidFill>
                      <a:schemeClr val="tx1">
                        <a:lumMod val="65000"/>
                        <a:lumOff val="35000"/>
                      </a:schemeClr>
                    </a:solidFill>
                    <a:latin typeface="+mn-lt"/>
                    <a:ea typeface="+mn-ea"/>
                    <a:cs typeface="+mn-cs"/>
                  </a:defRPr>
                </a:pPr>
                <a:r>
                  <a:rPr lang="it-IT"/>
                  <a:t>Time (days)</a:t>
                </a:r>
              </a:p>
            </c:rich>
          </c:tx>
          <c:overlay val="0"/>
          <c:spPr>
            <a:noFill/>
            <a:ln>
              <a:noFill/>
            </a:ln>
            <a:effectLst/>
          </c:spPr>
          <c:txPr>
            <a:bodyPr rot="0" spcFirstLastPara="1" vertOverflow="ellipsis" vert="horz" wrap="square" anchor="ctr" anchorCtr="1"/>
            <a:lstStyle/>
            <a:p>
              <a:pPr algn="ctr" rtl="0">
                <a:defRPr sz="9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84246895"/>
        <c:crosses val="autoZero"/>
        <c:auto val="1"/>
        <c:lblAlgn val="ctr"/>
        <c:lblOffset val="100"/>
        <c:noMultiLvlLbl val="1"/>
      </c:catAx>
      <c:valAx>
        <c:axId val="1184246895"/>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Weight loss  </a:t>
                </a:r>
                <a:r>
                  <a:rPr lang="it-IT"/>
                  <a:t>%</a:t>
                </a:r>
              </a:p>
              <a:p>
                <a:pPr>
                  <a:defRPr/>
                </a:pPr>
                <a:endParaRPr lang="it-IT"/>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90670735"/>
        <c:crosses val="autoZero"/>
        <c:crossBetween val="between"/>
      </c:valAx>
      <c:spPr>
        <a:noFill/>
        <a:ln>
          <a:noFill/>
        </a:ln>
        <a:effectLst/>
      </c:spPr>
    </c:plotArea>
    <c:legend>
      <c:legendPos val="r"/>
      <c:layout>
        <c:manualLayout>
          <c:xMode val="edge"/>
          <c:yMode val="edge"/>
          <c:x val="0.22563079732149088"/>
          <c:y val="8.2385453907398043E-2"/>
          <c:w val="0.38652384717600674"/>
          <c:h val="0.3465202991687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it-IT"/>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0.33083</cdr:x>
      <cdr:y>0.06252</cdr:y>
    </cdr:from>
    <cdr:to>
      <cdr:x>0.49521</cdr:x>
      <cdr:y>0.21979</cdr:y>
    </cdr:to>
    <cdr:sp macro="" textlink="">
      <cdr:nvSpPr>
        <cdr:cNvPr id="2" name="Casella di testo 1"/>
        <cdr:cNvSpPr txBox="1"/>
      </cdr:nvSpPr>
      <cdr:spPr>
        <a:xfrm xmlns:a="http://schemas.openxmlformats.org/drawingml/2006/main">
          <a:off x="1349318" y="144618"/>
          <a:ext cx="670441" cy="36381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it-IT" sz="900" kern="1200"/>
            <a:t>coated</a:t>
          </a:r>
          <a:r>
            <a:rPr lang="it-IT" sz="900" kern="1200" baseline="0"/>
            <a:t> </a:t>
          </a:r>
          <a:endParaRPr lang="it-IT" sz="900" kern="1200"/>
        </a:p>
      </cdr:txBody>
    </cdr:sp>
  </cdr:relSizeAnchor>
  <cdr:relSizeAnchor xmlns:cdr="http://schemas.openxmlformats.org/drawingml/2006/chartDrawing">
    <cdr:from>
      <cdr:x>0.55756</cdr:x>
      <cdr:y>0.07687</cdr:y>
    </cdr:from>
    <cdr:to>
      <cdr:x>0.72273</cdr:x>
      <cdr:y>0.23414</cdr:y>
    </cdr:to>
    <cdr:sp macro="" textlink="">
      <cdr:nvSpPr>
        <cdr:cNvPr id="3" name="Casella di testo 1"/>
        <cdr:cNvSpPr txBox="1"/>
      </cdr:nvSpPr>
      <cdr:spPr>
        <a:xfrm xmlns:a="http://schemas.openxmlformats.org/drawingml/2006/main">
          <a:off x="2274067" y="177828"/>
          <a:ext cx="673663" cy="363813"/>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uncoated</a:t>
          </a:r>
          <a:r>
            <a:rPr lang="it-IT" sz="900" kern="1200" baseline="0"/>
            <a:t> </a:t>
          </a:r>
          <a:endParaRPr lang="it-IT" sz="900" kern="1200"/>
        </a:p>
      </cdr:txBody>
    </cdr:sp>
  </cdr:relSizeAnchor>
  <cdr:relSizeAnchor xmlns:cdr="http://schemas.openxmlformats.org/drawingml/2006/chartDrawing">
    <cdr:from>
      <cdr:x>0.11566</cdr:x>
      <cdr:y>0.47362</cdr:y>
    </cdr:from>
    <cdr:to>
      <cdr:x>0.17539</cdr:x>
      <cdr:y>0.58284</cdr:y>
    </cdr:to>
    <cdr:sp macro="" textlink="">
      <cdr:nvSpPr>
        <cdr:cNvPr id="4" name="Casella di testo 1"/>
        <cdr:cNvSpPr txBox="1"/>
      </cdr:nvSpPr>
      <cdr:spPr>
        <a:xfrm xmlns:a="http://schemas.openxmlformats.org/drawingml/2006/main">
          <a:off x="450961" y="814125"/>
          <a:ext cx="232851" cy="18774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a:t>
          </a:r>
          <a:r>
            <a:rPr lang="it-IT" sz="900" kern="1200" baseline="0"/>
            <a:t> </a:t>
          </a:r>
          <a:endParaRPr lang="it-IT" sz="900" kern="1200"/>
        </a:p>
      </cdr:txBody>
    </cdr:sp>
  </cdr:relSizeAnchor>
  <cdr:relSizeAnchor xmlns:cdr="http://schemas.openxmlformats.org/drawingml/2006/chartDrawing">
    <cdr:from>
      <cdr:x>0.19782</cdr:x>
      <cdr:y>0.3644</cdr:y>
    </cdr:from>
    <cdr:to>
      <cdr:x>0.28463</cdr:x>
      <cdr:y>0.45027</cdr:y>
    </cdr:to>
    <cdr:sp macro="" textlink="">
      <cdr:nvSpPr>
        <cdr:cNvPr id="5" name="Casella di testo 1"/>
        <cdr:cNvSpPr txBox="1"/>
      </cdr:nvSpPr>
      <cdr:spPr>
        <a:xfrm xmlns:a="http://schemas.openxmlformats.org/drawingml/2006/main">
          <a:off x="806830" y="842968"/>
          <a:ext cx="354061" cy="198653"/>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a:t>
          </a:r>
          <a:r>
            <a:rPr lang="it-IT" sz="900" kern="1200" baseline="0"/>
            <a:t> </a:t>
          </a:r>
          <a:endParaRPr lang="it-IT" sz="900" kern="1200"/>
        </a:p>
      </cdr:txBody>
    </cdr:sp>
  </cdr:relSizeAnchor>
  <cdr:relSizeAnchor xmlns:cdr="http://schemas.openxmlformats.org/drawingml/2006/chartDrawing">
    <cdr:from>
      <cdr:x>0.29775</cdr:x>
      <cdr:y>0.27831</cdr:y>
    </cdr:from>
    <cdr:to>
      <cdr:x>0.37683</cdr:x>
      <cdr:y>0.38856</cdr:y>
    </cdr:to>
    <cdr:sp macro="" textlink="">
      <cdr:nvSpPr>
        <cdr:cNvPr id="6" name="Casella di testo 1"/>
        <cdr:cNvSpPr txBox="1"/>
      </cdr:nvSpPr>
      <cdr:spPr>
        <a:xfrm xmlns:a="http://schemas.openxmlformats.org/drawingml/2006/main">
          <a:off x="1160890" y="478403"/>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a:t>
          </a:r>
          <a:r>
            <a:rPr lang="it-IT" sz="900" kern="1200" baseline="0"/>
            <a:t> </a:t>
          </a:r>
          <a:endParaRPr lang="it-IT" sz="900" kern="1200"/>
        </a:p>
      </cdr:txBody>
    </cdr:sp>
  </cdr:relSizeAnchor>
  <cdr:relSizeAnchor xmlns:cdr="http://schemas.openxmlformats.org/drawingml/2006/chartDrawing">
    <cdr:from>
      <cdr:x>0.39643</cdr:x>
      <cdr:y>0.38188</cdr:y>
    </cdr:from>
    <cdr:to>
      <cdr:x>0.47551</cdr:x>
      <cdr:y>0.49212</cdr:y>
    </cdr:to>
    <cdr:sp macro="" textlink="">
      <cdr:nvSpPr>
        <cdr:cNvPr id="7" name="Casella di testo 1"/>
        <cdr:cNvSpPr txBox="1"/>
      </cdr:nvSpPr>
      <cdr:spPr>
        <a:xfrm xmlns:a="http://schemas.openxmlformats.org/drawingml/2006/main">
          <a:off x="1545645" y="656424"/>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a:t>
          </a:r>
          <a:r>
            <a:rPr lang="it-IT" sz="900" kern="1200" baseline="0"/>
            <a:t> </a:t>
          </a:r>
          <a:endParaRPr lang="it-IT" sz="900" kern="1200"/>
        </a:p>
      </cdr:txBody>
    </cdr:sp>
  </cdr:relSizeAnchor>
  <cdr:relSizeAnchor xmlns:cdr="http://schemas.openxmlformats.org/drawingml/2006/chartDrawing">
    <cdr:from>
      <cdr:x>0.49432</cdr:x>
      <cdr:y>0.28011</cdr:y>
    </cdr:from>
    <cdr:to>
      <cdr:x>0.5734</cdr:x>
      <cdr:y>0.39036</cdr:y>
    </cdr:to>
    <cdr:sp macro="" textlink="">
      <cdr:nvSpPr>
        <cdr:cNvPr id="8" name="Casella di testo 1"/>
        <cdr:cNvSpPr txBox="1"/>
      </cdr:nvSpPr>
      <cdr:spPr>
        <a:xfrm xmlns:a="http://schemas.openxmlformats.org/drawingml/2006/main">
          <a:off x="1927308" y="481496"/>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a:t>
          </a:r>
          <a:r>
            <a:rPr lang="it-IT" sz="900" kern="1200" baseline="0"/>
            <a:t> </a:t>
          </a:r>
          <a:endParaRPr lang="it-IT" sz="900" kern="1200"/>
        </a:p>
      </cdr:txBody>
    </cdr:sp>
  </cdr:relSizeAnchor>
  <cdr:relSizeAnchor xmlns:cdr="http://schemas.openxmlformats.org/drawingml/2006/chartDrawing">
    <cdr:from>
      <cdr:x>0.59425</cdr:x>
      <cdr:y>0.25698</cdr:y>
    </cdr:from>
    <cdr:to>
      <cdr:x>0.67333</cdr:x>
      <cdr:y>0.36723</cdr:y>
    </cdr:to>
    <cdr:sp macro="" textlink="">
      <cdr:nvSpPr>
        <cdr:cNvPr id="9" name="Casella di testo 1"/>
        <cdr:cNvSpPr txBox="1"/>
      </cdr:nvSpPr>
      <cdr:spPr>
        <a:xfrm xmlns:a="http://schemas.openxmlformats.org/drawingml/2006/main">
          <a:off x="2316921" y="441739"/>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b</a:t>
          </a:r>
          <a:r>
            <a:rPr lang="it-IT" sz="900" kern="1200" baseline="0"/>
            <a:t> </a:t>
          </a:r>
          <a:endParaRPr lang="it-IT" sz="900" kern="1200"/>
        </a:p>
      </cdr:txBody>
    </cdr:sp>
  </cdr:relSizeAnchor>
  <cdr:relSizeAnchor xmlns:cdr="http://schemas.openxmlformats.org/drawingml/2006/chartDrawing">
    <cdr:from>
      <cdr:x>0.68806</cdr:x>
      <cdr:y>0.33562</cdr:y>
    </cdr:from>
    <cdr:to>
      <cdr:x>0.76714</cdr:x>
      <cdr:y>0.44586</cdr:y>
    </cdr:to>
    <cdr:sp macro="" textlink="">
      <cdr:nvSpPr>
        <cdr:cNvPr id="10" name="Casella di testo 1"/>
        <cdr:cNvSpPr txBox="1"/>
      </cdr:nvSpPr>
      <cdr:spPr>
        <a:xfrm xmlns:a="http://schemas.openxmlformats.org/drawingml/2006/main">
          <a:off x="2682681" y="576911"/>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a:t>
          </a:r>
          <a:r>
            <a:rPr lang="it-IT" sz="900" kern="1200" baseline="0"/>
            <a:t> </a:t>
          </a:r>
          <a:endParaRPr lang="it-IT" sz="900" kern="1200"/>
        </a:p>
      </cdr:txBody>
    </cdr:sp>
  </cdr:relSizeAnchor>
  <cdr:relSizeAnchor xmlns:cdr="http://schemas.openxmlformats.org/drawingml/2006/chartDrawing">
    <cdr:from>
      <cdr:x>0.78267</cdr:x>
      <cdr:y>0.24028</cdr:y>
    </cdr:from>
    <cdr:to>
      <cdr:x>0.86175</cdr:x>
      <cdr:y>0.35052</cdr:y>
    </cdr:to>
    <cdr:sp macro="" textlink="">
      <cdr:nvSpPr>
        <cdr:cNvPr id="11" name="Casella di testo 1"/>
        <cdr:cNvSpPr txBox="1"/>
      </cdr:nvSpPr>
      <cdr:spPr>
        <a:xfrm xmlns:a="http://schemas.openxmlformats.org/drawingml/2006/main">
          <a:off x="3051533" y="413026"/>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bc</a:t>
          </a:r>
          <a:r>
            <a:rPr lang="it-IT" sz="900" kern="1200" baseline="0"/>
            <a:t> </a:t>
          </a:r>
          <a:endParaRPr lang="it-IT" sz="900" kern="1200"/>
        </a:p>
      </cdr:txBody>
    </cdr:sp>
  </cdr:relSizeAnchor>
  <cdr:relSizeAnchor xmlns:cdr="http://schemas.openxmlformats.org/drawingml/2006/chartDrawing">
    <cdr:from>
      <cdr:x>0.87523</cdr:x>
      <cdr:y>0.13106</cdr:y>
    </cdr:from>
    <cdr:to>
      <cdr:x>0.95431</cdr:x>
      <cdr:y>0.24131</cdr:y>
    </cdr:to>
    <cdr:sp macro="" textlink="">
      <cdr:nvSpPr>
        <cdr:cNvPr id="12" name="Casella di testo 1"/>
        <cdr:cNvSpPr txBox="1"/>
      </cdr:nvSpPr>
      <cdr:spPr>
        <a:xfrm xmlns:a="http://schemas.openxmlformats.org/drawingml/2006/main">
          <a:off x="3412434" y="225287"/>
          <a:ext cx="308333" cy="18950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c</a:t>
          </a:r>
          <a:r>
            <a:rPr lang="it-IT" sz="900" kern="1200" baseline="0"/>
            <a:t> </a:t>
          </a:r>
          <a:endParaRPr lang="it-IT" sz="900" kern="1200"/>
        </a:p>
      </cdr:txBody>
    </cdr:sp>
  </cdr:relSizeAnchor>
</c:userShapes>
</file>

<file path=word/drawings/drawing2.xml><?xml version="1.0" encoding="utf-8"?>
<c:userShapes xmlns:c="http://schemas.openxmlformats.org/drawingml/2006/chart">
  <cdr:relSizeAnchor xmlns:cdr="http://schemas.openxmlformats.org/drawingml/2006/chartDrawing">
    <cdr:from>
      <cdr:x>0.43983</cdr:x>
      <cdr:y>0.10514</cdr:y>
    </cdr:from>
    <cdr:to>
      <cdr:x>0.56963</cdr:x>
      <cdr:y>0.22433</cdr:y>
    </cdr:to>
    <cdr:sp macro="" textlink="">
      <cdr:nvSpPr>
        <cdr:cNvPr id="2" name="Casella di testo 1"/>
        <cdr:cNvSpPr txBox="1"/>
      </cdr:nvSpPr>
      <cdr:spPr>
        <a:xfrm xmlns:a="http://schemas.openxmlformats.org/drawingml/2006/main">
          <a:off x="2007255" y="237413"/>
          <a:ext cx="592374" cy="26913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700" kern="1200"/>
            <a:t>coated</a:t>
          </a:r>
          <a:r>
            <a:rPr lang="it-IT" sz="700" kern="1200" baseline="0"/>
            <a:t> </a:t>
          </a:r>
          <a:endParaRPr lang="it-IT" sz="700" kern="1200"/>
        </a:p>
      </cdr:txBody>
    </cdr:sp>
  </cdr:relSizeAnchor>
  <cdr:relSizeAnchor xmlns:cdr="http://schemas.openxmlformats.org/drawingml/2006/chartDrawing">
    <cdr:from>
      <cdr:x>0.44215</cdr:x>
      <cdr:y>0.21224</cdr:y>
    </cdr:from>
    <cdr:to>
      <cdr:x>0.6077</cdr:x>
      <cdr:y>0.33143</cdr:y>
    </cdr:to>
    <cdr:sp macro="" textlink="">
      <cdr:nvSpPr>
        <cdr:cNvPr id="3" name="Casella di testo 1"/>
        <cdr:cNvSpPr txBox="1"/>
      </cdr:nvSpPr>
      <cdr:spPr>
        <a:xfrm xmlns:a="http://schemas.openxmlformats.org/drawingml/2006/main">
          <a:off x="2017874" y="479253"/>
          <a:ext cx="755528" cy="26913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700" kern="1200"/>
            <a:t>uncoated</a:t>
          </a:r>
          <a:r>
            <a:rPr lang="it-IT" sz="700" kern="1200" baseline="0"/>
            <a:t> </a:t>
          </a:r>
          <a:endParaRPr lang="it-IT" sz="700" kern="1200"/>
        </a:p>
      </cdr:txBody>
    </cdr:sp>
  </cdr:relSizeAnchor>
  <cdr:relSizeAnchor xmlns:cdr="http://schemas.openxmlformats.org/drawingml/2006/chartDrawing">
    <cdr:from>
      <cdr:x>0.90677</cdr:x>
      <cdr:y>0.5484</cdr:y>
    </cdr:from>
    <cdr:to>
      <cdr:x>0.96085</cdr:x>
      <cdr:y>0.67828</cdr:y>
    </cdr:to>
    <cdr:sp macro="" textlink="">
      <cdr:nvSpPr>
        <cdr:cNvPr id="4" name="Casella di testo 3"/>
        <cdr:cNvSpPr txBox="1"/>
      </cdr:nvSpPr>
      <cdr:spPr>
        <a:xfrm xmlns:a="http://schemas.openxmlformats.org/drawingml/2006/main">
          <a:off x="3999507" y="906449"/>
          <a:ext cx="238539" cy="214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t-IT" sz="900" kern="1200"/>
            <a:t>a</a:t>
          </a:r>
        </a:p>
      </cdr:txBody>
    </cdr:sp>
  </cdr:relSizeAnchor>
  <cdr:relSizeAnchor xmlns:cdr="http://schemas.openxmlformats.org/drawingml/2006/chartDrawing">
    <cdr:from>
      <cdr:x>0.18458</cdr:x>
      <cdr:y>0.24721</cdr:y>
    </cdr:from>
    <cdr:to>
      <cdr:x>0.25418</cdr:x>
      <cdr:y>0.37709</cdr:y>
    </cdr:to>
    <cdr:sp macro="" textlink="">
      <cdr:nvSpPr>
        <cdr:cNvPr id="5" name="Casella di testo 1"/>
        <cdr:cNvSpPr txBox="1"/>
      </cdr:nvSpPr>
      <cdr:spPr>
        <a:xfrm xmlns:a="http://schemas.openxmlformats.org/drawingml/2006/main">
          <a:off x="814125" y="408607"/>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cde</a:t>
          </a:r>
        </a:p>
      </cdr:txBody>
    </cdr:sp>
  </cdr:relSizeAnchor>
  <cdr:relSizeAnchor xmlns:cdr="http://schemas.openxmlformats.org/drawingml/2006/chartDrawing">
    <cdr:from>
      <cdr:x>0.28263</cdr:x>
      <cdr:y>0.31642</cdr:y>
    </cdr:from>
    <cdr:to>
      <cdr:x>0.35223</cdr:x>
      <cdr:y>0.44631</cdr:y>
    </cdr:to>
    <cdr:sp macro="" textlink="">
      <cdr:nvSpPr>
        <cdr:cNvPr id="6" name="Casella di testo 1"/>
        <cdr:cNvSpPr txBox="1"/>
      </cdr:nvSpPr>
      <cdr:spPr>
        <a:xfrm xmlns:a="http://schemas.openxmlformats.org/drawingml/2006/main">
          <a:off x="1246587" y="523017"/>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cde</a:t>
          </a:r>
        </a:p>
      </cdr:txBody>
    </cdr:sp>
  </cdr:relSizeAnchor>
  <cdr:relSizeAnchor xmlns:cdr="http://schemas.openxmlformats.org/drawingml/2006/chartDrawing">
    <cdr:from>
      <cdr:x>0.39149</cdr:x>
      <cdr:y>0.275</cdr:y>
    </cdr:from>
    <cdr:to>
      <cdr:x>0.4611</cdr:x>
      <cdr:y>0.40488</cdr:y>
    </cdr:to>
    <cdr:sp macro="" textlink="">
      <cdr:nvSpPr>
        <cdr:cNvPr id="7" name="Casella di testo 1"/>
        <cdr:cNvSpPr txBox="1"/>
      </cdr:nvSpPr>
      <cdr:spPr>
        <a:xfrm xmlns:a="http://schemas.openxmlformats.org/drawingml/2006/main">
          <a:off x="1726757" y="454547"/>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de</a:t>
          </a:r>
        </a:p>
      </cdr:txBody>
    </cdr:sp>
  </cdr:relSizeAnchor>
  <cdr:relSizeAnchor xmlns:cdr="http://schemas.openxmlformats.org/drawingml/2006/chartDrawing">
    <cdr:from>
      <cdr:x>0.48704</cdr:x>
      <cdr:y>0.35197</cdr:y>
    </cdr:from>
    <cdr:to>
      <cdr:x>0.55664</cdr:x>
      <cdr:y>0.48185</cdr:y>
    </cdr:to>
    <cdr:sp macro="" textlink="">
      <cdr:nvSpPr>
        <cdr:cNvPr id="8" name="Casella di testo 1"/>
        <cdr:cNvSpPr txBox="1"/>
      </cdr:nvSpPr>
      <cdr:spPr>
        <a:xfrm xmlns:a="http://schemas.openxmlformats.org/drawingml/2006/main">
          <a:off x="2148177" y="581769"/>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abcd</a:t>
          </a:r>
        </a:p>
      </cdr:txBody>
    </cdr:sp>
  </cdr:relSizeAnchor>
  <cdr:relSizeAnchor xmlns:cdr="http://schemas.openxmlformats.org/drawingml/2006/chartDrawing">
    <cdr:from>
      <cdr:x>0.59049</cdr:x>
      <cdr:y>0.426</cdr:y>
    </cdr:from>
    <cdr:to>
      <cdr:x>0.6601</cdr:x>
      <cdr:y>0.55588</cdr:y>
    </cdr:to>
    <cdr:sp macro="" textlink="">
      <cdr:nvSpPr>
        <cdr:cNvPr id="9" name="Casella di testo 1"/>
        <cdr:cNvSpPr txBox="1"/>
      </cdr:nvSpPr>
      <cdr:spPr>
        <a:xfrm xmlns:a="http://schemas.openxmlformats.org/drawingml/2006/main">
          <a:off x="2604493" y="704131"/>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abc</a:t>
          </a:r>
        </a:p>
      </cdr:txBody>
    </cdr:sp>
  </cdr:relSizeAnchor>
  <cdr:relSizeAnchor xmlns:cdr="http://schemas.openxmlformats.org/drawingml/2006/chartDrawing">
    <cdr:from>
      <cdr:x>0.68133</cdr:x>
      <cdr:y>0.31723</cdr:y>
    </cdr:from>
    <cdr:to>
      <cdr:x>0.75094</cdr:x>
      <cdr:y>0.44711</cdr:y>
    </cdr:to>
    <cdr:sp macro="" textlink="">
      <cdr:nvSpPr>
        <cdr:cNvPr id="10" name="Casella di testo 1"/>
        <cdr:cNvSpPr txBox="1"/>
      </cdr:nvSpPr>
      <cdr:spPr>
        <a:xfrm xmlns:a="http://schemas.openxmlformats.org/drawingml/2006/main">
          <a:off x="3005151" y="524343"/>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bcde</a:t>
          </a:r>
        </a:p>
      </cdr:txBody>
    </cdr:sp>
  </cdr:relSizeAnchor>
  <cdr:relSizeAnchor xmlns:cdr="http://schemas.openxmlformats.org/drawingml/2006/chartDrawing">
    <cdr:from>
      <cdr:x>0.80101</cdr:x>
      <cdr:y>0.39606</cdr:y>
    </cdr:from>
    <cdr:to>
      <cdr:x>0.87062</cdr:x>
      <cdr:y>0.52595</cdr:y>
    </cdr:to>
    <cdr:sp macro="" textlink="">
      <cdr:nvSpPr>
        <cdr:cNvPr id="11" name="Casella di testo 1"/>
        <cdr:cNvSpPr txBox="1"/>
      </cdr:nvSpPr>
      <cdr:spPr>
        <a:xfrm xmlns:a="http://schemas.openxmlformats.org/drawingml/2006/main">
          <a:off x="3533029" y="654657"/>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ab</a:t>
          </a:r>
        </a:p>
      </cdr:txBody>
    </cdr:sp>
  </cdr:relSizeAnchor>
  <cdr:relSizeAnchor xmlns:cdr="http://schemas.openxmlformats.org/drawingml/2006/chartDrawing">
    <cdr:from>
      <cdr:x>0.08433</cdr:x>
      <cdr:y>0.09514</cdr:y>
    </cdr:from>
    <cdr:to>
      <cdr:x>0.15393</cdr:x>
      <cdr:y>0.22502</cdr:y>
    </cdr:to>
    <cdr:sp macro="" textlink="">
      <cdr:nvSpPr>
        <cdr:cNvPr id="12" name="Casella di testo 1"/>
        <cdr:cNvSpPr txBox="1"/>
      </cdr:nvSpPr>
      <cdr:spPr>
        <a:xfrm xmlns:a="http://schemas.openxmlformats.org/drawingml/2006/main">
          <a:off x="371944" y="157257"/>
          <a:ext cx="307009" cy="214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e</a:t>
          </a:r>
        </a:p>
      </cdr:txBody>
    </cdr:sp>
  </cdr:relSizeAnchor>
</c:userShapes>
</file>

<file path=word/drawings/drawing3.xml><?xml version="1.0" encoding="utf-8"?>
<c:userShapes xmlns:c="http://schemas.openxmlformats.org/drawingml/2006/chart">
  <cdr:relSizeAnchor xmlns:cdr="http://schemas.openxmlformats.org/drawingml/2006/chartDrawing">
    <cdr:from>
      <cdr:x>0.37481</cdr:x>
      <cdr:y>0.10437</cdr:y>
    </cdr:from>
    <cdr:to>
      <cdr:x>0.62586</cdr:x>
      <cdr:y>0.2042</cdr:y>
    </cdr:to>
    <cdr:sp macro="" textlink="">
      <cdr:nvSpPr>
        <cdr:cNvPr id="2" name="Casella di testo 1"/>
        <cdr:cNvSpPr txBox="1"/>
      </cdr:nvSpPr>
      <cdr:spPr>
        <a:xfrm xmlns:a="http://schemas.openxmlformats.org/drawingml/2006/main">
          <a:off x="1585350" y="239782"/>
          <a:ext cx="1061875" cy="22934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it-IT" sz="900" kern="1200"/>
            <a:t>Coated</a:t>
          </a:r>
        </a:p>
      </cdr:txBody>
    </cdr:sp>
  </cdr:relSizeAnchor>
  <cdr:relSizeAnchor xmlns:cdr="http://schemas.openxmlformats.org/drawingml/2006/chartDrawing">
    <cdr:from>
      <cdr:x>0.37693</cdr:x>
      <cdr:y>0.28449</cdr:y>
    </cdr:from>
    <cdr:to>
      <cdr:x>0.62798</cdr:x>
      <cdr:y>0.40147</cdr:y>
    </cdr:to>
    <cdr:sp macro="" textlink="">
      <cdr:nvSpPr>
        <cdr:cNvPr id="3" name="Casella di testo 1"/>
        <cdr:cNvSpPr txBox="1"/>
      </cdr:nvSpPr>
      <cdr:spPr>
        <a:xfrm xmlns:a="http://schemas.openxmlformats.org/drawingml/2006/main">
          <a:off x="1594316" y="653598"/>
          <a:ext cx="1061875" cy="268754"/>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Uncoated</a:t>
          </a:r>
        </a:p>
      </cdr:txBody>
    </cdr:sp>
  </cdr:relSizeAnchor>
  <cdr:relSizeAnchor xmlns:cdr="http://schemas.openxmlformats.org/drawingml/2006/chartDrawing">
    <cdr:from>
      <cdr:x>0.13753</cdr:x>
      <cdr:y>0.5697</cdr:y>
    </cdr:from>
    <cdr:to>
      <cdr:x>0.24231</cdr:x>
      <cdr:y>0.74422</cdr:y>
    </cdr:to>
    <cdr:sp macro="" textlink="">
      <cdr:nvSpPr>
        <cdr:cNvPr id="4" name="Casella di testo 3"/>
        <cdr:cNvSpPr txBox="1"/>
      </cdr:nvSpPr>
      <cdr:spPr>
        <a:xfrm xmlns:a="http://schemas.openxmlformats.org/drawingml/2006/main">
          <a:off x="500932" y="779229"/>
          <a:ext cx="381662" cy="2387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t-IT" sz="900" kern="1200"/>
            <a:t>a</a:t>
          </a:r>
        </a:p>
      </cdr:txBody>
    </cdr:sp>
  </cdr:relSizeAnchor>
  <cdr:relSizeAnchor xmlns:cdr="http://schemas.openxmlformats.org/drawingml/2006/chartDrawing">
    <cdr:from>
      <cdr:x>0.22133</cdr:x>
      <cdr:y>0.52545</cdr:y>
    </cdr:from>
    <cdr:to>
      <cdr:x>0.32612</cdr:x>
      <cdr:y>0.69997</cdr:y>
    </cdr:to>
    <cdr:sp macro="" textlink="">
      <cdr:nvSpPr>
        <cdr:cNvPr id="5" name="Casella di testo 1"/>
        <cdr:cNvSpPr txBox="1"/>
      </cdr:nvSpPr>
      <cdr:spPr>
        <a:xfrm xmlns:a="http://schemas.openxmlformats.org/drawingml/2006/main">
          <a:off x="806173" y="718710"/>
          <a:ext cx="381662" cy="2387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b</a:t>
          </a:r>
        </a:p>
      </cdr:txBody>
    </cdr:sp>
  </cdr:relSizeAnchor>
  <cdr:relSizeAnchor xmlns:cdr="http://schemas.openxmlformats.org/drawingml/2006/chartDrawing">
    <cdr:from>
      <cdr:x>0.31169</cdr:x>
      <cdr:y>0.46377</cdr:y>
    </cdr:from>
    <cdr:to>
      <cdr:x>0.41647</cdr:x>
      <cdr:y>0.63829</cdr:y>
    </cdr:to>
    <cdr:sp macro="" textlink="">
      <cdr:nvSpPr>
        <cdr:cNvPr id="6" name="Casella di testo 1"/>
        <cdr:cNvSpPr txBox="1"/>
      </cdr:nvSpPr>
      <cdr:spPr>
        <a:xfrm xmlns:a="http://schemas.openxmlformats.org/drawingml/2006/main">
          <a:off x="1135270" y="634338"/>
          <a:ext cx="381662" cy="2387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c</a:t>
          </a:r>
        </a:p>
      </cdr:txBody>
    </cdr:sp>
  </cdr:relSizeAnchor>
  <cdr:relSizeAnchor xmlns:cdr="http://schemas.openxmlformats.org/drawingml/2006/chartDrawing">
    <cdr:from>
      <cdr:x>0.39549</cdr:x>
      <cdr:y>0.43696</cdr:y>
    </cdr:from>
    <cdr:to>
      <cdr:x>0.50027</cdr:x>
      <cdr:y>0.61148</cdr:y>
    </cdr:to>
    <cdr:sp macro="" textlink="">
      <cdr:nvSpPr>
        <cdr:cNvPr id="7" name="Casella di testo 1"/>
        <cdr:cNvSpPr txBox="1"/>
      </cdr:nvSpPr>
      <cdr:spPr>
        <a:xfrm xmlns:a="http://schemas.openxmlformats.org/drawingml/2006/main">
          <a:off x="1440511" y="597673"/>
          <a:ext cx="381662" cy="2387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c</a:t>
          </a:r>
        </a:p>
      </cdr:txBody>
    </cdr:sp>
  </cdr:relSizeAnchor>
  <cdr:relSizeAnchor xmlns:cdr="http://schemas.openxmlformats.org/drawingml/2006/chartDrawing">
    <cdr:from>
      <cdr:x>0.49676</cdr:x>
      <cdr:y>0.39272</cdr:y>
    </cdr:from>
    <cdr:to>
      <cdr:x>0.60154</cdr:x>
      <cdr:y>0.56724</cdr:y>
    </cdr:to>
    <cdr:sp macro="" textlink="">
      <cdr:nvSpPr>
        <cdr:cNvPr id="8" name="Casella di testo 1"/>
        <cdr:cNvSpPr txBox="1"/>
      </cdr:nvSpPr>
      <cdr:spPr>
        <a:xfrm xmlns:a="http://schemas.openxmlformats.org/drawingml/2006/main">
          <a:off x="1809364" y="537155"/>
          <a:ext cx="381662" cy="2387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d</a:t>
          </a:r>
        </a:p>
      </cdr:txBody>
    </cdr:sp>
  </cdr:relSizeAnchor>
  <cdr:relSizeAnchor xmlns:cdr="http://schemas.openxmlformats.org/drawingml/2006/chartDrawing">
    <cdr:from>
      <cdr:x>0.58493</cdr:x>
      <cdr:y>0.3081</cdr:y>
    </cdr:from>
    <cdr:to>
      <cdr:x>0.68971</cdr:x>
      <cdr:y>0.49974</cdr:y>
    </cdr:to>
    <cdr:sp macro="" textlink="">
      <cdr:nvSpPr>
        <cdr:cNvPr id="9" name="Casella di testo 1"/>
        <cdr:cNvSpPr txBox="1"/>
      </cdr:nvSpPr>
      <cdr:spPr>
        <a:xfrm xmlns:a="http://schemas.openxmlformats.org/drawingml/2006/main">
          <a:off x="2130508" y="421420"/>
          <a:ext cx="381662" cy="2621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de</a:t>
          </a:r>
        </a:p>
      </cdr:txBody>
    </cdr:sp>
  </cdr:relSizeAnchor>
  <cdr:relSizeAnchor xmlns:cdr="http://schemas.openxmlformats.org/drawingml/2006/chartDrawing">
    <cdr:from>
      <cdr:x>0.65563</cdr:x>
      <cdr:y>0.25223</cdr:y>
    </cdr:from>
    <cdr:to>
      <cdr:x>0.76041</cdr:x>
      <cdr:y>0.44386</cdr:y>
    </cdr:to>
    <cdr:sp macro="" textlink="">
      <cdr:nvSpPr>
        <cdr:cNvPr id="10" name="Casella di testo 1"/>
        <cdr:cNvSpPr txBox="1"/>
      </cdr:nvSpPr>
      <cdr:spPr>
        <a:xfrm xmlns:a="http://schemas.openxmlformats.org/drawingml/2006/main">
          <a:off x="2388041" y="344999"/>
          <a:ext cx="381662" cy="2621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e</a:t>
          </a:r>
        </a:p>
      </cdr:txBody>
    </cdr:sp>
  </cdr:relSizeAnchor>
  <cdr:relSizeAnchor xmlns:cdr="http://schemas.openxmlformats.org/drawingml/2006/chartDrawing">
    <cdr:from>
      <cdr:x>0.84422</cdr:x>
      <cdr:y>0.02196</cdr:y>
    </cdr:from>
    <cdr:to>
      <cdr:x>0.949</cdr:x>
      <cdr:y>0.2136</cdr:y>
    </cdr:to>
    <cdr:sp macro="" textlink="">
      <cdr:nvSpPr>
        <cdr:cNvPr id="11" name="Casella di testo 1"/>
        <cdr:cNvSpPr txBox="1"/>
      </cdr:nvSpPr>
      <cdr:spPr>
        <a:xfrm xmlns:a="http://schemas.openxmlformats.org/drawingml/2006/main">
          <a:off x="3074946" y="30039"/>
          <a:ext cx="381662" cy="2621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g</a:t>
          </a:r>
        </a:p>
      </cdr:txBody>
    </cdr:sp>
  </cdr:relSizeAnchor>
  <cdr:relSizeAnchor xmlns:cdr="http://schemas.openxmlformats.org/drawingml/2006/chartDrawing">
    <cdr:from>
      <cdr:x>0.75338</cdr:x>
      <cdr:y>0.19862</cdr:y>
    </cdr:from>
    <cdr:to>
      <cdr:x>0.85816</cdr:x>
      <cdr:y>0.39025</cdr:y>
    </cdr:to>
    <cdr:sp macro="" textlink="">
      <cdr:nvSpPr>
        <cdr:cNvPr id="12" name="Casella di testo 1"/>
        <cdr:cNvSpPr txBox="1"/>
      </cdr:nvSpPr>
      <cdr:spPr>
        <a:xfrm xmlns:a="http://schemas.openxmlformats.org/drawingml/2006/main">
          <a:off x="2744083" y="271671"/>
          <a:ext cx="381662" cy="2621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kern="1200"/>
            <a:t>f</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8DFEA483-2AF7-4161-A8EB-9F6DD872E135}"/>
      </w:docPartPr>
      <w:docPartBody>
        <w:p w:rsidR="00FD2E9A" w:rsidRDefault="00FD2E9A">
          <w:r w:rsidRPr="000212DE">
            <w:rPr>
              <w:rStyle w:val="Testosegnaposto"/>
            </w:rPr>
            <w:t>Fare clic o toccare qui per immettere il testo.</w:t>
          </w:r>
        </w:p>
      </w:docPartBody>
    </w:docPart>
    <w:docPart>
      <w:docPartPr>
        <w:name w:val="130F08CAEE104291A6FD0CC3132D6DB0"/>
        <w:category>
          <w:name w:val="Generale"/>
          <w:gallery w:val="placeholder"/>
        </w:category>
        <w:types>
          <w:type w:val="bbPlcHdr"/>
        </w:types>
        <w:behaviors>
          <w:behavior w:val="content"/>
        </w:behaviors>
        <w:guid w:val="{058128BE-6C29-402E-BC97-52316A42EB9C}"/>
      </w:docPartPr>
      <w:docPartBody>
        <w:p w:rsidR="00A033BB" w:rsidRDefault="00A033BB" w:rsidP="00A033BB">
          <w:pPr>
            <w:pStyle w:val="130F08CAEE104291A6FD0CC3132D6DB0"/>
          </w:pPr>
          <w:r w:rsidRPr="000212DE">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E9A"/>
    <w:rsid w:val="002A3080"/>
    <w:rsid w:val="003B41B7"/>
    <w:rsid w:val="00414967"/>
    <w:rsid w:val="00A033BB"/>
    <w:rsid w:val="00CA3CD1"/>
    <w:rsid w:val="00FC6883"/>
    <w:rsid w:val="00FD2E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033BB"/>
    <w:rPr>
      <w:color w:val="666666"/>
    </w:rPr>
  </w:style>
  <w:style w:type="paragraph" w:customStyle="1" w:styleId="130F08CAEE104291A6FD0CC3132D6DB0">
    <w:name w:val="130F08CAEE104291A6FD0CC3132D6DB0"/>
    <w:rsid w:val="00A033BB"/>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066C97-1B20-4284-9F76-C5A0837A3F2F}">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312ed705-9a7c-4767-ad87-47ef7cf662bb&quot;,&quot;properties&quot;:{&quot;noteIndex&quot;:0},&quot;isEdited&quot;:false,&quot;manualOverride&quot;:{&quot;isManuallyOverridden&quot;:false,&quot;citeprocText&quot;:&quot;(Gupta et al. 2024)&quot;,&quot;manualOverrideText&quot;:&quot;&quot;},&quot;citationTag&quot;:&quot;MENDELEY_CITATION_v3_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&quot;,&quot;citationItems&quot;:[{&quot;id&quot;:&quot;c2944b0a-bf10-384f-8d46-7bfae6310c8c&quot;,&quot;itemData&quot;:{&quot;type&quot;:&quot;article-journal&quot;,&quot;id&quot;:&quot;c2944b0a-bf10-384f-8d46-7bfae6310c8c&quot;,&quot;title&quot;:&quot;Plant-based edible films and coatings for food-packaging applications: recent advances, applications, and trends&quot;,&quot;author&quot;:[{&quot;family&quot;:&quot;Gupta&quot;,&quot;given&quot;:&quot;Divyanshu&quot;,&quot;parse-names&quot;:false,&quot;dropping-particle&quot;:&quot;&quot;,&quot;non-dropping-particle&quot;:&quot;&quot;},{&quot;family&quot;:&quot;Lall&quot;,&quot;given&quot;:&quot;Arshiya&quot;,&quot;parse-names&quot;:false,&quot;dropping-particle&quot;:&quot;&quot;,&quot;non-dropping-particle&quot;:&quot;&quot;},{&quot;family&quot;:&quot;Kumar&quot;,&quot;given&quot;:&quot;Sachin&quot;,&quot;parse-names&quot;:false,&quot;dropping-particle&quot;:&quot;&quot;,&quot;non-dropping-particle&quot;:&quot;&quot;},{&quot;family&quot;:&quot;Patil&quot;,&quot;given&quot;:&quot;Tejaswini Dhanaji&quot;,&quot;parse-names&quot;:false,&quot;dropping-particle&quot;:&quot;&quot;,&quot;non-dropping-particle&quot;:&quot;&quot;},{&quot;family&quot;:&quot;Gaikwad&quot;,&quot;given&quot;:&quot;Kirtiraj K.&quot;,&quot;parse-names&quot;:false,&quot;dropping-particle&quot;:&quot;&quot;,&quot;non-dropping-particle&quot;:&quot;&quot;}],&quot;container-title&quot;:&quot;Sustainable Food Technology&quot;,&quot;accessed&quot;:{&quot;date-parts&quot;:[[2025,3,5]]},&quot;DOI&quot;:&quot;10.1039/D4FB00110A&quot;,&quot;ISSN&quot;:&quot;2753-8095&quot;,&quot;issued&quot;:{&quot;date-parts&quot;:[[2024,9,19]]},&quot;page&quot;:&quot;1428-1455&quot;,&quot;abstract&quot;:&quot;Recent research has focused on using plant-based polysaccharides, proteins, and lipids to create functional films and coatings with desirable properties. Adding bioactive compounds and antimicrobial agents as well as employing nanotechnological approaches has improved the functional properties of plant-based materials, extending their shelf life and preserving food quality. This review explores the various applications of plant-based materials as coatings for fresh produce, meat, dairy, and bakery products, thus offering sustainable packaging solutions. Researchers have studied polysaccharides derived from fruits, roots, and traditional crops to make edible films and coatings. They have found that whole grains and legume flours with a high starch content can be used to create such films. Bio-based polymers and modern manufacturing methods are appealing for creating innovative food-packaging solutions. This paper explores novel film-forming materials with an aim to reduce food waste in the fruit and vegetable industry by promoting the use of edible films and coatings. It also discusses the challenges and opportunities associated with scaling up production and consumer acceptance. This review outlines future trends and research directions, emphasizing the potential for innovation in designing edible film and coating polymers, processing techniques, and interdisciplinary collaborations to advance the development of plant-based edible films and coatings for a sustainable food-packaging industry.&quot;,&quot;publisher&quot;:&quot;Royal Society of Chemistry&quot;,&quot;issue&quot;:&quot;5&quot;,&quot;volume&quot;:&quot;2&quot;,&quot;container-title-short&quot;:&quot;&quot;},&quot;isTemporary&quot;:false}]},{&quot;citationID&quot;:&quot;MENDELEY_CITATION_16a4b4ec-ad11-445c-a9b3-ba4098edf4f2&quot;,&quot;properties&quot;:{&quot;noteIndex&quot;:0},&quot;isEdited&quot;:false,&quot;manualOverride&quot;:{&quot;isManuallyOverridden&quot;:false,&quot;citeprocText&quot;:&quot;(Ozogul et al. 2025)&quot;,&quot;manualOverrideText&quot;:&quot;&quot;},&quot;citationTag&quot;:&quot;MENDELEY_CITATION_v3_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&quot;,&quot;citationItems&quot;:[{&quot;id&quot;:&quot;c4e31651-5a48-3872-b11d-4dc39b7ce375&quot;,&quot;itemData&quot;:{&quot;type&quot;:&quot;article-journal&quot;,&quot;id&quot;:&quot;c4e31651-5a48-3872-b11d-4dc39b7ce375&quot;,&quot;title&quot;:&quot;Tannins for food preservation and human health: A review of current knowledge&quot;,&quot;author&quot;:[{&quot;family&quot;:&quot;Ozogul&quot;,&quot;given&quot;:&quot;Yesim&quot;,&quot;parse-names&quot;:false,&quot;dropping-particle&quot;:&quot;&quot;,&quot;non-dropping-particle&quot;:&quot;&quot;},{&quot;family&quot;:&quot;Ucar&quot;,&quot;given&quot;:&quot;Yilmaz&quot;,&quot;parse-names&quot;:false,&quot;dropping-particle&quot;:&quot;&quot;,&quot;non-dropping-particle&quot;:&quot;&quot;},{&quot;family&quot;:&quot;Tadesse&quot;,&quot;given&quot;:&quot;Eskindir Endalew&quot;,&quot;parse-names&quot;:false,&quot;dropping-particle&quot;:&quot;&quot;,&quot;non-dropping-particle&quot;:&quot;&quot;},{&quot;family&quot;:&quot;Rathod&quot;,&quot;given&quot;:&quot;Nikheel&quot;,&quot;parse-names&quot;:false,&quot;dropping-particle&quot;:&quot;&quot;,&quot;non-dropping-particle&quot;:&quot;&quot;},{&quot;family&quot;:&quot;Kulawik&quot;,&quot;given&quot;:&quot;Piotr&quot;,&quot;parse-names&quot;:false,&quot;dropping-particle&quot;:&quot;&quot;,&quot;non-dropping-particle&quot;:&quot;&quot;},{&quot;family&quot;:&quot;Trif&quot;,&quot;given&quot;:&quot;Monica&quot;,&quot;parse-names&quot;:false,&quot;dropping-particle&quot;:&quot;&quot;,&quot;non-dropping-particle&quot;:&quot;&quot;},{&quot;family&quot;:&quot;Esatbeyoglu&quot;,&quot;given&quot;:&quot;Tuba&quot;,&quot;parse-names&quot;:false,&quot;dropping-particle&quot;:&quot;&quot;,&quot;non-dropping-particle&quot;:&quot;&quot;},{&quot;family&quot;:&quot;Ozogul&quot;,&quot;given&quot;:&quot;Fatih&quot;,&quot;parse-names&quot;:false,&quot;dropping-particle&quot;:&quot;&quot;,&quot;non-dropping-particle&quot;:&quot;&quot;}],&quot;container-title&quot;:&quot;Applied Food Research&quot;,&quot;accessed&quot;:{&quot;date-parts&quot;:[[2025,3,5]]},&quot;DOI&quot;:&quot;10.1016/J.AFRES.2025.100738&quot;,&quot;ISSN&quot;:&quot;2772-5022&quot;,&quot;issued&quot;:{&quot;date-parts&quot;:[[2025,6,1]]},&quot;page&quot;:&quot;100738&quot;,&quot;abstract&quot;:&quot;Tannins are a type of organic compound commonly found in various plant-based foods and beverages. The majority of species in the plant kingdom comprise tannins, which serve as a defense against predators. Tannins also play a role in regulating plant growth and development, while having a protective function against ultraviolet radiation. The phenolic structure of tannins has also the potential to be used in food, nutraceutical and pharmaceutical industries. Tannins exhibit a high level of biological activity. Therefore, a number of advantages such as antioxidant, anticancer, anti-allergic, and antimicrobial properties, have been verified in recent research. Thus, they are widely used in the pharmaceutical, nutraceutical and food industries. In addition, the use of tannins as film and coating matrices, antimicrobial and antioxidant agents can enhance the quality of food. However, extraction and purification of tannins are challenging owing to their strong polarity, large molecular weight and complicated structure. Various advanced methods can be employed for the extraction and purification of tannins, depending on the source material and desired application, including solvent extraction, chromatographic methods, super critical, ionic liquid assisted microwave, infrared-assisted extraction technique etc. In particular, supercritical fluid extraction, using CO₂ under specific pressure and temperature conditions, is gaining popularity due to its eco-friendliness and efficiency. This review presents structure and classification of tannins, their extraction techniques, potential properties of tannins as a preservative agent and possible health benefits of tannins with clinical trials.&quot;,&quot;publisher&quot;:&quot;Elsevier&quot;,&quot;issue&quot;:&quot;1&quot;,&quot;volume&quot;:&quot;5&quot;,&quot;container-title-short&quot;:&quot;&quot;},&quot;isTemporary&quot;:false}]},{&quot;citationID&quot;:&quot;MENDELEY_CITATION_388191b2-af07-44fb-9784-69302d5ca7e1&quot;,&quot;properties&quot;:{&quot;noteIndex&quot;:0},&quot;isEdited&quot;:false,&quot;manualOverride&quot;:{&quot;isManuallyOverridden&quot;:true,&quot;citeprocText&quot;:&quot;(Vera et al. 2023)&quot;,&quot;manualOverrideText&quot;:&quot;2023&quot;},&quot;citationTag&quot;:&quot;MENDELEY_CITATION_v3_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&quot;,&quot;citationItems&quot;:[{&quot;id&quot;:&quot;798f8212-10f3-34ac-b762-f3b86b1286f3&quot;,&quot;itemData&quot;:{&quot;type&quot;:&quot;article-journal&quot;,&quot;id&quot;:&quot;798f8212-10f3-34ac-b762-f3b86b1286f3&quot;,&quot;title&quot;:&quot;Recent advances in tannin-containing food biopackaging&quot;,&quot;author&quot;:[{&quot;family&quot;:&quot;Vera&quot;,&quot;given&quot;:&quot;Myleidi&quot;,&quot;parse-names&quot;:false,&quot;dropping-particle&quot;:&quot;&quot;,&quot;non-dropping-particle&quot;:&quot;&quot;},{&quot;family&quot;:&quot;Mella&quot;,&quot;given&quot;:&quot;Claudio&quot;,&quot;parse-names&quot;:false,&quot;dropping-particle&quot;:&quot;&quot;,&quot;non-dropping-particle&quot;:&quot;&quot;},{&quot;family&quot;:&quot;García&quot;,&quot;given&quot;:&quot;Yadiris&quot;,&quot;parse-names&quot;:false,&quot;dropping-particle&quot;:&quot;&quot;,&quot;non-dropping-particle&quot;:&quot;&quot;},{&quot;family&quot;:&quot;Jiménez&quot;,&quot;given&quot;:&quot;Verónica A.&quot;,&quot;parse-names&quot;:false,&quot;dropping-particle&quot;:&quot;&quot;,&quot;non-dropping-particle&quot;:&quot;&quot;},{&quot;family&quot;:&quot;Urbano&quot;,&quot;given&quot;:&quot;Bruno F.&quot;,&quot;parse-names&quot;:false,&quot;dropping-particle&quot;:&quot;&quot;,&quot;non-dropping-particle&quot;:&quot;&quot;}],&quot;container-title&quot;:&quot;Trends in Food Science &amp; Technology&quot;,&quot;accessed&quot;:{&quot;date-parts&quot;:[[2025,3,5]]},&quot;DOI&quot;:&quot;10.1016/J.TIFS.2023.01.014&quot;,&quot;ISSN&quot;:&quot;0924-2244&quot;,&quot;issued&quot;:{&quot;date-parts&quot;:[[2023,3,1]]},&quot;page&quot;:&quot;28-36&quot;,&quot;abstract&quot;:&quot;Background: The packaging industry is one of the greatest sources of plastic waste pollution worldwide. The continuously growing use of single-use food containers or wrappers along with the mismanagement of plastic waste disposal are major environmental and health threats. To tackle this problem, the scientific community has engaged in growing efforts to develop more sustainable packaging materials from renewable, safe, and abundant sources. Tannins are part of these new packaging developments as attractive natural polyphenolic substances with valuable properties for food packaging applications. Scope and approach: In this review, we address challenges and opportunities related to tannin-containing food biopackaging with active properties for food preservation. We present a basic overview of tannins’ structure and their incorporation into biodegradable matrices as structural components or functional additives. Then, the role of tannins as modulators of the physical properties and functionality of biodegradable polymers for food packaging purposes is addressed. Key findings and conclusions: At the core of our contribution, we present the most recent advances in multifunctional packaging based on tannin-containing biodegradable polymers. Tannins confer antioxidant, antimicrobial and UV protection capacity, and improve the mechanical and barrier properties of biodegradable materials. Therefore, multifunctional systems can be developed for innovative applications in food packaging and active food preservation. Finally, our opinion on future research needs and considerations related to tannin-containing biopackaging is stated.&quot;,&quot;publisher&quot;:&quot;Elsevier&quot;,&quot;volume&quot;:&quot;133&quot;,&quot;container-title-short&quot;:&quot;Trends Food Sci Technol&quot;},&quot;isTemporary&quot;:false}]},{&quot;citationID&quot;:&quot;MENDELEY_CITATION_f29406af-7aab-4ed5-8e17-91ddbb8e78c1&quot;,&quot;properties&quot;:{&quot;noteIndex&quot;:0},&quot;isEdited&quot;:false,&quot;manualOverride&quot;:{&quot;isManuallyOverridden&quot;:false,&quot;citeprocText&quot;:&quot;(Ma et al. 2021)&quot;,&quot;manualOverrideText&quot;:&quot;&quot;},&quot;citationTag&quot;:&quot;MENDELEY_CITATION_v3_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&quot;,&quot;citationItems&quot;:[{&quot;id&quot;:&quot;9cde3f90-7e57-37e4-9d71-dbc63e4660f7&quot;,&quot;itemData&quot;:{&quot;type&quot;:&quot;article-journal&quot;,&quot;id&quot;:&quot;9cde3f90-7e57-37e4-9d71-dbc63e4660f7&quot;,&quot;title&quot;:&quot;Novel edible coating based on shellac and tannic acid for prolonging postharvest shelf life and improving overall quality of mango&quot;,&quot;author&quot;:[{&quot;family&quot;:&quot;Ma&quot;,&quot;given&quot;:&quot;Jinju&quot;,&quot;parse-names&quot;:false,&quot;dropping-particle&quot;:&quot;&quot;,&quot;non-dropping-particle&quot;:&quot;&quot;},{&quot;family&quot;:&quot;Zhou&quot;,&quot;given&quot;:&quot;Zhiqiang&quot;,&quot;parse-names&quot;:false,&quot;dropping-particle&quot;:&quot;&quot;,&quot;non-dropping-particle&quot;:&quot;&quot;},{&quot;family&quot;:&quot;Li&quot;,&quot;given&quot;:&quot;Kai&quot;,&quot;parse-names&quot;:false,&quot;dropping-particle&quot;:&quot;&quot;,&quot;non-dropping-particle&quot;:&quot;&quot;},{&quot;family&quot;:&quot;Li&quot;,&quot;given&quot;:&quot;Kun&quot;,&quot;parse-names&quot;:false,&quot;dropping-particle&quot;:&quot;&quot;,&quot;non-dropping-particle&quot;:&quot;&quot;},{&quot;family&quot;:&quot;Liu&quot;,&quot;given&quot;:&quot;Lanxiang&quot;,&quot;parse-names&quot;:false,&quot;dropping-particle&quot;:&quot;&quot;,&quot;non-dropping-particle&quot;:&quot;&quot;},{&quot;family&quot;:&quot;Zhang&quot;,&quot;given&quot;:&quot;Wenwen&quot;,&quot;parse-names&quot;:false,&quot;dropping-particle&quot;:&quot;&quot;,&quot;non-dropping-particle&quot;:&quot;&quot;},{&quot;family&quot;:&quot;Xu&quot;,&quot;given&quot;:&quot;Juan&quot;,&quot;parse-names&quot;:false,&quot;dropping-particle&quot;:&quot;&quot;,&quot;non-dropping-particle&quot;:&quot;&quot;},{&quot;family&quot;:&quot;Tu&quot;,&quot;given&quot;:&quot;Xinghao&quot;,&quot;parse-names&quot;:false,&quot;dropping-particle&quot;:&quot;&quot;,&quot;non-dropping-particle&quot;:&quot;&quot;},{&quot;family&quot;:&quot;Du&quot;,&quot;given&quot;:&quot;Liqing&quot;,&quot;parse-names&quot;:false,&quot;dropping-particle&quot;:&quot;&quot;,&quot;non-dropping-particle&quot;:&quot;&quot;},{&quot;family&quot;:&quot;Zhang&quot;,&quot;given&quot;:&quot;Hong&quot;,&quot;parse-names&quot;:false,&quot;dropping-particle&quot;:&quot;&quot;,&quot;non-dropping-particle&quot;:&quot;&quot;}],&quot;container-title&quot;:&quot;Food Chemistry&quot;,&quot;accessed&quot;:{&quot;date-parts&quot;:[[2025,3,5]]},&quot;DOI&quot;:&quot;10.1016/J.FOODCHEM.2021.129510&quot;,&quot;ISSN&quot;:&quot;0308-8146&quot;,&quot;PMID&quot;:&quot;33752113&quot;,&quot;issued&quot;:{&quot;date-parts&quot;:[[2021,8,30]]},&quot;page&quot;:&quot;129510&quot;,&quot;abstract&quot;:&quot;This study aimed to investigate the combined effects of a coating based on shellac and the active agent tannic acid (TA) on the storability and physiological variations of mangoes stored at room temperature. Results showed that TA-shellac prolonged shelf life and improved overall quality of mangoes to a higher extent compared with controls, which was reflected in the extension of shelf life for approximately 10 days, maintaining of tissue firmness and weight loss, slowing down of respiration rate, improvement of physical properties and chemical qualities, suppression of browning, reduction of lipid peroxidation, preservation of aromatic volatiles, and regulation of the related enzymes activities. Addition of TA to shellac coating also improved the antifungal effect of the formulation. The results suggest that a synergistic effect took place between TA and shellac, which demonstrates the high potential for shelf life extension and quality improvement of mangoes of this formulation.&quot;,&quot;publisher&quot;:&quot;Elsevier&quot;,&quot;volume&quot;:&quot;354&quot;,&quot;container-title-short&quot;:&quot;Food Chem&quot;},&quot;isTemporary&quot;:false}]},{&quot;citationID&quot;:&quot;MENDELEY_CITATION_76203338-0cb7-4533-9b7d-b3201078e515&quot;,&quot;properties&quot;:{&quot;noteIndex&quot;:0},&quot;isEdited&quot;:false,&quot;manualOverride&quot;:{&quot;isManuallyOverridden&quot;:false,&quot;citeprocText&quot;:&quot;(Halim et al. 2018)&quot;,&quot;manualOverrideText&quot;:&quot;&quot;},&quot;citationTag&quot;:&quot;MENDELEY_CITATION_v3_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&quot;,&quot;citationItems&quot;:[{&quot;id&quot;:&quot;f0bdbed7-1de6-397c-8cbd-5115ba8e2e38&quot;,&quot;itemData&quot;:{&quot;type&quot;:&quot;article-journal&quot;,&quot;id&quot;:&quot;f0bdbed7-1de6-397c-8cbd-5115ba8e2e38&quot;,&quot;title&quot;:&quot;Chitosan, gelatin and methylcellulose films incorporated with tannic acid for food packaging&quot;,&quot;author&quot;:[{&quot;family&quot;:&quot;Halim&quot;,&quot;given&quot;:&quot;Al Luqman Abdul&quot;,&quot;parse-names&quot;:false,&quot;dropping-particle&quot;:&quot;&quot;,&quot;non-dropping-particle&quot;:&quot;&quot;},{&quot;family&quot;:&quot;Kamari&quot;,&quot;given&quot;:&quot;Azlan&quot;,&quot;parse-names&quot;:false,&quot;dropping-particle&quot;:&quot;&quot;,&quot;non-dropping-particle&quot;:&quot;&quot;},{&quot;family&quot;:&quot;Phillip&quot;,&quot;given&quot;:&quot;Esther&quot;,&quot;parse-names&quot;:false,&quot;dropping-particle&quot;:&quot;&quot;,&quot;non-dropping-particle&quot;:&quot;&quot;}],&quot;container-title&quot;:&quot;International Journal of Biological Macromolecules&quot;,&quot;accessed&quot;:{&quot;date-parts&quot;:[[2025,3,5]]},&quot;DOI&quot;:&quot;10.1016/J.IJBIOMAC.2018.08.169&quot;,&quot;ISSN&quot;:&quot;0141-8130&quot;,&quot;PMID&quot;:&quot;30176328&quot;,&quot;issued&quot;:{&quot;date-parts&quot;:[[2018,12,1]]},&quot;page&quot;:&quot;1119-1126&quot;,&quot;abstract&quot;:&quot;In this work, chitosan, gelatin and methylcellulose films incorporated with tannic acid (TA) were synthesised, characterised and applied for the first time to preserve cherry tomatoes (Solanum lycopersicum var. cerasiforme) and grapes (Vitis vinifera). The addition of TA at 15% (w/w) increased the transparency value of biopolymer films. The highest increment of transparency value was obtained for MC-TA film, increased from 0.572 to 4.73 A/mm. Based on antimicrobial study, the addition of TA improved the antibacterial properties of biopolymers against Escherichia coli (E. coli) and Staphylococcus aureus (S. aureus). The ability of films to preserve both fruits was evaluated in a 14-day preservation study. The application of biopolymer films treated with TA has decreased the weight loss and browning index of fruits, as compared to control films. A significant reduction in the weight loss of cherry tomatoes wrapped with chitosan (from 21.3 to 19.6%), gelatin (from 22.1 to 15.5%) and methylcellulose (26.2 to 20.5%) films were obtained following TA treatment. Overall, results obtained from this study highlight the effects of TA on physiochemical properties of biopolymer films and their ability to preserve fruits.&quot;,&quot;publisher&quot;:&quot;Elsevier&quot;,&quot;volume&quot;:&quot;120&quot;,&quot;container-title-short&quot;:&quot;Int J Biol Macromol&quot;},&quot;isTemporary&quot;:false}]},{&quot;citationID&quot;:&quot;MENDELEY_CITATION_0e2e6e0d-53bc-4389-a12a-5a08cec33528&quot;,&quot;properties&quot;:{&quot;noteIndex&quot;:0},&quot;isEdited&quot;:false,&quot;manualOverride&quot;:{&quot;isManuallyOverridden&quot;:true,&quot;citeprocText&quot;:&quot;(Sharma et al. 2022)&quot;,&quot;manualOverrideText&quot;:&quot;(2022)&quot;},&quot;citationTag&quot;:&quot;MENDELEY_CITATION_v3_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&quot;,&quot;citationItems&quot;:[{&quot;id&quot;:&quot;69a4070b-f795-3754-ba7d-1878918f3bc8&quot;,&quot;itemData&quot;:{&quot;type&quot;:&quot;article-journal&quot;,&quot;id&quot;:&quot;69a4070b-f795-3754-ba7d-1878918f3bc8&quot;,&quot;title&quot;:&quot;Active Packaging Film Based on Poly Lactide-Poly (Butylene Adipate-Co-Terephthalate) Blends Incorporated with Tannic Acid and Gallic Acid for the Prolonged Shelf Life of Cherry Tomato&quot;,&quot;author&quot;:[{&quot;family&quot;:&quot;Sharma&quot;,&quot;given&quot;:&quot;Shubham&quot;,&quot;parse-names&quot;:false,&quot;dropping-particle&quot;:&quot;&quot;,&quot;non-dropping-particle&quot;:&quot;&quot;},{&quot;family&quot;:&quot;Perera&quot;,&quot;given&quot;:&quot;Kalpani Y.&quot;,&quot;parse-names&quot;:false,&quot;dropping-particle&quot;:&quot;&quot;,&quot;non-dropping-particle&quot;:&quot;&quot;},{&quot;family&quot;:&quot;Pradhan&quot;,&quot;given&quot;:&quot;Dileswar&quot;,&quot;parse-names&quot;:false,&quot;dropping-particle&quot;:&quot;&quot;,&quot;non-dropping-particle&quot;:&quot;&quot;},{&quot;family&quot;:&quot;Duffy&quot;,&quot;given&quot;:&quot;Brendan&quot;,&quot;parse-names&quot;:false,&quot;dropping-particle&quot;:&quot;&quot;,&quot;non-dropping-particle&quot;:&quot;&quot;},{&quot;family&quot;:&quot;Jaiswal&quot;,&quot;given&quot;:&quot;Amit K.&quot;,&quot;parse-names&quot;:false,&quot;dropping-particle&quot;:&quot;&quot;,&quot;non-dropping-particle&quot;:&quot;&quot;},{&quot;family&quot;:&quot;Jaiswal&quot;,&quot;given&quot;:&quot;Swarna&quot;,&quot;parse-names&quot;:false,&quot;dropping-particle&quot;:&quot;&quot;,&quot;non-dropping-particle&quot;:&quot;&quot;}],&quot;container-title&quot;:&quot;Coatings 2022, Vol. 12, Page 1902&quot;,&quot;accessed&quot;:{&quot;date-parts&quot;:[[2025,3,5]]},&quot;DOI&quot;:&quot;10.3390/COATINGS12121902&quot;,&quot;ISSN&quot;:&quot;2079-6412&quot;,&quot;URL&quot;:&quot;https://www.mdpi.com/2079-6412/12/12/1902/htm&quot;,&quot;issued&quot;:{&quot;date-parts&quot;:[[2022,12,5]]},&quot;page&quot;:&quot;1902&quot;,&quot;abstract&quot;:&quot;The antimicrobial property is the key feature of active packaging. Biological macromolecules such as tannic and gallic acids are naturally found in plants such as tea, fruits, berries, and grapes. The incorporation of tannic acid (TA) and gallic acid (GA) in the biodegradable polymer blend Poly Lactide-Poly (Butylene Adipate-Co-Terephthalate) (PLA-PBAT) was used in this study to assess the potential of active packaging. TA and GA (10 wt%) composite films showed a 65%–66% increase in the UV barrier property. The tensile strength value increased after the incorporation of TA and GA (10 wt%), respectively. Overall, 1.67 and 2.2 log reductions in E. coli and L. monocytogenes growth were observed, respectively, in the presence of TA (10 wt%) composite film. In addition, TA composite film was able to maintain and enhance the quality of cherry tomatoes for up to 20 days of storage at room temperature. For cherry tomatoes packed in PLA-PBAT-TA10 (wt%), TSS decreased by 6.3%, pH was 4.3, and a microbial reduction of 2.70 log CFU/mL was observed. In conclusion, TA composite film had confirmed significant UV blocking properties, surface hydrophobicity, and antibacterial properties, which show its potential as an active packaging film.&quot;,&quot;publisher&quot;:&quot;Multidisciplinary Digital Publishing Institute&quot;,&quot;issue&quot;:&quot;12&quot;,&quot;volume&quot;:&quot;12&quot;,&quot;container-title-short&quot;:&quot;&quot;},&quot;isTemporary&quot;:false}]},{&quot;citationID&quot;:&quot;MENDELEY_CITATION_370b7984-10bc-4b49-82f2-1df695e24ad4&quot;,&quot;properties&quot;:{&quot;noteIndex&quot;:0},&quot;isEdited&quot;:false,&quot;manualOverride&quot;:{&quot;isManuallyOverridden&quot;:false,&quot;citeprocText&quot;:&quot;(Wicklund et al. 2005)&quot;,&quot;manualOverrideText&quot;:&quot;&quot;},&quot;citationTag&quot;:&quot;MENDELEY_CITATION_v3_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&quot;,&quot;citationItems&quot;:[{&quot;id&quot;:&quot;39055cb6-fc9f-30ec-bdc0-69dc0b6f8c0a&quot;,&quot;itemData&quot;:{&quot;type&quot;:&quot;article-journal&quot;,&quot;id&quot;:&quot;39055cb6-fc9f-30ec-bdc0-69dc0b6f8c0a&quot;,&quot;title&quot;:&quot;Antioxidant capacity and colour of strawberry jam as influenced by cultivar and storage conditions&quot;,&quot;author&quot;:[{&quot;family&quot;:&quot;Wicklund&quot;,&quot;given&quot;:&quot;Trude&quot;,&quot;parse-names&quot;:false,&quot;dropping-particle&quot;:&quot;&quot;,&quot;non-dropping-particle&quot;:&quot;&quot;},{&quot;family&quot;:&quot;Rosenfeld&quot;,&quot;given&quot;:&quot;Hans J.&quot;,&quot;parse-names&quot;:false,&quot;dropping-particle&quot;:&quot;&quot;,&quot;non-dropping-particle&quot;:&quot;&quot;},{&quot;family&quot;:&quot;Martinsen&quot;,&quot;given&quot;:&quot;Berit K.&quot;,&quot;parse-names&quot;:false,&quot;dropping-particle&quot;:&quot;&quot;,&quot;non-dropping-particle&quot;:&quot;&quot;},{&quot;family&quot;:&quot;Sundfør&quot;,&quot;given&quot;:&quot;Margareth W.&quot;,&quot;parse-names&quot;:false,&quot;dropping-particle&quot;:&quot;&quot;,&quot;non-dropping-particle&quot;:&quot;&quot;},{&quot;family&quot;:&quot;Lea&quot;,&quot;given&quot;:&quot;Per&quot;,&quot;parse-names&quot;:false,&quot;dropping-particle&quot;:&quot;&quot;,&quot;non-dropping-particle&quot;:&quot;&quot;},{&quot;family&quot;:&quot;Bruun&quot;,&quot;given&quot;:&quot;Tor&quot;,&quot;parse-names&quot;:false,&quot;dropping-particle&quot;:&quot;&quot;,&quot;non-dropping-particle&quot;:&quot;&quot;},{&quot;family&quot;:&quot;Blomhoff&quot;,&quot;given&quot;:&quot;Rune&quot;,&quot;parse-names&quot;:false,&quot;dropping-particle&quot;:&quot;&quot;,&quot;non-dropping-particle&quot;:&quot;&quot;},{&quot;family&quot;:&quot;Haffner&quot;,&quot;given&quot;:&quot;Karin&quot;,&quot;parse-names&quot;:false,&quot;dropping-particle&quot;:&quot;&quot;,&quot;non-dropping-particle&quot;:&quot;&quot;}],&quot;container-title&quot;:&quot;LWT - Food Science and Technology&quot;,&quot;accessed&quot;:{&quot;date-parts&quot;:[[2025,3,5]]},&quot;DOI&quot;:&quot;10.1016/J.LWT.2004.06.017&quot;,&quot;ISSN&quot;:&quot;0023-6438&quot;,&quot;issued&quot;:{&quot;date-parts&quot;:[[2005,6,1]]},&quot;page&quot;:&quot;387-391&quot;,&quot;abstract&quot;:&quot;Jam was prepared from five strawberry cultivars; 'Senga Sengana', 'Korona', 'Polka', 'Honeoye' and 'Inga'. The jam was stored at 4 and 20°C, in darkness and under fluorescent light (950 lux). The quality parameters assessed were colour reflectance at 650 nm, Hunter L*,a*,b*, anthocyanin pigments and total antioxidant capacity assessed by FRAP-assay. Jam produced of all cultivars stored at 4°C had significantly better colour qualities and FRAP-values than jam stored at 20°C. The light conditions during storage did not affect the assessed quality parameters of the product during three months of storage. The cultivars 'Senga Sengana', 'Korona', 'Honeoye' and 'Polka' showed the highest a*-values (red colour), but only 'Korona', 'Honeoye' and 'Polka' showed a high total antioxidant capacity, as measured by FRAP and compared to 'Senga Sengana' and 'Inga'. Thus, to achieve a good coloured strawberry jam with high antioxidant capacity, the industry should consider to store the products at 4°C and to replace 'Senga Sengana' with one of the 'Korona', 'Honeoye' and 'Polka' cultivars. © 2004 Swiss Society of Food Science and Technology. Published by Elsevier Ltd. All rights reserved.&quot;,&quot;publisher&quot;:&quot;Academic Press&quot;,&quot;issue&quot;:&quot;4&quot;,&quot;volume&quot;:&quot;38&quot;,&quot;container-title-short&quot;:&quot;&quot;},&quot;isTemporary&quot;:false}]},{&quot;citationID&quot;:&quot;MENDELEY_CITATION_424723ac-2f54-4a64-ad82-0f490b5d1fa6&quot;,&quot;properties&quot;:{&quot;noteIndex&quot;:0},&quot;isEdited&quot;:false,&quot;manualOverride&quot;:{&quot;isManuallyOverridden&quot;:false,&quot;citeprocText&quot;:&quot;(Peretto et al. 2014)&quot;,&quot;manualOverrideText&quot;:&quot;&quot;},&quot;citationTag&quot;:&quot;MENDELEY_CITATION_v3_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&quot;,&quot;citationItems&quot;:[{&quot;id&quot;:&quot;1885fadf-4684-37d9-967b-485cdd2f597f&quot;,&quot;itemData&quot;:{&quot;type&quot;:&quot;article-journal&quot;,&quot;id&quot;:&quot;1885fadf-4684-37d9-967b-485cdd2f597f&quot;,&quot;title&quot;:&quot;Increasing strawberry shelf-life with carvacrol and methyl cinnamate antimicrobial vapors released from edible films&quot;,&quot;author&quot;:[{&quot;family&quot;:&quot;Peretto&quot;,&quot;given&quot;:&quot;Greta&quot;,&quot;parse-names&quot;:false,&quot;dropping-particle&quot;:&quot;&quot;,&quot;non-dropping-particle&quot;:&quot;&quot;},{&quot;family&quot;:&quot;Du&quot;,&quot;given&quot;:&quot;Wen Xian&quot;,&quot;parse-names&quot;:false,&quot;dropping-particle&quot;:&quot;&quot;,&quot;non-dropping-particle&quot;:&quot;&quot;},{&quot;family&quot;:&quot;Avena-Bustillos&quot;,&quot;given&quot;:&quot;Roberto J.&quot;,&quot;parse-names&quot;:false,&quot;dropping-particle&quot;:&quot;&quot;,&quot;non-dropping-particle&quot;:&quot;&quot;},{&quot;family&quot;:&quot;Sarreal&quot;,&quot;given&quot;:&quot;Siov Bouy L.&quot;,&quot;parse-names&quot;:false,&quot;dropping-particle&quot;:&quot;&quot;,&quot;non-dropping-particle&quot;:&quot;&quot;},{&quot;family&quot;:&quot;Hua&quot;,&quot;given&quot;:&quot;Sui Sheng T.&quot;,&quot;parse-names&quot;:false,&quot;dropping-particle&quot;:&quot;&quot;,&quot;non-dropping-particle&quot;:&quot;&quot;},{&quot;family&quot;:&quot;Sambo&quot;,&quot;given&quot;:&quot;Paolo&quot;,&quot;parse-names&quot;:false,&quot;dropping-particle&quot;:&quot;&quot;,&quot;non-dropping-particle&quot;:&quot;&quot;},{&quot;family&quot;:&quot;McHugh&quot;,&quot;given&quot;:&quot;Tara H.&quot;,&quot;parse-names&quot;:false,&quot;dropping-particle&quot;:&quot;&quot;,&quot;non-dropping-particle&quot;:&quot;&quot;}],&quot;container-title&quot;:&quot;Postharvest Biology and Technology&quot;,&quot;accessed&quot;:{&quot;date-parts&quot;:[[2025,3,5]]},&quot;DOI&quot;:&quot;10.1016/J.POSTHARVBIO.2013.11.003&quot;,&quot;ISSN&quot;:&quot;0925-5214&quot;,&quot;issued&quot;:{&quot;date-parts&quot;:[[2014,3,1]]},&quot;page&quot;:&quot;11-18&quot;,&quot;abstract&quot;:&quot;The effect of carvacrol and methyl cinnamate vapors incorporated into strawberry puree edible films on the postharvest quality of strawberry fruit (Fragaria×. ananassa) was investigated. Fresh strawberries were packed in clamshells and kept at 10. °C for 10 days with 90% RH. Strawberry puree edible films, applied in the clamshell, served as carriers for the controlled release of natural antimicrobial compounds without direct contact with the fruit. Changes in weight loss, visible decay, firmness, surface color, total soluble solids content, total soluble phenolics content and antioxidant capacity of strawberries during storage were evaluated. A significant delay and reduction in the severity of visible decay was observed in fruit exposed to antimicrobial vapors. Carvacrol and methyl cinnamate vapors released from the films helped to maintain firmness and brightness of strawberries as compare to the untreated strawberries. The natural antimicrobial vapors also increased the total soluble phenolics content and antioxidant activity of fruit at the end of the storage period. © 2013 Elsevier B.V.&quot;,&quot;publisher&quot;:&quot;Elsevier&quot;,&quot;volume&quot;:&quot;89&quot;,&quot;container-title-short&quot;:&quot;Postharvest Biol Technol&quot;},&quot;isTemporary&quot;:false}]},{&quot;citationID&quot;:&quot;MENDELEY_CITATION_1d892837-ee68-415f-9538-0ab34dd047d6&quot;,&quot;properties&quot;:{&quot;noteIndex&quot;:0},&quot;isEdited&quot;:false,&quot;manualOverride&quot;:{&quot;isManuallyOverridden&quot;:false,&quot;citeprocText&quot;:&quot;(Hurtado et al. 2021)&quot;,&quot;manualOverrideText&quot;:&quot;&quot;},&quot;citationTag&quot;:&quot;MENDELEY_CITATION_v3_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&quot;,&quot;citationItems&quot;:[{&quot;id&quot;:&quot;0242109a-2821-38eb-87d8-91c943e9d9b4&quot;,&quot;itemData&quot;:{&quot;type&quot;:&quot;article-journal&quot;,&quot;id&quot;:&quot;0242109a-2821-38eb-87d8-91c943e9d9b4&quot;,&quot;title&quot;:&quot;Strawberry fruit skins are far more permeable to osmotic water uptake than to transpirational water loss&quot;,&quot;author&quot;:[{&quot;family&quot;:&quot;Hurtado&quot;,&quot;given&quot;:&quot;Grecia&quot;,&quot;parse-names&quot;:false,&quot;dropping-particle&quot;:&quot;&quot;,&quot;non-dropping-particle&quot;:&quot;&quot;},{&quot;family&quot;:&quot;Grimm&quot;,&quot;given&quot;:&quot;Eckhard&quot;,&quot;parse-names&quot;:false,&quot;dropping-particle&quot;:&quot;&quot;,&quot;non-dropping-particle&quot;:&quot;&quot;},{&quot;family&quot;:&quot;Bruggenwirth&quot;,&quot;given&quot;:&quot;Martin&quot;,&quot;parse-names&quot;:false,&quot;dropping-particle&quot;:&quot;&quot;,&quot;non-dropping-particle&quot;:&quot;&quot;},{&quot;family&quot;:&quot;Knoche&quot;,&quot;given&quot;:&quot;Moritz&quot;,&quot;parse-names&quot;:false,&quot;dropping-particle&quot;:&quot;&quot;,&quot;non-dropping-particle&quot;:&quot;&quot;}],&quot;container-title&quot;:&quot;PLoS ONE&quot;,&quot;container-title-short&quot;:&quot;PLoS One&quot;,&quot;accessed&quot;:{&quot;date-parts&quot;:[[2025,3,11]]},&quot;DOI&quot;:&quot;10.1371/JOURNAL.PONE.0251351&quot;,&quot;ISSN&quot;:&quot;19326203&quot;,&quot;PMID&quot;:&quot;33984039&quot;,&quot;URL&quot;:&quot;https://pmc.ncbi.nlm.nih.gov/articles/PMC8118533/&quot;,&quot;issued&quot;:{&quot;date-parts&quot;:[[2021,5,1]]},&quot;page&quot;:&quot;e0251351&quot;,&quot;abstract&quot;:&quot;Water movements through the fruit skin play critical roles in many disorders of strawberry (Fragaria × ananassa Duch.) such as water soaking, cracking and shriveling. The objective was to identify the mechanisms of fruit water loss (dry skin, transpiration) and water uptake (wet skin, osmosis). Fruits were held above dried silica gel or incubated in deionized water. Water movements were quantified gravimetrically. Transpiration and osmotic uptake increased linearly with time. Abrading the thin cuticle (0.62 g m-2) increased rates of transpiration 2.6-fold, the rates of osmotic uptake 7.9-fold. The osmotic potential of the expressed juice was nearly the same for green and for white fruit but decreased in red fruit stages. Fruit turgor was low throughout development, except for green fruit. There was no relationship between the rates of water movement and fruit osmotic potential. The skin permeance for transpiration and for osmotic uptake were both high (relative to other fruit species) but were two orders of magnitude greater for osmotic uptake than for transpiration. Incubating fruit in isotonic solutions of osmolytes of different sizes resulted in increases in fruit mass that depended on the osmolyte. The rate of osmotic uptake decreased asymptotically as molecular size of the osmolyte increased. When transpiration and osmotic uptake experiments were conducted sequentially on the same fruit, the rates of transpiration were higher for fruit previously incubated in water. Fluorescence microscopy revealed considerable microcracking in a fruit previously incubated in water. Our findings indicate that the high permeance for osmotic uptake is accounted for by an extremely thin cuticle and by viscous water flow through microcracks and along polar pathways.&quot;,&quot;publisher&quot;:&quot;Public Library of Science&quot;,&quot;issue&quot;:&quot;5&quot;,&quot;volume&quot;:&quot;16&quot;},&quot;isTemporary&quot;:false}]},{&quot;citationID&quot;:&quot;MENDELEY_CITATION_5c0986dc-1c3c-40d9-b8bc-799abc34521c&quot;,&quot;properties&quot;:{&quot;noteIndex&quot;:0},&quot;isEdited&quot;:false,&quot;manualOverride&quot;:{&quot;isManuallyOverridden&quot;:false,&quot;citeprocText&quot;:&quot;(Gidado et al. 2024)&quot;,&quot;manualOverrideText&quot;:&quot;&quot;},&quot;citationTag&quot;:&quot;MENDELEY_CITATION_v3_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&quot;,&quot;citationItems&quot;:[{&quot;id&quot;:&quot;e701666e-1a25-3fa9-9f7b-84625738903e&quot;,&quot;itemData&quot;:{&quot;type&quot;:&quot;article-journal&quot;,&quot;id&quot;:&quot;e701666e-1a25-3fa9-9f7b-84625738903e&quot;,&quot;title&quot;:&quot;Challenges of postharvest water loss in fruits: Mechanisms, influencing factors, and effective control strategies – A comprehensive review&quot;,&quot;author&quot;:[{&quot;family&quot;:&quot;Gidado&quot;,&quot;given&quot;:&quot;M. J.&quot;,&quot;parse-names&quot;:false,&quot;dropping-particle&quot;:&quot;&quot;,&quot;non-dropping-particle&quot;:&quot;&quot;},{&quot;family&quot;:&quot;Gunny&quot;,&quot;given&quot;:&quot;Ahmad Anas Nagoor&quot;,&quot;parse-names&quot;:false,&quot;dropping-particle&quot;:&quot;&quot;,&quot;non-dropping-particle&quot;:&quot;&quot;},{&quot;family&quot;:&quot;Gopinath&quot;,&quot;given&quot;:&quot;Subash C.B.&quot;,&quot;parse-names&quot;:false,&quot;dropping-particle&quot;:&quot;&quot;,&quot;non-dropping-particle&quot;:&quot;&quot;},{&quot;family&quot;:&quot;Ali&quot;,&quot;given&quot;:&quot;Asgar&quot;,&quot;parse-names&quot;:false,&quot;dropping-particle&quot;:&quot;&quot;,&quot;non-dropping-particle&quot;:&quot;&quot;},{&quot;family&quot;:&quot;Wongs-Aree&quot;,&quot;given&quot;:&quot;Chalermchai&quot;,&quot;parse-names&quot;:false,&quot;dropping-particle&quot;:&quot;&quot;,&quot;non-dropping-particle&quot;:&quot;&quot;},{&quot;family&quot;:&quot;Salleh&quot;,&quot;given&quot;:&quot;Noor Hasyierah Mohd&quot;,&quot;parse-names&quot;:false,&quot;dropping-particle&quot;:&quot;&quot;,&quot;non-dropping-particle&quot;:&quot;&quot;}],&quot;container-title&quot;:&quot;Journal of Agriculture and Food Research&quot;,&quot;accessed&quot;:{&quot;date-parts&quot;:[[2025,3,5]]},&quot;DOI&quot;:&quot;10.1016/J.JAFR.2024.101249&quot;,&quot;ISSN&quot;:&quot;2666-1543&quot;,&quot;issued&quot;:{&quot;date-parts&quot;:[[2024,9,1]]},&quot;page&quot;:&quot;101249&quot;,&quot;abstract&quot;:&quot;Water loss is a critical concern in postharvest fruit technology, significantly impacting fruit quality, shelf life, and market value. This phenomenon involves the loss of moisture from fruit tissues, leading to physiological changes, reduced quality, and lower market value, which can contribute to food waste. Consumers perceive fruit with visible signs of water loss as lower quality. Therefore, minimizing water loss is essential through proper postharvest handling and storage practices, including temperature and humidity control, cooling, humidification, and the application of edible coatings and new modified coating techniques. Despite the importance of managing water loss, comprehensive information on its mechanisms and contributing factors in postharvest fruit technology is scarce. This paper aims to provide insights into the mechanisms, impact, influencing factors, and control strategies related to water loss in the context of postharvest fruit technology.&quot;,&quot;publisher&quot;:&quot;Elsevier&quot;,&quot;volume&quot;:&quot;17&quot;,&quot;container-title-short&quot;:&quot;J Agric Food Res&quot;},&quot;isTemporary&quot;:false}]},{&quot;citationID&quot;:&quot;MENDELEY_CITATION_99a1f293-2bc1-4fcf-990a-3c944f2dc8f1&quot;,&quot;properties&quot;:{&quot;noteIndex&quot;:0},&quot;isEdited&quot;:false,&quot;manualOverride&quot;:{&quot;isManuallyOverridden&quot;:true,&quot;citeprocText&quot;:&quot;(Halim et al. 2018)&quot;,&quot;manualOverrideText&quot;:&quot;(2018)&quot;},&quot;citationTag&quot;:&quot;MENDELEY_CITATION_v3_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&quot;,&quot;citationItems&quot;:[{&quot;id&quot;:&quot;f0bdbed7-1de6-397c-8cbd-5115ba8e2e38&quot;,&quot;itemData&quot;:{&quot;type&quot;:&quot;article-journal&quot;,&quot;id&quot;:&quot;f0bdbed7-1de6-397c-8cbd-5115ba8e2e38&quot;,&quot;title&quot;:&quot;Chitosan, gelatin and methylcellulose films incorporated with tannic acid for food packaging&quot;,&quot;author&quot;:[{&quot;family&quot;:&quot;Halim&quot;,&quot;given&quot;:&quot;Al Luqman Abdul&quot;,&quot;parse-names&quot;:false,&quot;dropping-particle&quot;:&quot;&quot;,&quot;non-dropping-particle&quot;:&quot;&quot;},{&quot;family&quot;:&quot;Kamari&quot;,&quot;given&quot;:&quot;Azlan&quot;,&quot;parse-names&quot;:false,&quot;dropping-particle&quot;:&quot;&quot;,&quot;non-dropping-particle&quot;:&quot;&quot;},{&quot;family&quot;:&quot;Phillip&quot;,&quot;given&quot;:&quot;Esther&quot;,&quot;parse-names&quot;:false,&quot;dropping-particle&quot;:&quot;&quot;,&quot;non-dropping-particle&quot;:&quot;&quot;}],&quot;container-title&quot;:&quot;International Journal of Biological Macromolecules&quot;,&quot;accessed&quot;:{&quot;date-parts&quot;:[[2025,3,5]]},&quot;DOI&quot;:&quot;10.1016/J.IJBIOMAC.2018.08.169&quot;,&quot;ISSN&quot;:&quot;0141-8130&quot;,&quot;PMID&quot;:&quot;30176328&quot;,&quot;issued&quot;:{&quot;date-parts&quot;:[[2018,12,1]]},&quot;page&quot;:&quot;1119-1126&quot;,&quot;abstract&quot;:&quot;In this work, chitosan, gelatin and methylcellulose films incorporated with tannic acid (TA) were synthesised, characterised and applied for the first time to preserve cherry tomatoes (Solanum lycopersicum var. cerasiforme) and grapes (Vitis vinifera). The addition of TA at 15% (w/w) increased the transparency value of biopolymer films. The highest increment of transparency value was obtained for MC-TA film, increased from 0.572 to 4.73 A/mm. Based on antimicrobial study, the addition of TA improved the antibacterial properties of biopolymers against Escherichia coli (E. coli) and Staphylococcus aureus (S. aureus). The ability of films to preserve both fruits was evaluated in a 14-day preservation study. The application of biopolymer films treated with TA has decreased the weight loss and browning index of fruits, as compared to control films. A significant reduction in the weight loss of cherry tomatoes wrapped with chitosan (from 21.3 to 19.6%), gelatin (from 22.1 to 15.5%) and methylcellulose (26.2 to 20.5%) films were obtained following TA treatment. Overall, results obtained from this study highlight the effects of TA on physiochemical properties of biopolymer films and their ability to preserve fruits.&quot;,&quot;publisher&quot;:&quot;Elsevier&quot;,&quot;volume&quot;:&quot;120&quot;,&quot;container-title-short&quot;:&quot;Int J Biol Macromol&quot;},&quot;isTemporary&quot;:false}]}]"/>
    <we:property name="MENDELEY_CITATIONS_LOCALE_CODE" value="&quot;en-US&quot;"/>
    <we:property name="MENDELEY_CITATIONS_STYLE" value="{&quot;id&quot;:&quot;https://www.zotero.org/styles/bern-university-of-applied-sciences-school-of-agricultural-forest-and-food-sciences-hafl&quot;,&quot;title&quot;:&quot;Bern University of Applied Sciences - School of Agricultural, Forest and Food Sciences HAFL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Pages>
  <Words>2683</Words>
  <Characters>15296</Characters>
  <Application>Microsoft Office Word</Application>
  <DocSecurity>0</DocSecurity>
  <Lines>127</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giulia  leni</cp:lastModifiedBy>
  <cp:revision>189</cp:revision>
  <cp:lastPrinted>2015-05-12T18:31:00Z</cp:lastPrinted>
  <dcterms:created xsi:type="dcterms:W3CDTF">2025-03-04T15:53:00Z</dcterms:created>
  <dcterms:modified xsi:type="dcterms:W3CDTF">2025-03-15T08:20:00Z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