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E47A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E47A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E47AC">
        <w:trPr>
          <w:trHeight w:val="68"/>
          <w:jc w:val="center"/>
        </w:trPr>
        <w:tc>
          <w:tcPr>
            <w:tcW w:w="8782"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Laura Piazza, Francesco Donsì</w:t>
            </w:r>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5088BA0" w14:textId="65E04CE6" w:rsidR="00BE47AC" w:rsidRDefault="00BE47AC" w:rsidP="00E978D0">
      <w:pPr>
        <w:pStyle w:val="CETTitle"/>
      </w:pPr>
      <w:r w:rsidRPr="00BE47AC">
        <w:t xml:space="preserve">3D </w:t>
      </w:r>
      <w:r w:rsidR="003F2361">
        <w:t>P</w:t>
      </w:r>
      <w:r w:rsidRPr="00BE47AC">
        <w:t xml:space="preserve">rinting of </w:t>
      </w:r>
      <w:r w:rsidR="003F2361">
        <w:t>M</w:t>
      </w:r>
      <w:r w:rsidRPr="00BE47AC">
        <w:t xml:space="preserve">eat </w:t>
      </w:r>
      <w:r w:rsidR="003F2361">
        <w:t>A</w:t>
      </w:r>
      <w:r w:rsidRPr="00BE47AC">
        <w:t xml:space="preserve">nalogues </w:t>
      </w:r>
      <w:r w:rsidR="003F2361">
        <w:t>f</w:t>
      </w:r>
      <w:r w:rsidRPr="00BE47AC">
        <w:t xml:space="preserve">rom </w:t>
      </w:r>
      <w:r w:rsidR="003F2361">
        <w:t>P</w:t>
      </w:r>
      <w:r w:rsidRPr="00BE47AC">
        <w:t xml:space="preserve">lant </w:t>
      </w:r>
      <w:r w:rsidR="003F2361">
        <w:t>P</w:t>
      </w:r>
      <w:r w:rsidRPr="00BE47AC">
        <w:t xml:space="preserve">roteins </w:t>
      </w:r>
      <w:r w:rsidR="003F2361">
        <w:t>U</w:t>
      </w:r>
      <w:r w:rsidRPr="00BE47AC">
        <w:t xml:space="preserve">sing </w:t>
      </w:r>
      <w:r w:rsidR="003F2361">
        <w:t>S</w:t>
      </w:r>
      <w:r w:rsidRPr="00BE47AC">
        <w:t xml:space="preserve">odium </w:t>
      </w:r>
      <w:r w:rsidR="003F2361">
        <w:t>A</w:t>
      </w:r>
      <w:r w:rsidRPr="00BE47AC">
        <w:t xml:space="preserve">lginate and </w:t>
      </w:r>
      <w:r w:rsidR="003F2361">
        <w:t>T</w:t>
      </w:r>
      <w:r w:rsidRPr="00BE47AC">
        <w:t xml:space="preserve">ransglutaminase as </w:t>
      </w:r>
      <w:r w:rsidR="003F2361">
        <w:t>C</w:t>
      </w:r>
      <w:r w:rsidRPr="00BE47AC">
        <w:t xml:space="preserve">ross-linking </w:t>
      </w:r>
      <w:r w:rsidR="003F2361">
        <w:t>A</w:t>
      </w:r>
      <w:r w:rsidRPr="00BE47AC">
        <w:t>gents</w:t>
      </w:r>
    </w:p>
    <w:p w14:paraId="7343F57A" w14:textId="4C71A194" w:rsidR="00BE47AC" w:rsidRPr="00BE47AC" w:rsidRDefault="00BE47AC" w:rsidP="00B57E6F">
      <w:pPr>
        <w:pStyle w:val="CETAuthors"/>
        <w:rPr>
          <w:lang w:val="es-HN"/>
        </w:rPr>
      </w:pPr>
      <w:r w:rsidRPr="00BE47AC">
        <w:rPr>
          <w:lang w:val="es-HN"/>
        </w:rPr>
        <w:t>Adela Acosta Marchetti*, Juan J. Juarez García, Misael A. L</w:t>
      </w:r>
      <w:r w:rsidR="003F2361">
        <w:rPr>
          <w:lang w:val="es-HN"/>
        </w:rPr>
        <w:t>ó</w:t>
      </w:r>
      <w:r w:rsidRPr="00BE47AC">
        <w:rPr>
          <w:lang w:val="es-HN"/>
        </w:rPr>
        <w:t>pez, Jorge Cardona</w:t>
      </w:r>
    </w:p>
    <w:p w14:paraId="6B2D21B3" w14:textId="78CFF917" w:rsidR="00B57E6F" w:rsidRPr="00BE47AC" w:rsidRDefault="00BE47AC" w:rsidP="00B57E6F">
      <w:pPr>
        <w:pStyle w:val="CETAddress"/>
        <w:rPr>
          <w:lang w:val="en-US"/>
        </w:rPr>
      </w:pPr>
      <w:r w:rsidRPr="003F2361">
        <w:rPr>
          <w:lang w:val="en-US"/>
        </w:rPr>
        <w:t xml:space="preserve">Escuela Agricola Panamericana </w:t>
      </w:r>
      <w:r w:rsidRPr="00BE47AC">
        <w:rPr>
          <w:lang w:val="en-US"/>
        </w:rPr>
        <w:t xml:space="preserve">Zamorano </w:t>
      </w:r>
    </w:p>
    <w:p w14:paraId="325C1225" w14:textId="0FE12971" w:rsidR="00681460" w:rsidRPr="009378F0" w:rsidRDefault="00BE47AC" w:rsidP="00681460">
      <w:pPr>
        <w:pStyle w:val="CETemail"/>
      </w:pPr>
      <w:r>
        <w:t>*aacosta@zamorano.edu</w:t>
      </w:r>
    </w:p>
    <w:p w14:paraId="014D4E31" w14:textId="77777777" w:rsidR="003F2361" w:rsidRPr="003F2361" w:rsidRDefault="02316283" w:rsidP="00C006A7">
      <w:pPr>
        <w:pStyle w:val="CETBodytext"/>
        <w:rPr>
          <w:lang w:val="en-GB"/>
        </w:rPr>
      </w:pPr>
      <w:bookmarkStart w:id="0" w:name="_Hlk495475023"/>
      <w:r w:rsidRPr="02316283">
        <w:rPr>
          <w:lang w:val="en-GB"/>
        </w:rPr>
        <w:t>Global meat consumption continues to rise, yet a contrasting trend is observed in developed economies, where the growing demand for plant-based meat analogues is contributing to a stagnation in traditional meat consumption. This shift, coupled with the vulnerability of livestock farming to climate change, underscores the need for improved alternative products. Innovative technologies like additive manufacturing (3D printing) have emerged as promising tools to produce meat analogues with fibrillar structures closely resembling muscle tissue.</w:t>
      </w:r>
    </w:p>
    <w:p w14:paraId="04B319EE" w14:textId="69CE87C3" w:rsidR="00600535" w:rsidRDefault="2353569D" w:rsidP="00C006A7">
      <w:pPr>
        <w:pStyle w:val="CETBodytext"/>
      </w:pPr>
      <w:r w:rsidRPr="2353569D">
        <w:t xml:space="preserve">In this study, formulations based on soy protein (Glycine max (L.) Merril) and pea protein (Pisum sativum L.) were combined with varying proportions of alginate and transglutaminase as food inks for 3D printing. </w:t>
      </w:r>
      <w:r w:rsidR="00675439" w:rsidRPr="00675439">
        <w:t>The composition of ingredients in</w:t>
      </w:r>
      <w:r w:rsidRPr="2353569D">
        <w:t xml:space="preserve"> these formulations significantly influenced printing parameters such as speed and layer height. Pea protein-based formulations exhibited a broader printing window and superior shape fidelity, while soy-based formulations demonstrated minimal deformation over time. Furthermore, the interaction between alginate and transglutaminase as crosslinking agents impacted on key textural attributes, including hardness</w:t>
      </w:r>
      <w:r w:rsidR="00287F81">
        <w:t xml:space="preserve"> and </w:t>
      </w:r>
      <w:r w:rsidRPr="2353569D">
        <w:t>cohesiveness</w:t>
      </w:r>
      <w:r w:rsidR="00287F81">
        <w:t xml:space="preserve">. </w:t>
      </w:r>
      <w:r w:rsidRPr="2353569D">
        <w:t xml:space="preserve">These findings highlight the potential of tailored formulations and crosslinking strategies to enhance the structural properties of 3D-printed meat analogues.  </w:t>
      </w:r>
    </w:p>
    <w:bookmarkEnd w:id="0"/>
    <w:p w14:paraId="476B2F2E" w14:textId="77777777" w:rsidR="00600535" w:rsidRPr="00B57B36" w:rsidRDefault="00600535" w:rsidP="00600535">
      <w:pPr>
        <w:pStyle w:val="CETHeading1"/>
        <w:rPr>
          <w:lang w:val="en-GB"/>
        </w:rPr>
      </w:pPr>
      <w:r w:rsidRPr="00B57B36">
        <w:rPr>
          <w:lang w:val="en-GB"/>
        </w:rPr>
        <w:t>Introduction</w:t>
      </w:r>
    </w:p>
    <w:p w14:paraId="2F375C75" w14:textId="62789E74" w:rsidR="00644769" w:rsidRDefault="00644769" w:rsidP="00644769">
      <w:pPr>
        <w:pStyle w:val="CETBodytext"/>
      </w:pPr>
      <w:r>
        <w:t>Meat has been a fundamental dietary component since civilization began and remains a key economic sector. In the first half of 2023, the global meat market reached 363.9 million tons, reflecting a 0.4% growth compared to 2022 (FAO, 2023). This demand is primarily driven by population growth, projected to exceed 10 billion by the end of the century (</w:t>
      </w:r>
      <w:r w:rsidR="00E65358">
        <w:t>Cleland, 201</w:t>
      </w:r>
      <w:r>
        <w:t>3), and the expansion of middle-income populations in emerging economies (</w:t>
      </w:r>
      <w:r w:rsidR="00980CAE">
        <w:t>He, 2024</w:t>
      </w:r>
      <w:r>
        <w:t>). While demand continues rising in developing countries, developed nations, such as the United States and Europe, show market saturation, leading to stagnation or declines in per capita meat consumption (ODEPA, 2007). Additionally, climate change challenges livestock production, particularly in intensive farming systems vulnerable to environmental fluctuations (</w:t>
      </w:r>
      <w:r w:rsidR="00C20997" w:rsidRPr="00C20997">
        <w:t>Lorente-Saiz</w:t>
      </w:r>
      <w:r>
        <w:t>, 2010).</w:t>
      </w:r>
    </w:p>
    <w:p w14:paraId="79E2C1D4" w14:textId="286A1524" w:rsidR="00644769" w:rsidRDefault="00644769" w:rsidP="00644769">
      <w:pPr>
        <w:pStyle w:val="CETBodytext"/>
      </w:pPr>
      <w:r>
        <w:t>These factors have intensified interest in sustainable meat alternatives. Market forecasts predict a 10% annual growth rate for plant-based substitutes by 2029 (</w:t>
      </w:r>
      <w:r w:rsidR="00905454">
        <w:t>Bar</w:t>
      </w:r>
      <w:r w:rsidR="003E5C38">
        <w:t>c</w:t>
      </w:r>
      <w:r w:rsidR="00905454">
        <w:t>lays</w:t>
      </w:r>
      <w:r w:rsidR="003E5C38">
        <w:t xml:space="preserve"> Research</w:t>
      </w:r>
      <w:r w:rsidR="00905454">
        <w:t>, 2019</w:t>
      </w:r>
      <w:r>
        <w:t>). However, replicating the sensory attributes of conventional meat</w:t>
      </w:r>
      <w:r w:rsidR="007327B9">
        <w:t xml:space="preserve">, </w:t>
      </w:r>
      <w:r>
        <w:t>especially texture</w:t>
      </w:r>
      <w:r w:rsidR="007327B9">
        <w:t xml:space="preserve">, </w:t>
      </w:r>
      <w:r>
        <w:t>remains a challenge in meat analogue development (Kyriakopoulou et al., 2019). Emerging technologies, such as 3D food printing, offer a promising solution by enabling the fabrication of complex food structures unattainable through conventional processing.</w:t>
      </w:r>
    </w:p>
    <w:p w14:paraId="0B32CD3E" w14:textId="77BC566A" w:rsidR="00644769" w:rsidRDefault="00644769" w:rsidP="00644769">
      <w:pPr>
        <w:pStyle w:val="CETBodytext"/>
      </w:pPr>
      <w:r>
        <w:t>Early food printing studies focused on chocolate-based structures (Universities of Exeter and Brunel) and pasta printing (Cornell University) (</w:t>
      </w:r>
      <w:proofErr w:type="spellStart"/>
      <w:r>
        <w:t>MINCyT</w:t>
      </w:r>
      <w:proofErr w:type="spellEnd"/>
      <w:r>
        <w:t>, 2015). Today, 3D food printing is a rapidly growing research field, particularly in meat analogue development, where it enables the creation of fibrillar structures that mimic animal muscle (Zhu, 2022).</w:t>
      </w:r>
    </w:p>
    <w:p w14:paraId="36F8744D" w14:textId="2292A4D6" w:rsidR="00644769" w:rsidRDefault="00644769" w:rsidP="00644769">
      <w:pPr>
        <w:pStyle w:val="CETBodytext"/>
      </w:pPr>
      <w:r>
        <w:t>Sustainable plant-based proteins, such as soy (Glycine max) and pea (Pisum sativum), are widely used in meat analogue formulations due to their low cost and functional properties (Kyriakopoulou et al., 2019). Additionally, oyster mushrooms (Pleurotus ostreatus) provide umami flavor and grow on agricultural byproducts, enhancing environmental feasibility (</w:t>
      </w:r>
      <w:r w:rsidR="00C64C4D" w:rsidRPr="00C64C4D">
        <w:t>Singh</w:t>
      </w:r>
      <w:r w:rsidR="00C64C4D">
        <w:t xml:space="preserve"> et al.</w:t>
      </w:r>
      <w:r w:rsidR="009F79A1">
        <w:t>,</w:t>
      </w:r>
      <w:r w:rsidR="00230CA6">
        <w:t xml:space="preserve"> 202</w:t>
      </w:r>
      <w:r w:rsidR="00C64C4D">
        <w:t>3</w:t>
      </w:r>
      <w:r>
        <w:t>).</w:t>
      </w:r>
    </w:p>
    <w:p w14:paraId="74929153" w14:textId="4F9C84CB" w:rsidR="00644769" w:rsidRDefault="00644769" w:rsidP="00644769">
      <w:pPr>
        <w:pStyle w:val="CETBodytext"/>
      </w:pPr>
      <w:r>
        <w:lastRenderedPageBreak/>
        <w:t>Developing high-quality 3D-printed meat analogues requires understanding food inks and their behavior during printing. Critical parameters include layer height and nozzle speed, which affect print quality (Hao et al., 2010), while post-print deformation impacts structural precision</w:t>
      </w:r>
      <w:r w:rsidR="00FA1711">
        <w:t xml:space="preserve"> </w:t>
      </w:r>
      <w:r w:rsidR="00006526">
        <w:t>(Liu et al., 2017). T</w:t>
      </w:r>
      <w:r w:rsidR="008146FD">
        <w:t>exture is essential for consumer acceptance, influenced by food ink composition, crosslinking agents, and printing conditions</w:t>
      </w:r>
      <w:r>
        <w:t xml:space="preserve"> </w:t>
      </w:r>
      <w:r w:rsidR="00006526">
        <w:t>(</w:t>
      </w:r>
      <w:r w:rsidR="00006526" w:rsidRPr="00006526">
        <w:t>Voon</w:t>
      </w:r>
      <w:r w:rsidR="00006526">
        <w:t xml:space="preserve"> et al.</w:t>
      </w:r>
      <w:r w:rsidR="008A2DB9">
        <w:t>,</w:t>
      </w:r>
      <w:r w:rsidR="00006526">
        <w:t xml:space="preserve"> 2019).</w:t>
      </w:r>
    </w:p>
    <w:p w14:paraId="66767F43" w14:textId="67F77DE3" w:rsidR="00644769" w:rsidRPr="00C006A7" w:rsidRDefault="00644769" w:rsidP="00644769">
      <w:pPr>
        <w:pStyle w:val="CETBodytext"/>
      </w:pPr>
      <w:r w:rsidRPr="00644769">
        <w:t>This study aim</w:t>
      </w:r>
      <w:r>
        <w:t>ed</w:t>
      </w:r>
      <w:r w:rsidRPr="00644769">
        <w:t xml:space="preserve"> to: (1) determine the printability window and capacity of food inks formulated with pea and soy protein concentrates using sodium alginate as the primary crosslinking agent, (2) identify the optimal layer height and nozzle speed for selected food inks, and (3) evaluate the texture of printed meat analogues incorporating sodium alginate as the primary crosslinker and transglutaminase as a secondary crosslinking agent.</w:t>
      </w:r>
    </w:p>
    <w:p w14:paraId="522FC250" w14:textId="49ECF916" w:rsidR="02316283" w:rsidRDefault="02316283" w:rsidP="02316283">
      <w:pPr>
        <w:pStyle w:val="CETHeading1"/>
      </w:pPr>
      <w:r>
        <w:t>M</w:t>
      </w:r>
      <w:r w:rsidR="00675439">
        <w:t>aterials and M</w:t>
      </w:r>
      <w:r>
        <w:t xml:space="preserve">ethods       </w:t>
      </w:r>
    </w:p>
    <w:p w14:paraId="71D44568" w14:textId="29F97FB9" w:rsidR="02316283" w:rsidRPr="00DE2BE5" w:rsidRDefault="00DE2BE5" w:rsidP="00DB1B1E">
      <w:pPr>
        <w:pStyle w:val="CETheadingx"/>
      </w:pPr>
      <w:r w:rsidRPr="00DE2BE5">
        <w:t xml:space="preserve">2.1 </w:t>
      </w:r>
      <w:r w:rsidR="02316283" w:rsidRPr="00DE2BE5">
        <w:t xml:space="preserve">Modelling </w:t>
      </w:r>
    </w:p>
    <w:p w14:paraId="5DEF415E" w14:textId="416035BC" w:rsidR="02316283" w:rsidRDefault="001B17B6" w:rsidP="02316283">
      <w:pPr>
        <w:pStyle w:val="CETBodytext"/>
      </w:pPr>
      <w:r w:rsidRPr="001B17B6">
        <w:t xml:space="preserve">To establish the logical framework for this study, a 3D model was designed based on the digital reconstruction of a Ribeye steak. The commercial cut was frozen at −20 °C, then transversely sliced into 5 mm thick sections using a bandsaw, </w:t>
      </w:r>
      <w:r w:rsidR="00675439">
        <w:t xml:space="preserve">for a total of 10 slices, </w:t>
      </w:r>
      <w:r w:rsidRPr="001B17B6">
        <w:t xml:space="preserve">revealing its muscle and fat structure. Images of both sides of each slice were captured using a Nikon D3000 camera positioned 0.63 m away in a controlled photo studio setup with white light at a 90° angle. Image binarization was performed in Google </w:t>
      </w:r>
      <w:proofErr w:type="spellStart"/>
      <w:r w:rsidRPr="001B17B6">
        <w:t>Colaboratory</w:t>
      </w:r>
      <w:proofErr w:type="spellEnd"/>
      <w:r w:rsidRPr="001B17B6">
        <w:t xml:space="preserve"> using the scikit-image library and the Otsu method. The binarized images were post-processed and reconstructed in vector format using Autodesk software, applying the multiple profile loft function.</w:t>
      </w:r>
      <w:r w:rsidR="02316283">
        <w:t xml:space="preserve"> </w:t>
      </w:r>
    </w:p>
    <w:p w14:paraId="6BCE905A" w14:textId="44E4079A" w:rsidR="02316283" w:rsidRDefault="00DB1B1E" w:rsidP="00DB1B1E">
      <w:pPr>
        <w:pStyle w:val="CETheadingx"/>
      </w:pPr>
      <w:r>
        <w:t xml:space="preserve">2.2 </w:t>
      </w:r>
      <w:r w:rsidR="2353569D">
        <w:t>Printing capacity</w:t>
      </w:r>
    </w:p>
    <w:p w14:paraId="457E31AA" w14:textId="65A8D4CE" w:rsidR="0084518D" w:rsidRDefault="0084518D" w:rsidP="2353569D">
      <w:pPr>
        <w:pStyle w:val="CETBodytext"/>
      </w:pPr>
      <w:r w:rsidRPr="0084518D">
        <w:t xml:space="preserve">The printability of protein formulations was evaluated within a 17%–22% protein range, corresponding to commercial meat analogues. Concentrated soy protein (80% protein, Bob’s Red Mill, Oregon, USA) and concentrated pea protein (84% protein, Anthony’s, California, USA) were used as protein sources. Printing was performed using a Prusa i3 MK2 </w:t>
      </w:r>
      <w:proofErr w:type="spellStart"/>
      <w:r w:rsidRPr="0084518D">
        <w:t>Reprap</w:t>
      </w:r>
      <w:proofErr w:type="spellEnd"/>
      <w:r w:rsidRPr="0084518D">
        <w:t xml:space="preserve"> model modified for food paste extrusion, equipped with Treela conical nozzles ranging in internal diameter from 140 to 1630 </w:t>
      </w:r>
      <w:proofErr w:type="spellStart"/>
      <w:r w:rsidRPr="0084518D">
        <w:t>μm</w:t>
      </w:r>
      <w:proofErr w:type="spellEnd"/>
      <w:r w:rsidRPr="0084518D">
        <w:t>. The base formulation included a commercial soybean, palm, and olive oil blend (ACH Foods, Mexico)</w:t>
      </w:r>
      <w:r w:rsidR="003331E7">
        <w:t>,</w:t>
      </w:r>
      <w:r w:rsidRPr="0084518D">
        <w:t xml:space="preserve"> oyster mushroom flour </w:t>
      </w:r>
      <w:r w:rsidR="00D1449A" w:rsidRPr="00D1449A">
        <w:t>(26% protein, locally grown and dried and milled by authors)</w:t>
      </w:r>
      <w:r w:rsidR="00EB5D98">
        <w:t xml:space="preserve"> and water</w:t>
      </w:r>
      <w:r w:rsidRPr="0084518D">
        <w:t>. The protein content was adjusted by varying water and protein concentrations, while sodium alginate (1%</w:t>
      </w:r>
      <w:r w:rsidR="00675439">
        <w:t>, Cape Cristal Brand, USA</w:t>
      </w:r>
      <w:r w:rsidRPr="0084518D">
        <w:t>) and transglutaminase (1%, relative to total protein</w:t>
      </w:r>
      <w:r w:rsidR="00675439">
        <w:t xml:space="preserve">, </w:t>
      </w:r>
      <w:r w:rsidR="00866EA0">
        <w:t xml:space="preserve">Moo </w:t>
      </w:r>
      <w:proofErr w:type="spellStart"/>
      <w:r w:rsidR="00866EA0">
        <w:t>Gloo</w:t>
      </w:r>
      <w:proofErr w:type="spellEnd"/>
      <w:r w:rsidR="00675439">
        <w:t>, USA</w:t>
      </w:r>
      <w:r w:rsidRPr="0084518D">
        <w:t>) served as crosslinking agents (T</w:t>
      </w:r>
      <w:r w:rsidR="00123042">
        <w:t xml:space="preserve">able </w:t>
      </w:r>
      <w:r w:rsidRPr="0084518D">
        <w:t>1).</w:t>
      </w:r>
    </w:p>
    <w:p w14:paraId="3235898F" w14:textId="198938F1" w:rsidR="02316283" w:rsidRDefault="2353569D" w:rsidP="00EA7EB7">
      <w:pPr>
        <w:pStyle w:val="CETTabletitle"/>
      </w:pPr>
      <w:r w:rsidRPr="2353569D">
        <w:rPr>
          <w:rFonts w:eastAsia="Arial"/>
        </w:rPr>
        <w:t>Table 1: Base formulation for printability tests</w:t>
      </w:r>
      <w:r w:rsidR="00EA7EB7">
        <w:rPr>
          <w:rFonts w:eastAsia="Arial"/>
        </w:rPr>
        <w:t>.</w:t>
      </w:r>
    </w:p>
    <w:tbl>
      <w:tblPr>
        <w:tblW w:w="0" w:type="auto"/>
        <w:tblLayout w:type="fixed"/>
        <w:tblLook w:val="00A0" w:firstRow="1" w:lastRow="0" w:firstColumn="1" w:lastColumn="0" w:noHBand="0" w:noVBand="0"/>
      </w:tblPr>
      <w:tblGrid>
        <w:gridCol w:w="3828"/>
        <w:gridCol w:w="1701"/>
      </w:tblGrid>
      <w:tr w:rsidR="2353569D" w14:paraId="28AC9839" w14:textId="77777777" w:rsidTr="00407C23">
        <w:trPr>
          <w:trHeight w:val="300"/>
        </w:trPr>
        <w:tc>
          <w:tcPr>
            <w:tcW w:w="3828" w:type="dxa"/>
            <w:tcBorders>
              <w:top w:val="single" w:sz="12" w:space="0" w:color="008000"/>
              <w:left w:val="nil"/>
              <w:bottom w:val="single" w:sz="8" w:space="0" w:color="008000"/>
              <w:right w:val="nil"/>
            </w:tcBorders>
            <w:shd w:val="clear" w:color="auto" w:fill="FFFFFF" w:themeFill="background1"/>
          </w:tcPr>
          <w:p w14:paraId="4E596384" w14:textId="77A8EE54" w:rsidR="2353569D" w:rsidRDefault="2353569D" w:rsidP="2353569D">
            <w:r w:rsidRPr="2353569D">
              <w:rPr>
                <w:rFonts w:eastAsia="Arial" w:cs="Arial"/>
                <w:color w:val="000000" w:themeColor="text1"/>
                <w:szCs w:val="18"/>
              </w:rPr>
              <w:t xml:space="preserve">Ingredient </w:t>
            </w:r>
          </w:p>
        </w:tc>
        <w:tc>
          <w:tcPr>
            <w:tcW w:w="1701" w:type="dxa"/>
            <w:tcBorders>
              <w:top w:val="single" w:sz="12" w:space="0" w:color="008000"/>
              <w:left w:val="nil"/>
              <w:bottom w:val="single" w:sz="8" w:space="0" w:color="008000"/>
              <w:right w:val="nil"/>
            </w:tcBorders>
            <w:shd w:val="clear" w:color="auto" w:fill="FFFFFF" w:themeFill="background1"/>
          </w:tcPr>
          <w:p w14:paraId="5EA60F75" w14:textId="7A143FCC" w:rsidR="2353569D" w:rsidRDefault="2353569D" w:rsidP="00BE701A">
            <w:pPr>
              <w:jc w:val="right"/>
              <w:rPr>
                <w:rFonts w:eastAsia="Arial" w:cs="Arial"/>
                <w:color w:val="000000" w:themeColor="text1"/>
                <w:szCs w:val="18"/>
              </w:rPr>
            </w:pPr>
            <w:r w:rsidRPr="2353569D">
              <w:rPr>
                <w:rFonts w:eastAsia="Arial" w:cs="Arial"/>
                <w:color w:val="000000" w:themeColor="text1"/>
                <w:szCs w:val="18"/>
              </w:rPr>
              <w:t>Amount (g)</w:t>
            </w:r>
          </w:p>
        </w:tc>
      </w:tr>
      <w:tr w:rsidR="2353569D" w14:paraId="47A487C6" w14:textId="77777777" w:rsidTr="00407C23">
        <w:trPr>
          <w:trHeight w:val="300"/>
        </w:trPr>
        <w:tc>
          <w:tcPr>
            <w:tcW w:w="3828" w:type="dxa"/>
            <w:tcBorders>
              <w:top w:val="single" w:sz="8" w:space="0" w:color="008000"/>
              <w:left w:val="nil"/>
              <w:bottom w:val="nil"/>
              <w:right w:val="nil"/>
            </w:tcBorders>
            <w:shd w:val="clear" w:color="auto" w:fill="FFFFFF" w:themeFill="background1"/>
          </w:tcPr>
          <w:p w14:paraId="2B2520E8" w14:textId="231E708F" w:rsidR="2353569D" w:rsidRDefault="2353569D" w:rsidP="2353569D">
            <w:pPr>
              <w:rPr>
                <w:rFonts w:eastAsia="Arial" w:cs="Arial"/>
                <w:color w:val="000000" w:themeColor="text1"/>
                <w:szCs w:val="18"/>
              </w:rPr>
            </w:pPr>
            <w:r w:rsidRPr="2353569D">
              <w:rPr>
                <w:rFonts w:eastAsia="Arial" w:cs="Arial"/>
                <w:color w:val="000000" w:themeColor="text1"/>
                <w:szCs w:val="18"/>
              </w:rPr>
              <w:t>Protein concentrate</w:t>
            </w:r>
            <w:r w:rsidR="00407C23">
              <w:rPr>
                <w:rFonts w:eastAsia="Arial" w:cs="Arial"/>
                <w:color w:val="000000" w:themeColor="text1"/>
                <w:szCs w:val="18"/>
              </w:rPr>
              <w:t xml:space="preserve"> (soy or pea)</w:t>
            </w:r>
          </w:p>
        </w:tc>
        <w:tc>
          <w:tcPr>
            <w:tcW w:w="1701" w:type="dxa"/>
            <w:tcBorders>
              <w:top w:val="single" w:sz="8" w:space="0" w:color="008000"/>
              <w:left w:val="nil"/>
              <w:bottom w:val="nil"/>
              <w:right w:val="nil"/>
            </w:tcBorders>
            <w:shd w:val="clear" w:color="auto" w:fill="FFFFFF" w:themeFill="background1"/>
          </w:tcPr>
          <w:p w14:paraId="4630A89E" w14:textId="2FDBB943" w:rsidR="2353569D" w:rsidRDefault="2353569D" w:rsidP="00BE701A">
            <w:pPr>
              <w:jc w:val="right"/>
            </w:pPr>
            <w:r w:rsidRPr="2353569D">
              <w:rPr>
                <w:rFonts w:eastAsia="Arial" w:cs="Arial"/>
                <w:szCs w:val="18"/>
              </w:rPr>
              <w:t>18.75</w:t>
            </w:r>
          </w:p>
        </w:tc>
      </w:tr>
      <w:tr w:rsidR="2353569D" w14:paraId="56960473" w14:textId="77777777" w:rsidTr="00407C23">
        <w:trPr>
          <w:trHeight w:val="300"/>
        </w:trPr>
        <w:tc>
          <w:tcPr>
            <w:tcW w:w="3828" w:type="dxa"/>
            <w:tcBorders>
              <w:top w:val="nil"/>
              <w:left w:val="nil"/>
              <w:bottom w:val="nil"/>
              <w:right w:val="nil"/>
            </w:tcBorders>
            <w:shd w:val="clear" w:color="auto" w:fill="FFFFFF" w:themeFill="background1"/>
          </w:tcPr>
          <w:p w14:paraId="7FFBEC41" w14:textId="5335C763" w:rsidR="2353569D" w:rsidRDefault="2353569D" w:rsidP="2353569D">
            <w:pPr>
              <w:rPr>
                <w:rFonts w:eastAsia="Arial" w:cs="Arial"/>
                <w:szCs w:val="18"/>
              </w:rPr>
            </w:pPr>
            <w:r w:rsidRPr="2353569D">
              <w:rPr>
                <w:rFonts w:eastAsia="Arial" w:cs="Arial"/>
                <w:szCs w:val="18"/>
              </w:rPr>
              <w:t xml:space="preserve">Oyster </w:t>
            </w:r>
            <w:r w:rsidR="00407C23" w:rsidRPr="2353569D">
              <w:rPr>
                <w:rFonts w:eastAsia="Arial" w:cs="Arial"/>
                <w:szCs w:val="18"/>
              </w:rPr>
              <w:t>Mushroom</w:t>
            </w:r>
          </w:p>
        </w:tc>
        <w:tc>
          <w:tcPr>
            <w:tcW w:w="1701" w:type="dxa"/>
            <w:tcBorders>
              <w:top w:val="nil"/>
              <w:left w:val="nil"/>
              <w:bottom w:val="nil"/>
              <w:right w:val="nil"/>
            </w:tcBorders>
            <w:shd w:val="clear" w:color="auto" w:fill="FFFFFF" w:themeFill="background1"/>
          </w:tcPr>
          <w:p w14:paraId="65C0766A" w14:textId="310A06CE" w:rsidR="2353569D" w:rsidRDefault="2353569D" w:rsidP="00BE701A">
            <w:pPr>
              <w:jc w:val="right"/>
            </w:pPr>
            <w:r w:rsidRPr="2353569D">
              <w:rPr>
                <w:rFonts w:eastAsia="Arial" w:cs="Arial"/>
                <w:szCs w:val="18"/>
              </w:rPr>
              <w:t>4</w:t>
            </w:r>
            <w:r w:rsidR="00BE701A">
              <w:rPr>
                <w:rFonts w:eastAsia="Arial" w:cs="Arial"/>
                <w:szCs w:val="18"/>
              </w:rPr>
              <w:t>.00</w:t>
            </w:r>
          </w:p>
        </w:tc>
      </w:tr>
      <w:tr w:rsidR="2353569D" w14:paraId="2DA71DA4" w14:textId="77777777" w:rsidTr="00407C23">
        <w:trPr>
          <w:trHeight w:val="300"/>
        </w:trPr>
        <w:tc>
          <w:tcPr>
            <w:tcW w:w="3828" w:type="dxa"/>
            <w:tcBorders>
              <w:top w:val="nil"/>
              <w:left w:val="nil"/>
              <w:bottom w:val="nil"/>
              <w:right w:val="nil"/>
            </w:tcBorders>
            <w:shd w:val="clear" w:color="auto" w:fill="FFFFFF" w:themeFill="background1"/>
          </w:tcPr>
          <w:p w14:paraId="616466BF" w14:textId="7DC729AC" w:rsidR="2353569D" w:rsidRDefault="2353569D" w:rsidP="2353569D">
            <w:pPr>
              <w:rPr>
                <w:rFonts w:eastAsia="Arial" w:cs="Arial"/>
                <w:szCs w:val="18"/>
              </w:rPr>
            </w:pPr>
            <w:r w:rsidRPr="2353569D">
              <w:rPr>
                <w:rFonts w:eastAsia="Arial" w:cs="Arial"/>
                <w:szCs w:val="18"/>
              </w:rPr>
              <w:t>Vegetal Oil</w:t>
            </w:r>
          </w:p>
        </w:tc>
        <w:tc>
          <w:tcPr>
            <w:tcW w:w="1701" w:type="dxa"/>
            <w:tcBorders>
              <w:top w:val="nil"/>
              <w:left w:val="nil"/>
              <w:bottom w:val="nil"/>
              <w:right w:val="nil"/>
            </w:tcBorders>
            <w:shd w:val="clear" w:color="auto" w:fill="FFFFFF" w:themeFill="background1"/>
          </w:tcPr>
          <w:p w14:paraId="0273E060" w14:textId="31746F5A" w:rsidR="2353569D" w:rsidRDefault="2353569D" w:rsidP="00BE701A">
            <w:pPr>
              <w:jc w:val="right"/>
              <w:rPr>
                <w:rFonts w:eastAsia="Arial" w:cs="Arial"/>
                <w:szCs w:val="18"/>
              </w:rPr>
            </w:pPr>
            <w:r w:rsidRPr="2353569D">
              <w:rPr>
                <w:rFonts w:eastAsia="Arial" w:cs="Arial"/>
                <w:szCs w:val="18"/>
              </w:rPr>
              <w:t>6.5</w:t>
            </w:r>
            <w:r w:rsidR="00BE701A">
              <w:rPr>
                <w:rFonts w:eastAsia="Arial" w:cs="Arial"/>
                <w:szCs w:val="18"/>
              </w:rPr>
              <w:t>0</w:t>
            </w:r>
          </w:p>
        </w:tc>
      </w:tr>
      <w:tr w:rsidR="2353569D" w14:paraId="1634EF75" w14:textId="77777777" w:rsidTr="00407C23">
        <w:trPr>
          <w:trHeight w:val="300"/>
        </w:trPr>
        <w:tc>
          <w:tcPr>
            <w:tcW w:w="3828" w:type="dxa"/>
            <w:tcBorders>
              <w:top w:val="nil"/>
              <w:left w:val="nil"/>
              <w:bottom w:val="nil"/>
              <w:right w:val="nil"/>
            </w:tcBorders>
            <w:shd w:val="clear" w:color="auto" w:fill="FFFFFF" w:themeFill="background1"/>
          </w:tcPr>
          <w:p w14:paraId="5D32B511" w14:textId="3D3950BA" w:rsidR="2353569D" w:rsidRDefault="2353569D" w:rsidP="2353569D">
            <w:r w:rsidRPr="2353569D">
              <w:rPr>
                <w:rFonts w:eastAsia="Arial" w:cs="Arial"/>
                <w:szCs w:val="18"/>
              </w:rPr>
              <w:t>Alginate</w:t>
            </w:r>
          </w:p>
        </w:tc>
        <w:tc>
          <w:tcPr>
            <w:tcW w:w="1701" w:type="dxa"/>
            <w:tcBorders>
              <w:top w:val="nil"/>
              <w:left w:val="nil"/>
              <w:bottom w:val="nil"/>
              <w:right w:val="nil"/>
            </w:tcBorders>
            <w:shd w:val="clear" w:color="auto" w:fill="FFFFFF" w:themeFill="background1"/>
          </w:tcPr>
          <w:p w14:paraId="62AC6939" w14:textId="42AE3D5A" w:rsidR="2353569D" w:rsidRDefault="2353569D" w:rsidP="00BE701A">
            <w:pPr>
              <w:jc w:val="right"/>
            </w:pPr>
            <w:r w:rsidRPr="2353569D">
              <w:rPr>
                <w:rFonts w:eastAsia="Arial" w:cs="Arial"/>
                <w:szCs w:val="18"/>
              </w:rPr>
              <w:t>1</w:t>
            </w:r>
            <w:r w:rsidR="00BE701A">
              <w:rPr>
                <w:rFonts w:eastAsia="Arial" w:cs="Arial"/>
                <w:szCs w:val="18"/>
              </w:rPr>
              <w:t>.00</w:t>
            </w:r>
            <w:r w:rsidRPr="2353569D">
              <w:rPr>
                <w:rFonts w:eastAsia="Arial" w:cs="Arial"/>
                <w:szCs w:val="18"/>
              </w:rPr>
              <w:t xml:space="preserve"> </w:t>
            </w:r>
          </w:p>
        </w:tc>
      </w:tr>
      <w:tr w:rsidR="2353569D" w14:paraId="05F38202" w14:textId="77777777" w:rsidTr="00407C23">
        <w:trPr>
          <w:trHeight w:val="300"/>
        </w:trPr>
        <w:tc>
          <w:tcPr>
            <w:tcW w:w="3828" w:type="dxa"/>
            <w:tcBorders>
              <w:top w:val="nil"/>
              <w:left w:val="nil"/>
              <w:bottom w:val="nil"/>
              <w:right w:val="nil"/>
            </w:tcBorders>
            <w:shd w:val="clear" w:color="auto" w:fill="FFFFFF" w:themeFill="background1"/>
          </w:tcPr>
          <w:p w14:paraId="462FEC16" w14:textId="4DABE951" w:rsidR="2353569D" w:rsidRDefault="2353569D" w:rsidP="2353569D">
            <w:r w:rsidRPr="2353569D">
              <w:rPr>
                <w:rFonts w:eastAsia="Arial" w:cs="Arial"/>
                <w:szCs w:val="18"/>
              </w:rPr>
              <w:t>Transglutaminase</w:t>
            </w:r>
          </w:p>
        </w:tc>
        <w:tc>
          <w:tcPr>
            <w:tcW w:w="1701" w:type="dxa"/>
            <w:tcBorders>
              <w:top w:val="nil"/>
              <w:left w:val="nil"/>
              <w:bottom w:val="nil"/>
              <w:right w:val="nil"/>
            </w:tcBorders>
            <w:shd w:val="clear" w:color="auto" w:fill="FFFFFF" w:themeFill="background1"/>
          </w:tcPr>
          <w:p w14:paraId="3D60FFCF" w14:textId="5459CDFC" w:rsidR="2353569D" w:rsidRDefault="00BE701A" w:rsidP="00BE701A">
            <w:pPr>
              <w:jc w:val="right"/>
            </w:pPr>
            <w:r>
              <w:rPr>
                <w:rFonts w:eastAsia="Arial" w:cs="Arial"/>
                <w:szCs w:val="18"/>
              </w:rPr>
              <w:t xml:space="preserve">  </w:t>
            </w:r>
            <w:r w:rsidR="2353569D" w:rsidRPr="2353569D">
              <w:rPr>
                <w:rFonts w:eastAsia="Arial" w:cs="Arial"/>
                <w:szCs w:val="18"/>
              </w:rPr>
              <w:t>0.2</w:t>
            </w:r>
            <w:r>
              <w:rPr>
                <w:rFonts w:eastAsia="Arial" w:cs="Arial"/>
                <w:szCs w:val="18"/>
              </w:rPr>
              <w:t>3</w:t>
            </w:r>
            <w:r w:rsidR="2353569D" w:rsidRPr="2353569D">
              <w:rPr>
                <w:rFonts w:eastAsia="Arial" w:cs="Arial"/>
                <w:szCs w:val="18"/>
              </w:rPr>
              <w:t xml:space="preserve"> </w:t>
            </w:r>
          </w:p>
        </w:tc>
      </w:tr>
      <w:tr w:rsidR="00EB5D98" w14:paraId="3D670FFE" w14:textId="77777777" w:rsidTr="00407C23">
        <w:trPr>
          <w:trHeight w:val="300"/>
        </w:trPr>
        <w:tc>
          <w:tcPr>
            <w:tcW w:w="3828" w:type="dxa"/>
            <w:tcBorders>
              <w:top w:val="nil"/>
              <w:left w:val="nil"/>
              <w:bottom w:val="nil"/>
              <w:right w:val="nil"/>
            </w:tcBorders>
            <w:shd w:val="clear" w:color="auto" w:fill="FFFFFF" w:themeFill="background1"/>
          </w:tcPr>
          <w:p w14:paraId="21067A8D" w14:textId="77777777" w:rsidR="00EB5D98" w:rsidRDefault="00EB5D98" w:rsidP="2353569D">
            <w:pPr>
              <w:rPr>
                <w:rFonts w:eastAsia="Arial" w:cs="Arial"/>
                <w:szCs w:val="18"/>
              </w:rPr>
            </w:pPr>
            <w:r>
              <w:rPr>
                <w:rFonts w:eastAsia="Arial" w:cs="Arial"/>
                <w:szCs w:val="18"/>
              </w:rPr>
              <w:t>Water</w:t>
            </w:r>
          </w:p>
          <w:p w14:paraId="4EAAE869" w14:textId="5BEE06D8" w:rsidR="00671000" w:rsidRPr="2353569D" w:rsidRDefault="00671000" w:rsidP="2353569D">
            <w:pPr>
              <w:rPr>
                <w:rFonts w:eastAsia="Arial" w:cs="Arial"/>
                <w:szCs w:val="18"/>
              </w:rPr>
            </w:pPr>
          </w:p>
        </w:tc>
        <w:tc>
          <w:tcPr>
            <w:tcW w:w="1701" w:type="dxa"/>
            <w:tcBorders>
              <w:top w:val="nil"/>
              <w:left w:val="nil"/>
              <w:bottom w:val="nil"/>
              <w:right w:val="nil"/>
            </w:tcBorders>
            <w:shd w:val="clear" w:color="auto" w:fill="FFFFFF" w:themeFill="background1"/>
          </w:tcPr>
          <w:p w14:paraId="0DA2E63B" w14:textId="58E49D94" w:rsidR="00EB5D98" w:rsidRPr="2353569D" w:rsidRDefault="00BE701A" w:rsidP="00BE701A">
            <w:pPr>
              <w:jc w:val="right"/>
              <w:rPr>
                <w:rFonts w:eastAsia="Arial" w:cs="Arial"/>
                <w:szCs w:val="18"/>
              </w:rPr>
            </w:pPr>
            <w:r w:rsidRPr="00BE701A">
              <w:rPr>
                <w:rFonts w:eastAsia="Arial" w:cs="Arial"/>
                <w:szCs w:val="18"/>
              </w:rPr>
              <w:t>69.52</w:t>
            </w:r>
          </w:p>
        </w:tc>
      </w:tr>
      <w:tr w:rsidR="2353569D" w14:paraId="5EEBE485" w14:textId="77777777" w:rsidTr="00407C23">
        <w:trPr>
          <w:trHeight w:val="300"/>
        </w:trPr>
        <w:tc>
          <w:tcPr>
            <w:tcW w:w="3828" w:type="dxa"/>
            <w:tcBorders>
              <w:top w:val="nil"/>
              <w:left w:val="nil"/>
              <w:bottom w:val="single" w:sz="12" w:space="0" w:color="008000"/>
              <w:right w:val="nil"/>
            </w:tcBorders>
            <w:shd w:val="clear" w:color="auto" w:fill="FFFFFF" w:themeFill="background1"/>
          </w:tcPr>
          <w:p w14:paraId="2E2B1291" w14:textId="64F2C529" w:rsidR="2353569D" w:rsidRDefault="2353569D" w:rsidP="2353569D">
            <w:pPr>
              <w:ind w:right="-1"/>
              <w:rPr>
                <w:rFonts w:eastAsia="Arial" w:cs="Arial"/>
                <w:szCs w:val="18"/>
              </w:rPr>
            </w:pPr>
            <w:r w:rsidRPr="2353569D">
              <w:rPr>
                <w:rFonts w:eastAsia="Arial" w:cs="Arial"/>
                <w:szCs w:val="18"/>
              </w:rPr>
              <w:t>Total</w:t>
            </w:r>
          </w:p>
        </w:tc>
        <w:tc>
          <w:tcPr>
            <w:tcW w:w="1701" w:type="dxa"/>
            <w:tcBorders>
              <w:top w:val="nil"/>
              <w:left w:val="nil"/>
              <w:bottom w:val="single" w:sz="12" w:space="0" w:color="008000"/>
              <w:right w:val="nil"/>
            </w:tcBorders>
            <w:shd w:val="clear" w:color="auto" w:fill="FFFFFF" w:themeFill="background1"/>
          </w:tcPr>
          <w:p w14:paraId="3688ABCE" w14:textId="129E157B" w:rsidR="2353569D" w:rsidRDefault="2353569D" w:rsidP="00BE701A">
            <w:pPr>
              <w:ind w:right="-1"/>
              <w:jc w:val="right"/>
            </w:pPr>
            <w:r w:rsidRPr="2353569D">
              <w:rPr>
                <w:rFonts w:eastAsia="Arial" w:cs="Arial"/>
                <w:szCs w:val="18"/>
              </w:rPr>
              <w:t>100</w:t>
            </w:r>
            <w:r w:rsidR="00BE701A">
              <w:rPr>
                <w:rFonts w:eastAsia="Arial" w:cs="Arial"/>
                <w:szCs w:val="18"/>
              </w:rPr>
              <w:t>.00</w:t>
            </w:r>
            <w:r w:rsidRPr="2353569D">
              <w:rPr>
                <w:rFonts w:eastAsia="Arial" w:cs="Arial"/>
                <w:szCs w:val="18"/>
              </w:rPr>
              <w:t xml:space="preserve"> </w:t>
            </w:r>
          </w:p>
        </w:tc>
      </w:tr>
    </w:tbl>
    <w:p w14:paraId="12BFFDDB" w14:textId="77777777" w:rsidR="00407C23" w:rsidRDefault="00407C23" w:rsidP="00DB1B1E">
      <w:pPr>
        <w:pStyle w:val="CETheadingx"/>
      </w:pPr>
    </w:p>
    <w:p w14:paraId="0A4F909F" w14:textId="7D57DCBF" w:rsidR="02316283" w:rsidRPr="00E9313E" w:rsidRDefault="00DB1B1E" w:rsidP="00DB1B1E">
      <w:pPr>
        <w:pStyle w:val="CETheadingx"/>
      </w:pPr>
      <w:r>
        <w:t xml:space="preserve">2.3 </w:t>
      </w:r>
      <w:r w:rsidR="2353569D">
        <w:t>Print</w:t>
      </w:r>
      <w:r w:rsidR="002B6CE3">
        <w:t>ability</w:t>
      </w:r>
      <w:r w:rsidR="2353569D">
        <w:t xml:space="preserve"> window</w:t>
      </w:r>
    </w:p>
    <w:p w14:paraId="22F56DD0" w14:textId="06AC86CF" w:rsidR="00E9313E" w:rsidRDefault="00E9313E" w:rsidP="2353569D">
      <w:pPr>
        <w:pStyle w:val="CETBodytext"/>
      </w:pPr>
      <w:r w:rsidRPr="00E9313E">
        <w:t>The printability window was defined by four key factors in filament deposition 3D printing: extrusion capacity, filament formation, continuity, and filament separation. A qualitative-quantitative assessment using a binary yes/no scoring system determined compliance with each property. Area graphs were constructed to delineate printability zones, identifying the optimal protein percentage range and nozzle diameter for subsequent experiments.</w:t>
      </w:r>
    </w:p>
    <w:p w14:paraId="70EF5C79" w14:textId="7A6D7E0A" w:rsidR="02316283" w:rsidRDefault="00DB1B1E" w:rsidP="00DB1B1E">
      <w:pPr>
        <w:pStyle w:val="CETheadingx"/>
      </w:pPr>
      <w:r>
        <w:t xml:space="preserve">2.4 </w:t>
      </w:r>
      <w:r w:rsidR="02316283">
        <w:t>Temporal dimension</w:t>
      </w:r>
    </w:p>
    <w:p w14:paraId="1CEC345A" w14:textId="5B3850D0" w:rsidR="00970A93" w:rsidRPr="007D2BFB" w:rsidRDefault="00970A93" w:rsidP="2353569D">
      <w:pPr>
        <w:pStyle w:val="CETBodytext"/>
      </w:pPr>
      <w:r w:rsidRPr="00970A93">
        <w:t xml:space="preserve">The influence of time on printability was evaluated using Moo </w:t>
      </w:r>
      <w:proofErr w:type="spellStart"/>
      <w:r w:rsidRPr="00970A93">
        <w:t>Gloo</w:t>
      </w:r>
      <w:proofErr w:type="spellEnd"/>
      <w:r w:rsidRPr="00970A93">
        <w:t xml:space="preserve"> transglutaminase (100 enzymatic units/g), </w:t>
      </w:r>
      <w:r w:rsidR="00866EA0" w:rsidRPr="00866EA0">
        <w:t>which</w:t>
      </w:r>
      <w:r w:rsidR="007A7BFC" w:rsidRPr="007A7BFC">
        <w:t xml:space="preserve"> decreases the extrusion flow rate </w:t>
      </w:r>
      <w:r w:rsidR="00866EA0" w:rsidRPr="00866EA0">
        <w:t xml:space="preserve">through enzymatic crosslinking. </w:t>
      </w:r>
      <w:r w:rsidR="007A7BFC">
        <w:t>T</w:t>
      </w:r>
      <w:r w:rsidR="00866EA0" w:rsidRPr="00866EA0">
        <w:t>he observed reduction in extrusion flow rate over time reflects the increasing rigidity of the formulation, ultimately limiting its printability</w:t>
      </w:r>
      <w:r w:rsidR="00866EA0">
        <w:t xml:space="preserve">, to the point </w:t>
      </w:r>
      <w:r w:rsidR="00866EA0">
        <w:lastRenderedPageBreak/>
        <w:t>of no extrusion.</w:t>
      </w:r>
      <w:r w:rsidRPr="00970A93">
        <w:t xml:space="preserve"> A 1% transglutaminase formulation was tested for both protein types. The extrusion flow rate was measured at 14-minute intervals over 126 minutes to identify the point of flow reduction.</w:t>
      </w:r>
    </w:p>
    <w:p w14:paraId="1EE78469" w14:textId="62E6AEF7" w:rsidR="02316283" w:rsidRDefault="00DB1B1E" w:rsidP="00DB1B1E">
      <w:pPr>
        <w:pStyle w:val="CETheadingx"/>
      </w:pPr>
      <w:r>
        <w:t xml:space="preserve">2.5 </w:t>
      </w:r>
      <w:r w:rsidR="02316283">
        <w:t>Fidelity and form retention</w:t>
      </w:r>
    </w:p>
    <w:p w14:paraId="745A4541" w14:textId="014B00E9" w:rsidR="00872540" w:rsidRDefault="00872540" w:rsidP="2353569D">
      <w:pPr>
        <w:pStyle w:val="CETBodytext"/>
      </w:pPr>
      <w:r w:rsidRPr="00872540">
        <w:t xml:space="preserve">Test cubes (3 cm per edge) were printed using pea and soy protein formulations with 0%, 0.5%, and 1% sodium alginate. Initial dimensions were recorded and reassessed after 90 minutes, coinciding with transglutaminase-induced crosslinking onset. Significant treatments underwent digital image correlation for deformation analysis. India ink was sprayed onto the samples, and images were captured every 10 minutes over 70 minutes. The processed images were analyzed in Google </w:t>
      </w:r>
      <w:proofErr w:type="spellStart"/>
      <w:r w:rsidRPr="00872540">
        <w:t>Colaboratory</w:t>
      </w:r>
      <w:proofErr w:type="spellEnd"/>
      <w:r w:rsidRPr="00872540">
        <w:t xml:space="preserve"> using the </w:t>
      </w:r>
      <w:proofErr w:type="spellStart"/>
      <w:r w:rsidRPr="00872540">
        <w:t>μDIC</w:t>
      </w:r>
      <w:proofErr w:type="spellEnd"/>
      <w:r w:rsidRPr="00872540">
        <w:t xml:space="preserve"> library.</w:t>
      </w:r>
    </w:p>
    <w:p w14:paraId="29BBECC7" w14:textId="524D0B55" w:rsidR="00872540" w:rsidRPr="00872540" w:rsidRDefault="00DB1B1E" w:rsidP="00872540">
      <w:pPr>
        <w:pStyle w:val="CETheadingx"/>
      </w:pPr>
      <w:r>
        <w:t xml:space="preserve">2.6 </w:t>
      </w:r>
      <w:r w:rsidR="2353569D">
        <w:t>Critical parameters</w:t>
      </w:r>
    </w:p>
    <w:p w14:paraId="2A98F833" w14:textId="0C455EED" w:rsidR="007D174A" w:rsidRDefault="007D174A" w:rsidP="2353569D">
      <w:pPr>
        <w:pStyle w:val="CETBodytext"/>
      </w:pPr>
      <w:r w:rsidRPr="007D174A">
        <w:t xml:space="preserve">Correlation graphs were constructed with extruded flow rate as the dependent variable and extrusion speed as the independent variable, assessing formulations with 0.5% and 1% sodium alginate. Twenty milliliters of material were extruded into a water-filled test tube to determine the displaced volume and flow rate by measuring deposition time. </w:t>
      </w:r>
      <w:r w:rsidR="00AD2629" w:rsidRPr="00AD2629">
        <w:t>Regression analysis was performed to determine the critical parameters</w:t>
      </w:r>
      <w:r w:rsidR="00332FF4">
        <w:t xml:space="preserve"> of </w:t>
      </w:r>
      <w:r w:rsidR="00FE651E">
        <w:t xml:space="preserve">nozzle speed and </w:t>
      </w:r>
      <w:r w:rsidR="00F079BF">
        <w:t xml:space="preserve">height, </w:t>
      </w:r>
      <w:r w:rsidR="00F079BF" w:rsidRPr="00AD2629">
        <w:t>based</w:t>
      </w:r>
      <w:r w:rsidR="00AD2629" w:rsidRPr="00AD2629">
        <w:t xml:space="preserve"> on the model proposed by Khalil and Sun (2007)</w:t>
      </w:r>
      <w:r w:rsidR="005F16BB">
        <w:t xml:space="preserve"> </w:t>
      </w:r>
      <w:proofErr w:type="gramStart"/>
      <w:r w:rsidR="009718FA">
        <w:t>Eq</w:t>
      </w:r>
      <w:r w:rsidR="00E80AEB">
        <w:t>(</w:t>
      </w:r>
      <w:proofErr w:type="gramEnd"/>
      <w:r w:rsidR="00C2363C">
        <w:t>1</w:t>
      </w:r>
      <w:r w:rsidR="005F16BB">
        <w:t xml:space="preserve">) and that </w:t>
      </w:r>
      <w:r w:rsidR="00DF0147" w:rsidRPr="00D536B1">
        <w:t xml:space="preserve">proposed by Wang &amp; Shaw (2005) </w:t>
      </w:r>
      <w:proofErr w:type="gramStart"/>
      <w:r w:rsidR="00DF0147">
        <w:t>Eq</w:t>
      </w:r>
      <w:r w:rsidR="00E80AEB">
        <w:t>(</w:t>
      </w:r>
      <w:proofErr w:type="gramEnd"/>
      <w:r w:rsidR="00DF0147">
        <w:t>2</w:t>
      </w:r>
      <w:r w:rsidR="005F16BB">
        <w:t>)</w:t>
      </w:r>
      <w:r w:rsidR="002A2374">
        <w:t>, respectively</w:t>
      </w:r>
      <w:r w:rsidR="005F16BB">
        <w:t>.</w:t>
      </w:r>
    </w:p>
    <w:tbl>
      <w:tblPr>
        <w:tblW w:w="5000" w:type="pct"/>
        <w:tblLook w:val="04A0" w:firstRow="1" w:lastRow="0" w:firstColumn="1" w:lastColumn="0" w:noHBand="0" w:noVBand="1"/>
      </w:tblPr>
      <w:tblGrid>
        <w:gridCol w:w="7982"/>
        <w:gridCol w:w="805"/>
      </w:tblGrid>
      <w:tr w:rsidR="00E90C82" w:rsidRPr="00B57B36" w14:paraId="08C326C4" w14:textId="77777777" w:rsidTr="005529E7">
        <w:tc>
          <w:tcPr>
            <w:tcW w:w="8188" w:type="dxa"/>
            <w:shd w:val="clear" w:color="auto" w:fill="auto"/>
            <w:vAlign w:val="center"/>
          </w:tcPr>
          <w:p w14:paraId="1BA2A430" w14:textId="6A36C217" w:rsidR="00E90C82" w:rsidRPr="00E90C82" w:rsidRDefault="00000000" w:rsidP="005529E7">
            <w:pPr>
              <w:pStyle w:val="CETEquation"/>
            </w:pPr>
            <m:oMathPara>
              <m:oMathParaPr>
                <m:jc m:val="left"/>
              </m:oMathParaPr>
              <m:oMath>
                <m:sSub>
                  <m:sSubPr>
                    <m:ctrlPr>
                      <w:rPr>
                        <w:rFonts w:ascii="Cambria Math" w:hAnsi="Cambria Math"/>
                      </w:rPr>
                    </m:ctrlPr>
                  </m:sSubPr>
                  <m:e>
                    <m:r>
                      <w:rPr>
                        <w:rFonts w:ascii="Cambria Math" w:hAnsi="Cambria Math"/>
                      </w:rPr>
                      <m:t>V</m:t>
                    </m:r>
                  </m:e>
                  <m:sub>
                    <m:r>
                      <w:rPr>
                        <w:rFonts w:ascii="Cambria Math" w:hAnsi="Cambria Math"/>
                      </w:rPr>
                      <m:t>n</m:t>
                    </m:r>
                  </m:sub>
                </m:sSub>
                <m:r>
                  <w:rPr>
                    <w:rFonts w:ascii="Cambria Math" w:hAnsi="Cambria Math"/>
                  </w:rPr>
                  <m:t>=</m:t>
                </m:r>
                <m:f>
                  <m:fPr>
                    <m:ctrlPr>
                      <w:rPr>
                        <w:rFonts w:ascii="Cambria Math" w:hAnsi="Cambria Math"/>
                      </w:rPr>
                    </m:ctrlPr>
                  </m:fPr>
                  <m:num>
                    <m:r>
                      <w:rPr>
                        <w:rFonts w:ascii="Cambria Math" w:hAnsi="Cambria Math"/>
                      </w:rPr>
                      <m:t>4Q</m:t>
                    </m:r>
                  </m:num>
                  <m:den>
                    <m:r>
                      <w:rPr>
                        <w:rFonts w:ascii="Cambria Math" w:hAnsi="Cambria Math"/>
                      </w:rPr>
                      <m:t>π</m:t>
                    </m:r>
                    <m:sSubSup>
                      <m:sSubSupPr>
                        <m:ctrlPr>
                          <w:rPr>
                            <w:rFonts w:ascii="Cambria Math" w:hAnsi="Cambria Math"/>
                          </w:rPr>
                        </m:ctrlPr>
                      </m:sSubSupPr>
                      <m:e>
                        <m:r>
                          <w:rPr>
                            <w:rFonts w:ascii="Cambria Math" w:hAnsi="Cambria Math"/>
                          </w:rPr>
                          <m:t>D</m:t>
                        </m:r>
                      </m:e>
                      <m:sub>
                        <m:r>
                          <w:rPr>
                            <w:rFonts w:ascii="Cambria Math" w:hAnsi="Cambria Math"/>
                          </w:rPr>
                          <m:t>n</m:t>
                        </m:r>
                      </m:sub>
                      <m:sup>
                        <m:r>
                          <w:rPr>
                            <w:rFonts w:ascii="Cambria Math" w:hAnsi="Cambria Math"/>
                          </w:rPr>
                          <m:t>2</m:t>
                        </m:r>
                      </m:sup>
                    </m:sSubSup>
                  </m:den>
                </m:f>
              </m:oMath>
            </m:oMathPara>
          </w:p>
        </w:tc>
        <w:tc>
          <w:tcPr>
            <w:tcW w:w="815" w:type="dxa"/>
            <w:shd w:val="clear" w:color="auto" w:fill="auto"/>
            <w:vAlign w:val="center"/>
          </w:tcPr>
          <w:p w14:paraId="49818474" w14:textId="77777777" w:rsidR="00E90C82" w:rsidRPr="00B57B36" w:rsidRDefault="00E90C82" w:rsidP="005529E7">
            <w:pPr>
              <w:pStyle w:val="CETEquation"/>
              <w:jc w:val="right"/>
            </w:pPr>
            <w:r w:rsidRPr="00B57B36">
              <w:t>(1)</w:t>
            </w:r>
          </w:p>
        </w:tc>
      </w:tr>
    </w:tbl>
    <w:p w14:paraId="7C32002E" w14:textId="3DC92FAB" w:rsidR="2353569D" w:rsidRDefault="2353569D" w:rsidP="2353569D">
      <w:pPr>
        <w:pStyle w:val="CETBodytext"/>
      </w:pPr>
      <w:r w:rsidRPr="2353569D">
        <w:t xml:space="preserve">Where: </w:t>
      </w:r>
      <w:proofErr w:type="spellStart"/>
      <w:r w:rsidRPr="2353569D">
        <w:t>V</w:t>
      </w:r>
      <w:r w:rsidRPr="2353569D">
        <w:rPr>
          <w:vertAlign w:val="subscript"/>
        </w:rPr>
        <w:t>n</w:t>
      </w:r>
      <w:proofErr w:type="spellEnd"/>
      <w:r w:rsidRPr="2353569D">
        <w:t xml:space="preserve">= critical nozzle speed in mm/s, Q= </w:t>
      </w:r>
      <w:r w:rsidR="00F079BF">
        <w:t>f</w:t>
      </w:r>
      <w:r w:rsidRPr="2353569D">
        <w:t>low in mm</w:t>
      </w:r>
      <w:r w:rsidRPr="2353569D">
        <w:rPr>
          <w:vertAlign w:val="superscript"/>
        </w:rPr>
        <w:t>3</w:t>
      </w:r>
      <w:r w:rsidRPr="2353569D">
        <w:t xml:space="preserve"> /s </w:t>
      </w:r>
      <w:r w:rsidR="00E80AEB">
        <w:t>and</w:t>
      </w:r>
      <w:r w:rsidRPr="2353569D">
        <w:t xml:space="preserve"> D</w:t>
      </w:r>
      <w:r w:rsidRPr="2353569D">
        <w:rPr>
          <w:vertAlign w:val="superscript"/>
        </w:rPr>
        <w:t>2</w:t>
      </w:r>
      <w:r w:rsidRPr="2353569D">
        <w:rPr>
          <w:vertAlign w:val="subscript"/>
        </w:rPr>
        <w:t>n</w:t>
      </w:r>
      <w:r w:rsidRPr="2353569D">
        <w:t xml:space="preserve">= nozzle diameter </w:t>
      </w:r>
      <w:r w:rsidR="00E80AEB">
        <w:t>i</w:t>
      </w:r>
      <w:r w:rsidRPr="2353569D">
        <w:t>n mm.</w:t>
      </w:r>
    </w:p>
    <w:p w14:paraId="3BFCA32B" w14:textId="063B5E03" w:rsidR="2353569D" w:rsidRPr="00D536B1" w:rsidRDefault="2353569D" w:rsidP="2353569D">
      <w:pPr>
        <w:pStyle w:val="CETBodytext"/>
      </w:pPr>
    </w:p>
    <w:tbl>
      <w:tblPr>
        <w:tblW w:w="5000" w:type="pct"/>
        <w:tblLook w:val="04A0" w:firstRow="1" w:lastRow="0" w:firstColumn="1" w:lastColumn="0" w:noHBand="0" w:noVBand="1"/>
      </w:tblPr>
      <w:tblGrid>
        <w:gridCol w:w="7983"/>
        <w:gridCol w:w="804"/>
      </w:tblGrid>
      <w:tr w:rsidR="00667550" w:rsidRPr="00B57B36" w14:paraId="46DB7E2D" w14:textId="77777777" w:rsidTr="005529E7">
        <w:tc>
          <w:tcPr>
            <w:tcW w:w="8188" w:type="dxa"/>
            <w:shd w:val="clear" w:color="auto" w:fill="auto"/>
            <w:vAlign w:val="center"/>
          </w:tcPr>
          <w:p w14:paraId="440C3541" w14:textId="38B38274" w:rsidR="00667550" w:rsidRPr="00E90C82" w:rsidRDefault="00000000" w:rsidP="005529E7">
            <w:pPr>
              <w:pStyle w:val="CETEquation"/>
            </w:pPr>
            <m:oMathPara>
              <m:oMathParaPr>
                <m:jc m:val="left"/>
              </m:oMathParaPr>
              <m:oMath>
                <m:sSub>
                  <m:sSubPr>
                    <m:ctrlPr>
                      <w:rPr>
                        <w:rFonts w:ascii="Cambria Math" w:hAnsi="Cambria Math"/>
                      </w:rPr>
                    </m:ctrlPr>
                  </m:sSubPr>
                  <m:e>
                    <m:r>
                      <w:rPr>
                        <w:rFonts w:ascii="Cambria Math" w:hAnsi="Cambria Math"/>
                      </w:rPr>
                      <m:t>h</m:t>
                    </m:r>
                  </m:e>
                  <m:sub>
                    <m:r>
                      <w:rPr>
                        <w:rFonts w:ascii="Cambria Math" w:hAnsi="Cambria Math"/>
                      </w:rPr>
                      <m:t>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d</m:t>
                        </m:r>
                      </m:sub>
                    </m:sSub>
                  </m:num>
                  <m:den>
                    <m:sSub>
                      <m:sSubPr>
                        <m:ctrlPr>
                          <w:rPr>
                            <w:rFonts w:ascii="Cambria Math" w:hAnsi="Cambria Math"/>
                          </w:rPr>
                        </m:ctrlPr>
                      </m:sSubPr>
                      <m:e>
                        <m:r>
                          <w:rPr>
                            <w:rFonts w:ascii="Cambria Math" w:hAnsi="Cambria Math"/>
                          </w:rPr>
                          <m:t>V</m:t>
                        </m:r>
                      </m:e>
                      <m:sub>
                        <m:r>
                          <w:rPr>
                            <w:rFonts w:ascii="Cambria Math" w:hAnsi="Cambria Math"/>
                          </w:rPr>
                          <m:t>n</m:t>
                        </m:r>
                      </m:sub>
                    </m:sSub>
                    <m:sSub>
                      <m:sSubPr>
                        <m:ctrlPr>
                          <w:rPr>
                            <w:rFonts w:ascii="Cambria Math" w:hAnsi="Cambria Math"/>
                          </w:rPr>
                        </m:ctrlPr>
                      </m:sSubPr>
                      <m:e>
                        <m:r>
                          <w:rPr>
                            <w:rFonts w:ascii="Cambria Math" w:hAnsi="Cambria Math"/>
                          </w:rPr>
                          <m:t>D</m:t>
                        </m:r>
                      </m:e>
                      <m:sub>
                        <m:r>
                          <w:rPr>
                            <w:rFonts w:ascii="Cambria Math" w:hAnsi="Cambria Math"/>
                          </w:rPr>
                          <m:t>n</m:t>
                        </m:r>
                      </m:sub>
                    </m:sSub>
                  </m:den>
                </m:f>
              </m:oMath>
            </m:oMathPara>
          </w:p>
        </w:tc>
        <w:tc>
          <w:tcPr>
            <w:tcW w:w="815" w:type="dxa"/>
            <w:shd w:val="clear" w:color="auto" w:fill="auto"/>
            <w:vAlign w:val="center"/>
          </w:tcPr>
          <w:p w14:paraId="2363CDD1" w14:textId="79A1C975" w:rsidR="00667550" w:rsidRPr="00B57B36" w:rsidRDefault="00667550" w:rsidP="005529E7">
            <w:pPr>
              <w:pStyle w:val="CETEquation"/>
              <w:jc w:val="right"/>
            </w:pPr>
            <w:r w:rsidRPr="00B57B36">
              <w:t>(</w:t>
            </w:r>
            <w:r>
              <w:t>2</w:t>
            </w:r>
            <w:r w:rsidRPr="00B57B36">
              <w:t>)</w:t>
            </w:r>
          </w:p>
        </w:tc>
      </w:tr>
    </w:tbl>
    <w:p w14:paraId="0B816302" w14:textId="7D5275C0" w:rsidR="2353569D" w:rsidRDefault="2353569D" w:rsidP="2353569D">
      <w:pPr>
        <w:pStyle w:val="CETBodytext"/>
      </w:pPr>
      <w:r w:rsidRPr="2353569D">
        <w:t xml:space="preserve">Where: </w:t>
      </w:r>
      <w:proofErr w:type="spellStart"/>
      <w:r w:rsidRPr="2353569D">
        <w:t>h</w:t>
      </w:r>
      <w:r w:rsidRPr="2353569D">
        <w:rPr>
          <w:vertAlign w:val="subscript"/>
        </w:rPr>
        <w:t>c</w:t>
      </w:r>
      <w:proofErr w:type="spellEnd"/>
      <w:r w:rsidRPr="2353569D">
        <w:t>= critical</w:t>
      </w:r>
      <w:r w:rsidR="00F079BF">
        <w:t xml:space="preserve"> nozzle</w:t>
      </w:r>
      <w:r w:rsidRPr="2353569D">
        <w:t xml:space="preserve"> </w:t>
      </w:r>
      <w:r w:rsidR="005F16BB" w:rsidRPr="2353569D">
        <w:t>height</w:t>
      </w:r>
      <w:r w:rsidRPr="2353569D">
        <w:t xml:space="preserve"> in mm, </w:t>
      </w:r>
      <w:proofErr w:type="spellStart"/>
      <w:r w:rsidRPr="2353569D">
        <w:t>v</w:t>
      </w:r>
      <w:r w:rsidRPr="2353569D">
        <w:rPr>
          <w:vertAlign w:val="subscript"/>
        </w:rPr>
        <w:t>d</w:t>
      </w:r>
      <w:proofErr w:type="spellEnd"/>
      <w:r w:rsidRPr="2353569D">
        <w:t xml:space="preserve">, extrusion flow </w:t>
      </w:r>
      <w:r w:rsidR="00407C23">
        <w:t>(</w:t>
      </w:r>
      <w:r w:rsidRPr="2353569D">
        <w:t>mm</w:t>
      </w:r>
      <w:r w:rsidRPr="2353569D">
        <w:rPr>
          <w:vertAlign w:val="superscript"/>
        </w:rPr>
        <w:t>3</w:t>
      </w:r>
      <w:r w:rsidRPr="2353569D">
        <w:t xml:space="preserve"> /s</w:t>
      </w:r>
      <w:r w:rsidR="00407C23">
        <w:t>)</w:t>
      </w:r>
      <w:r w:rsidRPr="2353569D">
        <w:t xml:space="preserve">, </w:t>
      </w:r>
      <w:proofErr w:type="spellStart"/>
      <w:r w:rsidRPr="2353569D">
        <w:t>V</w:t>
      </w:r>
      <w:r w:rsidRPr="2353569D">
        <w:rPr>
          <w:vertAlign w:val="subscript"/>
        </w:rPr>
        <w:t>n</w:t>
      </w:r>
      <w:proofErr w:type="spellEnd"/>
      <w:r w:rsidRPr="2353569D">
        <w:rPr>
          <w:vertAlign w:val="subscript"/>
        </w:rPr>
        <w:t xml:space="preserve"> </w:t>
      </w:r>
      <w:r w:rsidRPr="2353569D">
        <w:t xml:space="preserve">=nozzle velocity in mm/s </w:t>
      </w:r>
      <w:r w:rsidR="00E80AEB">
        <w:t>and</w:t>
      </w:r>
      <w:r w:rsidRPr="2353569D">
        <w:t xml:space="preserve"> </w:t>
      </w:r>
      <w:proofErr w:type="spellStart"/>
      <w:r w:rsidRPr="2353569D">
        <w:t>D</w:t>
      </w:r>
      <w:r w:rsidRPr="2353569D">
        <w:rPr>
          <w:vertAlign w:val="subscript"/>
        </w:rPr>
        <w:t>n</w:t>
      </w:r>
      <w:proofErr w:type="spellEnd"/>
      <w:r w:rsidRPr="2353569D">
        <w:t xml:space="preserve">= </w:t>
      </w:r>
      <w:r w:rsidR="00F079BF">
        <w:t>n</w:t>
      </w:r>
      <w:r w:rsidRPr="2353569D">
        <w:t>ozzle diameter in mm.</w:t>
      </w:r>
    </w:p>
    <w:p w14:paraId="11A0819D" w14:textId="4BCFF208" w:rsidR="02316283" w:rsidRDefault="00DB1B1E" w:rsidP="00DB1B1E">
      <w:pPr>
        <w:pStyle w:val="CETheadingx"/>
      </w:pPr>
      <w:bookmarkStart w:id="1" w:name="_Hlk192858708"/>
      <w:r>
        <w:t xml:space="preserve">2.7 </w:t>
      </w:r>
      <w:r w:rsidR="02316283">
        <w:t>Texture analysis</w:t>
      </w:r>
    </w:p>
    <w:p w14:paraId="2D368001" w14:textId="246EE103" w:rsidR="00504A1B" w:rsidRDefault="00504A1B" w:rsidP="00504A1B">
      <w:pPr>
        <w:pStyle w:val="CETBodytext"/>
      </w:pPr>
      <w:r>
        <w:t xml:space="preserve">Texture profile analysis (TPA) was conducted on </w:t>
      </w:r>
      <w:r w:rsidR="00273812">
        <w:t xml:space="preserve">12 experimental units of the </w:t>
      </w:r>
      <w:r>
        <w:t xml:space="preserve">3D-printed specimens measuring 2 cm in length, 1.5 cm in width, and 1.5 cm in height using a Brookfield CT3 texture analyzer equipped with a 38.1 mm cylindrical probe </w:t>
      </w:r>
      <w:bookmarkEnd w:id="1"/>
      <w:r>
        <w:t xml:space="preserve">(T4A/1000, Brookfield Laboratories Inc.). A double compression cycle was applied at a speed of 2 mm/s, with 50% deformation, an activation load of 67 </w:t>
      </w:r>
      <w:proofErr w:type="spellStart"/>
      <w:r>
        <w:t>mN</w:t>
      </w:r>
      <w:proofErr w:type="spellEnd"/>
      <w:r>
        <w:t>, and a maximum load of 4,500 g.</w:t>
      </w:r>
    </w:p>
    <w:p w14:paraId="6F9E38BC" w14:textId="179A58E6" w:rsidR="005F16BB" w:rsidRDefault="005F16BB" w:rsidP="005F16BB">
      <w:pPr>
        <w:pStyle w:val="CETheadingx"/>
      </w:pPr>
      <w:r>
        <w:t xml:space="preserve">2.8 </w:t>
      </w:r>
      <w:r w:rsidR="00384D6F">
        <w:t xml:space="preserve">Experimental Design and </w:t>
      </w:r>
      <w:r>
        <w:t>Statistical Analysis</w:t>
      </w:r>
    </w:p>
    <w:p w14:paraId="7150A67C" w14:textId="77777777" w:rsidR="00AB5E2B" w:rsidRDefault="00AB5E2B" w:rsidP="00AB5E2B">
      <w:pPr>
        <w:pStyle w:val="CETBodytext"/>
      </w:pPr>
      <w:r>
        <w:t>A completely randomized design (CRD) was employed for all experiments. A bifactorial combinatorial arrangement was used for fidelity and shape retention experiments, while a trifactorial combinatorial arrangement was applied to texture analysis, considering the following factors: Protein type (pea or soy); Sodium alginate concentration (0.5% or 1%); Transglutaminase concentration (0.1% or 1.5%)</w:t>
      </w:r>
    </w:p>
    <w:p w14:paraId="779CFBFA" w14:textId="0C7B9D79" w:rsidR="00AB5E2B" w:rsidRPr="005409CB" w:rsidRDefault="00AB5E2B" w:rsidP="00AB5E2B">
      <w:pPr>
        <w:pStyle w:val="CETBodytext"/>
      </w:pPr>
      <w:r>
        <w:t>Data was analyzed using SAS (Statistical Analysis System) software. Analysis of variance (ANOVA) was applied, followed by mean separation tests (LSMEANS and Duncan’s test) at a 95% confidence level.</w:t>
      </w:r>
    </w:p>
    <w:p w14:paraId="677EBFF0" w14:textId="13970581" w:rsidR="00600535" w:rsidRPr="005409CB" w:rsidRDefault="2353569D" w:rsidP="2353569D">
      <w:pPr>
        <w:pStyle w:val="CETHeading1"/>
        <w:tabs>
          <w:tab w:val="clear" w:pos="360"/>
          <w:tab w:val="right" w:pos="7100"/>
        </w:tabs>
        <w:jc w:val="both"/>
        <w:rPr>
          <w:lang w:val="en-GB"/>
        </w:rPr>
      </w:pPr>
      <w:r w:rsidRPr="005409CB">
        <w:rPr>
          <w:lang w:val="en-GB"/>
        </w:rPr>
        <w:t xml:space="preserve">Results and discussion </w:t>
      </w:r>
    </w:p>
    <w:p w14:paraId="0C424B72" w14:textId="659C60F1" w:rsidR="02316283" w:rsidRDefault="00DB1B1E" w:rsidP="00DB1B1E">
      <w:pPr>
        <w:pStyle w:val="CETheadingx"/>
      </w:pPr>
      <w:r>
        <w:t xml:space="preserve">3.1 </w:t>
      </w:r>
      <w:r w:rsidR="02316283">
        <w:t>3D Model</w:t>
      </w:r>
      <w:r w:rsidR="00045D81">
        <w:t xml:space="preserve"> generation</w:t>
      </w:r>
    </w:p>
    <w:p w14:paraId="6C87DAB0" w14:textId="3D8FAB9E" w:rsidR="02316283" w:rsidRPr="00045D81" w:rsidRDefault="00045D81" w:rsidP="02316283">
      <w:pPr>
        <w:pStyle w:val="CETBodytext"/>
      </w:pPr>
      <w:r w:rsidRPr="00675439">
        <w:t xml:space="preserve">The modeling process resulted in a 3D design, as shown in Figure 1, where the fat fraction is represented </w:t>
      </w:r>
      <w:r w:rsidR="0015355C" w:rsidRPr="00675439">
        <w:t>separately</w:t>
      </w:r>
      <w:r w:rsidRPr="00675439">
        <w:t xml:space="preserve"> from the muscle fraction. The model accurately replicates and preserves the structure of the original meat cut, making it suitable for multi-material 3D printing. This approach allows for a detailed reconstruction of meat complexity in analog production based on image-based </w:t>
      </w:r>
      <w:r w:rsidR="0015355C" w:rsidRPr="00675439">
        <w:t>modeling.</w:t>
      </w:r>
      <w:r w:rsidR="2353569D" w:rsidRPr="00675439">
        <w:t xml:space="preserve"> </w:t>
      </w:r>
    </w:p>
    <w:p w14:paraId="441AECC7" w14:textId="193EF978" w:rsidR="02316283" w:rsidRDefault="02316283">
      <w:r w:rsidRPr="00045D81">
        <w:rPr>
          <w:lang w:val="en-US"/>
        </w:rPr>
        <w:t xml:space="preserve">                                                     </w:t>
      </w:r>
      <w:r>
        <w:rPr>
          <w:noProof/>
        </w:rPr>
        <w:drawing>
          <wp:inline distT="0" distB="0" distL="0" distR="0" wp14:anchorId="3381DF6E" wp14:editId="5BC3616F">
            <wp:extent cx="1875954" cy="1086681"/>
            <wp:effectExtent l="0" t="0" r="0" b="0"/>
            <wp:docPr id="1656259453" name="Picture 1656259453" descr="A close-up of several m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75954" cy="1086681"/>
                    </a:xfrm>
                    <a:prstGeom prst="rect">
                      <a:avLst/>
                    </a:prstGeom>
                  </pic:spPr>
                </pic:pic>
              </a:graphicData>
            </a:graphic>
          </wp:inline>
        </w:drawing>
      </w:r>
    </w:p>
    <w:p w14:paraId="1C7717DF" w14:textId="77777777" w:rsidR="00947487" w:rsidRPr="00947487" w:rsidRDefault="00947487" w:rsidP="00FB2AA4">
      <w:pPr>
        <w:pStyle w:val="CETBodytext"/>
        <w:rPr>
          <w:i/>
          <w:iCs/>
        </w:rPr>
      </w:pPr>
      <w:r w:rsidRPr="00947487">
        <w:rPr>
          <w:i/>
          <w:iCs/>
        </w:rPr>
        <w:t>Figure 1: 3D model of the meat cut: (a) side view, (b) top view, (c) muscle fraction, (d) fat fraction.</w:t>
      </w:r>
    </w:p>
    <w:p w14:paraId="45121C94" w14:textId="77777777" w:rsidR="00947487" w:rsidRDefault="00947487" w:rsidP="00FB2AA4">
      <w:pPr>
        <w:pStyle w:val="CETBodytext"/>
      </w:pPr>
    </w:p>
    <w:p w14:paraId="265D0704" w14:textId="604FE686" w:rsidR="00F904BB" w:rsidRDefault="00F904BB" w:rsidP="00F904BB">
      <w:pPr>
        <w:pStyle w:val="CETheadingx"/>
      </w:pPr>
      <w:r w:rsidRPr="00F904BB">
        <w:lastRenderedPageBreak/>
        <w:t>3.2 Printing Feasibility</w:t>
      </w:r>
    </w:p>
    <w:p w14:paraId="6E88F1D3" w14:textId="724D9BC0" w:rsidR="00F8386E" w:rsidRPr="00F8386E" w:rsidRDefault="00F8386E" w:rsidP="00FB2AA4">
      <w:pPr>
        <w:pStyle w:val="CETBodytext"/>
      </w:pPr>
      <w:r w:rsidRPr="00F8386E">
        <w:t>The feasibility of 3D printing is determined by three essential factors in extrusion-based printing: (1) the ability to form coherent filaments from the extruded material, (2) the accuracy of the printed object compared to the digital model, and (3) the shape retention over time.</w:t>
      </w:r>
    </w:p>
    <w:p w14:paraId="460EB1C0" w14:textId="77777777" w:rsidR="00F8386E" w:rsidRDefault="00F8386E" w:rsidP="00FB2AA4">
      <w:pPr>
        <w:pStyle w:val="CETBodytext"/>
      </w:pPr>
      <w:r w:rsidRPr="00F8386E">
        <w:t>As shown in Figure 2, pea protein exhibited broader parameter windows for filament formation and shape continuity. However, its filaments tended to merge more extensively, compromising overall printability.</w:t>
      </w:r>
    </w:p>
    <w:p w14:paraId="587B18A4" w14:textId="77777777" w:rsidR="008C22CC" w:rsidRDefault="008C22CC" w:rsidP="00F8386E">
      <w:pPr>
        <w:pStyle w:val="CETBodytext"/>
      </w:pPr>
    </w:p>
    <w:p w14:paraId="3789B9E9" w14:textId="5ADF5D64" w:rsidR="02316283" w:rsidRPr="00F8386E" w:rsidRDefault="2353569D" w:rsidP="00F8386E">
      <w:pPr>
        <w:pStyle w:val="CETBodytext"/>
      </w:pPr>
      <w:r w:rsidRPr="00F8386E">
        <w:t xml:space="preserve">a) </w:t>
      </w:r>
      <w:r w:rsidR="02316283">
        <w:rPr>
          <w:noProof/>
        </w:rPr>
        <w:drawing>
          <wp:inline distT="0" distB="0" distL="0" distR="0" wp14:anchorId="22A175C2" wp14:editId="351DC96D">
            <wp:extent cx="2544756" cy="1516340"/>
            <wp:effectExtent l="0" t="0" r="0" b="0"/>
            <wp:docPr id="1470646193" name="Picture 147064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r="6376" b="5242"/>
                    <a:stretch>
                      <a:fillRect/>
                    </a:stretch>
                  </pic:blipFill>
                  <pic:spPr>
                    <a:xfrm>
                      <a:off x="0" y="0"/>
                      <a:ext cx="2544756" cy="1516340"/>
                    </a:xfrm>
                    <a:prstGeom prst="rect">
                      <a:avLst/>
                    </a:prstGeom>
                  </pic:spPr>
                </pic:pic>
              </a:graphicData>
            </a:graphic>
          </wp:inline>
        </w:drawing>
      </w:r>
      <w:r w:rsidRPr="00F8386E">
        <w:t xml:space="preserve"> b) </w:t>
      </w:r>
      <w:r w:rsidR="02316283">
        <w:rPr>
          <w:noProof/>
        </w:rPr>
        <w:drawing>
          <wp:inline distT="0" distB="0" distL="0" distR="0" wp14:anchorId="38BA7E0A" wp14:editId="358D3B36">
            <wp:extent cx="2198040" cy="1538628"/>
            <wp:effectExtent l="0" t="0" r="0" b="0"/>
            <wp:docPr id="539977662" name="Picture 53997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98040" cy="1538628"/>
                    </a:xfrm>
                    <a:prstGeom prst="rect">
                      <a:avLst/>
                    </a:prstGeom>
                  </pic:spPr>
                </pic:pic>
              </a:graphicData>
            </a:graphic>
          </wp:inline>
        </w:drawing>
      </w:r>
    </w:p>
    <w:p w14:paraId="50DEBD80" w14:textId="77777777" w:rsidR="00666E00" w:rsidRDefault="00666E00" w:rsidP="00DB1B1E">
      <w:pPr>
        <w:pStyle w:val="CETHeadingxx"/>
        <w:rPr>
          <w:b w:val="0"/>
          <w:bCs/>
          <w:i/>
          <w:iCs/>
        </w:rPr>
      </w:pPr>
      <w:r w:rsidRPr="00F904BB">
        <w:rPr>
          <w:b w:val="0"/>
          <w:bCs/>
          <w:i/>
          <w:iCs/>
        </w:rPr>
        <w:t>Figure 2: (a) Parameters for printability assessment for pea and soy protein, (b) Printability window for pea and soy protein.</w:t>
      </w:r>
    </w:p>
    <w:p w14:paraId="1AB0EC57" w14:textId="77777777" w:rsidR="00666E00" w:rsidRPr="00F904BB" w:rsidRDefault="00666E00" w:rsidP="00DB1B1E">
      <w:pPr>
        <w:pStyle w:val="CETHeadingxx"/>
        <w:rPr>
          <w:b w:val="0"/>
          <w:bCs/>
        </w:rPr>
      </w:pPr>
      <w:r w:rsidRPr="00F904BB">
        <w:rPr>
          <w:b w:val="0"/>
          <w:bCs/>
        </w:rPr>
        <w:t>The selection of nozzle diameters and protein concentrations for the test samples (Figure 2) was entirely based on meeting the printability criteria for each protein source and nozzle size.</w:t>
      </w:r>
    </w:p>
    <w:p w14:paraId="2C49F5BB" w14:textId="4AD21FA5" w:rsidR="009B0C92" w:rsidRDefault="009B0C92" w:rsidP="00F904BB">
      <w:pPr>
        <w:pStyle w:val="CETheadingx"/>
      </w:pPr>
      <w:r>
        <w:t>3.3 Temporal Dimension</w:t>
      </w:r>
    </w:p>
    <w:p w14:paraId="36C48D22" w14:textId="6A3677E7" w:rsidR="02316283" w:rsidRPr="00F904BB" w:rsidRDefault="009B0C92" w:rsidP="00DB1B1E">
      <w:pPr>
        <w:pStyle w:val="CETHeadingxx"/>
        <w:rPr>
          <w:b w:val="0"/>
          <w:bCs/>
        </w:rPr>
      </w:pPr>
      <w:r w:rsidRPr="00F904BB">
        <w:rPr>
          <w:b w:val="0"/>
          <w:bCs/>
        </w:rPr>
        <w:t xml:space="preserve">Preliminary trials revealed a gradual loss of paste flowability through the extruder nozzle over time. This phenomenon was attributed to the onset of crosslinking induced by transglutaminase, which began approximately 90 minutes after preparing the food ink. The crosslinking process resulted from the formation of ε(γ-glutamyl) lysine </w:t>
      </w:r>
      <w:proofErr w:type="spellStart"/>
      <w:r w:rsidRPr="00F904BB">
        <w:rPr>
          <w:b w:val="0"/>
          <w:bCs/>
        </w:rPr>
        <w:t>isopeptide</w:t>
      </w:r>
      <w:proofErr w:type="spellEnd"/>
      <w:r w:rsidRPr="00F904BB">
        <w:rPr>
          <w:b w:val="0"/>
          <w:bCs/>
        </w:rPr>
        <w:t xml:space="preserve"> </w:t>
      </w:r>
      <w:r w:rsidR="00DF7125" w:rsidRPr="00F904BB">
        <w:rPr>
          <w:b w:val="0"/>
          <w:bCs/>
        </w:rPr>
        <w:t xml:space="preserve">bonds. </w:t>
      </w:r>
    </w:p>
    <w:p w14:paraId="203F9DD1" w14:textId="2B45572E" w:rsidR="00467C9A" w:rsidRPr="00467C9A" w:rsidRDefault="00467C9A" w:rsidP="00F904BB">
      <w:pPr>
        <w:pStyle w:val="CETheadingx"/>
        <w:rPr>
          <w:rFonts w:eastAsia="Arial"/>
        </w:rPr>
      </w:pPr>
      <w:r w:rsidRPr="00467C9A">
        <w:rPr>
          <w:rFonts w:eastAsia="Arial"/>
        </w:rPr>
        <w:t>3.4 Fidelity and Shape Retention</w:t>
      </w:r>
    </w:p>
    <w:p w14:paraId="439626C1" w14:textId="77777777" w:rsidR="00467C9A" w:rsidRPr="00467C9A" w:rsidRDefault="00467C9A" w:rsidP="00467C9A">
      <w:pPr>
        <w:pStyle w:val="CETBodytext"/>
        <w:rPr>
          <w:rFonts w:eastAsia="Arial" w:cs="Arial"/>
          <w:szCs w:val="18"/>
        </w:rPr>
      </w:pPr>
      <w:r w:rsidRPr="00467C9A">
        <w:rPr>
          <w:rFonts w:eastAsia="Arial" w:cs="Arial"/>
          <w:szCs w:val="18"/>
        </w:rPr>
        <w:t>Statistical analysis (ANOVA, confidence level of 0.95) indicated that soy protein formulations with the lowest alginate concentrations (0% and 0.5%) exhibited the greatest dimensional deviations from the digital model. In contrast, all pea protein formulations maintained a higher degree of dimensional fidelity across all tested alginate levels.</w:t>
      </w:r>
    </w:p>
    <w:p w14:paraId="746B2182" w14:textId="72598D0E" w:rsidR="02316283" w:rsidRPr="00467C9A" w:rsidRDefault="00467C9A" w:rsidP="00467C9A">
      <w:pPr>
        <w:pStyle w:val="CETBodytext"/>
        <w:rPr>
          <w:rFonts w:eastAsia="Arial" w:cs="Arial"/>
          <w:szCs w:val="18"/>
        </w:rPr>
      </w:pPr>
      <w:r w:rsidRPr="00467C9A">
        <w:rPr>
          <w:rFonts w:eastAsia="Arial" w:cs="Arial"/>
          <w:szCs w:val="18"/>
        </w:rPr>
        <w:t>Pea protein exhibited the most significant deformations at the upper section of the printed structures, with a maximum compaction ratio of 0.875 relative to the initial dimensions. The deformation was uniformly distributed as minimal lateral expansion. Conversely, soy protein displayed less deformation, with a maximum compaction ratio of 0.36 compared to its initial proportions, as illustrated in Figure 3.</w:t>
      </w:r>
    </w:p>
    <w:p w14:paraId="105B259B" w14:textId="555A59C8" w:rsidR="02316283" w:rsidRPr="00675439" w:rsidRDefault="2353569D" w:rsidP="2353569D">
      <w:pPr>
        <w:rPr>
          <w:lang w:val="en-US"/>
        </w:rPr>
      </w:pPr>
      <w:r w:rsidRPr="00675439">
        <w:rPr>
          <w:lang w:val="en-US"/>
        </w:rPr>
        <w:t>a)</w:t>
      </w:r>
      <w:r w:rsidR="02316283">
        <w:rPr>
          <w:noProof/>
        </w:rPr>
        <w:drawing>
          <wp:inline distT="0" distB="0" distL="0" distR="0" wp14:anchorId="63818B59" wp14:editId="1E0A0FA7">
            <wp:extent cx="2033191" cy="1425874"/>
            <wp:effectExtent l="0" t="0" r="0" b="0"/>
            <wp:docPr id="1443571375" name="Picture 144357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033191" cy="1425874"/>
                    </a:xfrm>
                    <a:prstGeom prst="rect">
                      <a:avLst/>
                    </a:prstGeom>
                  </pic:spPr>
                </pic:pic>
              </a:graphicData>
            </a:graphic>
          </wp:inline>
        </w:drawing>
      </w:r>
      <w:r w:rsidRPr="00675439">
        <w:rPr>
          <w:lang w:val="en-US"/>
        </w:rPr>
        <w:t xml:space="preserve">    b)</w:t>
      </w:r>
      <w:r w:rsidR="02316283">
        <w:rPr>
          <w:noProof/>
        </w:rPr>
        <w:drawing>
          <wp:inline distT="0" distB="0" distL="0" distR="0" wp14:anchorId="3556403B" wp14:editId="5A3A68AA">
            <wp:extent cx="1984215" cy="1419174"/>
            <wp:effectExtent l="0" t="0" r="0" b="0"/>
            <wp:docPr id="483345199" name="Picture 483345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984215" cy="1419174"/>
                    </a:xfrm>
                    <a:prstGeom prst="rect">
                      <a:avLst/>
                    </a:prstGeom>
                  </pic:spPr>
                </pic:pic>
              </a:graphicData>
            </a:graphic>
          </wp:inline>
        </w:drawing>
      </w:r>
    </w:p>
    <w:p w14:paraId="0BF81EF9" w14:textId="269E2BC5" w:rsidR="02316283" w:rsidRDefault="00AB3AA3" w:rsidP="2353569D">
      <w:pPr>
        <w:rPr>
          <w:i/>
          <w:iCs/>
          <w:lang w:val="en-US"/>
        </w:rPr>
      </w:pPr>
      <w:r w:rsidRPr="00AB3AA3">
        <w:rPr>
          <w:i/>
          <w:iCs/>
          <w:lang w:val="en-US"/>
        </w:rPr>
        <w:t>Figure 3: (a) Deformation of pea protein specimen, (b) Deformation of soy protein specimen</w:t>
      </w:r>
      <w:r>
        <w:rPr>
          <w:i/>
          <w:iCs/>
          <w:lang w:val="en-US"/>
        </w:rPr>
        <w:t>.</w:t>
      </w:r>
    </w:p>
    <w:p w14:paraId="6FFFB3A8" w14:textId="77777777" w:rsidR="00AB3AA3" w:rsidRPr="00AB3AA3" w:rsidRDefault="00AB3AA3" w:rsidP="2353569D">
      <w:pPr>
        <w:rPr>
          <w:lang w:val="en-US"/>
        </w:rPr>
      </w:pPr>
    </w:p>
    <w:p w14:paraId="4775E876" w14:textId="201E61D2" w:rsidR="006D2122" w:rsidRPr="006D2122" w:rsidRDefault="006D2122" w:rsidP="00F904BB">
      <w:pPr>
        <w:pStyle w:val="CETheadingx"/>
      </w:pPr>
      <w:r w:rsidRPr="006D2122">
        <w:t>3.</w:t>
      </w:r>
      <w:r>
        <w:t>5</w:t>
      </w:r>
      <w:r w:rsidRPr="006D2122">
        <w:t xml:space="preserve"> Critical Parameters</w:t>
      </w:r>
    </w:p>
    <w:p w14:paraId="1163D907" w14:textId="393195EB" w:rsidR="006D2122" w:rsidRPr="006D2122" w:rsidRDefault="006D2122" w:rsidP="006D2122">
      <w:pPr>
        <w:pStyle w:val="CETBodytext"/>
        <w:rPr>
          <w:bCs/>
        </w:rPr>
      </w:pPr>
      <w:r w:rsidRPr="006D2122">
        <w:rPr>
          <w:bCs/>
        </w:rPr>
        <w:t xml:space="preserve">The critical parameters obtained for the printing of test specimens are presented in Table </w:t>
      </w:r>
      <w:r w:rsidR="00EA7EB7">
        <w:rPr>
          <w:bCs/>
        </w:rPr>
        <w:t>2</w:t>
      </w:r>
      <w:r w:rsidRPr="006D2122">
        <w:rPr>
          <w:bCs/>
        </w:rPr>
        <w:t>.</w:t>
      </w:r>
    </w:p>
    <w:p w14:paraId="70800407" w14:textId="77777777" w:rsidR="00847476" w:rsidRDefault="00847476" w:rsidP="006D2122">
      <w:pPr>
        <w:pStyle w:val="CETBodytext"/>
        <w:rPr>
          <w:bCs/>
          <w:i/>
          <w:iCs/>
        </w:rPr>
      </w:pPr>
    </w:p>
    <w:p w14:paraId="7CD661A3" w14:textId="4B268CDD" w:rsidR="2353569D" w:rsidRPr="006D2122" w:rsidRDefault="006D2122" w:rsidP="00EA7EB7">
      <w:pPr>
        <w:pStyle w:val="CETTabletitle"/>
      </w:pPr>
      <w:r w:rsidRPr="006D2122">
        <w:lastRenderedPageBreak/>
        <w:t xml:space="preserve">Table </w:t>
      </w:r>
      <w:r w:rsidR="00EA7EB7">
        <w:t>2</w:t>
      </w:r>
      <w:r w:rsidRPr="006D2122">
        <w:t>: Critical parameters for food inks.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5"/>
        <w:gridCol w:w="350"/>
        <w:gridCol w:w="1675"/>
        <w:gridCol w:w="1283"/>
        <w:gridCol w:w="1282"/>
        <w:gridCol w:w="2955"/>
      </w:tblGrid>
      <w:tr w:rsidR="02316283" w14:paraId="598BA3E0" w14:textId="77777777" w:rsidTr="02316283">
        <w:trPr>
          <w:trHeight w:val="300"/>
        </w:trPr>
        <w:tc>
          <w:tcPr>
            <w:tcW w:w="1265" w:type="dxa"/>
            <w:gridSpan w:val="2"/>
            <w:tcBorders>
              <w:top w:val="single" w:sz="6" w:space="0" w:color="auto"/>
              <w:left w:val="nil"/>
              <w:bottom w:val="single" w:sz="6" w:space="0" w:color="auto"/>
              <w:right w:val="nil"/>
            </w:tcBorders>
            <w:tcMar>
              <w:left w:w="105" w:type="dxa"/>
              <w:right w:w="105" w:type="dxa"/>
            </w:tcMar>
          </w:tcPr>
          <w:p w14:paraId="0E3D991B" w14:textId="5CCD9BD6"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Protein</w:t>
            </w:r>
          </w:p>
        </w:tc>
        <w:tc>
          <w:tcPr>
            <w:tcW w:w="1675" w:type="dxa"/>
            <w:tcBorders>
              <w:top w:val="single" w:sz="6" w:space="0" w:color="auto"/>
              <w:left w:val="nil"/>
              <w:bottom w:val="single" w:sz="6" w:space="0" w:color="auto"/>
              <w:right w:val="nil"/>
            </w:tcBorders>
            <w:tcMar>
              <w:left w:w="105" w:type="dxa"/>
              <w:right w:w="105" w:type="dxa"/>
            </w:tcMar>
          </w:tcPr>
          <w:p w14:paraId="1D8D5E40" w14:textId="2136BA62"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 xml:space="preserve">% </w:t>
            </w:r>
            <w:proofErr w:type="spellStart"/>
            <w:r w:rsidRPr="02316283">
              <w:rPr>
                <w:rFonts w:eastAsia="Arial" w:cs="Arial"/>
                <w:b w:val="0"/>
                <w:bCs w:val="0"/>
                <w:color w:val="auto"/>
                <w:lang w:val="es-419"/>
              </w:rPr>
              <w:t>Alginate</w:t>
            </w:r>
            <w:proofErr w:type="spellEnd"/>
          </w:p>
        </w:tc>
        <w:tc>
          <w:tcPr>
            <w:tcW w:w="2565" w:type="dxa"/>
            <w:gridSpan w:val="2"/>
            <w:tcBorders>
              <w:top w:val="single" w:sz="6" w:space="0" w:color="auto"/>
              <w:left w:val="nil"/>
              <w:bottom w:val="single" w:sz="6" w:space="0" w:color="auto"/>
              <w:right w:val="nil"/>
            </w:tcBorders>
            <w:tcMar>
              <w:left w:w="105" w:type="dxa"/>
              <w:right w:w="105" w:type="dxa"/>
            </w:tcMar>
          </w:tcPr>
          <w:p w14:paraId="187506E3" w14:textId="736C7993" w:rsidR="02316283" w:rsidRDefault="02316283" w:rsidP="02316283">
            <w:pPr>
              <w:pStyle w:val="Caption"/>
              <w:keepNext/>
              <w:widowControl w:val="0"/>
              <w:spacing w:line="264" w:lineRule="auto"/>
              <w:jc w:val="center"/>
              <w:rPr>
                <w:rFonts w:eastAsia="Arial" w:cs="Arial"/>
                <w:b w:val="0"/>
                <w:bCs w:val="0"/>
                <w:i/>
                <w:iCs/>
                <w:color w:val="auto"/>
              </w:rPr>
            </w:pPr>
            <w:r w:rsidRPr="00122C11">
              <w:rPr>
                <w:rFonts w:eastAsia="Arial" w:cs="Arial"/>
                <w:b w:val="0"/>
                <w:bCs w:val="0"/>
                <w:color w:val="auto"/>
                <w:lang w:val="en-US"/>
              </w:rPr>
              <w:t xml:space="preserve">Critical </w:t>
            </w:r>
            <w:r w:rsidR="00122C11" w:rsidRPr="00122C11">
              <w:rPr>
                <w:rFonts w:eastAsia="Arial" w:cs="Arial"/>
                <w:b w:val="0"/>
                <w:bCs w:val="0"/>
                <w:color w:val="auto"/>
                <w:lang w:val="en-US"/>
              </w:rPr>
              <w:t xml:space="preserve">nozzle </w:t>
            </w:r>
            <w:r w:rsidRPr="00122C11">
              <w:rPr>
                <w:rFonts w:eastAsia="Arial" w:cs="Arial"/>
                <w:b w:val="0"/>
                <w:bCs w:val="0"/>
                <w:color w:val="auto"/>
                <w:lang w:val="en-US"/>
              </w:rPr>
              <w:t>speed (mm/s)</w:t>
            </w:r>
          </w:p>
        </w:tc>
        <w:tc>
          <w:tcPr>
            <w:tcW w:w="2955" w:type="dxa"/>
            <w:tcBorders>
              <w:top w:val="single" w:sz="6" w:space="0" w:color="auto"/>
              <w:left w:val="nil"/>
              <w:bottom w:val="single" w:sz="6" w:space="0" w:color="auto"/>
              <w:right w:val="nil"/>
            </w:tcBorders>
            <w:tcMar>
              <w:left w:w="105" w:type="dxa"/>
              <w:right w:w="105" w:type="dxa"/>
            </w:tcMar>
          </w:tcPr>
          <w:p w14:paraId="1C673C56" w14:textId="787CCA55" w:rsidR="02316283" w:rsidRDefault="02316283" w:rsidP="02316283">
            <w:pPr>
              <w:pStyle w:val="Caption"/>
              <w:keepNext/>
              <w:widowControl w:val="0"/>
              <w:spacing w:line="264" w:lineRule="auto"/>
              <w:jc w:val="center"/>
              <w:rPr>
                <w:rFonts w:eastAsia="Arial" w:cs="Arial"/>
                <w:b w:val="0"/>
                <w:bCs w:val="0"/>
                <w:i/>
                <w:iCs/>
                <w:color w:val="auto"/>
              </w:rPr>
            </w:pPr>
            <w:proofErr w:type="spellStart"/>
            <w:r w:rsidRPr="02316283">
              <w:rPr>
                <w:rFonts w:eastAsia="Arial" w:cs="Arial"/>
                <w:b w:val="0"/>
                <w:bCs w:val="0"/>
                <w:color w:val="auto"/>
                <w:lang w:val="es-419"/>
              </w:rPr>
              <w:t>Critical</w:t>
            </w:r>
            <w:proofErr w:type="spellEnd"/>
            <w:r w:rsidR="00122C11">
              <w:rPr>
                <w:rFonts w:eastAsia="Arial" w:cs="Arial"/>
                <w:b w:val="0"/>
                <w:bCs w:val="0"/>
                <w:color w:val="auto"/>
                <w:lang w:val="es-419"/>
              </w:rPr>
              <w:t xml:space="preserve"> </w:t>
            </w:r>
            <w:proofErr w:type="spellStart"/>
            <w:r w:rsidR="00122C11">
              <w:rPr>
                <w:rFonts w:eastAsia="Arial" w:cs="Arial"/>
                <w:b w:val="0"/>
                <w:bCs w:val="0"/>
                <w:color w:val="auto"/>
                <w:lang w:val="es-419"/>
              </w:rPr>
              <w:t>nozzle</w:t>
            </w:r>
            <w:proofErr w:type="spellEnd"/>
            <w:r w:rsidRPr="02316283">
              <w:rPr>
                <w:rFonts w:eastAsia="Arial" w:cs="Arial"/>
                <w:b w:val="0"/>
                <w:bCs w:val="0"/>
                <w:color w:val="auto"/>
                <w:lang w:val="es-419"/>
              </w:rPr>
              <w:t xml:space="preserve"> </w:t>
            </w:r>
            <w:proofErr w:type="spellStart"/>
            <w:r w:rsidR="00122C11">
              <w:rPr>
                <w:rFonts w:eastAsia="Arial" w:cs="Arial"/>
                <w:b w:val="0"/>
                <w:bCs w:val="0"/>
                <w:color w:val="auto"/>
                <w:lang w:val="es-419"/>
              </w:rPr>
              <w:t>h</w:t>
            </w:r>
            <w:r w:rsidRPr="02316283">
              <w:rPr>
                <w:rFonts w:eastAsia="Arial" w:cs="Arial"/>
                <w:b w:val="0"/>
                <w:bCs w:val="0"/>
                <w:color w:val="auto"/>
                <w:lang w:val="es-419"/>
              </w:rPr>
              <w:t>eight</w:t>
            </w:r>
            <w:proofErr w:type="spellEnd"/>
            <w:r w:rsidRPr="02316283">
              <w:rPr>
                <w:rFonts w:eastAsia="Arial" w:cs="Arial"/>
                <w:b w:val="0"/>
                <w:bCs w:val="0"/>
                <w:color w:val="auto"/>
                <w:lang w:val="es-419"/>
              </w:rPr>
              <w:t xml:space="preserve"> (mm)</w:t>
            </w:r>
          </w:p>
        </w:tc>
      </w:tr>
      <w:tr w:rsidR="02316283" w14:paraId="33C33879" w14:textId="77777777" w:rsidTr="02316283">
        <w:trPr>
          <w:trHeight w:val="300"/>
        </w:trPr>
        <w:tc>
          <w:tcPr>
            <w:tcW w:w="915" w:type="dxa"/>
            <w:tcBorders>
              <w:top w:val="single" w:sz="6" w:space="0" w:color="auto"/>
              <w:left w:val="nil"/>
              <w:bottom w:val="nil"/>
              <w:right w:val="nil"/>
            </w:tcBorders>
            <w:tcMar>
              <w:left w:w="105" w:type="dxa"/>
              <w:right w:w="105" w:type="dxa"/>
            </w:tcMar>
          </w:tcPr>
          <w:p w14:paraId="707368CC" w14:textId="263CF023" w:rsidR="02316283" w:rsidRDefault="02316283" w:rsidP="02316283">
            <w:pPr>
              <w:pStyle w:val="Caption"/>
              <w:keepNext/>
              <w:widowControl w:val="0"/>
              <w:spacing w:line="264" w:lineRule="auto"/>
              <w:jc w:val="center"/>
              <w:rPr>
                <w:rFonts w:eastAsia="Arial" w:cs="Arial"/>
                <w:b w:val="0"/>
                <w:bCs w:val="0"/>
                <w:color w:val="auto"/>
                <w:lang w:val="es-419"/>
              </w:rPr>
            </w:pPr>
            <w:r w:rsidRPr="02316283">
              <w:rPr>
                <w:rFonts w:eastAsia="Arial" w:cs="Arial"/>
                <w:b w:val="0"/>
                <w:bCs w:val="0"/>
                <w:color w:val="auto"/>
                <w:lang w:val="es-419"/>
              </w:rPr>
              <w:t>Pea</w:t>
            </w:r>
          </w:p>
        </w:tc>
        <w:tc>
          <w:tcPr>
            <w:tcW w:w="3308" w:type="dxa"/>
            <w:gridSpan w:val="3"/>
            <w:tcBorders>
              <w:top w:val="single" w:sz="6" w:space="0" w:color="auto"/>
              <w:left w:val="nil"/>
              <w:bottom w:val="nil"/>
              <w:right w:val="nil"/>
            </w:tcBorders>
            <w:tcMar>
              <w:left w:w="105" w:type="dxa"/>
              <w:right w:w="105" w:type="dxa"/>
            </w:tcMar>
          </w:tcPr>
          <w:p w14:paraId="50F5EEAA" w14:textId="2D7A882A"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1</w:t>
            </w:r>
          </w:p>
        </w:tc>
        <w:tc>
          <w:tcPr>
            <w:tcW w:w="1282" w:type="dxa"/>
            <w:tcBorders>
              <w:top w:val="single" w:sz="6" w:space="0" w:color="auto"/>
              <w:left w:val="nil"/>
              <w:bottom w:val="nil"/>
              <w:right w:val="nil"/>
            </w:tcBorders>
            <w:tcMar>
              <w:left w:w="105" w:type="dxa"/>
              <w:right w:w="105" w:type="dxa"/>
            </w:tcMar>
          </w:tcPr>
          <w:p w14:paraId="3829D8DE" w14:textId="5175B013"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84</w:t>
            </w:r>
          </w:p>
        </w:tc>
        <w:tc>
          <w:tcPr>
            <w:tcW w:w="2955" w:type="dxa"/>
            <w:tcBorders>
              <w:top w:val="single" w:sz="6" w:space="0" w:color="auto"/>
              <w:left w:val="nil"/>
              <w:bottom w:val="nil"/>
              <w:right w:val="nil"/>
            </w:tcBorders>
            <w:tcMar>
              <w:left w:w="105" w:type="dxa"/>
              <w:right w:w="105" w:type="dxa"/>
            </w:tcMar>
          </w:tcPr>
          <w:p w14:paraId="1C232DE5" w14:textId="2DC66BF2"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0.35</w:t>
            </w:r>
          </w:p>
        </w:tc>
      </w:tr>
      <w:tr w:rsidR="02316283" w14:paraId="0F4E73CA" w14:textId="77777777" w:rsidTr="02316283">
        <w:trPr>
          <w:trHeight w:val="300"/>
        </w:trPr>
        <w:tc>
          <w:tcPr>
            <w:tcW w:w="915" w:type="dxa"/>
            <w:tcBorders>
              <w:top w:val="nil"/>
              <w:left w:val="nil"/>
              <w:bottom w:val="nil"/>
              <w:right w:val="nil"/>
            </w:tcBorders>
            <w:tcMar>
              <w:left w:w="105" w:type="dxa"/>
              <w:right w:w="105" w:type="dxa"/>
            </w:tcMar>
          </w:tcPr>
          <w:p w14:paraId="27FD8DC1" w14:textId="16F324B0" w:rsidR="02316283" w:rsidRDefault="02316283" w:rsidP="02316283">
            <w:pPr>
              <w:pStyle w:val="Caption"/>
              <w:keepNext/>
              <w:widowControl w:val="0"/>
              <w:spacing w:line="264" w:lineRule="auto"/>
              <w:jc w:val="center"/>
              <w:rPr>
                <w:rFonts w:eastAsia="Arial" w:cs="Arial"/>
                <w:b w:val="0"/>
                <w:bCs w:val="0"/>
                <w:color w:val="auto"/>
                <w:lang w:val="es-419"/>
              </w:rPr>
            </w:pPr>
            <w:r w:rsidRPr="02316283">
              <w:rPr>
                <w:rFonts w:eastAsia="Arial" w:cs="Arial"/>
                <w:b w:val="0"/>
                <w:bCs w:val="0"/>
                <w:color w:val="auto"/>
                <w:lang w:val="es-419"/>
              </w:rPr>
              <w:t>Pea</w:t>
            </w:r>
          </w:p>
        </w:tc>
        <w:tc>
          <w:tcPr>
            <w:tcW w:w="3308" w:type="dxa"/>
            <w:gridSpan w:val="3"/>
            <w:tcBorders>
              <w:top w:val="nil"/>
              <w:left w:val="nil"/>
              <w:bottom w:val="nil"/>
              <w:right w:val="nil"/>
            </w:tcBorders>
            <w:tcMar>
              <w:left w:w="105" w:type="dxa"/>
              <w:right w:w="105" w:type="dxa"/>
            </w:tcMar>
          </w:tcPr>
          <w:p w14:paraId="5B287F18" w14:textId="21AAB441"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0.5</w:t>
            </w:r>
          </w:p>
        </w:tc>
        <w:tc>
          <w:tcPr>
            <w:tcW w:w="1282" w:type="dxa"/>
            <w:tcBorders>
              <w:top w:val="nil"/>
              <w:left w:val="nil"/>
              <w:bottom w:val="nil"/>
              <w:right w:val="nil"/>
            </w:tcBorders>
            <w:tcMar>
              <w:left w:w="105" w:type="dxa"/>
              <w:right w:w="105" w:type="dxa"/>
            </w:tcMar>
          </w:tcPr>
          <w:p w14:paraId="1BB2F0AC" w14:textId="7F7E4076"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62</w:t>
            </w:r>
          </w:p>
        </w:tc>
        <w:tc>
          <w:tcPr>
            <w:tcW w:w="2955" w:type="dxa"/>
            <w:tcBorders>
              <w:top w:val="nil"/>
              <w:left w:val="nil"/>
              <w:bottom w:val="nil"/>
              <w:right w:val="nil"/>
            </w:tcBorders>
            <w:tcMar>
              <w:left w:w="105" w:type="dxa"/>
              <w:right w:w="105" w:type="dxa"/>
            </w:tcMar>
          </w:tcPr>
          <w:p w14:paraId="7F0C8FC6" w14:textId="5F7EBCE0"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0.35</w:t>
            </w:r>
          </w:p>
        </w:tc>
      </w:tr>
      <w:tr w:rsidR="02316283" w14:paraId="50E15CD9" w14:textId="77777777" w:rsidTr="02316283">
        <w:trPr>
          <w:trHeight w:val="300"/>
        </w:trPr>
        <w:tc>
          <w:tcPr>
            <w:tcW w:w="915" w:type="dxa"/>
            <w:tcBorders>
              <w:top w:val="nil"/>
              <w:left w:val="nil"/>
              <w:bottom w:val="nil"/>
              <w:right w:val="nil"/>
            </w:tcBorders>
            <w:tcMar>
              <w:left w:w="105" w:type="dxa"/>
              <w:right w:w="105" w:type="dxa"/>
            </w:tcMar>
          </w:tcPr>
          <w:p w14:paraId="64A9FBB3" w14:textId="08D2EAEC"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Soy</w:t>
            </w:r>
          </w:p>
        </w:tc>
        <w:tc>
          <w:tcPr>
            <w:tcW w:w="3308" w:type="dxa"/>
            <w:gridSpan w:val="3"/>
            <w:tcBorders>
              <w:top w:val="nil"/>
              <w:left w:val="nil"/>
              <w:bottom w:val="nil"/>
              <w:right w:val="nil"/>
            </w:tcBorders>
            <w:tcMar>
              <w:left w:w="105" w:type="dxa"/>
              <w:right w:w="105" w:type="dxa"/>
            </w:tcMar>
          </w:tcPr>
          <w:p w14:paraId="249F03ED" w14:textId="250F6E25"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1</w:t>
            </w:r>
          </w:p>
        </w:tc>
        <w:tc>
          <w:tcPr>
            <w:tcW w:w="1282" w:type="dxa"/>
            <w:tcBorders>
              <w:top w:val="nil"/>
              <w:left w:val="nil"/>
              <w:bottom w:val="nil"/>
              <w:right w:val="nil"/>
            </w:tcBorders>
            <w:tcMar>
              <w:left w:w="105" w:type="dxa"/>
              <w:right w:w="105" w:type="dxa"/>
            </w:tcMar>
          </w:tcPr>
          <w:p w14:paraId="171DA725" w14:textId="3D0679BC"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58</w:t>
            </w:r>
          </w:p>
        </w:tc>
        <w:tc>
          <w:tcPr>
            <w:tcW w:w="2955" w:type="dxa"/>
            <w:tcBorders>
              <w:top w:val="nil"/>
              <w:left w:val="nil"/>
              <w:bottom w:val="nil"/>
              <w:right w:val="nil"/>
            </w:tcBorders>
            <w:tcMar>
              <w:left w:w="105" w:type="dxa"/>
              <w:right w:w="105" w:type="dxa"/>
            </w:tcMar>
          </w:tcPr>
          <w:p w14:paraId="65088BFF" w14:textId="0255932E"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0.48</w:t>
            </w:r>
          </w:p>
        </w:tc>
      </w:tr>
      <w:tr w:rsidR="02316283" w14:paraId="7DA62B44" w14:textId="77777777" w:rsidTr="02316283">
        <w:trPr>
          <w:trHeight w:val="300"/>
        </w:trPr>
        <w:tc>
          <w:tcPr>
            <w:tcW w:w="915" w:type="dxa"/>
            <w:tcBorders>
              <w:top w:val="nil"/>
              <w:left w:val="nil"/>
              <w:right w:val="nil"/>
            </w:tcBorders>
            <w:tcMar>
              <w:left w:w="105" w:type="dxa"/>
              <w:right w:w="105" w:type="dxa"/>
            </w:tcMar>
          </w:tcPr>
          <w:p w14:paraId="26259BA3" w14:textId="782E8CBC"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Soy</w:t>
            </w:r>
          </w:p>
        </w:tc>
        <w:tc>
          <w:tcPr>
            <w:tcW w:w="3308" w:type="dxa"/>
            <w:gridSpan w:val="3"/>
            <w:tcBorders>
              <w:top w:val="nil"/>
              <w:left w:val="nil"/>
              <w:right w:val="nil"/>
            </w:tcBorders>
            <w:tcMar>
              <w:left w:w="105" w:type="dxa"/>
              <w:right w:w="105" w:type="dxa"/>
            </w:tcMar>
          </w:tcPr>
          <w:p w14:paraId="152E85C0" w14:textId="38F8F5E5"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0.5</w:t>
            </w:r>
          </w:p>
        </w:tc>
        <w:tc>
          <w:tcPr>
            <w:tcW w:w="1282" w:type="dxa"/>
            <w:tcBorders>
              <w:top w:val="nil"/>
              <w:left w:val="nil"/>
              <w:right w:val="nil"/>
            </w:tcBorders>
            <w:tcMar>
              <w:left w:w="105" w:type="dxa"/>
              <w:right w:w="105" w:type="dxa"/>
            </w:tcMar>
          </w:tcPr>
          <w:p w14:paraId="71FA2C8F" w14:textId="6E292A85"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30</w:t>
            </w:r>
          </w:p>
        </w:tc>
        <w:tc>
          <w:tcPr>
            <w:tcW w:w="2955" w:type="dxa"/>
            <w:tcBorders>
              <w:top w:val="nil"/>
              <w:left w:val="nil"/>
              <w:right w:val="nil"/>
            </w:tcBorders>
            <w:tcMar>
              <w:left w:w="105" w:type="dxa"/>
              <w:right w:w="105" w:type="dxa"/>
            </w:tcMar>
          </w:tcPr>
          <w:p w14:paraId="0EE58273" w14:textId="6157B967" w:rsidR="02316283" w:rsidRDefault="02316283" w:rsidP="02316283">
            <w:pPr>
              <w:pStyle w:val="Caption"/>
              <w:keepNext/>
              <w:widowControl w:val="0"/>
              <w:spacing w:line="264" w:lineRule="auto"/>
              <w:jc w:val="center"/>
              <w:rPr>
                <w:rFonts w:eastAsia="Arial" w:cs="Arial"/>
                <w:b w:val="0"/>
                <w:bCs w:val="0"/>
                <w:i/>
                <w:iCs/>
                <w:color w:val="auto"/>
              </w:rPr>
            </w:pPr>
            <w:r w:rsidRPr="02316283">
              <w:rPr>
                <w:rFonts w:eastAsia="Arial" w:cs="Arial"/>
                <w:b w:val="0"/>
                <w:bCs w:val="0"/>
                <w:color w:val="auto"/>
                <w:lang w:val="es-419"/>
              </w:rPr>
              <w:t>0.48</w:t>
            </w:r>
          </w:p>
        </w:tc>
      </w:tr>
    </w:tbl>
    <w:p w14:paraId="74D8ECB8" w14:textId="77777777" w:rsidR="00C006A7" w:rsidRDefault="00C006A7" w:rsidP="00F904BB">
      <w:pPr>
        <w:pStyle w:val="CETBodytext"/>
      </w:pPr>
    </w:p>
    <w:p w14:paraId="12BE8A25" w14:textId="172B57ED" w:rsidR="00FA5C7D" w:rsidRPr="00AF01E0" w:rsidRDefault="00FA5C7D" w:rsidP="00F904BB">
      <w:pPr>
        <w:pStyle w:val="CETBodytext"/>
        <w:rPr>
          <w:rFonts w:eastAsia="Arial" w:cs="Arial"/>
          <w:szCs w:val="18"/>
        </w:rPr>
      </w:pPr>
      <w:r w:rsidRPr="00AF01E0">
        <w:t>As shown, the critical parameters vary depending on the characteristics of each food ink. The critical velocity can be increased in inks with higher viscosity, for them to flow more effectively through smaller nozzle diameters. This improved flow allows for the formation of finer fibers, thereby reducing the critical nozzle height.</w:t>
      </w:r>
    </w:p>
    <w:p w14:paraId="35CFB561" w14:textId="6EFA9CBE" w:rsidR="00B500B7" w:rsidRDefault="00B500B7" w:rsidP="00F904BB">
      <w:pPr>
        <w:pStyle w:val="CETheadingx"/>
      </w:pPr>
      <w:r w:rsidRPr="00B500B7">
        <w:t>3.</w:t>
      </w:r>
      <w:r w:rsidR="00E80AEB">
        <w:t>6</w:t>
      </w:r>
      <w:r w:rsidRPr="00B500B7">
        <w:t xml:space="preserve"> Texture Analysis</w:t>
      </w:r>
    </w:p>
    <w:p w14:paraId="27DAB266" w14:textId="568CD665" w:rsidR="02316283" w:rsidRDefault="00B500B7" w:rsidP="00B500B7">
      <w:pPr>
        <w:pStyle w:val="CETBodytext"/>
        <w:rPr>
          <w:bCs/>
        </w:rPr>
      </w:pPr>
      <w:r w:rsidRPr="00B500B7">
        <w:rPr>
          <w:bCs/>
        </w:rPr>
        <w:t xml:space="preserve">An analysis of variance (ANOVA) at a 95% confidence level revealed that the textural attributes of the test specimens varied depending on the protein source, as shown in Table </w:t>
      </w:r>
      <w:r w:rsidR="00EA7EB7">
        <w:rPr>
          <w:bCs/>
        </w:rPr>
        <w:t>3</w:t>
      </w:r>
      <w:r w:rsidRPr="00B500B7">
        <w:rPr>
          <w:bCs/>
        </w:rPr>
        <w:t>. Soy protein exhibited higher hardness and lower cohesiveness compared to pea protein. This behavior is attributed to differences in the amino acid profile and lysine content of the proteins (Soy: 89.95 mg/g; Pea: 73.2 mg/g) (Pires et al., 2006; Schlangen et al., 2023). Since lysine reacts with transglutaminase to promote crosslinking, these differences influence the final textural properties.</w:t>
      </w:r>
    </w:p>
    <w:p w14:paraId="69C28118" w14:textId="77777777" w:rsidR="00E67891" w:rsidRDefault="00E67891" w:rsidP="00B500B7">
      <w:pPr>
        <w:pStyle w:val="CETBodytext"/>
        <w:rPr>
          <w:bCs/>
        </w:rPr>
      </w:pPr>
    </w:p>
    <w:p w14:paraId="7B2116A0" w14:textId="4953F211" w:rsidR="00F904BB" w:rsidRPr="00251ABB" w:rsidRDefault="00251ABB" w:rsidP="00EA7EB7">
      <w:pPr>
        <w:pStyle w:val="CETTabletitle"/>
        <w:rPr>
          <w:rFonts w:eastAsia="Arial"/>
        </w:rPr>
      </w:pPr>
      <w:r w:rsidRPr="00251ABB">
        <w:rPr>
          <w:rFonts w:eastAsia="Arial"/>
        </w:rPr>
        <w:t xml:space="preserve">Table </w:t>
      </w:r>
      <w:r w:rsidR="00EA7EB7">
        <w:rPr>
          <w:rFonts w:eastAsia="Arial"/>
        </w:rPr>
        <w:t>3</w:t>
      </w:r>
      <w:r w:rsidRPr="00251ABB">
        <w:rPr>
          <w:rFonts w:eastAsia="Arial"/>
        </w:rPr>
        <w:t>: Textural attributes by protein source.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5"/>
        <w:gridCol w:w="2835"/>
        <w:gridCol w:w="2820"/>
      </w:tblGrid>
      <w:tr w:rsidR="02316283" w14:paraId="59931015" w14:textId="77777777" w:rsidTr="2353569D">
        <w:trPr>
          <w:trHeight w:val="300"/>
        </w:trPr>
        <w:tc>
          <w:tcPr>
            <w:tcW w:w="2835" w:type="dxa"/>
            <w:tcBorders>
              <w:top w:val="single" w:sz="6" w:space="0" w:color="auto"/>
              <w:left w:val="nil"/>
              <w:bottom w:val="single" w:sz="6" w:space="0" w:color="auto"/>
              <w:right w:val="nil"/>
            </w:tcBorders>
            <w:tcMar>
              <w:left w:w="105" w:type="dxa"/>
              <w:right w:w="105" w:type="dxa"/>
            </w:tcMar>
          </w:tcPr>
          <w:p w14:paraId="75DF6669" w14:textId="411DEBDF" w:rsidR="02316283" w:rsidRDefault="02316283" w:rsidP="02316283">
            <w:pPr>
              <w:jc w:val="center"/>
              <w:rPr>
                <w:rFonts w:eastAsia="Arial" w:cs="Arial"/>
                <w:b/>
                <w:bCs/>
                <w:color w:val="000000" w:themeColor="text1"/>
                <w:szCs w:val="18"/>
              </w:rPr>
            </w:pPr>
            <w:r w:rsidRPr="02316283">
              <w:rPr>
                <w:rFonts w:eastAsia="Arial" w:cs="Arial"/>
                <w:color w:val="000000" w:themeColor="text1"/>
                <w:szCs w:val="18"/>
                <w:lang w:val="es-419"/>
              </w:rPr>
              <w:t>Protein</w:t>
            </w:r>
          </w:p>
        </w:tc>
        <w:tc>
          <w:tcPr>
            <w:tcW w:w="2835" w:type="dxa"/>
            <w:tcBorders>
              <w:top w:val="single" w:sz="6" w:space="0" w:color="auto"/>
              <w:left w:val="nil"/>
              <w:bottom w:val="single" w:sz="6" w:space="0" w:color="auto"/>
              <w:right w:val="nil"/>
            </w:tcBorders>
            <w:tcMar>
              <w:left w:w="105" w:type="dxa"/>
              <w:right w:w="105" w:type="dxa"/>
            </w:tcMar>
          </w:tcPr>
          <w:p w14:paraId="4C8E554E" w14:textId="0D93A615" w:rsidR="02316283" w:rsidRDefault="02316283" w:rsidP="02316283">
            <w:pPr>
              <w:jc w:val="center"/>
              <w:rPr>
                <w:rFonts w:eastAsia="Arial" w:cs="Arial"/>
                <w:b/>
                <w:bCs/>
                <w:color w:val="000000" w:themeColor="text1"/>
                <w:szCs w:val="18"/>
              </w:rPr>
            </w:pPr>
            <w:proofErr w:type="spellStart"/>
            <w:r w:rsidRPr="02316283">
              <w:rPr>
                <w:rFonts w:eastAsia="Arial" w:cs="Arial"/>
                <w:color w:val="000000" w:themeColor="text1"/>
                <w:szCs w:val="18"/>
                <w:lang w:val="es-419"/>
              </w:rPr>
              <w:t>Hardness</w:t>
            </w:r>
            <w:proofErr w:type="spellEnd"/>
            <w:r w:rsidRPr="02316283">
              <w:rPr>
                <w:rFonts w:eastAsia="Arial" w:cs="Arial"/>
                <w:color w:val="000000" w:themeColor="text1"/>
                <w:szCs w:val="18"/>
                <w:lang w:val="es-419"/>
              </w:rPr>
              <w:t xml:space="preserve"> (N) ± S.D.</w:t>
            </w:r>
          </w:p>
        </w:tc>
        <w:tc>
          <w:tcPr>
            <w:tcW w:w="2820" w:type="dxa"/>
            <w:tcBorders>
              <w:top w:val="single" w:sz="6" w:space="0" w:color="auto"/>
              <w:left w:val="nil"/>
              <w:bottom w:val="single" w:sz="6" w:space="0" w:color="auto"/>
              <w:right w:val="nil"/>
            </w:tcBorders>
            <w:tcMar>
              <w:left w:w="105" w:type="dxa"/>
              <w:right w:w="105" w:type="dxa"/>
            </w:tcMar>
          </w:tcPr>
          <w:p w14:paraId="6271224D" w14:textId="096CCB67" w:rsidR="02316283" w:rsidRDefault="02316283" w:rsidP="02316283">
            <w:pPr>
              <w:jc w:val="center"/>
              <w:rPr>
                <w:rFonts w:eastAsia="Arial" w:cs="Arial"/>
                <w:b/>
                <w:bCs/>
                <w:color w:val="000000" w:themeColor="text1"/>
                <w:szCs w:val="18"/>
              </w:rPr>
            </w:pPr>
            <w:proofErr w:type="spellStart"/>
            <w:r w:rsidRPr="02316283">
              <w:rPr>
                <w:rFonts w:eastAsia="Arial" w:cs="Arial"/>
                <w:color w:val="000000" w:themeColor="text1"/>
                <w:szCs w:val="18"/>
                <w:lang w:val="es-419"/>
              </w:rPr>
              <w:t>Cohesiveness</w:t>
            </w:r>
            <w:proofErr w:type="spellEnd"/>
            <w:r w:rsidR="007A7BFC">
              <w:rPr>
                <w:rFonts w:eastAsia="Arial" w:cs="Arial"/>
                <w:color w:val="000000" w:themeColor="text1"/>
                <w:szCs w:val="18"/>
                <w:lang w:val="es-419"/>
              </w:rPr>
              <w:t>*</w:t>
            </w:r>
            <w:r w:rsidRPr="02316283">
              <w:rPr>
                <w:rFonts w:eastAsia="Arial" w:cs="Arial"/>
                <w:color w:val="000000" w:themeColor="text1"/>
                <w:szCs w:val="18"/>
                <w:lang w:val="es-419"/>
              </w:rPr>
              <w:t xml:space="preserve"> ± S.D.</w:t>
            </w:r>
          </w:p>
        </w:tc>
      </w:tr>
      <w:tr w:rsidR="02316283" w14:paraId="4B8496D1" w14:textId="77777777" w:rsidTr="2353569D">
        <w:trPr>
          <w:trHeight w:val="300"/>
        </w:trPr>
        <w:tc>
          <w:tcPr>
            <w:tcW w:w="2835" w:type="dxa"/>
            <w:tcBorders>
              <w:top w:val="single" w:sz="6" w:space="0" w:color="auto"/>
              <w:left w:val="nil"/>
              <w:bottom w:val="nil"/>
              <w:right w:val="nil"/>
            </w:tcBorders>
            <w:tcMar>
              <w:left w:w="105" w:type="dxa"/>
              <w:right w:w="105" w:type="dxa"/>
            </w:tcMar>
          </w:tcPr>
          <w:p w14:paraId="01B9FCCE" w14:textId="09E8FD20" w:rsidR="02316283" w:rsidRDefault="02316283" w:rsidP="02316283">
            <w:pPr>
              <w:jc w:val="left"/>
              <w:rPr>
                <w:rFonts w:eastAsia="Arial" w:cs="Arial"/>
                <w:b/>
                <w:bCs/>
                <w:color w:val="000000" w:themeColor="text1"/>
                <w:szCs w:val="18"/>
              </w:rPr>
            </w:pPr>
            <w:r w:rsidRPr="02316283">
              <w:rPr>
                <w:rFonts w:eastAsia="Arial" w:cs="Arial"/>
                <w:color w:val="000000" w:themeColor="text1"/>
                <w:szCs w:val="18"/>
                <w:lang w:val="es-419"/>
              </w:rPr>
              <w:t>Soy</w:t>
            </w:r>
          </w:p>
        </w:tc>
        <w:tc>
          <w:tcPr>
            <w:tcW w:w="2835" w:type="dxa"/>
            <w:tcBorders>
              <w:top w:val="single" w:sz="6" w:space="0" w:color="auto"/>
              <w:left w:val="nil"/>
              <w:bottom w:val="nil"/>
              <w:right w:val="nil"/>
            </w:tcBorders>
            <w:tcMar>
              <w:left w:w="105" w:type="dxa"/>
              <w:right w:w="105" w:type="dxa"/>
            </w:tcMar>
          </w:tcPr>
          <w:p w14:paraId="66258774" w14:textId="4453CCA0"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28.20± 8.980</w:t>
            </w:r>
            <w:r w:rsidRPr="02316283">
              <w:rPr>
                <w:rFonts w:eastAsia="Arial" w:cs="Arial"/>
                <w:color w:val="000000" w:themeColor="text1"/>
                <w:szCs w:val="18"/>
                <w:vertAlign w:val="superscript"/>
                <w:lang w:val="es-419"/>
              </w:rPr>
              <w:t>a</w:t>
            </w:r>
          </w:p>
        </w:tc>
        <w:tc>
          <w:tcPr>
            <w:tcW w:w="2820" w:type="dxa"/>
            <w:tcBorders>
              <w:top w:val="single" w:sz="6" w:space="0" w:color="auto"/>
              <w:left w:val="nil"/>
              <w:bottom w:val="nil"/>
              <w:right w:val="nil"/>
            </w:tcBorders>
            <w:tcMar>
              <w:left w:w="105" w:type="dxa"/>
              <w:right w:w="105" w:type="dxa"/>
            </w:tcMar>
          </w:tcPr>
          <w:p w14:paraId="147B49FF" w14:textId="49560B85"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0.46± 0.052</w:t>
            </w:r>
            <w:r w:rsidRPr="02316283">
              <w:rPr>
                <w:rFonts w:eastAsia="Arial" w:cs="Arial"/>
                <w:color w:val="000000" w:themeColor="text1"/>
                <w:szCs w:val="18"/>
                <w:vertAlign w:val="superscript"/>
                <w:lang w:val="es-419"/>
              </w:rPr>
              <w:t>b</w:t>
            </w:r>
          </w:p>
        </w:tc>
      </w:tr>
      <w:tr w:rsidR="02316283" w14:paraId="4EC387BA" w14:textId="77777777" w:rsidTr="2353569D">
        <w:trPr>
          <w:trHeight w:val="300"/>
        </w:trPr>
        <w:tc>
          <w:tcPr>
            <w:tcW w:w="2835" w:type="dxa"/>
            <w:tcBorders>
              <w:top w:val="nil"/>
              <w:left w:val="nil"/>
              <w:bottom w:val="nil"/>
              <w:right w:val="nil"/>
            </w:tcBorders>
            <w:tcMar>
              <w:left w:w="105" w:type="dxa"/>
              <w:right w:w="105" w:type="dxa"/>
            </w:tcMar>
          </w:tcPr>
          <w:p w14:paraId="2926FB3E" w14:textId="15D8EC87" w:rsidR="02316283" w:rsidRDefault="00C006A7" w:rsidP="02316283">
            <w:pPr>
              <w:jc w:val="left"/>
              <w:rPr>
                <w:rFonts w:eastAsia="Arial" w:cs="Arial"/>
                <w:b/>
                <w:bCs/>
                <w:color w:val="000000" w:themeColor="text1"/>
                <w:szCs w:val="18"/>
              </w:rPr>
            </w:pPr>
            <w:r>
              <w:rPr>
                <w:rFonts w:eastAsia="Arial" w:cs="Arial"/>
                <w:color w:val="000000" w:themeColor="text1"/>
                <w:szCs w:val="18"/>
                <w:lang w:val="es-419"/>
              </w:rPr>
              <w:t>Pea</w:t>
            </w:r>
          </w:p>
        </w:tc>
        <w:tc>
          <w:tcPr>
            <w:tcW w:w="2835" w:type="dxa"/>
            <w:tcBorders>
              <w:top w:val="nil"/>
              <w:left w:val="nil"/>
              <w:bottom w:val="nil"/>
              <w:right w:val="nil"/>
            </w:tcBorders>
            <w:tcMar>
              <w:left w:w="105" w:type="dxa"/>
              <w:right w:w="105" w:type="dxa"/>
            </w:tcMar>
          </w:tcPr>
          <w:p w14:paraId="19BCC918" w14:textId="057F5125"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23.97± 2.531</w:t>
            </w:r>
            <w:r w:rsidRPr="02316283">
              <w:rPr>
                <w:rFonts w:eastAsia="Arial" w:cs="Arial"/>
                <w:color w:val="000000" w:themeColor="text1"/>
                <w:szCs w:val="18"/>
                <w:vertAlign w:val="superscript"/>
                <w:lang w:val="es-419"/>
              </w:rPr>
              <w:t>b</w:t>
            </w:r>
          </w:p>
        </w:tc>
        <w:tc>
          <w:tcPr>
            <w:tcW w:w="2820" w:type="dxa"/>
            <w:tcBorders>
              <w:top w:val="nil"/>
              <w:left w:val="nil"/>
              <w:bottom w:val="nil"/>
              <w:right w:val="nil"/>
            </w:tcBorders>
            <w:tcMar>
              <w:left w:w="105" w:type="dxa"/>
              <w:right w:w="105" w:type="dxa"/>
            </w:tcMar>
          </w:tcPr>
          <w:p w14:paraId="408CCCCF" w14:textId="7DF3C884"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0.53± 0.041</w:t>
            </w:r>
            <w:r w:rsidRPr="02316283">
              <w:rPr>
                <w:rFonts w:eastAsia="Arial" w:cs="Arial"/>
                <w:color w:val="000000" w:themeColor="text1"/>
                <w:szCs w:val="18"/>
                <w:vertAlign w:val="superscript"/>
                <w:lang w:val="es-419"/>
              </w:rPr>
              <w:t>a</w:t>
            </w:r>
          </w:p>
        </w:tc>
      </w:tr>
      <w:tr w:rsidR="02316283" w14:paraId="3019D36B" w14:textId="77777777" w:rsidTr="2353569D">
        <w:trPr>
          <w:trHeight w:val="300"/>
        </w:trPr>
        <w:tc>
          <w:tcPr>
            <w:tcW w:w="2835" w:type="dxa"/>
            <w:tcBorders>
              <w:top w:val="nil"/>
              <w:left w:val="nil"/>
              <w:bottom w:val="single" w:sz="6" w:space="0" w:color="auto"/>
              <w:right w:val="nil"/>
            </w:tcBorders>
            <w:tcMar>
              <w:left w:w="105" w:type="dxa"/>
              <w:right w:w="105" w:type="dxa"/>
            </w:tcMar>
          </w:tcPr>
          <w:p w14:paraId="77F4E353" w14:textId="5047EE21" w:rsidR="02316283" w:rsidRDefault="02316283" w:rsidP="02316283">
            <w:pPr>
              <w:jc w:val="left"/>
              <w:rPr>
                <w:rFonts w:eastAsia="Arial" w:cs="Arial"/>
                <w:b/>
                <w:bCs/>
                <w:color w:val="000000" w:themeColor="text1"/>
                <w:szCs w:val="18"/>
              </w:rPr>
            </w:pPr>
            <w:r w:rsidRPr="02316283">
              <w:rPr>
                <w:rFonts w:eastAsia="Arial" w:cs="Arial"/>
                <w:color w:val="000000" w:themeColor="text1"/>
                <w:szCs w:val="18"/>
                <w:lang w:val="es-419"/>
              </w:rPr>
              <w:t>% CV</w:t>
            </w:r>
          </w:p>
        </w:tc>
        <w:tc>
          <w:tcPr>
            <w:tcW w:w="2835" w:type="dxa"/>
            <w:tcBorders>
              <w:top w:val="nil"/>
              <w:left w:val="nil"/>
              <w:bottom w:val="single" w:sz="6" w:space="0" w:color="auto"/>
              <w:right w:val="nil"/>
            </w:tcBorders>
            <w:tcMar>
              <w:left w:w="105" w:type="dxa"/>
              <w:right w:w="105" w:type="dxa"/>
            </w:tcMar>
          </w:tcPr>
          <w:p w14:paraId="0DA721C5" w14:textId="680AD285"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14.04</w:t>
            </w:r>
          </w:p>
        </w:tc>
        <w:tc>
          <w:tcPr>
            <w:tcW w:w="2820" w:type="dxa"/>
            <w:tcBorders>
              <w:top w:val="nil"/>
              <w:left w:val="nil"/>
              <w:bottom w:val="single" w:sz="6" w:space="0" w:color="auto"/>
              <w:right w:val="nil"/>
            </w:tcBorders>
            <w:tcMar>
              <w:left w:w="105" w:type="dxa"/>
              <w:right w:w="105" w:type="dxa"/>
            </w:tcMar>
          </w:tcPr>
          <w:p w14:paraId="0D135B92" w14:textId="74A9C14F"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10.12</w:t>
            </w:r>
          </w:p>
        </w:tc>
      </w:tr>
    </w:tbl>
    <w:p w14:paraId="34F5498C" w14:textId="3FE7B306" w:rsidR="00251ABB" w:rsidRDefault="007A7BFC" w:rsidP="2353569D">
      <w:pPr>
        <w:pStyle w:val="CETBodytext"/>
        <w:rPr>
          <w:rFonts w:eastAsia="Arial" w:cs="Arial"/>
          <w:szCs w:val="18"/>
        </w:rPr>
      </w:pPr>
      <w:r>
        <w:rPr>
          <w:rFonts w:eastAsia="Arial" w:cs="Arial"/>
          <w:szCs w:val="18"/>
        </w:rPr>
        <w:t xml:space="preserve">*: Dimensionless. </w:t>
      </w:r>
      <w:r w:rsidR="00C006A7" w:rsidRPr="00C006A7">
        <w:rPr>
          <w:rFonts w:eastAsia="Arial" w:cs="Arial"/>
          <w:szCs w:val="18"/>
        </w:rPr>
        <w:t>a-b: different lowercase letters following values or bars indicate a statistically significant difference (p &lt; 0.05) between the corresponding treatments.</w:t>
      </w:r>
      <w:r w:rsidR="00C006A7" w:rsidRPr="00C006A7">
        <w:t xml:space="preserve"> </w:t>
      </w:r>
      <w:r w:rsidR="00C006A7" w:rsidRPr="00C006A7">
        <w:rPr>
          <w:rFonts w:eastAsia="Arial" w:cs="Arial"/>
          <w:szCs w:val="18"/>
        </w:rPr>
        <w:t>CV: Coefficient of variation.</w:t>
      </w:r>
    </w:p>
    <w:p w14:paraId="55F59F46" w14:textId="77777777" w:rsidR="00C006A7" w:rsidRPr="00C006A7" w:rsidRDefault="00C006A7" w:rsidP="2353569D">
      <w:pPr>
        <w:pStyle w:val="CETBodytext"/>
        <w:rPr>
          <w:rFonts w:eastAsia="Arial" w:cs="Arial"/>
          <w:szCs w:val="18"/>
        </w:rPr>
      </w:pPr>
    </w:p>
    <w:p w14:paraId="4EE169AA" w14:textId="3708E544" w:rsidR="02316283" w:rsidRDefault="00E67891" w:rsidP="2353569D">
      <w:pPr>
        <w:pStyle w:val="CETBodytext"/>
        <w:rPr>
          <w:rFonts w:eastAsia="Arial" w:cs="Arial"/>
          <w:szCs w:val="18"/>
        </w:rPr>
      </w:pPr>
      <w:r w:rsidRPr="00E67891">
        <w:rPr>
          <w:rFonts w:eastAsia="Arial" w:cs="Arial"/>
          <w:szCs w:val="18"/>
        </w:rPr>
        <w:t xml:space="preserve">Table </w:t>
      </w:r>
      <w:r w:rsidR="00EA7EB7">
        <w:rPr>
          <w:rFonts w:eastAsia="Arial" w:cs="Arial"/>
          <w:szCs w:val="18"/>
        </w:rPr>
        <w:t>4</w:t>
      </w:r>
      <w:r w:rsidRPr="00E67891">
        <w:rPr>
          <w:rFonts w:eastAsia="Arial" w:cs="Arial"/>
          <w:szCs w:val="18"/>
        </w:rPr>
        <w:t xml:space="preserve"> presents the effect of transglutaminase on the textural properties of the test specimens. The results indicate an increase in hardness and a decrease in resistance to disintegration, as evidenced by reduced cohesiveness.</w:t>
      </w:r>
    </w:p>
    <w:p w14:paraId="0B661482" w14:textId="77777777" w:rsidR="00E67891" w:rsidRPr="00E67891" w:rsidRDefault="00E67891" w:rsidP="2353569D">
      <w:pPr>
        <w:pStyle w:val="CETBodytext"/>
        <w:rPr>
          <w:rFonts w:eastAsia="Arial" w:cs="Arial"/>
          <w:szCs w:val="18"/>
        </w:rPr>
      </w:pPr>
    </w:p>
    <w:p w14:paraId="591AF52B" w14:textId="7D853222" w:rsidR="02316283" w:rsidRPr="00E67891" w:rsidRDefault="00E67891" w:rsidP="00EA7EB7">
      <w:pPr>
        <w:pStyle w:val="CETTabletitle"/>
        <w:rPr>
          <w:rFonts w:eastAsia="Arial"/>
        </w:rPr>
      </w:pPr>
      <w:r w:rsidRPr="00E67891">
        <w:rPr>
          <w:rFonts w:eastAsia="Arial"/>
        </w:rPr>
        <w:t xml:space="preserve">Table </w:t>
      </w:r>
      <w:r w:rsidR="00EA7EB7">
        <w:rPr>
          <w:rFonts w:eastAsia="Arial"/>
        </w:rPr>
        <w:t>4</w:t>
      </w:r>
      <w:r w:rsidRPr="00E67891">
        <w:rPr>
          <w:rFonts w:eastAsia="Arial"/>
        </w:rPr>
        <w:t xml:space="preserve">: Textural attributes by transglutaminase </w:t>
      </w:r>
      <w:r w:rsidR="00C006A7">
        <w:rPr>
          <w:rFonts w:eastAsia="Arial"/>
        </w:rPr>
        <w:t xml:space="preserve">(TG) </w:t>
      </w:r>
      <w:r w:rsidRPr="00E67891">
        <w:rPr>
          <w:rFonts w:eastAsia="Arial"/>
        </w:rPr>
        <w:t>concentration.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5"/>
        <w:gridCol w:w="2835"/>
        <w:gridCol w:w="2820"/>
      </w:tblGrid>
      <w:tr w:rsidR="02316283" w14:paraId="57C60F2C" w14:textId="77777777" w:rsidTr="2353569D">
        <w:trPr>
          <w:trHeight w:val="300"/>
        </w:trPr>
        <w:tc>
          <w:tcPr>
            <w:tcW w:w="2835" w:type="dxa"/>
            <w:tcBorders>
              <w:top w:val="single" w:sz="6" w:space="0" w:color="auto"/>
              <w:left w:val="nil"/>
              <w:bottom w:val="single" w:sz="6" w:space="0" w:color="auto"/>
              <w:right w:val="nil"/>
            </w:tcBorders>
            <w:tcMar>
              <w:left w:w="105" w:type="dxa"/>
              <w:right w:w="105" w:type="dxa"/>
            </w:tcMar>
          </w:tcPr>
          <w:p w14:paraId="177CD685" w14:textId="66BA7554" w:rsidR="02316283" w:rsidRDefault="02316283" w:rsidP="02316283">
            <w:pPr>
              <w:jc w:val="center"/>
              <w:rPr>
                <w:rFonts w:eastAsia="Arial" w:cs="Arial"/>
                <w:b/>
                <w:bCs/>
                <w:color w:val="000000" w:themeColor="text1"/>
                <w:szCs w:val="18"/>
              </w:rPr>
            </w:pPr>
            <w:r w:rsidRPr="02316283">
              <w:rPr>
                <w:rFonts w:eastAsia="Arial" w:cs="Arial"/>
                <w:color w:val="000000" w:themeColor="text1"/>
                <w:szCs w:val="18"/>
                <w:lang w:val="es-419"/>
              </w:rPr>
              <w:t>TG</w:t>
            </w:r>
            <w:r w:rsidR="00C006A7" w:rsidRPr="02316283">
              <w:rPr>
                <w:rFonts w:eastAsia="Arial" w:cs="Arial"/>
                <w:color w:val="000000" w:themeColor="text1"/>
                <w:szCs w:val="18"/>
                <w:lang w:val="es-419"/>
              </w:rPr>
              <w:t xml:space="preserve"> </w:t>
            </w:r>
            <w:proofErr w:type="spellStart"/>
            <w:r w:rsidR="00C006A7" w:rsidRPr="02316283">
              <w:rPr>
                <w:rFonts w:eastAsia="Arial" w:cs="Arial"/>
                <w:color w:val="000000" w:themeColor="text1"/>
                <w:szCs w:val="18"/>
                <w:lang w:val="es-419"/>
              </w:rPr>
              <w:t>Concentra</w:t>
            </w:r>
            <w:r w:rsidR="00C006A7">
              <w:rPr>
                <w:rFonts w:eastAsia="Arial" w:cs="Arial"/>
                <w:color w:val="000000" w:themeColor="text1"/>
                <w:szCs w:val="18"/>
                <w:lang w:val="es-419"/>
              </w:rPr>
              <w:t>tion</w:t>
            </w:r>
            <w:proofErr w:type="spellEnd"/>
            <w:r w:rsidRPr="02316283">
              <w:rPr>
                <w:rFonts w:eastAsia="Arial" w:cs="Arial"/>
                <w:color w:val="000000" w:themeColor="text1"/>
                <w:szCs w:val="18"/>
                <w:lang w:val="es-419"/>
              </w:rPr>
              <w:t xml:space="preserve"> (%)</w:t>
            </w:r>
          </w:p>
        </w:tc>
        <w:tc>
          <w:tcPr>
            <w:tcW w:w="2835" w:type="dxa"/>
            <w:tcBorders>
              <w:top w:val="single" w:sz="6" w:space="0" w:color="auto"/>
              <w:left w:val="nil"/>
              <w:bottom w:val="single" w:sz="6" w:space="0" w:color="auto"/>
              <w:right w:val="nil"/>
            </w:tcBorders>
            <w:tcMar>
              <w:left w:w="105" w:type="dxa"/>
              <w:right w:w="105" w:type="dxa"/>
            </w:tcMar>
          </w:tcPr>
          <w:p w14:paraId="0910AD69" w14:textId="7001FA84" w:rsidR="02316283" w:rsidRDefault="02316283" w:rsidP="02316283">
            <w:pPr>
              <w:jc w:val="center"/>
              <w:rPr>
                <w:rFonts w:eastAsia="Arial" w:cs="Arial"/>
                <w:b/>
                <w:bCs/>
                <w:color w:val="000000" w:themeColor="text1"/>
                <w:szCs w:val="18"/>
              </w:rPr>
            </w:pPr>
            <w:proofErr w:type="spellStart"/>
            <w:r w:rsidRPr="02316283">
              <w:rPr>
                <w:rFonts w:eastAsia="Arial" w:cs="Arial"/>
                <w:color w:val="000000" w:themeColor="text1"/>
                <w:szCs w:val="18"/>
                <w:lang w:val="es-419"/>
              </w:rPr>
              <w:t>Hardness</w:t>
            </w:r>
            <w:proofErr w:type="spellEnd"/>
            <w:r w:rsidRPr="02316283">
              <w:rPr>
                <w:rFonts w:eastAsia="Arial" w:cs="Arial"/>
                <w:color w:val="000000" w:themeColor="text1"/>
                <w:szCs w:val="18"/>
                <w:lang w:val="es-419"/>
              </w:rPr>
              <w:t xml:space="preserve"> (N) ± S.D.</w:t>
            </w:r>
          </w:p>
        </w:tc>
        <w:tc>
          <w:tcPr>
            <w:tcW w:w="2820" w:type="dxa"/>
            <w:tcBorders>
              <w:top w:val="single" w:sz="6" w:space="0" w:color="auto"/>
              <w:left w:val="nil"/>
              <w:bottom w:val="single" w:sz="6" w:space="0" w:color="auto"/>
              <w:right w:val="nil"/>
            </w:tcBorders>
            <w:tcMar>
              <w:left w:w="105" w:type="dxa"/>
              <w:right w:w="105" w:type="dxa"/>
            </w:tcMar>
          </w:tcPr>
          <w:p w14:paraId="4E9797F9" w14:textId="36CBB9D5" w:rsidR="02316283" w:rsidRDefault="02316283" w:rsidP="02316283">
            <w:pPr>
              <w:jc w:val="center"/>
              <w:rPr>
                <w:rFonts w:eastAsia="Arial" w:cs="Arial"/>
                <w:b/>
                <w:bCs/>
                <w:color w:val="000000" w:themeColor="text1"/>
                <w:szCs w:val="18"/>
              </w:rPr>
            </w:pPr>
            <w:proofErr w:type="spellStart"/>
            <w:r w:rsidRPr="02316283">
              <w:rPr>
                <w:rFonts w:eastAsia="Arial" w:cs="Arial"/>
                <w:color w:val="000000" w:themeColor="text1"/>
                <w:szCs w:val="18"/>
                <w:lang w:val="es-419"/>
              </w:rPr>
              <w:t>Cohesiveness</w:t>
            </w:r>
            <w:proofErr w:type="spellEnd"/>
            <w:r w:rsidR="007A7BFC">
              <w:rPr>
                <w:rFonts w:eastAsia="Arial" w:cs="Arial"/>
                <w:color w:val="000000" w:themeColor="text1"/>
                <w:szCs w:val="18"/>
                <w:lang w:val="es-419"/>
              </w:rPr>
              <w:t>*</w:t>
            </w:r>
            <w:r w:rsidRPr="02316283">
              <w:rPr>
                <w:rFonts w:eastAsia="Arial" w:cs="Arial"/>
                <w:color w:val="000000" w:themeColor="text1"/>
                <w:szCs w:val="18"/>
                <w:lang w:val="es-419"/>
              </w:rPr>
              <w:t xml:space="preserve"> ± S.D.</w:t>
            </w:r>
          </w:p>
        </w:tc>
      </w:tr>
      <w:tr w:rsidR="02316283" w14:paraId="4CED0252" w14:textId="77777777" w:rsidTr="2353569D">
        <w:trPr>
          <w:trHeight w:val="300"/>
        </w:trPr>
        <w:tc>
          <w:tcPr>
            <w:tcW w:w="2835" w:type="dxa"/>
            <w:tcBorders>
              <w:top w:val="single" w:sz="6" w:space="0" w:color="auto"/>
              <w:left w:val="nil"/>
              <w:bottom w:val="nil"/>
              <w:right w:val="nil"/>
            </w:tcBorders>
            <w:tcMar>
              <w:left w:w="105" w:type="dxa"/>
              <w:right w:w="105" w:type="dxa"/>
            </w:tcMar>
          </w:tcPr>
          <w:p w14:paraId="14B41FDB" w14:textId="62757236" w:rsidR="02316283" w:rsidRDefault="02316283" w:rsidP="02316283">
            <w:pPr>
              <w:jc w:val="left"/>
              <w:rPr>
                <w:rFonts w:eastAsia="Arial" w:cs="Arial"/>
                <w:b/>
                <w:bCs/>
                <w:color w:val="000000" w:themeColor="text1"/>
                <w:szCs w:val="18"/>
              </w:rPr>
            </w:pPr>
            <w:r w:rsidRPr="02316283">
              <w:rPr>
                <w:rFonts w:eastAsia="Arial" w:cs="Arial"/>
                <w:color w:val="000000" w:themeColor="text1"/>
                <w:szCs w:val="18"/>
                <w:lang w:val="es-419"/>
              </w:rPr>
              <w:t>1</w:t>
            </w:r>
          </w:p>
        </w:tc>
        <w:tc>
          <w:tcPr>
            <w:tcW w:w="2835" w:type="dxa"/>
            <w:tcBorders>
              <w:top w:val="single" w:sz="6" w:space="0" w:color="auto"/>
              <w:left w:val="nil"/>
              <w:bottom w:val="nil"/>
              <w:right w:val="nil"/>
            </w:tcBorders>
            <w:tcMar>
              <w:left w:w="105" w:type="dxa"/>
              <w:right w:w="105" w:type="dxa"/>
            </w:tcMar>
          </w:tcPr>
          <w:p w14:paraId="541224AD" w14:textId="51F82549"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 xml:space="preserve">31.23± </w:t>
            </w:r>
            <w:proofErr w:type="gramStart"/>
            <w:r w:rsidRPr="02316283">
              <w:rPr>
                <w:rFonts w:eastAsia="Arial" w:cs="Arial"/>
                <w:color w:val="000000" w:themeColor="text1"/>
                <w:szCs w:val="18"/>
                <w:lang w:val="es-419"/>
              </w:rPr>
              <w:t>5.84</w:t>
            </w:r>
            <w:r w:rsidRPr="02316283">
              <w:rPr>
                <w:rFonts w:eastAsia="Arial" w:cs="Arial"/>
                <w:color w:val="000000" w:themeColor="text1"/>
                <w:szCs w:val="18"/>
                <w:vertAlign w:val="superscript"/>
                <w:lang w:val="es-419"/>
              </w:rPr>
              <w:t>a</w:t>
            </w:r>
            <w:proofErr w:type="gramEnd"/>
          </w:p>
        </w:tc>
        <w:tc>
          <w:tcPr>
            <w:tcW w:w="2820" w:type="dxa"/>
            <w:tcBorders>
              <w:top w:val="single" w:sz="6" w:space="0" w:color="auto"/>
              <w:left w:val="nil"/>
              <w:bottom w:val="nil"/>
              <w:right w:val="nil"/>
            </w:tcBorders>
            <w:tcMar>
              <w:left w:w="105" w:type="dxa"/>
              <w:right w:w="105" w:type="dxa"/>
            </w:tcMar>
          </w:tcPr>
          <w:p w14:paraId="373CE09F" w14:textId="07E48F9E"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0.39± 0.045</w:t>
            </w:r>
            <w:r w:rsidRPr="02316283">
              <w:rPr>
                <w:rFonts w:eastAsia="Arial" w:cs="Arial"/>
                <w:color w:val="000000" w:themeColor="text1"/>
                <w:szCs w:val="18"/>
                <w:vertAlign w:val="superscript"/>
                <w:lang w:val="es-419"/>
              </w:rPr>
              <w:t>b</w:t>
            </w:r>
          </w:p>
        </w:tc>
      </w:tr>
      <w:tr w:rsidR="02316283" w14:paraId="53691990" w14:textId="77777777" w:rsidTr="2353569D">
        <w:trPr>
          <w:trHeight w:val="300"/>
        </w:trPr>
        <w:tc>
          <w:tcPr>
            <w:tcW w:w="2835" w:type="dxa"/>
            <w:tcBorders>
              <w:top w:val="nil"/>
              <w:left w:val="nil"/>
              <w:bottom w:val="nil"/>
              <w:right w:val="nil"/>
            </w:tcBorders>
            <w:tcMar>
              <w:left w:w="105" w:type="dxa"/>
              <w:right w:w="105" w:type="dxa"/>
            </w:tcMar>
          </w:tcPr>
          <w:p w14:paraId="7B2979F1" w14:textId="6FF7EC5A" w:rsidR="02316283" w:rsidRDefault="02316283" w:rsidP="02316283">
            <w:pPr>
              <w:jc w:val="left"/>
              <w:rPr>
                <w:rFonts w:eastAsia="Arial" w:cs="Arial"/>
                <w:b/>
                <w:bCs/>
                <w:color w:val="000000" w:themeColor="text1"/>
                <w:szCs w:val="18"/>
              </w:rPr>
            </w:pPr>
            <w:r w:rsidRPr="02316283">
              <w:rPr>
                <w:rFonts w:eastAsia="Arial" w:cs="Arial"/>
                <w:color w:val="000000" w:themeColor="text1"/>
                <w:szCs w:val="18"/>
                <w:lang w:val="es-419"/>
              </w:rPr>
              <w:t>0.5</w:t>
            </w:r>
          </w:p>
        </w:tc>
        <w:tc>
          <w:tcPr>
            <w:tcW w:w="2835" w:type="dxa"/>
            <w:tcBorders>
              <w:top w:val="nil"/>
              <w:left w:val="nil"/>
              <w:bottom w:val="nil"/>
              <w:right w:val="nil"/>
            </w:tcBorders>
            <w:tcMar>
              <w:left w:w="105" w:type="dxa"/>
              <w:right w:w="105" w:type="dxa"/>
            </w:tcMar>
          </w:tcPr>
          <w:p w14:paraId="66CCA281" w14:textId="4E740A48"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24.23± 2.61</w:t>
            </w:r>
            <w:r w:rsidRPr="02316283">
              <w:rPr>
                <w:rFonts w:eastAsia="Arial" w:cs="Arial"/>
                <w:color w:val="000000" w:themeColor="text1"/>
                <w:szCs w:val="18"/>
                <w:vertAlign w:val="superscript"/>
                <w:lang w:val="es-419"/>
              </w:rPr>
              <w:t>b</w:t>
            </w:r>
          </w:p>
        </w:tc>
        <w:tc>
          <w:tcPr>
            <w:tcW w:w="2820" w:type="dxa"/>
            <w:tcBorders>
              <w:top w:val="nil"/>
              <w:left w:val="nil"/>
              <w:bottom w:val="nil"/>
              <w:right w:val="nil"/>
            </w:tcBorders>
            <w:tcMar>
              <w:left w:w="105" w:type="dxa"/>
              <w:right w:w="105" w:type="dxa"/>
            </w:tcMar>
          </w:tcPr>
          <w:p w14:paraId="5C5517D1" w14:textId="0D5E0F9A"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0.53± 0.039</w:t>
            </w:r>
            <w:r w:rsidRPr="02316283">
              <w:rPr>
                <w:rFonts w:eastAsia="Arial" w:cs="Arial"/>
                <w:color w:val="000000" w:themeColor="text1"/>
                <w:szCs w:val="18"/>
                <w:vertAlign w:val="superscript"/>
                <w:lang w:val="es-419"/>
              </w:rPr>
              <w:t>a</w:t>
            </w:r>
          </w:p>
        </w:tc>
      </w:tr>
      <w:tr w:rsidR="02316283" w14:paraId="5C283E87" w14:textId="77777777" w:rsidTr="2353569D">
        <w:trPr>
          <w:trHeight w:val="300"/>
        </w:trPr>
        <w:tc>
          <w:tcPr>
            <w:tcW w:w="2835" w:type="dxa"/>
            <w:tcBorders>
              <w:top w:val="nil"/>
              <w:left w:val="nil"/>
              <w:bottom w:val="nil"/>
              <w:right w:val="nil"/>
            </w:tcBorders>
            <w:tcMar>
              <w:left w:w="105" w:type="dxa"/>
              <w:right w:w="105" w:type="dxa"/>
            </w:tcMar>
          </w:tcPr>
          <w:p w14:paraId="16BDA185" w14:textId="53849489" w:rsidR="02316283" w:rsidRDefault="02316283" w:rsidP="02316283">
            <w:pPr>
              <w:jc w:val="left"/>
              <w:rPr>
                <w:rFonts w:eastAsia="Arial" w:cs="Arial"/>
                <w:b/>
                <w:bCs/>
                <w:color w:val="000000" w:themeColor="text1"/>
                <w:szCs w:val="18"/>
              </w:rPr>
            </w:pPr>
            <w:r w:rsidRPr="02316283">
              <w:rPr>
                <w:rFonts w:eastAsia="Arial" w:cs="Arial"/>
                <w:color w:val="000000" w:themeColor="text1"/>
                <w:szCs w:val="18"/>
                <w:lang w:val="es-419"/>
              </w:rPr>
              <w:t>0</w:t>
            </w:r>
          </w:p>
        </w:tc>
        <w:tc>
          <w:tcPr>
            <w:tcW w:w="2835" w:type="dxa"/>
            <w:tcBorders>
              <w:top w:val="nil"/>
              <w:left w:val="nil"/>
              <w:bottom w:val="nil"/>
              <w:right w:val="nil"/>
            </w:tcBorders>
            <w:tcMar>
              <w:left w:w="105" w:type="dxa"/>
              <w:right w:w="105" w:type="dxa"/>
            </w:tcMar>
          </w:tcPr>
          <w:p w14:paraId="38DC62AA" w14:textId="6D9287F6"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22.64± 2.82</w:t>
            </w:r>
            <w:r w:rsidRPr="02316283">
              <w:rPr>
                <w:rFonts w:eastAsia="Arial" w:cs="Arial"/>
                <w:color w:val="000000" w:themeColor="text1"/>
                <w:szCs w:val="18"/>
                <w:vertAlign w:val="superscript"/>
                <w:lang w:val="es-419"/>
              </w:rPr>
              <w:t>b</w:t>
            </w:r>
          </w:p>
        </w:tc>
        <w:tc>
          <w:tcPr>
            <w:tcW w:w="2820" w:type="dxa"/>
            <w:tcBorders>
              <w:top w:val="nil"/>
              <w:left w:val="nil"/>
              <w:bottom w:val="nil"/>
              <w:right w:val="nil"/>
            </w:tcBorders>
            <w:tcMar>
              <w:left w:w="105" w:type="dxa"/>
              <w:right w:w="105" w:type="dxa"/>
            </w:tcMar>
          </w:tcPr>
          <w:p w14:paraId="0F1E5C60" w14:textId="37D86357"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0.56± 0.055</w:t>
            </w:r>
            <w:r w:rsidRPr="02316283">
              <w:rPr>
                <w:rFonts w:eastAsia="Arial" w:cs="Arial"/>
                <w:color w:val="000000" w:themeColor="text1"/>
                <w:szCs w:val="18"/>
                <w:vertAlign w:val="superscript"/>
                <w:lang w:val="es-419"/>
              </w:rPr>
              <w:t>a</w:t>
            </w:r>
          </w:p>
        </w:tc>
      </w:tr>
      <w:tr w:rsidR="02316283" w14:paraId="426B3C9A" w14:textId="77777777" w:rsidTr="2353569D">
        <w:trPr>
          <w:trHeight w:val="300"/>
        </w:trPr>
        <w:tc>
          <w:tcPr>
            <w:tcW w:w="2835" w:type="dxa"/>
            <w:tcBorders>
              <w:top w:val="nil"/>
              <w:left w:val="nil"/>
              <w:bottom w:val="single" w:sz="6" w:space="0" w:color="auto"/>
              <w:right w:val="nil"/>
            </w:tcBorders>
            <w:tcMar>
              <w:left w:w="105" w:type="dxa"/>
              <w:right w:w="105" w:type="dxa"/>
            </w:tcMar>
          </w:tcPr>
          <w:p w14:paraId="78ADFF7B" w14:textId="3ED8DBFB" w:rsidR="02316283" w:rsidRDefault="02316283" w:rsidP="02316283">
            <w:pPr>
              <w:jc w:val="left"/>
              <w:rPr>
                <w:rFonts w:eastAsia="Arial" w:cs="Arial"/>
                <w:b/>
                <w:bCs/>
                <w:color w:val="000000" w:themeColor="text1"/>
                <w:szCs w:val="18"/>
              </w:rPr>
            </w:pPr>
            <w:r w:rsidRPr="02316283">
              <w:rPr>
                <w:rFonts w:eastAsia="Arial" w:cs="Arial"/>
                <w:color w:val="000000" w:themeColor="text1"/>
                <w:szCs w:val="18"/>
                <w:lang w:val="es-419"/>
              </w:rPr>
              <w:t>% CV</w:t>
            </w:r>
          </w:p>
        </w:tc>
        <w:tc>
          <w:tcPr>
            <w:tcW w:w="2835" w:type="dxa"/>
            <w:tcBorders>
              <w:top w:val="nil"/>
              <w:left w:val="nil"/>
              <w:bottom w:val="single" w:sz="6" w:space="0" w:color="auto"/>
              <w:right w:val="nil"/>
            </w:tcBorders>
            <w:tcMar>
              <w:left w:w="105" w:type="dxa"/>
              <w:right w:w="105" w:type="dxa"/>
            </w:tcMar>
          </w:tcPr>
          <w:p w14:paraId="7070D8BF" w14:textId="69807A6D"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13.89</w:t>
            </w:r>
          </w:p>
        </w:tc>
        <w:tc>
          <w:tcPr>
            <w:tcW w:w="2820" w:type="dxa"/>
            <w:tcBorders>
              <w:top w:val="nil"/>
              <w:left w:val="nil"/>
              <w:bottom w:val="single" w:sz="6" w:space="0" w:color="auto"/>
              <w:right w:val="nil"/>
            </w:tcBorders>
            <w:tcMar>
              <w:left w:w="105" w:type="dxa"/>
              <w:right w:w="105" w:type="dxa"/>
            </w:tcMar>
          </w:tcPr>
          <w:p w14:paraId="3CAA74E9" w14:textId="690C5F01" w:rsidR="02316283" w:rsidRDefault="02316283" w:rsidP="02316283">
            <w:pPr>
              <w:jc w:val="center"/>
              <w:rPr>
                <w:rFonts w:eastAsia="Arial" w:cs="Arial"/>
                <w:color w:val="000000" w:themeColor="text1"/>
                <w:szCs w:val="18"/>
              </w:rPr>
            </w:pPr>
            <w:r w:rsidRPr="02316283">
              <w:rPr>
                <w:rFonts w:eastAsia="Arial" w:cs="Arial"/>
                <w:color w:val="000000" w:themeColor="text1"/>
                <w:szCs w:val="18"/>
                <w:lang w:val="es-419"/>
              </w:rPr>
              <w:t>9.85</w:t>
            </w:r>
          </w:p>
        </w:tc>
      </w:tr>
    </w:tbl>
    <w:p w14:paraId="534DCEEF" w14:textId="21200DD9" w:rsidR="2353569D" w:rsidRDefault="007A7BFC" w:rsidP="2353569D">
      <w:pPr>
        <w:pStyle w:val="CETBodytext"/>
        <w:rPr>
          <w:rFonts w:eastAsia="Arial" w:cs="Arial"/>
          <w:szCs w:val="18"/>
        </w:rPr>
      </w:pPr>
      <w:r>
        <w:rPr>
          <w:rFonts w:eastAsia="Arial" w:cs="Arial"/>
          <w:szCs w:val="18"/>
        </w:rPr>
        <w:t xml:space="preserve">*: Dimensionless. </w:t>
      </w:r>
      <w:r w:rsidR="00E67891">
        <w:rPr>
          <w:rFonts w:eastAsia="Arial" w:cs="Arial"/>
          <w:szCs w:val="18"/>
        </w:rPr>
        <w:t xml:space="preserve">a-b: </w:t>
      </w:r>
      <w:r w:rsidR="00E67891" w:rsidRPr="00E67891">
        <w:rPr>
          <w:rFonts w:eastAsia="Arial" w:cs="Arial"/>
          <w:szCs w:val="18"/>
        </w:rPr>
        <w:t>different lowercase letters following values or bars indicate a statistically significant difference (p &lt; 0.05) between the corresponding treatments.</w:t>
      </w:r>
      <w:r w:rsidR="00C006A7" w:rsidRPr="00C006A7">
        <w:t xml:space="preserve"> </w:t>
      </w:r>
      <w:r w:rsidR="00C006A7" w:rsidRPr="00C006A7">
        <w:rPr>
          <w:rFonts w:eastAsia="Arial" w:cs="Arial"/>
          <w:szCs w:val="18"/>
        </w:rPr>
        <w:t>CV: Coefficient of variation.</w:t>
      </w:r>
    </w:p>
    <w:p w14:paraId="691CC8BE" w14:textId="77777777" w:rsidR="00E67891" w:rsidRPr="00E67891" w:rsidRDefault="00E67891" w:rsidP="2353569D">
      <w:pPr>
        <w:pStyle w:val="CETBodytext"/>
        <w:rPr>
          <w:rFonts w:eastAsia="Arial" w:cs="Arial"/>
          <w:szCs w:val="18"/>
        </w:rPr>
      </w:pPr>
    </w:p>
    <w:p w14:paraId="5D83FE11" w14:textId="52138FB6" w:rsidR="00C006A7" w:rsidRPr="00C006A7" w:rsidRDefault="00C006A7" w:rsidP="2353569D">
      <w:pPr>
        <w:pStyle w:val="CETBodytext"/>
        <w:rPr>
          <w:rFonts w:eastAsia="Arial" w:cs="Arial"/>
          <w:szCs w:val="18"/>
        </w:rPr>
      </w:pPr>
      <w:r w:rsidRPr="00C006A7">
        <w:rPr>
          <w:rFonts w:eastAsia="Arial" w:cs="Arial"/>
          <w:szCs w:val="18"/>
        </w:rPr>
        <w:t xml:space="preserve">The influence of alginate in the formulations was determined based on an increase in hardness and cohesiveness of the specimens, as shown in Table </w:t>
      </w:r>
      <w:r w:rsidR="00EA7EB7">
        <w:rPr>
          <w:rFonts w:eastAsia="Arial" w:cs="Arial"/>
          <w:szCs w:val="18"/>
        </w:rPr>
        <w:t>5</w:t>
      </w:r>
      <w:r w:rsidRPr="00C006A7">
        <w:rPr>
          <w:rFonts w:eastAsia="Arial" w:cs="Arial"/>
          <w:szCs w:val="18"/>
        </w:rPr>
        <w:t>. These values exhibited a positive trend with increasing alginate concentrations.</w:t>
      </w:r>
    </w:p>
    <w:p w14:paraId="1DDA3A1F" w14:textId="77777777" w:rsidR="00C006A7" w:rsidRPr="00C006A7" w:rsidRDefault="00C006A7" w:rsidP="2353569D">
      <w:pPr>
        <w:pStyle w:val="CETBodytext"/>
        <w:rPr>
          <w:rFonts w:eastAsia="Arial" w:cs="Arial"/>
          <w:szCs w:val="18"/>
        </w:rPr>
      </w:pPr>
    </w:p>
    <w:p w14:paraId="04F72B95" w14:textId="013E87D1" w:rsidR="02316283" w:rsidRPr="00C006A7" w:rsidRDefault="00C006A7" w:rsidP="00EA7EB7">
      <w:pPr>
        <w:pStyle w:val="CETTabletitle"/>
        <w:rPr>
          <w:rFonts w:eastAsia="Arial"/>
        </w:rPr>
      </w:pPr>
      <w:r w:rsidRPr="00C006A7">
        <w:rPr>
          <w:rFonts w:eastAsia="Arial"/>
        </w:rPr>
        <w:t xml:space="preserve">Table </w:t>
      </w:r>
      <w:r w:rsidR="00EA7EB7">
        <w:rPr>
          <w:rFonts w:eastAsia="Arial"/>
        </w:rPr>
        <w:t>5</w:t>
      </w:r>
      <w:r w:rsidRPr="00C006A7">
        <w:rPr>
          <w:rFonts w:eastAsia="Arial"/>
        </w:rPr>
        <w:t>: Textural attributes by alginate concentration.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5"/>
        <w:gridCol w:w="2835"/>
        <w:gridCol w:w="2820"/>
      </w:tblGrid>
      <w:tr w:rsidR="02316283" w14:paraId="152DFBF3" w14:textId="77777777" w:rsidTr="2353569D">
        <w:trPr>
          <w:trHeight w:val="300"/>
        </w:trPr>
        <w:tc>
          <w:tcPr>
            <w:tcW w:w="2835" w:type="dxa"/>
            <w:tcBorders>
              <w:top w:val="single" w:sz="6" w:space="0" w:color="auto"/>
              <w:left w:val="nil"/>
              <w:bottom w:val="single" w:sz="6" w:space="0" w:color="auto"/>
              <w:right w:val="nil"/>
            </w:tcBorders>
            <w:tcMar>
              <w:left w:w="105" w:type="dxa"/>
              <w:right w:w="105" w:type="dxa"/>
            </w:tcMar>
          </w:tcPr>
          <w:p w14:paraId="691B3340" w14:textId="64B0ECCB" w:rsidR="02316283" w:rsidRDefault="02316283" w:rsidP="02316283">
            <w:pPr>
              <w:jc w:val="center"/>
              <w:rPr>
                <w:rFonts w:eastAsia="Arial" w:cs="Arial"/>
                <w:b/>
                <w:bCs/>
                <w:color w:val="000000" w:themeColor="text1"/>
                <w:szCs w:val="18"/>
              </w:rPr>
            </w:pPr>
            <w:proofErr w:type="spellStart"/>
            <w:r w:rsidRPr="02316283">
              <w:rPr>
                <w:rFonts w:eastAsia="Arial" w:cs="Arial"/>
                <w:color w:val="000000" w:themeColor="text1"/>
                <w:szCs w:val="18"/>
                <w:lang w:val="es-419"/>
              </w:rPr>
              <w:t>Alginate</w:t>
            </w:r>
            <w:proofErr w:type="spellEnd"/>
            <w:r w:rsidRPr="02316283">
              <w:rPr>
                <w:rFonts w:eastAsia="Arial" w:cs="Arial"/>
                <w:color w:val="000000" w:themeColor="text1"/>
                <w:szCs w:val="18"/>
                <w:lang w:val="es-419"/>
              </w:rPr>
              <w:t xml:space="preserve"> </w:t>
            </w:r>
            <w:proofErr w:type="spellStart"/>
            <w:r w:rsidRPr="02316283">
              <w:rPr>
                <w:rFonts w:eastAsia="Arial" w:cs="Arial"/>
                <w:color w:val="000000" w:themeColor="text1"/>
                <w:szCs w:val="18"/>
                <w:lang w:val="es-419"/>
              </w:rPr>
              <w:t>Concentration</w:t>
            </w:r>
            <w:proofErr w:type="spellEnd"/>
            <w:r w:rsidRPr="02316283">
              <w:rPr>
                <w:rFonts w:eastAsia="Arial" w:cs="Arial"/>
                <w:color w:val="000000" w:themeColor="text1"/>
                <w:szCs w:val="18"/>
                <w:lang w:val="es-419"/>
              </w:rPr>
              <w:t xml:space="preserve"> (%)</w:t>
            </w:r>
          </w:p>
        </w:tc>
        <w:tc>
          <w:tcPr>
            <w:tcW w:w="2835" w:type="dxa"/>
            <w:tcBorders>
              <w:top w:val="single" w:sz="6" w:space="0" w:color="auto"/>
              <w:left w:val="nil"/>
              <w:bottom w:val="single" w:sz="6" w:space="0" w:color="auto"/>
              <w:right w:val="nil"/>
            </w:tcBorders>
            <w:tcMar>
              <w:left w:w="105" w:type="dxa"/>
              <w:right w:w="105" w:type="dxa"/>
            </w:tcMar>
          </w:tcPr>
          <w:p w14:paraId="04B08A3B" w14:textId="7C959FA4" w:rsidR="02316283" w:rsidRDefault="02316283" w:rsidP="02316283">
            <w:pPr>
              <w:jc w:val="center"/>
              <w:rPr>
                <w:rFonts w:eastAsia="Arial" w:cs="Arial"/>
                <w:b/>
                <w:bCs/>
                <w:color w:val="000000" w:themeColor="text1"/>
                <w:szCs w:val="18"/>
              </w:rPr>
            </w:pPr>
            <w:proofErr w:type="spellStart"/>
            <w:r w:rsidRPr="02316283">
              <w:rPr>
                <w:rFonts w:eastAsia="Arial" w:cs="Arial"/>
                <w:color w:val="000000" w:themeColor="text1"/>
                <w:szCs w:val="18"/>
                <w:lang w:val="es-419"/>
              </w:rPr>
              <w:t>Hardness</w:t>
            </w:r>
            <w:proofErr w:type="spellEnd"/>
            <w:r w:rsidRPr="02316283">
              <w:rPr>
                <w:rFonts w:eastAsia="Arial" w:cs="Arial"/>
                <w:color w:val="000000" w:themeColor="text1"/>
                <w:szCs w:val="18"/>
                <w:lang w:val="es-419"/>
              </w:rPr>
              <w:t xml:space="preserve"> (N) ± S.D.</w:t>
            </w:r>
          </w:p>
        </w:tc>
        <w:tc>
          <w:tcPr>
            <w:tcW w:w="2820" w:type="dxa"/>
            <w:tcBorders>
              <w:top w:val="single" w:sz="6" w:space="0" w:color="auto"/>
              <w:left w:val="nil"/>
              <w:bottom w:val="single" w:sz="6" w:space="0" w:color="auto"/>
              <w:right w:val="nil"/>
            </w:tcBorders>
            <w:tcMar>
              <w:left w:w="105" w:type="dxa"/>
              <w:right w:w="105" w:type="dxa"/>
            </w:tcMar>
          </w:tcPr>
          <w:p w14:paraId="64DA1F4B" w14:textId="43B67583" w:rsidR="02316283" w:rsidRDefault="02316283" w:rsidP="02316283">
            <w:pPr>
              <w:jc w:val="center"/>
              <w:rPr>
                <w:rFonts w:eastAsia="Arial" w:cs="Arial"/>
                <w:b/>
                <w:bCs/>
                <w:color w:val="000000" w:themeColor="text1"/>
                <w:szCs w:val="18"/>
              </w:rPr>
            </w:pPr>
            <w:proofErr w:type="spellStart"/>
            <w:r w:rsidRPr="02316283">
              <w:rPr>
                <w:rFonts w:eastAsia="Arial" w:cs="Arial"/>
                <w:color w:val="000000" w:themeColor="text1"/>
                <w:szCs w:val="18"/>
                <w:lang w:val="es-419"/>
              </w:rPr>
              <w:t>Cohesiveness</w:t>
            </w:r>
            <w:proofErr w:type="spellEnd"/>
            <w:r w:rsidR="00D906BA">
              <w:rPr>
                <w:rFonts w:eastAsia="Arial" w:cs="Arial"/>
                <w:color w:val="000000" w:themeColor="text1"/>
                <w:szCs w:val="18"/>
                <w:lang w:val="es-419"/>
              </w:rPr>
              <w:t>*</w:t>
            </w:r>
            <w:r w:rsidRPr="02316283">
              <w:rPr>
                <w:rFonts w:eastAsia="Arial" w:cs="Arial"/>
                <w:color w:val="000000" w:themeColor="text1"/>
                <w:szCs w:val="18"/>
                <w:lang w:val="es-419"/>
              </w:rPr>
              <w:t xml:space="preserve"> ± S.D.</w:t>
            </w:r>
          </w:p>
        </w:tc>
      </w:tr>
      <w:tr w:rsidR="02316283" w14:paraId="32C302AF" w14:textId="77777777" w:rsidTr="2353569D">
        <w:trPr>
          <w:trHeight w:val="300"/>
        </w:trPr>
        <w:tc>
          <w:tcPr>
            <w:tcW w:w="2835" w:type="dxa"/>
            <w:tcBorders>
              <w:top w:val="single" w:sz="6" w:space="0" w:color="auto"/>
              <w:left w:val="nil"/>
              <w:bottom w:val="nil"/>
              <w:right w:val="nil"/>
            </w:tcBorders>
            <w:tcMar>
              <w:left w:w="105" w:type="dxa"/>
              <w:right w:w="105" w:type="dxa"/>
            </w:tcMar>
          </w:tcPr>
          <w:p w14:paraId="666190AA" w14:textId="6F5B3951" w:rsidR="02316283" w:rsidRDefault="02316283" w:rsidP="02316283">
            <w:pPr>
              <w:jc w:val="left"/>
              <w:rPr>
                <w:rFonts w:eastAsia="Arial" w:cs="Arial"/>
                <w:b/>
                <w:bCs/>
                <w:color w:val="000000" w:themeColor="text1"/>
                <w:szCs w:val="18"/>
              </w:rPr>
            </w:pPr>
            <w:r w:rsidRPr="02316283">
              <w:rPr>
                <w:rFonts w:eastAsia="Arial" w:cs="Arial"/>
                <w:color w:val="000000" w:themeColor="text1"/>
                <w:szCs w:val="18"/>
                <w:lang w:val="es-419"/>
              </w:rPr>
              <w:t>1</w:t>
            </w:r>
          </w:p>
        </w:tc>
        <w:tc>
          <w:tcPr>
            <w:tcW w:w="2835" w:type="dxa"/>
            <w:tcBorders>
              <w:top w:val="single" w:sz="6" w:space="0" w:color="auto"/>
              <w:left w:val="nil"/>
              <w:bottom w:val="nil"/>
              <w:right w:val="nil"/>
            </w:tcBorders>
            <w:tcMar>
              <w:left w:w="105" w:type="dxa"/>
              <w:right w:w="105" w:type="dxa"/>
            </w:tcMar>
          </w:tcPr>
          <w:p w14:paraId="2804A23B" w14:textId="14F1937D" w:rsidR="02316283" w:rsidRDefault="02316283" w:rsidP="02316283">
            <w:pPr>
              <w:jc w:val="left"/>
              <w:rPr>
                <w:rFonts w:eastAsia="Arial" w:cs="Arial"/>
                <w:color w:val="000000" w:themeColor="text1"/>
                <w:szCs w:val="18"/>
              </w:rPr>
            </w:pPr>
            <w:r w:rsidRPr="02316283">
              <w:rPr>
                <w:rFonts w:eastAsia="Arial" w:cs="Arial"/>
                <w:color w:val="000000" w:themeColor="text1"/>
                <w:szCs w:val="18"/>
                <w:lang w:val="es-419"/>
              </w:rPr>
              <w:t xml:space="preserve">32.22± </w:t>
            </w:r>
            <w:proofErr w:type="gramStart"/>
            <w:r w:rsidRPr="02316283">
              <w:rPr>
                <w:rFonts w:eastAsia="Arial" w:cs="Arial"/>
                <w:color w:val="000000" w:themeColor="text1"/>
                <w:szCs w:val="18"/>
                <w:lang w:val="es-419"/>
              </w:rPr>
              <w:t>2.53</w:t>
            </w:r>
            <w:r w:rsidRPr="02316283">
              <w:rPr>
                <w:rFonts w:eastAsia="Arial" w:cs="Arial"/>
                <w:color w:val="000000" w:themeColor="text1"/>
                <w:szCs w:val="18"/>
                <w:vertAlign w:val="superscript"/>
                <w:lang w:val="es-419"/>
              </w:rPr>
              <w:t>a</w:t>
            </w:r>
            <w:proofErr w:type="gramEnd"/>
          </w:p>
        </w:tc>
        <w:tc>
          <w:tcPr>
            <w:tcW w:w="2820" w:type="dxa"/>
            <w:tcBorders>
              <w:top w:val="single" w:sz="6" w:space="0" w:color="auto"/>
              <w:left w:val="nil"/>
              <w:bottom w:val="nil"/>
              <w:right w:val="nil"/>
            </w:tcBorders>
            <w:tcMar>
              <w:left w:w="105" w:type="dxa"/>
              <w:right w:w="105" w:type="dxa"/>
            </w:tcMar>
          </w:tcPr>
          <w:p w14:paraId="43432D6E" w14:textId="637AD269" w:rsidR="02316283" w:rsidRDefault="02316283" w:rsidP="02316283">
            <w:pPr>
              <w:jc w:val="left"/>
              <w:rPr>
                <w:rFonts w:eastAsia="Arial" w:cs="Arial"/>
                <w:color w:val="000000" w:themeColor="text1"/>
                <w:szCs w:val="18"/>
              </w:rPr>
            </w:pPr>
            <w:r w:rsidRPr="02316283">
              <w:rPr>
                <w:rFonts w:eastAsia="Arial" w:cs="Arial"/>
                <w:color w:val="000000" w:themeColor="text1"/>
                <w:szCs w:val="18"/>
                <w:lang w:val="es-419"/>
              </w:rPr>
              <w:t>0.60± 0.048</w:t>
            </w:r>
            <w:r w:rsidRPr="02316283">
              <w:rPr>
                <w:rFonts w:eastAsia="Arial" w:cs="Arial"/>
                <w:color w:val="000000" w:themeColor="text1"/>
                <w:szCs w:val="18"/>
                <w:vertAlign w:val="superscript"/>
                <w:lang w:val="es-419"/>
              </w:rPr>
              <w:t>a</w:t>
            </w:r>
          </w:p>
        </w:tc>
      </w:tr>
      <w:tr w:rsidR="02316283" w14:paraId="0796DD41" w14:textId="77777777" w:rsidTr="2353569D">
        <w:trPr>
          <w:trHeight w:val="300"/>
        </w:trPr>
        <w:tc>
          <w:tcPr>
            <w:tcW w:w="2835" w:type="dxa"/>
            <w:tcBorders>
              <w:top w:val="nil"/>
              <w:left w:val="nil"/>
              <w:bottom w:val="nil"/>
              <w:right w:val="nil"/>
            </w:tcBorders>
            <w:tcMar>
              <w:left w:w="105" w:type="dxa"/>
              <w:right w:w="105" w:type="dxa"/>
            </w:tcMar>
          </w:tcPr>
          <w:p w14:paraId="0515F826" w14:textId="6FEDD67D" w:rsidR="02316283" w:rsidRDefault="02316283" w:rsidP="02316283">
            <w:pPr>
              <w:jc w:val="left"/>
              <w:rPr>
                <w:rFonts w:eastAsia="Arial" w:cs="Arial"/>
                <w:b/>
                <w:bCs/>
                <w:color w:val="000000" w:themeColor="text1"/>
                <w:szCs w:val="18"/>
              </w:rPr>
            </w:pPr>
            <w:r w:rsidRPr="02316283">
              <w:rPr>
                <w:rFonts w:eastAsia="Arial" w:cs="Arial"/>
                <w:color w:val="000000" w:themeColor="text1"/>
                <w:szCs w:val="18"/>
                <w:lang w:val="es-419"/>
              </w:rPr>
              <w:t>0.5</w:t>
            </w:r>
          </w:p>
        </w:tc>
        <w:tc>
          <w:tcPr>
            <w:tcW w:w="2835" w:type="dxa"/>
            <w:tcBorders>
              <w:top w:val="nil"/>
              <w:left w:val="nil"/>
              <w:bottom w:val="nil"/>
              <w:right w:val="nil"/>
            </w:tcBorders>
            <w:tcMar>
              <w:left w:w="105" w:type="dxa"/>
              <w:right w:w="105" w:type="dxa"/>
            </w:tcMar>
          </w:tcPr>
          <w:p w14:paraId="41F53DA0" w14:textId="693523C3" w:rsidR="02316283" w:rsidRDefault="02316283" w:rsidP="02316283">
            <w:pPr>
              <w:jc w:val="left"/>
              <w:rPr>
                <w:rFonts w:eastAsia="Arial" w:cs="Arial"/>
                <w:color w:val="000000" w:themeColor="text1"/>
                <w:szCs w:val="18"/>
              </w:rPr>
            </w:pPr>
            <w:r w:rsidRPr="02316283">
              <w:rPr>
                <w:rFonts w:eastAsia="Arial" w:cs="Arial"/>
                <w:color w:val="000000" w:themeColor="text1"/>
                <w:szCs w:val="18"/>
                <w:lang w:val="es-419"/>
              </w:rPr>
              <w:t>19.85± 4.98</w:t>
            </w:r>
            <w:r w:rsidRPr="02316283">
              <w:rPr>
                <w:rFonts w:eastAsia="Arial" w:cs="Arial"/>
                <w:color w:val="000000" w:themeColor="text1"/>
                <w:szCs w:val="18"/>
                <w:vertAlign w:val="superscript"/>
                <w:lang w:val="es-419"/>
              </w:rPr>
              <w:t>b</w:t>
            </w:r>
          </w:p>
        </w:tc>
        <w:tc>
          <w:tcPr>
            <w:tcW w:w="2820" w:type="dxa"/>
            <w:tcBorders>
              <w:top w:val="nil"/>
              <w:left w:val="nil"/>
              <w:bottom w:val="nil"/>
              <w:right w:val="nil"/>
            </w:tcBorders>
            <w:tcMar>
              <w:left w:w="105" w:type="dxa"/>
              <w:right w:w="105" w:type="dxa"/>
            </w:tcMar>
          </w:tcPr>
          <w:p w14:paraId="5D88B224" w14:textId="792C1020" w:rsidR="02316283" w:rsidRDefault="02316283" w:rsidP="02316283">
            <w:pPr>
              <w:jc w:val="left"/>
              <w:rPr>
                <w:rFonts w:eastAsia="Arial" w:cs="Arial"/>
                <w:color w:val="000000" w:themeColor="text1"/>
                <w:szCs w:val="18"/>
              </w:rPr>
            </w:pPr>
            <w:r w:rsidRPr="02316283">
              <w:rPr>
                <w:rFonts w:eastAsia="Arial" w:cs="Arial"/>
                <w:color w:val="000000" w:themeColor="text1"/>
                <w:szCs w:val="18"/>
                <w:lang w:val="es-419"/>
              </w:rPr>
              <w:t>0.38± 0.046</w:t>
            </w:r>
            <w:r w:rsidRPr="02316283">
              <w:rPr>
                <w:rFonts w:eastAsia="Arial" w:cs="Arial"/>
                <w:color w:val="000000" w:themeColor="text1"/>
                <w:szCs w:val="18"/>
                <w:vertAlign w:val="superscript"/>
                <w:lang w:val="es-419"/>
              </w:rPr>
              <w:t>b</w:t>
            </w:r>
          </w:p>
        </w:tc>
      </w:tr>
      <w:tr w:rsidR="02316283" w14:paraId="39F1AA19" w14:textId="77777777" w:rsidTr="2353569D">
        <w:trPr>
          <w:trHeight w:val="300"/>
        </w:trPr>
        <w:tc>
          <w:tcPr>
            <w:tcW w:w="2835" w:type="dxa"/>
            <w:tcBorders>
              <w:top w:val="nil"/>
              <w:left w:val="nil"/>
              <w:bottom w:val="single" w:sz="6" w:space="0" w:color="auto"/>
              <w:right w:val="nil"/>
            </w:tcBorders>
            <w:tcMar>
              <w:left w:w="105" w:type="dxa"/>
              <w:right w:w="105" w:type="dxa"/>
            </w:tcMar>
          </w:tcPr>
          <w:p w14:paraId="33677162" w14:textId="6E602175" w:rsidR="02316283" w:rsidRDefault="02316283" w:rsidP="02316283">
            <w:pPr>
              <w:jc w:val="left"/>
              <w:rPr>
                <w:rFonts w:eastAsia="Arial" w:cs="Arial"/>
                <w:b/>
                <w:bCs/>
                <w:color w:val="000000" w:themeColor="text1"/>
                <w:szCs w:val="18"/>
              </w:rPr>
            </w:pPr>
            <w:r w:rsidRPr="02316283">
              <w:rPr>
                <w:rFonts w:eastAsia="Arial" w:cs="Arial"/>
                <w:color w:val="000000" w:themeColor="text1"/>
                <w:szCs w:val="18"/>
                <w:lang w:val="es-419"/>
              </w:rPr>
              <w:lastRenderedPageBreak/>
              <w:t>% CV</w:t>
            </w:r>
          </w:p>
        </w:tc>
        <w:tc>
          <w:tcPr>
            <w:tcW w:w="2835" w:type="dxa"/>
            <w:tcBorders>
              <w:top w:val="nil"/>
              <w:left w:val="nil"/>
              <w:bottom w:val="single" w:sz="6" w:space="0" w:color="auto"/>
              <w:right w:val="nil"/>
            </w:tcBorders>
            <w:tcMar>
              <w:left w:w="105" w:type="dxa"/>
              <w:right w:w="105" w:type="dxa"/>
            </w:tcMar>
          </w:tcPr>
          <w:p w14:paraId="74EFB637" w14:textId="4FE0C5C0" w:rsidR="02316283" w:rsidRDefault="02316283" w:rsidP="02316283">
            <w:pPr>
              <w:jc w:val="left"/>
              <w:rPr>
                <w:rFonts w:eastAsia="Arial" w:cs="Arial"/>
                <w:color w:val="000000" w:themeColor="text1"/>
                <w:szCs w:val="18"/>
              </w:rPr>
            </w:pPr>
            <w:r w:rsidRPr="02316283">
              <w:rPr>
                <w:rFonts w:eastAsia="Arial" w:cs="Arial"/>
                <w:color w:val="000000" w:themeColor="text1"/>
                <w:szCs w:val="18"/>
                <w:lang w:val="es-419"/>
              </w:rPr>
              <w:t>13.82</w:t>
            </w:r>
          </w:p>
        </w:tc>
        <w:tc>
          <w:tcPr>
            <w:tcW w:w="2820" w:type="dxa"/>
            <w:tcBorders>
              <w:top w:val="nil"/>
              <w:left w:val="nil"/>
              <w:bottom w:val="single" w:sz="6" w:space="0" w:color="auto"/>
              <w:right w:val="nil"/>
            </w:tcBorders>
            <w:tcMar>
              <w:left w:w="105" w:type="dxa"/>
              <w:right w:w="105" w:type="dxa"/>
            </w:tcMar>
          </w:tcPr>
          <w:p w14:paraId="3BE2AE9E" w14:textId="64D3A4AE" w:rsidR="02316283" w:rsidRDefault="02316283" w:rsidP="02316283">
            <w:pPr>
              <w:jc w:val="left"/>
              <w:rPr>
                <w:rFonts w:eastAsia="Arial" w:cs="Arial"/>
                <w:color w:val="000000" w:themeColor="text1"/>
                <w:szCs w:val="18"/>
              </w:rPr>
            </w:pPr>
            <w:r w:rsidRPr="02316283">
              <w:rPr>
                <w:rFonts w:eastAsia="Arial" w:cs="Arial"/>
                <w:color w:val="000000" w:themeColor="text1"/>
                <w:szCs w:val="18"/>
                <w:lang w:val="es-419"/>
              </w:rPr>
              <w:t>10.79</w:t>
            </w:r>
          </w:p>
        </w:tc>
      </w:tr>
    </w:tbl>
    <w:p w14:paraId="18559D33" w14:textId="224E1759" w:rsidR="00C006A7" w:rsidRDefault="0082617A" w:rsidP="2353569D">
      <w:pPr>
        <w:pStyle w:val="CETBodytext"/>
        <w:rPr>
          <w:rFonts w:eastAsia="Arial" w:cs="Arial"/>
          <w:szCs w:val="18"/>
        </w:rPr>
      </w:pPr>
      <w:r w:rsidRPr="0082617A">
        <w:rPr>
          <w:rFonts w:eastAsia="Arial" w:cs="Arial"/>
          <w:szCs w:val="18"/>
        </w:rPr>
        <w:t>*: Dimensionless.</w:t>
      </w:r>
      <w:r>
        <w:rPr>
          <w:rFonts w:eastAsia="Arial" w:cs="Arial"/>
          <w:szCs w:val="18"/>
        </w:rPr>
        <w:t xml:space="preserve"> </w:t>
      </w:r>
      <w:r w:rsidR="00C006A7" w:rsidRPr="00C006A7">
        <w:rPr>
          <w:rFonts w:eastAsia="Arial" w:cs="Arial"/>
          <w:szCs w:val="18"/>
        </w:rPr>
        <w:t>a-b: different lowercase letters following values or bars indicate a statistically significant difference (p &lt; 0.05) between the corresponding treatments.</w:t>
      </w:r>
      <w:r w:rsidR="00C006A7">
        <w:rPr>
          <w:rFonts w:eastAsia="Arial" w:cs="Arial"/>
          <w:szCs w:val="18"/>
        </w:rPr>
        <w:t xml:space="preserve"> CV: Coefficient of variation. </w:t>
      </w:r>
    </w:p>
    <w:p w14:paraId="3ECDE647" w14:textId="77777777" w:rsidR="00C006A7" w:rsidRPr="00C006A7" w:rsidRDefault="00C006A7" w:rsidP="2353569D">
      <w:pPr>
        <w:pStyle w:val="CETBodytext"/>
        <w:rPr>
          <w:rFonts w:eastAsia="Arial" w:cs="Arial"/>
          <w:szCs w:val="18"/>
        </w:rPr>
      </w:pPr>
    </w:p>
    <w:p w14:paraId="3066C01B" w14:textId="2DAE145E" w:rsidR="00C006A7" w:rsidRPr="00C006A7" w:rsidRDefault="00C006A7" w:rsidP="2353569D">
      <w:pPr>
        <w:pStyle w:val="CETBodytext"/>
        <w:rPr>
          <w:rFonts w:eastAsia="Arial" w:cs="Arial"/>
          <w:szCs w:val="18"/>
        </w:rPr>
      </w:pPr>
      <w:r w:rsidRPr="00C006A7">
        <w:rPr>
          <w:rFonts w:eastAsia="Arial" w:cs="Arial"/>
          <w:szCs w:val="18"/>
        </w:rPr>
        <w:t>The increase in hardness and cohesiveness was observed immediately after alginate crosslinking via immersion in a calcium chloride solution. This crosslinking process enhanced the specimens' ability to withstand external tensile forces.</w:t>
      </w:r>
    </w:p>
    <w:p w14:paraId="68D26B83" w14:textId="77777777" w:rsidR="00600535" w:rsidRPr="00B57B36" w:rsidRDefault="00600535" w:rsidP="00600535">
      <w:pPr>
        <w:pStyle w:val="CETHeading1"/>
        <w:rPr>
          <w:lang w:val="en-GB"/>
        </w:rPr>
      </w:pPr>
      <w:r w:rsidRPr="00B57B36">
        <w:rPr>
          <w:lang w:val="en-GB"/>
        </w:rPr>
        <w:t>Conclusions</w:t>
      </w:r>
    </w:p>
    <w:p w14:paraId="25196793" w14:textId="77777777" w:rsidR="006F42DB" w:rsidRPr="006F42DB" w:rsidRDefault="006F42DB" w:rsidP="006F42DB">
      <w:pPr>
        <w:pStyle w:val="CETBodytext"/>
        <w:rPr>
          <w:lang w:val="en-GB"/>
        </w:rPr>
      </w:pPr>
      <w:r w:rsidRPr="006F42DB">
        <w:rPr>
          <w:lang w:val="en-GB"/>
        </w:rPr>
        <w:t>The findings indicate that pea protein-based formulations exhibit a broader printability window compared to soy-based formulations, allowing for greater flexibility in protein concentration and nozzle selection. Pea formulations with up to 1% sodium alginate demonstrated high structural fidelity, while soy formulations with lower alginate concentrations showed reduced reliability. Shape retention was optimized at intermediate alginate levels.</w:t>
      </w:r>
    </w:p>
    <w:p w14:paraId="5AE06956" w14:textId="77777777" w:rsidR="006F42DB" w:rsidRPr="006F42DB" w:rsidRDefault="006F42DB" w:rsidP="006F42DB">
      <w:pPr>
        <w:pStyle w:val="CETBodytext"/>
        <w:rPr>
          <w:lang w:val="en-GB"/>
        </w:rPr>
      </w:pPr>
      <w:r w:rsidRPr="006F42DB">
        <w:rPr>
          <w:lang w:val="en-GB"/>
        </w:rPr>
        <w:t>Critical processing parameters, such as extrusion speed and layer height, varied depending on the formulation, with higher alginate concentrations supporting faster extrusion speeds. The critical layer heights observed for pea and soy protein formulations suggest the potential to replicate fibrous structures exceeding the maximum fibrillar dimensions reported in conventional meat.</w:t>
      </w:r>
    </w:p>
    <w:p w14:paraId="3F84D0E4" w14:textId="128A7921" w:rsidR="02316283" w:rsidRDefault="02316283" w:rsidP="02316283">
      <w:pPr>
        <w:pStyle w:val="CETBodytext"/>
        <w:rPr>
          <w:lang w:val="en-GB"/>
        </w:rPr>
      </w:pPr>
      <w:r w:rsidRPr="02316283">
        <w:rPr>
          <w:lang w:val="en-GB"/>
        </w:rPr>
        <w:t>Textural analysis revealed that both transglutaminase and sodium alginate play crucial roles in modulating the mechanical properties of meat analogues. While transglutaminase decreased cohesiveness, sodium alginate increased it, with the strongest cohesive effects observed in formulations containing 1% alginate. These findings provide valuable insights for optimizing 3D-printed meat analogues</w:t>
      </w:r>
      <w:r w:rsidR="00675439">
        <w:rPr>
          <w:lang w:val="en-GB"/>
        </w:rPr>
        <w:t>.</w:t>
      </w:r>
    </w:p>
    <w:p w14:paraId="4F1327F8" w14:textId="77777777" w:rsidR="00600535" w:rsidRDefault="00600535" w:rsidP="00FB1430">
      <w:pPr>
        <w:pStyle w:val="CETHeading1"/>
      </w:pPr>
      <w:r w:rsidRPr="00B57B36">
        <w:t>References</w:t>
      </w:r>
    </w:p>
    <w:p w14:paraId="690D2CDF" w14:textId="629C30D4" w:rsidR="00FA5B0D" w:rsidRDefault="00FA5B0D" w:rsidP="003D7AC1">
      <w:pPr>
        <w:pStyle w:val="CETReferencetext"/>
      </w:pPr>
      <w:bookmarkStart w:id="2" w:name="_Hlk192335480"/>
      <w:r w:rsidRPr="00FA5B0D">
        <w:t>Barclays Research, 2019</w:t>
      </w:r>
      <w:r>
        <w:t xml:space="preserve">. Barclays Research highlights: </w:t>
      </w:r>
      <w:r w:rsidR="005576B1">
        <w:t>S</w:t>
      </w:r>
      <w:r w:rsidR="005576B1" w:rsidRPr="005576B1">
        <w:t xml:space="preserve">ustainable &amp; </w:t>
      </w:r>
      <w:r w:rsidR="005576B1">
        <w:t>T</w:t>
      </w:r>
      <w:r w:rsidR="005576B1" w:rsidRPr="005576B1">
        <w:t xml:space="preserve">hematic </w:t>
      </w:r>
      <w:r w:rsidR="005576B1">
        <w:t>I</w:t>
      </w:r>
      <w:r w:rsidR="005576B1" w:rsidRPr="005576B1">
        <w:t xml:space="preserve">nvestment </w:t>
      </w:r>
      <w:r w:rsidR="005576B1">
        <w:t>F</w:t>
      </w:r>
      <w:r w:rsidR="005576B1" w:rsidRPr="005576B1">
        <w:t xml:space="preserve">ood </w:t>
      </w:r>
      <w:r w:rsidR="005576B1">
        <w:t>R</w:t>
      </w:r>
      <w:r w:rsidR="005576B1" w:rsidRPr="005576B1">
        <w:t>evolution</w:t>
      </w:r>
      <w:r w:rsidR="00E35840">
        <w:t>.</w:t>
      </w:r>
    </w:p>
    <w:p w14:paraId="2A4859E4" w14:textId="6B64EC29" w:rsidR="00E65358" w:rsidRDefault="00E65358" w:rsidP="003D7AC1">
      <w:pPr>
        <w:pStyle w:val="CETReferencetext"/>
      </w:pPr>
      <w:r w:rsidRPr="00E65358">
        <w:t>Cleland, J., 2013. World population growth; past, present and future. Environmental and Resource Economics, 55, 543-554.</w:t>
      </w:r>
    </w:p>
    <w:p w14:paraId="51272012" w14:textId="4A6BF2A4" w:rsidR="001323E7" w:rsidRDefault="001323E7" w:rsidP="003D7AC1">
      <w:pPr>
        <w:pStyle w:val="CETReferencetext"/>
      </w:pPr>
      <w:r w:rsidRPr="001323E7">
        <w:t xml:space="preserve">Food </w:t>
      </w:r>
      <w:r>
        <w:t>a</w:t>
      </w:r>
      <w:r w:rsidRPr="001323E7">
        <w:t xml:space="preserve">nd Agriculture Organization </w:t>
      </w:r>
      <w:r>
        <w:t>o</w:t>
      </w:r>
      <w:r w:rsidRPr="001323E7">
        <w:t xml:space="preserve">f </w:t>
      </w:r>
      <w:r>
        <w:t>t</w:t>
      </w:r>
      <w:r w:rsidRPr="001323E7">
        <w:t>he United Nations</w:t>
      </w:r>
      <w:r>
        <w:t xml:space="preserve"> (FAO)</w:t>
      </w:r>
      <w:r w:rsidRPr="001323E7">
        <w:t>.</w:t>
      </w:r>
      <w:r w:rsidR="00116340">
        <w:t>,</w:t>
      </w:r>
      <w:r w:rsidRPr="001323E7">
        <w:t xml:space="preserve"> 202</w:t>
      </w:r>
      <w:r>
        <w:t>3</w:t>
      </w:r>
      <w:r w:rsidRPr="001323E7">
        <w:t xml:space="preserve">. </w:t>
      </w:r>
      <w:r w:rsidR="00116340" w:rsidRPr="001323E7">
        <w:t xml:space="preserve">Food Outlook-Biannual Report </w:t>
      </w:r>
      <w:r w:rsidR="00116340">
        <w:t>o</w:t>
      </w:r>
      <w:r w:rsidR="00116340" w:rsidRPr="001323E7">
        <w:t>n Global Food Markets</w:t>
      </w:r>
      <w:r w:rsidRPr="001323E7">
        <w:t>. FOOD &amp; AGRICULTURE ORG.</w:t>
      </w:r>
    </w:p>
    <w:p w14:paraId="3AFA6051" w14:textId="3FC0D812" w:rsidR="007E427C" w:rsidRDefault="007E427C" w:rsidP="003D7AC1">
      <w:pPr>
        <w:pStyle w:val="CETReferencetext"/>
      </w:pPr>
      <w:r w:rsidRPr="007E427C">
        <w:t>Hao, L., Mellor, S., Seaman, O., Henderson, J., Sewell, N. y Sloan, M. 2010. Material characterisation and process development for chocolate additive layer manufacturing. Virtual and Physical Prototyping, 5(2), 57–64.</w:t>
      </w:r>
    </w:p>
    <w:p w14:paraId="56C01FA9" w14:textId="2C759CEE" w:rsidR="00980CAE" w:rsidRDefault="00980CAE" w:rsidP="003D7AC1">
      <w:pPr>
        <w:pStyle w:val="CETReferencetext"/>
      </w:pPr>
      <w:r w:rsidRPr="00980CAE">
        <w:t xml:space="preserve">He, P., 2024. Navigating the global dietary transition and its impact on planetary and human health: The role of middle-income countries. Food Science and Nutrition Cases, </w:t>
      </w:r>
      <w:proofErr w:type="gramStart"/>
      <w:r w:rsidRPr="00980CAE">
        <w:t>p.fsncases</w:t>
      </w:r>
      <w:proofErr w:type="gramEnd"/>
      <w:r w:rsidRPr="00980CAE">
        <w:t>20240015.</w:t>
      </w:r>
    </w:p>
    <w:bookmarkEnd w:id="2"/>
    <w:p w14:paraId="384A08B7" w14:textId="4EEDB040" w:rsidR="000D7E55" w:rsidRPr="00C32997" w:rsidRDefault="000D7E55" w:rsidP="003D7AC1">
      <w:pPr>
        <w:pStyle w:val="CETReferencetext"/>
        <w:rPr>
          <w:lang w:val="en-US"/>
        </w:rPr>
      </w:pPr>
      <w:r w:rsidRPr="000D7E55">
        <w:rPr>
          <w:lang w:val="en-US"/>
        </w:rPr>
        <w:t xml:space="preserve">Khalil, S. and Sun, W., 2007. Biopolymer deposition for freeform fabrication of hydrogel tissue constructs. </w:t>
      </w:r>
      <w:r w:rsidRPr="00C32997">
        <w:rPr>
          <w:lang w:val="en-US"/>
        </w:rPr>
        <w:t>Materials Science and Engineering: C, 27(3), 469-478.</w:t>
      </w:r>
    </w:p>
    <w:p w14:paraId="7CE09B96" w14:textId="467A7126" w:rsidR="00C32997" w:rsidRDefault="00C32997" w:rsidP="003D7AC1">
      <w:pPr>
        <w:pStyle w:val="CETReferencetext"/>
        <w:rPr>
          <w:lang w:val="en-US"/>
        </w:rPr>
      </w:pPr>
      <w:r w:rsidRPr="00C32997">
        <w:rPr>
          <w:lang w:val="en-US"/>
        </w:rPr>
        <w:t>Kyriakopoulou, K., Dekkers, B. and van der Goot, A.J., 2019. Plant-based meat analogues. In Sustainable meat production and processing</w:t>
      </w:r>
      <w:r w:rsidR="00326203">
        <w:rPr>
          <w:lang w:val="en-US"/>
        </w:rPr>
        <w:t>.</w:t>
      </w:r>
      <w:r w:rsidR="00326203" w:rsidRPr="00675439">
        <w:rPr>
          <w:lang w:val="en-US"/>
        </w:rPr>
        <w:t xml:space="preserve"> </w:t>
      </w:r>
      <w:r w:rsidR="00326203" w:rsidRPr="00C32997">
        <w:rPr>
          <w:lang w:val="es-HN"/>
        </w:rPr>
        <w:t xml:space="preserve">Academic </w:t>
      </w:r>
      <w:proofErr w:type="spellStart"/>
      <w:r w:rsidR="00326203" w:rsidRPr="00C32997">
        <w:rPr>
          <w:lang w:val="es-HN"/>
        </w:rPr>
        <w:t>Press</w:t>
      </w:r>
      <w:proofErr w:type="spellEnd"/>
      <w:r w:rsidR="00326203">
        <w:rPr>
          <w:lang w:val="es-HN"/>
        </w:rPr>
        <w:t>.</w:t>
      </w:r>
      <w:r w:rsidRPr="00C32997">
        <w:rPr>
          <w:lang w:val="en-US"/>
        </w:rPr>
        <w:t xml:space="preserve"> 103-126. </w:t>
      </w:r>
    </w:p>
    <w:p w14:paraId="37CAAA83" w14:textId="6796ED29" w:rsidR="001646EE" w:rsidRDefault="001646EE" w:rsidP="003D7AC1">
      <w:pPr>
        <w:pStyle w:val="CETReferencetext"/>
        <w:rPr>
          <w:lang w:val="es-HN"/>
        </w:rPr>
      </w:pPr>
      <w:r w:rsidRPr="001646EE">
        <w:rPr>
          <w:lang w:val="en-US"/>
        </w:rPr>
        <w:t xml:space="preserve">Liu, Z., Zhang, M., Bhandari, B. and Wang, Y., 2017. 3D printing: Printing precision and application in </w:t>
      </w:r>
      <w:proofErr w:type="gramStart"/>
      <w:r w:rsidRPr="001646EE">
        <w:rPr>
          <w:lang w:val="en-US"/>
        </w:rPr>
        <w:t>food</w:t>
      </w:r>
      <w:proofErr w:type="gramEnd"/>
      <w:r w:rsidRPr="001646EE">
        <w:rPr>
          <w:lang w:val="en-US"/>
        </w:rPr>
        <w:t xml:space="preserve"> sector. </w:t>
      </w:r>
      <w:proofErr w:type="spellStart"/>
      <w:r w:rsidRPr="001646EE">
        <w:rPr>
          <w:lang w:val="es-HN"/>
        </w:rPr>
        <w:t>Trends</w:t>
      </w:r>
      <w:proofErr w:type="spellEnd"/>
      <w:r w:rsidRPr="001646EE">
        <w:rPr>
          <w:lang w:val="es-HN"/>
        </w:rPr>
        <w:t xml:space="preserve"> in Food Science &amp; </w:t>
      </w:r>
      <w:proofErr w:type="spellStart"/>
      <w:r w:rsidRPr="001646EE">
        <w:rPr>
          <w:lang w:val="es-HN"/>
        </w:rPr>
        <w:t>Technology</w:t>
      </w:r>
      <w:proofErr w:type="spellEnd"/>
      <w:r w:rsidRPr="001646EE">
        <w:rPr>
          <w:lang w:val="es-HN"/>
        </w:rPr>
        <w:t>, 69,83-94.</w:t>
      </w:r>
    </w:p>
    <w:p w14:paraId="0A32C1B3" w14:textId="77777777" w:rsidR="00C20997" w:rsidRPr="00F25E66" w:rsidRDefault="00C20997" w:rsidP="00C20997">
      <w:pPr>
        <w:pStyle w:val="CETReferencetext"/>
        <w:rPr>
          <w:lang w:val="es-HN"/>
        </w:rPr>
      </w:pPr>
      <w:r w:rsidRPr="00F25E66">
        <w:rPr>
          <w:lang w:val="es-HN"/>
        </w:rPr>
        <w:t xml:space="preserve">Lorente-Saiz, A.G., 2010. </w:t>
      </w:r>
      <w:r>
        <w:rPr>
          <w:lang w:val="es-HN"/>
        </w:rPr>
        <w:t>C</w:t>
      </w:r>
      <w:r w:rsidRPr="00F25E66">
        <w:rPr>
          <w:lang w:val="es-HN"/>
        </w:rPr>
        <w:t xml:space="preserve">ambio climático: una influencia recíproca. </w:t>
      </w:r>
      <w:proofErr w:type="spellStart"/>
      <w:r w:rsidRPr="00F25E66">
        <w:rPr>
          <w:lang w:val="es-HN"/>
        </w:rPr>
        <w:t>GeoGraphos</w:t>
      </w:r>
      <w:proofErr w:type="spellEnd"/>
      <w:r w:rsidRPr="00F25E66">
        <w:rPr>
          <w:lang w:val="es-HN"/>
        </w:rPr>
        <w:t>. Revista Digital para Estudiantes de Geografía y Ciencias Sociales, 1(3), 1-22.</w:t>
      </w:r>
    </w:p>
    <w:p w14:paraId="5043BE22" w14:textId="4C30B909" w:rsidR="00BB37A7" w:rsidRPr="003C2983" w:rsidRDefault="00BB37A7" w:rsidP="003C2983">
      <w:pPr>
        <w:pStyle w:val="CETReferencetext"/>
        <w:rPr>
          <w:lang w:val="es-HN"/>
        </w:rPr>
      </w:pPr>
      <w:r w:rsidRPr="003C2983">
        <w:rPr>
          <w:lang w:val="es-HN"/>
        </w:rPr>
        <w:t>Ministerio de Ciencia, Tecnología e Innovación Productiva de Argentina (</w:t>
      </w:r>
      <w:proofErr w:type="spellStart"/>
      <w:r w:rsidRPr="003C2983">
        <w:rPr>
          <w:lang w:val="es-HN"/>
        </w:rPr>
        <w:t>MINCyT</w:t>
      </w:r>
      <w:proofErr w:type="spellEnd"/>
      <w:r w:rsidRPr="003C2983">
        <w:rPr>
          <w:lang w:val="es-HN"/>
        </w:rPr>
        <w:t>), 2015.</w:t>
      </w:r>
      <w:r w:rsidR="003C2983" w:rsidRPr="003C2983">
        <w:rPr>
          <w:lang w:val="es-HN"/>
        </w:rPr>
        <w:t xml:space="preserve"> </w:t>
      </w:r>
      <w:r w:rsidR="00CA6F55" w:rsidRPr="00CA6F55">
        <w:rPr>
          <w:lang w:val="en-US"/>
        </w:rPr>
        <w:t>Technological surveillance and competitive intelligence study on 3D printing technologies for food</w:t>
      </w:r>
      <w:r w:rsidR="00CA6F55">
        <w:rPr>
          <w:lang w:val="en-US"/>
        </w:rPr>
        <w:t xml:space="preserve"> (original title in Spanish)</w:t>
      </w:r>
      <w:r w:rsidRPr="00CA6F55">
        <w:rPr>
          <w:lang w:val="en-US"/>
        </w:rPr>
        <w:t xml:space="preserve">. </w:t>
      </w:r>
      <w:r w:rsidRPr="00675439">
        <w:rPr>
          <w:lang w:val="es-HN"/>
        </w:rPr>
        <w:t>Ministerio de Ciencia, Tecnología e Innovación Productiva. Argentina</w:t>
      </w:r>
      <w:r w:rsidR="00CA6F55" w:rsidRPr="00675439">
        <w:rPr>
          <w:lang w:val="es-HN"/>
        </w:rPr>
        <w:t>.</w:t>
      </w:r>
    </w:p>
    <w:p w14:paraId="12408A57" w14:textId="1CE64173" w:rsidR="00142603" w:rsidRPr="00B845B4" w:rsidRDefault="00D47DC9" w:rsidP="00B845B4">
      <w:pPr>
        <w:pStyle w:val="CETReferencetext"/>
        <w:rPr>
          <w:lang w:val="es-HN"/>
        </w:rPr>
      </w:pPr>
      <w:r w:rsidRPr="00D47DC9">
        <w:rPr>
          <w:lang w:val="es-HN"/>
        </w:rPr>
        <w:t xml:space="preserve">Oficina </w:t>
      </w:r>
      <w:r>
        <w:rPr>
          <w:lang w:val="es-HN"/>
        </w:rPr>
        <w:t>d</w:t>
      </w:r>
      <w:r w:rsidRPr="00D47DC9">
        <w:rPr>
          <w:lang w:val="es-HN"/>
        </w:rPr>
        <w:t xml:space="preserve">e Estudios </w:t>
      </w:r>
      <w:r>
        <w:rPr>
          <w:lang w:val="es-HN"/>
        </w:rPr>
        <w:t>y</w:t>
      </w:r>
      <w:r w:rsidRPr="00D47DC9">
        <w:rPr>
          <w:lang w:val="es-HN"/>
        </w:rPr>
        <w:t xml:space="preserve"> Políticas Agrarias</w:t>
      </w:r>
      <w:r w:rsidR="00270A5D">
        <w:rPr>
          <w:lang w:val="es-HN"/>
        </w:rPr>
        <w:t xml:space="preserve"> (</w:t>
      </w:r>
      <w:r w:rsidR="00142603" w:rsidRPr="00142603">
        <w:rPr>
          <w:lang w:val="es-HN"/>
        </w:rPr>
        <w:t>ODEPA</w:t>
      </w:r>
      <w:r w:rsidR="00270A5D">
        <w:rPr>
          <w:lang w:val="es-HN"/>
        </w:rPr>
        <w:t>),</w:t>
      </w:r>
      <w:r w:rsidR="00142603" w:rsidRPr="00142603">
        <w:rPr>
          <w:lang w:val="es-HN"/>
        </w:rPr>
        <w:t xml:space="preserve"> </w:t>
      </w:r>
      <w:r w:rsidR="00142603" w:rsidRPr="00270A5D">
        <w:rPr>
          <w:lang w:val="es-HN"/>
        </w:rPr>
        <w:t xml:space="preserve">2007. </w:t>
      </w:r>
      <w:r w:rsidR="00B845B4" w:rsidRPr="00B845B4">
        <w:rPr>
          <w:lang w:val="en-US"/>
        </w:rPr>
        <w:t>Characterization of beef demand and evaluation of substitute goods</w:t>
      </w:r>
      <w:r w:rsidR="00B845B4">
        <w:rPr>
          <w:lang w:val="en-US"/>
        </w:rPr>
        <w:t xml:space="preserve"> (original title in Spanish).</w:t>
      </w:r>
      <w:r w:rsidR="00142603" w:rsidRPr="00B845B4">
        <w:rPr>
          <w:lang w:val="en-US"/>
        </w:rPr>
        <w:t xml:space="preserve"> </w:t>
      </w:r>
      <w:r w:rsidR="00142603" w:rsidRPr="00C351CD">
        <w:rPr>
          <w:lang w:val="es-HN"/>
        </w:rPr>
        <w:t xml:space="preserve">Ministerio </w:t>
      </w:r>
      <w:r w:rsidR="00B845B4" w:rsidRPr="00C351CD">
        <w:rPr>
          <w:lang w:val="es-HN"/>
        </w:rPr>
        <w:t>d</w:t>
      </w:r>
      <w:r w:rsidR="00142603" w:rsidRPr="00C351CD">
        <w:rPr>
          <w:lang w:val="es-HN"/>
        </w:rPr>
        <w:t xml:space="preserve">e Agricultura </w:t>
      </w:r>
      <w:r w:rsidR="00B845B4" w:rsidRPr="00C351CD">
        <w:rPr>
          <w:lang w:val="es-HN"/>
        </w:rPr>
        <w:t>d</w:t>
      </w:r>
      <w:r w:rsidR="00142603" w:rsidRPr="00C351CD">
        <w:rPr>
          <w:lang w:val="es-HN"/>
        </w:rPr>
        <w:t xml:space="preserve">e </w:t>
      </w:r>
      <w:r w:rsidR="00B845B4" w:rsidRPr="00C351CD">
        <w:rPr>
          <w:lang w:val="es-HN"/>
        </w:rPr>
        <w:t>C</w:t>
      </w:r>
      <w:r w:rsidR="00142603" w:rsidRPr="00C351CD">
        <w:rPr>
          <w:lang w:val="es-HN"/>
        </w:rPr>
        <w:t>hile.</w:t>
      </w:r>
    </w:p>
    <w:p w14:paraId="66DA0624" w14:textId="207D3D51" w:rsidR="00FC42AD" w:rsidRPr="003D7AC1" w:rsidRDefault="00FC42AD" w:rsidP="00FC42AD">
      <w:pPr>
        <w:pStyle w:val="CETReferencetext"/>
      </w:pPr>
      <w:r w:rsidRPr="00C351CD">
        <w:rPr>
          <w:lang w:val="es-HN"/>
        </w:rPr>
        <w:t xml:space="preserve">Pires, C.V., Oliveira, M.G., Rosa, J.C. and Costa, N.M.B. 2006. </w:t>
      </w:r>
      <w:r w:rsidRPr="00E22F5A">
        <w:t>Nutritional quality and chemical score of amino acids of different protein sources</w:t>
      </w:r>
      <w:r>
        <w:t xml:space="preserve"> (original title in Portuguese)</w:t>
      </w:r>
      <w:r w:rsidRPr="003D7AC1">
        <w:t xml:space="preserve">. </w:t>
      </w:r>
      <w:proofErr w:type="spellStart"/>
      <w:r w:rsidRPr="003D7AC1">
        <w:t>Ciência</w:t>
      </w:r>
      <w:proofErr w:type="spellEnd"/>
      <w:r w:rsidRPr="003D7AC1">
        <w:t xml:space="preserve"> E Tecnologia De Alimentos, 26(1), 179–187. </w:t>
      </w:r>
    </w:p>
    <w:p w14:paraId="49DBF21D" w14:textId="13F465FF" w:rsidR="006F42DB" w:rsidRDefault="2353569D" w:rsidP="00FC42AD">
      <w:pPr>
        <w:pStyle w:val="CETReferencetext"/>
      </w:pPr>
      <w:r w:rsidRPr="003D7AC1">
        <w:t xml:space="preserve">Rhim, J.-W. 2004. Physical and mechanical properties of </w:t>
      </w:r>
      <w:r w:rsidR="003D7AC1" w:rsidRPr="003D7AC1">
        <w:t>water-resistant</w:t>
      </w:r>
      <w:r w:rsidRPr="003D7AC1">
        <w:t xml:space="preserve"> sodium alginate films. LWT - Food Science and Technology, 37(3), 323–330</w:t>
      </w:r>
      <w:r w:rsidR="00C04260">
        <w:t>.</w:t>
      </w:r>
    </w:p>
    <w:p w14:paraId="10842B16" w14:textId="5BA23CA7" w:rsidR="00C20997" w:rsidRPr="00675439" w:rsidRDefault="00C20997" w:rsidP="00C20997">
      <w:pPr>
        <w:pStyle w:val="CETReferencetext"/>
        <w:rPr>
          <w:lang w:val="en-US"/>
        </w:rPr>
      </w:pPr>
      <w:r w:rsidRPr="00257C8F">
        <w:rPr>
          <w:lang w:val="en-US"/>
        </w:rPr>
        <w:t xml:space="preserve">Schlangen, M., </w:t>
      </w:r>
      <w:proofErr w:type="spellStart"/>
      <w:r w:rsidRPr="00257C8F">
        <w:rPr>
          <w:lang w:val="en-US"/>
        </w:rPr>
        <w:t>Ribberink</w:t>
      </w:r>
      <w:proofErr w:type="spellEnd"/>
      <w:r w:rsidRPr="00257C8F">
        <w:rPr>
          <w:lang w:val="en-US"/>
        </w:rPr>
        <w:t xml:space="preserve">, M. A., </w:t>
      </w:r>
      <w:proofErr w:type="spellStart"/>
      <w:r w:rsidRPr="00257C8F">
        <w:rPr>
          <w:lang w:val="en-US"/>
        </w:rPr>
        <w:t>Taghian</w:t>
      </w:r>
      <w:proofErr w:type="spellEnd"/>
      <w:r w:rsidRPr="00257C8F">
        <w:rPr>
          <w:lang w:val="en-US"/>
        </w:rPr>
        <w:t xml:space="preserve"> </w:t>
      </w:r>
      <w:proofErr w:type="spellStart"/>
      <w:r w:rsidRPr="00257C8F">
        <w:rPr>
          <w:lang w:val="en-US"/>
        </w:rPr>
        <w:t>Dinani</w:t>
      </w:r>
      <w:proofErr w:type="spellEnd"/>
      <w:r w:rsidRPr="00257C8F">
        <w:rPr>
          <w:lang w:val="en-US"/>
        </w:rPr>
        <w:t xml:space="preserve">, S., </w:t>
      </w:r>
      <w:proofErr w:type="spellStart"/>
      <w:r w:rsidRPr="00257C8F">
        <w:rPr>
          <w:lang w:val="en-US"/>
        </w:rPr>
        <w:t>Sagis</w:t>
      </w:r>
      <w:proofErr w:type="spellEnd"/>
      <w:r w:rsidRPr="00257C8F">
        <w:rPr>
          <w:lang w:val="en-US"/>
        </w:rPr>
        <w:t xml:space="preserve">, L. M.C. </w:t>
      </w:r>
      <w:r w:rsidR="00257C8F" w:rsidRPr="00257C8F">
        <w:rPr>
          <w:lang w:val="en-US"/>
        </w:rPr>
        <w:t>and</w:t>
      </w:r>
      <w:r w:rsidRPr="00257C8F">
        <w:rPr>
          <w:lang w:val="en-US"/>
        </w:rPr>
        <w:t xml:space="preserve"> van der Goot, A. J. 2023. </w:t>
      </w:r>
      <w:r w:rsidRPr="003D7AC1">
        <w:t xml:space="preserve">Mechanical and rheological effects of transglutaminase treatment on dense plant protein blends. </w:t>
      </w:r>
      <w:r w:rsidRPr="00675439">
        <w:rPr>
          <w:lang w:val="en-US"/>
        </w:rPr>
        <w:t>Food Hydrocolloids, 136(2), 108261.</w:t>
      </w:r>
    </w:p>
    <w:p w14:paraId="6F4614EC" w14:textId="4FF94D95" w:rsidR="00010D6F" w:rsidRPr="00010D6F" w:rsidRDefault="00010D6F" w:rsidP="00C20997">
      <w:pPr>
        <w:pStyle w:val="CETReferencetext"/>
        <w:rPr>
          <w:lang w:val="en-US"/>
        </w:rPr>
      </w:pPr>
      <w:r w:rsidRPr="00010D6F">
        <w:rPr>
          <w:lang w:val="en-US"/>
        </w:rPr>
        <w:t xml:space="preserve">Singh, U., Tiwari, P., Kelkar, S., Kaul, D., Tiwari, A., Kapri, M. and Sharma, S., 2023. Edible mushrooms: A sustainable novel ingredient for meat analogs. </w:t>
      </w:r>
      <w:proofErr w:type="spellStart"/>
      <w:r w:rsidRPr="00010D6F">
        <w:rPr>
          <w:lang w:val="en-US"/>
        </w:rPr>
        <w:t>Efood</w:t>
      </w:r>
      <w:proofErr w:type="spellEnd"/>
      <w:r w:rsidRPr="00010D6F">
        <w:rPr>
          <w:lang w:val="en-US"/>
        </w:rPr>
        <w:t>, 4(6), 122.</w:t>
      </w:r>
    </w:p>
    <w:p w14:paraId="2BB6CC0B" w14:textId="0CC1100D" w:rsidR="00F06A4F" w:rsidRPr="00230CA6" w:rsidRDefault="00F06A4F" w:rsidP="00C20997">
      <w:pPr>
        <w:pStyle w:val="CETReferencetext"/>
        <w:rPr>
          <w:lang w:val="en-US"/>
        </w:rPr>
      </w:pPr>
      <w:r w:rsidRPr="00F06A4F">
        <w:rPr>
          <w:lang w:val="en-US"/>
        </w:rPr>
        <w:lastRenderedPageBreak/>
        <w:t xml:space="preserve">Voon, S.L., An, J., Wong, G., Zhang, Y. and Chua, C.K., 2019. 3D food printing: A </w:t>
      </w:r>
      <w:proofErr w:type="spellStart"/>
      <w:r w:rsidRPr="00F06A4F">
        <w:rPr>
          <w:lang w:val="en-US"/>
        </w:rPr>
        <w:t>categorised</w:t>
      </w:r>
      <w:proofErr w:type="spellEnd"/>
      <w:r w:rsidRPr="00F06A4F">
        <w:rPr>
          <w:lang w:val="en-US"/>
        </w:rPr>
        <w:t xml:space="preserve"> review of inks and their development. </w:t>
      </w:r>
      <w:r w:rsidRPr="00230CA6">
        <w:rPr>
          <w:lang w:val="en-US"/>
        </w:rPr>
        <w:t>Virtual and Physical Prototyping, 14(3), 203-218.</w:t>
      </w:r>
    </w:p>
    <w:p w14:paraId="0DB5F79F" w14:textId="6FEEADB9" w:rsidR="00FA1711" w:rsidRPr="002A3B51" w:rsidRDefault="006C2BF9" w:rsidP="00230CA6">
      <w:pPr>
        <w:pStyle w:val="CETReferencetext"/>
        <w:rPr>
          <w:lang w:val="en-US"/>
        </w:rPr>
      </w:pPr>
      <w:r w:rsidRPr="006C2BF9">
        <w:rPr>
          <w:lang w:val="en-US"/>
        </w:rPr>
        <w:t>Zhu, S</w:t>
      </w:r>
      <w:r>
        <w:rPr>
          <w:lang w:val="en-US"/>
        </w:rPr>
        <w:t>.</w:t>
      </w:r>
      <w:r w:rsidR="00282A6B">
        <w:rPr>
          <w:lang w:val="en-US"/>
        </w:rPr>
        <w:t>,</w:t>
      </w:r>
      <w:r w:rsidRPr="006C2BF9">
        <w:rPr>
          <w:lang w:val="en-US"/>
        </w:rPr>
        <w:t xml:space="preserve"> 2022</w:t>
      </w:r>
      <w:r w:rsidR="00282A6B">
        <w:rPr>
          <w:lang w:val="en-US"/>
        </w:rPr>
        <w:t>.</w:t>
      </w:r>
      <w:r w:rsidRPr="006C2BF9">
        <w:rPr>
          <w:lang w:val="en-US"/>
        </w:rPr>
        <w:t xml:space="preserve"> 3D food printing: from structure to perception', Doctor of Philosophy, Wageningen University, Wageningen</w:t>
      </w:r>
      <w:r w:rsidR="00230CA6">
        <w:rPr>
          <w:lang w:val="en-US"/>
        </w:rPr>
        <w:t>.</w:t>
      </w:r>
    </w:p>
    <w:sectPr w:rsidR="00FA1711" w:rsidRPr="002A3B51"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98D00" w14:textId="77777777" w:rsidR="004C3FF5" w:rsidRDefault="004C3FF5" w:rsidP="004F5E36">
      <w:r>
        <w:separator/>
      </w:r>
    </w:p>
  </w:endnote>
  <w:endnote w:type="continuationSeparator" w:id="0">
    <w:p w14:paraId="35A3C476" w14:textId="77777777" w:rsidR="004C3FF5" w:rsidRDefault="004C3FF5" w:rsidP="004F5E36">
      <w:r>
        <w:continuationSeparator/>
      </w:r>
    </w:p>
  </w:endnote>
  <w:endnote w:type="continuationNotice" w:id="1">
    <w:p w14:paraId="3DD527A5" w14:textId="77777777" w:rsidR="004C3FF5" w:rsidRDefault="004C3F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6B08" w14:textId="77777777" w:rsidR="004C3FF5" w:rsidRDefault="004C3FF5" w:rsidP="004F5E36">
      <w:r>
        <w:separator/>
      </w:r>
    </w:p>
  </w:footnote>
  <w:footnote w:type="continuationSeparator" w:id="0">
    <w:p w14:paraId="185AA69F" w14:textId="77777777" w:rsidR="004C3FF5" w:rsidRDefault="004C3FF5" w:rsidP="004F5E36">
      <w:r>
        <w:continuationSeparator/>
      </w:r>
    </w:p>
  </w:footnote>
  <w:footnote w:type="continuationNotice" w:id="1">
    <w:p w14:paraId="49F6ED22" w14:textId="77777777" w:rsidR="004C3FF5" w:rsidRDefault="004C3FF5">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94SbS7TC6yt6N" int2:id="wq5sbQg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lvl>
    <w:lvl w:ilvl="2">
      <w:start w:val="1"/>
      <w:numFmt w:val="decimal"/>
      <w:suff w:val="space"/>
      <w:lvlText w:val="%2.%3"/>
      <w:lvlJc w:val="left"/>
      <w:pPr>
        <w:ind w:left="0" w:firstLine="0"/>
      </w:p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44B892"/>
    <w:multiLevelType w:val="multilevel"/>
    <w:tmpl w:val="E006ED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5797481">
    <w:abstractNumId w:val="15"/>
  </w:num>
  <w:num w:numId="2" w16cid:durableId="1316882765">
    <w:abstractNumId w:val="10"/>
  </w:num>
  <w:num w:numId="3" w16cid:durableId="1954094313">
    <w:abstractNumId w:val="8"/>
  </w:num>
  <w:num w:numId="4" w16cid:durableId="2001083081">
    <w:abstractNumId w:val="3"/>
  </w:num>
  <w:num w:numId="5" w16cid:durableId="665287687">
    <w:abstractNumId w:val="2"/>
  </w:num>
  <w:num w:numId="6" w16cid:durableId="1763211618">
    <w:abstractNumId w:val="1"/>
  </w:num>
  <w:num w:numId="7" w16cid:durableId="733351894">
    <w:abstractNumId w:val="0"/>
  </w:num>
  <w:num w:numId="8" w16cid:durableId="1265187038">
    <w:abstractNumId w:val="9"/>
  </w:num>
  <w:num w:numId="9" w16cid:durableId="458382672">
    <w:abstractNumId w:val="7"/>
  </w:num>
  <w:num w:numId="10" w16cid:durableId="652636510">
    <w:abstractNumId w:val="6"/>
  </w:num>
  <w:num w:numId="11" w16cid:durableId="1972591888">
    <w:abstractNumId w:val="5"/>
  </w:num>
  <w:num w:numId="12" w16cid:durableId="1179278139">
    <w:abstractNumId w:val="4"/>
  </w:num>
  <w:num w:numId="13" w16cid:durableId="1575509198">
    <w:abstractNumId w:val="18"/>
  </w:num>
  <w:num w:numId="14" w16cid:durableId="695733619">
    <w:abstractNumId w:val="12"/>
  </w:num>
  <w:num w:numId="15" w16cid:durableId="145903400">
    <w:abstractNumId w:val="19"/>
  </w:num>
  <w:num w:numId="16" w16cid:durableId="19162326">
    <w:abstractNumId w:val="21"/>
  </w:num>
  <w:num w:numId="17" w16cid:durableId="1977102699">
    <w:abstractNumId w:val="20"/>
  </w:num>
  <w:num w:numId="18" w16cid:durableId="860774865">
    <w:abstractNumId w:val="11"/>
  </w:num>
  <w:num w:numId="19" w16cid:durableId="313221457">
    <w:abstractNumId w:val="12"/>
    <w:lvlOverride w:ilvl="0">
      <w:startOverride w:val="1"/>
    </w:lvlOverride>
  </w:num>
  <w:num w:numId="20" w16cid:durableId="534971577">
    <w:abstractNumId w:val="17"/>
  </w:num>
  <w:num w:numId="21" w16cid:durableId="1150947773">
    <w:abstractNumId w:val="16"/>
  </w:num>
  <w:num w:numId="22" w16cid:durableId="124660497">
    <w:abstractNumId w:val="14"/>
  </w:num>
  <w:num w:numId="23" w16cid:durableId="2099861471">
    <w:abstractNumId w:val="13"/>
  </w:num>
  <w:num w:numId="24" w16cid:durableId="337735351">
    <w:abstractNumId w:val="10"/>
    <w:lvlOverride w:ilvl="0">
      <w:startOverride w:val="1"/>
    </w:lvlOverride>
    <w:lvlOverride w:ilvl="1">
      <w:startOverride w:val="3"/>
    </w:lvlOverride>
    <w:lvlOverride w:ilvl="2">
      <w:startOverride w:val="5"/>
    </w:lvlOverride>
  </w:num>
  <w:num w:numId="25" w16cid:durableId="20283150">
    <w:abstractNumId w:val="10"/>
    <w:lvlOverride w:ilvl="0">
      <w:startOverride w:val="1"/>
    </w:lvlOverride>
    <w:lvlOverride w:ilvl="1">
      <w:startOverride w:val="3"/>
    </w:lvlOverride>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6526"/>
    <w:rsid w:val="00010D6F"/>
    <w:rsid w:val="000117CB"/>
    <w:rsid w:val="00021CCA"/>
    <w:rsid w:val="0002579B"/>
    <w:rsid w:val="0003148D"/>
    <w:rsid w:val="00031EEC"/>
    <w:rsid w:val="00045D81"/>
    <w:rsid w:val="00051566"/>
    <w:rsid w:val="00054288"/>
    <w:rsid w:val="000562A9"/>
    <w:rsid w:val="00062A9A"/>
    <w:rsid w:val="00065058"/>
    <w:rsid w:val="00084FB3"/>
    <w:rsid w:val="00086C39"/>
    <w:rsid w:val="000A03B2"/>
    <w:rsid w:val="000C0EBE"/>
    <w:rsid w:val="000D0268"/>
    <w:rsid w:val="000D34BE"/>
    <w:rsid w:val="000D7E55"/>
    <w:rsid w:val="000E102F"/>
    <w:rsid w:val="000E36F1"/>
    <w:rsid w:val="000E3A73"/>
    <w:rsid w:val="000E414A"/>
    <w:rsid w:val="000F093C"/>
    <w:rsid w:val="000F787B"/>
    <w:rsid w:val="001068DD"/>
    <w:rsid w:val="00116340"/>
    <w:rsid w:val="0012091F"/>
    <w:rsid w:val="00122C11"/>
    <w:rsid w:val="00123042"/>
    <w:rsid w:val="001244C5"/>
    <w:rsid w:val="00126BC2"/>
    <w:rsid w:val="001308B6"/>
    <w:rsid w:val="0013121F"/>
    <w:rsid w:val="00131FE6"/>
    <w:rsid w:val="001323E7"/>
    <w:rsid w:val="0013263F"/>
    <w:rsid w:val="001331DF"/>
    <w:rsid w:val="00134DE4"/>
    <w:rsid w:val="00137C5F"/>
    <w:rsid w:val="0014034D"/>
    <w:rsid w:val="00140E6E"/>
    <w:rsid w:val="00142603"/>
    <w:rsid w:val="00144D16"/>
    <w:rsid w:val="001471BC"/>
    <w:rsid w:val="00150E59"/>
    <w:rsid w:val="00152DE3"/>
    <w:rsid w:val="001532BB"/>
    <w:rsid w:val="0015355C"/>
    <w:rsid w:val="001646EE"/>
    <w:rsid w:val="00164CF9"/>
    <w:rsid w:val="001667A6"/>
    <w:rsid w:val="00177C8E"/>
    <w:rsid w:val="00184AD6"/>
    <w:rsid w:val="001A4AF7"/>
    <w:rsid w:val="001B0349"/>
    <w:rsid w:val="001B17B6"/>
    <w:rsid w:val="001B1E93"/>
    <w:rsid w:val="001B65C1"/>
    <w:rsid w:val="001C684B"/>
    <w:rsid w:val="001D0CFB"/>
    <w:rsid w:val="001D21AF"/>
    <w:rsid w:val="001D53FC"/>
    <w:rsid w:val="001D6AE9"/>
    <w:rsid w:val="001F42A5"/>
    <w:rsid w:val="001F7B9D"/>
    <w:rsid w:val="001F7F35"/>
    <w:rsid w:val="00201C93"/>
    <w:rsid w:val="0020405F"/>
    <w:rsid w:val="002112B4"/>
    <w:rsid w:val="002224B4"/>
    <w:rsid w:val="00230CA6"/>
    <w:rsid w:val="002447EF"/>
    <w:rsid w:val="00251550"/>
    <w:rsid w:val="00251ABB"/>
    <w:rsid w:val="00257C8F"/>
    <w:rsid w:val="00263B05"/>
    <w:rsid w:val="00270A5D"/>
    <w:rsid w:val="0027221A"/>
    <w:rsid w:val="00273812"/>
    <w:rsid w:val="00275B61"/>
    <w:rsid w:val="00280FAF"/>
    <w:rsid w:val="00282656"/>
    <w:rsid w:val="00282A6B"/>
    <w:rsid w:val="00287F81"/>
    <w:rsid w:val="00296B83"/>
    <w:rsid w:val="002A1750"/>
    <w:rsid w:val="002A2374"/>
    <w:rsid w:val="002A3B51"/>
    <w:rsid w:val="002B0349"/>
    <w:rsid w:val="002B4015"/>
    <w:rsid w:val="002B6CE3"/>
    <w:rsid w:val="002B78CE"/>
    <w:rsid w:val="002C2FB6"/>
    <w:rsid w:val="002C39A7"/>
    <w:rsid w:val="002D12E2"/>
    <w:rsid w:val="002E5FA7"/>
    <w:rsid w:val="002F3309"/>
    <w:rsid w:val="002F6CA5"/>
    <w:rsid w:val="002F712E"/>
    <w:rsid w:val="003008CE"/>
    <w:rsid w:val="003009B7"/>
    <w:rsid w:val="00300E56"/>
    <w:rsid w:val="0030152C"/>
    <w:rsid w:val="0030469C"/>
    <w:rsid w:val="00320B9B"/>
    <w:rsid w:val="00321CA6"/>
    <w:rsid w:val="00323763"/>
    <w:rsid w:val="00323C5F"/>
    <w:rsid w:val="00326203"/>
    <w:rsid w:val="003312AE"/>
    <w:rsid w:val="00331FCD"/>
    <w:rsid w:val="00332FF4"/>
    <w:rsid w:val="003331E7"/>
    <w:rsid w:val="00333799"/>
    <w:rsid w:val="00334C09"/>
    <w:rsid w:val="0035438C"/>
    <w:rsid w:val="00371CA0"/>
    <w:rsid w:val="0037212F"/>
    <w:rsid w:val="003723D4"/>
    <w:rsid w:val="00374F0E"/>
    <w:rsid w:val="00381905"/>
    <w:rsid w:val="00384CC8"/>
    <w:rsid w:val="00384D6F"/>
    <w:rsid w:val="003871FD"/>
    <w:rsid w:val="00387EB7"/>
    <w:rsid w:val="003A0357"/>
    <w:rsid w:val="003A1E30"/>
    <w:rsid w:val="003A2829"/>
    <w:rsid w:val="003A7D1C"/>
    <w:rsid w:val="003B304B"/>
    <w:rsid w:val="003B3146"/>
    <w:rsid w:val="003C2983"/>
    <w:rsid w:val="003D7AC1"/>
    <w:rsid w:val="003E5C38"/>
    <w:rsid w:val="003E742C"/>
    <w:rsid w:val="003F015E"/>
    <w:rsid w:val="003F2361"/>
    <w:rsid w:val="00400414"/>
    <w:rsid w:val="00407180"/>
    <w:rsid w:val="004076A0"/>
    <w:rsid w:val="00407C23"/>
    <w:rsid w:val="00413C63"/>
    <w:rsid w:val="0041446B"/>
    <w:rsid w:val="00431D67"/>
    <w:rsid w:val="0044071E"/>
    <w:rsid w:val="0044329C"/>
    <w:rsid w:val="00453E24"/>
    <w:rsid w:val="00457456"/>
    <w:rsid w:val="004577FE"/>
    <w:rsid w:val="00457B9C"/>
    <w:rsid w:val="0046164A"/>
    <w:rsid w:val="004628D2"/>
    <w:rsid w:val="00462DCD"/>
    <w:rsid w:val="004648AD"/>
    <w:rsid w:val="00467C9A"/>
    <w:rsid w:val="004703A9"/>
    <w:rsid w:val="004760DE"/>
    <w:rsid w:val="004763D7"/>
    <w:rsid w:val="004A004E"/>
    <w:rsid w:val="004A24CF"/>
    <w:rsid w:val="004B6CD1"/>
    <w:rsid w:val="004C3D1D"/>
    <w:rsid w:val="004C3D84"/>
    <w:rsid w:val="004C3FF5"/>
    <w:rsid w:val="004C7913"/>
    <w:rsid w:val="004D482F"/>
    <w:rsid w:val="004E4DD6"/>
    <w:rsid w:val="004E5393"/>
    <w:rsid w:val="004F5E36"/>
    <w:rsid w:val="00504A1B"/>
    <w:rsid w:val="00507B47"/>
    <w:rsid w:val="00507BEF"/>
    <w:rsid w:val="00507CC9"/>
    <w:rsid w:val="005119A5"/>
    <w:rsid w:val="00512730"/>
    <w:rsid w:val="005278B7"/>
    <w:rsid w:val="00532016"/>
    <w:rsid w:val="005346C8"/>
    <w:rsid w:val="00536A89"/>
    <w:rsid w:val="005409CB"/>
    <w:rsid w:val="00543E7D"/>
    <w:rsid w:val="00547A68"/>
    <w:rsid w:val="00551482"/>
    <w:rsid w:val="005531C9"/>
    <w:rsid w:val="0055346E"/>
    <w:rsid w:val="005576B1"/>
    <w:rsid w:val="00557E00"/>
    <w:rsid w:val="00570C43"/>
    <w:rsid w:val="005974C4"/>
    <w:rsid w:val="005A237D"/>
    <w:rsid w:val="005B2110"/>
    <w:rsid w:val="005B61E6"/>
    <w:rsid w:val="005C77E1"/>
    <w:rsid w:val="005D668A"/>
    <w:rsid w:val="005D6A2F"/>
    <w:rsid w:val="005E0031"/>
    <w:rsid w:val="005E1A82"/>
    <w:rsid w:val="005E72C6"/>
    <w:rsid w:val="005E794C"/>
    <w:rsid w:val="005F0A28"/>
    <w:rsid w:val="005F0E5E"/>
    <w:rsid w:val="005F16BB"/>
    <w:rsid w:val="00600535"/>
    <w:rsid w:val="006068B7"/>
    <w:rsid w:val="00610CD6"/>
    <w:rsid w:val="00620DEE"/>
    <w:rsid w:val="00621F92"/>
    <w:rsid w:val="0062280A"/>
    <w:rsid w:val="00625639"/>
    <w:rsid w:val="00631B33"/>
    <w:rsid w:val="0064184D"/>
    <w:rsid w:val="006422CC"/>
    <w:rsid w:val="00644769"/>
    <w:rsid w:val="00644F66"/>
    <w:rsid w:val="006524E3"/>
    <w:rsid w:val="00660E3E"/>
    <w:rsid w:val="00662E74"/>
    <w:rsid w:val="00666E00"/>
    <w:rsid w:val="00667550"/>
    <w:rsid w:val="00671000"/>
    <w:rsid w:val="0067137C"/>
    <w:rsid w:val="00675439"/>
    <w:rsid w:val="00680C23"/>
    <w:rsid w:val="00681460"/>
    <w:rsid w:val="006869FA"/>
    <w:rsid w:val="00690AE8"/>
    <w:rsid w:val="00693766"/>
    <w:rsid w:val="006A3281"/>
    <w:rsid w:val="006B4888"/>
    <w:rsid w:val="006B7103"/>
    <w:rsid w:val="006C2BF9"/>
    <w:rsid w:val="006C2E45"/>
    <w:rsid w:val="006C359C"/>
    <w:rsid w:val="006C5579"/>
    <w:rsid w:val="006D2122"/>
    <w:rsid w:val="006D4E26"/>
    <w:rsid w:val="006D6E8B"/>
    <w:rsid w:val="006E737D"/>
    <w:rsid w:val="006F42DB"/>
    <w:rsid w:val="00707DD1"/>
    <w:rsid w:val="00713973"/>
    <w:rsid w:val="00720A24"/>
    <w:rsid w:val="00732386"/>
    <w:rsid w:val="007327B9"/>
    <w:rsid w:val="0073514D"/>
    <w:rsid w:val="007447F3"/>
    <w:rsid w:val="0075499F"/>
    <w:rsid w:val="00755D1F"/>
    <w:rsid w:val="00762776"/>
    <w:rsid w:val="007661C8"/>
    <w:rsid w:val="0077098D"/>
    <w:rsid w:val="00774274"/>
    <w:rsid w:val="007931FA"/>
    <w:rsid w:val="007A4861"/>
    <w:rsid w:val="007A7BBA"/>
    <w:rsid w:val="007A7BFC"/>
    <w:rsid w:val="007B0C50"/>
    <w:rsid w:val="007B48F9"/>
    <w:rsid w:val="007C1A43"/>
    <w:rsid w:val="007D0951"/>
    <w:rsid w:val="007D174A"/>
    <w:rsid w:val="007D2BFB"/>
    <w:rsid w:val="007D2E0C"/>
    <w:rsid w:val="007E427C"/>
    <w:rsid w:val="007F10A0"/>
    <w:rsid w:val="0080013E"/>
    <w:rsid w:val="00813288"/>
    <w:rsid w:val="008146FD"/>
    <w:rsid w:val="008168FC"/>
    <w:rsid w:val="0082617A"/>
    <w:rsid w:val="00830996"/>
    <w:rsid w:val="008345F1"/>
    <w:rsid w:val="00841187"/>
    <w:rsid w:val="0084518D"/>
    <w:rsid w:val="008469AB"/>
    <w:rsid w:val="00847476"/>
    <w:rsid w:val="00865B07"/>
    <w:rsid w:val="008667EA"/>
    <w:rsid w:val="00866EA0"/>
    <w:rsid w:val="00872540"/>
    <w:rsid w:val="0087637F"/>
    <w:rsid w:val="008763A0"/>
    <w:rsid w:val="00892AD5"/>
    <w:rsid w:val="008A1512"/>
    <w:rsid w:val="008A2DB9"/>
    <w:rsid w:val="008C22CC"/>
    <w:rsid w:val="008C2FB1"/>
    <w:rsid w:val="008C7456"/>
    <w:rsid w:val="008D32B9"/>
    <w:rsid w:val="008D433B"/>
    <w:rsid w:val="008D4A16"/>
    <w:rsid w:val="008E566E"/>
    <w:rsid w:val="008E58F7"/>
    <w:rsid w:val="008F1853"/>
    <w:rsid w:val="008F21F9"/>
    <w:rsid w:val="008F66AA"/>
    <w:rsid w:val="00901140"/>
    <w:rsid w:val="0090161A"/>
    <w:rsid w:val="00901EB6"/>
    <w:rsid w:val="00904C62"/>
    <w:rsid w:val="00905454"/>
    <w:rsid w:val="00922BA8"/>
    <w:rsid w:val="00924DAC"/>
    <w:rsid w:val="00927058"/>
    <w:rsid w:val="00942750"/>
    <w:rsid w:val="009450CE"/>
    <w:rsid w:val="009459BB"/>
    <w:rsid w:val="00947179"/>
    <w:rsid w:val="00947487"/>
    <w:rsid w:val="0095164B"/>
    <w:rsid w:val="00953DD6"/>
    <w:rsid w:val="00954090"/>
    <w:rsid w:val="009573E7"/>
    <w:rsid w:val="00963E05"/>
    <w:rsid w:val="00964A45"/>
    <w:rsid w:val="00967843"/>
    <w:rsid w:val="00967D54"/>
    <w:rsid w:val="00970A93"/>
    <w:rsid w:val="00971028"/>
    <w:rsid w:val="009718FA"/>
    <w:rsid w:val="00980CAE"/>
    <w:rsid w:val="00993B84"/>
    <w:rsid w:val="00996483"/>
    <w:rsid w:val="00996F5A"/>
    <w:rsid w:val="009B041A"/>
    <w:rsid w:val="009B0C92"/>
    <w:rsid w:val="009B5A19"/>
    <w:rsid w:val="009C37C3"/>
    <w:rsid w:val="009C7C86"/>
    <w:rsid w:val="009D2FF7"/>
    <w:rsid w:val="009E7021"/>
    <w:rsid w:val="009E7884"/>
    <w:rsid w:val="009E788A"/>
    <w:rsid w:val="009F0E08"/>
    <w:rsid w:val="009F79A1"/>
    <w:rsid w:val="00A0035F"/>
    <w:rsid w:val="00A1763D"/>
    <w:rsid w:val="00A17CEC"/>
    <w:rsid w:val="00A27EF0"/>
    <w:rsid w:val="00A42361"/>
    <w:rsid w:val="00A432A3"/>
    <w:rsid w:val="00A50B20"/>
    <w:rsid w:val="00A51390"/>
    <w:rsid w:val="00A60D13"/>
    <w:rsid w:val="00A714EF"/>
    <w:rsid w:val="00A7223D"/>
    <w:rsid w:val="00A72272"/>
    <w:rsid w:val="00A72745"/>
    <w:rsid w:val="00A76EFC"/>
    <w:rsid w:val="00A87D50"/>
    <w:rsid w:val="00A91010"/>
    <w:rsid w:val="00A97F29"/>
    <w:rsid w:val="00AA702E"/>
    <w:rsid w:val="00AA7D26"/>
    <w:rsid w:val="00AB0443"/>
    <w:rsid w:val="00AB0964"/>
    <w:rsid w:val="00AB3AA3"/>
    <w:rsid w:val="00AB5011"/>
    <w:rsid w:val="00AB5E2B"/>
    <w:rsid w:val="00AC7368"/>
    <w:rsid w:val="00AD16B9"/>
    <w:rsid w:val="00AD2629"/>
    <w:rsid w:val="00AE377D"/>
    <w:rsid w:val="00AF01E0"/>
    <w:rsid w:val="00AF0EBA"/>
    <w:rsid w:val="00AF46C8"/>
    <w:rsid w:val="00B02C8A"/>
    <w:rsid w:val="00B17FBD"/>
    <w:rsid w:val="00B315A6"/>
    <w:rsid w:val="00B31813"/>
    <w:rsid w:val="00B33365"/>
    <w:rsid w:val="00B500B7"/>
    <w:rsid w:val="00B57B36"/>
    <w:rsid w:val="00B57E6F"/>
    <w:rsid w:val="00B845B4"/>
    <w:rsid w:val="00B8686D"/>
    <w:rsid w:val="00B93F69"/>
    <w:rsid w:val="00BB1DDC"/>
    <w:rsid w:val="00BB37A7"/>
    <w:rsid w:val="00BC30C9"/>
    <w:rsid w:val="00BC7403"/>
    <w:rsid w:val="00BD077D"/>
    <w:rsid w:val="00BE3E58"/>
    <w:rsid w:val="00BE47AC"/>
    <w:rsid w:val="00BE701A"/>
    <w:rsid w:val="00C006A7"/>
    <w:rsid w:val="00C01616"/>
    <w:rsid w:val="00C0162B"/>
    <w:rsid w:val="00C03194"/>
    <w:rsid w:val="00C04260"/>
    <w:rsid w:val="00C068ED"/>
    <w:rsid w:val="00C06E4F"/>
    <w:rsid w:val="00C20997"/>
    <w:rsid w:val="00C22E0C"/>
    <w:rsid w:val="00C2363C"/>
    <w:rsid w:val="00C24AF1"/>
    <w:rsid w:val="00C32997"/>
    <w:rsid w:val="00C345B1"/>
    <w:rsid w:val="00C351CD"/>
    <w:rsid w:val="00C40142"/>
    <w:rsid w:val="00C52C3C"/>
    <w:rsid w:val="00C57182"/>
    <w:rsid w:val="00C57863"/>
    <w:rsid w:val="00C640AF"/>
    <w:rsid w:val="00C64C4D"/>
    <w:rsid w:val="00C655FD"/>
    <w:rsid w:val="00C74D1A"/>
    <w:rsid w:val="00C75407"/>
    <w:rsid w:val="00C8251B"/>
    <w:rsid w:val="00C841C6"/>
    <w:rsid w:val="00C85F3F"/>
    <w:rsid w:val="00C870A8"/>
    <w:rsid w:val="00C94434"/>
    <w:rsid w:val="00CA0D75"/>
    <w:rsid w:val="00CA1C95"/>
    <w:rsid w:val="00CA5A9C"/>
    <w:rsid w:val="00CA6F55"/>
    <w:rsid w:val="00CC4C20"/>
    <w:rsid w:val="00CC702D"/>
    <w:rsid w:val="00CD3517"/>
    <w:rsid w:val="00CD5FE2"/>
    <w:rsid w:val="00CE4CBC"/>
    <w:rsid w:val="00CE65A0"/>
    <w:rsid w:val="00CE7C68"/>
    <w:rsid w:val="00D02B4C"/>
    <w:rsid w:val="00D040C4"/>
    <w:rsid w:val="00D1449A"/>
    <w:rsid w:val="00D20AD1"/>
    <w:rsid w:val="00D215C3"/>
    <w:rsid w:val="00D2582C"/>
    <w:rsid w:val="00D26778"/>
    <w:rsid w:val="00D46B7E"/>
    <w:rsid w:val="00D47DC9"/>
    <w:rsid w:val="00D51B03"/>
    <w:rsid w:val="00D536B1"/>
    <w:rsid w:val="00D57C84"/>
    <w:rsid w:val="00D6057D"/>
    <w:rsid w:val="00D62D85"/>
    <w:rsid w:val="00D63D10"/>
    <w:rsid w:val="00D67A08"/>
    <w:rsid w:val="00D71640"/>
    <w:rsid w:val="00D72172"/>
    <w:rsid w:val="00D76EC2"/>
    <w:rsid w:val="00D81DEE"/>
    <w:rsid w:val="00D836C5"/>
    <w:rsid w:val="00D83B7C"/>
    <w:rsid w:val="00D84576"/>
    <w:rsid w:val="00D906BA"/>
    <w:rsid w:val="00DA1399"/>
    <w:rsid w:val="00DA24C6"/>
    <w:rsid w:val="00DA4D7B"/>
    <w:rsid w:val="00DB1B1E"/>
    <w:rsid w:val="00DD271C"/>
    <w:rsid w:val="00DE264A"/>
    <w:rsid w:val="00DE2BE5"/>
    <w:rsid w:val="00DE5155"/>
    <w:rsid w:val="00DF0147"/>
    <w:rsid w:val="00DF5072"/>
    <w:rsid w:val="00DF7125"/>
    <w:rsid w:val="00E02D18"/>
    <w:rsid w:val="00E041E7"/>
    <w:rsid w:val="00E0540E"/>
    <w:rsid w:val="00E13085"/>
    <w:rsid w:val="00E166B9"/>
    <w:rsid w:val="00E22F5A"/>
    <w:rsid w:val="00E23CA1"/>
    <w:rsid w:val="00E23DC4"/>
    <w:rsid w:val="00E35840"/>
    <w:rsid w:val="00E409A8"/>
    <w:rsid w:val="00E442A7"/>
    <w:rsid w:val="00E50C12"/>
    <w:rsid w:val="00E65358"/>
    <w:rsid w:val="00E65B91"/>
    <w:rsid w:val="00E677A6"/>
    <w:rsid w:val="00E67891"/>
    <w:rsid w:val="00E7209D"/>
    <w:rsid w:val="00E72EAD"/>
    <w:rsid w:val="00E7528B"/>
    <w:rsid w:val="00E77223"/>
    <w:rsid w:val="00E80AEB"/>
    <w:rsid w:val="00E8528B"/>
    <w:rsid w:val="00E85B94"/>
    <w:rsid w:val="00E90C82"/>
    <w:rsid w:val="00E9313E"/>
    <w:rsid w:val="00E978D0"/>
    <w:rsid w:val="00EA4613"/>
    <w:rsid w:val="00EA7EB7"/>
    <w:rsid w:val="00EA7F91"/>
    <w:rsid w:val="00EB1523"/>
    <w:rsid w:val="00EB5D98"/>
    <w:rsid w:val="00EC0E49"/>
    <w:rsid w:val="00EC101F"/>
    <w:rsid w:val="00EC1D9F"/>
    <w:rsid w:val="00EE0131"/>
    <w:rsid w:val="00EE17B0"/>
    <w:rsid w:val="00EE5F47"/>
    <w:rsid w:val="00EF06D9"/>
    <w:rsid w:val="00F06A4F"/>
    <w:rsid w:val="00F06F54"/>
    <w:rsid w:val="00F07442"/>
    <w:rsid w:val="00F079BF"/>
    <w:rsid w:val="00F21E2F"/>
    <w:rsid w:val="00F22B23"/>
    <w:rsid w:val="00F25E66"/>
    <w:rsid w:val="00F3049E"/>
    <w:rsid w:val="00F30C64"/>
    <w:rsid w:val="00F32BA2"/>
    <w:rsid w:val="00F32CDB"/>
    <w:rsid w:val="00F565FE"/>
    <w:rsid w:val="00F63A70"/>
    <w:rsid w:val="00F63D8C"/>
    <w:rsid w:val="00F6647F"/>
    <w:rsid w:val="00F66807"/>
    <w:rsid w:val="00F7534E"/>
    <w:rsid w:val="00F814B8"/>
    <w:rsid w:val="00F8386E"/>
    <w:rsid w:val="00F904BB"/>
    <w:rsid w:val="00F93EDF"/>
    <w:rsid w:val="00FA1711"/>
    <w:rsid w:val="00FA1802"/>
    <w:rsid w:val="00FA21D0"/>
    <w:rsid w:val="00FA5B0D"/>
    <w:rsid w:val="00FA5C7D"/>
    <w:rsid w:val="00FA5F5F"/>
    <w:rsid w:val="00FB1430"/>
    <w:rsid w:val="00FB2AA4"/>
    <w:rsid w:val="00FB49A5"/>
    <w:rsid w:val="00FB730C"/>
    <w:rsid w:val="00FC2695"/>
    <w:rsid w:val="00FC3E03"/>
    <w:rsid w:val="00FC3FC1"/>
    <w:rsid w:val="00FC42AD"/>
    <w:rsid w:val="00FD51D7"/>
    <w:rsid w:val="00FE651E"/>
    <w:rsid w:val="02316283"/>
    <w:rsid w:val="22BCD397"/>
    <w:rsid w:val="2353569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2"/>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B1B1E"/>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2"/>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B1B1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3"/>
      </w:numPr>
      <w:contextualSpacing/>
    </w:pPr>
  </w:style>
  <w:style w:type="paragraph" w:styleId="ListNumber2">
    <w:name w:val="List Number 2"/>
    <w:basedOn w:val="Normal"/>
    <w:uiPriority w:val="99"/>
    <w:semiHidden/>
    <w:unhideWhenUsed/>
    <w:rsid w:val="0003148D"/>
    <w:pPr>
      <w:numPr>
        <w:numId w:val="4"/>
      </w:numPr>
      <w:contextualSpacing/>
    </w:pPr>
  </w:style>
  <w:style w:type="paragraph" w:styleId="ListNumber3">
    <w:name w:val="List Number 3"/>
    <w:basedOn w:val="Normal"/>
    <w:uiPriority w:val="99"/>
    <w:semiHidden/>
    <w:unhideWhenUsed/>
    <w:rsid w:val="0003148D"/>
    <w:pPr>
      <w:numPr>
        <w:numId w:val="5"/>
      </w:numPr>
      <w:contextualSpacing/>
    </w:pPr>
  </w:style>
  <w:style w:type="paragraph" w:styleId="ListNumber4">
    <w:name w:val="List Number 4"/>
    <w:basedOn w:val="Normal"/>
    <w:uiPriority w:val="99"/>
    <w:semiHidden/>
    <w:unhideWhenUsed/>
    <w:rsid w:val="0003148D"/>
    <w:pPr>
      <w:numPr>
        <w:numId w:val="6"/>
      </w:numPr>
      <w:contextualSpacing/>
    </w:pPr>
  </w:style>
  <w:style w:type="paragraph" w:styleId="ListNumber5">
    <w:name w:val="List Number 5"/>
    <w:basedOn w:val="Normal"/>
    <w:uiPriority w:val="99"/>
    <w:semiHidden/>
    <w:unhideWhenUsed/>
    <w:rsid w:val="0003148D"/>
    <w:pPr>
      <w:numPr>
        <w:numId w:val="7"/>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8"/>
      </w:numPr>
      <w:contextualSpacing/>
    </w:pPr>
  </w:style>
  <w:style w:type="paragraph" w:styleId="ListBullet2">
    <w:name w:val="List Bullet 2"/>
    <w:basedOn w:val="Normal"/>
    <w:uiPriority w:val="99"/>
    <w:semiHidden/>
    <w:unhideWhenUsed/>
    <w:rsid w:val="0003148D"/>
    <w:pPr>
      <w:numPr>
        <w:numId w:val="9"/>
      </w:numPr>
      <w:contextualSpacing/>
    </w:pPr>
  </w:style>
  <w:style w:type="paragraph" w:styleId="ListBullet3">
    <w:name w:val="List Bullet 3"/>
    <w:basedOn w:val="Normal"/>
    <w:uiPriority w:val="99"/>
    <w:semiHidden/>
    <w:unhideWhenUsed/>
    <w:rsid w:val="0003148D"/>
    <w:pPr>
      <w:numPr>
        <w:numId w:val="10"/>
      </w:numPr>
      <w:contextualSpacing/>
    </w:pPr>
  </w:style>
  <w:style w:type="paragraph" w:styleId="ListBullet4">
    <w:name w:val="List Bullet 4"/>
    <w:basedOn w:val="Normal"/>
    <w:uiPriority w:val="99"/>
    <w:semiHidden/>
    <w:unhideWhenUsed/>
    <w:rsid w:val="0003148D"/>
    <w:pPr>
      <w:numPr>
        <w:numId w:val="11"/>
      </w:numPr>
      <w:contextualSpacing/>
    </w:pPr>
  </w:style>
  <w:style w:type="paragraph" w:styleId="ListBullet5">
    <w:name w:val="List Bullet 5"/>
    <w:basedOn w:val="Normal"/>
    <w:uiPriority w:val="99"/>
    <w:semiHidden/>
    <w:unhideWhenUsed/>
    <w:rsid w:val="0003148D"/>
    <w:pPr>
      <w:numPr>
        <w:numId w:val="12"/>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4"/>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5"/>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6"/>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customStyle="1" w:styleId="CitaviBibliographyEntry">
    <w:name w:val="Citavi Bibliography Entry"/>
    <w:basedOn w:val="Normal"/>
    <w:link w:val="CitaviBibliographyEntryCar"/>
    <w:uiPriority w:val="1"/>
    <w:rsid w:val="2353569D"/>
    <w:pPr>
      <w:widowControl w:val="0"/>
      <w:tabs>
        <w:tab w:val="left" w:pos="340"/>
        <w:tab w:val="left" w:pos="720"/>
      </w:tabs>
      <w:ind w:left="720" w:hanging="720"/>
      <w:jc w:val="left"/>
    </w:pPr>
    <w:rPr>
      <w:rFonts w:asciiTheme="minorHAnsi" w:eastAsiaTheme="minorEastAsia" w:hAnsiTheme="minorHAnsi" w:cstheme="minorBidi"/>
      <w:sz w:val="22"/>
      <w:szCs w:val="22"/>
      <w:lang w:val="es-419"/>
    </w:rPr>
  </w:style>
  <w:style w:type="character" w:customStyle="1" w:styleId="CitaviBibliographyEntryCar">
    <w:name w:val="Citavi Bibliography Entry Car"/>
    <w:basedOn w:val="DefaultParagraphFont"/>
    <w:link w:val="CitaviBibliographyEntry"/>
    <w:uiPriority w:val="1"/>
    <w:rsid w:val="2353569D"/>
    <w:rPr>
      <w:rFonts w:asciiTheme="minorHAnsi" w:eastAsiaTheme="minorEastAsia" w:hAnsiTheme="minorHAnsi" w:cstheme="minorBidi"/>
      <w:sz w:val="22"/>
      <w:szCs w:val="22"/>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3160</Words>
  <Characters>17383</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Adela Acosta</cp:lastModifiedBy>
  <cp:revision>2</cp:revision>
  <cp:lastPrinted>2015-05-12T18:31:00Z</cp:lastPrinted>
  <dcterms:created xsi:type="dcterms:W3CDTF">2025-06-30T00:54:00Z</dcterms:created>
  <dcterms:modified xsi:type="dcterms:W3CDTF">2025-06-30T00:54:00Z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